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9520"/>
        <w:rPr>
          <w:rFonts w:ascii="Times New Roman"/>
        </w:rPr>
      </w:pPr>
      <w:r>
        <w:rPr>
          <w:rFonts w:ascii="Times New Roman"/>
        </w:rPr>
        <w:drawing>
          <wp:inline distT="0" distB="0" distL="0" distR="0">
            <wp:extent cx="724154" cy="72390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724154" cy="723900"/>
                    </a:xfrm>
                    <a:prstGeom prst="rect">
                      <a:avLst/>
                    </a:prstGeom>
                  </pic:spPr>
                </pic:pic>
              </a:graphicData>
            </a:graphic>
          </wp:inline>
        </w:drawing>
      </w:r>
      <w:r>
        <w:rPr>
          <w:rFonts w:ascii="Times New Roman"/>
        </w:rPr>
      </w:r>
    </w:p>
    <w:p>
      <w:pPr>
        <w:spacing w:after="0"/>
        <w:rPr>
          <w:rFonts w:ascii="Times New Roman"/>
        </w:rPr>
        <w:sectPr>
          <w:footerReference w:type="default" r:id="rId5"/>
          <w:type w:val="continuous"/>
          <w:pgSz w:w="11910" w:h="16840"/>
          <w:pgMar w:footer="831" w:top="480" w:bottom="1020" w:left="860" w:right="280"/>
          <w:pgNumType w:start="1"/>
        </w:sectPr>
      </w:pPr>
    </w:p>
    <w:p>
      <w:pPr>
        <w:pStyle w:val="BodyText"/>
        <w:rPr>
          <w:rFonts w:ascii="Times New Roman"/>
          <w:sz w:val="28"/>
        </w:rPr>
      </w:pPr>
    </w:p>
    <w:p>
      <w:pPr>
        <w:pStyle w:val="BodyText"/>
        <w:spacing w:before="3"/>
        <w:rPr>
          <w:rFonts w:ascii="Times New Roman"/>
          <w:sz w:val="25"/>
        </w:rPr>
      </w:pPr>
    </w:p>
    <w:p>
      <w:pPr>
        <w:pStyle w:val="Heading1"/>
        <w:jc w:val="right"/>
      </w:pPr>
      <w:r>
        <w:rPr/>
        <w:t>阅 读 指 引</w:t>
      </w:r>
    </w:p>
    <w:p>
      <w:pPr>
        <w:pStyle w:val="BodyText"/>
        <w:spacing w:line="237" w:lineRule="exact"/>
        <w:ind w:left="1263"/>
      </w:pPr>
      <w:r>
        <w:rPr/>
        <w:br w:type="column"/>
      </w:r>
      <w:r>
        <w:rPr/>
        <w:t>中德安联人寿[2016]疾病保险 019 号</w:t>
      </w:r>
    </w:p>
    <w:p>
      <w:pPr>
        <w:pStyle w:val="BodyText"/>
        <w:spacing w:line="260" w:lineRule="exact"/>
        <w:ind w:left="2463"/>
      </w:pPr>
      <w:r>
        <w:rPr>
          <w:w w:val="95"/>
        </w:rPr>
        <w:t>请扫描以查询验证条款</w:t>
      </w:r>
    </w:p>
    <w:p>
      <w:pPr>
        <w:spacing w:after="0" w:line="260" w:lineRule="exact"/>
        <w:sectPr>
          <w:type w:val="continuous"/>
          <w:pgSz w:w="11910" w:h="16840"/>
          <w:pgMar w:top="480" w:bottom="1020" w:left="860" w:right="280"/>
          <w:cols w:num="2" w:equalWidth="0">
            <w:col w:w="6160" w:space="40"/>
            <w:col w:w="4570"/>
          </w:cols>
        </w:sectPr>
      </w:pPr>
    </w:p>
    <w:p>
      <w:pPr>
        <w:pStyle w:val="BodyText"/>
        <w:spacing w:before="8"/>
        <w:rPr>
          <w:sz w:val="9"/>
        </w:rPr>
      </w:pPr>
    </w:p>
    <w:p>
      <w:pPr>
        <w:spacing w:line="340" w:lineRule="auto" w:before="38"/>
        <w:ind w:left="678" w:right="977" w:firstLine="295"/>
        <w:jc w:val="left"/>
        <w:rPr>
          <w:b/>
          <w:sz w:val="20"/>
        </w:rPr>
      </w:pPr>
      <w:r>
        <w:rPr/>
        <w:pict>
          <v:group style="position:absolute;margin-left:64.944pt;margin-top:17.899681pt;width:494.4pt;height:605.5pt;mso-position-horizontal-relative:page;mso-position-vertical-relative:paragraph;z-index:-45952" coordorigin="1299,358" coordsize="9888,12110">
            <v:shape style="position:absolute;left:1438;top:1409;width:404;height:200" type="#_x0000_t75" stroked="false">
              <v:imagedata r:id="rId7" o:title=""/>
            </v:shape>
            <v:line style="position:absolute" from="10944,4475" to="10944,11037" stroked="true" strokeweight=".47998pt" strokecolor="#000000">
              <v:stroke dashstyle="solid"/>
            </v:line>
            <v:line style="position:absolute" from="1536,4475" to="1536,11359" stroked="true" strokeweight=".48pt" strokecolor="#000000">
              <v:stroke dashstyle="solid"/>
            </v:line>
            <v:line style="position:absolute" from="1541,11354" to="4227,11354" stroked="true" strokeweight=".47998pt" strokecolor="#000000">
              <v:stroke dashstyle="solid"/>
            </v:line>
            <v:rect style="position:absolute;left:4213;top:11349;width:10;height:10" filled="true" fillcolor="#000000" stroked="false">
              <v:fill type="solid"/>
            </v:rect>
            <v:line style="position:absolute" from="4223,11354" to="7345,11354" stroked="true" strokeweight=".47998pt" strokecolor="#000000">
              <v:stroke dashstyle="solid"/>
            </v:line>
            <v:rect style="position:absolute;left:7331;top:11349;width:10;height:10" filled="true" fillcolor="#000000" stroked="false">
              <v:fill type="solid"/>
            </v:rect>
            <v:line style="position:absolute" from="7341,11354" to="10939,11354" stroked="true" strokeweight=".47998pt" strokecolor="#000000">
              <v:stroke dashstyle="solid"/>
            </v:line>
            <v:line style="position:absolute" from="10944,11037" to="10944,11359" stroked="true" strokeweight=".47998pt" strokecolor="#000000">
              <v:stroke dashstyle="solid"/>
            </v:line>
            <v:shape style="position:absolute;left:1298;top:357;width:9888;height:12110" type="#_x0000_t75" stroked="false">
              <v:imagedata r:id="rId8" o:title=""/>
            </v:shape>
            <w10:wrap type="none"/>
          </v:group>
        </w:pict>
      </w:r>
      <w:r>
        <w:rPr>
          <w:sz w:val="20"/>
        </w:rPr>
        <w:t>本阅读指引有助于您理解条款，对</w:t>
      </w:r>
      <w:r>
        <w:rPr>
          <w:b/>
          <w:sz w:val="20"/>
        </w:rPr>
        <w:t>“安联附加超级随心重大疾病保险条款”</w:t>
      </w:r>
      <w:r>
        <w:rPr>
          <w:sz w:val="20"/>
        </w:rPr>
        <w:t>内容的解释以条款为准。</w:t>
      </w:r>
      <w:r>
        <w:rPr>
          <w:b/>
          <w:w w:val="95"/>
          <w:sz w:val="20"/>
        </w:rPr>
        <w:t>您拥有的重要权益</w:t>
      </w:r>
    </w:p>
    <w:p>
      <w:pPr>
        <w:pStyle w:val="ListParagraph"/>
        <w:numPr>
          <w:ilvl w:val="0"/>
          <w:numId w:val="1"/>
        </w:numPr>
        <w:tabs>
          <w:tab w:pos="1537" w:val="left" w:leader="none"/>
          <w:tab w:pos="1538" w:val="left" w:leader="none"/>
          <w:tab w:pos="9875" w:val="right" w:leader="dot"/>
        </w:tabs>
        <w:spacing w:line="242" w:lineRule="exact" w:before="0" w:after="0"/>
        <w:ind w:left="676" w:right="0" w:firstLine="442"/>
        <w:jc w:val="left"/>
        <w:rPr>
          <w:sz w:val="20"/>
        </w:rPr>
      </w:pPr>
      <w:r>
        <w:rPr>
          <w:sz w:val="20"/>
        </w:rPr>
        <w:t>被保险人可以享受本附加合同提供的保障</w:t>
        <w:tab/>
        <w:t>2.2</w:t>
      </w:r>
    </w:p>
    <w:p>
      <w:pPr>
        <w:pStyle w:val="ListParagraph"/>
        <w:numPr>
          <w:ilvl w:val="0"/>
          <w:numId w:val="1"/>
        </w:numPr>
        <w:tabs>
          <w:tab w:pos="1537" w:val="left" w:leader="none"/>
          <w:tab w:pos="1538" w:val="left" w:leader="none"/>
          <w:tab w:pos="9877" w:val="right" w:leader="dot"/>
        </w:tabs>
        <w:spacing w:line="240" w:lineRule="auto" w:before="36" w:after="0"/>
        <w:ind w:left="676" w:right="0" w:firstLine="442"/>
        <w:jc w:val="left"/>
        <w:rPr>
          <w:sz w:val="20"/>
        </w:rPr>
      </w:pPr>
      <w:r>
        <w:rPr>
          <w:sz w:val="20"/>
        </w:rPr>
        <w:t>您有退保的权利</w:t>
        <w:tab/>
        <w:t>5.1</w:t>
      </w:r>
    </w:p>
    <w:p>
      <w:pPr>
        <w:pStyle w:val="BodyText"/>
        <w:spacing w:before="7"/>
        <w:rPr>
          <w:sz w:val="26"/>
        </w:rPr>
      </w:pPr>
    </w:p>
    <w:p>
      <w:pPr>
        <w:pStyle w:val="Heading3"/>
        <w:spacing w:before="1"/>
        <w:ind w:left="676"/>
      </w:pPr>
      <w:r>
        <w:rPr>
          <w:w w:val="95"/>
        </w:rPr>
        <w:t>您应当特别注意的事项</w:t>
      </w:r>
    </w:p>
    <w:p>
      <w:pPr>
        <w:pStyle w:val="ListParagraph"/>
        <w:numPr>
          <w:ilvl w:val="0"/>
          <w:numId w:val="1"/>
        </w:numPr>
        <w:tabs>
          <w:tab w:pos="1537" w:val="left" w:leader="none"/>
          <w:tab w:pos="1538" w:val="left" w:leader="none"/>
          <w:tab w:pos="9574" w:val="left" w:leader="dot"/>
        </w:tabs>
        <w:spacing w:line="240" w:lineRule="auto" w:before="50" w:after="0"/>
        <w:ind w:left="676" w:right="0" w:firstLine="442"/>
        <w:jc w:val="left"/>
        <w:rPr>
          <w:sz w:val="20"/>
        </w:rPr>
      </w:pPr>
      <w:r>
        <w:rPr>
          <w:sz w:val="20"/>
        </w:rPr>
        <w:t>我们对责任免除的条款作了特别提示，详见条款正文中字体加粗的内容</w:t>
        <w:tab/>
        <w:t>2.4</w:t>
      </w:r>
    </w:p>
    <w:p>
      <w:pPr>
        <w:pStyle w:val="ListParagraph"/>
        <w:numPr>
          <w:ilvl w:val="0"/>
          <w:numId w:val="1"/>
        </w:numPr>
        <w:tabs>
          <w:tab w:pos="1537" w:val="left" w:leader="none"/>
          <w:tab w:pos="1538" w:val="left" w:leader="none"/>
          <w:tab w:pos="9574" w:val="left" w:leader="dot"/>
        </w:tabs>
        <w:spacing w:line="240" w:lineRule="auto" w:before="35" w:after="0"/>
        <w:ind w:left="676" w:right="0" w:firstLine="442"/>
        <w:jc w:val="left"/>
        <w:rPr>
          <w:sz w:val="20"/>
        </w:rPr>
      </w:pPr>
      <w:r>
        <w:rPr>
          <w:sz w:val="20"/>
        </w:rPr>
        <w:t>您有及时向我们通知保险事故的责任</w:t>
        <w:tab/>
        <w:t>4.2</w:t>
      </w:r>
    </w:p>
    <w:p>
      <w:pPr>
        <w:pStyle w:val="ListParagraph"/>
        <w:numPr>
          <w:ilvl w:val="0"/>
          <w:numId w:val="1"/>
        </w:numPr>
        <w:tabs>
          <w:tab w:pos="1537" w:val="left" w:leader="none"/>
          <w:tab w:pos="1538" w:val="left" w:leader="none"/>
          <w:tab w:pos="9574" w:val="left" w:leader="dot"/>
        </w:tabs>
        <w:spacing w:line="240" w:lineRule="auto" w:before="36" w:after="0"/>
        <w:ind w:left="676" w:right="0" w:firstLine="442"/>
        <w:jc w:val="left"/>
        <w:rPr>
          <w:sz w:val="20"/>
        </w:rPr>
      </w:pPr>
      <w:r>
        <w:rPr>
          <w:sz w:val="20"/>
        </w:rPr>
        <w:t>您应当按时支付保险费</w:t>
        <w:tab/>
        <w:t>3.1</w:t>
      </w:r>
    </w:p>
    <w:p>
      <w:pPr>
        <w:pStyle w:val="ListParagraph"/>
        <w:numPr>
          <w:ilvl w:val="0"/>
          <w:numId w:val="1"/>
        </w:numPr>
        <w:tabs>
          <w:tab w:pos="1537" w:val="left" w:leader="none"/>
          <w:tab w:pos="1538" w:val="left" w:leader="none"/>
          <w:tab w:pos="9574" w:val="left" w:leader="dot"/>
        </w:tabs>
        <w:spacing w:line="240" w:lineRule="auto" w:before="36" w:after="0"/>
        <w:ind w:left="676" w:right="0" w:firstLine="442"/>
        <w:jc w:val="left"/>
        <w:rPr>
          <w:sz w:val="20"/>
        </w:rPr>
      </w:pPr>
      <w:r>
        <w:rPr>
          <w:sz w:val="20"/>
        </w:rPr>
        <w:t>退保会给您造成一定的损失，请您慎重决策</w:t>
        <w:tab/>
        <w:t>5.1</w:t>
      </w:r>
    </w:p>
    <w:p>
      <w:pPr>
        <w:pStyle w:val="ListParagraph"/>
        <w:numPr>
          <w:ilvl w:val="0"/>
          <w:numId w:val="1"/>
        </w:numPr>
        <w:tabs>
          <w:tab w:pos="1537" w:val="left" w:leader="none"/>
          <w:tab w:pos="1538" w:val="left" w:leader="none"/>
        </w:tabs>
        <w:spacing w:line="408" w:lineRule="auto" w:before="36" w:after="0"/>
        <w:ind w:left="676" w:right="856" w:firstLine="442"/>
        <w:jc w:val="left"/>
        <w:rPr>
          <w:b/>
          <w:sz w:val="20"/>
        </w:rPr>
      </w:pPr>
      <w:r>
        <w:rPr>
          <w:spacing w:val="-3"/>
          <w:sz w:val="20"/>
        </w:rPr>
        <w:t>我们对一些重要术语进行了解释，并作了显著标识，请您注意 ........................ 释义</w:t>
      </w:r>
      <w:r>
        <w:rPr>
          <w:b/>
          <w:spacing w:val="-3"/>
          <w:w w:val="95"/>
          <w:sz w:val="20"/>
        </w:rPr>
        <w:t>条款是保险合同的重要内容，为充分保障您的权益，请您仔细阅读本条款。</w:t>
      </w:r>
    </w:p>
    <w:p>
      <w:pPr>
        <w:pStyle w:val="Heading3"/>
        <w:spacing w:before="66" w:after="58"/>
        <w:ind w:left="676"/>
      </w:pPr>
      <w:r>
        <w:rPr/>
        <w:t>条款目录</w:t>
      </w:r>
    </w:p>
    <w:tbl>
      <w:tblPr>
        <w:tblW w:w="0" w:type="auto"/>
        <w:jc w:val="left"/>
        <w:tblInd w:w="6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3"/>
        <w:gridCol w:w="3134"/>
        <w:gridCol w:w="3649"/>
      </w:tblGrid>
      <w:tr>
        <w:trPr>
          <w:trHeight w:val="309" w:hRule="atLeast"/>
        </w:trPr>
        <w:tc>
          <w:tcPr>
            <w:tcW w:w="2623" w:type="dxa"/>
            <w:tcBorders>
              <w:top w:val="single" w:sz="4" w:space="0" w:color="000000"/>
            </w:tcBorders>
          </w:tcPr>
          <w:p>
            <w:pPr>
              <w:pStyle w:val="TableParagraph"/>
              <w:spacing w:before="8"/>
              <w:rPr>
                <w:b/>
                <w:sz w:val="18"/>
              </w:rPr>
            </w:pPr>
            <w:r>
              <w:rPr>
                <w:b/>
                <w:sz w:val="18"/>
              </w:rPr>
              <w:t>第一部分 您与我们的合同</w:t>
            </w:r>
          </w:p>
        </w:tc>
        <w:tc>
          <w:tcPr>
            <w:tcW w:w="3134" w:type="dxa"/>
            <w:tcBorders>
              <w:top w:val="single" w:sz="4" w:space="0" w:color="000000"/>
            </w:tcBorders>
          </w:tcPr>
          <w:p>
            <w:pPr>
              <w:pStyle w:val="TableParagraph"/>
              <w:spacing w:before="8"/>
              <w:ind w:left="173"/>
              <w:rPr>
                <w:b/>
                <w:sz w:val="18"/>
              </w:rPr>
            </w:pPr>
            <w:r>
              <w:rPr>
                <w:b/>
                <w:sz w:val="18"/>
              </w:rPr>
              <w:t>第四部分 如何申请领取保险金</w:t>
            </w:r>
          </w:p>
        </w:tc>
        <w:tc>
          <w:tcPr>
            <w:tcW w:w="3649" w:type="dxa"/>
            <w:tcBorders>
              <w:top w:val="single" w:sz="4" w:space="0" w:color="000000"/>
            </w:tcBorders>
          </w:tcPr>
          <w:p>
            <w:pPr>
              <w:pStyle w:val="TableParagraph"/>
              <w:spacing w:before="8"/>
              <w:ind w:left="159"/>
              <w:rPr>
                <w:b/>
                <w:sz w:val="18"/>
              </w:rPr>
            </w:pPr>
            <w:r>
              <w:rPr>
                <w:b/>
                <w:sz w:val="18"/>
              </w:rPr>
              <w:t>释义</w:t>
            </w:r>
          </w:p>
        </w:tc>
      </w:tr>
      <w:tr>
        <w:trPr>
          <w:trHeight w:val="311" w:hRule="atLeast"/>
        </w:trPr>
        <w:tc>
          <w:tcPr>
            <w:tcW w:w="2623" w:type="dxa"/>
          </w:tcPr>
          <w:p>
            <w:pPr>
              <w:pStyle w:val="TableParagraph"/>
              <w:spacing w:before="10"/>
              <w:ind w:left="287"/>
              <w:rPr>
                <w:sz w:val="18"/>
              </w:rPr>
            </w:pPr>
            <w:r>
              <w:rPr>
                <w:sz w:val="18"/>
              </w:rPr>
              <w:t>1.1 附加合同的构成</w:t>
            </w:r>
          </w:p>
        </w:tc>
        <w:tc>
          <w:tcPr>
            <w:tcW w:w="3134" w:type="dxa"/>
          </w:tcPr>
          <w:p>
            <w:pPr>
              <w:pStyle w:val="TableParagraph"/>
              <w:spacing w:before="10"/>
              <w:ind w:left="353"/>
              <w:rPr>
                <w:sz w:val="18"/>
              </w:rPr>
            </w:pPr>
            <w:r>
              <w:rPr>
                <w:sz w:val="18"/>
              </w:rPr>
              <w:t>4.1 受益人</w:t>
            </w:r>
          </w:p>
        </w:tc>
        <w:tc>
          <w:tcPr>
            <w:tcW w:w="3649" w:type="dxa"/>
          </w:tcPr>
          <w:p>
            <w:pPr>
              <w:pStyle w:val="TableParagraph"/>
              <w:spacing w:before="10"/>
              <w:ind w:left="339"/>
              <w:rPr>
                <w:sz w:val="18"/>
              </w:rPr>
            </w:pPr>
            <w:r>
              <w:rPr>
                <w:sz w:val="18"/>
              </w:rPr>
              <w:t>1. 周 岁</w:t>
            </w:r>
          </w:p>
        </w:tc>
      </w:tr>
      <w:tr>
        <w:trPr>
          <w:trHeight w:val="312" w:hRule="atLeast"/>
        </w:trPr>
        <w:tc>
          <w:tcPr>
            <w:tcW w:w="2623" w:type="dxa"/>
          </w:tcPr>
          <w:p>
            <w:pPr>
              <w:pStyle w:val="TableParagraph"/>
              <w:spacing w:before="10"/>
              <w:ind w:left="287"/>
              <w:rPr>
                <w:sz w:val="18"/>
              </w:rPr>
            </w:pPr>
            <w:r>
              <w:rPr>
                <w:sz w:val="18"/>
              </w:rPr>
              <w:t>1.2 附加合同成立与生效</w:t>
            </w:r>
          </w:p>
        </w:tc>
        <w:tc>
          <w:tcPr>
            <w:tcW w:w="3134" w:type="dxa"/>
          </w:tcPr>
          <w:p>
            <w:pPr>
              <w:pStyle w:val="TableParagraph"/>
              <w:spacing w:before="10"/>
              <w:ind w:left="353"/>
              <w:rPr>
                <w:sz w:val="18"/>
              </w:rPr>
            </w:pPr>
            <w:r>
              <w:rPr>
                <w:sz w:val="18"/>
              </w:rPr>
              <w:t>4.2 保险事故通知</w:t>
            </w:r>
          </w:p>
        </w:tc>
        <w:tc>
          <w:tcPr>
            <w:tcW w:w="3649" w:type="dxa"/>
          </w:tcPr>
          <w:p>
            <w:pPr>
              <w:pStyle w:val="TableParagraph"/>
              <w:spacing w:before="10"/>
              <w:ind w:left="339"/>
              <w:rPr>
                <w:sz w:val="18"/>
              </w:rPr>
            </w:pPr>
            <w:r>
              <w:rPr>
                <w:sz w:val="18"/>
              </w:rPr>
              <w:t>2.  满期日</w:t>
            </w:r>
          </w:p>
        </w:tc>
      </w:tr>
      <w:tr>
        <w:trPr>
          <w:trHeight w:val="312" w:hRule="atLeast"/>
        </w:trPr>
        <w:tc>
          <w:tcPr>
            <w:tcW w:w="2623" w:type="dxa"/>
          </w:tcPr>
          <w:p>
            <w:pPr>
              <w:pStyle w:val="TableParagraph"/>
              <w:spacing w:before="10"/>
              <w:ind w:left="287"/>
              <w:rPr>
                <w:sz w:val="18"/>
              </w:rPr>
            </w:pPr>
            <w:r>
              <w:rPr>
                <w:sz w:val="18"/>
              </w:rPr>
              <w:t>1.3 投保范围</w:t>
            </w:r>
          </w:p>
        </w:tc>
        <w:tc>
          <w:tcPr>
            <w:tcW w:w="3134" w:type="dxa"/>
          </w:tcPr>
          <w:p>
            <w:pPr>
              <w:pStyle w:val="TableParagraph"/>
              <w:spacing w:before="10"/>
              <w:ind w:left="353"/>
              <w:rPr>
                <w:sz w:val="18"/>
              </w:rPr>
            </w:pPr>
            <w:r>
              <w:rPr>
                <w:sz w:val="18"/>
              </w:rPr>
              <w:t>4.3 保险金申请</w:t>
            </w:r>
          </w:p>
        </w:tc>
        <w:tc>
          <w:tcPr>
            <w:tcW w:w="3649" w:type="dxa"/>
          </w:tcPr>
          <w:p>
            <w:pPr>
              <w:pStyle w:val="TableParagraph"/>
              <w:spacing w:before="10"/>
              <w:ind w:left="339"/>
              <w:rPr>
                <w:sz w:val="18"/>
              </w:rPr>
            </w:pPr>
            <w:r>
              <w:rPr>
                <w:sz w:val="18"/>
              </w:rPr>
              <w:t>3. 医 院</w:t>
            </w:r>
          </w:p>
        </w:tc>
      </w:tr>
      <w:tr>
        <w:trPr>
          <w:trHeight w:val="311" w:hRule="atLeast"/>
        </w:trPr>
        <w:tc>
          <w:tcPr>
            <w:tcW w:w="2623" w:type="dxa"/>
          </w:tcPr>
          <w:p>
            <w:pPr>
              <w:pStyle w:val="TableParagraph"/>
              <w:spacing w:before="10"/>
              <w:ind w:left="287"/>
              <w:rPr>
                <w:sz w:val="18"/>
              </w:rPr>
            </w:pPr>
            <w:r>
              <w:rPr>
                <w:sz w:val="18"/>
              </w:rPr>
              <w:t>1.4 保险期间</w:t>
            </w:r>
          </w:p>
        </w:tc>
        <w:tc>
          <w:tcPr>
            <w:tcW w:w="3134" w:type="dxa"/>
          </w:tcPr>
          <w:p>
            <w:pPr>
              <w:pStyle w:val="TableParagraph"/>
              <w:spacing w:before="10"/>
              <w:ind w:left="353"/>
              <w:rPr>
                <w:sz w:val="18"/>
              </w:rPr>
            </w:pPr>
            <w:r>
              <w:rPr>
                <w:sz w:val="18"/>
              </w:rPr>
              <w:t>4.4 诉讼时效</w:t>
            </w:r>
          </w:p>
        </w:tc>
        <w:tc>
          <w:tcPr>
            <w:tcW w:w="3649" w:type="dxa"/>
          </w:tcPr>
          <w:p>
            <w:pPr>
              <w:pStyle w:val="TableParagraph"/>
              <w:spacing w:before="10"/>
              <w:ind w:left="339"/>
              <w:rPr>
                <w:sz w:val="18"/>
              </w:rPr>
            </w:pPr>
            <w:r>
              <w:rPr>
                <w:sz w:val="18"/>
              </w:rPr>
              <w:t>4.  专科医生</w:t>
            </w:r>
          </w:p>
        </w:tc>
      </w:tr>
      <w:tr>
        <w:trPr>
          <w:trHeight w:val="312" w:hRule="atLeast"/>
        </w:trPr>
        <w:tc>
          <w:tcPr>
            <w:tcW w:w="2623" w:type="dxa"/>
          </w:tcPr>
          <w:p>
            <w:pPr>
              <w:pStyle w:val="TableParagraph"/>
              <w:spacing w:before="10"/>
              <w:ind w:left="287"/>
              <w:rPr>
                <w:sz w:val="18"/>
              </w:rPr>
            </w:pPr>
            <w:r>
              <w:rPr>
                <w:sz w:val="18"/>
              </w:rPr>
              <w:t>1.5 犹豫期</w:t>
            </w:r>
          </w:p>
        </w:tc>
        <w:tc>
          <w:tcPr>
            <w:tcW w:w="3134" w:type="dxa"/>
          </w:tcPr>
          <w:p>
            <w:pPr>
              <w:pStyle w:val="TableParagraph"/>
              <w:ind w:left="0"/>
              <w:rPr>
                <w:rFonts w:ascii="Times New Roman"/>
                <w:sz w:val="18"/>
              </w:rPr>
            </w:pPr>
          </w:p>
        </w:tc>
        <w:tc>
          <w:tcPr>
            <w:tcW w:w="3649" w:type="dxa"/>
          </w:tcPr>
          <w:p>
            <w:pPr>
              <w:pStyle w:val="TableParagraph"/>
              <w:spacing w:before="10"/>
              <w:ind w:left="339"/>
              <w:rPr>
                <w:sz w:val="18"/>
              </w:rPr>
            </w:pPr>
            <w:r>
              <w:rPr>
                <w:sz w:val="18"/>
              </w:rPr>
              <w:t>5.  基本保险金额</w:t>
            </w:r>
          </w:p>
        </w:tc>
      </w:tr>
      <w:tr>
        <w:trPr>
          <w:trHeight w:val="312" w:hRule="atLeast"/>
        </w:trPr>
        <w:tc>
          <w:tcPr>
            <w:tcW w:w="2623" w:type="dxa"/>
          </w:tcPr>
          <w:p>
            <w:pPr>
              <w:pStyle w:val="TableParagraph"/>
              <w:spacing w:before="10"/>
              <w:ind w:left="287"/>
              <w:rPr>
                <w:sz w:val="18"/>
              </w:rPr>
            </w:pPr>
            <w:r>
              <w:rPr>
                <w:sz w:val="18"/>
              </w:rPr>
              <w:t>1.6 附加合同终止</w:t>
            </w:r>
          </w:p>
        </w:tc>
        <w:tc>
          <w:tcPr>
            <w:tcW w:w="3134" w:type="dxa"/>
          </w:tcPr>
          <w:p>
            <w:pPr>
              <w:pStyle w:val="TableParagraph"/>
              <w:spacing w:before="10"/>
              <w:ind w:left="173"/>
              <w:rPr>
                <w:b/>
                <w:sz w:val="18"/>
              </w:rPr>
            </w:pPr>
            <w:r>
              <w:rPr>
                <w:b/>
                <w:sz w:val="18"/>
              </w:rPr>
              <w:t>第五部分 如何解除保险合同</w:t>
            </w:r>
          </w:p>
        </w:tc>
        <w:tc>
          <w:tcPr>
            <w:tcW w:w="3649" w:type="dxa"/>
          </w:tcPr>
          <w:p>
            <w:pPr>
              <w:pStyle w:val="TableParagraph"/>
              <w:spacing w:before="10"/>
              <w:ind w:left="339"/>
              <w:rPr>
                <w:sz w:val="18"/>
              </w:rPr>
            </w:pPr>
            <w:r>
              <w:rPr>
                <w:sz w:val="18"/>
              </w:rPr>
              <w:t>6.  意外事故</w:t>
            </w:r>
          </w:p>
        </w:tc>
      </w:tr>
      <w:tr>
        <w:trPr>
          <w:trHeight w:val="312" w:hRule="atLeast"/>
        </w:trPr>
        <w:tc>
          <w:tcPr>
            <w:tcW w:w="2623" w:type="dxa"/>
          </w:tcPr>
          <w:p>
            <w:pPr>
              <w:pStyle w:val="TableParagraph"/>
              <w:ind w:left="0"/>
              <w:rPr>
                <w:rFonts w:ascii="Times New Roman"/>
                <w:sz w:val="18"/>
              </w:rPr>
            </w:pPr>
          </w:p>
        </w:tc>
        <w:tc>
          <w:tcPr>
            <w:tcW w:w="3134" w:type="dxa"/>
          </w:tcPr>
          <w:p>
            <w:pPr>
              <w:pStyle w:val="TableParagraph"/>
              <w:spacing w:before="10"/>
              <w:ind w:left="353"/>
              <w:rPr>
                <w:sz w:val="18"/>
              </w:rPr>
            </w:pPr>
            <w:r>
              <w:rPr>
                <w:sz w:val="18"/>
              </w:rPr>
              <w:t>5.1 合同的解除及风险</w:t>
            </w:r>
          </w:p>
        </w:tc>
        <w:tc>
          <w:tcPr>
            <w:tcW w:w="3649" w:type="dxa"/>
          </w:tcPr>
          <w:p>
            <w:pPr>
              <w:pStyle w:val="TableParagraph"/>
              <w:spacing w:before="10"/>
              <w:ind w:left="339"/>
              <w:rPr>
                <w:sz w:val="18"/>
              </w:rPr>
            </w:pPr>
            <w:r>
              <w:rPr>
                <w:sz w:val="18"/>
              </w:rPr>
              <w:t>7.  患艾滋病或感染艾滋病病毒</w:t>
            </w:r>
          </w:p>
        </w:tc>
      </w:tr>
      <w:tr>
        <w:trPr>
          <w:trHeight w:val="312" w:hRule="atLeast"/>
        </w:trPr>
        <w:tc>
          <w:tcPr>
            <w:tcW w:w="2623" w:type="dxa"/>
          </w:tcPr>
          <w:p>
            <w:pPr>
              <w:pStyle w:val="TableParagraph"/>
              <w:spacing w:before="10"/>
              <w:rPr>
                <w:b/>
                <w:sz w:val="18"/>
              </w:rPr>
            </w:pPr>
            <w:r>
              <w:rPr>
                <w:b/>
                <w:sz w:val="18"/>
              </w:rPr>
              <w:t>第二部分 我们提供的保障</w:t>
            </w:r>
          </w:p>
        </w:tc>
        <w:tc>
          <w:tcPr>
            <w:tcW w:w="3134" w:type="dxa"/>
          </w:tcPr>
          <w:p>
            <w:pPr>
              <w:pStyle w:val="TableParagraph"/>
              <w:ind w:left="0"/>
              <w:rPr>
                <w:rFonts w:ascii="Times New Roman"/>
                <w:sz w:val="18"/>
              </w:rPr>
            </w:pPr>
          </w:p>
        </w:tc>
        <w:tc>
          <w:tcPr>
            <w:tcW w:w="3649" w:type="dxa"/>
          </w:tcPr>
          <w:p>
            <w:pPr>
              <w:pStyle w:val="TableParagraph"/>
              <w:spacing w:before="10"/>
              <w:ind w:left="339"/>
              <w:rPr>
                <w:sz w:val="18"/>
              </w:rPr>
            </w:pPr>
            <w:r>
              <w:rPr>
                <w:sz w:val="18"/>
              </w:rPr>
              <w:t>8.  酒后驾驶</w:t>
            </w:r>
          </w:p>
        </w:tc>
      </w:tr>
      <w:tr>
        <w:trPr>
          <w:trHeight w:val="312" w:hRule="atLeast"/>
        </w:trPr>
        <w:tc>
          <w:tcPr>
            <w:tcW w:w="2623" w:type="dxa"/>
          </w:tcPr>
          <w:p>
            <w:pPr>
              <w:pStyle w:val="TableParagraph"/>
              <w:spacing w:before="10"/>
              <w:ind w:left="287"/>
              <w:rPr>
                <w:sz w:val="18"/>
              </w:rPr>
            </w:pPr>
            <w:r>
              <w:rPr>
                <w:sz w:val="18"/>
              </w:rPr>
              <w:t>2.1 等待期</w:t>
            </w:r>
          </w:p>
        </w:tc>
        <w:tc>
          <w:tcPr>
            <w:tcW w:w="3134" w:type="dxa"/>
          </w:tcPr>
          <w:p>
            <w:pPr>
              <w:pStyle w:val="TableParagraph"/>
              <w:spacing w:before="10"/>
              <w:ind w:left="173"/>
              <w:rPr>
                <w:b/>
                <w:sz w:val="18"/>
              </w:rPr>
            </w:pPr>
            <w:r>
              <w:rPr>
                <w:b/>
                <w:sz w:val="18"/>
              </w:rPr>
              <w:t>第六部分 其他重要事项</w:t>
            </w:r>
          </w:p>
        </w:tc>
        <w:tc>
          <w:tcPr>
            <w:tcW w:w="3649" w:type="dxa"/>
          </w:tcPr>
          <w:p>
            <w:pPr>
              <w:pStyle w:val="TableParagraph"/>
              <w:spacing w:before="10"/>
              <w:ind w:left="339"/>
              <w:rPr>
                <w:sz w:val="18"/>
              </w:rPr>
            </w:pPr>
            <w:r>
              <w:rPr>
                <w:sz w:val="18"/>
              </w:rPr>
              <w:t>9.  无合法有效驾驶证驾驶</w:t>
            </w:r>
          </w:p>
        </w:tc>
      </w:tr>
      <w:tr>
        <w:trPr>
          <w:trHeight w:val="311" w:hRule="atLeast"/>
        </w:trPr>
        <w:tc>
          <w:tcPr>
            <w:tcW w:w="2623" w:type="dxa"/>
          </w:tcPr>
          <w:p>
            <w:pPr>
              <w:pStyle w:val="TableParagraph"/>
              <w:spacing w:before="10"/>
              <w:ind w:left="287"/>
              <w:rPr>
                <w:sz w:val="18"/>
              </w:rPr>
            </w:pPr>
            <w:r>
              <w:rPr>
                <w:sz w:val="18"/>
              </w:rPr>
              <w:t>2.2 保险责任</w:t>
            </w:r>
          </w:p>
        </w:tc>
        <w:tc>
          <w:tcPr>
            <w:tcW w:w="3134" w:type="dxa"/>
          </w:tcPr>
          <w:p>
            <w:pPr>
              <w:pStyle w:val="TableParagraph"/>
              <w:spacing w:before="10"/>
              <w:ind w:left="353"/>
              <w:rPr>
                <w:sz w:val="18"/>
              </w:rPr>
            </w:pPr>
            <w:r>
              <w:rPr>
                <w:sz w:val="18"/>
              </w:rPr>
              <w:t>6.1 职业变更</w:t>
            </w:r>
          </w:p>
        </w:tc>
        <w:tc>
          <w:tcPr>
            <w:tcW w:w="3649" w:type="dxa"/>
          </w:tcPr>
          <w:p>
            <w:pPr>
              <w:pStyle w:val="TableParagraph"/>
              <w:spacing w:before="10"/>
              <w:ind w:left="339"/>
              <w:rPr>
                <w:sz w:val="18"/>
              </w:rPr>
            </w:pPr>
            <w:r>
              <w:rPr>
                <w:sz w:val="18"/>
              </w:rPr>
              <w:t>10. 无有效行驶证</w:t>
            </w:r>
          </w:p>
        </w:tc>
      </w:tr>
      <w:tr>
        <w:trPr>
          <w:trHeight w:val="311" w:hRule="atLeast"/>
        </w:trPr>
        <w:tc>
          <w:tcPr>
            <w:tcW w:w="2623" w:type="dxa"/>
          </w:tcPr>
          <w:p>
            <w:pPr>
              <w:pStyle w:val="TableParagraph"/>
              <w:spacing w:before="10"/>
              <w:ind w:left="287"/>
              <w:rPr>
                <w:sz w:val="18"/>
              </w:rPr>
            </w:pPr>
            <w:r>
              <w:rPr>
                <w:sz w:val="18"/>
              </w:rPr>
              <w:t>2.3 重大疾病的定义</w:t>
            </w:r>
          </w:p>
        </w:tc>
        <w:tc>
          <w:tcPr>
            <w:tcW w:w="3134" w:type="dxa"/>
          </w:tcPr>
          <w:p>
            <w:pPr>
              <w:pStyle w:val="TableParagraph"/>
              <w:spacing w:before="10"/>
              <w:ind w:left="353"/>
              <w:rPr>
                <w:sz w:val="18"/>
              </w:rPr>
            </w:pPr>
            <w:r>
              <w:rPr>
                <w:sz w:val="18"/>
              </w:rPr>
              <w:t>6.2 年龄或性别错误</w:t>
            </w:r>
          </w:p>
        </w:tc>
        <w:tc>
          <w:tcPr>
            <w:tcW w:w="3649" w:type="dxa"/>
          </w:tcPr>
          <w:p>
            <w:pPr>
              <w:pStyle w:val="TableParagraph"/>
              <w:spacing w:before="10"/>
              <w:ind w:left="339"/>
              <w:rPr>
                <w:sz w:val="18"/>
              </w:rPr>
            </w:pPr>
            <w:r>
              <w:rPr>
                <w:sz w:val="18"/>
              </w:rPr>
              <w:t>11. 遗传性疾病</w:t>
            </w:r>
          </w:p>
        </w:tc>
      </w:tr>
      <w:tr>
        <w:trPr>
          <w:trHeight w:val="312" w:hRule="atLeast"/>
        </w:trPr>
        <w:tc>
          <w:tcPr>
            <w:tcW w:w="2623" w:type="dxa"/>
          </w:tcPr>
          <w:p>
            <w:pPr>
              <w:pStyle w:val="TableParagraph"/>
              <w:spacing w:before="10"/>
              <w:ind w:left="287"/>
              <w:rPr>
                <w:sz w:val="18"/>
              </w:rPr>
            </w:pPr>
            <w:r>
              <w:rPr>
                <w:sz w:val="18"/>
              </w:rPr>
              <w:t>2.4 责任免除</w:t>
            </w:r>
          </w:p>
        </w:tc>
        <w:tc>
          <w:tcPr>
            <w:tcW w:w="3134" w:type="dxa"/>
          </w:tcPr>
          <w:p>
            <w:pPr>
              <w:pStyle w:val="TableParagraph"/>
              <w:ind w:left="0"/>
              <w:rPr>
                <w:rFonts w:ascii="Times New Roman"/>
                <w:sz w:val="18"/>
              </w:rPr>
            </w:pPr>
          </w:p>
        </w:tc>
        <w:tc>
          <w:tcPr>
            <w:tcW w:w="3649" w:type="dxa"/>
          </w:tcPr>
          <w:p>
            <w:pPr>
              <w:pStyle w:val="TableParagraph"/>
              <w:spacing w:before="10"/>
              <w:ind w:left="339"/>
              <w:rPr>
                <w:sz w:val="18"/>
              </w:rPr>
            </w:pPr>
            <w:r>
              <w:rPr>
                <w:sz w:val="18"/>
              </w:rPr>
              <w:t>12. 先天性畸形、变形或染色体异常</w:t>
            </w:r>
          </w:p>
        </w:tc>
      </w:tr>
      <w:tr>
        <w:trPr>
          <w:trHeight w:val="312" w:hRule="atLeast"/>
        </w:trPr>
        <w:tc>
          <w:tcPr>
            <w:tcW w:w="2623" w:type="dxa"/>
          </w:tcPr>
          <w:p>
            <w:pPr>
              <w:pStyle w:val="TableParagraph"/>
              <w:spacing w:before="10"/>
              <w:ind w:left="287"/>
              <w:rPr>
                <w:sz w:val="18"/>
              </w:rPr>
            </w:pPr>
            <w:r>
              <w:rPr>
                <w:sz w:val="18"/>
              </w:rPr>
              <w:t>2.5 保证续保</w:t>
            </w:r>
          </w:p>
        </w:tc>
        <w:tc>
          <w:tcPr>
            <w:tcW w:w="3134" w:type="dxa"/>
          </w:tcPr>
          <w:p>
            <w:pPr>
              <w:pStyle w:val="TableParagraph"/>
              <w:spacing w:before="10"/>
              <w:ind w:left="173"/>
              <w:rPr>
                <w:b/>
                <w:sz w:val="18"/>
              </w:rPr>
            </w:pPr>
            <w:r>
              <w:rPr>
                <w:b/>
                <w:sz w:val="18"/>
              </w:rPr>
              <w:t>附录一 本合同承保的重大疾病分组</w:t>
            </w:r>
          </w:p>
        </w:tc>
        <w:tc>
          <w:tcPr>
            <w:tcW w:w="3649" w:type="dxa"/>
          </w:tcPr>
          <w:p>
            <w:pPr>
              <w:pStyle w:val="TableParagraph"/>
              <w:spacing w:before="10"/>
              <w:ind w:left="339"/>
              <w:rPr>
                <w:sz w:val="18"/>
              </w:rPr>
            </w:pPr>
            <w:r>
              <w:rPr>
                <w:sz w:val="18"/>
              </w:rPr>
              <w:t>13. 未经过净保险费</w:t>
            </w:r>
          </w:p>
        </w:tc>
      </w:tr>
      <w:tr>
        <w:trPr>
          <w:trHeight w:val="311" w:hRule="atLeast"/>
        </w:trPr>
        <w:tc>
          <w:tcPr>
            <w:tcW w:w="2623" w:type="dxa"/>
          </w:tcPr>
          <w:p>
            <w:pPr>
              <w:pStyle w:val="TableParagraph"/>
              <w:ind w:left="0"/>
              <w:rPr>
                <w:rFonts w:ascii="Times New Roman"/>
                <w:sz w:val="18"/>
              </w:rPr>
            </w:pPr>
          </w:p>
        </w:tc>
        <w:tc>
          <w:tcPr>
            <w:tcW w:w="3134" w:type="dxa"/>
          </w:tcPr>
          <w:p>
            <w:pPr>
              <w:pStyle w:val="TableParagraph"/>
              <w:spacing w:before="10"/>
              <w:ind w:left="173"/>
              <w:rPr>
                <w:b/>
                <w:sz w:val="18"/>
              </w:rPr>
            </w:pPr>
            <w:r>
              <w:rPr>
                <w:b/>
                <w:sz w:val="18"/>
              </w:rPr>
              <w:t>附录二 本合同承保的重大疾病定义</w:t>
            </w:r>
          </w:p>
        </w:tc>
        <w:tc>
          <w:tcPr>
            <w:tcW w:w="3649" w:type="dxa"/>
          </w:tcPr>
          <w:p>
            <w:pPr>
              <w:pStyle w:val="TableParagraph"/>
              <w:spacing w:before="10"/>
              <w:ind w:left="339"/>
              <w:rPr>
                <w:sz w:val="18"/>
              </w:rPr>
            </w:pPr>
            <w:r>
              <w:rPr>
                <w:sz w:val="18"/>
              </w:rPr>
              <w:t>14. 肢体机能完全丧失</w:t>
            </w:r>
          </w:p>
        </w:tc>
      </w:tr>
      <w:tr>
        <w:trPr>
          <w:trHeight w:val="312" w:hRule="atLeast"/>
        </w:trPr>
        <w:tc>
          <w:tcPr>
            <w:tcW w:w="2623" w:type="dxa"/>
          </w:tcPr>
          <w:p>
            <w:pPr>
              <w:pStyle w:val="TableParagraph"/>
              <w:spacing w:before="10"/>
              <w:rPr>
                <w:b/>
                <w:sz w:val="18"/>
              </w:rPr>
            </w:pPr>
            <w:r>
              <w:rPr>
                <w:b/>
                <w:sz w:val="18"/>
              </w:rPr>
              <w:t>第三部分 如何支付保险费</w:t>
            </w:r>
          </w:p>
        </w:tc>
        <w:tc>
          <w:tcPr>
            <w:tcW w:w="3134" w:type="dxa"/>
          </w:tcPr>
          <w:p>
            <w:pPr>
              <w:pStyle w:val="TableParagraph"/>
              <w:ind w:left="0"/>
              <w:rPr>
                <w:rFonts w:ascii="Times New Roman"/>
                <w:sz w:val="18"/>
              </w:rPr>
            </w:pPr>
          </w:p>
        </w:tc>
        <w:tc>
          <w:tcPr>
            <w:tcW w:w="3649" w:type="dxa"/>
          </w:tcPr>
          <w:p>
            <w:pPr>
              <w:pStyle w:val="TableParagraph"/>
              <w:spacing w:before="10"/>
              <w:ind w:left="339"/>
              <w:rPr>
                <w:sz w:val="18"/>
              </w:rPr>
            </w:pPr>
            <w:r>
              <w:rPr>
                <w:sz w:val="18"/>
              </w:rPr>
              <w:t>15. 语言能力或咀嚼吞咽能力完全丧失</w:t>
            </w:r>
          </w:p>
        </w:tc>
      </w:tr>
      <w:tr>
        <w:trPr>
          <w:trHeight w:val="312" w:hRule="atLeast"/>
        </w:trPr>
        <w:tc>
          <w:tcPr>
            <w:tcW w:w="2623" w:type="dxa"/>
          </w:tcPr>
          <w:p>
            <w:pPr>
              <w:pStyle w:val="TableParagraph"/>
              <w:spacing w:before="10"/>
              <w:ind w:left="287"/>
              <w:rPr>
                <w:sz w:val="18"/>
              </w:rPr>
            </w:pPr>
            <w:r>
              <w:rPr>
                <w:sz w:val="18"/>
              </w:rPr>
              <w:t>3.1 保险费的支付及宽限期</w:t>
            </w:r>
          </w:p>
        </w:tc>
        <w:tc>
          <w:tcPr>
            <w:tcW w:w="3134" w:type="dxa"/>
          </w:tcPr>
          <w:p>
            <w:pPr>
              <w:pStyle w:val="TableParagraph"/>
              <w:ind w:left="0"/>
              <w:rPr>
                <w:rFonts w:ascii="Times New Roman"/>
                <w:sz w:val="18"/>
              </w:rPr>
            </w:pPr>
          </w:p>
        </w:tc>
        <w:tc>
          <w:tcPr>
            <w:tcW w:w="3649" w:type="dxa"/>
          </w:tcPr>
          <w:p>
            <w:pPr>
              <w:pStyle w:val="TableParagraph"/>
              <w:spacing w:before="10"/>
              <w:ind w:left="339"/>
              <w:rPr>
                <w:sz w:val="18"/>
              </w:rPr>
            </w:pPr>
            <w:r>
              <w:rPr>
                <w:sz w:val="18"/>
              </w:rPr>
              <w:t>16. 六项基本日常生活活动</w:t>
            </w:r>
          </w:p>
        </w:tc>
      </w:tr>
      <w:tr>
        <w:trPr>
          <w:trHeight w:val="245" w:hRule="atLeast"/>
        </w:trPr>
        <w:tc>
          <w:tcPr>
            <w:tcW w:w="2623" w:type="dxa"/>
          </w:tcPr>
          <w:p>
            <w:pPr>
              <w:pStyle w:val="TableParagraph"/>
              <w:ind w:left="0"/>
              <w:rPr>
                <w:rFonts w:ascii="Times New Roman"/>
                <w:sz w:val="16"/>
              </w:rPr>
            </w:pPr>
          </w:p>
        </w:tc>
        <w:tc>
          <w:tcPr>
            <w:tcW w:w="3134" w:type="dxa"/>
          </w:tcPr>
          <w:p>
            <w:pPr>
              <w:pStyle w:val="TableParagraph"/>
              <w:ind w:left="0"/>
              <w:rPr>
                <w:rFonts w:ascii="Times New Roman"/>
                <w:sz w:val="16"/>
              </w:rPr>
            </w:pPr>
          </w:p>
        </w:tc>
        <w:tc>
          <w:tcPr>
            <w:tcW w:w="3649" w:type="dxa"/>
          </w:tcPr>
          <w:p>
            <w:pPr>
              <w:pStyle w:val="TableParagraph"/>
              <w:spacing w:line="216" w:lineRule="exact" w:before="10"/>
              <w:ind w:left="339"/>
              <w:rPr>
                <w:sz w:val="18"/>
              </w:rPr>
            </w:pPr>
            <w:r>
              <w:rPr>
                <w:sz w:val="18"/>
              </w:rPr>
              <w:t>17. 永久不可逆</w:t>
            </w:r>
          </w:p>
        </w:tc>
      </w:tr>
    </w:tbl>
    <w:p>
      <w:pPr>
        <w:spacing w:after="0" w:line="216" w:lineRule="exact"/>
        <w:rPr>
          <w:sz w:val="18"/>
        </w:rPr>
        <w:sectPr>
          <w:type w:val="continuous"/>
          <w:pgSz w:w="11910" w:h="16840"/>
          <w:pgMar w:top="480" w:bottom="1020" w:left="860" w:right="280"/>
        </w:sectPr>
      </w:pPr>
    </w:p>
    <w:p>
      <w:pPr>
        <w:spacing w:line="474" w:lineRule="exact" w:before="0"/>
        <w:ind w:left="3162" w:right="0" w:firstLine="0"/>
        <w:jc w:val="left"/>
        <w:rPr>
          <w:sz w:val="40"/>
        </w:rPr>
      </w:pPr>
      <w:r>
        <w:rPr>
          <w:sz w:val="40"/>
        </w:rPr>
        <w:t>中德安联人寿保险有限公司</w:t>
      </w:r>
    </w:p>
    <w:p>
      <w:pPr>
        <w:pStyle w:val="BodyText"/>
        <w:spacing w:before="12"/>
        <w:rPr>
          <w:sz w:val="38"/>
        </w:rPr>
      </w:pPr>
    </w:p>
    <w:p>
      <w:pPr>
        <w:pStyle w:val="Heading1"/>
        <w:ind w:left="3237"/>
      </w:pPr>
      <w:r>
        <w:rPr>
          <w:w w:val="95"/>
        </w:rPr>
        <w:t>安联附加超级随心重大疾病保险条款</w:t>
      </w:r>
    </w:p>
    <w:p>
      <w:pPr>
        <w:pStyle w:val="BodyText"/>
        <w:spacing w:before="4"/>
        <w:rPr>
          <w:b/>
          <w:sz w:val="36"/>
        </w:rPr>
      </w:pPr>
    </w:p>
    <w:p>
      <w:pPr>
        <w:pStyle w:val="Heading3"/>
        <w:spacing w:before="0"/>
      </w:pPr>
      <w:r>
        <w:rPr>
          <w:w w:val="95"/>
          <w:u w:val="single"/>
        </w:rPr>
        <w:t>请您务必仔细阅读本条款，并特别关注加粗字体部分。</w:t>
      </w:r>
    </w:p>
    <w:p>
      <w:pPr>
        <w:spacing w:before="49"/>
        <w:ind w:left="284" w:right="0" w:firstLine="0"/>
        <w:jc w:val="left"/>
        <w:rPr>
          <w:b/>
          <w:sz w:val="20"/>
        </w:rPr>
      </w:pPr>
      <w:r>
        <w:rPr>
          <w:b/>
          <w:w w:val="95"/>
          <w:sz w:val="20"/>
        </w:rPr>
        <w:t>在本条款中，“您”指投保人，“我们”指中德安联人寿保险有限公司。</w:t>
      </w:r>
    </w:p>
    <w:p>
      <w:pPr>
        <w:spacing w:before="49"/>
        <w:ind w:left="284" w:right="0" w:firstLine="0"/>
        <w:jc w:val="left"/>
        <w:rPr>
          <w:b/>
          <w:sz w:val="20"/>
        </w:rPr>
      </w:pPr>
      <w:r>
        <w:rPr>
          <w:b/>
          <w:w w:val="95"/>
          <w:sz w:val="20"/>
        </w:rPr>
        <w:t>本条款中带有右上标标注的用词具有特定含义，您可参阅本条款尾部的“释义”获取相关解释。</w:t>
      </w:r>
    </w:p>
    <w:p>
      <w:pPr>
        <w:pStyle w:val="BodyText"/>
        <w:rPr>
          <w:b/>
        </w:rPr>
      </w:pPr>
    </w:p>
    <w:p>
      <w:pPr>
        <w:pStyle w:val="BodyText"/>
        <w:spacing w:before="5"/>
        <w:rPr>
          <w:b/>
          <w:sz w:val="12"/>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9"/>
        <w:gridCol w:w="2091"/>
        <w:gridCol w:w="7730"/>
      </w:tblGrid>
      <w:tr>
        <w:trPr>
          <w:trHeight w:val="257" w:hRule="atLeast"/>
        </w:trPr>
        <w:tc>
          <w:tcPr>
            <w:tcW w:w="10440" w:type="dxa"/>
            <w:gridSpan w:val="3"/>
            <w:tcBorders>
              <w:bottom w:val="single" w:sz="4" w:space="0" w:color="000000"/>
            </w:tcBorders>
          </w:tcPr>
          <w:p>
            <w:pPr>
              <w:pStyle w:val="TableParagraph"/>
              <w:tabs>
                <w:tab w:pos="1469" w:val="left" w:leader="none"/>
              </w:tabs>
              <w:spacing w:line="199" w:lineRule="exact"/>
              <w:ind w:left="287"/>
              <w:rPr>
                <w:b/>
                <w:sz w:val="20"/>
              </w:rPr>
            </w:pPr>
            <w:r>
              <w:rPr>
                <w:b/>
                <w:sz w:val="20"/>
              </w:rPr>
              <w:t>第一部分</w:t>
              <w:tab/>
            </w:r>
            <w:r>
              <w:rPr>
                <w:b/>
                <w:w w:val="95"/>
                <w:sz w:val="20"/>
              </w:rPr>
              <w:t>您与我们的合同</w:t>
            </w:r>
          </w:p>
        </w:tc>
      </w:tr>
      <w:tr>
        <w:trPr>
          <w:trHeight w:val="1870" w:hRule="atLeast"/>
        </w:trPr>
        <w:tc>
          <w:tcPr>
            <w:tcW w:w="619" w:type="dxa"/>
            <w:tcBorders>
              <w:top w:val="single" w:sz="4" w:space="0" w:color="000000"/>
            </w:tcBorders>
          </w:tcPr>
          <w:p>
            <w:pPr>
              <w:pStyle w:val="TableParagraph"/>
              <w:spacing w:before="148"/>
              <w:rPr>
                <w:b/>
                <w:sz w:val="20"/>
              </w:rPr>
            </w:pPr>
            <w:r>
              <w:rPr>
                <w:b/>
                <w:sz w:val="20"/>
              </w:rPr>
              <w:t>1.1</w:t>
            </w:r>
          </w:p>
        </w:tc>
        <w:tc>
          <w:tcPr>
            <w:tcW w:w="2091" w:type="dxa"/>
            <w:tcBorders>
              <w:top w:val="single" w:sz="4" w:space="0" w:color="000000"/>
            </w:tcBorders>
          </w:tcPr>
          <w:p>
            <w:pPr>
              <w:pStyle w:val="TableParagraph"/>
              <w:spacing w:before="148"/>
              <w:ind w:left="209"/>
              <w:rPr>
                <w:b/>
                <w:sz w:val="20"/>
              </w:rPr>
            </w:pPr>
            <w:r>
              <w:rPr>
                <w:b/>
                <w:w w:val="95"/>
                <w:sz w:val="20"/>
              </w:rPr>
              <w:t>附加合同的构成</w:t>
            </w:r>
          </w:p>
        </w:tc>
        <w:tc>
          <w:tcPr>
            <w:tcW w:w="7730" w:type="dxa"/>
            <w:tcBorders>
              <w:top w:val="single" w:sz="4" w:space="0" w:color="000000"/>
            </w:tcBorders>
          </w:tcPr>
          <w:p>
            <w:pPr>
              <w:pStyle w:val="TableParagraph"/>
              <w:spacing w:line="285" w:lineRule="auto" w:before="148"/>
              <w:ind w:left="98" w:right="33"/>
              <w:rPr>
                <w:sz w:val="20"/>
              </w:rPr>
            </w:pPr>
            <w:r>
              <w:rPr>
                <w:spacing w:val="-5"/>
                <w:sz w:val="20"/>
              </w:rPr>
              <w:t>本《安联附加超级随心重大疾病保险》附加合同</w:t>
            </w:r>
            <w:r>
              <w:rPr>
                <w:sz w:val="20"/>
              </w:rPr>
              <w:t>（</w:t>
            </w:r>
            <w:r>
              <w:rPr>
                <w:spacing w:val="-4"/>
                <w:sz w:val="20"/>
              </w:rPr>
              <w:t>以下简称“本附加合同”</w:t>
            </w:r>
            <w:r>
              <w:rPr>
                <w:spacing w:val="-12"/>
                <w:sz w:val="20"/>
              </w:rPr>
              <w:t>）</w:t>
            </w:r>
            <w:r>
              <w:rPr>
                <w:sz w:val="20"/>
              </w:rPr>
              <w:t>由本附加</w:t>
            </w:r>
            <w:r>
              <w:rPr>
                <w:w w:val="95"/>
                <w:sz w:val="20"/>
              </w:rPr>
              <w:t>合同条款、保险单或其他保险凭证、投保单或其他投保文件、合法有效的声明、批注、  附贴批单及其他书面协议构成。</w:t>
            </w:r>
          </w:p>
          <w:p>
            <w:pPr>
              <w:pStyle w:val="TableParagraph"/>
              <w:spacing w:line="285" w:lineRule="auto" w:before="12"/>
              <w:ind w:left="98" w:right="115"/>
              <w:rPr>
                <w:b/>
                <w:sz w:val="20"/>
              </w:rPr>
            </w:pPr>
            <w:r>
              <w:rPr>
                <w:b/>
                <w:sz w:val="20"/>
              </w:rPr>
              <w:t>本附加合同若未在主合同的保险单或批注中加以记载，则不产生效力；未经您书面申</w:t>
            </w:r>
            <w:r>
              <w:rPr>
                <w:b/>
                <w:w w:val="95"/>
                <w:sz w:val="20"/>
              </w:rPr>
              <w:t>请并经我们在保险单上批注，本附加合同内容的变更也不产生效力。</w:t>
            </w:r>
          </w:p>
        </w:tc>
      </w:tr>
      <w:tr>
        <w:trPr>
          <w:trHeight w:val="1863" w:hRule="atLeast"/>
        </w:trPr>
        <w:tc>
          <w:tcPr>
            <w:tcW w:w="619" w:type="dxa"/>
          </w:tcPr>
          <w:p>
            <w:pPr>
              <w:pStyle w:val="TableParagraph"/>
              <w:spacing w:before="150"/>
              <w:rPr>
                <w:b/>
                <w:sz w:val="20"/>
              </w:rPr>
            </w:pPr>
            <w:r>
              <w:rPr>
                <w:b/>
                <w:sz w:val="20"/>
              </w:rPr>
              <w:t>1.2</w:t>
            </w:r>
          </w:p>
        </w:tc>
        <w:tc>
          <w:tcPr>
            <w:tcW w:w="2091" w:type="dxa"/>
          </w:tcPr>
          <w:p>
            <w:pPr>
              <w:pStyle w:val="TableParagraph"/>
              <w:spacing w:line="285" w:lineRule="auto" w:before="150"/>
              <w:ind w:left="209" w:right="95"/>
              <w:rPr>
                <w:b/>
                <w:sz w:val="20"/>
              </w:rPr>
            </w:pPr>
            <w:r>
              <w:rPr>
                <w:b/>
                <w:w w:val="95"/>
                <w:sz w:val="20"/>
              </w:rPr>
              <w:t>附加合同成立与生</w:t>
            </w:r>
            <w:r>
              <w:rPr>
                <w:b/>
                <w:sz w:val="20"/>
              </w:rPr>
              <w:t>效</w:t>
            </w:r>
          </w:p>
        </w:tc>
        <w:tc>
          <w:tcPr>
            <w:tcW w:w="7730" w:type="dxa"/>
          </w:tcPr>
          <w:p>
            <w:pPr>
              <w:pStyle w:val="TableParagraph"/>
              <w:spacing w:before="150"/>
              <w:ind w:left="98"/>
              <w:rPr>
                <w:sz w:val="20"/>
              </w:rPr>
            </w:pPr>
            <w:r>
              <w:rPr>
                <w:w w:val="95"/>
                <w:sz w:val="20"/>
              </w:rPr>
              <w:t>本附加合同由主合同投保人申请，我们同意承保，本附加合同成立。</w:t>
            </w:r>
          </w:p>
          <w:p>
            <w:pPr>
              <w:pStyle w:val="TableParagraph"/>
              <w:spacing w:line="285" w:lineRule="auto" w:before="50"/>
              <w:ind w:left="98" w:right="108"/>
              <w:jc w:val="both"/>
              <w:rPr>
                <w:sz w:val="20"/>
              </w:rPr>
            </w:pPr>
            <w:r>
              <w:rPr>
                <w:spacing w:val="-5"/>
                <w:w w:val="95"/>
                <w:sz w:val="20"/>
              </w:rPr>
              <w:t>本附加合同须附加于主合同方可生效。本附加合同附属于主合同，主合同的相关条款也   </w:t>
            </w:r>
            <w:r>
              <w:rPr>
                <w:spacing w:val="-10"/>
                <w:w w:val="95"/>
                <w:sz w:val="20"/>
              </w:rPr>
              <w:t>适用于本附加合同；若主合同与本附加合同的条款互有冲突，则以本附加合同为准。主   合同终止，本附加合同同时终止。</w:t>
            </w:r>
          </w:p>
          <w:p>
            <w:pPr>
              <w:pStyle w:val="TableParagraph"/>
              <w:spacing w:before="12"/>
              <w:ind w:left="98"/>
              <w:jc w:val="both"/>
              <w:rPr>
                <w:sz w:val="20"/>
              </w:rPr>
            </w:pPr>
            <w:r>
              <w:rPr>
                <w:w w:val="95"/>
                <w:sz w:val="20"/>
              </w:rPr>
              <w:t>本附加合同生效日在保险单上载明。</w:t>
            </w:r>
          </w:p>
        </w:tc>
      </w:tr>
      <w:tr>
        <w:trPr>
          <w:trHeight w:val="944" w:hRule="atLeast"/>
        </w:trPr>
        <w:tc>
          <w:tcPr>
            <w:tcW w:w="619" w:type="dxa"/>
          </w:tcPr>
          <w:p>
            <w:pPr>
              <w:pStyle w:val="TableParagraph"/>
              <w:spacing w:before="158"/>
              <w:rPr>
                <w:b/>
                <w:sz w:val="20"/>
              </w:rPr>
            </w:pPr>
            <w:r>
              <w:rPr>
                <w:b/>
                <w:sz w:val="20"/>
              </w:rPr>
              <w:t>1.3</w:t>
            </w:r>
          </w:p>
        </w:tc>
        <w:tc>
          <w:tcPr>
            <w:tcW w:w="2091" w:type="dxa"/>
          </w:tcPr>
          <w:p>
            <w:pPr>
              <w:pStyle w:val="TableParagraph"/>
              <w:spacing w:before="158"/>
              <w:ind w:left="209"/>
              <w:rPr>
                <w:b/>
                <w:sz w:val="20"/>
              </w:rPr>
            </w:pPr>
            <w:r>
              <w:rPr>
                <w:b/>
                <w:sz w:val="20"/>
              </w:rPr>
              <w:t>投保范围</w:t>
            </w:r>
          </w:p>
        </w:tc>
        <w:tc>
          <w:tcPr>
            <w:tcW w:w="7730" w:type="dxa"/>
          </w:tcPr>
          <w:p>
            <w:pPr>
              <w:pStyle w:val="TableParagraph"/>
              <w:spacing w:line="285" w:lineRule="auto" w:before="158"/>
              <w:ind w:left="98" w:right="51"/>
              <w:rPr>
                <w:sz w:val="20"/>
              </w:rPr>
            </w:pPr>
            <w:r>
              <w:rPr>
                <w:w w:val="95"/>
                <w:sz w:val="20"/>
              </w:rPr>
              <w:t>投保时年龄在出生后满七天至六十五</w:t>
            </w:r>
            <w:r>
              <w:rPr>
                <w:b/>
                <w:w w:val="95"/>
                <w:sz w:val="20"/>
              </w:rPr>
              <w:t>周岁</w:t>
            </w:r>
            <w:r>
              <w:rPr>
                <w:b/>
                <w:w w:val="95"/>
                <w:position w:val="10"/>
                <w:sz w:val="10"/>
              </w:rPr>
              <w:t>[1]</w:t>
            </w:r>
            <w:r>
              <w:rPr>
                <w:w w:val="95"/>
                <w:sz w:val="20"/>
              </w:rPr>
              <w:t>（含六十五周岁）之间者，可作为本附加合  同的被保险人。</w:t>
            </w:r>
          </w:p>
        </w:tc>
      </w:tr>
      <w:tr>
        <w:trPr>
          <w:trHeight w:val="1247" w:hRule="atLeast"/>
        </w:trPr>
        <w:tc>
          <w:tcPr>
            <w:tcW w:w="619" w:type="dxa"/>
          </w:tcPr>
          <w:p>
            <w:pPr>
              <w:pStyle w:val="TableParagraph"/>
              <w:spacing w:before="150"/>
              <w:rPr>
                <w:b/>
                <w:sz w:val="20"/>
              </w:rPr>
            </w:pPr>
            <w:r>
              <w:rPr>
                <w:b/>
                <w:sz w:val="20"/>
              </w:rPr>
              <w:t>1.4</w:t>
            </w:r>
          </w:p>
        </w:tc>
        <w:tc>
          <w:tcPr>
            <w:tcW w:w="2091" w:type="dxa"/>
          </w:tcPr>
          <w:p>
            <w:pPr>
              <w:pStyle w:val="TableParagraph"/>
              <w:spacing w:before="150"/>
              <w:ind w:left="209"/>
              <w:rPr>
                <w:b/>
                <w:sz w:val="20"/>
              </w:rPr>
            </w:pPr>
            <w:r>
              <w:rPr>
                <w:b/>
                <w:sz w:val="20"/>
              </w:rPr>
              <w:t>保险期间</w:t>
            </w:r>
          </w:p>
        </w:tc>
        <w:tc>
          <w:tcPr>
            <w:tcW w:w="7730" w:type="dxa"/>
          </w:tcPr>
          <w:p>
            <w:pPr>
              <w:pStyle w:val="TableParagraph"/>
              <w:spacing w:line="285" w:lineRule="auto" w:before="150"/>
              <w:ind w:left="98" w:right="106"/>
              <w:rPr>
                <w:sz w:val="20"/>
              </w:rPr>
            </w:pPr>
            <w:r>
              <w:rPr>
                <w:sz w:val="20"/>
              </w:rPr>
              <w:t>我们在同意承保并收取首期保险费后，自本附加合同生效日的零时起承担保险责任。</w:t>
            </w:r>
            <w:r>
              <w:rPr>
                <w:spacing w:val="-5"/>
                <w:w w:val="95"/>
                <w:sz w:val="20"/>
              </w:rPr>
              <w:t>本附加合同的保险期间于保险单中载明，保险期间为一年，自保单生效日的零时起至</w:t>
            </w:r>
            <w:r>
              <w:rPr>
                <w:b/>
                <w:w w:val="95"/>
                <w:sz w:val="20"/>
              </w:rPr>
              <w:t>满  期日</w:t>
            </w:r>
            <w:r>
              <w:rPr>
                <w:b/>
                <w:w w:val="95"/>
                <w:position w:val="10"/>
                <w:sz w:val="10"/>
              </w:rPr>
              <w:t>[2]</w:t>
            </w:r>
            <w:r>
              <w:rPr>
                <w:w w:val="95"/>
                <w:sz w:val="20"/>
              </w:rPr>
              <w:t>二十四时止。</w:t>
            </w:r>
          </w:p>
        </w:tc>
      </w:tr>
      <w:tr>
        <w:trPr>
          <w:trHeight w:val="2184" w:hRule="atLeast"/>
        </w:trPr>
        <w:tc>
          <w:tcPr>
            <w:tcW w:w="619" w:type="dxa"/>
          </w:tcPr>
          <w:p>
            <w:pPr>
              <w:pStyle w:val="TableParagraph"/>
              <w:spacing w:before="150"/>
              <w:rPr>
                <w:b/>
                <w:sz w:val="20"/>
              </w:rPr>
            </w:pPr>
            <w:r>
              <w:rPr>
                <w:b/>
                <w:sz w:val="20"/>
              </w:rPr>
              <w:t>1.5</w:t>
            </w:r>
          </w:p>
        </w:tc>
        <w:tc>
          <w:tcPr>
            <w:tcW w:w="2091" w:type="dxa"/>
          </w:tcPr>
          <w:p>
            <w:pPr>
              <w:pStyle w:val="TableParagraph"/>
              <w:spacing w:before="150"/>
              <w:ind w:left="209"/>
              <w:rPr>
                <w:b/>
                <w:sz w:val="20"/>
              </w:rPr>
            </w:pPr>
            <w:r>
              <w:rPr>
                <w:b/>
                <w:sz w:val="20"/>
              </w:rPr>
              <w:t>犹豫期</w:t>
            </w:r>
          </w:p>
        </w:tc>
        <w:tc>
          <w:tcPr>
            <w:tcW w:w="7730" w:type="dxa"/>
          </w:tcPr>
          <w:p>
            <w:pPr>
              <w:pStyle w:val="TableParagraph"/>
              <w:spacing w:line="285" w:lineRule="auto" w:before="150"/>
              <w:ind w:left="98" w:right="106"/>
              <w:jc w:val="both"/>
              <w:rPr>
                <w:b/>
                <w:sz w:val="20"/>
              </w:rPr>
            </w:pPr>
            <w:r>
              <w:rPr>
                <w:b/>
                <w:sz w:val="20"/>
              </w:rPr>
              <w:t>为保护您的权利，请在保险合同送达或寄达于您时书面签收。自您签收本附加合同次日起，有十天的犹豫期。在此期间请您务必认真审视本附加合同，若您在此期间提出</w:t>
            </w:r>
            <w:r>
              <w:rPr>
                <w:b/>
                <w:w w:val="95"/>
                <w:sz w:val="20"/>
              </w:rPr>
              <w:t>撤销本附加合同，须填写合同终止申请书，并提供本附加合同及您本人的有效身份证  </w:t>
            </w:r>
            <w:r>
              <w:rPr>
                <w:b/>
                <w:sz w:val="20"/>
              </w:rPr>
              <w:t>件。自收到合同终止申请书之日起三十日内我们会向您无息全额退还本附加合同的全部已交保险费。自您书面申请撤销合同之日起，本附加合同即被解除，我们自始不承</w:t>
            </w:r>
            <w:r>
              <w:rPr>
                <w:b/>
                <w:w w:val="95"/>
                <w:sz w:val="20"/>
              </w:rPr>
              <w:t>担本附加合同的保险责任。</w:t>
            </w:r>
          </w:p>
        </w:tc>
      </w:tr>
      <w:tr>
        <w:trPr>
          <w:trHeight w:val="1971" w:hRule="atLeast"/>
        </w:trPr>
        <w:tc>
          <w:tcPr>
            <w:tcW w:w="619" w:type="dxa"/>
          </w:tcPr>
          <w:p>
            <w:pPr>
              <w:pStyle w:val="TableParagraph"/>
              <w:spacing w:before="150"/>
              <w:rPr>
                <w:b/>
                <w:sz w:val="20"/>
              </w:rPr>
            </w:pPr>
            <w:r>
              <w:rPr>
                <w:b/>
                <w:sz w:val="20"/>
              </w:rPr>
              <w:t>1.6</w:t>
            </w:r>
          </w:p>
        </w:tc>
        <w:tc>
          <w:tcPr>
            <w:tcW w:w="2091" w:type="dxa"/>
          </w:tcPr>
          <w:p>
            <w:pPr>
              <w:pStyle w:val="TableParagraph"/>
              <w:spacing w:before="150"/>
              <w:ind w:left="209"/>
              <w:rPr>
                <w:b/>
                <w:sz w:val="20"/>
              </w:rPr>
            </w:pPr>
            <w:r>
              <w:rPr>
                <w:b/>
                <w:w w:val="95"/>
                <w:sz w:val="20"/>
              </w:rPr>
              <w:t>附加合同终止</w:t>
            </w:r>
          </w:p>
        </w:tc>
        <w:tc>
          <w:tcPr>
            <w:tcW w:w="7730" w:type="dxa"/>
          </w:tcPr>
          <w:p>
            <w:pPr>
              <w:pStyle w:val="TableParagraph"/>
              <w:spacing w:before="150"/>
              <w:ind w:left="98"/>
              <w:rPr>
                <w:sz w:val="20"/>
              </w:rPr>
            </w:pPr>
            <w:r>
              <w:rPr>
                <w:w w:val="95"/>
                <w:sz w:val="20"/>
              </w:rPr>
              <w:t>若发生下列情形之一的，本附加合同终止：</w:t>
            </w:r>
          </w:p>
          <w:p>
            <w:pPr>
              <w:pStyle w:val="TableParagraph"/>
              <w:numPr>
                <w:ilvl w:val="0"/>
                <w:numId w:val="2"/>
              </w:numPr>
              <w:tabs>
                <w:tab w:pos="519" w:val="left" w:leader="none"/>
              </w:tabs>
              <w:spacing w:line="240" w:lineRule="auto" w:before="50" w:after="0"/>
              <w:ind w:left="519" w:right="0" w:hanging="421"/>
              <w:jc w:val="left"/>
              <w:rPr>
                <w:sz w:val="20"/>
              </w:rPr>
            </w:pPr>
            <w:r>
              <w:rPr>
                <w:w w:val="95"/>
                <w:sz w:val="20"/>
              </w:rPr>
              <w:t>您在本附加合同保险期间内向我们申请撤销或解除本附加合同；</w:t>
            </w:r>
          </w:p>
          <w:p>
            <w:pPr>
              <w:pStyle w:val="TableParagraph"/>
              <w:numPr>
                <w:ilvl w:val="0"/>
                <w:numId w:val="2"/>
              </w:numPr>
              <w:tabs>
                <w:tab w:pos="519" w:val="left" w:leader="none"/>
              </w:tabs>
              <w:spacing w:line="240" w:lineRule="auto" w:before="50" w:after="0"/>
              <w:ind w:left="519" w:right="0" w:hanging="421"/>
              <w:jc w:val="left"/>
              <w:rPr>
                <w:sz w:val="20"/>
              </w:rPr>
            </w:pPr>
            <w:r>
              <w:rPr>
                <w:w w:val="95"/>
                <w:sz w:val="20"/>
              </w:rPr>
              <w:t>被保险人于本附加合同保险期间内身故的；</w:t>
            </w:r>
          </w:p>
          <w:p>
            <w:pPr>
              <w:pStyle w:val="TableParagraph"/>
              <w:numPr>
                <w:ilvl w:val="0"/>
                <w:numId w:val="2"/>
              </w:numPr>
              <w:tabs>
                <w:tab w:pos="519" w:val="left" w:leader="none"/>
              </w:tabs>
              <w:spacing w:line="240" w:lineRule="auto" w:before="50" w:after="0"/>
              <w:ind w:left="519" w:right="0" w:hanging="421"/>
              <w:jc w:val="left"/>
              <w:rPr>
                <w:sz w:val="20"/>
              </w:rPr>
            </w:pPr>
            <w:r>
              <w:rPr>
                <w:w w:val="95"/>
                <w:sz w:val="20"/>
              </w:rPr>
              <w:t>续保时被保险人年龄超过八十周岁；</w:t>
            </w:r>
          </w:p>
          <w:p>
            <w:pPr>
              <w:pStyle w:val="TableParagraph"/>
              <w:numPr>
                <w:ilvl w:val="0"/>
                <w:numId w:val="2"/>
              </w:numPr>
              <w:tabs>
                <w:tab w:pos="519" w:val="left" w:leader="none"/>
              </w:tabs>
              <w:spacing w:line="240" w:lineRule="auto" w:before="50" w:after="0"/>
              <w:ind w:left="519" w:right="0" w:hanging="421"/>
              <w:jc w:val="left"/>
              <w:rPr>
                <w:sz w:val="20"/>
              </w:rPr>
            </w:pPr>
            <w:r>
              <w:rPr>
                <w:w w:val="95"/>
                <w:sz w:val="20"/>
              </w:rPr>
              <w:t>因主合同约定或法律法规规定的其他情况导致本附加合同终止的；</w:t>
            </w:r>
          </w:p>
          <w:p>
            <w:pPr>
              <w:pStyle w:val="TableParagraph"/>
              <w:numPr>
                <w:ilvl w:val="0"/>
                <w:numId w:val="2"/>
              </w:numPr>
              <w:tabs>
                <w:tab w:pos="519" w:val="left" w:leader="none"/>
              </w:tabs>
              <w:spacing w:line="242" w:lineRule="exact" w:before="50" w:after="0"/>
              <w:ind w:left="519" w:right="0" w:hanging="421"/>
              <w:jc w:val="left"/>
              <w:rPr>
                <w:sz w:val="20"/>
              </w:rPr>
            </w:pPr>
            <w:r>
              <w:rPr>
                <w:w w:val="95"/>
                <w:sz w:val="20"/>
              </w:rPr>
              <w:t>本附加合同所列的其他终止情况。</w:t>
            </w:r>
          </w:p>
        </w:tc>
      </w:tr>
    </w:tbl>
    <w:p>
      <w:pPr>
        <w:spacing w:after="0" w:line="242" w:lineRule="exact"/>
        <w:jc w:val="left"/>
        <w:rPr>
          <w:sz w:val="20"/>
        </w:rPr>
        <w:sectPr>
          <w:pgSz w:w="11910" w:h="16840"/>
          <w:pgMar w:header="0" w:footer="831" w:top="1460" w:bottom="1100" w:left="680" w:right="560"/>
        </w:sectPr>
      </w:pPr>
    </w:p>
    <w:p>
      <w:pPr>
        <w:pStyle w:val="BodyText"/>
        <w:spacing w:before="6"/>
        <w:rPr>
          <w:rFonts w:ascii="Times New Roman"/>
          <w:sz w:val="4"/>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9"/>
        <w:gridCol w:w="1602"/>
        <w:gridCol w:w="8220"/>
      </w:tblGrid>
      <w:tr>
        <w:trPr>
          <w:trHeight w:val="257" w:hRule="atLeast"/>
        </w:trPr>
        <w:tc>
          <w:tcPr>
            <w:tcW w:w="10441" w:type="dxa"/>
            <w:gridSpan w:val="3"/>
            <w:tcBorders>
              <w:bottom w:val="single" w:sz="4" w:space="0" w:color="000000"/>
            </w:tcBorders>
          </w:tcPr>
          <w:p>
            <w:pPr>
              <w:pStyle w:val="TableParagraph"/>
              <w:tabs>
                <w:tab w:pos="1469" w:val="left" w:leader="none"/>
              </w:tabs>
              <w:spacing w:line="199" w:lineRule="exact"/>
              <w:ind w:left="287"/>
              <w:rPr>
                <w:b/>
                <w:sz w:val="20"/>
              </w:rPr>
            </w:pPr>
            <w:r>
              <w:rPr>
                <w:b/>
                <w:sz w:val="20"/>
              </w:rPr>
              <w:t>第二部分</w:t>
              <w:tab/>
            </w:r>
            <w:r>
              <w:rPr>
                <w:b/>
                <w:w w:val="95"/>
                <w:sz w:val="20"/>
              </w:rPr>
              <w:t>我们提供的保障</w:t>
            </w:r>
          </w:p>
        </w:tc>
      </w:tr>
      <w:tr>
        <w:trPr>
          <w:trHeight w:val="933" w:hRule="atLeast"/>
        </w:trPr>
        <w:tc>
          <w:tcPr>
            <w:tcW w:w="619" w:type="dxa"/>
            <w:tcBorders>
              <w:top w:val="single" w:sz="4" w:space="0" w:color="000000"/>
            </w:tcBorders>
          </w:tcPr>
          <w:p>
            <w:pPr>
              <w:pStyle w:val="TableParagraph"/>
              <w:spacing w:before="148"/>
              <w:rPr>
                <w:b/>
                <w:sz w:val="20"/>
              </w:rPr>
            </w:pPr>
            <w:r>
              <w:rPr>
                <w:b/>
                <w:sz w:val="20"/>
              </w:rPr>
              <w:t>2.1</w:t>
            </w:r>
          </w:p>
        </w:tc>
        <w:tc>
          <w:tcPr>
            <w:tcW w:w="1602" w:type="dxa"/>
            <w:tcBorders>
              <w:top w:val="single" w:sz="4" w:space="0" w:color="000000"/>
            </w:tcBorders>
          </w:tcPr>
          <w:p>
            <w:pPr>
              <w:pStyle w:val="TableParagraph"/>
              <w:spacing w:before="148"/>
              <w:ind w:left="209"/>
              <w:rPr>
                <w:b/>
                <w:sz w:val="20"/>
              </w:rPr>
            </w:pPr>
            <w:r>
              <w:rPr>
                <w:b/>
                <w:sz w:val="20"/>
              </w:rPr>
              <w:t>等待期</w:t>
            </w:r>
          </w:p>
        </w:tc>
        <w:tc>
          <w:tcPr>
            <w:tcW w:w="8220" w:type="dxa"/>
            <w:tcBorders>
              <w:top w:val="single" w:sz="4" w:space="0" w:color="000000"/>
            </w:tcBorders>
          </w:tcPr>
          <w:p>
            <w:pPr>
              <w:pStyle w:val="TableParagraph"/>
              <w:spacing w:line="285" w:lineRule="auto" w:before="148"/>
              <w:ind w:left="587" w:right="107"/>
              <w:rPr>
                <w:b/>
                <w:sz w:val="20"/>
              </w:rPr>
            </w:pPr>
            <w:r>
              <w:rPr>
                <w:b/>
                <w:sz w:val="20"/>
              </w:rPr>
              <w:t>本附加合同生效日零时起九十日及本附加合同效力恢复日零时起九十日为等待期。续</w:t>
            </w:r>
            <w:r>
              <w:rPr>
                <w:b/>
                <w:w w:val="95"/>
                <w:sz w:val="20"/>
              </w:rPr>
              <w:t>保时不受等待期影响。</w:t>
            </w:r>
          </w:p>
        </w:tc>
      </w:tr>
      <w:tr>
        <w:trPr>
          <w:trHeight w:val="12233" w:hRule="atLeast"/>
        </w:trPr>
        <w:tc>
          <w:tcPr>
            <w:tcW w:w="619" w:type="dxa"/>
          </w:tcPr>
          <w:p>
            <w:pPr>
              <w:pStyle w:val="TableParagraph"/>
              <w:spacing w:before="150"/>
              <w:rPr>
                <w:b/>
                <w:sz w:val="20"/>
              </w:rPr>
            </w:pPr>
            <w:r>
              <w:rPr>
                <w:b/>
                <w:sz w:val="20"/>
              </w:rPr>
              <w:t>2.2</w:t>
            </w:r>
          </w:p>
        </w:tc>
        <w:tc>
          <w:tcPr>
            <w:tcW w:w="1602" w:type="dxa"/>
          </w:tcPr>
          <w:p>
            <w:pPr>
              <w:pStyle w:val="TableParagraph"/>
              <w:spacing w:before="150"/>
              <w:ind w:left="209"/>
              <w:rPr>
                <w:b/>
                <w:sz w:val="20"/>
              </w:rPr>
            </w:pPr>
            <w:r>
              <w:rPr>
                <w:b/>
                <w:sz w:val="20"/>
              </w:rPr>
              <w:t>保险责任</w:t>
            </w:r>
          </w:p>
        </w:tc>
        <w:tc>
          <w:tcPr>
            <w:tcW w:w="8220" w:type="dxa"/>
          </w:tcPr>
          <w:p>
            <w:pPr>
              <w:pStyle w:val="TableParagraph"/>
              <w:spacing w:line="285" w:lineRule="auto" w:before="150"/>
              <w:ind w:left="1008" w:right="182" w:hanging="421"/>
              <w:rPr>
                <w:b/>
                <w:sz w:val="20"/>
              </w:rPr>
            </w:pPr>
            <w:r>
              <w:rPr>
                <w:b/>
                <w:sz w:val="20"/>
              </w:rPr>
              <w:t>一、在本附加合同保险期间内，我们根据您投保的保险类型及保险计划按如下约定承</w:t>
            </w:r>
            <w:r>
              <w:rPr>
                <w:b/>
                <w:w w:val="95"/>
                <w:sz w:val="20"/>
              </w:rPr>
              <w:t>担保险责任：</w:t>
            </w:r>
          </w:p>
          <w:p>
            <w:pPr>
              <w:pStyle w:val="TableParagraph"/>
              <w:spacing w:before="6"/>
              <w:ind w:left="0"/>
              <w:rPr>
                <w:rFonts w:ascii="Times New Roman"/>
                <w:sz w:val="21"/>
              </w:rPr>
            </w:pPr>
          </w:p>
          <w:p>
            <w:pPr>
              <w:pStyle w:val="TableParagraph"/>
              <w:ind w:left="587"/>
              <w:rPr>
                <w:b/>
                <w:sz w:val="20"/>
              </w:rPr>
            </w:pPr>
            <w:r>
              <w:rPr>
                <w:b/>
                <w:sz w:val="20"/>
              </w:rPr>
              <w:t>若您选择投保的保险类型是 A 型——</w:t>
            </w:r>
          </w:p>
          <w:p>
            <w:pPr>
              <w:pStyle w:val="TableParagraph"/>
              <w:spacing w:before="7"/>
              <w:ind w:left="0"/>
              <w:rPr>
                <w:rFonts w:ascii="Times New Roman"/>
                <w:sz w:val="24"/>
              </w:rPr>
            </w:pPr>
          </w:p>
          <w:p>
            <w:pPr>
              <w:pStyle w:val="TableParagraph"/>
              <w:spacing w:line="285" w:lineRule="auto"/>
              <w:ind w:left="587" w:right="102"/>
              <w:rPr>
                <w:b/>
                <w:sz w:val="20"/>
              </w:rPr>
            </w:pPr>
            <w:r>
              <w:rPr>
                <w:b/>
                <w:sz w:val="20"/>
              </w:rPr>
              <w:t>若被保险人于等待期满后首次出现本附加合同约定的重大疾病的症状或体征，并且按本附加合同对重大疾病的定义和诊断标准被我们指定或认可的医院</w:t>
            </w:r>
            <w:r>
              <w:rPr>
                <w:b/>
                <w:position w:val="10"/>
                <w:sz w:val="10"/>
              </w:rPr>
              <w:t>[3]</w:t>
            </w:r>
            <w:r>
              <w:rPr>
                <w:b/>
                <w:sz w:val="20"/>
              </w:rPr>
              <w:t>的专科医生</w:t>
            </w:r>
            <w:r>
              <w:rPr>
                <w:b/>
                <w:position w:val="10"/>
                <w:sz w:val="10"/>
              </w:rPr>
              <w:t>[4]</w:t>
            </w:r>
            <w:r>
              <w:rPr>
                <w:b/>
                <w:sz w:val="20"/>
              </w:rPr>
              <w:t>初 </w:t>
            </w:r>
            <w:r>
              <w:rPr>
                <w:b/>
                <w:spacing w:val="-3"/>
                <w:w w:val="95"/>
                <w:sz w:val="20"/>
              </w:rPr>
              <w:t>次确诊为患有本附加合同约定的重大疾病，则我们按本附加合同的基本保险金额</w:t>
            </w:r>
            <w:r>
              <w:rPr>
                <w:b/>
                <w:w w:val="95"/>
                <w:position w:val="10"/>
                <w:sz w:val="10"/>
              </w:rPr>
              <w:t>[5]</w:t>
            </w:r>
            <w:r>
              <w:rPr>
                <w:b/>
                <w:w w:val="95"/>
                <w:sz w:val="20"/>
              </w:rPr>
              <w:t>给付  </w:t>
            </w:r>
            <w:r>
              <w:rPr>
                <w:b/>
                <w:spacing w:val="-6"/>
                <w:sz w:val="20"/>
              </w:rPr>
              <w:t>重大疾病保险金，本附加合同终止。若被保险人因意外事故</w:t>
            </w:r>
            <w:r>
              <w:rPr>
                <w:b/>
                <w:position w:val="10"/>
                <w:sz w:val="10"/>
              </w:rPr>
              <w:t>[6]</w:t>
            </w:r>
            <w:r>
              <w:rPr>
                <w:b/>
                <w:sz w:val="20"/>
              </w:rPr>
              <w:t>而患有本附加合同约定的</w:t>
            </w:r>
            <w:r>
              <w:rPr>
                <w:b/>
                <w:w w:val="95"/>
                <w:sz w:val="20"/>
              </w:rPr>
              <w:t>重大疾病，则不受等待期的限制。</w:t>
            </w:r>
          </w:p>
          <w:p>
            <w:pPr>
              <w:pStyle w:val="TableParagraph"/>
              <w:spacing w:line="285" w:lineRule="auto" w:before="168"/>
              <w:ind w:left="587" w:right="108"/>
              <w:jc w:val="both"/>
              <w:rPr>
                <w:b/>
                <w:sz w:val="20"/>
              </w:rPr>
            </w:pPr>
            <w:r>
              <w:rPr>
                <w:b/>
                <w:w w:val="95"/>
                <w:sz w:val="20"/>
              </w:rPr>
              <w:t>若被保险人在等待期内首次出现本附加合同约定的重大疾病的症状或体征，或者在等  待期内按本附加合同对重大疾病的定义和诊断标准被我们指定或认可的医院的专科医  生初次确诊为患有本附加合同约定的重大疾病，我们不承担给付重大疾病保险金的责  任，仅无息退还本附加合同已交的保险费，本附加合同终止。</w:t>
            </w:r>
          </w:p>
          <w:p>
            <w:pPr>
              <w:pStyle w:val="TableParagraph"/>
              <w:spacing w:before="5"/>
              <w:ind w:left="0"/>
              <w:rPr>
                <w:rFonts w:ascii="Times New Roman"/>
                <w:sz w:val="21"/>
              </w:rPr>
            </w:pPr>
          </w:p>
          <w:p>
            <w:pPr>
              <w:pStyle w:val="TableParagraph"/>
              <w:spacing w:before="1"/>
              <w:ind w:left="587"/>
              <w:rPr>
                <w:b/>
                <w:sz w:val="20"/>
              </w:rPr>
            </w:pPr>
            <w:r>
              <w:rPr>
                <w:b/>
                <w:sz w:val="20"/>
              </w:rPr>
              <w:t>若您选择投保的保险类型是 B 型——</w:t>
            </w:r>
          </w:p>
          <w:p>
            <w:pPr>
              <w:pStyle w:val="TableParagraph"/>
              <w:numPr>
                <w:ilvl w:val="0"/>
                <w:numId w:val="3"/>
              </w:numPr>
              <w:tabs>
                <w:tab w:pos="1268" w:val="left" w:leader="none"/>
              </w:tabs>
              <w:spacing w:line="240" w:lineRule="auto" w:before="127" w:after="0"/>
              <w:ind w:left="1267" w:right="0" w:hanging="680"/>
              <w:jc w:val="left"/>
              <w:rPr>
                <w:b/>
                <w:sz w:val="20"/>
              </w:rPr>
            </w:pPr>
            <w:r>
              <w:rPr>
                <w:b/>
                <w:w w:val="95"/>
                <w:sz w:val="20"/>
              </w:rPr>
              <w:t>首次重大疾病给付</w:t>
            </w:r>
          </w:p>
          <w:p>
            <w:pPr>
              <w:pStyle w:val="TableParagraph"/>
              <w:spacing w:before="10"/>
              <w:ind w:left="0"/>
              <w:rPr>
                <w:rFonts w:ascii="Times New Roman"/>
                <w:sz w:val="17"/>
              </w:rPr>
            </w:pPr>
          </w:p>
          <w:p>
            <w:pPr>
              <w:pStyle w:val="TableParagraph"/>
              <w:spacing w:line="285" w:lineRule="auto"/>
              <w:ind w:left="587" w:right="202"/>
              <w:jc w:val="both"/>
              <w:rPr>
                <w:b/>
                <w:sz w:val="20"/>
              </w:rPr>
            </w:pPr>
            <w:r>
              <w:rPr>
                <w:b/>
                <w:w w:val="95"/>
                <w:sz w:val="20"/>
              </w:rPr>
              <w:t>若被保险人于等待期满后首次出现本附加合同约定的重大疾病的症状或体征，并且按  本附加合同对重大疾病的定义和诊断标准被我们指定或认可的医院的专科医生初次确  诊为患有本附加合同约定的重大疾病，则我们按本附加合同的基本保险金额给付首次  重大疾病保险金，并同时豁免本附加合同在首次重大疾病确诊日以后的应交保险费。  若被保险人因意外事故而患有本附加合同约定的重大疾病，则不受等待期的限制。</w:t>
            </w:r>
          </w:p>
          <w:p>
            <w:pPr>
              <w:pStyle w:val="TableParagraph"/>
              <w:spacing w:line="285" w:lineRule="auto" w:before="167"/>
              <w:ind w:left="587" w:right="110"/>
              <w:jc w:val="both"/>
              <w:rPr>
                <w:b/>
                <w:sz w:val="20"/>
              </w:rPr>
            </w:pPr>
            <w:r>
              <w:rPr>
                <w:b/>
                <w:w w:val="95"/>
                <w:sz w:val="20"/>
              </w:rPr>
              <w:t>若被保险人在等待期内首次出现本附加合同约定的重大疾病的症状或体征，或者在等  待期内按本附加合同对重大疾病的定义和诊断标准被我们指定或认可的医院的专科医  生初次确诊为患有本附加合同约定的重大疾病，我们不承担给付保险金的责任，仅无  息退还本附加合同已交的保险费，本附加合同终止。</w:t>
            </w:r>
          </w:p>
          <w:p>
            <w:pPr>
              <w:pStyle w:val="TableParagraph"/>
              <w:numPr>
                <w:ilvl w:val="0"/>
                <w:numId w:val="3"/>
              </w:numPr>
              <w:tabs>
                <w:tab w:pos="1268" w:val="left" w:leader="none"/>
              </w:tabs>
              <w:spacing w:line="240" w:lineRule="auto" w:before="167" w:after="0"/>
              <w:ind w:left="1267" w:right="0" w:hanging="680"/>
              <w:jc w:val="left"/>
              <w:rPr>
                <w:b/>
                <w:sz w:val="20"/>
              </w:rPr>
            </w:pPr>
            <w:r>
              <w:rPr>
                <w:b/>
                <w:w w:val="95"/>
                <w:sz w:val="20"/>
              </w:rPr>
              <w:t>第二次重大疾病给付</w:t>
            </w:r>
          </w:p>
          <w:p>
            <w:pPr>
              <w:pStyle w:val="TableParagraph"/>
              <w:spacing w:before="10"/>
              <w:ind w:left="0"/>
              <w:rPr>
                <w:rFonts w:ascii="Times New Roman"/>
                <w:sz w:val="17"/>
              </w:rPr>
            </w:pPr>
          </w:p>
          <w:p>
            <w:pPr>
              <w:pStyle w:val="TableParagraph"/>
              <w:spacing w:line="285" w:lineRule="auto"/>
              <w:ind w:left="587" w:right="201"/>
              <w:jc w:val="both"/>
              <w:rPr>
                <w:b/>
                <w:sz w:val="20"/>
              </w:rPr>
            </w:pPr>
            <w:r>
              <w:rPr>
                <w:b/>
                <w:w w:val="95"/>
                <w:sz w:val="20"/>
              </w:rPr>
              <w:t>在本附加合同保险期间内发生首次重大疾病并确定给付保险金后，自首次重大疾病确  诊之日起五年内，若被保险人自首次重大疾病确诊之日起满一年后，初次出现首次重  大疾病所属组别以外的其他组别中的任何一种重大疾病的症状或体征，并且按本附加  合同对重大疾病的定义和诊断标准被我们指定或认可的医院的专科医生初次确诊为患  有该重大疾病，我们按本附加合同的基本保险金额给付第二次重大疾病保险金。</w:t>
            </w:r>
          </w:p>
          <w:p>
            <w:pPr>
              <w:pStyle w:val="TableParagraph"/>
              <w:numPr>
                <w:ilvl w:val="0"/>
                <w:numId w:val="3"/>
              </w:numPr>
              <w:tabs>
                <w:tab w:pos="1268" w:val="left" w:leader="none"/>
              </w:tabs>
              <w:spacing w:line="240" w:lineRule="auto" w:before="132" w:after="0"/>
              <w:ind w:left="1267" w:right="0" w:hanging="680"/>
              <w:jc w:val="left"/>
              <w:rPr>
                <w:b/>
                <w:sz w:val="20"/>
              </w:rPr>
            </w:pPr>
            <w:r>
              <w:rPr>
                <w:b/>
                <w:w w:val="95"/>
                <w:sz w:val="20"/>
              </w:rPr>
              <w:t>第三次重大疾病给付</w:t>
            </w:r>
          </w:p>
          <w:p>
            <w:pPr>
              <w:pStyle w:val="TableParagraph"/>
              <w:spacing w:line="310" w:lineRule="atLeast" w:before="158"/>
              <w:ind w:left="587" w:right="201"/>
              <w:jc w:val="both"/>
              <w:rPr>
                <w:b/>
                <w:sz w:val="20"/>
              </w:rPr>
            </w:pPr>
            <w:r>
              <w:rPr>
                <w:b/>
                <w:w w:val="95"/>
                <w:sz w:val="20"/>
              </w:rPr>
              <w:t>在本附加合同保险期间内发生第二次重大疾病并确定给付保险金后，自第二次重大疾  病确诊之日起五年内，若被保险人自第二次重大疾病确诊之日起满一年后，初次出现  首次重大疾病以及第二次重大疾病所属组别以外的其他组别中的任何一种重大疾病的</w:t>
            </w:r>
          </w:p>
        </w:tc>
      </w:tr>
    </w:tbl>
    <w:p>
      <w:pPr>
        <w:spacing w:after="0" w:line="310" w:lineRule="atLeast"/>
        <w:jc w:val="both"/>
        <w:rPr>
          <w:sz w:val="20"/>
        </w:rPr>
        <w:sectPr>
          <w:pgSz w:w="11910" w:h="16840"/>
          <w:pgMar w:header="0" w:footer="831" w:top="1580" w:bottom="1020" w:left="680" w:right="5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1"/>
        <w:gridCol w:w="1901"/>
        <w:gridCol w:w="8012"/>
      </w:tblGrid>
      <w:tr>
        <w:trPr>
          <w:trHeight w:val="1780" w:hRule="atLeast"/>
        </w:trPr>
        <w:tc>
          <w:tcPr>
            <w:tcW w:w="711" w:type="dxa"/>
          </w:tcPr>
          <w:p>
            <w:pPr>
              <w:pStyle w:val="TableParagraph"/>
              <w:ind w:left="0"/>
              <w:rPr>
                <w:rFonts w:ascii="Times New Roman"/>
                <w:sz w:val="18"/>
              </w:rPr>
            </w:pPr>
          </w:p>
        </w:tc>
        <w:tc>
          <w:tcPr>
            <w:tcW w:w="1901" w:type="dxa"/>
          </w:tcPr>
          <w:p>
            <w:pPr>
              <w:pStyle w:val="TableParagraph"/>
              <w:ind w:left="0"/>
              <w:rPr>
                <w:rFonts w:ascii="Times New Roman"/>
                <w:sz w:val="18"/>
              </w:rPr>
            </w:pPr>
          </w:p>
        </w:tc>
        <w:tc>
          <w:tcPr>
            <w:tcW w:w="8012" w:type="dxa"/>
          </w:tcPr>
          <w:p>
            <w:pPr>
              <w:pStyle w:val="TableParagraph"/>
              <w:spacing w:line="195" w:lineRule="exact"/>
              <w:ind w:left="288"/>
              <w:rPr>
                <w:b/>
                <w:sz w:val="20"/>
              </w:rPr>
            </w:pPr>
            <w:r>
              <w:rPr>
                <w:b/>
                <w:w w:val="95"/>
                <w:sz w:val="20"/>
              </w:rPr>
              <w:t>症状或体征，并且按本附加合同对重大疾病的定义和诊断标准被我们指定或认可的医</w:t>
            </w:r>
          </w:p>
          <w:p>
            <w:pPr>
              <w:pStyle w:val="TableParagraph"/>
              <w:spacing w:line="285" w:lineRule="auto" w:before="50"/>
              <w:ind w:left="288" w:right="292"/>
              <w:rPr>
                <w:b/>
                <w:sz w:val="20"/>
              </w:rPr>
            </w:pPr>
            <w:r>
              <w:rPr>
                <w:b/>
                <w:w w:val="95"/>
                <w:sz w:val="20"/>
              </w:rPr>
              <w:t>院的专科医生初次确诊为患有该重大疾病，我们按本附加合同的基本保险金额给付第  三次重大疾病保险金，本附加合同终止。</w:t>
            </w:r>
          </w:p>
          <w:p>
            <w:pPr>
              <w:pStyle w:val="TableParagraph"/>
              <w:spacing w:line="285" w:lineRule="auto" w:before="131"/>
              <w:ind w:left="288" w:right="199"/>
              <w:rPr>
                <w:b/>
                <w:sz w:val="20"/>
              </w:rPr>
            </w:pPr>
            <w:r>
              <w:rPr>
                <w:b/>
                <w:w w:val="95"/>
                <w:sz w:val="20"/>
              </w:rPr>
              <w:t>二、在本附加合同终止、撤销、解除后或效力中止期间，我们不再承担本附加合同的  保险责任。</w:t>
            </w:r>
          </w:p>
        </w:tc>
      </w:tr>
      <w:tr>
        <w:trPr>
          <w:trHeight w:val="1326" w:hRule="atLeast"/>
        </w:trPr>
        <w:tc>
          <w:tcPr>
            <w:tcW w:w="711" w:type="dxa"/>
          </w:tcPr>
          <w:p>
            <w:pPr>
              <w:pStyle w:val="TableParagraph"/>
              <w:spacing w:before="146"/>
              <w:ind w:left="200"/>
              <w:rPr>
                <w:b/>
                <w:sz w:val="20"/>
              </w:rPr>
            </w:pPr>
            <w:r>
              <w:rPr>
                <w:b/>
                <w:sz w:val="20"/>
              </w:rPr>
              <w:t>2.3</w:t>
            </w:r>
          </w:p>
        </w:tc>
        <w:tc>
          <w:tcPr>
            <w:tcW w:w="1901" w:type="dxa"/>
          </w:tcPr>
          <w:p>
            <w:pPr>
              <w:pStyle w:val="TableParagraph"/>
              <w:spacing w:before="146"/>
              <w:ind w:left="209"/>
              <w:rPr>
                <w:b/>
                <w:sz w:val="20"/>
              </w:rPr>
            </w:pPr>
            <w:r>
              <w:rPr>
                <w:b/>
                <w:w w:val="95"/>
                <w:sz w:val="20"/>
              </w:rPr>
              <w:t>重大疾病的定义</w:t>
            </w:r>
          </w:p>
        </w:tc>
        <w:tc>
          <w:tcPr>
            <w:tcW w:w="8012" w:type="dxa"/>
          </w:tcPr>
          <w:p>
            <w:pPr>
              <w:pStyle w:val="TableParagraph"/>
              <w:spacing w:line="285" w:lineRule="auto" w:before="146"/>
              <w:ind w:left="288" w:right="298"/>
              <w:rPr>
                <w:b/>
                <w:sz w:val="20"/>
              </w:rPr>
            </w:pPr>
            <w:r>
              <w:rPr>
                <w:b/>
                <w:w w:val="95"/>
                <w:sz w:val="20"/>
              </w:rPr>
              <w:t>本附加合同根据您投保的保险计划承保六种、二十四种或六十种重大疾病，疾病名称  及定义请见附录。</w:t>
            </w:r>
          </w:p>
          <w:p>
            <w:pPr>
              <w:pStyle w:val="TableParagraph"/>
              <w:spacing w:before="168"/>
              <w:ind w:left="288"/>
              <w:rPr>
                <w:b/>
                <w:sz w:val="20"/>
              </w:rPr>
            </w:pPr>
            <w:r>
              <w:rPr>
                <w:b/>
                <w:w w:val="95"/>
                <w:sz w:val="20"/>
              </w:rPr>
              <w:t>被保险人患有符合所附疾病定义所述条件的疾病，应当由相应的专科医生明确诊断。</w:t>
            </w:r>
          </w:p>
        </w:tc>
      </w:tr>
      <w:tr>
        <w:trPr>
          <w:trHeight w:val="5053" w:hRule="atLeast"/>
        </w:trPr>
        <w:tc>
          <w:tcPr>
            <w:tcW w:w="711" w:type="dxa"/>
          </w:tcPr>
          <w:p>
            <w:pPr>
              <w:pStyle w:val="TableParagraph"/>
              <w:spacing w:before="68"/>
              <w:ind w:left="200"/>
              <w:rPr>
                <w:b/>
                <w:sz w:val="20"/>
              </w:rPr>
            </w:pPr>
            <w:r>
              <w:rPr>
                <w:b/>
                <w:sz w:val="20"/>
              </w:rPr>
              <w:t>2.4</w:t>
            </w:r>
          </w:p>
        </w:tc>
        <w:tc>
          <w:tcPr>
            <w:tcW w:w="1901" w:type="dxa"/>
          </w:tcPr>
          <w:p>
            <w:pPr>
              <w:pStyle w:val="TableParagraph"/>
              <w:spacing w:before="68"/>
              <w:ind w:left="209"/>
              <w:rPr>
                <w:b/>
                <w:sz w:val="20"/>
              </w:rPr>
            </w:pPr>
            <w:r>
              <w:rPr>
                <w:b/>
                <w:sz w:val="20"/>
              </w:rPr>
              <w:t>责任免除</w:t>
            </w:r>
          </w:p>
        </w:tc>
        <w:tc>
          <w:tcPr>
            <w:tcW w:w="8012" w:type="dxa"/>
          </w:tcPr>
          <w:p>
            <w:pPr>
              <w:pStyle w:val="TableParagraph"/>
              <w:spacing w:line="285" w:lineRule="auto" w:before="68"/>
              <w:ind w:left="288" w:right="292"/>
              <w:rPr>
                <w:b/>
                <w:sz w:val="20"/>
              </w:rPr>
            </w:pPr>
            <w:r>
              <w:rPr>
                <w:b/>
                <w:w w:val="95"/>
                <w:sz w:val="20"/>
              </w:rPr>
              <w:t>因下列情形之一导致被保险人患有疾病、达到疾病状态或进行手术的，我们不承担给  付各项保险金的责任：</w:t>
            </w:r>
          </w:p>
          <w:p>
            <w:pPr>
              <w:pStyle w:val="TableParagraph"/>
              <w:numPr>
                <w:ilvl w:val="0"/>
                <w:numId w:val="4"/>
              </w:numPr>
              <w:tabs>
                <w:tab w:pos="969" w:val="left" w:leader="none"/>
              </w:tabs>
              <w:spacing w:line="240" w:lineRule="auto" w:before="12" w:after="0"/>
              <w:ind w:left="968" w:right="0" w:hanging="680"/>
              <w:jc w:val="left"/>
              <w:rPr>
                <w:b/>
                <w:sz w:val="20"/>
              </w:rPr>
            </w:pPr>
            <w:r>
              <w:rPr>
                <w:b/>
                <w:w w:val="95"/>
                <w:sz w:val="20"/>
              </w:rPr>
              <w:t>投保人对被保险人的故意杀害、故意伤害；</w:t>
            </w:r>
          </w:p>
          <w:p>
            <w:pPr>
              <w:pStyle w:val="TableParagraph"/>
              <w:numPr>
                <w:ilvl w:val="0"/>
                <w:numId w:val="4"/>
              </w:numPr>
              <w:tabs>
                <w:tab w:pos="969" w:val="left" w:leader="none"/>
              </w:tabs>
              <w:spacing w:line="240" w:lineRule="auto" w:before="50" w:after="0"/>
              <w:ind w:left="968" w:right="0" w:hanging="680"/>
              <w:jc w:val="left"/>
              <w:rPr>
                <w:b/>
                <w:sz w:val="20"/>
              </w:rPr>
            </w:pPr>
            <w:r>
              <w:rPr>
                <w:b/>
                <w:w w:val="95"/>
                <w:sz w:val="20"/>
              </w:rPr>
              <w:t>被保险人故意自伤、故意犯罪或者抗拒依法采取的刑事强制措施；</w:t>
            </w:r>
          </w:p>
          <w:p>
            <w:pPr>
              <w:pStyle w:val="TableParagraph"/>
              <w:numPr>
                <w:ilvl w:val="0"/>
                <w:numId w:val="4"/>
              </w:numPr>
              <w:tabs>
                <w:tab w:pos="969" w:val="left" w:leader="none"/>
              </w:tabs>
              <w:spacing w:line="285" w:lineRule="auto" w:before="49" w:after="0"/>
              <w:ind w:left="968" w:right="227" w:hanging="680"/>
              <w:jc w:val="left"/>
              <w:rPr>
                <w:b/>
                <w:sz w:val="20"/>
              </w:rPr>
            </w:pPr>
            <w:r>
              <w:rPr>
                <w:b/>
                <w:sz w:val="20"/>
              </w:rPr>
              <w:t>被保险人患艾滋病或感染艾滋病病毒</w:t>
            </w:r>
            <w:r>
              <w:rPr>
                <w:b/>
                <w:position w:val="10"/>
                <w:sz w:val="10"/>
              </w:rPr>
              <w:t>[7]</w:t>
            </w:r>
            <w:r>
              <w:rPr>
                <w:b/>
                <w:sz w:val="20"/>
              </w:rPr>
              <w:t>后患病（因输血或者工作原因导致的除</w:t>
            </w:r>
            <w:r>
              <w:rPr>
                <w:b/>
                <w:w w:val="95"/>
                <w:sz w:val="20"/>
              </w:rPr>
              <w:t>外）；</w:t>
            </w:r>
          </w:p>
          <w:p>
            <w:pPr>
              <w:pStyle w:val="TableParagraph"/>
              <w:numPr>
                <w:ilvl w:val="0"/>
                <w:numId w:val="4"/>
              </w:numPr>
              <w:tabs>
                <w:tab w:pos="969" w:val="left" w:leader="none"/>
              </w:tabs>
              <w:spacing w:line="240" w:lineRule="auto" w:before="11" w:after="0"/>
              <w:ind w:left="968" w:right="0" w:hanging="680"/>
              <w:jc w:val="left"/>
              <w:rPr>
                <w:b/>
                <w:sz w:val="20"/>
              </w:rPr>
            </w:pPr>
            <w:r>
              <w:rPr>
                <w:b/>
                <w:w w:val="95"/>
                <w:sz w:val="20"/>
              </w:rPr>
              <w:t>被保险人主动吸食或注射毒品；</w:t>
            </w:r>
          </w:p>
          <w:p>
            <w:pPr>
              <w:pStyle w:val="TableParagraph"/>
              <w:numPr>
                <w:ilvl w:val="0"/>
                <w:numId w:val="4"/>
              </w:numPr>
              <w:tabs>
                <w:tab w:pos="969" w:val="left" w:leader="none"/>
              </w:tabs>
              <w:spacing w:line="285" w:lineRule="auto" w:before="49" w:after="0"/>
              <w:ind w:left="968" w:right="217" w:hanging="680"/>
              <w:jc w:val="left"/>
              <w:rPr>
                <w:b/>
                <w:sz w:val="20"/>
              </w:rPr>
            </w:pPr>
            <w:r>
              <w:rPr>
                <w:b/>
                <w:spacing w:val="0"/>
                <w:sz w:val="20"/>
              </w:rPr>
              <w:t>被保险人酒后驾驶</w:t>
            </w:r>
            <w:r>
              <w:rPr>
                <w:b/>
                <w:position w:val="10"/>
                <w:sz w:val="10"/>
              </w:rPr>
              <w:t>[8]</w:t>
            </w:r>
            <w:r>
              <w:rPr>
                <w:b/>
                <w:sz w:val="20"/>
              </w:rPr>
              <w:t>，无合法有效驾驶证驾驶</w:t>
            </w:r>
            <w:r>
              <w:rPr>
                <w:b/>
                <w:position w:val="10"/>
                <w:sz w:val="10"/>
              </w:rPr>
              <w:t>[9]</w:t>
            </w:r>
            <w:r>
              <w:rPr>
                <w:b/>
                <w:sz w:val="20"/>
              </w:rPr>
              <w:t>，或驾驶无有效行驶证</w:t>
            </w:r>
            <w:r>
              <w:rPr>
                <w:b/>
                <w:position w:val="10"/>
                <w:sz w:val="10"/>
              </w:rPr>
              <w:t>[10]</w:t>
            </w:r>
            <w:r>
              <w:rPr>
                <w:b/>
                <w:spacing w:val="2"/>
                <w:sz w:val="20"/>
              </w:rPr>
              <w:t>的机</w:t>
            </w:r>
            <w:r>
              <w:rPr>
                <w:b/>
                <w:w w:val="95"/>
                <w:sz w:val="20"/>
              </w:rPr>
              <w:t>动车；</w:t>
            </w:r>
          </w:p>
          <w:p>
            <w:pPr>
              <w:pStyle w:val="TableParagraph"/>
              <w:numPr>
                <w:ilvl w:val="0"/>
                <w:numId w:val="4"/>
              </w:numPr>
              <w:tabs>
                <w:tab w:pos="969" w:val="left" w:leader="none"/>
              </w:tabs>
              <w:spacing w:line="240" w:lineRule="auto" w:before="11" w:after="0"/>
              <w:ind w:left="968" w:right="0" w:hanging="680"/>
              <w:jc w:val="left"/>
              <w:rPr>
                <w:b/>
                <w:sz w:val="20"/>
              </w:rPr>
            </w:pPr>
            <w:r>
              <w:rPr>
                <w:b/>
                <w:w w:val="95"/>
                <w:sz w:val="20"/>
              </w:rPr>
              <w:t>战争、军事冲突、暴乱、武装叛乱或恐怖主义行为；</w:t>
            </w:r>
          </w:p>
          <w:p>
            <w:pPr>
              <w:pStyle w:val="TableParagraph"/>
              <w:numPr>
                <w:ilvl w:val="0"/>
                <w:numId w:val="4"/>
              </w:numPr>
              <w:tabs>
                <w:tab w:pos="969" w:val="left" w:leader="none"/>
              </w:tabs>
              <w:spacing w:line="240" w:lineRule="auto" w:before="49" w:after="0"/>
              <w:ind w:left="968" w:right="0" w:hanging="680"/>
              <w:jc w:val="left"/>
              <w:rPr>
                <w:b/>
                <w:sz w:val="20"/>
              </w:rPr>
            </w:pPr>
            <w:r>
              <w:rPr>
                <w:b/>
                <w:w w:val="95"/>
                <w:sz w:val="20"/>
              </w:rPr>
              <w:t>核爆炸、核辐射或核污染；</w:t>
            </w:r>
          </w:p>
          <w:p>
            <w:pPr>
              <w:pStyle w:val="TableParagraph"/>
              <w:numPr>
                <w:ilvl w:val="0"/>
                <w:numId w:val="4"/>
              </w:numPr>
              <w:tabs>
                <w:tab w:pos="969" w:val="left" w:leader="none"/>
              </w:tabs>
              <w:spacing w:line="240" w:lineRule="auto" w:before="49" w:after="0"/>
              <w:ind w:left="968" w:right="0" w:hanging="680"/>
              <w:jc w:val="left"/>
              <w:rPr>
                <w:b/>
                <w:sz w:val="20"/>
              </w:rPr>
            </w:pPr>
            <w:r>
              <w:rPr>
                <w:b/>
                <w:w w:val="95"/>
                <w:sz w:val="20"/>
              </w:rPr>
              <w:t>遗传性疾病</w:t>
            </w:r>
            <w:r>
              <w:rPr>
                <w:b/>
                <w:w w:val="95"/>
                <w:position w:val="10"/>
                <w:sz w:val="10"/>
              </w:rPr>
              <w:t>[11]</w:t>
            </w:r>
            <w:r>
              <w:rPr>
                <w:b/>
                <w:w w:val="95"/>
                <w:sz w:val="20"/>
              </w:rPr>
              <w:t>（不包括肌营养不良症），先天性畸形、变形或染色体异常</w:t>
            </w:r>
            <w:r>
              <w:rPr>
                <w:b/>
                <w:w w:val="95"/>
                <w:position w:val="10"/>
                <w:sz w:val="10"/>
              </w:rPr>
              <w:t>[12]</w:t>
            </w:r>
            <w:r>
              <w:rPr>
                <w:b/>
                <w:w w:val="95"/>
                <w:sz w:val="20"/>
              </w:rPr>
              <w:t>。</w:t>
            </w:r>
          </w:p>
          <w:p>
            <w:pPr>
              <w:pStyle w:val="TableParagraph"/>
              <w:spacing w:before="10"/>
              <w:ind w:left="0"/>
              <w:rPr>
                <w:rFonts w:ascii="Times New Roman"/>
                <w:sz w:val="17"/>
              </w:rPr>
            </w:pPr>
          </w:p>
          <w:p>
            <w:pPr>
              <w:pStyle w:val="TableParagraph"/>
              <w:spacing w:line="285" w:lineRule="auto"/>
              <w:ind w:left="288" w:right="166"/>
              <w:rPr>
                <w:b/>
                <w:sz w:val="20"/>
              </w:rPr>
            </w:pPr>
            <w:r>
              <w:rPr>
                <w:b/>
                <w:w w:val="95"/>
                <w:sz w:val="20"/>
              </w:rPr>
              <w:t>发生上述第（1）项情形的，本附加合同终止，我们向受益人退还本附加合同未经过净  </w:t>
            </w:r>
            <w:r>
              <w:rPr>
                <w:b/>
                <w:sz w:val="20"/>
              </w:rPr>
              <w:t>保险费</w:t>
            </w:r>
            <w:r>
              <w:rPr>
                <w:b/>
                <w:position w:val="10"/>
                <w:sz w:val="10"/>
              </w:rPr>
              <w:t>[13]</w:t>
            </w:r>
            <w:r>
              <w:rPr>
                <w:b/>
                <w:sz w:val="20"/>
              </w:rPr>
              <w:t>；发生上述其他情形的，本附加合同终止，我们向您退还本附加合同未经过</w:t>
            </w:r>
            <w:r>
              <w:rPr>
                <w:b/>
                <w:w w:val="95"/>
                <w:sz w:val="20"/>
              </w:rPr>
              <w:t>净保险费。</w:t>
            </w:r>
          </w:p>
        </w:tc>
      </w:tr>
      <w:tr>
        <w:trPr>
          <w:trHeight w:val="5386" w:hRule="atLeast"/>
        </w:trPr>
        <w:tc>
          <w:tcPr>
            <w:tcW w:w="711" w:type="dxa"/>
          </w:tcPr>
          <w:p>
            <w:pPr>
              <w:pStyle w:val="TableParagraph"/>
              <w:spacing w:before="128"/>
              <w:ind w:left="200"/>
              <w:rPr>
                <w:b/>
                <w:sz w:val="20"/>
              </w:rPr>
            </w:pPr>
            <w:r>
              <w:rPr>
                <w:b/>
                <w:sz w:val="20"/>
              </w:rPr>
              <w:t>2.5</w:t>
            </w:r>
          </w:p>
        </w:tc>
        <w:tc>
          <w:tcPr>
            <w:tcW w:w="1901" w:type="dxa"/>
          </w:tcPr>
          <w:p>
            <w:pPr>
              <w:pStyle w:val="TableParagraph"/>
              <w:spacing w:before="128"/>
              <w:ind w:left="209"/>
              <w:rPr>
                <w:b/>
                <w:sz w:val="20"/>
              </w:rPr>
            </w:pPr>
            <w:r>
              <w:rPr>
                <w:b/>
                <w:sz w:val="20"/>
              </w:rPr>
              <w:t>保证续保</w:t>
            </w:r>
          </w:p>
        </w:tc>
        <w:tc>
          <w:tcPr>
            <w:tcW w:w="8012" w:type="dxa"/>
          </w:tcPr>
          <w:p>
            <w:pPr>
              <w:pStyle w:val="TableParagraph"/>
              <w:spacing w:line="285" w:lineRule="auto" w:before="128"/>
              <w:ind w:left="288" w:right="198"/>
              <w:jc w:val="both"/>
              <w:rPr>
                <w:sz w:val="20"/>
              </w:rPr>
            </w:pPr>
            <w:r>
              <w:rPr>
                <w:spacing w:val="-5"/>
                <w:w w:val="95"/>
                <w:sz w:val="20"/>
              </w:rPr>
              <w:t>自您首次投保本附加合同的保单生效日起，或自您非连续投保本附加合同的保单生效日  </w:t>
            </w:r>
            <w:r>
              <w:rPr>
                <w:spacing w:val="-9"/>
                <w:sz w:val="20"/>
              </w:rPr>
              <w:t>起，每五个保单年度为一个保证续保期间。若本附加合同复效，则保证续保期间自最近</w:t>
            </w:r>
            <w:r>
              <w:rPr>
                <w:spacing w:val="-11"/>
                <w:w w:val="95"/>
                <w:sz w:val="20"/>
              </w:rPr>
              <w:t>复效日的前一个保单周年日或最近复效日</w:t>
            </w:r>
            <w:r>
              <w:rPr>
                <w:w w:val="95"/>
                <w:sz w:val="20"/>
              </w:rPr>
              <w:t>（若最近复效日与保单周年日是同一日期</w:t>
            </w:r>
            <w:r>
              <w:rPr>
                <w:spacing w:val="-39"/>
                <w:w w:val="95"/>
                <w:sz w:val="20"/>
              </w:rPr>
              <w:t>）</w:t>
            </w:r>
            <w:r>
              <w:rPr>
                <w:w w:val="95"/>
                <w:sz w:val="20"/>
              </w:rPr>
              <w:t>起   重新计算。但该期间若发生以下情况之一的，则不再续保：</w:t>
            </w:r>
          </w:p>
          <w:p>
            <w:pPr>
              <w:pStyle w:val="TableParagraph"/>
              <w:numPr>
                <w:ilvl w:val="0"/>
                <w:numId w:val="5"/>
              </w:numPr>
              <w:tabs>
                <w:tab w:pos="906" w:val="left" w:leader="none"/>
              </w:tabs>
              <w:spacing w:line="240" w:lineRule="auto" w:before="12" w:after="0"/>
              <w:ind w:left="905" w:right="0" w:hanging="617"/>
              <w:jc w:val="both"/>
              <w:rPr>
                <w:sz w:val="20"/>
              </w:rPr>
            </w:pPr>
            <w:r>
              <w:rPr>
                <w:sz w:val="20"/>
              </w:rPr>
              <w:t>发生本附加合同“</w:t>
            </w:r>
            <w:r>
              <w:rPr>
                <w:rFonts w:ascii="Arial" w:hAnsi="Arial" w:eastAsia="Arial"/>
                <w:sz w:val="20"/>
              </w:rPr>
              <w:t>1.6</w:t>
            </w:r>
            <w:r>
              <w:rPr>
                <w:rFonts w:ascii="Arial" w:hAnsi="Arial" w:eastAsia="Arial"/>
                <w:spacing w:val="-13"/>
                <w:sz w:val="20"/>
              </w:rPr>
              <w:t> </w:t>
            </w:r>
            <w:r>
              <w:rPr>
                <w:sz w:val="20"/>
              </w:rPr>
              <w:t>条附加合同终止”的情形；</w:t>
            </w:r>
          </w:p>
          <w:p>
            <w:pPr>
              <w:pStyle w:val="TableParagraph"/>
              <w:numPr>
                <w:ilvl w:val="0"/>
                <w:numId w:val="5"/>
              </w:numPr>
              <w:tabs>
                <w:tab w:pos="906" w:val="left" w:leader="none"/>
              </w:tabs>
              <w:spacing w:line="240" w:lineRule="auto" w:before="35" w:after="0"/>
              <w:ind w:left="905" w:right="0" w:hanging="617"/>
              <w:jc w:val="both"/>
              <w:rPr>
                <w:sz w:val="20"/>
              </w:rPr>
            </w:pPr>
            <w:r>
              <w:rPr>
                <w:w w:val="95"/>
                <w:sz w:val="20"/>
              </w:rPr>
              <w:t>主合同效力中止；</w:t>
            </w:r>
          </w:p>
          <w:p>
            <w:pPr>
              <w:pStyle w:val="TableParagraph"/>
              <w:numPr>
                <w:ilvl w:val="0"/>
                <w:numId w:val="5"/>
              </w:numPr>
              <w:tabs>
                <w:tab w:pos="906" w:val="left" w:leader="none"/>
              </w:tabs>
              <w:spacing w:line="240" w:lineRule="auto" w:before="35" w:after="0"/>
              <w:ind w:left="905" w:right="0" w:hanging="617"/>
              <w:jc w:val="both"/>
              <w:rPr>
                <w:sz w:val="20"/>
              </w:rPr>
            </w:pPr>
            <w:r>
              <w:rPr>
                <w:w w:val="95"/>
                <w:sz w:val="20"/>
              </w:rPr>
              <w:t>发生首次重大疾病给付责任的；</w:t>
            </w:r>
          </w:p>
          <w:p>
            <w:pPr>
              <w:pStyle w:val="TableParagraph"/>
              <w:numPr>
                <w:ilvl w:val="0"/>
                <w:numId w:val="5"/>
              </w:numPr>
              <w:tabs>
                <w:tab w:pos="906" w:val="left" w:leader="none"/>
              </w:tabs>
              <w:spacing w:line="240" w:lineRule="auto" w:before="35" w:after="0"/>
              <w:ind w:left="905" w:right="0" w:hanging="617"/>
              <w:jc w:val="both"/>
              <w:rPr>
                <w:sz w:val="20"/>
              </w:rPr>
            </w:pPr>
            <w:r>
              <w:rPr>
                <w:w w:val="95"/>
                <w:sz w:val="20"/>
              </w:rPr>
              <w:t>您未履行如实告知义务的；</w:t>
            </w:r>
          </w:p>
          <w:p>
            <w:pPr>
              <w:pStyle w:val="TableParagraph"/>
              <w:numPr>
                <w:ilvl w:val="0"/>
                <w:numId w:val="5"/>
              </w:numPr>
              <w:tabs>
                <w:tab w:pos="906" w:val="left" w:leader="none"/>
              </w:tabs>
              <w:spacing w:line="240" w:lineRule="auto" w:before="35" w:after="0"/>
              <w:ind w:left="905" w:right="0" w:hanging="617"/>
              <w:jc w:val="both"/>
              <w:rPr>
                <w:sz w:val="20"/>
              </w:rPr>
            </w:pPr>
            <w:r>
              <w:rPr>
                <w:w w:val="95"/>
                <w:sz w:val="20"/>
              </w:rPr>
              <w:t>被保险人变更后的职业不属于我们承保范围的。</w:t>
            </w:r>
          </w:p>
          <w:p>
            <w:pPr>
              <w:pStyle w:val="TableParagraph"/>
              <w:spacing w:line="285" w:lineRule="auto" w:before="35"/>
              <w:ind w:left="288" w:right="198"/>
              <w:jc w:val="both"/>
              <w:rPr>
                <w:sz w:val="20"/>
              </w:rPr>
            </w:pPr>
            <w:r>
              <w:rPr>
                <w:spacing w:val="-5"/>
                <w:w w:val="95"/>
                <w:sz w:val="20"/>
              </w:rPr>
              <w:t>在每个保证续保期间，若您于每个保单周年日未向我们提出终止续保的书面要求，则本   </w:t>
            </w:r>
            <w:r>
              <w:rPr>
                <w:spacing w:val="-10"/>
                <w:w w:val="95"/>
                <w:sz w:val="20"/>
              </w:rPr>
              <w:t>附加合同将自动续保一年，直至该保证续保期间届满，但</w:t>
            </w:r>
            <w:r>
              <w:rPr>
                <w:b/>
                <w:w w:val="95"/>
                <w:sz w:val="20"/>
              </w:rPr>
              <w:t>续保时被保险人的年龄最高不  </w:t>
            </w:r>
            <w:r>
              <w:rPr>
                <w:b/>
                <w:sz w:val="20"/>
              </w:rPr>
              <w:t>得超过八十周岁</w:t>
            </w:r>
            <w:r>
              <w:rPr>
                <w:sz w:val="20"/>
              </w:rPr>
              <w:t>。</w:t>
            </w:r>
          </w:p>
          <w:p>
            <w:pPr>
              <w:pStyle w:val="TableParagraph"/>
              <w:spacing w:line="285" w:lineRule="auto" w:before="11"/>
              <w:ind w:left="288" w:right="198"/>
              <w:jc w:val="both"/>
              <w:rPr>
                <w:sz w:val="20"/>
              </w:rPr>
            </w:pPr>
            <w:r>
              <w:rPr>
                <w:spacing w:val="-5"/>
                <w:w w:val="95"/>
                <w:sz w:val="20"/>
              </w:rPr>
              <w:t>在每个保证续保期间临近届满时，我们将重新审核被保险人是否符合续保条件：若我们  </w:t>
            </w:r>
            <w:r>
              <w:rPr>
                <w:spacing w:val="-11"/>
                <w:w w:val="95"/>
                <w:sz w:val="20"/>
              </w:rPr>
              <w:t>同意续保，则新的保证续保期间将从上一个保证续保期间届满后的首个保单周年日起再   </w:t>
            </w:r>
            <w:r>
              <w:rPr>
                <w:spacing w:val="-13"/>
                <w:w w:val="95"/>
                <w:sz w:val="20"/>
              </w:rPr>
              <w:t>延续五个保单年度；若我们不同意续保，则我们将在新的保证续保期间开始前的三十天   </w:t>
            </w:r>
            <w:r>
              <w:rPr>
                <w:spacing w:val="-11"/>
                <w:w w:val="95"/>
                <w:sz w:val="20"/>
              </w:rPr>
              <w:t>内，以书面形式通知您，本附加合同将从上一个保证续保期间届满后的首个保单周年日</w:t>
            </w:r>
          </w:p>
          <w:p>
            <w:pPr>
              <w:pStyle w:val="TableParagraph"/>
              <w:spacing w:line="246" w:lineRule="exact" w:before="11"/>
              <w:ind w:left="288"/>
              <w:jc w:val="both"/>
              <w:rPr>
                <w:sz w:val="20"/>
              </w:rPr>
            </w:pPr>
            <w:r>
              <w:rPr>
                <w:w w:val="95"/>
                <w:sz w:val="20"/>
              </w:rPr>
              <w:t>二十四时自动终止。</w:t>
            </w:r>
          </w:p>
        </w:tc>
      </w:tr>
    </w:tbl>
    <w:p>
      <w:pPr>
        <w:spacing w:after="0" w:line="246" w:lineRule="exact"/>
        <w:jc w:val="both"/>
        <w:rPr>
          <w:sz w:val="20"/>
        </w:rPr>
        <w:sectPr>
          <w:pgSz w:w="11910" w:h="16840"/>
          <w:pgMar w:header="0" w:footer="831" w:top="1480" w:bottom="1020" w:left="580" w:right="480"/>
        </w:sectPr>
      </w:pPr>
    </w:p>
    <w:p>
      <w:pPr>
        <w:pStyle w:val="BodyText"/>
        <w:spacing w:before="6"/>
        <w:rPr>
          <w:rFonts w:ascii="Times New Roman"/>
          <w:sz w:val="4"/>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
        <w:gridCol w:w="2069"/>
        <w:gridCol w:w="7745"/>
      </w:tblGrid>
      <w:tr>
        <w:trPr>
          <w:trHeight w:val="257" w:hRule="atLeast"/>
        </w:trPr>
        <w:tc>
          <w:tcPr>
            <w:tcW w:w="10442" w:type="dxa"/>
            <w:gridSpan w:val="3"/>
            <w:tcBorders>
              <w:bottom w:val="single" w:sz="4" w:space="0" w:color="000000"/>
            </w:tcBorders>
          </w:tcPr>
          <w:p>
            <w:pPr>
              <w:pStyle w:val="TableParagraph"/>
              <w:tabs>
                <w:tab w:pos="1368" w:val="left" w:leader="none"/>
              </w:tabs>
              <w:spacing w:line="199" w:lineRule="exact"/>
              <w:ind w:left="287"/>
              <w:rPr>
                <w:b/>
                <w:sz w:val="20"/>
              </w:rPr>
            </w:pPr>
            <w:r>
              <w:rPr>
                <w:b/>
                <w:sz w:val="20"/>
              </w:rPr>
              <w:t>第三部分</w:t>
              <w:tab/>
            </w:r>
            <w:r>
              <w:rPr>
                <w:b/>
                <w:w w:val="95"/>
                <w:sz w:val="20"/>
              </w:rPr>
              <w:t>如何支付保险费</w:t>
            </w:r>
          </w:p>
        </w:tc>
      </w:tr>
      <w:tr>
        <w:trPr>
          <w:trHeight w:val="1881" w:hRule="atLeast"/>
        </w:trPr>
        <w:tc>
          <w:tcPr>
            <w:tcW w:w="628" w:type="dxa"/>
            <w:tcBorders>
              <w:top w:val="single" w:sz="4" w:space="0" w:color="000000"/>
            </w:tcBorders>
          </w:tcPr>
          <w:p>
            <w:pPr>
              <w:pStyle w:val="TableParagraph"/>
              <w:spacing w:before="148"/>
              <w:rPr>
                <w:b/>
                <w:sz w:val="20"/>
              </w:rPr>
            </w:pPr>
            <w:r>
              <w:rPr>
                <w:b/>
                <w:sz w:val="20"/>
              </w:rPr>
              <w:t>3.1</w:t>
            </w:r>
          </w:p>
        </w:tc>
        <w:tc>
          <w:tcPr>
            <w:tcW w:w="2069" w:type="dxa"/>
            <w:tcBorders>
              <w:top w:val="single" w:sz="4" w:space="0" w:color="000000"/>
            </w:tcBorders>
          </w:tcPr>
          <w:p>
            <w:pPr>
              <w:pStyle w:val="TableParagraph"/>
              <w:spacing w:line="285" w:lineRule="auto" w:before="148"/>
              <w:ind w:left="200" w:right="80"/>
              <w:rPr>
                <w:b/>
                <w:sz w:val="20"/>
              </w:rPr>
            </w:pPr>
            <w:r>
              <w:rPr>
                <w:b/>
                <w:w w:val="95"/>
                <w:sz w:val="20"/>
              </w:rPr>
              <w:t>保险费的支付及宽</w:t>
            </w:r>
            <w:r>
              <w:rPr>
                <w:b/>
                <w:sz w:val="20"/>
              </w:rPr>
              <w:t>限期</w:t>
            </w:r>
          </w:p>
        </w:tc>
        <w:tc>
          <w:tcPr>
            <w:tcW w:w="7745" w:type="dxa"/>
            <w:tcBorders>
              <w:top w:val="single" w:sz="4" w:space="0" w:color="000000"/>
            </w:tcBorders>
          </w:tcPr>
          <w:p>
            <w:pPr>
              <w:pStyle w:val="TableParagraph"/>
              <w:spacing w:line="237" w:lineRule="auto" w:before="126"/>
              <w:ind w:left="111" w:right="234"/>
              <w:rPr>
                <w:sz w:val="20"/>
              </w:rPr>
            </w:pPr>
            <w:r>
              <w:rPr>
                <w:w w:val="95"/>
                <w:sz w:val="20"/>
              </w:rPr>
              <w:t>您须按照保险单中约定的交费方式，在本附加合同的每个保险费约定支付日，向我们  支付本附加合同的各期保险费。</w:t>
            </w:r>
          </w:p>
          <w:p>
            <w:pPr>
              <w:pStyle w:val="TableParagraph"/>
              <w:spacing w:line="237" w:lineRule="auto"/>
              <w:ind w:left="111" w:right="234"/>
              <w:rPr>
                <w:sz w:val="20"/>
              </w:rPr>
            </w:pPr>
            <w:r>
              <w:rPr>
                <w:w w:val="95"/>
                <w:sz w:val="20"/>
              </w:rPr>
              <w:t>您应向我们支付的各期保险费根据被保险人当时的年龄及本附加合同当时有效的保险  费率计算确定。</w:t>
            </w:r>
          </w:p>
          <w:p>
            <w:pPr>
              <w:pStyle w:val="TableParagraph"/>
              <w:ind w:left="111" w:right="234"/>
              <w:rPr>
                <w:sz w:val="20"/>
              </w:rPr>
            </w:pPr>
            <w:r>
              <w:rPr>
                <w:w w:val="95"/>
                <w:sz w:val="20"/>
              </w:rPr>
              <w:t>主合同保险费支付及宽限期的相关规定适用于本附加合同，但若本附加合同另有关于  保险费支付及宽限期的特别规定，则以该规定为准。</w:t>
            </w:r>
          </w:p>
        </w:tc>
      </w:tr>
      <w:tr>
        <w:trPr>
          <w:trHeight w:val="455" w:hRule="atLeast"/>
        </w:trPr>
        <w:tc>
          <w:tcPr>
            <w:tcW w:w="10442" w:type="dxa"/>
            <w:gridSpan w:val="3"/>
            <w:tcBorders>
              <w:bottom w:val="single" w:sz="4" w:space="0" w:color="000000"/>
            </w:tcBorders>
          </w:tcPr>
          <w:p>
            <w:pPr>
              <w:pStyle w:val="TableParagraph"/>
              <w:tabs>
                <w:tab w:pos="1368" w:val="left" w:leader="none"/>
              </w:tabs>
              <w:spacing w:before="135"/>
              <w:ind w:left="287"/>
              <w:rPr>
                <w:b/>
                <w:sz w:val="20"/>
              </w:rPr>
            </w:pPr>
            <w:r>
              <w:rPr>
                <w:b/>
                <w:sz w:val="20"/>
              </w:rPr>
              <w:t>第四部分</w:t>
              <w:tab/>
            </w:r>
            <w:r>
              <w:rPr>
                <w:b/>
                <w:w w:val="95"/>
                <w:sz w:val="20"/>
              </w:rPr>
              <w:t>如何申请领取保险金</w:t>
            </w:r>
          </w:p>
        </w:tc>
      </w:tr>
      <w:tr>
        <w:trPr>
          <w:trHeight w:val="621" w:hRule="atLeast"/>
        </w:trPr>
        <w:tc>
          <w:tcPr>
            <w:tcW w:w="628" w:type="dxa"/>
            <w:tcBorders>
              <w:top w:val="single" w:sz="4" w:space="0" w:color="000000"/>
            </w:tcBorders>
          </w:tcPr>
          <w:p>
            <w:pPr>
              <w:pStyle w:val="TableParagraph"/>
              <w:spacing w:before="148"/>
              <w:ind w:left="124"/>
              <w:rPr>
                <w:b/>
                <w:sz w:val="20"/>
              </w:rPr>
            </w:pPr>
            <w:r>
              <w:rPr>
                <w:b/>
                <w:sz w:val="20"/>
              </w:rPr>
              <w:t>4.1</w:t>
            </w:r>
          </w:p>
        </w:tc>
        <w:tc>
          <w:tcPr>
            <w:tcW w:w="2069" w:type="dxa"/>
            <w:tcBorders>
              <w:top w:val="single" w:sz="4" w:space="0" w:color="000000"/>
            </w:tcBorders>
          </w:tcPr>
          <w:p>
            <w:pPr>
              <w:pStyle w:val="TableParagraph"/>
              <w:spacing w:before="148"/>
              <w:ind w:left="217"/>
              <w:rPr>
                <w:b/>
                <w:sz w:val="20"/>
              </w:rPr>
            </w:pPr>
            <w:r>
              <w:rPr>
                <w:b/>
                <w:sz w:val="20"/>
              </w:rPr>
              <w:t>受益人</w:t>
            </w:r>
          </w:p>
        </w:tc>
        <w:tc>
          <w:tcPr>
            <w:tcW w:w="7745" w:type="dxa"/>
            <w:tcBorders>
              <w:top w:val="single" w:sz="4" w:space="0" w:color="000000"/>
            </w:tcBorders>
          </w:tcPr>
          <w:p>
            <w:pPr>
              <w:pStyle w:val="TableParagraph"/>
              <w:spacing w:before="148"/>
              <w:ind w:left="130"/>
              <w:rPr>
                <w:sz w:val="20"/>
              </w:rPr>
            </w:pPr>
            <w:r>
              <w:rPr>
                <w:w w:val="95"/>
                <w:sz w:val="20"/>
              </w:rPr>
              <w:t>本附加合同重大疾病保险金的受益人为被保险人本人。</w:t>
            </w:r>
          </w:p>
        </w:tc>
      </w:tr>
      <w:tr>
        <w:trPr>
          <w:trHeight w:val="1872" w:hRule="atLeast"/>
        </w:trPr>
        <w:tc>
          <w:tcPr>
            <w:tcW w:w="628" w:type="dxa"/>
          </w:tcPr>
          <w:p>
            <w:pPr>
              <w:pStyle w:val="TableParagraph"/>
              <w:spacing w:before="150"/>
              <w:rPr>
                <w:b/>
                <w:sz w:val="20"/>
              </w:rPr>
            </w:pPr>
            <w:r>
              <w:rPr>
                <w:b/>
                <w:sz w:val="20"/>
              </w:rPr>
              <w:t>4.2</w:t>
            </w:r>
          </w:p>
        </w:tc>
        <w:tc>
          <w:tcPr>
            <w:tcW w:w="2069" w:type="dxa"/>
          </w:tcPr>
          <w:p>
            <w:pPr>
              <w:pStyle w:val="TableParagraph"/>
              <w:spacing w:before="150"/>
              <w:ind w:left="200"/>
              <w:rPr>
                <w:b/>
                <w:sz w:val="20"/>
              </w:rPr>
            </w:pPr>
            <w:r>
              <w:rPr>
                <w:b/>
                <w:w w:val="95"/>
                <w:sz w:val="20"/>
              </w:rPr>
              <w:t>保险事故通知</w:t>
            </w:r>
          </w:p>
        </w:tc>
        <w:tc>
          <w:tcPr>
            <w:tcW w:w="7745" w:type="dxa"/>
          </w:tcPr>
          <w:p>
            <w:pPr>
              <w:pStyle w:val="TableParagraph"/>
              <w:spacing w:before="150"/>
              <w:ind w:left="111"/>
              <w:rPr>
                <w:sz w:val="20"/>
              </w:rPr>
            </w:pPr>
            <w:r>
              <w:rPr>
                <w:w w:val="95"/>
                <w:sz w:val="20"/>
              </w:rPr>
              <w:t>您或受益人知道保险事故后应当在十日内通知我们。</w:t>
            </w:r>
          </w:p>
          <w:p>
            <w:pPr>
              <w:pStyle w:val="TableParagraph"/>
              <w:spacing w:line="285" w:lineRule="auto" w:before="51"/>
              <w:ind w:left="111" w:right="110"/>
              <w:rPr>
                <w:sz w:val="20"/>
              </w:rPr>
            </w:pPr>
            <w:r>
              <w:rPr>
                <w:spacing w:val="-4"/>
                <w:w w:val="95"/>
                <w:sz w:val="20"/>
              </w:rPr>
              <w:t>如果您或受益人故意或者因重大过失未及时通知，致使保险事故的性质、原因、损失程  </w:t>
            </w:r>
            <w:r>
              <w:rPr>
                <w:spacing w:val="-10"/>
                <w:sz w:val="20"/>
              </w:rPr>
              <w:t>度等难以确定的，我们对无法确定的部分，不承担给付保险金的责任，但我们通过其他途径已经及时知道或者应当及时知道保险事故发生或者虽未及时通知但不影响我们确</w:t>
            </w:r>
            <w:r>
              <w:rPr>
                <w:spacing w:val="-10"/>
                <w:w w:val="95"/>
                <w:sz w:val="20"/>
              </w:rPr>
              <w:t>定保险事故的性质、原因、损失程度的除外。</w:t>
            </w:r>
          </w:p>
        </w:tc>
      </w:tr>
      <w:tr>
        <w:trPr>
          <w:trHeight w:val="3744" w:hRule="atLeast"/>
        </w:trPr>
        <w:tc>
          <w:tcPr>
            <w:tcW w:w="628" w:type="dxa"/>
          </w:tcPr>
          <w:p>
            <w:pPr>
              <w:pStyle w:val="TableParagraph"/>
              <w:spacing w:before="150"/>
              <w:rPr>
                <w:b/>
                <w:sz w:val="20"/>
              </w:rPr>
            </w:pPr>
            <w:r>
              <w:rPr>
                <w:b/>
                <w:sz w:val="20"/>
              </w:rPr>
              <w:t>4.3</w:t>
            </w:r>
          </w:p>
        </w:tc>
        <w:tc>
          <w:tcPr>
            <w:tcW w:w="2069" w:type="dxa"/>
          </w:tcPr>
          <w:p>
            <w:pPr>
              <w:pStyle w:val="TableParagraph"/>
              <w:spacing w:before="150"/>
              <w:ind w:left="200"/>
              <w:rPr>
                <w:b/>
                <w:sz w:val="20"/>
              </w:rPr>
            </w:pPr>
            <w:r>
              <w:rPr>
                <w:b/>
                <w:w w:val="95"/>
                <w:sz w:val="20"/>
              </w:rPr>
              <w:t>保险金申请</w:t>
            </w:r>
          </w:p>
        </w:tc>
        <w:tc>
          <w:tcPr>
            <w:tcW w:w="7745" w:type="dxa"/>
          </w:tcPr>
          <w:p>
            <w:pPr>
              <w:pStyle w:val="TableParagraph"/>
              <w:spacing w:line="285" w:lineRule="auto" w:before="150"/>
              <w:ind w:left="111" w:right="108"/>
              <w:rPr>
                <w:sz w:val="20"/>
              </w:rPr>
            </w:pPr>
            <w:r>
              <w:rPr>
                <w:spacing w:val="-6"/>
                <w:w w:val="95"/>
                <w:sz w:val="20"/>
              </w:rPr>
              <w:t>在申请重大疾病保险金时，受益人或其代理人须填写保险金给付申请书，并提供下列证   明和资料：</w:t>
            </w:r>
          </w:p>
          <w:p>
            <w:pPr>
              <w:pStyle w:val="TableParagraph"/>
              <w:numPr>
                <w:ilvl w:val="0"/>
                <w:numId w:val="6"/>
              </w:numPr>
              <w:tabs>
                <w:tab w:pos="792" w:val="left" w:leader="none"/>
              </w:tabs>
              <w:spacing w:line="240" w:lineRule="auto" w:before="12" w:after="0"/>
              <w:ind w:left="791" w:right="0" w:hanging="680"/>
              <w:jc w:val="left"/>
              <w:rPr>
                <w:sz w:val="20"/>
              </w:rPr>
            </w:pPr>
            <w:r>
              <w:rPr>
                <w:w w:val="95"/>
                <w:sz w:val="20"/>
              </w:rPr>
              <w:t>本附加合同；</w:t>
            </w:r>
          </w:p>
          <w:p>
            <w:pPr>
              <w:pStyle w:val="TableParagraph"/>
              <w:numPr>
                <w:ilvl w:val="0"/>
                <w:numId w:val="6"/>
              </w:numPr>
              <w:tabs>
                <w:tab w:pos="792" w:val="left" w:leader="none"/>
              </w:tabs>
              <w:spacing w:line="240" w:lineRule="auto" w:before="50" w:after="0"/>
              <w:ind w:left="791" w:right="0" w:hanging="680"/>
              <w:jc w:val="left"/>
              <w:rPr>
                <w:sz w:val="20"/>
              </w:rPr>
            </w:pPr>
            <w:r>
              <w:rPr>
                <w:w w:val="95"/>
                <w:sz w:val="20"/>
              </w:rPr>
              <w:t>申请人的有效身份证件；</w:t>
            </w:r>
          </w:p>
          <w:p>
            <w:pPr>
              <w:pStyle w:val="TableParagraph"/>
              <w:numPr>
                <w:ilvl w:val="0"/>
                <w:numId w:val="6"/>
              </w:numPr>
              <w:tabs>
                <w:tab w:pos="792" w:val="left" w:leader="none"/>
              </w:tabs>
              <w:spacing w:line="285" w:lineRule="auto" w:before="50" w:after="0"/>
              <w:ind w:left="791" w:right="155" w:hanging="680"/>
              <w:jc w:val="both"/>
              <w:rPr>
                <w:sz w:val="20"/>
              </w:rPr>
            </w:pPr>
            <w:r>
              <w:rPr>
                <w:w w:val="95"/>
                <w:sz w:val="20"/>
              </w:rPr>
              <w:t>我们指定或认可的医院的专科医生出具的附有病理显微镜检查、血液检验及其  他科学方法检验报告的疾病诊断证明书（以上证明皆须原件或加盖医院公章的  复印件），我们保留对被保险人的病情做进一步会诊的权利；</w:t>
            </w:r>
          </w:p>
          <w:p>
            <w:pPr>
              <w:pStyle w:val="TableParagraph"/>
              <w:numPr>
                <w:ilvl w:val="0"/>
                <w:numId w:val="6"/>
              </w:numPr>
              <w:tabs>
                <w:tab w:pos="792" w:val="left" w:leader="none"/>
              </w:tabs>
              <w:spacing w:line="285" w:lineRule="auto" w:before="12" w:after="0"/>
              <w:ind w:left="791" w:right="156" w:hanging="680"/>
              <w:jc w:val="left"/>
              <w:rPr>
                <w:sz w:val="20"/>
              </w:rPr>
            </w:pPr>
            <w:r>
              <w:rPr>
                <w:w w:val="95"/>
                <w:sz w:val="20"/>
              </w:rPr>
              <w:t>若申请人为代理人，还须提供由受益人出具的授权委托书、代理人本人身份证  明；</w:t>
            </w:r>
          </w:p>
          <w:p>
            <w:pPr>
              <w:pStyle w:val="TableParagraph"/>
              <w:numPr>
                <w:ilvl w:val="0"/>
                <w:numId w:val="6"/>
              </w:numPr>
              <w:tabs>
                <w:tab w:pos="792" w:val="left" w:leader="none"/>
              </w:tabs>
              <w:spacing w:line="285" w:lineRule="auto" w:before="12" w:after="0"/>
              <w:ind w:left="111" w:right="234" w:firstLine="0"/>
              <w:jc w:val="left"/>
              <w:rPr>
                <w:sz w:val="20"/>
              </w:rPr>
            </w:pPr>
            <w:r>
              <w:rPr>
                <w:sz w:val="20"/>
              </w:rPr>
              <w:t>申请人所能提供的与确认保险事故的性质、原因等有关的其他证明和资料。</w:t>
            </w:r>
            <w:r>
              <w:rPr>
                <w:w w:val="95"/>
                <w:sz w:val="20"/>
              </w:rPr>
              <w:t>以上证明和资料不完整的，我们将及时一次性通知申请人补充提供有关证明和资料。</w:t>
            </w:r>
          </w:p>
        </w:tc>
      </w:tr>
      <w:tr>
        <w:trPr>
          <w:trHeight w:val="936" w:hRule="atLeast"/>
        </w:trPr>
        <w:tc>
          <w:tcPr>
            <w:tcW w:w="628" w:type="dxa"/>
          </w:tcPr>
          <w:p>
            <w:pPr>
              <w:pStyle w:val="TableParagraph"/>
              <w:spacing w:before="150"/>
              <w:rPr>
                <w:b/>
                <w:sz w:val="20"/>
              </w:rPr>
            </w:pPr>
            <w:r>
              <w:rPr>
                <w:b/>
                <w:sz w:val="20"/>
              </w:rPr>
              <w:t>4.4</w:t>
            </w:r>
          </w:p>
        </w:tc>
        <w:tc>
          <w:tcPr>
            <w:tcW w:w="2069" w:type="dxa"/>
          </w:tcPr>
          <w:p>
            <w:pPr>
              <w:pStyle w:val="TableParagraph"/>
              <w:spacing w:before="150"/>
              <w:ind w:left="200"/>
              <w:rPr>
                <w:b/>
                <w:sz w:val="20"/>
              </w:rPr>
            </w:pPr>
            <w:r>
              <w:rPr>
                <w:b/>
                <w:sz w:val="20"/>
              </w:rPr>
              <w:t>诉讼时效</w:t>
            </w:r>
          </w:p>
        </w:tc>
        <w:tc>
          <w:tcPr>
            <w:tcW w:w="7745" w:type="dxa"/>
          </w:tcPr>
          <w:p>
            <w:pPr>
              <w:pStyle w:val="TableParagraph"/>
              <w:spacing w:line="285" w:lineRule="auto" w:before="150"/>
              <w:ind w:left="111" w:right="108"/>
              <w:rPr>
                <w:sz w:val="20"/>
              </w:rPr>
            </w:pPr>
            <w:r>
              <w:rPr>
                <w:spacing w:val="-3"/>
                <w:w w:val="95"/>
                <w:sz w:val="20"/>
              </w:rPr>
              <w:t>受益人向我们请求给付本附加合同重大疾病保险金的诉讼时效期间为两年，自其知道或   者应当知道保险事故发生之日起计算。</w:t>
            </w:r>
          </w:p>
        </w:tc>
      </w:tr>
      <w:tr>
        <w:trPr>
          <w:trHeight w:val="469" w:hRule="atLeast"/>
        </w:trPr>
        <w:tc>
          <w:tcPr>
            <w:tcW w:w="10442" w:type="dxa"/>
            <w:gridSpan w:val="3"/>
            <w:tcBorders>
              <w:bottom w:val="single" w:sz="4" w:space="0" w:color="000000"/>
            </w:tcBorders>
          </w:tcPr>
          <w:p>
            <w:pPr>
              <w:pStyle w:val="TableParagraph"/>
              <w:tabs>
                <w:tab w:pos="1368" w:val="left" w:leader="none"/>
              </w:tabs>
              <w:spacing w:before="150"/>
              <w:ind w:left="287"/>
              <w:rPr>
                <w:b/>
                <w:sz w:val="20"/>
              </w:rPr>
            </w:pPr>
            <w:r>
              <w:rPr>
                <w:b/>
                <w:sz w:val="20"/>
              </w:rPr>
              <w:t>第五部分</w:t>
              <w:tab/>
            </w:r>
            <w:r>
              <w:rPr>
                <w:b/>
                <w:w w:val="95"/>
                <w:sz w:val="20"/>
              </w:rPr>
              <w:t>如何解除保险合同</w:t>
            </w:r>
          </w:p>
        </w:tc>
      </w:tr>
      <w:tr>
        <w:trPr>
          <w:trHeight w:val="2494" w:hRule="atLeast"/>
        </w:trPr>
        <w:tc>
          <w:tcPr>
            <w:tcW w:w="628" w:type="dxa"/>
            <w:tcBorders>
              <w:top w:val="single" w:sz="4" w:space="0" w:color="000000"/>
            </w:tcBorders>
          </w:tcPr>
          <w:p>
            <w:pPr>
              <w:pStyle w:val="TableParagraph"/>
              <w:spacing w:before="148"/>
              <w:rPr>
                <w:b/>
                <w:sz w:val="20"/>
              </w:rPr>
            </w:pPr>
            <w:r>
              <w:rPr>
                <w:b/>
                <w:sz w:val="20"/>
              </w:rPr>
              <w:t>5.1</w:t>
            </w:r>
          </w:p>
        </w:tc>
        <w:tc>
          <w:tcPr>
            <w:tcW w:w="2069" w:type="dxa"/>
            <w:tcBorders>
              <w:top w:val="single" w:sz="4" w:space="0" w:color="000000"/>
            </w:tcBorders>
          </w:tcPr>
          <w:p>
            <w:pPr>
              <w:pStyle w:val="TableParagraph"/>
              <w:spacing w:before="148"/>
              <w:ind w:left="200"/>
              <w:rPr>
                <w:b/>
                <w:sz w:val="20"/>
              </w:rPr>
            </w:pPr>
            <w:r>
              <w:rPr>
                <w:b/>
                <w:w w:val="95"/>
                <w:sz w:val="20"/>
              </w:rPr>
              <w:t>合同的解除及风险</w:t>
            </w:r>
          </w:p>
        </w:tc>
        <w:tc>
          <w:tcPr>
            <w:tcW w:w="7745" w:type="dxa"/>
            <w:tcBorders>
              <w:top w:val="single" w:sz="4" w:space="0" w:color="000000"/>
            </w:tcBorders>
          </w:tcPr>
          <w:p>
            <w:pPr>
              <w:pStyle w:val="TableParagraph"/>
              <w:spacing w:before="148"/>
              <w:ind w:left="111"/>
              <w:rPr>
                <w:sz w:val="20"/>
              </w:rPr>
            </w:pPr>
            <w:r>
              <w:rPr>
                <w:w w:val="95"/>
                <w:sz w:val="20"/>
              </w:rPr>
              <w:t>（1）如您申请解除本附加合同，请填写附加合同终止申请书并向我们提供下列资料：</w:t>
            </w:r>
          </w:p>
          <w:p>
            <w:pPr>
              <w:pStyle w:val="TableParagraph"/>
              <w:numPr>
                <w:ilvl w:val="0"/>
                <w:numId w:val="7"/>
              </w:numPr>
              <w:tabs>
                <w:tab w:pos="984" w:val="left" w:leader="none"/>
              </w:tabs>
              <w:spacing w:line="240" w:lineRule="auto" w:before="50" w:after="0"/>
              <w:ind w:left="983" w:right="0" w:hanging="360"/>
              <w:jc w:val="left"/>
              <w:rPr>
                <w:sz w:val="20"/>
              </w:rPr>
            </w:pPr>
            <w:r>
              <w:rPr>
                <w:w w:val="95"/>
                <w:sz w:val="20"/>
              </w:rPr>
              <w:t>本附加合同；</w:t>
            </w:r>
          </w:p>
          <w:p>
            <w:pPr>
              <w:pStyle w:val="TableParagraph"/>
              <w:numPr>
                <w:ilvl w:val="0"/>
                <w:numId w:val="7"/>
              </w:numPr>
              <w:tabs>
                <w:tab w:pos="984" w:val="left" w:leader="none"/>
              </w:tabs>
              <w:spacing w:line="240" w:lineRule="auto" w:before="50" w:after="0"/>
              <w:ind w:left="983" w:right="0" w:hanging="360"/>
              <w:jc w:val="left"/>
              <w:rPr>
                <w:sz w:val="20"/>
              </w:rPr>
            </w:pPr>
            <w:r>
              <w:rPr>
                <w:w w:val="95"/>
                <w:sz w:val="20"/>
              </w:rPr>
              <w:t>您的有效身份证件。</w:t>
            </w:r>
          </w:p>
          <w:p>
            <w:pPr>
              <w:pStyle w:val="TableParagraph"/>
              <w:spacing w:line="285" w:lineRule="auto" w:before="51"/>
              <w:ind w:left="82" w:right="134"/>
              <w:jc w:val="both"/>
              <w:rPr>
                <w:b/>
                <w:sz w:val="20"/>
              </w:rPr>
            </w:pPr>
            <w:r>
              <w:rPr>
                <w:sz w:val="20"/>
              </w:rPr>
              <w:t>（2）自我们收到附加合同终止申请书时起，本附加合同终止。</w:t>
            </w:r>
            <w:r>
              <w:rPr>
                <w:b/>
                <w:sz w:val="20"/>
              </w:rPr>
              <w:t>若附加合同终止日至满</w:t>
            </w:r>
            <w:r>
              <w:rPr>
                <w:b/>
                <w:spacing w:val="-1"/>
                <w:sz w:val="20"/>
              </w:rPr>
              <w:t>期日的天数大于或者等于 </w:t>
            </w:r>
            <w:r>
              <w:rPr>
                <w:b/>
                <w:sz w:val="20"/>
              </w:rPr>
              <w:t>180</w:t>
            </w:r>
            <w:r>
              <w:rPr>
                <w:b/>
                <w:spacing w:val="-3"/>
                <w:sz w:val="20"/>
              </w:rPr>
              <w:t> 天，我们自收到附加合同终止申请书之日起三十日内向</w:t>
            </w:r>
            <w:r>
              <w:rPr>
                <w:b/>
                <w:spacing w:val="-3"/>
                <w:w w:val="95"/>
                <w:sz w:val="20"/>
              </w:rPr>
              <w:t>您退还本附加合同的未经过净保险费。</w:t>
            </w:r>
          </w:p>
          <w:p>
            <w:pPr>
              <w:pStyle w:val="TableParagraph"/>
              <w:spacing w:before="12"/>
              <w:ind w:left="82"/>
              <w:jc w:val="both"/>
              <w:rPr>
                <w:b/>
                <w:sz w:val="20"/>
              </w:rPr>
            </w:pPr>
            <w:r>
              <w:rPr>
                <w:b/>
                <w:w w:val="95"/>
                <w:sz w:val="20"/>
              </w:rPr>
              <w:t>如您在犹豫期后解除合同，会遭受一定的损失，故请您慎重考虑和决定。</w:t>
            </w:r>
          </w:p>
        </w:tc>
      </w:tr>
      <w:tr>
        <w:trPr>
          <w:trHeight w:val="469" w:hRule="atLeast"/>
        </w:trPr>
        <w:tc>
          <w:tcPr>
            <w:tcW w:w="10442" w:type="dxa"/>
            <w:gridSpan w:val="3"/>
            <w:tcBorders>
              <w:bottom w:val="single" w:sz="4" w:space="0" w:color="000000"/>
            </w:tcBorders>
          </w:tcPr>
          <w:p>
            <w:pPr>
              <w:pStyle w:val="TableParagraph"/>
              <w:tabs>
                <w:tab w:pos="1368" w:val="left" w:leader="none"/>
              </w:tabs>
              <w:spacing w:before="150"/>
              <w:ind w:left="287"/>
              <w:rPr>
                <w:b/>
                <w:sz w:val="20"/>
              </w:rPr>
            </w:pPr>
            <w:r>
              <w:rPr>
                <w:b/>
                <w:sz w:val="20"/>
              </w:rPr>
              <w:t>第六部分</w:t>
              <w:tab/>
            </w:r>
            <w:r>
              <w:rPr>
                <w:b/>
                <w:w w:val="95"/>
                <w:sz w:val="20"/>
              </w:rPr>
              <w:t>其他重要事项</w:t>
            </w:r>
          </w:p>
        </w:tc>
      </w:tr>
      <w:tr>
        <w:trPr>
          <w:trHeight w:val="409" w:hRule="atLeast"/>
        </w:trPr>
        <w:tc>
          <w:tcPr>
            <w:tcW w:w="628" w:type="dxa"/>
            <w:tcBorders>
              <w:top w:val="single" w:sz="4" w:space="0" w:color="000000"/>
            </w:tcBorders>
          </w:tcPr>
          <w:p>
            <w:pPr>
              <w:pStyle w:val="TableParagraph"/>
              <w:spacing w:line="242" w:lineRule="exact" w:before="148"/>
              <w:rPr>
                <w:b/>
                <w:sz w:val="20"/>
              </w:rPr>
            </w:pPr>
            <w:r>
              <w:rPr>
                <w:b/>
                <w:sz w:val="20"/>
              </w:rPr>
              <w:t>6.1</w:t>
            </w:r>
          </w:p>
        </w:tc>
        <w:tc>
          <w:tcPr>
            <w:tcW w:w="2069" w:type="dxa"/>
            <w:tcBorders>
              <w:top w:val="single" w:sz="4" w:space="0" w:color="000000"/>
            </w:tcBorders>
          </w:tcPr>
          <w:p>
            <w:pPr>
              <w:pStyle w:val="TableParagraph"/>
              <w:spacing w:line="242" w:lineRule="exact" w:before="148"/>
              <w:ind w:left="200"/>
              <w:rPr>
                <w:b/>
                <w:sz w:val="20"/>
              </w:rPr>
            </w:pPr>
            <w:r>
              <w:rPr>
                <w:b/>
                <w:sz w:val="20"/>
              </w:rPr>
              <w:t>职业变更</w:t>
            </w:r>
          </w:p>
        </w:tc>
        <w:tc>
          <w:tcPr>
            <w:tcW w:w="7745" w:type="dxa"/>
            <w:tcBorders>
              <w:top w:val="single" w:sz="4" w:space="0" w:color="000000"/>
            </w:tcBorders>
          </w:tcPr>
          <w:p>
            <w:pPr>
              <w:pStyle w:val="TableParagraph"/>
              <w:spacing w:line="242" w:lineRule="exact" w:before="148"/>
              <w:ind w:left="111"/>
              <w:rPr>
                <w:sz w:val="20"/>
              </w:rPr>
            </w:pPr>
            <w:r>
              <w:rPr>
                <w:w w:val="95"/>
                <w:sz w:val="20"/>
              </w:rPr>
              <w:t>您或被保险人应于被保险人变更职业后十日之内通知我们。</w:t>
            </w:r>
          </w:p>
        </w:tc>
      </w:tr>
    </w:tbl>
    <w:p>
      <w:pPr>
        <w:spacing w:after="0" w:line="242" w:lineRule="exact"/>
        <w:rPr>
          <w:sz w:val="20"/>
        </w:rPr>
        <w:sectPr>
          <w:pgSz w:w="11910" w:h="16840"/>
          <w:pgMar w:header="0" w:footer="831" w:top="1580" w:bottom="1020" w:left="680" w:right="5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1"/>
        <w:gridCol w:w="1902"/>
        <w:gridCol w:w="8079"/>
      </w:tblGrid>
      <w:tr>
        <w:trPr>
          <w:trHeight w:val="4468" w:hRule="atLeast"/>
        </w:trPr>
        <w:tc>
          <w:tcPr>
            <w:tcW w:w="711" w:type="dxa"/>
          </w:tcPr>
          <w:p>
            <w:pPr>
              <w:pStyle w:val="TableParagraph"/>
              <w:ind w:left="0"/>
              <w:rPr>
                <w:rFonts w:ascii="Times New Roman"/>
                <w:sz w:val="18"/>
              </w:rPr>
            </w:pPr>
          </w:p>
        </w:tc>
        <w:tc>
          <w:tcPr>
            <w:tcW w:w="1902" w:type="dxa"/>
          </w:tcPr>
          <w:p>
            <w:pPr>
              <w:pStyle w:val="TableParagraph"/>
              <w:ind w:left="0"/>
              <w:rPr>
                <w:rFonts w:ascii="Times New Roman"/>
                <w:sz w:val="18"/>
              </w:rPr>
            </w:pPr>
          </w:p>
        </w:tc>
        <w:tc>
          <w:tcPr>
            <w:tcW w:w="8079" w:type="dxa"/>
          </w:tcPr>
          <w:p>
            <w:pPr>
              <w:pStyle w:val="TableParagraph"/>
              <w:numPr>
                <w:ilvl w:val="0"/>
                <w:numId w:val="8"/>
              </w:numPr>
              <w:tabs>
                <w:tab w:pos="968" w:val="left" w:leader="none"/>
              </w:tabs>
              <w:spacing w:line="195" w:lineRule="exact" w:before="0" w:after="0"/>
              <w:ind w:left="967" w:right="0" w:hanging="680"/>
              <w:jc w:val="left"/>
              <w:rPr>
                <w:sz w:val="20"/>
              </w:rPr>
            </w:pPr>
            <w:r>
              <w:rPr>
                <w:w w:val="95"/>
                <w:sz w:val="20"/>
              </w:rPr>
              <w:t>若被保险人变更后的职业不属于本公司的承保范围，本附加合同自其职业变更</w:t>
            </w:r>
          </w:p>
          <w:p>
            <w:pPr>
              <w:pStyle w:val="TableParagraph"/>
              <w:spacing w:line="285" w:lineRule="auto" w:before="50"/>
              <w:ind w:left="967" w:right="296"/>
              <w:rPr>
                <w:sz w:val="20"/>
              </w:rPr>
            </w:pPr>
            <w:r>
              <w:rPr>
                <w:sz w:val="20"/>
              </w:rPr>
              <w:t>之日起终止，我们参照本附加合同“5.1 合同的解除及风险”中所示退还本附</w:t>
            </w:r>
            <w:r>
              <w:rPr>
                <w:w w:val="95"/>
                <w:sz w:val="20"/>
              </w:rPr>
              <w:t>加合同的未经过净保险费。</w:t>
            </w:r>
          </w:p>
          <w:p>
            <w:pPr>
              <w:pStyle w:val="TableParagraph"/>
              <w:numPr>
                <w:ilvl w:val="0"/>
                <w:numId w:val="8"/>
              </w:numPr>
              <w:tabs>
                <w:tab w:pos="968" w:val="left" w:leader="none"/>
              </w:tabs>
              <w:spacing w:line="285" w:lineRule="auto" w:before="11" w:after="0"/>
              <w:ind w:left="967" w:right="197" w:hanging="680"/>
              <w:jc w:val="left"/>
              <w:rPr>
                <w:sz w:val="20"/>
              </w:rPr>
            </w:pPr>
            <w:r>
              <w:rPr>
                <w:sz w:val="20"/>
              </w:rPr>
              <w:t>若被保险人变更后的职业属于我们的承保范围，变更之日所在保单年度的保险费维持不变，但在续保时您需按续保当时被保险人的职业支付续保保险费；若</w:t>
            </w:r>
            <w:r>
              <w:rPr>
                <w:spacing w:val="-5"/>
                <w:w w:val="95"/>
                <w:sz w:val="20"/>
              </w:rPr>
              <w:t>您或被保险人未按前述约定通知我们，而仍然按变更前的职业支付续保保险费，  本公司按如下规定办理：</w:t>
            </w:r>
          </w:p>
          <w:p>
            <w:pPr>
              <w:pStyle w:val="TableParagraph"/>
              <w:numPr>
                <w:ilvl w:val="1"/>
                <w:numId w:val="8"/>
              </w:numPr>
              <w:tabs>
                <w:tab w:pos="1340" w:val="left" w:leader="none"/>
              </w:tabs>
              <w:spacing w:line="285" w:lineRule="auto" w:before="11" w:after="0"/>
              <w:ind w:left="1339" w:right="338" w:hanging="355"/>
              <w:jc w:val="both"/>
              <w:rPr>
                <w:sz w:val="20"/>
              </w:rPr>
            </w:pPr>
            <w:r>
              <w:rPr>
                <w:w w:val="95"/>
                <w:sz w:val="20"/>
              </w:rPr>
              <w:t>若被保险人变更后的职业，依照我们的职业分类其危险程度增加，致使您  </w:t>
            </w:r>
            <w:r>
              <w:rPr>
                <w:sz w:val="20"/>
              </w:rPr>
              <w:t>实付续保保险费少于应付续保保险费的，我们在给付保险金时，按实付续</w:t>
            </w:r>
            <w:r>
              <w:rPr>
                <w:w w:val="95"/>
                <w:sz w:val="20"/>
              </w:rPr>
              <w:t>保保险费与应付续保保险费的比例计算实际已付保险费对应的基本保险金  额；</w:t>
            </w:r>
          </w:p>
          <w:p>
            <w:pPr>
              <w:pStyle w:val="TableParagraph"/>
              <w:numPr>
                <w:ilvl w:val="1"/>
                <w:numId w:val="8"/>
              </w:numPr>
              <w:tabs>
                <w:tab w:pos="1383" w:val="left" w:leader="none"/>
              </w:tabs>
              <w:spacing w:line="285" w:lineRule="auto" w:before="11" w:after="0"/>
              <w:ind w:left="1336" w:right="271" w:hanging="357"/>
              <w:jc w:val="both"/>
              <w:rPr>
                <w:sz w:val="20"/>
              </w:rPr>
            </w:pPr>
            <w:r>
              <w:rPr>
                <w:sz w:val="20"/>
              </w:rPr>
              <w:t>若被保险人变更后的职业，依照我们的职业分类其危险程度降低，致使您实付续保保险费多于应付续保保险费的，我们将退还您本保单年度多交的</w:t>
            </w:r>
            <w:r>
              <w:rPr>
                <w:w w:val="95"/>
                <w:sz w:val="20"/>
              </w:rPr>
              <w:t>续保保险费，您所购买的基本保险金额维持不变。</w:t>
            </w:r>
          </w:p>
        </w:tc>
      </w:tr>
      <w:tr>
        <w:trPr>
          <w:trHeight w:val="3532" w:hRule="atLeast"/>
        </w:trPr>
        <w:tc>
          <w:tcPr>
            <w:tcW w:w="711" w:type="dxa"/>
          </w:tcPr>
          <w:p>
            <w:pPr>
              <w:pStyle w:val="TableParagraph"/>
              <w:spacing w:before="146"/>
              <w:ind w:left="200"/>
              <w:rPr>
                <w:b/>
                <w:sz w:val="20"/>
              </w:rPr>
            </w:pPr>
            <w:r>
              <w:rPr>
                <w:b/>
                <w:sz w:val="20"/>
              </w:rPr>
              <w:t>6.2</w:t>
            </w:r>
          </w:p>
        </w:tc>
        <w:tc>
          <w:tcPr>
            <w:tcW w:w="1902" w:type="dxa"/>
          </w:tcPr>
          <w:p>
            <w:pPr>
              <w:pStyle w:val="TableParagraph"/>
              <w:spacing w:before="146"/>
              <w:ind w:left="209"/>
              <w:rPr>
                <w:b/>
                <w:sz w:val="20"/>
              </w:rPr>
            </w:pPr>
            <w:r>
              <w:rPr>
                <w:b/>
                <w:w w:val="95"/>
                <w:sz w:val="20"/>
              </w:rPr>
              <w:t>年龄或性别错误</w:t>
            </w:r>
          </w:p>
        </w:tc>
        <w:tc>
          <w:tcPr>
            <w:tcW w:w="8079" w:type="dxa"/>
          </w:tcPr>
          <w:p>
            <w:pPr>
              <w:pStyle w:val="TableParagraph"/>
              <w:spacing w:line="285" w:lineRule="auto" w:before="146"/>
              <w:ind w:left="287" w:right="297"/>
              <w:rPr>
                <w:sz w:val="20"/>
              </w:rPr>
            </w:pPr>
            <w:r>
              <w:rPr>
                <w:sz w:val="20"/>
              </w:rPr>
              <w:t>您在申请投保时，应将与有效身份证件相符的被保险人的出生日期及其真实性别在投</w:t>
            </w:r>
            <w:r>
              <w:rPr>
                <w:w w:val="95"/>
                <w:sz w:val="20"/>
              </w:rPr>
              <w:t>保单上填明，如果发生错误按照下列方式办理：</w:t>
            </w:r>
          </w:p>
          <w:p>
            <w:pPr>
              <w:pStyle w:val="TableParagraph"/>
              <w:numPr>
                <w:ilvl w:val="0"/>
                <w:numId w:val="9"/>
              </w:numPr>
              <w:tabs>
                <w:tab w:pos="968" w:val="left" w:leader="none"/>
              </w:tabs>
              <w:spacing w:line="285" w:lineRule="auto" w:before="12" w:after="0"/>
              <w:ind w:left="967" w:right="301" w:hanging="680"/>
              <w:jc w:val="both"/>
              <w:rPr>
                <w:b/>
                <w:sz w:val="20"/>
              </w:rPr>
            </w:pPr>
            <w:r>
              <w:rPr>
                <w:b/>
                <w:spacing w:val="-2"/>
                <w:w w:val="95"/>
                <w:sz w:val="20"/>
              </w:rPr>
              <w:t>您申报的被保险人年龄不真实，并且其真实年龄不符合本附加合同约定投保年  </w:t>
            </w:r>
            <w:r>
              <w:rPr>
                <w:b/>
                <w:spacing w:val="-5"/>
                <w:w w:val="95"/>
                <w:sz w:val="20"/>
              </w:rPr>
              <w:t>龄限制的，我们有权解除合同，并向您退还本附加合同未经过净保险费。对于  </w:t>
            </w:r>
            <w:r>
              <w:rPr>
                <w:b/>
                <w:spacing w:val="-6"/>
                <w:w w:val="95"/>
                <w:sz w:val="20"/>
              </w:rPr>
              <w:t>本附加合同解除前发生的保险事故，我们不承担给付保险金的责任。我们行使  合同解除权适用主合同“我们合同解除权的限制”的规定。</w:t>
            </w:r>
          </w:p>
          <w:p>
            <w:pPr>
              <w:pStyle w:val="TableParagraph"/>
              <w:numPr>
                <w:ilvl w:val="0"/>
                <w:numId w:val="9"/>
              </w:numPr>
              <w:tabs>
                <w:tab w:pos="968" w:val="left" w:leader="none"/>
              </w:tabs>
              <w:spacing w:line="285" w:lineRule="auto" w:before="12" w:after="0"/>
              <w:ind w:left="967" w:right="304" w:hanging="680"/>
              <w:jc w:val="both"/>
              <w:rPr>
                <w:b/>
                <w:sz w:val="20"/>
              </w:rPr>
            </w:pPr>
            <w:r>
              <w:rPr>
                <w:sz w:val="20"/>
              </w:rPr>
              <w:t>您申报的被保险人年龄或性别不真实，致使您实付保险费少于应付保险费的， </w:t>
            </w:r>
            <w:r>
              <w:rPr>
                <w:w w:val="95"/>
                <w:sz w:val="20"/>
              </w:rPr>
              <w:t>我们有权更正并要求您补交本保单年度的保险费；</w:t>
            </w:r>
            <w:r>
              <w:rPr>
                <w:b/>
                <w:spacing w:val="-1"/>
                <w:w w:val="95"/>
                <w:sz w:val="20"/>
              </w:rPr>
              <w:t>若已经发生保险事故，在给  付保险金时按实付保险费和应付保险费的比例给付。</w:t>
            </w:r>
          </w:p>
          <w:p>
            <w:pPr>
              <w:pStyle w:val="TableParagraph"/>
              <w:numPr>
                <w:ilvl w:val="0"/>
                <w:numId w:val="9"/>
              </w:numPr>
              <w:tabs>
                <w:tab w:pos="968" w:val="left" w:leader="none"/>
              </w:tabs>
              <w:spacing w:line="240" w:lineRule="auto" w:before="12" w:after="0"/>
              <w:ind w:left="967" w:right="0" w:hanging="680"/>
              <w:jc w:val="left"/>
              <w:rPr>
                <w:sz w:val="20"/>
              </w:rPr>
            </w:pPr>
            <w:r>
              <w:rPr>
                <w:w w:val="95"/>
                <w:sz w:val="20"/>
              </w:rPr>
              <w:t>您申报的被保险人年龄或性别不真实，致使您实付保险费多于应付保险费的，</w:t>
            </w:r>
          </w:p>
          <w:p>
            <w:pPr>
              <w:pStyle w:val="TableParagraph"/>
              <w:spacing w:line="246" w:lineRule="exact" w:before="50"/>
              <w:ind w:left="967"/>
              <w:rPr>
                <w:sz w:val="20"/>
              </w:rPr>
            </w:pPr>
            <w:r>
              <w:rPr>
                <w:w w:val="95"/>
                <w:sz w:val="20"/>
              </w:rPr>
              <w:t>我们会无息将本保单年度多收的保险费退还给您。</w:t>
            </w:r>
          </w:p>
        </w:tc>
      </w:tr>
    </w:tbl>
    <w:p>
      <w:pPr>
        <w:spacing w:after="0" w:line="246" w:lineRule="exact"/>
        <w:rPr>
          <w:sz w:val="20"/>
        </w:rPr>
        <w:sectPr>
          <w:pgSz w:w="11910" w:h="16840"/>
          <w:pgMar w:header="0" w:footer="831" w:top="1480" w:bottom="1020" w:left="580" w:right="420"/>
        </w:sectPr>
      </w:pPr>
    </w:p>
    <w:p>
      <w:pPr>
        <w:spacing w:before="10"/>
        <w:ind w:left="140" w:right="0" w:firstLine="0"/>
        <w:jc w:val="left"/>
        <w:rPr>
          <w:b/>
          <w:sz w:val="24"/>
        </w:rPr>
      </w:pPr>
      <w:r>
        <w:rPr/>
        <w:pict>
          <v:line style="position:absolute;mso-position-horizontal-relative:page;mso-position-vertical-relative:paragraph;z-index:1048;mso-wrap-distance-left:0;mso-wrap-distance-right:0" from="70.559998pt,19.455605pt" to="769.539998pt,19.455605pt" stroked="true" strokeweight=".48pt" strokecolor="#000000">
            <v:stroke dashstyle="solid"/>
            <w10:wrap type="topAndBottom"/>
          </v:line>
        </w:pict>
      </w:r>
      <w:r>
        <w:rPr>
          <w:b/>
          <w:sz w:val="24"/>
        </w:rPr>
        <w:t>附录一 本合同承保的重大疾病分组</w:t>
      </w:r>
    </w:p>
    <w:p>
      <w:pPr>
        <w:pStyle w:val="BodyText"/>
        <w:spacing w:before="11"/>
        <w:rPr>
          <w:b/>
          <w:sz w:val="5"/>
        </w:rPr>
      </w:pPr>
    </w:p>
    <w:p>
      <w:pPr>
        <w:spacing w:before="27"/>
        <w:ind w:left="140" w:right="0" w:firstLine="0"/>
        <w:jc w:val="left"/>
        <w:rPr>
          <w:sz w:val="24"/>
        </w:rPr>
      </w:pPr>
      <w:r>
        <w:rPr>
          <w:sz w:val="24"/>
        </w:rPr>
        <w:t>各保险计划的重大疾病如下：</w:t>
      </w:r>
    </w:p>
    <w:p>
      <w:pPr>
        <w:pStyle w:val="BodyText"/>
        <w:spacing w:before="3"/>
        <w:rPr>
          <w:sz w:val="28"/>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95"/>
        <w:gridCol w:w="4592"/>
        <w:gridCol w:w="4597"/>
      </w:tblGrid>
      <w:tr>
        <w:trPr>
          <w:trHeight w:val="325" w:hRule="atLeast"/>
        </w:trPr>
        <w:tc>
          <w:tcPr>
            <w:tcW w:w="13784" w:type="dxa"/>
            <w:gridSpan w:val="3"/>
          </w:tcPr>
          <w:p>
            <w:pPr>
              <w:pStyle w:val="TableParagraph"/>
              <w:spacing w:line="261" w:lineRule="exact"/>
              <w:ind w:left="6569" w:right="6561"/>
              <w:jc w:val="center"/>
              <w:rPr>
                <w:b/>
                <w:sz w:val="20"/>
              </w:rPr>
            </w:pPr>
            <w:r>
              <w:rPr>
                <w:b/>
                <w:sz w:val="20"/>
              </w:rPr>
              <w:t>计划一</w:t>
            </w:r>
          </w:p>
        </w:tc>
      </w:tr>
      <w:tr>
        <w:trPr>
          <w:trHeight w:val="325" w:hRule="atLeast"/>
        </w:trPr>
        <w:tc>
          <w:tcPr>
            <w:tcW w:w="4595" w:type="dxa"/>
          </w:tcPr>
          <w:p>
            <w:pPr>
              <w:pStyle w:val="TableParagraph"/>
              <w:spacing w:line="261" w:lineRule="exact"/>
              <w:ind w:left="2074" w:right="2068"/>
              <w:jc w:val="center"/>
              <w:rPr>
                <w:b/>
                <w:sz w:val="20"/>
              </w:rPr>
            </w:pPr>
            <w:r>
              <w:rPr>
                <w:b/>
                <w:sz w:val="20"/>
              </w:rPr>
              <w:t>A 组</w:t>
            </w:r>
          </w:p>
        </w:tc>
        <w:tc>
          <w:tcPr>
            <w:tcW w:w="4592" w:type="dxa"/>
          </w:tcPr>
          <w:p>
            <w:pPr>
              <w:pStyle w:val="TableParagraph"/>
              <w:spacing w:line="261" w:lineRule="exact"/>
              <w:ind w:left="2073" w:right="2065"/>
              <w:jc w:val="center"/>
              <w:rPr>
                <w:b/>
                <w:sz w:val="20"/>
              </w:rPr>
            </w:pPr>
            <w:r>
              <w:rPr>
                <w:b/>
                <w:sz w:val="20"/>
              </w:rPr>
              <w:t>B 组</w:t>
            </w:r>
          </w:p>
        </w:tc>
        <w:tc>
          <w:tcPr>
            <w:tcW w:w="4597" w:type="dxa"/>
          </w:tcPr>
          <w:p>
            <w:pPr>
              <w:pStyle w:val="TableParagraph"/>
              <w:spacing w:line="261" w:lineRule="exact"/>
              <w:ind w:left="2073" w:right="2071"/>
              <w:jc w:val="center"/>
              <w:rPr>
                <w:b/>
                <w:sz w:val="20"/>
              </w:rPr>
            </w:pPr>
            <w:r>
              <w:rPr>
                <w:b/>
                <w:sz w:val="20"/>
              </w:rPr>
              <w:t>C 组</w:t>
            </w:r>
          </w:p>
        </w:tc>
      </w:tr>
      <w:tr>
        <w:trPr>
          <w:trHeight w:val="319" w:hRule="atLeast"/>
        </w:trPr>
        <w:tc>
          <w:tcPr>
            <w:tcW w:w="4595" w:type="dxa"/>
            <w:tcBorders>
              <w:bottom w:val="nil"/>
            </w:tcBorders>
          </w:tcPr>
          <w:p>
            <w:pPr>
              <w:pStyle w:val="TableParagraph"/>
              <w:spacing w:line="261" w:lineRule="exact"/>
              <w:rPr>
                <w:sz w:val="20"/>
              </w:rPr>
            </w:pPr>
            <w:r>
              <w:rPr>
                <w:sz w:val="20"/>
              </w:rPr>
              <w:t>1. 恶性肿瘤</w:t>
            </w:r>
          </w:p>
        </w:tc>
        <w:tc>
          <w:tcPr>
            <w:tcW w:w="4592" w:type="dxa"/>
            <w:vMerge w:val="restart"/>
          </w:tcPr>
          <w:p>
            <w:pPr>
              <w:pStyle w:val="TableParagraph"/>
              <w:spacing w:line="261" w:lineRule="exact"/>
              <w:rPr>
                <w:sz w:val="20"/>
              </w:rPr>
            </w:pPr>
            <w:r>
              <w:rPr>
                <w:sz w:val="20"/>
              </w:rPr>
              <w:t>3. 脑中风后遗症</w:t>
            </w:r>
          </w:p>
        </w:tc>
        <w:tc>
          <w:tcPr>
            <w:tcW w:w="4597" w:type="dxa"/>
            <w:tcBorders>
              <w:bottom w:val="nil"/>
            </w:tcBorders>
          </w:tcPr>
          <w:p>
            <w:pPr>
              <w:pStyle w:val="TableParagraph"/>
              <w:spacing w:line="261" w:lineRule="exact"/>
              <w:rPr>
                <w:sz w:val="20"/>
              </w:rPr>
            </w:pPr>
            <w:r>
              <w:rPr>
                <w:sz w:val="20"/>
              </w:rPr>
              <w:t>2. 急性心肌梗塞</w:t>
            </w:r>
          </w:p>
        </w:tc>
      </w:tr>
      <w:tr>
        <w:trPr>
          <w:trHeight w:val="315" w:hRule="atLeast"/>
        </w:trPr>
        <w:tc>
          <w:tcPr>
            <w:tcW w:w="4595" w:type="dxa"/>
            <w:tcBorders>
              <w:top w:val="nil"/>
              <w:bottom w:val="nil"/>
            </w:tcBorders>
          </w:tcPr>
          <w:p>
            <w:pPr>
              <w:pStyle w:val="TableParagraph"/>
              <w:spacing w:line="258" w:lineRule="exact"/>
              <w:rPr>
                <w:sz w:val="20"/>
              </w:rPr>
            </w:pPr>
            <w:r>
              <w:rPr>
                <w:sz w:val="20"/>
              </w:rPr>
              <w:t>4. 重大器官移植术或造血干细胞移植术</w:t>
            </w:r>
          </w:p>
        </w:tc>
        <w:tc>
          <w:tcPr>
            <w:tcW w:w="4592" w:type="dxa"/>
            <w:vMerge/>
            <w:tcBorders>
              <w:top w:val="nil"/>
            </w:tcBorders>
          </w:tcPr>
          <w:p>
            <w:pPr>
              <w:rPr>
                <w:sz w:val="2"/>
                <w:szCs w:val="2"/>
              </w:rPr>
            </w:pPr>
          </w:p>
        </w:tc>
        <w:tc>
          <w:tcPr>
            <w:tcW w:w="4597" w:type="dxa"/>
            <w:tcBorders>
              <w:top w:val="nil"/>
              <w:bottom w:val="nil"/>
            </w:tcBorders>
          </w:tcPr>
          <w:p>
            <w:pPr>
              <w:pStyle w:val="TableParagraph"/>
              <w:spacing w:line="258" w:lineRule="exact"/>
              <w:rPr>
                <w:sz w:val="20"/>
              </w:rPr>
            </w:pPr>
            <w:r>
              <w:rPr>
                <w:sz w:val="20"/>
              </w:rPr>
              <w:t>5. 冠状动脉搭桥术（或称冠状动脉旁路移植术）</w:t>
            </w:r>
          </w:p>
        </w:tc>
      </w:tr>
      <w:tr>
        <w:trPr>
          <w:trHeight w:val="321" w:hRule="atLeast"/>
        </w:trPr>
        <w:tc>
          <w:tcPr>
            <w:tcW w:w="4595" w:type="dxa"/>
            <w:tcBorders>
              <w:top w:val="nil"/>
            </w:tcBorders>
          </w:tcPr>
          <w:p>
            <w:pPr>
              <w:pStyle w:val="TableParagraph"/>
              <w:spacing w:line="257" w:lineRule="exact"/>
              <w:rPr>
                <w:sz w:val="20"/>
              </w:rPr>
            </w:pPr>
            <w:r>
              <w:rPr>
                <w:sz w:val="20"/>
              </w:rPr>
              <w:t>6. 终末期肾病（或称慢性肾功能衰竭尿毒症期）</w:t>
            </w:r>
          </w:p>
        </w:tc>
        <w:tc>
          <w:tcPr>
            <w:tcW w:w="4592" w:type="dxa"/>
            <w:vMerge/>
            <w:tcBorders>
              <w:top w:val="nil"/>
            </w:tcBorders>
          </w:tcPr>
          <w:p>
            <w:pPr>
              <w:rPr>
                <w:sz w:val="2"/>
                <w:szCs w:val="2"/>
              </w:rPr>
            </w:pPr>
          </w:p>
        </w:tc>
        <w:tc>
          <w:tcPr>
            <w:tcW w:w="4597" w:type="dxa"/>
            <w:tcBorders>
              <w:top w:val="nil"/>
            </w:tcBorders>
          </w:tcPr>
          <w:p>
            <w:pPr>
              <w:pStyle w:val="TableParagraph"/>
              <w:ind w:left="0"/>
              <w:rPr>
                <w:rFonts w:ascii="Times New Roman"/>
                <w:sz w:val="18"/>
              </w:rPr>
            </w:pPr>
          </w:p>
        </w:tc>
      </w:tr>
    </w:tbl>
    <w:p>
      <w:pPr>
        <w:pStyle w:val="BodyText"/>
      </w:pPr>
    </w:p>
    <w:p>
      <w:pPr>
        <w:pStyle w:val="BodyText"/>
      </w:pPr>
    </w:p>
    <w:p>
      <w:pPr>
        <w:pStyle w:val="BodyText"/>
      </w:pPr>
    </w:p>
    <w:p>
      <w:pPr>
        <w:pStyle w:val="BodyText"/>
        <w:spacing w:before="11"/>
        <w:rPr>
          <w:sz w:val="14"/>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95"/>
        <w:gridCol w:w="4592"/>
        <w:gridCol w:w="4597"/>
      </w:tblGrid>
      <w:tr>
        <w:trPr>
          <w:trHeight w:val="325" w:hRule="atLeast"/>
        </w:trPr>
        <w:tc>
          <w:tcPr>
            <w:tcW w:w="13784" w:type="dxa"/>
            <w:gridSpan w:val="3"/>
          </w:tcPr>
          <w:p>
            <w:pPr>
              <w:pStyle w:val="TableParagraph"/>
              <w:spacing w:line="261" w:lineRule="exact"/>
              <w:ind w:left="6569" w:right="6561"/>
              <w:jc w:val="center"/>
              <w:rPr>
                <w:b/>
                <w:sz w:val="20"/>
              </w:rPr>
            </w:pPr>
            <w:r>
              <w:rPr>
                <w:b/>
                <w:sz w:val="20"/>
              </w:rPr>
              <w:t>计划二</w:t>
            </w:r>
          </w:p>
        </w:tc>
      </w:tr>
      <w:tr>
        <w:trPr>
          <w:trHeight w:val="326" w:hRule="atLeast"/>
        </w:trPr>
        <w:tc>
          <w:tcPr>
            <w:tcW w:w="4595" w:type="dxa"/>
          </w:tcPr>
          <w:p>
            <w:pPr>
              <w:pStyle w:val="TableParagraph"/>
              <w:spacing w:line="261" w:lineRule="exact"/>
              <w:ind w:left="2074" w:right="2068"/>
              <w:jc w:val="center"/>
              <w:rPr>
                <w:b/>
                <w:sz w:val="20"/>
              </w:rPr>
            </w:pPr>
            <w:r>
              <w:rPr>
                <w:b/>
                <w:sz w:val="20"/>
              </w:rPr>
              <w:t>A 组</w:t>
            </w:r>
          </w:p>
        </w:tc>
        <w:tc>
          <w:tcPr>
            <w:tcW w:w="4592" w:type="dxa"/>
          </w:tcPr>
          <w:p>
            <w:pPr>
              <w:pStyle w:val="TableParagraph"/>
              <w:spacing w:line="261" w:lineRule="exact"/>
              <w:ind w:left="2073" w:right="2065"/>
              <w:jc w:val="center"/>
              <w:rPr>
                <w:b/>
                <w:sz w:val="20"/>
              </w:rPr>
            </w:pPr>
            <w:r>
              <w:rPr>
                <w:b/>
                <w:sz w:val="20"/>
              </w:rPr>
              <w:t>B 组</w:t>
            </w:r>
          </w:p>
        </w:tc>
        <w:tc>
          <w:tcPr>
            <w:tcW w:w="4597" w:type="dxa"/>
          </w:tcPr>
          <w:p>
            <w:pPr>
              <w:pStyle w:val="TableParagraph"/>
              <w:spacing w:line="261" w:lineRule="exact"/>
              <w:ind w:left="2073" w:right="2071"/>
              <w:jc w:val="center"/>
              <w:rPr>
                <w:b/>
                <w:sz w:val="20"/>
              </w:rPr>
            </w:pPr>
            <w:r>
              <w:rPr>
                <w:b/>
                <w:sz w:val="20"/>
              </w:rPr>
              <w:t>C 组</w:t>
            </w:r>
          </w:p>
        </w:tc>
      </w:tr>
      <w:tr>
        <w:trPr>
          <w:trHeight w:val="324" w:hRule="atLeast"/>
        </w:trPr>
        <w:tc>
          <w:tcPr>
            <w:tcW w:w="4595" w:type="dxa"/>
            <w:tcBorders>
              <w:bottom w:val="nil"/>
            </w:tcBorders>
          </w:tcPr>
          <w:p>
            <w:pPr>
              <w:pStyle w:val="TableParagraph"/>
              <w:spacing w:line="261" w:lineRule="exact"/>
              <w:rPr>
                <w:sz w:val="20"/>
              </w:rPr>
            </w:pPr>
            <w:r>
              <w:rPr>
                <w:sz w:val="20"/>
              </w:rPr>
              <w:t>1. 恶性肿瘤</w:t>
            </w:r>
          </w:p>
        </w:tc>
        <w:tc>
          <w:tcPr>
            <w:tcW w:w="4592" w:type="dxa"/>
            <w:tcBorders>
              <w:bottom w:val="nil"/>
            </w:tcBorders>
          </w:tcPr>
          <w:p>
            <w:pPr>
              <w:pStyle w:val="TableParagraph"/>
              <w:spacing w:line="261" w:lineRule="exact"/>
              <w:rPr>
                <w:sz w:val="20"/>
              </w:rPr>
            </w:pPr>
            <w:r>
              <w:rPr>
                <w:sz w:val="20"/>
              </w:rPr>
              <w:t>3. 脑中风后遗症</w:t>
            </w:r>
          </w:p>
        </w:tc>
        <w:tc>
          <w:tcPr>
            <w:tcW w:w="4597" w:type="dxa"/>
            <w:tcBorders>
              <w:bottom w:val="nil"/>
            </w:tcBorders>
          </w:tcPr>
          <w:p>
            <w:pPr>
              <w:pStyle w:val="TableParagraph"/>
              <w:spacing w:line="261" w:lineRule="exact"/>
              <w:rPr>
                <w:sz w:val="20"/>
              </w:rPr>
            </w:pPr>
            <w:r>
              <w:rPr>
                <w:sz w:val="20"/>
              </w:rPr>
              <w:t>2. 急性心肌梗塞</w:t>
            </w:r>
          </w:p>
        </w:tc>
      </w:tr>
      <w:tr>
        <w:trPr>
          <w:trHeight w:val="326" w:hRule="atLeast"/>
        </w:trPr>
        <w:tc>
          <w:tcPr>
            <w:tcW w:w="4595" w:type="dxa"/>
            <w:tcBorders>
              <w:top w:val="nil"/>
              <w:bottom w:val="nil"/>
            </w:tcBorders>
          </w:tcPr>
          <w:p>
            <w:pPr>
              <w:pStyle w:val="TableParagraph"/>
              <w:spacing w:before="1"/>
              <w:rPr>
                <w:sz w:val="20"/>
              </w:rPr>
            </w:pPr>
            <w:r>
              <w:rPr>
                <w:sz w:val="20"/>
              </w:rPr>
              <w:t>4. 重大器官移植术或造血干细胞移植术</w:t>
            </w:r>
          </w:p>
        </w:tc>
        <w:tc>
          <w:tcPr>
            <w:tcW w:w="4592" w:type="dxa"/>
            <w:tcBorders>
              <w:top w:val="nil"/>
              <w:bottom w:val="nil"/>
            </w:tcBorders>
          </w:tcPr>
          <w:p>
            <w:pPr>
              <w:pStyle w:val="TableParagraph"/>
              <w:spacing w:before="1"/>
              <w:rPr>
                <w:sz w:val="20"/>
              </w:rPr>
            </w:pPr>
            <w:r>
              <w:rPr>
                <w:sz w:val="20"/>
              </w:rPr>
              <w:t>7. 多个肢体缺失</w:t>
            </w:r>
          </w:p>
        </w:tc>
        <w:tc>
          <w:tcPr>
            <w:tcW w:w="4597" w:type="dxa"/>
            <w:tcBorders>
              <w:top w:val="nil"/>
              <w:bottom w:val="nil"/>
            </w:tcBorders>
          </w:tcPr>
          <w:p>
            <w:pPr>
              <w:pStyle w:val="TableParagraph"/>
              <w:spacing w:before="1"/>
              <w:rPr>
                <w:sz w:val="20"/>
              </w:rPr>
            </w:pPr>
            <w:r>
              <w:rPr>
                <w:sz w:val="20"/>
              </w:rPr>
              <w:t>5. 冠状动脉搭桥术（或称冠状动脉旁路移植术）</w:t>
            </w:r>
          </w:p>
        </w:tc>
      </w:tr>
      <w:tr>
        <w:trPr>
          <w:trHeight w:val="326" w:hRule="atLeast"/>
        </w:trPr>
        <w:tc>
          <w:tcPr>
            <w:tcW w:w="4595" w:type="dxa"/>
            <w:tcBorders>
              <w:top w:val="nil"/>
              <w:bottom w:val="nil"/>
            </w:tcBorders>
          </w:tcPr>
          <w:p>
            <w:pPr>
              <w:pStyle w:val="TableParagraph"/>
              <w:spacing w:before="1"/>
              <w:rPr>
                <w:sz w:val="20"/>
              </w:rPr>
            </w:pPr>
            <w:r>
              <w:rPr>
                <w:sz w:val="20"/>
              </w:rPr>
              <w:t>6. 终末期肾病（或称慢性肾功能衰竭尿毒症期）</w:t>
            </w:r>
          </w:p>
        </w:tc>
        <w:tc>
          <w:tcPr>
            <w:tcW w:w="4592" w:type="dxa"/>
            <w:tcBorders>
              <w:top w:val="nil"/>
              <w:bottom w:val="nil"/>
            </w:tcBorders>
          </w:tcPr>
          <w:p>
            <w:pPr>
              <w:pStyle w:val="TableParagraph"/>
              <w:spacing w:before="1"/>
              <w:rPr>
                <w:sz w:val="20"/>
              </w:rPr>
            </w:pPr>
            <w:r>
              <w:rPr>
                <w:sz w:val="20"/>
              </w:rPr>
              <w:t>9. 良性脑肿瘤</w:t>
            </w:r>
          </w:p>
        </w:tc>
        <w:tc>
          <w:tcPr>
            <w:tcW w:w="4597" w:type="dxa"/>
            <w:tcBorders>
              <w:top w:val="nil"/>
              <w:bottom w:val="nil"/>
            </w:tcBorders>
          </w:tcPr>
          <w:p>
            <w:pPr>
              <w:pStyle w:val="TableParagraph"/>
              <w:spacing w:before="1"/>
              <w:rPr>
                <w:sz w:val="20"/>
              </w:rPr>
            </w:pPr>
            <w:r>
              <w:rPr>
                <w:w w:val="95"/>
                <w:sz w:val="20"/>
              </w:rPr>
              <w:t>15.心脏瓣膜手术</w:t>
            </w:r>
          </w:p>
        </w:tc>
      </w:tr>
      <w:tr>
        <w:trPr>
          <w:trHeight w:val="325" w:hRule="atLeast"/>
        </w:trPr>
        <w:tc>
          <w:tcPr>
            <w:tcW w:w="4595" w:type="dxa"/>
            <w:tcBorders>
              <w:top w:val="nil"/>
              <w:bottom w:val="nil"/>
            </w:tcBorders>
          </w:tcPr>
          <w:p>
            <w:pPr>
              <w:pStyle w:val="TableParagraph"/>
              <w:spacing w:before="1"/>
              <w:rPr>
                <w:sz w:val="20"/>
              </w:rPr>
            </w:pPr>
            <w:r>
              <w:rPr>
                <w:sz w:val="20"/>
              </w:rPr>
              <w:t>8. 急性或亚急性重症肝炎</w:t>
            </w:r>
          </w:p>
        </w:tc>
        <w:tc>
          <w:tcPr>
            <w:tcW w:w="4592" w:type="dxa"/>
            <w:tcBorders>
              <w:top w:val="nil"/>
              <w:bottom w:val="nil"/>
            </w:tcBorders>
          </w:tcPr>
          <w:p>
            <w:pPr>
              <w:pStyle w:val="TableParagraph"/>
              <w:spacing w:before="1"/>
              <w:rPr>
                <w:sz w:val="20"/>
              </w:rPr>
            </w:pPr>
            <w:r>
              <w:rPr>
                <w:w w:val="95"/>
                <w:sz w:val="20"/>
              </w:rPr>
              <w:t>11.脑炎后遗症或脑膜炎后遗症</w:t>
            </w:r>
          </w:p>
        </w:tc>
        <w:tc>
          <w:tcPr>
            <w:tcW w:w="4597" w:type="dxa"/>
            <w:tcBorders>
              <w:top w:val="nil"/>
              <w:bottom w:val="nil"/>
            </w:tcBorders>
          </w:tcPr>
          <w:p>
            <w:pPr>
              <w:pStyle w:val="TableParagraph"/>
              <w:spacing w:before="1"/>
              <w:rPr>
                <w:sz w:val="20"/>
              </w:rPr>
            </w:pPr>
            <w:r>
              <w:rPr>
                <w:w w:val="95"/>
                <w:sz w:val="20"/>
              </w:rPr>
              <w:t>19.严重Ⅲ度烧伤</w:t>
            </w:r>
          </w:p>
        </w:tc>
      </w:tr>
      <w:tr>
        <w:trPr>
          <w:trHeight w:val="325" w:hRule="atLeast"/>
        </w:trPr>
        <w:tc>
          <w:tcPr>
            <w:tcW w:w="4595" w:type="dxa"/>
            <w:tcBorders>
              <w:top w:val="nil"/>
              <w:bottom w:val="nil"/>
            </w:tcBorders>
          </w:tcPr>
          <w:p>
            <w:pPr>
              <w:pStyle w:val="TableParagraph"/>
              <w:rPr>
                <w:sz w:val="20"/>
              </w:rPr>
            </w:pPr>
            <w:r>
              <w:rPr>
                <w:w w:val="95"/>
                <w:sz w:val="20"/>
              </w:rPr>
              <w:t>10.慢性肝功能衰竭失代偿期</w:t>
            </w:r>
          </w:p>
        </w:tc>
        <w:tc>
          <w:tcPr>
            <w:tcW w:w="4592" w:type="dxa"/>
            <w:tcBorders>
              <w:top w:val="nil"/>
              <w:bottom w:val="nil"/>
            </w:tcBorders>
          </w:tcPr>
          <w:p>
            <w:pPr>
              <w:pStyle w:val="TableParagraph"/>
              <w:rPr>
                <w:sz w:val="20"/>
              </w:rPr>
            </w:pPr>
            <w:r>
              <w:rPr>
                <w:w w:val="95"/>
                <w:sz w:val="20"/>
              </w:rPr>
              <w:t>12.双耳失聪</w:t>
            </w:r>
          </w:p>
        </w:tc>
        <w:tc>
          <w:tcPr>
            <w:tcW w:w="4597" w:type="dxa"/>
            <w:tcBorders>
              <w:top w:val="nil"/>
              <w:bottom w:val="nil"/>
            </w:tcBorders>
          </w:tcPr>
          <w:p>
            <w:pPr>
              <w:pStyle w:val="TableParagraph"/>
              <w:rPr>
                <w:sz w:val="20"/>
              </w:rPr>
            </w:pPr>
            <w:r>
              <w:rPr>
                <w:w w:val="95"/>
                <w:sz w:val="20"/>
              </w:rPr>
              <w:t>24.主动脉手术</w:t>
            </w:r>
          </w:p>
        </w:tc>
      </w:tr>
      <w:tr>
        <w:trPr>
          <w:trHeight w:val="326" w:hRule="atLeast"/>
        </w:trPr>
        <w:tc>
          <w:tcPr>
            <w:tcW w:w="4595" w:type="dxa"/>
            <w:tcBorders>
              <w:top w:val="nil"/>
              <w:bottom w:val="nil"/>
            </w:tcBorders>
          </w:tcPr>
          <w:p>
            <w:pPr>
              <w:pStyle w:val="TableParagraph"/>
              <w:spacing w:before="1"/>
              <w:rPr>
                <w:sz w:val="20"/>
              </w:rPr>
            </w:pPr>
            <w:r>
              <w:rPr>
                <w:w w:val="95"/>
                <w:sz w:val="20"/>
              </w:rPr>
              <w:t>20.严重原发性肺动脉高压</w:t>
            </w:r>
          </w:p>
        </w:tc>
        <w:tc>
          <w:tcPr>
            <w:tcW w:w="4592" w:type="dxa"/>
            <w:tcBorders>
              <w:top w:val="nil"/>
              <w:bottom w:val="nil"/>
            </w:tcBorders>
          </w:tcPr>
          <w:p>
            <w:pPr>
              <w:pStyle w:val="TableParagraph"/>
              <w:spacing w:before="1"/>
              <w:rPr>
                <w:sz w:val="20"/>
              </w:rPr>
            </w:pPr>
            <w:r>
              <w:rPr>
                <w:w w:val="95"/>
                <w:sz w:val="20"/>
              </w:rPr>
              <w:t>13.双目失明</w:t>
            </w:r>
          </w:p>
        </w:tc>
        <w:tc>
          <w:tcPr>
            <w:tcW w:w="4597" w:type="dxa"/>
            <w:tcBorders>
              <w:top w:val="nil"/>
              <w:bottom w:val="nil"/>
            </w:tcBorders>
          </w:tcPr>
          <w:p>
            <w:pPr>
              <w:pStyle w:val="TableParagraph"/>
              <w:ind w:left="0"/>
              <w:rPr>
                <w:rFonts w:ascii="Times New Roman"/>
                <w:sz w:val="18"/>
              </w:rPr>
            </w:pPr>
          </w:p>
        </w:tc>
      </w:tr>
      <w:tr>
        <w:trPr>
          <w:trHeight w:val="326" w:hRule="atLeast"/>
        </w:trPr>
        <w:tc>
          <w:tcPr>
            <w:tcW w:w="4595" w:type="dxa"/>
            <w:tcBorders>
              <w:top w:val="nil"/>
              <w:bottom w:val="nil"/>
            </w:tcBorders>
          </w:tcPr>
          <w:p>
            <w:pPr>
              <w:pStyle w:val="TableParagraph"/>
              <w:spacing w:before="1"/>
              <w:rPr>
                <w:sz w:val="20"/>
              </w:rPr>
            </w:pPr>
            <w:r>
              <w:rPr>
                <w:w w:val="95"/>
                <w:sz w:val="20"/>
              </w:rPr>
              <w:t>23.重型再生障碍性贫血</w:t>
            </w:r>
          </w:p>
        </w:tc>
        <w:tc>
          <w:tcPr>
            <w:tcW w:w="4592" w:type="dxa"/>
            <w:tcBorders>
              <w:top w:val="nil"/>
              <w:bottom w:val="nil"/>
            </w:tcBorders>
          </w:tcPr>
          <w:p>
            <w:pPr>
              <w:pStyle w:val="TableParagraph"/>
              <w:spacing w:before="1"/>
              <w:rPr>
                <w:sz w:val="20"/>
              </w:rPr>
            </w:pPr>
            <w:r>
              <w:rPr>
                <w:sz w:val="20"/>
              </w:rPr>
              <w:t>14.瘫痪</w:t>
            </w:r>
          </w:p>
        </w:tc>
        <w:tc>
          <w:tcPr>
            <w:tcW w:w="4597" w:type="dxa"/>
            <w:tcBorders>
              <w:top w:val="nil"/>
              <w:bottom w:val="nil"/>
            </w:tcBorders>
          </w:tcPr>
          <w:p>
            <w:pPr>
              <w:pStyle w:val="TableParagraph"/>
              <w:ind w:left="0"/>
              <w:rPr>
                <w:rFonts w:ascii="Times New Roman"/>
                <w:sz w:val="18"/>
              </w:rPr>
            </w:pPr>
          </w:p>
        </w:tc>
      </w:tr>
      <w:tr>
        <w:trPr>
          <w:trHeight w:val="326" w:hRule="atLeast"/>
        </w:trPr>
        <w:tc>
          <w:tcPr>
            <w:tcW w:w="4595" w:type="dxa"/>
            <w:tcBorders>
              <w:top w:val="nil"/>
              <w:bottom w:val="nil"/>
            </w:tcBorders>
          </w:tcPr>
          <w:p>
            <w:pPr>
              <w:pStyle w:val="TableParagraph"/>
              <w:ind w:left="0"/>
              <w:rPr>
                <w:rFonts w:ascii="Times New Roman"/>
                <w:sz w:val="18"/>
              </w:rPr>
            </w:pPr>
          </w:p>
        </w:tc>
        <w:tc>
          <w:tcPr>
            <w:tcW w:w="4592" w:type="dxa"/>
            <w:tcBorders>
              <w:top w:val="nil"/>
              <w:bottom w:val="nil"/>
            </w:tcBorders>
          </w:tcPr>
          <w:p>
            <w:pPr>
              <w:pStyle w:val="TableParagraph"/>
              <w:spacing w:before="1"/>
              <w:rPr>
                <w:sz w:val="20"/>
              </w:rPr>
            </w:pPr>
            <w:r>
              <w:rPr>
                <w:w w:val="95"/>
                <w:sz w:val="20"/>
              </w:rPr>
              <w:t>16.严重阿尔茨海默病</w:t>
            </w:r>
          </w:p>
        </w:tc>
        <w:tc>
          <w:tcPr>
            <w:tcW w:w="4597" w:type="dxa"/>
            <w:tcBorders>
              <w:top w:val="nil"/>
              <w:bottom w:val="nil"/>
            </w:tcBorders>
          </w:tcPr>
          <w:p>
            <w:pPr>
              <w:pStyle w:val="TableParagraph"/>
              <w:ind w:left="0"/>
              <w:rPr>
                <w:rFonts w:ascii="Times New Roman"/>
                <w:sz w:val="18"/>
              </w:rPr>
            </w:pPr>
          </w:p>
        </w:tc>
      </w:tr>
      <w:tr>
        <w:trPr>
          <w:trHeight w:val="326" w:hRule="atLeast"/>
        </w:trPr>
        <w:tc>
          <w:tcPr>
            <w:tcW w:w="4595" w:type="dxa"/>
            <w:tcBorders>
              <w:top w:val="nil"/>
              <w:bottom w:val="nil"/>
            </w:tcBorders>
          </w:tcPr>
          <w:p>
            <w:pPr>
              <w:pStyle w:val="TableParagraph"/>
              <w:ind w:left="0"/>
              <w:rPr>
                <w:rFonts w:ascii="Times New Roman"/>
                <w:sz w:val="18"/>
              </w:rPr>
            </w:pPr>
          </w:p>
        </w:tc>
        <w:tc>
          <w:tcPr>
            <w:tcW w:w="4592" w:type="dxa"/>
            <w:tcBorders>
              <w:top w:val="nil"/>
              <w:bottom w:val="nil"/>
            </w:tcBorders>
          </w:tcPr>
          <w:p>
            <w:pPr>
              <w:pStyle w:val="TableParagraph"/>
              <w:spacing w:before="1"/>
              <w:rPr>
                <w:sz w:val="20"/>
              </w:rPr>
            </w:pPr>
            <w:r>
              <w:rPr>
                <w:w w:val="95"/>
                <w:sz w:val="20"/>
              </w:rPr>
              <w:t>17.严重脑损伤</w:t>
            </w:r>
          </w:p>
        </w:tc>
        <w:tc>
          <w:tcPr>
            <w:tcW w:w="4597" w:type="dxa"/>
            <w:tcBorders>
              <w:top w:val="nil"/>
              <w:bottom w:val="nil"/>
            </w:tcBorders>
          </w:tcPr>
          <w:p>
            <w:pPr>
              <w:pStyle w:val="TableParagraph"/>
              <w:ind w:left="0"/>
              <w:rPr>
                <w:rFonts w:ascii="Times New Roman"/>
                <w:sz w:val="18"/>
              </w:rPr>
            </w:pPr>
          </w:p>
        </w:tc>
      </w:tr>
      <w:tr>
        <w:trPr>
          <w:trHeight w:val="325" w:hRule="atLeast"/>
        </w:trPr>
        <w:tc>
          <w:tcPr>
            <w:tcW w:w="4595" w:type="dxa"/>
            <w:tcBorders>
              <w:top w:val="nil"/>
              <w:bottom w:val="nil"/>
            </w:tcBorders>
          </w:tcPr>
          <w:p>
            <w:pPr>
              <w:pStyle w:val="TableParagraph"/>
              <w:ind w:left="0"/>
              <w:rPr>
                <w:rFonts w:ascii="Times New Roman"/>
                <w:sz w:val="18"/>
              </w:rPr>
            </w:pPr>
          </w:p>
        </w:tc>
        <w:tc>
          <w:tcPr>
            <w:tcW w:w="4592" w:type="dxa"/>
            <w:tcBorders>
              <w:top w:val="nil"/>
              <w:bottom w:val="nil"/>
            </w:tcBorders>
          </w:tcPr>
          <w:p>
            <w:pPr>
              <w:pStyle w:val="TableParagraph"/>
              <w:spacing w:before="1"/>
              <w:rPr>
                <w:sz w:val="20"/>
              </w:rPr>
            </w:pPr>
            <w:r>
              <w:rPr>
                <w:w w:val="95"/>
                <w:sz w:val="20"/>
              </w:rPr>
              <w:t>18.严重帕金森病</w:t>
            </w:r>
          </w:p>
        </w:tc>
        <w:tc>
          <w:tcPr>
            <w:tcW w:w="4597" w:type="dxa"/>
            <w:tcBorders>
              <w:top w:val="nil"/>
              <w:bottom w:val="nil"/>
            </w:tcBorders>
          </w:tcPr>
          <w:p>
            <w:pPr>
              <w:pStyle w:val="TableParagraph"/>
              <w:ind w:left="0"/>
              <w:rPr>
                <w:rFonts w:ascii="Times New Roman"/>
                <w:sz w:val="18"/>
              </w:rPr>
            </w:pPr>
          </w:p>
        </w:tc>
      </w:tr>
      <w:tr>
        <w:trPr>
          <w:trHeight w:val="325" w:hRule="atLeast"/>
        </w:trPr>
        <w:tc>
          <w:tcPr>
            <w:tcW w:w="4595" w:type="dxa"/>
            <w:tcBorders>
              <w:top w:val="nil"/>
              <w:bottom w:val="nil"/>
            </w:tcBorders>
          </w:tcPr>
          <w:p>
            <w:pPr>
              <w:pStyle w:val="TableParagraph"/>
              <w:ind w:left="0"/>
              <w:rPr>
                <w:rFonts w:ascii="Times New Roman"/>
                <w:sz w:val="18"/>
              </w:rPr>
            </w:pPr>
          </w:p>
        </w:tc>
        <w:tc>
          <w:tcPr>
            <w:tcW w:w="4592" w:type="dxa"/>
            <w:tcBorders>
              <w:top w:val="nil"/>
              <w:bottom w:val="nil"/>
            </w:tcBorders>
          </w:tcPr>
          <w:p>
            <w:pPr>
              <w:pStyle w:val="TableParagraph"/>
              <w:rPr>
                <w:sz w:val="20"/>
              </w:rPr>
            </w:pPr>
            <w:r>
              <w:rPr>
                <w:w w:val="95"/>
                <w:sz w:val="20"/>
              </w:rPr>
              <w:t>21.严重运动神经元病</w:t>
            </w:r>
          </w:p>
        </w:tc>
        <w:tc>
          <w:tcPr>
            <w:tcW w:w="4597" w:type="dxa"/>
            <w:tcBorders>
              <w:top w:val="nil"/>
              <w:bottom w:val="nil"/>
            </w:tcBorders>
          </w:tcPr>
          <w:p>
            <w:pPr>
              <w:pStyle w:val="TableParagraph"/>
              <w:ind w:left="0"/>
              <w:rPr>
                <w:rFonts w:ascii="Times New Roman"/>
                <w:sz w:val="18"/>
              </w:rPr>
            </w:pPr>
          </w:p>
        </w:tc>
      </w:tr>
      <w:tr>
        <w:trPr>
          <w:trHeight w:val="328" w:hRule="atLeast"/>
        </w:trPr>
        <w:tc>
          <w:tcPr>
            <w:tcW w:w="4595" w:type="dxa"/>
            <w:tcBorders>
              <w:top w:val="nil"/>
            </w:tcBorders>
          </w:tcPr>
          <w:p>
            <w:pPr>
              <w:pStyle w:val="TableParagraph"/>
              <w:ind w:left="0"/>
              <w:rPr>
                <w:rFonts w:ascii="Times New Roman"/>
                <w:sz w:val="18"/>
              </w:rPr>
            </w:pPr>
          </w:p>
        </w:tc>
        <w:tc>
          <w:tcPr>
            <w:tcW w:w="4592" w:type="dxa"/>
            <w:tcBorders>
              <w:top w:val="nil"/>
            </w:tcBorders>
          </w:tcPr>
          <w:p>
            <w:pPr>
              <w:pStyle w:val="TableParagraph"/>
              <w:spacing w:before="1"/>
              <w:rPr>
                <w:sz w:val="20"/>
              </w:rPr>
            </w:pPr>
            <w:r>
              <w:rPr>
                <w:w w:val="95"/>
                <w:sz w:val="20"/>
              </w:rPr>
              <w:t>22.语言能力丧失</w:t>
            </w:r>
          </w:p>
        </w:tc>
        <w:tc>
          <w:tcPr>
            <w:tcW w:w="4597" w:type="dxa"/>
            <w:tcBorders>
              <w:top w:val="nil"/>
            </w:tcBorders>
          </w:tcPr>
          <w:p>
            <w:pPr>
              <w:pStyle w:val="TableParagraph"/>
              <w:ind w:left="0"/>
              <w:rPr>
                <w:rFonts w:ascii="Times New Roman"/>
                <w:sz w:val="18"/>
              </w:rPr>
            </w:pPr>
          </w:p>
        </w:tc>
      </w:tr>
    </w:tbl>
    <w:p>
      <w:pPr>
        <w:spacing w:after="0"/>
        <w:rPr>
          <w:rFonts w:ascii="Times New Roman"/>
          <w:sz w:val="18"/>
        </w:rPr>
        <w:sectPr>
          <w:footerReference w:type="default" r:id="rId9"/>
          <w:pgSz w:w="16840" w:h="11910" w:orient="landscape"/>
          <w:pgMar w:footer="831" w:header="0" w:top="920" w:bottom="1020" w:left="1300" w:right="1340"/>
          <w:pgNumType w:start="7"/>
        </w:sect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95"/>
        <w:gridCol w:w="4592"/>
        <w:gridCol w:w="4597"/>
      </w:tblGrid>
      <w:tr>
        <w:trPr>
          <w:trHeight w:val="326" w:hRule="atLeast"/>
        </w:trPr>
        <w:tc>
          <w:tcPr>
            <w:tcW w:w="13784" w:type="dxa"/>
            <w:gridSpan w:val="3"/>
          </w:tcPr>
          <w:p>
            <w:pPr>
              <w:pStyle w:val="TableParagraph"/>
              <w:spacing w:line="261" w:lineRule="exact"/>
              <w:ind w:left="6569" w:right="6561"/>
              <w:jc w:val="center"/>
              <w:rPr>
                <w:b/>
                <w:sz w:val="20"/>
              </w:rPr>
            </w:pPr>
            <w:r>
              <w:rPr>
                <w:b/>
                <w:sz w:val="20"/>
              </w:rPr>
              <w:t>计划三</w:t>
            </w:r>
          </w:p>
        </w:tc>
      </w:tr>
      <w:tr>
        <w:trPr>
          <w:trHeight w:val="325" w:hRule="atLeast"/>
        </w:trPr>
        <w:tc>
          <w:tcPr>
            <w:tcW w:w="4595" w:type="dxa"/>
          </w:tcPr>
          <w:p>
            <w:pPr>
              <w:pStyle w:val="TableParagraph"/>
              <w:spacing w:line="261" w:lineRule="exact"/>
              <w:ind w:left="2074" w:right="2068"/>
              <w:jc w:val="center"/>
              <w:rPr>
                <w:b/>
                <w:sz w:val="20"/>
              </w:rPr>
            </w:pPr>
            <w:r>
              <w:rPr>
                <w:b/>
                <w:sz w:val="20"/>
              </w:rPr>
              <w:t>A 组</w:t>
            </w:r>
          </w:p>
        </w:tc>
        <w:tc>
          <w:tcPr>
            <w:tcW w:w="4592" w:type="dxa"/>
          </w:tcPr>
          <w:p>
            <w:pPr>
              <w:pStyle w:val="TableParagraph"/>
              <w:spacing w:line="261" w:lineRule="exact"/>
              <w:ind w:left="2073" w:right="2065"/>
              <w:jc w:val="center"/>
              <w:rPr>
                <w:b/>
                <w:sz w:val="20"/>
              </w:rPr>
            </w:pPr>
            <w:r>
              <w:rPr>
                <w:b/>
                <w:sz w:val="20"/>
              </w:rPr>
              <w:t>B 组</w:t>
            </w:r>
          </w:p>
        </w:tc>
        <w:tc>
          <w:tcPr>
            <w:tcW w:w="4597" w:type="dxa"/>
          </w:tcPr>
          <w:p>
            <w:pPr>
              <w:pStyle w:val="TableParagraph"/>
              <w:spacing w:line="261" w:lineRule="exact"/>
              <w:ind w:left="2073" w:right="2071"/>
              <w:jc w:val="center"/>
              <w:rPr>
                <w:b/>
                <w:sz w:val="20"/>
              </w:rPr>
            </w:pPr>
            <w:r>
              <w:rPr>
                <w:b/>
                <w:sz w:val="20"/>
              </w:rPr>
              <w:t>C 组</w:t>
            </w:r>
          </w:p>
        </w:tc>
      </w:tr>
      <w:tr>
        <w:trPr>
          <w:trHeight w:val="324" w:hRule="atLeast"/>
        </w:trPr>
        <w:tc>
          <w:tcPr>
            <w:tcW w:w="4595" w:type="dxa"/>
            <w:tcBorders>
              <w:bottom w:val="nil"/>
            </w:tcBorders>
          </w:tcPr>
          <w:p>
            <w:pPr>
              <w:pStyle w:val="TableParagraph"/>
              <w:spacing w:line="261" w:lineRule="exact"/>
              <w:rPr>
                <w:sz w:val="20"/>
              </w:rPr>
            </w:pPr>
            <w:r>
              <w:rPr>
                <w:sz w:val="20"/>
              </w:rPr>
              <w:t>1. 恶性肿瘤</w:t>
            </w:r>
          </w:p>
        </w:tc>
        <w:tc>
          <w:tcPr>
            <w:tcW w:w="4592" w:type="dxa"/>
            <w:tcBorders>
              <w:bottom w:val="nil"/>
            </w:tcBorders>
          </w:tcPr>
          <w:p>
            <w:pPr>
              <w:pStyle w:val="TableParagraph"/>
              <w:spacing w:line="261" w:lineRule="exact"/>
              <w:rPr>
                <w:sz w:val="20"/>
              </w:rPr>
            </w:pPr>
            <w:r>
              <w:rPr>
                <w:sz w:val="20"/>
              </w:rPr>
              <w:t>3. 脑中风后遗症</w:t>
            </w:r>
          </w:p>
        </w:tc>
        <w:tc>
          <w:tcPr>
            <w:tcW w:w="4597" w:type="dxa"/>
            <w:tcBorders>
              <w:bottom w:val="nil"/>
            </w:tcBorders>
          </w:tcPr>
          <w:p>
            <w:pPr>
              <w:pStyle w:val="TableParagraph"/>
              <w:spacing w:line="261" w:lineRule="exact"/>
              <w:rPr>
                <w:sz w:val="20"/>
              </w:rPr>
            </w:pPr>
            <w:r>
              <w:rPr>
                <w:sz w:val="20"/>
              </w:rPr>
              <w:t>2. 急性心肌梗塞</w:t>
            </w:r>
          </w:p>
        </w:tc>
      </w:tr>
      <w:tr>
        <w:trPr>
          <w:trHeight w:val="325" w:hRule="atLeast"/>
        </w:trPr>
        <w:tc>
          <w:tcPr>
            <w:tcW w:w="4595" w:type="dxa"/>
            <w:tcBorders>
              <w:top w:val="nil"/>
              <w:bottom w:val="nil"/>
            </w:tcBorders>
          </w:tcPr>
          <w:p>
            <w:pPr>
              <w:pStyle w:val="TableParagraph"/>
              <w:spacing w:before="1"/>
              <w:rPr>
                <w:sz w:val="20"/>
              </w:rPr>
            </w:pPr>
            <w:r>
              <w:rPr>
                <w:sz w:val="20"/>
              </w:rPr>
              <w:t>4. 重大器官移植术或造血干细胞移植术</w:t>
            </w:r>
          </w:p>
        </w:tc>
        <w:tc>
          <w:tcPr>
            <w:tcW w:w="4592" w:type="dxa"/>
            <w:tcBorders>
              <w:top w:val="nil"/>
              <w:bottom w:val="nil"/>
            </w:tcBorders>
          </w:tcPr>
          <w:p>
            <w:pPr>
              <w:pStyle w:val="TableParagraph"/>
              <w:spacing w:before="1"/>
              <w:rPr>
                <w:sz w:val="20"/>
              </w:rPr>
            </w:pPr>
            <w:r>
              <w:rPr>
                <w:sz w:val="20"/>
              </w:rPr>
              <w:t>7. 多个肢体缺失</w:t>
            </w:r>
          </w:p>
        </w:tc>
        <w:tc>
          <w:tcPr>
            <w:tcW w:w="4597" w:type="dxa"/>
            <w:tcBorders>
              <w:top w:val="nil"/>
              <w:bottom w:val="nil"/>
            </w:tcBorders>
          </w:tcPr>
          <w:p>
            <w:pPr>
              <w:pStyle w:val="TableParagraph"/>
              <w:spacing w:before="1"/>
              <w:rPr>
                <w:sz w:val="20"/>
              </w:rPr>
            </w:pPr>
            <w:r>
              <w:rPr>
                <w:sz w:val="20"/>
              </w:rPr>
              <w:t>5. 冠状动脉搭桥术（或称冠状动脉旁路移植术）</w:t>
            </w:r>
          </w:p>
        </w:tc>
      </w:tr>
      <w:tr>
        <w:trPr>
          <w:trHeight w:val="325" w:hRule="atLeast"/>
        </w:trPr>
        <w:tc>
          <w:tcPr>
            <w:tcW w:w="4595" w:type="dxa"/>
            <w:tcBorders>
              <w:top w:val="nil"/>
              <w:bottom w:val="nil"/>
            </w:tcBorders>
          </w:tcPr>
          <w:p>
            <w:pPr>
              <w:pStyle w:val="TableParagraph"/>
              <w:rPr>
                <w:sz w:val="20"/>
              </w:rPr>
            </w:pPr>
            <w:r>
              <w:rPr>
                <w:sz w:val="20"/>
              </w:rPr>
              <w:t>6. 终末期肾病（或称慢性肾功能衰竭尿毒症期）</w:t>
            </w:r>
          </w:p>
        </w:tc>
        <w:tc>
          <w:tcPr>
            <w:tcW w:w="4592" w:type="dxa"/>
            <w:tcBorders>
              <w:top w:val="nil"/>
              <w:bottom w:val="nil"/>
            </w:tcBorders>
          </w:tcPr>
          <w:p>
            <w:pPr>
              <w:pStyle w:val="TableParagraph"/>
              <w:rPr>
                <w:sz w:val="20"/>
              </w:rPr>
            </w:pPr>
            <w:r>
              <w:rPr>
                <w:sz w:val="20"/>
              </w:rPr>
              <w:t>9. 良性脑肿瘤</w:t>
            </w:r>
          </w:p>
        </w:tc>
        <w:tc>
          <w:tcPr>
            <w:tcW w:w="4597" w:type="dxa"/>
            <w:tcBorders>
              <w:top w:val="nil"/>
              <w:bottom w:val="nil"/>
            </w:tcBorders>
          </w:tcPr>
          <w:p>
            <w:pPr>
              <w:pStyle w:val="TableParagraph"/>
              <w:rPr>
                <w:sz w:val="20"/>
              </w:rPr>
            </w:pPr>
            <w:r>
              <w:rPr>
                <w:w w:val="95"/>
                <w:sz w:val="20"/>
              </w:rPr>
              <w:t>15.心脏瓣膜手术</w:t>
            </w:r>
          </w:p>
        </w:tc>
      </w:tr>
      <w:tr>
        <w:trPr>
          <w:trHeight w:val="326" w:hRule="atLeast"/>
        </w:trPr>
        <w:tc>
          <w:tcPr>
            <w:tcW w:w="4595" w:type="dxa"/>
            <w:tcBorders>
              <w:top w:val="nil"/>
              <w:bottom w:val="nil"/>
            </w:tcBorders>
          </w:tcPr>
          <w:p>
            <w:pPr>
              <w:pStyle w:val="TableParagraph"/>
              <w:spacing w:before="1"/>
              <w:rPr>
                <w:sz w:val="20"/>
              </w:rPr>
            </w:pPr>
            <w:r>
              <w:rPr>
                <w:sz w:val="20"/>
              </w:rPr>
              <w:t>8. 急性或亚急性重症肝炎</w:t>
            </w:r>
          </w:p>
        </w:tc>
        <w:tc>
          <w:tcPr>
            <w:tcW w:w="4592" w:type="dxa"/>
            <w:tcBorders>
              <w:top w:val="nil"/>
              <w:bottom w:val="nil"/>
            </w:tcBorders>
          </w:tcPr>
          <w:p>
            <w:pPr>
              <w:pStyle w:val="TableParagraph"/>
              <w:spacing w:before="1"/>
              <w:rPr>
                <w:sz w:val="20"/>
              </w:rPr>
            </w:pPr>
            <w:r>
              <w:rPr>
                <w:w w:val="95"/>
                <w:sz w:val="20"/>
              </w:rPr>
              <w:t>11.脑炎后遗症或脑膜炎后遗症</w:t>
            </w:r>
          </w:p>
        </w:tc>
        <w:tc>
          <w:tcPr>
            <w:tcW w:w="4597" w:type="dxa"/>
            <w:tcBorders>
              <w:top w:val="nil"/>
              <w:bottom w:val="nil"/>
            </w:tcBorders>
          </w:tcPr>
          <w:p>
            <w:pPr>
              <w:pStyle w:val="TableParagraph"/>
              <w:spacing w:before="1"/>
              <w:rPr>
                <w:sz w:val="20"/>
              </w:rPr>
            </w:pPr>
            <w:r>
              <w:rPr>
                <w:w w:val="95"/>
                <w:sz w:val="20"/>
              </w:rPr>
              <w:t>19.严重Ⅲ度烧伤</w:t>
            </w:r>
          </w:p>
        </w:tc>
      </w:tr>
      <w:tr>
        <w:trPr>
          <w:trHeight w:val="326" w:hRule="atLeast"/>
        </w:trPr>
        <w:tc>
          <w:tcPr>
            <w:tcW w:w="4595" w:type="dxa"/>
            <w:tcBorders>
              <w:top w:val="nil"/>
              <w:bottom w:val="nil"/>
            </w:tcBorders>
          </w:tcPr>
          <w:p>
            <w:pPr>
              <w:pStyle w:val="TableParagraph"/>
              <w:spacing w:before="1"/>
              <w:rPr>
                <w:sz w:val="20"/>
              </w:rPr>
            </w:pPr>
            <w:r>
              <w:rPr>
                <w:w w:val="95"/>
                <w:sz w:val="20"/>
              </w:rPr>
              <w:t>10.慢性肝功能衰竭失代偿期</w:t>
            </w:r>
          </w:p>
        </w:tc>
        <w:tc>
          <w:tcPr>
            <w:tcW w:w="4592" w:type="dxa"/>
            <w:tcBorders>
              <w:top w:val="nil"/>
              <w:bottom w:val="nil"/>
            </w:tcBorders>
          </w:tcPr>
          <w:p>
            <w:pPr>
              <w:pStyle w:val="TableParagraph"/>
              <w:spacing w:before="1"/>
              <w:rPr>
                <w:sz w:val="20"/>
              </w:rPr>
            </w:pPr>
            <w:r>
              <w:rPr>
                <w:w w:val="95"/>
                <w:sz w:val="20"/>
              </w:rPr>
              <w:t>12.双耳失聪</w:t>
            </w:r>
          </w:p>
        </w:tc>
        <w:tc>
          <w:tcPr>
            <w:tcW w:w="4597" w:type="dxa"/>
            <w:tcBorders>
              <w:top w:val="nil"/>
              <w:bottom w:val="nil"/>
            </w:tcBorders>
          </w:tcPr>
          <w:p>
            <w:pPr>
              <w:pStyle w:val="TableParagraph"/>
              <w:spacing w:before="1"/>
              <w:rPr>
                <w:sz w:val="20"/>
              </w:rPr>
            </w:pPr>
            <w:r>
              <w:rPr>
                <w:w w:val="95"/>
                <w:sz w:val="20"/>
              </w:rPr>
              <w:t>24.主动脉手术</w:t>
            </w:r>
          </w:p>
        </w:tc>
      </w:tr>
      <w:tr>
        <w:trPr>
          <w:trHeight w:val="326" w:hRule="atLeast"/>
        </w:trPr>
        <w:tc>
          <w:tcPr>
            <w:tcW w:w="4595" w:type="dxa"/>
            <w:tcBorders>
              <w:top w:val="nil"/>
              <w:bottom w:val="nil"/>
            </w:tcBorders>
          </w:tcPr>
          <w:p>
            <w:pPr>
              <w:pStyle w:val="TableParagraph"/>
              <w:spacing w:before="1"/>
              <w:rPr>
                <w:sz w:val="20"/>
              </w:rPr>
            </w:pPr>
            <w:r>
              <w:rPr>
                <w:w w:val="95"/>
                <w:sz w:val="20"/>
              </w:rPr>
              <w:t>20.严重原发性肺动脉高压</w:t>
            </w:r>
          </w:p>
        </w:tc>
        <w:tc>
          <w:tcPr>
            <w:tcW w:w="4592" w:type="dxa"/>
            <w:tcBorders>
              <w:top w:val="nil"/>
              <w:bottom w:val="nil"/>
            </w:tcBorders>
          </w:tcPr>
          <w:p>
            <w:pPr>
              <w:pStyle w:val="TableParagraph"/>
              <w:spacing w:before="1"/>
              <w:rPr>
                <w:sz w:val="20"/>
              </w:rPr>
            </w:pPr>
            <w:r>
              <w:rPr>
                <w:w w:val="95"/>
                <w:sz w:val="20"/>
              </w:rPr>
              <w:t>13.双目失明</w:t>
            </w:r>
          </w:p>
        </w:tc>
        <w:tc>
          <w:tcPr>
            <w:tcW w:w="4597" w:type="dxa"/>
            <w:tcBorders>
              <w:top w:val="nil"/>
              <w:bottom w:val="nil"/>
            </w:tcBorders>
          </w:tcPr>
          <w:p>
            <w:pPr>
              <w:pStyle w:val="TableParagraph"/>
              <w:spacing w:before="1"/>
              <w:rPr>
                <w:sz w:val="20"/>
              </w:rPr>
            </w:pPr>
            <w:r>
              <w:rPr>
                <w:w w:val="95"/>
                <w:sz w:val="20"/>
              </w:rPr>
              <w:t>25.原发性心肌病</w:t>
            </w:r>
          </w:p>
        </w:tc>
      </w:tr>
      <w:tr>
        <w:trPr>
          <w:trHeight w:val="326" w:hRule="atLeast"/>
        </w:trPr>
        <w:tc>
          <w:tcPr>
            <w:tcW w:w="4595" w:type="dxa"/>
            <w:tcBorders>
              <w:top w:val="nil"/>
              <w:bottom w:val="nil"/>
            </w:tcBorders>
          </w:tcPr>
          <w:p>
            <w:pPr>
              <w:pStyle w:val="TableParagraph"/>
              <w:spacing w:before="1"/>
              <w:rPr>
                <w:sz w:val="20"/>
              </w:rPr>
            </w:pPr>
            <w:r>
              <w:rPr>
                <w:w w:val="95"/>
                <w:sz w:val="20"/>
              </w:rPr>
              <w:t>23.重型再生障碍性贫血</w:t>
            </w:r>
          </w:p>
        </w:tc>
        <w:tc>
          <w:tcPr>
            <w:tcW w:w="4592" w:type="dxa"/>
            <w:tcBorders>
              <w:top w:val="nil"/>
              <w:bottom w:val="nil"/>
            </w:tcBorders>
          </w:tcPr>
          <w:p>
            <w:pPr>
              <w:pStyle w:val="TableParagraph"/>
              <w:spacing w:before="1"/>
              <w:rPr>
                <w:sz w:val="20"/>
              </w:rPr>
            </w:pPr>
            <w:r>
              <w:rPr>
                <w:sz w:val="20"/>
              </w:rPr>
              <w:t>14.瘫痪</w:t>
            </w:r>
          </w:p>
        </w:tc>
        <w:tc>
          <w:tcPr>
            <w:tcW w:w="4597" w:type="dxa"/>
            <w:tcBorders>
              <w:top w:val="nil"/>
              <w:bottom w:val="nil"/>
            </w:tcBorders>
          </w:tcPr>
          <w:p>
            <w:pPr>
              <w:pStyle w:val="TableParagraph"/>
              <w:spacing w:before="1"/>
              <w:rPr>
                <w:sz w:val="20"/>
              </w:rPr>
            </w:pPr>
            <w:r>
              <w:rPr>
                <w:w w:val="95"/>
                <w:sz w:val="20"/>
              </w:rPr>
              <w:t>27.经输血导致的人类免疫缺陷病毒感染</w:t>
            </w:r>
          </w:p>
        </w:tc>
      </w:tr>
      <w:tr>
        <w:trPr>
          <w:trHeight w:val="325" w:hRule="atLeast"/>
        </w:trPr>
        <w:tc>
          <w:tcPr>
            <w:tcW w:w="4595" w:type="dxa"/>
            <w:tcBorders>
              <w:top w:val="nil"/>
              <w:bottom w:val="nil"/>
            </w:tcBorders>
          </w:tcPr>
          <w:p>
            <w:pPr>
              <w:pStyle w:val="TableParagraph"/>
              <w:spacing w:before="1"/>
              <w:rPr>
                <w:sz w:val="20"/>
              </w:rPr>
            </w:pPr>
            <w:r>
              <w:rPr>
                <w:w w:val="95"/>
                <w:sz w:val="20"/>
              </w:rPr>
              <w:t>30.系统性红斑狼疮</w:t>
            </w:r>
          </w:p>
        </w:tc>
        <w:tc>
          <w:tcPr>
            <w:tcW w:w="4592" w:type="dxa"/>
            <w:tcBorders>
              <w:top w:val="nil"/>
              <w:bottom w:val="nil"/>
            </w:tcBorders>
          </w:tcPr>
          <w:p>
            <w:pPr>
              <w:pStyle w:val="TableParagraph"/>
              <w:spacing w:before="1"/>
              <w:rPr>
                <w:sz w:val="20"/>
              </w:rPr>
            </w:pPr>
            <w:r>
              <w:rPr>
                <w:w w:val="95"/>
                <w:sz w:val="20"/>
              </w:rPr>
              <w:t>16.严重阿尔茨海默病</w:t>
            </w:r>
          </w:p>
        </w:tc>
        <w:tc>
          <w:tcPr>
            <w:tcW w:w="4597" w:type="dxa"/>
            <w:tcBorders>
              <w:top w:val="nil"/>
              <w:bottom w:val="nil"/>
            </w:tcBorders>
          </w:tcPr>
          <w:p>
            <w:pPr>
              <w:pStyle w:val="TableParagraph"/>
              <w:spacing w:before="1"/>
              <w:rPr>
                <w:sz w:val="20"/>
              </w:rPr>
            </w:pPr>
            <w:r>
              <w:rPr>
                <w:w w:val="95"/>
                <w:sz w:val="20"/>
              </w:rPr>
              <w:t>37.坏死性筋膜炎</w:t>
            </w:r>
          </w:p>
        </w:tc>
      </w:tr>
      <w:tr>
        <w:trPr>
          <w:trHeight w:val="325" w:hRule="atLeast"/>
        </w:trPr>
        <w:tc>
          <w:tcPr>
            <w:tcW w:w="4595" w:type="dxa"/>
            <w:tcBorders>
              <w:top w:val="nil"/>
              <w:bottom w:val="nil"/>
            </w:tcBorders>
          </w:tcPr>
          <w:p>
            <w:pPr>
              <w:pStyle w:val="TableParagraph"/>
              <w:rPr>
                <w:sz w:val="20"/>
              </w:rPr>
            </w:pPr>
            <w:r>
              <w:rPr>
                <w:w w:val="95"/>
                <w:sz w:val="20"/>
              </w:rPr>
              <w:t>31.系统性硬化病</w:t>
            </w:r>
          </w:p>
        </w:tc>
        <w:tc>
          <w:tcPr>
            <w:tcW w:w="4592" w:type="dxa"/>
            <w:tcBorders>
              <w:top w:val="nil"/>
              <w:bottom w:val="nil"/>
            </w:tcBorders>
          </w:tcPr>
          <w:p>
            <w:pPr>
              <w:pStyle w:val="TableParagraph"/>
              <w:rPr>
                <w:sz w:val="20"/>
              </w:rPr>
            </w:pPr>
            <w:r>
              <w:rPr>
                <w:w w:val="95"/>
                <w:sz w:val="20"/>
              </w:rPr>
              <w:t>17.严重脑损伤</w:t>
            </w:r>
          </w:p>
        </w:tc>
        <w:tc>
          <w:tcPr>
            <w:tcW w:w="4597" w:type="dxa"/>
            <w:tcBorders>
              <w:top w:val="nil"/>
              <w:bottom w:val="nil"/>
            </w:tcBorders>
          </w:tcPr>
          <w:p>
            <w:pPr>
              <w:pStyle w:val="TableParagraph"/>
              <w:rPr>
                <w:sz w:val="20"/>
              </w:rPr>
            </w:pPr>
            <w:r>
              <w:rPr>
                <w:w w:val="95"/>
                <w:sz w:val="20"/>
              </w:rPr>
              <w:t>40.象皮病</w:t>
            </w:r>
          </w:p>
        </w:tc>
      </w:tr>
      <w:tr>
        <w:trPr>
          <w:trHeight w:val="326" w:hRule="atLeast"/>
        </w:trPr>
        <w:tc>
          <w:tcPr>
            <w:tcW w:w="4595" w:type="dxa"/>
            <w:tcBorders>
              <w:top w:val="nil"/>
              <w:bottom w:val="nil"/>
            </w:tcBorders>
          </w:tcPr>
          <w:p>
            <w:pPr>
              <w:pStyle w:val="TableParagraph"/>
              <w:spacing w:before="1"/>
              <w:rPr>
                <w:sz w:val="20"/>
              </w:rPr>
            </w:pPr>
            <w:r>
              <w:rPr>
                <w:w w:val="95"/>
                <w:sz w:val="20"/>
              </w:rPr>
              <w:t>32.严重克隆病</w:t>
            </w:r>
          </w:p>
        </w:tc>
        <w:tc>
          <w:tcPr>
            <w:tcW w:w="4592" w:type="dxa"/>
            <w:tcBorders>
              <w:top w:val="nil"/>
              <w:bottom w:val="nil"/>
            </w:tcBorders>
          </w:tcPr>
          <w:p>
            <w:pPr>
              <w:pStyle w:val="TableParagraph"/>
              <w:spacing w:before="1"/>
              <w:rPr>
                <w:sz w:val="20"/>
              </w:rPr>
            </w:pPr>
            <w:r>
              <w:rPr>
                <w:w w:val="95"/>
                <w:sz w:val="20"/>
              </w:rPr>
              <w:t>18.严重帕金森病</w:t>
            </w:r>
          </w:p>
        </w:tc>
        <w:tc>
          <w:tcPr>
            <w:tcW w:w="4597" w:type="dxa"/>
            <w:tcBorders>
              <w:top w:val="nil"/>
              <w:bottom w:val="nil"/>
            </w:tcBorders>
          </w:tcPr>
          <w:p>
            <w:pPr>
              <w:pStyle w:val="TableParagraph"/>
              <w:spacing w:before="1"/>
              <w:rPr>
                <w:sz w:val="20"/>
              </w:rPr>
            </w:pPr>
            <w:r>
              <w:rPr>
                <w:w w:val="95"/>
                <w:sz w:val="20"/>
              </w:rPr>
              <w:t>43.严重类风湿性关节炎</w:t>
            </w:r>
          </w:p>
        </w:tc>
      </w:tr>
      <w:tr>
        <w:trPr>
          <w:trHeight w:val="326" w:hRule="atLeast"/>
        </w:trPr>
        <w:tc>
          <w:tcPr>
            <w:tcW w:w="4595" w:type="dxa"/>
            <w:tcBorders>
              <w:top w:val="nil"/>
              <w:bottom w:val="nil"/>
            </w:tcBorders>
          </w:tcPr>
          <w:p>
            <w:pPr>
              <w:pStyle w:val="TableParagraph"/>
              <w:spacing w:before="1"/>
              <w:rPr>
                <w:sz w:val="20"/>
              </w:rPr>
            </w:pPr>
            <w:r>
              <w:rPr>
                <w:w w:val="95"/>
                <w:sz w:val="20"/>
              </w:rPr>
              <w:t>33.严重溃疡性结肠炎</w:t>
            </w:r>
          </w:p>
        </w:tc>
        <w:tc>
          <w:tcPr>
            <w:tcW w:w="4592" w:type="dxa"/>
            <w:tcBorders>
              <w:top w:val="nil"/>
              <w:bottom w:val="nil"/>
            </w:tcBorders>
          </w:tcPr>
          <w:p>
            <w:pPr>
              <w:pStyle w:val="TableParagraph"/>
              <w:spacing w:before="1"/>
              <w:rPr>
                <w:sz w:val="20"/>
              </w:rPr>
            </w:pPr>
            <w:r>
              <w:rPr>
                <w:w w:val="95"/>
                <w:sz w:val="20"/>
              </w:rPr>
              <w:t>21.严重运动神经元病</w:t>
            </w:r>
          </w:p>
        </w:tc>
        <w:tc>
          <w:tcPr>
            <w:tcW w:w="4597" w:type="dxa"/>
            <w:tcBorders>
              <w:top w:val="nil"/>
              <w:bottom w:val="nil"/>
            </w:tcBorders>
          </w:tcPr>
          <w:p>
            <w:pPr>
              <w:pStyle w:val="TableParagraph"/>
              <w:spacing w:before="1"/>
              <w:rPr>
                <w:sz w:val="20"/>
              </w:rPr>
            </w:pPr>
            <w:r>
              <w:rPr>
                <w:w w:val="95"/>
                <w:sz w:val="20"/>
              </w:rPr>
              <w:t>44.严重心肌炎</w:t>
            </w:r>
          </w:p>
        </w:tc>
      </w:tr>
      <w:tr>
        <w:trPr>
          <w:trHeight w:val="326" w:hRule="atLeast"/>
        </w:trPr>
        <w:tc>
          <w:tcPr>
            <w:tcW w:w="4595" w:type="dxa"/>
            <w:tcBorders>
              <w:top w:val="nil"/>
              <w:bottom w:val="nil"/>
            </w:tcBorders>
          </w:tcPr>
          <w:p>
            <w:pPr>
              <w:pStyle w:val="TableParagraph"/>
              <w:spacing w:before="1"/>
              <w:rPr>
                <w:sz w:val="20"/>
              </w:rPr>
            </w:pPr>
            <w:r>
              <w:rPr>
                <w:w w:val="95"/>
                <w:sz w:val="20"/>
              </w:rPr>
              <w:t>34.急性坏死性胰腺炎</w:t>
            </w:r>
          </w:p>
        </w:tc>
        <w:tc>
          <w:tcPr>
            <w:tcW w:w="4592" w:type="dxa"/>
            <w:tcBorders>
              <w:top w:val="nil"/>
              <w:bottom w:val="nil"/>
            </w:tcBorders>
          </w:tcPr>
          <w:p>
            <w:pPr>
              <w:pStyle w:val="TableParagraph"/>
              <w:spacing w:before="1"/>
              <w:rPr>
                <w:sz w:val="20"/>
              </w:rPr>
            </w:pPr>
            <w:r>
              <w:rPr>
                <w:w w:val="95"/>
                <w:sz w:val="20"/>
              </w:rPr>
              <w:t>22.语言能力丧失</w:t>
            </w:r>
          </w:p>
        </w:tc>
        <w:tc>
          <w:tcPr>
            <w:tcW w:w="4597" w:type="dxa"/>
            <w:tcBorders>
              <w:top w:val="nil"/>
              <w:bottom w:val="nil"/>
            </w:tcBorders>
          </w:tcPr>
          <w:p>
            <w:pPr>
              <w:pStyle w:val="TableParagraph"/>
              <w:spacing w:before="1"/>
              <w:rPr>
                <w:sz w:val="20"/>
              </w:rPr>
            </w:pPr>
            <w:r>
              <w:rPr>
                <w:w w:val="95"/>
                <w:sz w:val="20"/>
              </w:rPr>
              <w:t>56.感染性心内膜炎</w:t>
            </w:r>
          </w:p>
        </w:tc>
      </w:tr>
      <w:tr>
        <w:trPr>
          <w:trHeight w:val="326" w:hRule="atLeast"/>
        </w:trPr>
        <w:tc>
          <w:tcPr>
            <w:tcW w:w="4595" w:type="dxa"/>
            <w:tcBorders>
              <w:top w:val="nil"/>
              <w:bottom w:val="nil"/>
            </w:tcBorders>
          </w:tcPr>
          <w:p>
            <w:pPr>
              <w:pStyle w:val="TableParagraph"/>
              <w:spacing w:before="1"/>
              <w:rPr>
                <w:sz w:val="20"/>
              </w:rPr>
            </w:pPr>
            <w:r>
              <w:rPr>
                <w:w w:val="95"/>
                <w:sz w:val="20"/>
              </w:rPr>
              <w:t>35.慢性复发性胰腺炎</w:t>
            </w:r>
          </w:p>
        </w:tc>
        <w:tc>
          <w:tcPr>
            <w:tcW w:w="4592" w:type="dxa"/>
            <w:tcBorders>
              <w:top w:val="nil"/>
              <w:bottom w:val="nil"/>
            </w:tcBorders>
          </w:tcPr>
          <w:p>
            <w:pPr>
              <w:pStyle w:val="TableParagraph"/>
              <w:spacing w:before="1"/>
              <w:rPr>
                <w:sz w:val="20"/>
              </w:rPr>
            </w:pPr>
            <w:r>
              <w:rPr>
                <w:w w:val="95"/>
                <w:sz w:val="20"/>
              </w:rPr>
              <w:t>26.脊髓灰质炎</w:t>
            </w:r>
          </w:p>
        </w:tc>
        <w:tc>
          <w:tcPr>
            <w:tcW w:w="4597" w:type="dxa"/>
            <w:tcBorders>
              <w:top w:val="nil"/>
              <w:bottom w:val="nil"/>
            </w:tcBorders>
          </w:tcPr>
          <w:p>
            <w:pPr>
              <w:pStyle w:val="TableParagraph"/>
              <w:spacing w:before="1"/>
              <w:rPr>
                <w:sz w:val="20"/>
              </w:rPr>
            </w:pPr>
            <w:r>
              <w:rPr>
                <w:w w:val="95"/>
                <w:sz w:val="20"/>
              </w:rPr>
              <w:t>59.因职业关系导致的人类免疫缺陷病毒感染</w:t>
            </w:r>
          </w:p>
        </w:tc>
      </w:tr>
      <w:tr>
        <w:trPr>
          <w:trHeight w:val="325" w:hRule="atLeast"/>
        </w:trPr>
        <w:tc>
          <w:tcPr>
            <w:tcW w:w="4595" w:type="dxa"/>
            <w:tcBorders>
              <w:top w:val="nil"/>
              <w:bottom w:val="nil"/>
            </w:tcBorders>
          </w:tcPr>
          <w:p>
            <w:pPr>
              <w:pStyle w:val="TableParagraph"/>
              <w:spacing w:before="1"/>
              <w:rPr>
                <w:sz w:val="20"/>
              </w:rPr>
            </w:pPr>
            <w:r>
              <w:rPr>
                <w:w w:val="95"/>
                <w:sz w:val="20"/>
              </w:rPr>
              <w:t>36.原发性硬化性胆管炎</w:t>
            </w:r>
          </w:p>
        </w:tc>
        <w:tc>
          <w:tcPr>
            <w:tcW w:w="4592" w:type="dxa"/>
            <w:tcBorders>
              <w:top w:val="nil"/>
              <w:bottom w:val="nil"/>
            </w:tcBorders>
          </w:tcPr>
          <w:p>
            <w:pPr>
              <w:pStyle w:val="TableParagraph"/>
              <w:spacing w:before="1"/>
              <w:rPr>
                <w:sz w:val="20"/>
              </w:rPr>
            </w:pPr>
            <w:r>
              <w:rPr>
                <w:w w:val="95"/>
                <w:sz w:val="20"/>
              </w:rPr>
              <w:t>28.肌营养不良症</w:t>
            </w:r>
          </w:p>
        </w:tc>
        <w:tc>
          <w:tcPr>
            <w:tcW w:w="4597" w:type="dxa"/>
            <w:tcBorders>
              <w:top w:val="nil"/>
              <w:bottom w:val="nil"/>
            </w:tcBorders>
          </w:tcPr>
          <w:p>
            <w:pPr>
              <w:pStyle w:val="TableParagraph"/>
              <w:spacing w:before="1"/>
              <w:rPr>
                <w:sz w:val="20"/>
              </w:rPr>
            </w:pPr>
            <w:r>
              <w:rPr>
                <w:w w:val="95"/>
                <w:sz w:val="20"/>
              </w:rPr>
              <w:t>60.严重冠状动脉粥样硬化性心脏病</w:t>
            </w:r>
          </w:p>
        </w:tc>
      </w:tr>
      <w:tr>
        <w:trPr>
          <w:trHeight w:val="325" w:hRule="atLeast"/>
        </w:trPr>
        <w:tc>
          <w:tcPr>
            <w:tcW w:w="4595" w:type="dxa"/>
            <w:tcBorders>
              <w:top w:val="nil"/>
              <w:bottom w:val="nil"/>
            </w:tcBorders>
          </w:tcPr>
          <w:p>
            <w:pPr>
              <w:pStyle w:val="TableParagraph"/>
              <w:rPr>
                <w:sz w:val="20"/>
              </w:rPr>
            </w:pPr>
            <w:r>
              <w:rPr>
                <w:w w:val="95"/>
                <w:sz w:val="20"/>
              </w:rPr>
              <w:t>38.慢性肾上腺皮质功能衰竭</w:t>
            </w:r>
          </w:p>
        </w:tc>
        <w:tc>
          <w:tcPr>
            <w:tcW w:w="4592" w:type="dxa"/>
            <w:tcBorders>
              <w:top w:val="nil"/>
              <w:bottom w:val="nil"/>
            </w:tcBorders>
          </w:tcPr>
          <w:p>
            <w:pPr>
              <w:pStyle w:val="TableParagraph"/>
              <w:rPr>
                <w:sz w:val="20"/>
              </w:rPr>
            </w:pPr>
            <w:r>
              <w:rPr>
                <w:w w:val="95"/>
                <w:sz w:val="20"/>
              </w:rPr>
              <w:t>29.多发性硬化症</w:t>
            </w:r>
          </w:p>
        </w:tc>
        <w:tc>
          <w:tcPr>
            <w:tcW w:w="4597" w:type="dxa"/>
            <w:tcBorders>
              <w:top w:val="nil"/>
              <w:bottom w:val="nil"/>
            </w:tcBorders>
          </w:tcPr>
          <w:p>
            <w:pPr>
              <w:pStyle w:val="TableParagraph"/>
              <w:ind w:left="0"/>
              <w:rPr>
                <w:rFonts w:ascii="Times New Roman"/>
                <w:sz w:val="18"/>
              </w:rPr>
            </w:pPr>
          </w:p>
        </w:tc>
      </w:tr>
      <w:tr>
        <w:trPr>
          <w:trHeight w:val="326" w:hRule="atLeast"/>
        </w:trPr>
        <w:tc>
          <w:tcPr>
            <w:tcW w:w="4595" w:type="dxa"/>
            <w:tcBorders>
              <w:top w:val="nil"/>
              <w:bottom w:val="nil"/>
            </w:tcBorders>
          </w:tcPr>
          <w:p>
            <w:pPr>
              <w:pStyle w:val="TableParagraph"/>
              <w:spacing w:before="1"/>
              <w:rPr>
                <w:sz w:val="20"/>
              </w:rPr>
            </w:pPr>
            <w:r>
              <w:rPr>
                <w:w w:val="95"/>
                <w:sz w:val="20"/>
              </w:rPr>
              <w:t>39.慢性呼吸功能衰竭</w:t>
            </w:r>
          </w:p>
        </w:tc>
        <w:tc>
          <w:tcPr>
            <w:tcW w:w="4592" w:type="dxa"/>
            <w:tcBorders>
              <w:top w:val="nil"/>
              <w:bottom w:val="nil"/>
            </w:tcBorders>
          </w:tcPr>
          <w:p>
            <w:pPr>
              <w:pStyle w:val="TableParagraph"/>
              <w:spacing w:before="1"/>
              <w:rPr>
                <w:sz w:val="20"/>
              </w:rPr>
            </w:pPr>
            <w:r>
              <w:rPr>
                <w:w w:val="95"/>
                <w:sz w:val="20"/>
              </w:rPr>
              <w:t>41.全身性重症肌无力</w:t>
            </w:r>
          </w:p>
        </w:tc>
        <w:tc>
          <w:tcPr>
            <w:tcW w:w="4597" w:type="dxa"/>
            <w:tcBorders>
              <w:top w:val="nil"/>
              <w:bottom w:val="nil"/>
            </w:tcBorders>
          </w:tcPr>
          <w:p>
            <w:pPr>
              <w:pStyle w:val="TableParagraph"/>
              <w:ind w:left="0"/>
              <w:rPr>
                <w:rFonts w:ascii="Times New Roman"/>
                <w:sz w:val="18"/>
              </w:rPr>
            </w:pPr>
          </w:p>
        </w:tc>
      </w:tr>
      <w:tr>
        <w:trPr>
          <w:trHeight w:val="326" w:hRule="atLeast"/>
        </w:trPr>
        <w:tc>
          <w:tcPr>
            <w:tcW w:w="4595" w:type="dxa"/>
            <w:tcBorders>
              <w:top w:val="nil"/>
              <w:bottom w:val="nil"/>
            </w:tcBorders>
          </w:tcPr>
          <w:p>
            <w:pPr>
              <w:pStyle w:val="TableParagraph"/>
              <w:spacing w:before="1"/>
              <w:rPr>
                <w:sz w:val="20"/>
              </w:rPr>
            </w:pPr>
            <w:r>
              <w:rPr>
                <w:w w:val="95"/>
                <w:sz w:val="20"/>
              </w:rPr>
              <w:t>45.严重肺源性心脏病</w:t>
            </w:r>
          </w:p>
        </w:tc>
        <w:tc>
          <w:tcPr>
            <w:tcW w:w="4592" w:type="dxa"/>
            <w:tcBorders>
              <w:top w:val="nil"/>
              <w:bottom w:val="nil"/>
            </w:tcBorders>
          </w:tcPr>
          <w:p>
            <w:pPr>
              <w:pStyle w:val="TableParagraph"/>
              <w:spacing w:before="1"/>
              <w:rPr>
                <w:sz w:val="20"/>
              </w:rPr>
            </w:pPr>
            <w:r>
              <w:rPr>
                <w:w w:val="95"/>
                <w:sz w:val="20"/>
              </w:rPr>
              <w:t>42.疯牛病</w:t>
            </w:r>
          </w:p>
        </w:tc>
        <w:tc>
          <w:tcPr>
            <w:tcW w:w="4597" w:type="dxa"/>
            <w:tcBorders>
              <w:top w:val="nil"/>
              <w:bottom w:val="nil"/>
            </w:tcBorders>
          </w:tcPr>
          <w:p>
            <w:pPr>
              <w:pStyle w:val="TableParagraph"/>
              <w:ind w:left="0"/>
              <w:rPr>
                <w:rFonts w:ascii="Times New Roman"/>
                <w:sz w:val="18"/>
              </w:rPr>
            </w:pPr>
          </w:p>
        </w:tc>
      </w:tr>
      <w:tr>
        <w:trPr>
          <w:trHeight w:val="326" w:hRule="atLeast"/>
        </w:trPr>
        <w:tc>
          <w:tcPr>
            <w:tcW w:w="4595" w:type="dxa"/>
            <w:tcBorders>
              <w:top w:val="nil"/>
              <w:bottom w:val="nil"/>
            </w:tcBorders>
          </w:tcPr>
          <w:p>
            <w:pPr>
              <w:pStyle w:val="TableParagraph"/>
              <w:spacing w:before="1"/>
              <w:rPr>
                <w:sz w:val="20"/>
              </w:rPr>
            </w:pPr>
            <w:r>
              <w:rPr>
                <w:w w:val="95"/>
                <w:sz w:val="20"/>
              </w:rPr>
              <w:t>49.胰腺移植</w:t>
            </w:r>
          </w:p>
        </w:tc>
        <w:tc>
          <w:tcPr>
            <w:tcW w:w="4592" w:type="dxa"/>
            <w:tcBorders>
              <w:top w:val="nil"/>
              <w:bottom w:val="nil"/>
            </w:tcBorders>
          </w:tcPr>
          <w:p>
            <w:pPr>
              <w:pStyle w:val="TableParagraph"/>
              <w:spacing w:before="1"/>
              <w:rPr>
                <w:sz w:val="20"/>
              </w:rPr>
            </w:pPr>
            <w:r>
              <w:rPr>
                <w:w w:val="95"/>
                <w:sz w:val="20"/>
              </w:rPr>
              <w:t>46.植物人状态</w:t>
            </w:r>
          </w:p>
        </w:tc>
        <w:tc>
          <w:tcPr>
            <w:tcW w:w="4597" w:type="dxa"/>
            <w:tcBorders>
              <w:top w:val="nil"/>
              <w:bottom w:val="nil"/>
            </w:tcBorders>
          </w:tcPr>
          <w:p>
            <w:pPr>
              <w:pStyle w:val="TableParagraph"/>
              <w:ind w:left="0"/>
              <w:rPr>
                <w:rFonts w:ascii="Times New Roman"/>
                <w:sz w:val="18"/>
              </w:rPr>
            </w:pPr>
          </w:p>
        </w:tc>
      </w:tr>
      <w:tr>
        <w:trPr>
          <w:trHeight w:val="326" w:hRule="atLeast"/>
        </w:trPr>
        <w:tc>
          <w:tcPr>
            <w:tcW w:w="4595" w:type="dxa"/>
            <w:tcBorders>
              <w:top w:val="nil"/>
              <w:bottom w:val="nil"/>
            </w:tcBorders>
          </w:tcPr>
          <w:p>
            <w:pPr>
              <w:pStyle w:val="TableParagraph"/>
              <w:spacing w:before="1"/>
              <w:rPr>
                <w:sz w:val="20"/>
              </w:rPr>
            </w:pPr>
            <w:r>
              <w:rPr>
                <w:w w:val="95"/>
                <w:sz w:val="20"/>
              </w:rPr>
              <w:t>50.严重自身免疫性肝炎</w:t>
            </w:r>
          </w:p>
        </w:tc>
        <w:tc>
          <w:tcPr>
            <w:tcW w:w="4592" w:type="dxa"/>
            <w:tcBorders>
              <w:top w:val="nil"/>
              <w:bottom w:val="nil"/>
            </w:tcBorders>
          </w:tcPr>
          <w:p>
            <w:pPr>
              <w:pStyle w:val="TableParagraph"/>
              <w:spacing w:before="1"/>
              <w:rPr>
                <w:sz w:val="20"/>
              </w:rPr>
            </w:pPr>
            <w:r>
              <w:rPr>
                <w:w w:val="95"/>
                <w:sz w:val="20"/>
              </w:rPr>
              <w:t>47.非阿尔茨海默病所致严重痴呆</w:t>
            </w:r>
          </w:p>
        </w:tc>
        <w:tc>
          <w:tcPr>
            <w:tcW w:w="4597" w:type="dxa"/>
            <w:tcBorders>
              <w:top w:val="nil"/>
              <w:bottom w:val="nil"/>
            </w:tcBorders>
          </w:tcPr>
          <w:p>
            <w:pPr>
              <w:pStyle w:val="TableParagraph"/>
              <w:ind w:left="0"/>
              <w:rPr>
                <w:rFonts w:ascii="Times New Roman"/>
                <w:sz w:val="18"/>
              </w:rPr>
            </w:pPr>
          </w:p>
        </w:tc>
      </w:tr>
      <w:tr>
        <w:trPr>
          <w:trHeight w:val="325" w:hRule="atLeast"/>
        </w:trPr>
        <w:tc>
          <w:tcPr>
            <w:tcW w:w="4595" w:type="dxa"/>
            <w:tcBorders>
              <w:top w:val="nil"/>
              <w:bottom w:val="nil"/>
            </w:tcBorders>
          </w:tcPr>
          <w:p>
            <w:pPr>
              <w:pStyle w:val="TableParagraph"/>
              <w:spacing w:before="1"/>
              <w:rPr>
                <w:sz w:val="20"/>
              </w:rPr>
            </w:pPr>
            <w:r>
              <w:rPr>
                <w:w w:val="95"/>
                <w:sz w:val="20"/>
              </w:rPr>
              <w:t>51.骨髓纤维化</w:t>
            </w:r>
          </w:p>
        </w:tc>
        <w:tc>
          <w:tcPr>
            <w:tcW w:w="4592" w:type="dxa"/>
            <w:tcBorders>
              <w:top w:val="nil"/>
              <w:bottom w:val="nil"/>
            </w:tcBorders>
          </w:tcPr>
          <w:p>
            <w:pPr>
              <w:pStyle w:val="TableParagraph"/>
              <w:spacing w:before="1"/>
              <w:rPr>
                <w:sz w:val="20"/>
              </w:rPr>
            </w:pPr>
            <w:r>
              <w:rPr>
                <w:w w:val="95"/>
                <w:sz w:val="20"/>
              </w:rPr>
              <w:t>48.埃博拉病毒感染</w:t>
            </w:r>
          </w:p>
        </w:tc>
        <w:tc>
          <w:tcPr>
            <w:tcW w:w="4597" w:type="dxa"/>
            <w:tcBorders>
              <w:top w:val="nil"/>
              <w:bottom w:val="nil"/>
            </w:tcBorders>
          </w:tcPr>
          <w:p>
            <w:pPr>
              <w:pStyle w:val="TableParagraph"/>
              <w:ind w:left="0"/>
              <w:rPr>
                <w:rFonts w:ascii="Times New Roman"/>
                <w:sz w:val="18"/>
              </w:rPr>
            </w:pPr>
          </w:p>
        </w:tc>
      </w:tr>
      <w:tr>
        <w:trPr>
          <w:trHeight w:val="325" w:hRule="atLeast"/>
        </w:trPr>
        <w:tc>
          <w:tcPr>
            <w:tcW w:w="4595" w:type="dxa"/>
            <w:tcBorders>
              <w:top w:val="nil"/>
              <w:bottom w:val="nil"/>
            </w:tcBorders>
          </w:tcPr>
          <w:p>
            <w:pPr>
              <w:pStyle w:val="TableParagraph"/>
              <w:rPr>
                <w:sz w:val="20"/>
              </w:rPr>
            </w:pPr>
            <w:r>
              <w:rPr>
                <w:w w:val="95"/>
                <w:sz w:val="20"/>
              </w:rPr>
              <w:t>54.严重获得性或继发性肺泡蛋白质沉积症</w:t>
            </w:r>
          </w:p>
        </w:tc>
        <w:tc>
          <w:tcPr>
            <w:tcW w:w="4592" w:type="dxa"/>
            <w:tcBorders>
              <w:top w:val="nil"/>
              <w:bottom w:val="nil"/>
            </w:tcBorders>
          </w:tcPr>
          <w:p>
            <w:pPr>
              <w:pStyle w:val="TableParagraph"/>
              <w:rPr>
                <w:sz w:val="20"/>
              </w:rPr>
            </w:pPr>
            <w:r>
              <w:rPr>
                <w:w w:val="95"/>
                <w:sz w:val="20"/>
              </w:rPr>
              <w:t>52.进行性核上性麻痹</w:t>
            </w:r>
          </w:p>
        </w:tc>
        <w:tc>
          <w:tcPr>
            <w:tcW w:w="4597" w:type="dxa"/>
            <w:tcBorders>
              <w:top w:val="nil"/>
              <w:bottom w:val="nil"/>
            </w:tcBorders>
          </w:tcPr>
          <w:p>
            <w:pPr>
              <w:pStyle w:val="TableParagraph"/>
              <w:ind w:left="0"/>
              <w:rPr>
                <w:rFonts w:ascii="Times New Roman"/>
                <w:sz w:val="18"/>
              </w:rPr>
            </w:pPr>
          </w:p>
        </w:tc>
      </w:tr>
      <w:tr>
        <w:trPr>
          <w:trHeight w:val="326" w:hRule="atLeast"/>
        </w:trPr>
        <w:tc>
          <w:tcPr>
            <w:tcW w:w="4595" w:type="dxa"/>
            <w:tcBorders>
              <w:top w:val="nil"/>
              <w:bottom w:val="nil"/>
            </w:tcBorders>
          </w:tcPr>
          <w:p>
            <w:pPr>
              <w:pStyle w:val="TableParagraph"/>
              <w:spacing w:before="1"/>
              <w:rPr>
                <w:sz w:val="20"/>
              </w:rPr>
            </w:pPr>
            <w:r>
              <w:rPr>
                <w:w w:val="95"/>
                <w:sz w:val="20"/>
              </w:rPr>
              <w:t>55.肺淋巴管肌瘤病</w:t>
            </w:r>
          </w:p>
        </w:tc>
        <w:tc>
          <w:tcPr>
            <w:tcW w:w="4592" w:type="dxa"/>
            <w:tcBorders>
              <w:top w:val="nil"/>
              <w:bottom w:val="nil"/>
            </w:tcBorders>
          </w:tcPr>
          <w:p>
            <w:pPr>
              <w:pStyle w:val="TableParagraph"/>
              <w:spacing w:before="1"/>
              <w:rPr>
                <w:sz w:val="20"/>
              </w:rPr>
            </w:pPr>
            <w:r>
              <w:rPr>
                <w:w w:val="95"/>
                <w:sz w:val="20"/>
              </w:rPr>
              <w:t>53.一肢及单眼缺失</w:t>
            </w:r>
          </w:p>
        </w:tc>
        <w:tc>
          <w:tcPr>
            <w:tcW w:w="4597" w:type="dxa"/>
            <w:tcBorders>
              <w:top w:val="nil"/>
              <w:bottom w:val="nil"/>
            </w:tcBorders>
          </w:tcPr>
          <w:p>
            <w:pPr>
              <w:pStyle w:val="TableParagraph"/>
              <w:ind w:left="0"/>
              <w:rPr>
                <w:rFonts w:ascii="Times New Roman"/>
                <w:sz w:val="18"/>
              </w:rPr>
            </w:pPr>
          </w:p>
        </w:tc>
      </w:tr>
      <w:tr>
        <w:trPr>
          <w:trHeight w:val="328" w:hRule="atLeast"/>
        </w:trPr>
        <w:tc>
          <w:tcPr>
            <w:tcW w:w="4595" w:type="dxa"/>
            <w:tcBorders>
              <w:top w:val="nil"/>
            </w:tcBorders>
          </w:tcPr>
          <w:p>
            <w:pPr>
              <w:pStyle w:val="TableParagraph"/>
              <w:spacing w:before="1"/>
              <w:rPr>
                <w:sz w:val="20"/>
              </w:rPr>
            </w:pPr>
            <w:r>
              <w:rPr>
                <w:w w:val="95"/>
                <w:sz w:val="20"/>
              </w:rPr>
              <w:t>57.肝豆状核变性（威尔逊氏病)</w:t>
            </w:r>
          </w:p>
        </w:tc>
        <w:tc>
          <w:tcPr>
            <w:tcW w:w="4592" w:type="dxa"/>
            <w:tcBorders>
              <w:top w:val="nil"/>
            </w:tcBorders>
          </w:tcPr>
          <w:p>
            <w:pPr>
              <w:pStyle w:val="TableParagraph"/>
              <w:spacing w:before="1"/>
              <w:rPr>
                <w:sz w:val="20"/>
              </w:rPr>
            </w:pPr>
            <w:r>
              <w:rPr>
                <w:w w:val="95"/>
                <w:sz w:val="20"/>
              </w:rPr>
              <w:t>58.破裂脑动脉瘤夹闭手术</w:t>
            </w:r>
          </w:p>
        </w:tc>
        <w:tc>
          <w:tcPr>
            <w:tcW w:w="4597" w:type="dxa"/>
            <w:tcBorders>
              <w:top w:val="nil"/>
            </w:tcBorders>
          </w:tcPr>
          <w:p>
            <w:pPr>
              <w:pStyle w:val="TableParagraph"/>
              <w:ind w:left="0"/>
              <w:rPr>
                <w:rFonts w:ascii="Times New Roman"/>
                <w:sz w:val="18"/>
              </w:rPr>
            </w:pPr>
          </w:p>
        </w:tc>
      </w:tr>
    </w:tbl>
    <w:p>
      <w:pPr>
        <w:spacing w:after="0"/>
        <w:rPr>
          <w:rFonts w:ascii="Times New Roman"/>
          <w:sz w:val="18"/>
        </w:rPr>
        <w:sectPr>
          <w:pgSz w:w="16840" w:h="11910" w:orient="landscape"/>
          <w:pgMar w:header="0" w:footer="831" w:top="960" w:bottom="1020" w:left="1300" w:right="1520"/>
        </w:sectPr>
      </w:pPr>
    </w:p>
    <w:p>
      <w:pPr>
        <w:pStyle w:val="Heading2"/>
        <w:spacing w:before="13"/>
        <w:ind w:left="144"/>
      </w:pPr>
      <w:r>
        <w:rPr/>
        <w:pict>
          <v:line style="position:absolute;mso-position-horizontal-relative:page;mso-position-vertical-relative:paragraph;z-index:1072;mso-wrap-distance-left:0;mso-wrap-distance-right:0" from="46.799999pt,19.605633pt" to="575.739999pt,19.605633pt" stroked="true" strokeweight=".48pt" strokecolor="#000000">
            <v:stroke dashstyle="solid"/>
            <w10:wrap type="topAndBottom"/>
          </v:line>
        </w:pict>
      </w:r>
      <w:r>
        <w:rPr/>
        <w:t>附录二 本合同承保的重大疾病定义</w:t>
      </w:r>
    </w:p>
    <w:p>
      <w:pPr>
        <w:pStyle w:val="BodyText"/>
        <w:spacing w:before="4"/>
        <w:rPr>
          <w:b/>
          <w:sz w:val="7"/>
        </w:rPr>
      </w:pPr>
    </w:p>
    <w:p>
      <w:pPr>
        <w:pStyle w:val="BodyText"/>
        <w:spacing w:before="37"/>
        <w:ind w:left="144"/>
      </w:pPr>
      <w:r>
        <w:rPr/>
        <w:t>以下第 1 至 24 种重大疾病的名称及定义均出自中国保险行业协会颁布的《重大疾病保险的疾病定义使用规范》；第 25</w:t>
      </w:r>
    </w:p>
    <w:p>
      <w:pPr>
        <w:pStyle w:val="BodyText"/>
        <w:spacing w:before="64"/>
        <w:ind w:left="144"/>
      </w:pPr>
      <w:r>
        <w:rPr/>
        <w:t>至 60 种重大疾病由于没有行业统一的名称和定义，为自行定义的重大疾病。</w:t>
      </w:r>
    </w:p>
    <w:p>
      <w:pPr>
        <w:pStyle w:val="BodyText"/>
        <w:spacing w:before="13"/>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3"/>
      </w:tblGrid>
      <w:tr>
        <w:trPr>
          <w:trHeight w:val="381" w:hRule="atLeast"/>
        </w:trPr>
        <w:tc>
          <w:tcPr>
            <w:tcW w:w="1860" w:type="dxa"/>
            <w:shd w:val="clear" w:color="auto" w:fill="D7D7D7"/>
          </w:tcPr>
          <w:p>
            <w:pPr>
              <w:pStyle w:val="TableParagraph"/>
              <w:spacing w:before="28"/>
              <w:ind w:left="326"/>
              <w:rPr>
                <w:b/>
                <w:sz w:val="20"/>
              </w:rPr>
            </w:pPr>
            <w:r>
              <w:rPr>
                <w:b/>
                <w:w w:val="95"/>
                <w:sz w:val="20"/>
              </w:rPr>
              <w:t>重大疾病名称</w:t>
            </w:r>
          </w:p>
        </w:tc>
        <w:tc>
          <w:tcPr>
            <w:tcW w:w="7933" w:type="dxa"/>
            <w:shd w:val="clear" w:color="auto" w:fill="D7D7D7"/>
          </w:tcPr>
          <w:p>
            <w:pPr>
              <w:pStyle w:val="TableParagraph"/>
              <w:spacing w:before="28"/>
              <w:ind w:left="237" w:right="224"/>
              <w:jc w:val="center"/>
              <w:rPr>
                <w:b/>
                <w:sz w:val="20"/>
              </w:rPr>
            </w:pPr>
            <w:r>
              <w:rPr>
                <w:b/>
                <w:sz w:val="20"/>
              </w:rPr>
              <w:t>定义</w:t>
            </w:r>
          </w:p>
        </w:tc>
      </w:tr>
      <w:tr>
        <w:trPr>
          <w:trHeight w:val="3307" w:hRule="atLeast"/>
        </w:trPr>
        <w:tc>
          <w:tcPr>
            <w:tcW w:w="1860" w:type="dxa"/>
          </w:tcPr>
          <w:p>
            <w:pPr>
              <w:pStyle w:val="TableParagraph"/>
              <w:spacing w:before="18"/>
              <w:rPr>
                <w:sz w:val="20"/>
              </w:rPr>
            </w:pPr>
            <w:r>
              <w:rPr>
                <w:sz w:val="20"/>
              </w:rPr>
              <w:t>1. 恶性肿瘤</w:t>
            </w:r>
          </w:p>
        </w:tc>
        <w:tc>
          <w:tcPr>
            <w:tcW w:w="7933" w:type="dxa"/>
          </w:tcPr>
          <w:p>
            <w:pPr>
              <w:pStyle w:val="TableParagraph"/>
              <w:spacing w:line="300" w:lineRule="auto" w:before="18"/>
              <w:ind w:left="108" w:right="104"/>
              <w:jc w:val="both"/>
              <w:rPr>
                <w:sz w:val="20"/>
              </w:rPr>
            </w:pPr>
            <w:r>
              <w:rPr>
                <w:spacing w:val="-4"/>
                <w:w w:val="95"/>
                <w:sz w:val="20"/>
              </w:rPr>
              <w:t>指恶性细胞不受控制的进行性增长和扩散，浸润和破坏周围正常组织，可以经血管、淋巴   </w:t>
            </w:r>
            <w:r>
              <w:rPr>
                <w:spacing w:val="-9"/>
                <w:w w:val="95"/>
                <w:sz w:val="20"/>
              </w:rPr>
              <w:t>管和体腔扩散转移到身体其它部位的疾病。经病理学检查结果明确诊断，临床诊断属于世   界卫生组织《疾病和有关健康问题的国际统计分类》（ICD-10）的恶性肿瘤范畴。</w:t>
            </w:r>
          </w:p>
          <w:p>
            <w:pPr>
              <w:pStyle w:val="TableParagraph"/>
              <w:spacing w:before="12"/>
              <w:ind w:left="108"/>
              <w:jc w:val="both"/>
              <w:rPr>
                <w:b/>
                <w:sz w:val="20"/>
              </w:rPr>
            </w:pPr>
            <w:r>
              <w:rPr>
                <w:b/>
                <w:w w:val="95"/>
                <w:sz w:val="20"/>
              </w:rPr>
              <w:t>下列疾病不在保障范围内：</w:t>
            </w:r>
          </w:p>
          <w:p>
            <w:pPr>
              <w:pStyle w:val="TableParagraph"/>
              <w:numPr>
                <w:ilvl w:val="0"/>
                <w:numId w:val="10"/>
              </w:numPr>
              <w:tabs>
                <w:tab w:pos="529" w:val="left" w:leader="none"/>
              </w:tabs>
              <w:spacing w:line="240" w:lineRule="auto" w:before="64" w:after="0"/>
              <w:ind w:left="528" w:right="0" w:hanging="420"/>
              <w:jc w:val="both"/>
              <w:rPr>
                <w:b/>
                <w:sz w:val="20"/>
              </w:rPr>
            </w:pPr>
            <w:r>
              <w:rPr>
                <w:b/>
                <w:sz w:val="20"/>
              </w:rPr>
              <w:t>原位癌；</w:t>
            </w:r>
          </w:p>
          <w:p>
            <w:pPr>
              <w:pStyle w:val="TableParagraph"/>
              <w:numPr>
                <w:ilvl w:val="0"/>
                <w:numId w:val="10"/>
              </w:numPr>
              <w:tabs>
                <w:tab w:pos="529" w:val="left" w:leader="none"/>
              </w:tabs>
              <w:spacing w:line="240" w:lineRule="auto" w:before="64" w:after="0"/>
              <w:ind w:left="528" w:right="0" w:hanging="420"/>
              <w:jc w:val="both"/>
              <w:rPr>
                <w:b/>
                <w:sz w:val="20"/>
              </w:rPr>
            </w:pPr>
            <w:r>
              <w:rPr>
                <w:b/>
                <w:spacing w:val="-14"/>
                <w:sz w:val="20"/>
              </w:rPr>
              <w:t>相当于 </w:t>
            </w:r>
            <w:r>
              <w:rPr>
                <w:b/>
                <w:sz w:val="20"/>
              </w:rPr>
              <w:t>Binet</w:t>
            </w:r>
            <w:r>
              <w:rPr>
                <w:b/>
                <w:spacing w:val="-19"/>
                <w:sz w:val="20"/>
              </w:rPr>
              <w:t> 分期方案 </w:t>
            </w:r>
            <w:r>
              <w:rPr>
                <w:b/>
                <w:sz w:val="20"/>
              </w:rPr>
              <w:t>A</w:t>
            </w:r>
            <w:r>
              <w:rPr>
                <w:b/>
                <w:spacing w:val="-8"/>
                <w:sz w:val="20"/>
              </w:rPr>
              <w:t> 期程度的慢性淋巴细胞白血病；</w:t>
            </w:r>
          </w:p>
          <w:p>
            <w:pPr>
              <w:pStyle w:val="TableParagraph"/>
              <w:numPr>
                <w:ilvl w:val="0"/>
                <w:numId w:val="10"/>
              </w:numPr>
              <w:tabs>
                <w:tab w:pos="529" w:val="left" w:leader="none"/>
              </w:tabs>
              <w:spacing w:line="240" w:lineRule="auto" w:before="64" w:after="0"/>
              <w:ind w:left="528" w:right="0" w:hanging="420"/>
              <w:jc w:val="both"/>
              <w:rPr>
                <w:b/>
                <w:sz w:val="20"/>
              </w:rPr>
            </w:pPr>
            <w:r>
              <w:rPr>
                <w:b/>
                <w:spacing w:val="-14"/>
                <w:sz w:val="20"/>
              </w:rPr>
              <w:t>相当于 </w:t>
            </w:r>
            <w:r>
              <w:rPr>
                <w:b/>
                <w:sz w:val="20"/>
              </w:rPr>
              <w:t>Ann</w:t>
            </w:r>
            <w:r>
              <w:rPr>
                <w:b/>
                <w:spacing w:val="-4"/>
                <w:sz w:val="20"/>
              </w:rPr>
              <w:t> </w:t>
            </w:r>
            <w:r>
              <w:rPr>
                <w:b/>
                <w:sz w:val="20"/>
              </w:rPr>
              <w:t>Arbor</w:t>
            </w:r>
            <w:r>
              <w:rPr>
                <w:b/>
                <w:spacing w:val="-19"/>
                <w:sz w:val="20"/>
              </w:rPr>
              <w:t> 分期方案 </w:t>
            </w:r>
            <w:r>
              <w:rPr>
                <w:b/>
                <w:sz w:val="20"/>
              </w:rPr>
              <w:t>Ι</w:t>
            </w:r>
            <w:r>
              <w:rPr>
                <w:b/>
                <w:spacing w:val="-8"/>
                <w:sz w:val="20"/>
              </w:rPr>
              <w:t> 期程度的何杰金氏病；</w:t>
            </w:r>
          </w:p>
          <w:p>
            <w:pPr>
              <w:pStyle w:val="TableParagraph"/>
              <w:numPr>
                <w:ilvl w:val="0"/>
                <w:numId w:val="10"/>
              </w:numPr>
              <w:tabs>
                <w:tab w:pos="529" w:val="left" w:leader="none"/>
              </w:tabs>
              <w:spacing w:line="240" w:lineRule="auto" w:before="64" w:after="0"/>
              <w:ind w:left="528" w:right="0" w:hanging="420"/>
              <w:jc w:val="both"/>
              <w:rPr>
                <w:b/>
                <w:sz w:val="20"/>
              </w:rPr>
            </w:pPr>
            <w:r>
              <w:rPr>
                <w:b/>
                <w:w w:val="95"/>
                <w:sz w:val="20"/>
              </w:rPr>
              <w:t>皮肤癌（不包括恶性黑色素瘤及已发生转移的皮肤癌）；</w:t>
            </w:r>
          </w:p>
          <w:p>
            <w:pPr>
              <w:pStyle w:val="TableParagraph"/>
              <w:numPr>
                <w:ilvl w:val="0"/>
                <w:numId w:val="10"/>
              </w:numPr>
              <w:tabs>
                <w:tab w:pos="529" w:val="left" w:leader="none"/>
              </w:tabs>
              <w:spacing w:line="240" w:lineRule="auto" w:before="63" w:after="0"/>
              <w:ind w:left="528" w:right="0" w:hanging="420"/>
              <w:jc w:val="both"/>
              <w:rPr>
                <w:b/>
                <w:sz w:val="20"/>
              </w:rPr>
            </w:pPr>
            <w:r>
              <w:rPr>
                <w:b/>
                <w:position w:val="1"/>
                <w:sz w:val="20"/>
              </w:rPr>
              <w:t>TNM</w:t>
            </w:r>
            <w:r>
              <w:rPr>
                <w:b/>
                <w:spacing w:val="-13"/>
                <w:position w:val="1"/>
                <w:sz w:val="20"/>
              </w:rPr>
              <w:t> 分期为 </w:t>
            </w:r>
            <w:r>
              <w:rPr>
                <w:b/>
                <w:position w:val="1"/>
                <w:sz w:val="20"/>
              </w:rPr>
              <w:t>T</w:t>
            </w:r>
            <w:r>
              <w:rPr>
                <w:b/>
                <w:sz w:val="10"/>
              </w:rPr>
              <w:t>1</w:t>
            </w:r>
            <w:r>
              <w:rPr>
                <w:b/>
                <w:position w:val="1"/>
                <w:sz w:val="20"/>
              </w:rPr>
              <w:t>N</w:t>
            </w:r>
            <w:r>
              <w:rPr>
                <w:b/>
                <w:sz w:val="10"/>
              </w:rPr>
              <w:t>0</w:t>
            </w:r>
            <w:r>
              <w:rPr>
                <w:b/>
                <w:position w:val="1"/>
                <w:sz w:val="20"/>
              </w:rPr>
              <w:t>M</w:t>
            </w:r>
            <w:r>
              <w:rPr>
                <w:b/>
                <w:sz w:val="10"/>
              </w:rPr>
              <w:t>0</w:t>
            </w:r>
            <w:r>
              <w:rPr>
                <w:b/>
                <w:spacing w:val="-26"/>
                <w:sz w:val="10"/>
              </w:rPr>
              <w:t> </w:t>
            </w:r>
            <w:r>
              <w:rPr>
                <w:b/>
                <w:position w:val="1"/>
                <w:sz w:val="20"/>
              </w:rPr>
              <w:t>期或更轻分期的前列腺癌；</w:t>
            </w:r>
          </w:p>
          <w:p>
            <w:pPr>
              <w:pStyle w:val="TableParagraph"/>
              <w:numPr>
                <w:ilvl w:val="0"/>
                <w:numId w:val="10"/>
              </w:numPr>
              <w:tabs>
                <w:tab w:pos="529" w:val="left" w:leader="none"/>
              </w:tabs>
              <w:spacing w:line="240" w:lineRule="auto" w:before="62" w:after="0"/>
              <w:ind w:left="528" w:right="0" w:hanging="420"/>
              <w:jc w:val="both"/>
              <w:rPr>
                <w:b/>
                <w:sz w:val="20"/>
              </w:rPr>
            </w:pPr>
            <w:r>
              <w:rPr>
                <w:b/>
                <w:w w:val="95"/>
                <w:sz w:val="20"/>
              </w:rPr>
              <w:t>感染艾滋病病毒或患艾滋病期间所患恶性肿瘤。</w:t>
            </w:r>
          </w:p>
        </w:tc>
      </w:tr>
      <w:tr>
        <w:trPr>
          <w:trHeight w:val="2001" w:hRule="atLeast"/>
        </w:trPr>
        <w:tc>
          <w:tcPr>
            <w:tcW w:w="1860" w:type="dxa"/>
          </w:tcPr>
          <w:p>
            <w:pPr>
              <w:pStyle w:val="TableParagraph"/>
              <w:spacing w:before="18"/>
              <w:rPr>
                <w:sz w:val="20"/>
              </w:rPr>
            </w:pPr>
            <w:r>
              <w:rPr>
                <w:sz w:val="20"/>
              </w:rPr>
              <w:t>2. 急性心肌梗塞</w:t>
            </w:r>
          </w:p>
        </w:tc>
        <w:tc>
          <w:tcPr>
            <w:tcW w:w="7933" w:type="dxa"/>
          </w:tcPr>
          <w:p>
            <w:pPr>
              <w:pStyle w:val="TableParagraph"/>
              <w:spacing w:line="297" w:lineRule="auto" w:before="18"/>
              <w:ind w:left="108" w:right="104"/>
              <w:rPr>
                <w:sz w:val="20"/>
              </w:rPr>
            </w:pPr>
            <w:r>
              <w:rPr>
                <w:sz w:val="20"/>
              </w:rPr>
              <w:t>指因冠状动脉阻塞导致的相应区域供血不足造成部分心肌坏死。须满足下列至少三项条</w:t>
            </w:r>
            <w:r>
              <w:rPr>
                <w:w w:val="95"/>
                <w:sz w:val="20"/>
              </w:rPr>
              <w:t>件：</w:t>
            </w:r>
          </w:p>
          <w:p>
            <w:pPr>
              <w:pStyle w:val="TableParagraph"/>
              <w:numPr>
                <w:ilvl w:val="0"/>
                <w:numId w:val="11"/>
              </w:numPr>
              <w:tabs>
                <w:tab w:pos="529" w:val="left" w:leader="none"/>
              </w:tabs>
              <w:spacing w:line="240" w:lineRule="auto" w:before="16" w:after="0"/>
              <w:ind w:left="528" w:right="0" w:hanging="420"/>
              <w:jc w:val="left"/>
              <w:rPr>
                <w:sz w:val="20"/>
              </w:rPr>
            </w:pPr>
            <w:r>
              <w:rPr>
                <w:w w:val="95"/>
                <w:sz w:val="20"/>
              </w:rPr>
              <w:t>典型临床表现，例如急性胸痛等；</w:t>
            </w:r>
          </w:p>
          <w:p>
            <w:pPr>
              <w:pStyle w:val="TableParagraph"/>
              <w:numPr>
                <w:ilvl w:val="0"/>
                <w:numId w:val="11"/>
              </w:numPr>
              <w:tabs>
                <w:tab w:pos="529" w:val="left" w:leader="none"/>
              </w:tabs>
              <w:spacing w:line="240" w:lineRule="auto" w:before="64" w:after="0"/>
              <w:ind w:left="528" w:right="0" w:hanging="420"/>
              <w:jc w:val="left"/>
              <w:rPr>
                <w:sz w:val="20"/>
              </w:rPr>
            </w:pPr>
            <w:r>
              <w:rPr>
                <w:w w:val="95"/>
                <w:sz w:val="20"/>
              </w:rPr>
              <w:t>新近的心电图改变提示急性心肌梗塞；</w:t>
            </w:r>
          </w:p>
          <w:p>
            <w:pPr>
              <w:pStyle w:val="TableParagraph"/>
              <w:numPr>
                <w:ilvl w:val="0"/>
                <w:numId w:val="11"/>
              </w:numPr>
              <w:tabs>
                <w:tab w:pos="529" w:val="left" w:leader="none"/>
              </w:tabs>
              <w:spacing w:line="240" w:lineRule="auto" w:before="64" w:after="0"/>
              <w:ind w:left="528" w:right="0" w:hanging="420"/>
              <w:jc w:val="left"/>
              <w:rPr>
                <w:sz w:val="20"/>
              </w:rPr>
            </w:pPr>
            <w:r>
              <w:rPr>
                <w:w w:val="95"/>
                <w:sz w:val="20"/>
              </w:rPr>
              <w:t>心肌酶或肌钙蛋白有诊断意义的升高，或呈符合急性心肌梗塞的动态性变化；</w:t>
            </w:r>
          </w:p>
          <w:p>
            <w:pPr>
              <w:pStyle w:val="TableParagraph"/>
              <w:numPr>
                <w:ilvl w:val="0"/>
                <w:numId w:val="11"/>
              </w:numPr>
              <w:tabs>
                <w:tab w:pos="529" w:val="left" w:leader="none"/>
              </w:tabs>
              <w:spacing w:line="240" w:lineRule="auto" w:before="64" w:after="0"/>
              <w:ind w:left="528" w:right="0" w:hanging="420"/>
              <w:jc w:val="left"/>
              <w:rPr>
                <w:sz w:val="20"/>
              </w:rPr>
            </w:pPr>
            <w:r>
              <w:rPr>
                <w:spacing w:val="-18"/>
                <w:sz w:val="20"/>
              </w:rPr>
              <w:t>发病 </w:t>
            </w:r>
            <w:r>
              <w:rPr>
                <w:sz w:val="20"/>
              </w:rPr>
              <w:t>90</w:t>
            </w:r>
            <w:r>
              <w:rPr>
                <w:spacing w:val="-10"/>
                <w:sz w:val="20"/>
              </w:rPr>
              <w:t> 天后，经检查证实左心室功能降低，如左心室射血分数低于 </w:t>
            </w:r>
            <w:r>
              <w:rPr>
                <w:sz w:val="20"/>
              </w:rPr>
              <w:t>50%。</w:t>
            </w:r>
          </w:p>
        </w:tc>
      </w:tr>
      <w:tr>
        <w:trPr>
          <w:trHeight w:val="2004" w:hRule="atLeast"/>
        </w:trPr>
        <w:tc>
          <w:tcPr>
            <w:tcW w:w="1860" w:type="dxa"/>
          </w:tcPr>
          <w:p>
            <w:pPr>
              <w:pStyle w:val="TableParagraph"/>
              <w:spacing w:before="18"/>
              <w:rPr>
                <w:sz w:val="20"/>
              </w:rPr>
            </w:pPr>
            <w:r>
              <w:rPr>
                <w:sz w:val="20"/>
              </w:rPr>
              <w:t>3. 脑中风后遗症</w:t>
            </w:r>
          </w:p>
        </w:tc>
        <w:tc>
          <w:tcPr>
            <w:tcW w:w="7933" w:type="dxa"/>
          </w:tcPr>
          <w:p>
            <w:pPr>
              <w:pStyle w:val="TableParagraph"/>
              <w:spacing w:line="300" w:lineRule="auto" w:before="18"/>
              <w:ind w:left="108" w:right="3"/>
              <w:rPr>
                <w:sz w:val="20"/>
              </w:rPr>
            </w:pPr>
            <w:r>
              <w:rPr>
                <w:spacing w:val="-10"/>
                <w:w w:val="95"/>
                <w:sz w:val="20"/>
              </w:rPr>
              <w:t>指因脑血管的突发病变引起脑血管出血、栓塞或梗塞，并导致神经系统永久性的功能障碍。   </w:t>
            </w:r>
            <w:r>
              <w:rPr>
                <w:spacing w:val="-13"/>
                <w:sz w:val="20"/>
              </w:rPr>
              <w:t>神经系统永久性的功能障碍，指疾病确诊 </w:t>
            </w:r>
            <w:r>
              <w:rPr>
                <w:sz w:val="20"/>
              </w:rPr>
              <w:t>180</w:t>
            </w:r>
            <w:r>
              <w:rPr>
                <w:spacing w:val="-8"/>
                <w:sz w:val="20"/>
              </w:rPr>
              <w:t> 天后，仍遗留下列一种或一种以上障碍：</w:t>
            </w:r>
          </w:p>
          <w:p>
            <w:pPr>
              <w:pStyle w:val="TableParagraph"/>
              <w:numPr>
                <w:ilvl w:val="0"/>
                <w:numId w:val="12"/>
              </w:numPr>
              <w:tabs>
                <w:tab w:pos="529" w:val="left" w:leader="none"/>
              </w:tabs>
              <w:spacing w:line="240" w:lineRule="auto" w:before="14" w:after="0"/>
              <w:ind w:left="528" w:right="0" w:hanging="420"/>
              <w:jc w:val="left"/>
              <w:rPr>
                <w:sz w:val="20"/>
              </w:rPr>
            </w:pPr>
            <w:r>
              <w:rPr>
                <w:w w:val="95"/>
                <w:sz w:val="20"/>
              </w:rPr>
              <w:t>一肢或一肢以上</w:t>
            </w:r>
            <w:r>
              <w:rPr>
                <w:b/>
                <w:w w:val="95"/>
                <w:sz w:val="20"/>
              </w:rPr>
              <w:t>肢体机能完全丧失</w:t>
            </w:r>
            <w:r>
              <w:rPr>
                <w:b/>
                <w:w w:val="95"/>
                <w:position w:val="10"/>
                <w:sz w:val="10"/>
              </w:rPr>
              <w:t>[14]</w:t>
            </w:r>
            <w:r>
              <w:rPr>
                <w:w w:val="95"/>
                <w:sz w:val="20"/>
              </w:rPr>
              <w:t>；</w:t>
            </w:r>
          </w:p>
          <w:p>
            <w:pPr>
              <w:pStyle w:val="TableParagraph"/>
              <w:numPr>
                <w:ilvl w:val="0"/>
                <w:numId w:val="12"/>
              </w:numPr>
              <w:tabs>
                <w:tab w:pos="529" w:val="left" w:leader="none"/>
              </w:tabs>
              <w:spacing w:line="240" w:lineRule="auto" w:before="62" w:after="0"/>
              <w:ind w:left="528" w:right="0" w:hanging="420"/>
              <w:jc w:val="left"/>
              <w:rPr>
                <w:sz w:val="20"/>
              </w:rPr>
            </w:pPr>
            <w:r>
              <w:rPr>
                <w:b/>
                <w:w w:val="95"/>
                <w:sz w:val="20"/>
              </w:rPr>
              <w:t>语言能力或咀嚼吞咽能力完全丧失</w:t>
            </w:r>
            <w:r>
              <w:rPr>
                <w:b/>
                <w:w w:val="95"/>
                <w:position w:val="10"/>
                <w:sz w:val="10"/>
              </w:rPr>
              <w:t>[15]</w:t>
            </w:r>
            <w:r>
              <w:rPr>
                <w:w w:val="95"/>
                <w:sz w:val="20"/>
              </w:rPr>
              <w:t>；</w:t>
            </w:r>
          </w:p>
          <w:p>
            <w:pPr>
              <w:pStyle w:val="TableParagraph"/>
              <w:numPr>
                <w:ilvl w:val="0"/>
                <w:numId w:val="12"/>
              </w:numPr>
              <w:tabs>
                <w:tab w:pos="529" w:val="left" w:leader="none"/>
              </w:tabs>
              <w:spacing w:line="300" w:lineRule="auto" w:before="64" w:after="0"/>
              <w:ind w:left="528" w:right="99" w:hanging="420"/>
              <w:jc w:val="left"/>
              <w:rPr>
                <w:sz w:val="20"/>
              </w:rPr>
            </w:pPr>
            <w:r>
              <w:rPr>
                <w:sz w:val="20"/>
              </w:rPr>
              <w:t>自主生活能力完全丧失，无法独立完成</w:t>
            </w:r>
            <w:r>
              <w:rPr>
                <w:b/>
                <w:spacing w:val="1"/>
                <w:sz w:val="20"/>
              </w:rPr>
              <w:t>六项基本日常生活活动</w:t>
            </w:r>
            <w:r>
              <w:rPr>
                <w:b/>
                <w:position w:val="10"/>
                <w:sz w:val="10"/>
              </w:rPr>
              <w:t>[16]</w:t>
            </w:r>
            <w:r>
              <w:rPr>
                <w:sz w:val="20"/>
              </w:rPr>
              <w:t>中的三项或三项以</w:t>
            </w:r>
            <w:r>
              <w:rPr>
                <w:w w:val="95"/>
                <w:sz w:val="20"/>
              </w:rPr>
              <w:t>上。</w:t>
            </w:r>
          </w:p>
        </w:tc>
      </w:tr>
      <w:tr>
        <w:trPr>
          <w:trHeight w:val="1348" w:hRule="atLeast"/>
        </w:trPr>
        <w:tc>
          <w:tcPr>
            <w:tcW w:w="1860" w:type="dxa"/>
          </w:tcPr>
          <w:p>
            <w:pPr>
              <w:pStyle w:val="TableParagraph"/>
              <w:spacing w:line="300" w:lineRule="auto" w:before="16"/>
              <w:ind w:right="74"/>
              <w:jc w:val="both"/>
              <w:rPr>
                <w:sz w:val="20"/>
              </w:rPr>
            </w:pPr>
            <w:r>
              <w:rPr>
                <w:sz w:val="20"/>
              </w:rPr>
              <w:t>4. 重大器官移植术或造血干细胞移</w:t>
            </w:r>
            <w:r>
              <w:rPr>
                <w:w w:val="95"/>
                <w:sz w:val="20"/>
              </w:rPr>
              <w:t>植术</w:t>
            </w:r>
          </w:p>
        </w:tc>
        <w:tc>
          <w:tcPr>
            <w:tcW w:w="7933" w:type="dxa"/>
          </w:tcPr>
          <w:p>
            <w:pPr>
              <w:pStyle w:val="TableParagraph"/>
              <w:spacing w:line="300" w:lineRule="auto" w:before="16"/>
              <w:ind w:left="108" w:right="103"/>
              <w:rPr>
                <w:sz w:val="20"/>
              </w:rPr>
            </w:pPr>
            <w:r>
              <w:rPr>
                <w:spacing w:val="-6"/>
                <w:w w:val="95"/>
                <w:sz w:val="20"/>
              </w:rPr>
              <w:t>重大器官移植术，指因相应器官功能衰竭，已经实施了肾脏、肝脏、心脏或肺脏的异体移   植手术。</w:t>
            </w:r>
          </w:p>
          <w:p>
            <w:pPr>
              <w:pStyle w:val="TableParagraph"/>
              <w:spacing w:line="300" w:lineRule="auto" w:before="15"/>
              <w:ind w:left="108" w:right="103"/>
              <w:rPr>
                <w:sz w:val="20"/>
              </w:rPr>
            </w:pPr>
            <w:r>
              <w:rPr>
                <w:spacing w:val="-5"/>
                <w:w w:val="95"/>
                <w:sz w:val="20"/>
              </w:rPr>
              <w:t>造血干细胞移植术，指因造血功能损害或造血系统恶性肿瘤，已经实施了造血干细胞</w:t>
            </w:r>
            <w:r>
              <w:rPr>
                <w:w w:val="95"/>
                <w:sz w:val="20"/>
              </w:rPr>
              <w:t>（包   括骨髓造血干细胞、外周血造血干细胞和脐血造血干细胞）的异体移植手术。</w:t>
            </w:r>
          </w:p>
        </w:tc>
      </w:tr>
      <w:tr>
        <w:trPr>
          <w:trHeight w:val="1024" w:hRule="atLeast"/>
        </w:trPr>
        <w:tc>
          <w:tcPr>
            <w:tcW w:w="1860" w:type="dxa"/>
          </w:tcPr>
          <w:p>
            <w:pPr>
              <w:pStyle w:val="TableParagraph"/>
              <w:spacing w:line="300" w:lineRule="auto" w:before="18"/>
              <w:ind w:right="74"/>
              <w:jc w:val="both"/>
              <w:rPr>
                <w:sz w:val="20"/>
              </w:rPr>
            </w:pPr>
            <w:r>
              <w:rPr>
                <w:sz w:val="20"/>
              </w:rPr>
              <w:t>5. 冠状动脉搭桥术（或称冠状动脉</w:t>
            </w:r>
            <w:r>
              <w:rPr>
                <w:w w:val="95"/>
                <w:sz w:val="20"/>
              </w:rPr>
              <w:t>旁路移植术）</w:t>
            </w:r>
          </w:p>
        </w:tc>
        <w:tc>
          <w:tcPr>
            <w:tcW w:w="7933" w:type="dxa"/>
          </w:tcPr>
          <w:p>
            <w:pPr>
              <w:pStyle w:val="TableParagraph"/>
              <w:spacing w:line="300" w:lineRule="auto" w:before="18"/>
              <w:ind w:left="108" w:right="95"/>
              <w:jc w:val="both"/>
              <w:rPr>
                <w:b/>
                <w:sz w:val="20"/>
              </w:rPr>
            </w:pPr>
            <w:r>
              <w:rPr>
                <w:spacing w:val="-4"/>
                <w:w w:val="95"/>
                <w:sz w:val="20"/>
              </w:rPr>
              <w:t>指为治疗严重的冠心病，实际实施了开胸进行的冠状动脉血管旁路移植的手术</w:t>
            </w:r>
            <w:r>
              <w:rPr>
                <w:b/>
                <w:spacing w:val="-9"/>
                <w:w w:val="95"/>
                <w:sz w:val="20"/>
              </w:rPr>
              <w:t>。冠状动脉  </w:t>
            </w:r>
            <w:r>
              <w:rPr>
                <w:b/>
                <w:sz w:val="20"/>
              </w:rPr>
              <w:t>支架植入术、心导管球囊扩张术、激光射频技术及其它非开胸的介入手术、腔镜手术不</w:t>
            </w:r>
            <w:r>
              <w:rPr>
                <w:b/>
                <w:w w:val="95"/>
                <w:sz w:val="20"/>
              </w:rPr>
              <w:t>在保障范围内。</w:t>
            </w:r>
          </w:p>
        </w:tc>
      </w:tr>
      <w:tr>
        <w:trPr>
          <w:trHeight w:val="1025" w:hRule="atLeast"/>
        </w:trPr>
        <w:tc>
          <w:tcPr>
            <w:tcW w:w="1860" w:type="dxa"/>
          </w:tcPr>
          <w:p>
            <w:pPr>
              <w:pStyle w:val="TableParagraph"/>
              <w:spacing w:line="297" w:lineRule="auto" w:before="18"/>
              <w:ind w:right="90"/>
              <w:jc w:val="both"/>
              <w:rPr>
                <w:sz w:val="20"/>
              </w:rPr>
            </w:pPr>
            <w:r>
              <w:rPr>
                <w:sz w:val="20"/>
              </w:rPr>
              <w:t>6</w:t>
            </w:r>
            <w:r>
              <w:rPr>
                <w:spacing w:val="-10"/>
                <w:sz w:val="20"/>
              </w:rPr>
              <w:t>. 终末期肾病</w:t>
            </w:r>
            <w:r>
              <w:rPr>
                <w:sz w:val="20"/>
              </w:rPr>
              <w:t>（或</w:t>
            </w:r>
            <w:r>
              <w:rPr>
                <w:spacing w:val="5"/>
                <w:sz w:val="20"/>
              </w:rPr>
              <w:t>称慢性肾功能衰竭</w:t>
            </w:r>
            <w:r>
              <w:rPr>
                <w:w w:val="95"/>
                <w:sz w:val="20"/>
              </w:rPr>
              <w:t>尿毒症期）</w:t>
            </w:r>
          </w:p>
        </w:tc>
        <w:tc>
          <w:tcPr>
            <w:tcW w:w="7933" w:type="dxa"/>
          </w:tcPr>
          <w:p>
            <w:pPr>
              <w:pStyle w:val="TableParagraph"/>
              <w:spacing w:line="300" w:lineRule="auto" w:before="18"/>
              <w:ind w:left="108" w:right="101"/>
              <w:rPr>
                <w:sz w:val="20"/>
              </w:rPr>
            </w:pPr>
            <w:r>
              <w:rPr>
                <w:spacing w:val="-5"/>
                <w:sz w:val="20"/>
              </w:rPr>
              <w:t>指双肾功能慢性不可逆性衰竭，达到尿毒症期，经诊断后已经进行了至少 </w:t>
            </w:r>
            <w:r>
              <w:rPr>
                <w:sz w:val="20"/>
              </w:rPr>
              <w:t>90</w:t>
            </w:r>
            <w:r>
              <w:rPr>
                <w:spacing w:val="-3"/>
                <w:sz w:val="20"/>
              </w:rPr>
              <w:t> 天的规律性</w:t>
            </w:r>
            <w:r>
              <w:rPr>
                <w:spacing w:val="-3"/>
                <w:w w:val="95"/>
                <w:sz w:val="20"/>
              </w:rPr>
              <w:t>透析治疗或实施了肾脏移植手术。</w:t>
            </w:r>
          </w:p>
        </w:tc>
      </w:tr>
      <w:tr>
        <w:trPr>
          <w:trHeight w:val="698" w:hRule="atLeast"/>
        </w:trPr>
        <w:tc>
          <w:tcPr>
            <w:tcW w:w="1860" w:type="dxa"/>
          </w:tcPr>
          <w:p>
            <w:pPr>
              <w:pStyle w:val="TableParagraph"/>
              <w:spacing w:before="18"/>
              <w:rPr>
                <w:sz w:val="20"/>
              </w:rPr>
            </w:pPr>
            <w:r>
              <w:rPr>
                <w:sz w:val="20"/>
              </w:rPr>
              <w:t>7. 多个肢体缺失</w:t>
            </w:r>
          </w:p>
        </w:tc>
        <w:tc>
          <w:tcPr>
            <w:tcW w:w="7933" w:type="dxa"/>
          </w:tcPr>
          <w:p>
            <w:pPr>
              <w:pStyle w:val="TableParagraph"/>
              <w:spacing w:line="297" w:lineRule="auto" w:before="18"/>
              <w:ind w:left="108" w:right="103"/>
              <w:rPr>
                <w:sz w:val="20"/>
              </w:rPr>
            </w:pPr>
            <w:r>
              <w:rPr>
                <w:spacing w:val="-2"/>
                <w:w w:val="95"/>
                <w:sz w:val="20"/>
              </w:rPr>
              <w:t>指因疾病或意外伤害导致两个或两个以上肢体自腕关节或踝关节近端</w:t>
            </w:r>
            <w:r>
              <w:rPr>
                <w:w w:val="95"/>
                <w:sz w:val="20"/>
              </w:rPr>
              <w:t>（靠近躯干端</w:t>
            </w:r>
            <w:r>
              <w:rPr>
                <w:spacing w:val="-44"/>
                <w:w w:val="95"/>
                <w:sz w:val="20"/>
              </w:rPr>
              <w:t>）</w:t>
            </w:r>
            <w:r>
              <w:rPr>
                <w:w w:val="95"/>
                <w:sz w:val="20"/>
              </w:rPr>
              <w:t>以上   完全性断离。</w:t>
            </w:r>
          </w:p>
        </w:tc>
      </w:tr>
      <w:tr>
        <w:trPr>
          <w:trHeight w:val="697" w:hRule="atLeast"/>
        </w:trPr>
        <w:tc>
          <w:tcPr>
            <w:tcW w:w="1860" w:type="dxa"/>
          </w:tcPr>
          <w:p>
            <w:pPr>
              <w:pStyle w:val="TableParagraph"/>
              <w:spacing w:line="297" w:lineRule="auto" w:before="18"/>
              <w:ind w:right="74"/>
              <w:rPr>
                <w:sz w:val="20"/>
              </w:rPr>
            </w:pPr>
            <w:r>
              <w:rPr>
                <w:sz w:val="20"/>
              </w:rPr>
              <w:t>8. 急性或亚急性</w:t>
            </w:r>
            <w:r>
              <w:rPr>
                <w:w w:val="95"/>
                <w:sz w:val="20"/>
              </w:rPr>
              <w:t>重症肝炎</w:t>
            </w:r>
          </w:p>
        </w:tc>
        <w:tc>
          <w:tcPr>
            <w:tcW w:w="7933" w:type="dxa"/>
          </w:tcPr>
          <w:p>
            <w:pPr>
              <w:pStyle w:val="TableParagraph"/>
              <w:spacing w:line="297" w:lineRule="auto" w:before="18"/>
              <w:ind w:left="108" w:right="103"/>
              <w:rPr>
                <w:sz w:val="20"/>
              </w:rPr>
            </w:pPr>
            <w:r>
              <w:rPr>
                <w:spacing w:val="-5"/>
                <w:w w:val="95"/>
                <w:sz w:val="20"/>
              </w:rPr>
              <w:t>指因肝炎病毒感染引起肝脏组织弥漫性坏死，导致急性肝功能衰竭，且经血清学或病毒学   检查证实，并须满足下列全部条件：</w:t>
            </w:r>
          </w:p>
        </w:tc>
      </w:tr>
    </w:tbl>
    <w:p>
      <w:pPr>
        <w:spacing w:after="0" w:line="297" w:lineRule="auto"/>
        <w:rPr>
          <w:sz w:val="20"/>
        </w:rPr>
        <w:sectPr>
          <w:footerReference w:type="default" r:id="rId10"/>
          <w:pgSz w:w="11910" w:h="16840"/>
          <w:pgMar w:footer="831" w:header="0" w:top="1380" w:bottom="1020" w:left="820" w:right="280"/>
          <w:pgNumType w:start="9"/>
        </w:sectPr>
      </w:pPr>
    </w:p>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3"/>
      </w:tblGrid>
      <w:tr>
        <w:trPr>
          <w:trHeight w:val="381" w:hRule="atLeast"/>
        </w:trPr>
        <w:tc>
          <w:tcPr>
            <w:tcW w:w="1860" w:type="dxa"/>
            <w:shd w:val="clear" w:color="auto" w:fill="D7D7D7"/>
          </w:tcPr>
          <w:p>
            <w:pPr>
              <w:pStyle w:val="TableParagraph"/>
              <w:spacing w:before="28"/>
              <w:ind w:left="326"/>
              <w:rPr>
                <w:b/>
                <w:sz w:val="20"/>
              </w:rPr>
            </w:pPr>
            <w:r>
              <w:rPr>
                <w:b/>
                <w:w w:val="95"/>
                <w:sz w:val="20"/>
              </w:rPr>
              <w:t>重大疾病名称</w:t>
            </w:r>
          </w:p>
        </w:tc>
        <w:tc>
          <w:tcPr>
            <w:tcW w:w="7933" w:type="dxa"/>
            <w:shd w:val="clear" w:color="auto" w:fill="D7D7D7"/>
          </w:tcPr>
          <w:p>
            <w:pPr>
              <w:pStyle w:val="TableParagraph"/>
              <w:spacing w:before="28"/>
              <w:ind w:left="237" w:right="224"/>
              <w:jc w:val="center"/>
              <w:rPr>
                <w:b/>
                <w:sz w:val="20"/>
              </w:rPr>
            </w:pPr>
            <w:r>
              <w:rPr>
                <w:b/>
                <w:sz w:val="20"/>
              </w:rPr>
              <w:t>定义</w:t>
            </w:r>
          </w:p>
        </w:tc>
      </w:tr>
      <w:tr>
        <w:trPr>
          <w:trHeight w:val="1350" w:hRule="atLeast"/>
        </w:trPr>
        <w:tc>
          <w:tcPr>
            <w:tcW w:w="1860" w:type="dxa"/>
          </w:tcPr>
          <w:p>
            <w:pPr>
              <w:pStyle w:val="TableParagraph"/>
              <w:ind w:left="0"/>
              <w:rPr>
                <w:rFonts w:ascii="Times New Roman"/>
                <w:sz w:val="18"/>
              </w:rPr>
            </w:pPr>
          </w:p>
        </w:tc>
        <w:tc>
          <w:tcPr>
            <w:tcW w:w="7933" w:type="dxa"/>
          </w:tcPr>
          <w:p>
            <w:pPr>
              <w:pStyle w:val="TableParagraph"/>
              <w:numPr>
                <w:ilvl w:val="0"/>
                <w:numId w:val="13"/>
              </w:numPr>
              <w:tabs>
                <w:tab w:pos="529" w:val="left" w:leader="none"/>
              </w:tabs>
              <w:spacing w:line="240" w:lineRule="auto" w:before="18" w:after="0"/>
              <w:ind w:left="528" w:right="0" w:hanging="420"/>
              <w:jc w:val="left"/>
              <w:rPr>
                <w:sz w:val="20"/>
              </w:rPr>
            </w:pPr>
            <w:r>
              <w:rPr>
                <w:w w:val="95"/>
                <w:sz w:val="20"/>
              </w:rPr>
              <w:t>重度黄疸或黄疸迅速加重；</w:t>
            </w:r>
          </w:p>
          <w:p>
            <w:pPr>
              <w:pStyle w:val="TableParagraph"/>
              <w:numPr>
                <w:ilvl w:val="0"/>
                <w:numId w:val="13"/>
              </w:numPr>
              <w:tabs>
                <w:tab w:pos="529" w:val="left" w:leader="none"/>
              </w:tabs>
              <w:spacing w:line="240" w:lineRule="auto" w:before="64" w:after="0"/>
              <w:ind w:left="528" w:right="0" w:hanging="420"/>
              <w:jc w:val="left"/>
              <w:rPr>
                <w:sz w:val="20"/>
              </w:rPr>
            </w:pPr>
            <w:r>
              <w:rPr>
                <w:w w:val="95"/>
                <w:sz w:val="20"/>
              </w:rPr>
              <w:t>肝性脑病；</w:t>
            </w:r>
          </w:p>
          <w:p>
            <w:pPr>
              <w:pStyle w:val="TableParagraph"/>
              <w:numPr>
                <w:ilvl w:val="0"/>
                <w:numId w:val="13"/>
              </w:numPr>
              <w:tabs>
                <w:tab w:pos="529" w:val="left" w:leader="none"/>
              </w:tabs>
              <w:spacing w:line="240" w:lineRule="auto" w:before="64" w:after="0"/>
              <w:ind w:left="528" w:right="0" w:hanging="420"/>
              <w:jc w:val="left"/>
              <w:rPr>
                <w:sz w:val="20"/>
              </w:rPr>
            </w:pPr>
            <w:r>
              <w:rPr>
                <w:sz w:val="20"/>
              </w:rPr>
              <w:t>B</w:t>
            </w:r>
            <w:r>
              <w:rPr>
                <w:spacing w:val="-2"/>
                <w:sz w:val="20"/>
              </w:rPr>
              <w:t> 超或其他影像学检查显示肝脏体积急速萎缩；</w:t>
            </w:r>
          </w:p>
          <w:p>
            <w:pPr>
              <w:pStyle w:val="TableParagraph"/>
              <w:numPr>
                <w:ilvl w:val="0"/>
                <w:numId w:val="13"/>
              </w:numPr>
              <w:tabs>
                <w:tab w:pos="529" w:val="left" w:leader="none"/>
              </w:tabs>
              <w:spacing w:line="240" w:lineRule="auto" w:before="62" w:after="0"/>
              <w:ind w:left="528" w:right="0" w:hanging="420"/>
              <w:jc w:val="left"/>
              <w:rPr>
                <w:sz w:val="20"/>
              </w:rPr>
            </w:pPr>
            <w:r>
              <w:rPr>
                <w:w w:val="95"/>
                <w:sz w:val="20"/>
              </w:rPr>
              <w:t>肝功能指标进行性恶化。</w:t>
            </w:r>
          </w:p>
        </w:tc>
      </w:tr>
      <w:tr>
        <w:trPr>
          <w:trHeight w:val="2001" w:hRule="atLeast"/>
        </w:trPr>
        <w:tc>
          <w:tcPr>
            <w:tcW w:w="1860" w:type="dxa"/>
          </w:tcPr>
          <w:p>
            <w:pPr>
              <w:pStyle w:val="TableParagraph"/>
              <w:spacing w:before="18"/>
              <w:rPr>
                <w:sz w:val="20"/>
              </w:rPr>
            </w:pPr>
            <w:r>
              <w:rPr>
                <w:sz w:val="20"/>
              </w:rPr>
              <w:t>9. 良性脑肿瘤</w:t>
            </w:r>
          </w:p>
        </w:tc>
        <w:tc>
          <w:tcPr>
            <w:tcW w:w="7933" w:type="dxa"/>
          </w:tcPr>
          <w:p>
            <w:pPr>
              <w:pStyle w:val="TableParagraph"/>
              <w:spacing w:line="297" w:lineRule="auto" w:before="18"/>
              <w:ind w:left="108" w:right="101"/>
              <w:jc w:val="both"/>
              <w:rPr>
                <w:sz w:val="20"/>
              </w:rPr>
            </w:pPr>
            <w:r>
              <w:rPr>
                <w:spacing w:val="-6"/>
                <w:w w:val="95"/>
                <w:sz w:val="20"/>
              </w:rPr>
              <w:t>指脑的良性肿瘤，已经引起颅内压增高，临床表现为视神经乳头水肿、精神症状、癫痫及  </w:t>
            </w:r>
            <w:r>
              <w:rPr>
                <w:spacing w:val="-6"/>
                <w:sz w:val="20"/>
              </w:rPr>
              <w:t>运动感觉障碍等，并危及生命。须由头颅断层扫描（CT）、核磁共振检查（MRI）或正电</w:t>
            </w:r>
            <w:r>
              <w:rPr>
                <w:spacing w:val="-6"/>
                <w:w w:val="95"/>
                <w:sz w:val="20"/>
              </w:rPr>
              <w:t>子发射断层扫描（PET）等影像学检查证实，并须满足下列至少一项条件：</w:t>
            </w:r>
          </w:p>
          <w:p>
            <w:pPr>
              <w:pStyle w:val="TableParagraph"/>
              <w:numPr>
                <w:ilvl w:val="0"/>
                <w:numId w:val="14"/>
              </w:numPr>
              <w:tabs>
                <w:tab w:pos="529" w:val="left" w:leader="none"/>
              </w:tabs>
              <w:spacing w:line="240" w:lineRule="auto" w:before="16" w:after="0"/>
              <w:ind w:left="528" w:right="0" w:hanging="420"/>
              <w:jc w:val="both"/>
              <w:rPr>
                <w:sz w:val="20"/>
              </w:rPr>
            </w:pPr>
            <w:r>
              <w:rPr>
                <w:w w:val="95"/>
                <w:sz w:val="20"/>
              </w:rPr>
              <w:t>实际实施了开颅进行的脑肿瘤完全切除或部分切除的手术；</w:t>
            </w:r>
          </w:p>
          <w:p>
            <w:pPr>
              <w:pStyle w:val="TableParagraph"/>
              <w:numPr>
                <w:ilvl w:val="0"/>
                <w:numId w:val="14"/>
              </w:numPr>
              <w:tabs>
                <w:tab w:pos="529" w:val="left" w:leader="none"/>
              </w:tabs>
              <w:spacing w:line="240" w:lineRule="auto" w:before="64" w:after="0"/>
              <w:ind w:left="528" w:right="0" w:hanging="420"/>
              <w:jc w:val="both"/>
              <w:rPr>
                <w:sz w:val="20"/>
              </w:rPr>
            </w:pPr>
            <w:r>
              <w:rPr>
                <w:w w:val="95"/>
                <w:sz w:val="20"/>
              </w:rPr>
              <w:t>实际实施了对脑肿瘤进行的放射治疗。</w:t>
            </w:r>
          </w:p>
          <w:p>
            <w:pPr>
              <w:pStyle w:val="TableParagraph"/>
              <w:spacing w:before="64"/>
              <w:ind w:left="108"/>
              <w:jc w:val="both"/>
              <w:rPr>
                <w:b/>
                <w:sz w:val="20"/>
              </w:rPr>
            </w:pPr>
            <w:r>
              <w:rPr>
                <w:b/>
                <w:w w:val="95"/>
                <w:sz w:val="20"/>
              </w:rPr>
              <w:t>脑垂体瘤、脑囊肿、脑血管性疾病不在保障范围内。</w:t>
            </w:r>
          </w:p>
        </w:tc>
      </w:tr>
      <w:tr>
        <w:trPr>
          <w:trHeight w:val="2004" w:hRule="atLeast"/>
        </w:trPr>
        <w:tc>
          <w:tcPr>
            <w:tcW w:w="1860" w:type="dxa"/>
          </w:tcPr>
          <w:p>
            <w:pPr>
              <w:pStyle w:val="TableParagraph"/>
              <w:spacing w:line="300" w:lineRule="auto" w:before="18"/>
              <w:ind w:right="74"/>
              <w:rPr>
                <w:sz w:val="20"/>
              </w:rPr>
            </w:pPr>
            <w:r>
              <w:rPr>
                <w:sz w:val="20"/>
              </w:rPr>
              <w:t>10. 慢性肝功能衰</w:t>
            </w:r>
            <w:r>
              <w:rPr>
                <w:w w:val="95"/>
                <w:sz w:val="20"/>
              </w:rPr>
              <w:t>竭失代偿期</w:t>
            </w:r>
          </w:p>
        </w:tc>
        <w:tc>
          <w:tcPr>
            <w:tcW w:w="7933" w:type="dxa"/>
          </w:tcPr>
          <w:p>
            <w:pPr>
              <w:pStyle w:val="TableParagraph"/>
              <w:spacing w:before="18"/>
              <w:ind w:left="108"/>
              <w:rPr>
                <w:sz w:val="20"/>
              </w:rPr>
            </w:pPr>
            <w:r>
              <w:rPr>
                <w:w w:val="95"/>
                <w:sz w:val="20"/>
              </w:rPr>
              <w:t>指因慢性肝脏疾病导致肝功能衰竭。须满足下列全部条件：</w:t>
            </w:r>
          </w:p>
          <w:p>
            <w:pPr>
              <w:pStyle w:val="TableParagraph"/>
              <w:numPr>
                <w:ilvl w:val="0"/>
                <w:numId w:val="15"/>
              </w:numPr>
              <w:tabs>
                <w:tab w:pos="529" w:val="left" w:leader="none"/>
              </w:tabs>
              <w:spacing w:line="240" w:lineRule="auto" w:before="65" w:after="0"/>
              <w:ind w:left="108" w:right="0" w:firstLine="0"/>
              <w:jc w:val="left"/>
              <w:rPr>
                <w:sz w:val="20"/>
              </w:rPr>
            </w:pPr>
            <w:r>
              <w:rPr>
                <w:w w:val="95"/>
                <w:sz w:val="20"/>
              </w:rPr>
              <w:t>持续性黄疸；</w:t>
            </w:r>
          </w:p>
          <w:p>
            <w:pPr>
              <w:pStyle w:val="TableParagraph"/>
              <w:numPr>
                <w:ilvl w:val="0"/>
                <w:numId w:val="15"/>
              </w:numPr>
              <w:tabs>
                <w:tab w:pos="529" w:val="left" w:leader="none"/>
              </w:tabs>
              <w:spacing w:line="240" w:lineRule="auto" w:before="64" w:after="0"/>
              <w:ind w:left="108" w:right="0" w:firstLine="0"/>
              <w:jc w:val="left"/>
              <w:rPr>
                <w:sz w:val="20"/>
              </w:rPr>
            </w:pPr>
            <w:r>
              <w:rPr>
                <w:w w:val="95"/>
                <w:sz w:val="20"/>
              </w:rPr>
              <w:t>腹水；</w:t>
            </w:r>
          </w:p>
          <w:p>
            <w:pPr>
              <w:pStyle w:val="TableParagraph"/>
              <w:numPr>
                <w:ilvl w:val="0"/>
                <w:numId w:val="15"/>
              </w:numPr>
              <w:tabs>
                <w:tab w:pos="529" w:val="left" w:leader="none"/>
              </w:tabs>
              <w:spacing w:line="240" w:lineRule="auto" w:before="61" w:after="0"/>
              <w:ind w:left="108" w:right="0" w:firstLine="0"/>
              <w:jc w:val="left"/>
              <w:rPr>
                <w:sz w:val="20"/>
              </w:rPr>
            </w:pPr>
            <w:r>
              <w:rPr>
                <w:w w:val="95"/>
                <w:sz w:val="20"/>
              </w:rPr>
              <w:t>肝性脑病；</w:t>
            </w:r>
          </w:p>
          <w:p>
            <w:pPr>
              <w:pStyle w:val="TableParagraph"/>
              <w:numPr>
                <w:ilvl w:val="0"/>
                <w:numId w:val="15"/>
              </w:numPr>
              <w:tabs>
                <w:tab w:pos="529" w:val="left" w:leader="none"/>
              </w:tabs>
              <w:spacing w:line="300" w:lineRule="auto" w:before="64" w:after="0"/>
              <w:ind w:left="108" w:right="2996" w:firstLine="0"/>
              <w:jc w:val="left"/>
              <w:rPr>
                <w:b/>
                <w:sz w:val="20"/>
              </w:rPr>
            </w:pPr>
            <w:r>
              <w:rPr>
                <w:w w:val="95"/>
                <w:sz w:val="20"/>
              </w:rPr>
              <w:t>充血性脾肿大伴脾功能亢进或食管胃底静脉曲张。 </w:t>
            </w:r>
            <w:r>
              <w:rPr>
                <w:b/>
                <w:w w:val="95"/>
                <w:sz w:val="20"/>
              </w:rPr>
              <w:t>因酗酒或药物滥用导致的肝功能衰竭不在保障范围内。</w:t>
            </w:r>
          </w:p>
        </w:tc>
      </w:tr>
      <w:tr>
        <w:trPr>
          <w:trHeight w:val="1674" w:hRule="atLeast"/>
        </w:trPr>
        <w:tc>
          <w:tcPr>
            <w:tcW w:w="1860" w:type="dxa"/>
          </w:tcPr>
          <w:p>
            <w:pPr>
              <w:pStyle w:val="TableParagraph"/>
              <w:spacing w:line="300" w:lineRule="auto" w:before="16"/>
              <w:ind w:right="74"/>
              <w:rPr>
                <w:sz w:val="20"/>
              </w:rPr>
            </w:pPr>
            <w:r>
              <w:rPr>
                <w:sz w:val="20"/>
              </w:rPr>
              <w:t>11. 脑炎后遗症或</w:t>
            </w:r>
            <w:r>
              <w:rPr>
                <w:w w:val="95"/>
                <w:sz w:val="20"/>
              </w:rPr>
              <w:t>脑膜炎后遗症</w:t>
            </w:r>
          </w:p>
        </w:tc>
        <w:tc>
          <w:tcPr>
            <w:tcW w:w="7933" w:type="dxa"/>
          </w:tcPr>
          <w:p>
            <w:pPr>
              <w:pStyle w:val="TableParagraph"/>
              <w:spacing w:line="300" w:lineRule="auto" w:before="16"/>
              <w:ind w:left="108" w:right="104"/>
              <w:rPr>
                <w:sz w:val="20"/>
              </w:rPr>
            </w:pPr>
            <w:r>
              <w:rPr>
                <w:spacing w:val="-4"/>
                <w:w w:val="95"/>
                <w:sz w:val="20"/>
              </w:rPr>
              <w:t>指因患脑炎或脑膜炎导致的神经系统永久性的功能障碍。神经系统永久性的功能障碍，指  </w:t>
            </w:r>
            <w:r>
              <w:rPr>
                <w:spacing w:val="-14"/>
                <w:sz w:val="20"/>
              </w:rPr>
              <w:t>疾病确诊 </w:t>
            </w:r>
            <w:r>
              <w:rPr>
                <w:sz w:val="20"/>
              </w:rPr>
              <w:t>180</w:t>
            </w:r>
            <w:r>
              <w:rPr>
                <w:spacing w:val="-2"/>
                <w:sz w:val="20"/>
              </w:rPr>
              <w:t> 天后，仍遗留下列一种或一种以上障碍：</w:t>
            </w:r>
          </w:p>
          <w:p>
            <w:pPr>
              <w:pStyle w:val="TableParagraph"/>
              <w:numPr>
                <w:ilvl w:val="0"/>
                <w:numId w:val="16"/>
              </w:numPr>
              <w:tabs>
                <w:tab w:pos="529" w:val="left" w:leader="none"/>
              </w:tabs>
              <w:spacing w:line="240" w:lineRule="auto" w:before="15" w:after="0"/>
              <w:ind w:left="528" w:right="0" w:hanging="420"/>
              <w:jc w:val="left"/>
              <w:rPr>
                <w:sz w:val="20"/>
              </w:rPr>
            </w:pPr>
            <w:r>
              <w:rPr>
                <w:w w:val="95"/>
                <w:sz w:val="20"/>
              </w:rPr>
              <w:t>一肢或一肢以上肢体机能完全丧失；</w:t>
            </w:r>
          </w:p>
          <w:p>
            <w:pPr>
              <w:pStyle w:val="TableParagraph"/>
              <w:numPr>
                <w:ilvl w:val="0"/>
                <w:numId w:val="16"/>
              </w:numPr>
              <w:tabs>
                <w:tab w:pos="529" w:val="left" w:leader="none"/>
              </w:tabs>
              <w:spacing w:line="240" w:lineRule="auto" w:before="65" w:after="0"/>
              <w:ind w:left="528" w:right="0" w:hanging="420"/>
              <w:jc w:val="left"/>
              <w:rPr>
                <w:sz w:val="20"/>
              </w:rPr>
            </w:pPr>
            <w:r>
              <w:rPr>
                <w:w w:val="95"/>
                <w:sz w:val="20"/>
              </w:rPr>
              <w:t>语言能力或咀嚼吞咽能力完全丧失；</w:t>
            </w:r>
          </w:p>
          <w:p>
            <w:pPr>
              <w:pStyle w:val="TableParagraph"/>
              <w:numPr>
                <w:ilvl w:val="0"/>
                <w:numId w:val="16"/>
              </w:numPr>
              <w:tabs>
                <w:tab w:pos="529" w:val="left" w:leader="none"/>
              </w:tabs>
              <w:spacing w:line="240" w:lineRule="auto" w:before="65" w:after="0"/>
              <w:ind w:left="528" w:right="0" w:hanging="420"/>
              <w:jc w:val="left"/>
              <w:rPr>
                <w:sz w:val="20"/>
              </w:rPr>
            </w:pPr>
            <w:r>
              <w:rPr>
                <w:spacing w:val="-1"/>
                <w:w w:val="95"/>
                <w:sz w:val="20"/>
              </w:rPr>
              <w:t>自主生活能力完全丧失，无法独立完成六项基本日常生活活动中的三项或三项以上。</w:t>
            </w:r>
          </w:p>
        </w:tc>
      </w:tr>
      <w:tr>
        <w:trPr>
          <w:trHeight w:val="1024" w:hRule="atLeast"/>
        </w:trPr>
        <w:tc>
          <w:tcPr>
            <w:tcW w:w="1860" w:type="dxa"/>
          </w:tcPr>
          <w:p>
            <w:pPr>
              <w:pStyle w:val="TableParagraph"/>
              <w:spacing w:before="18"/>
              <w:rPr>
                <w:sz w:val="20"/>
              </w:rPr>
            </w:pPr>
            <w:r>
              <w:rPr>
                <w:w w:val="95"/>
                <w:sz w:val="20"/>
              </w:rPr>
              <w:t>12.双耳失聪</w:t>
            </w:r>
          </w:p>
        </w:tc>
        <w:tc>
          <w:tcPr>
            <w:tcW w:w="7933" w:type="dxa"/>
          </w:tcPr>
          <w:p>
            <w:pPr>
              <w:pStyle w:val="TableParagraph"/>
              <w:spacing w:before="18"/>
              <w:ind w:left="108"/>
              <w:rPr>
                <w:sz w:val="20"/>
              </w:rPr>
            </w:pPr>
            <w:r>
              <w:rPr>
                <w:sz w:val="20"/>
              </w:rPr>
              <w:t>指因疾病或意外伤害导致双耳听力</w:t>
            </w:r>
            <w:r>
              <w:rPr>
                <w:b/>
                <w:sz w:val="20"/>
              </w:rPr>
              <w:t>永久不可逆</w:t>
            </w:r>
            <w:r>
              <w:rPr>
                <w:b/>
                <w:position w:val="10"/>
                <w:sz w:val="10"/>
              </w:rPr>
              <w:t>[17]</w:t>
            </w:r>
            <w:r>
              <w:rPr>
                <w:spacing w:val="-17"/>
                <w:sz w:val="20"/>
              </w:rPr>
              <w:t>性丧失，在 </w:t>
            </w:r>
            <w:r>
              <w:rPr>
                <w:sz w:val="20"/>
              </w:rPr>
              <w:t>500</w:t>
            </w:r>
            <w:r>
              <w:rPr>
                <w:spacing w:val="-12"/>
                <w:sz w:val="20"/>
              </w:rPr>
              <w:t> 赫兹、</w:t>
            </w:r>
            <w:r>
              <w:rPr>
                <w:sz w:val="20"/>
              </w:rPr>
              <w:t>1000</w:t>
            </w:r>
            <w:r>
              <w:rPr>
                <w:spacing w:val="-11"/>
                <w:sz w:val="20"/>
              </w:rPr>
              <w:t> 赫兹和 </w:t>
            </w:r>
            <w:r>
              <w:rPr>
                <w:sz w:val="20"/>
              </w:rPr>
              <w:t>2000</w:t>
            </w:r>
          </w:p>
          <w:p>
            <w:pPr>
              <w:pStyle w:val="TableParagraph"/>
              <w:spacing w:line="297" w:lineRule="auto" w:before="65"/>
              <w:ind w:left="108" w:right="101"/>
              <w:rPr>
                <w:sz w:val="20"/>
              </w:rPr>
            </w:pPr>
            <w:r>
              <w:rPr>
                <w:spacing w:val="-6"/>
                <w:sz w:val="20"/>
              </w:rPr>
              <w:t>赫兹语音频率下，平均听阈大于 </w:t>
            </w:r>
            <w:r>
              <w:rPr>
                <w:sz w:val="20"/>
              </w:rPr>
              <w:t>90</w:t>
            </w:r>
            <w:r>
              <w:rPr>
                <w:spacing w:val="-5"/>
                <w:sz w:val="20"/>
              </w:rPr>
              <w:t> 分贝，且经纯音听力测试、声导抗检测或听觉诱发电</w:t>
            </w:r>
            <w:r>
              <w:rPr>
                <w:spacing w:val="-5"/>
                <w:w w:val="95"/>
                <w:sz w:val="20"/>
              </w:rPr>
              <w:t>位检测等证实。</w:t>
            </w:r>
          </w:p>
        </w:tc>
      </w:tr>
      <w:tr>
        <w:trPr>
          <w:trHeight w:val="1674" w:hRule="atLeast"/>
        </w:trPr>
        <w:tc>
          <w:tcPr>
            <w:tcW w:w="1860" w:type="dxa"/>
          </w:tcPr>
          <w:p>
            <w:pPr>
              <w:pStyle w:val="TableParagraph"/>
              <w:spacing w:before="18"/>
              <w:rPr>
                <w:sz w:val="20"/>
              </w:rPr>
            </w:pPr>
            <w:r>
              <w:rPr>
                <w:w w:val="95"/>
                <w:sz w:val="20"/>
              </w:rPr>
              <w:t>13.双目失明</w:t>
            </w:r>
          </w:p>
        </w:tc>
        <w:tc>
          <w:tcPr>
            <w:tcW w:w="7933" w:type="dxa"/>
          </w:tcPr>
          <w:p>
            <w:pPr>
              <w:pStyle w:val="TableParagraph"/>
              <w:spacing w:line="297" w:lineRule="auto" w:before="18"/>
              <w:ind w:left="108" w:right="101"/>
              <w:rPr>
                <w:sz w:val="20"/>
              </w:rPr>
            </w:pPr>
            <w:r>
              <w:rPr>
                <w:spacing w:val="-4"/>
                <w:w w:val="95"/>
                <w:sz w:val="20"/>
              </w:rPr>
              <w:t>指因疾病或意外伤害导致双眼视力永久不可逆性丧失，双眼中较好眼须满足下列至少一项   条件：</w:t>
            </w:r>
          </w:p>
          <w:p>
            <w:pPr>
              <w:pStyle w:val="TableParagraph"/>
              <w:numPr>
                <w:ilvl w:val="0"/>
                <w:numId w:val="17"/>
              </w:numPr>
              <w:tabs>
                <w:tab w:pos="529" w:val="left" w:leader="none"/>
              </w:tabs>
              <w:spacing w:line="240" w:lineRule="auto" w:before="16" w:after="0"/>
              <w:ind w:left="528" w:right="0" w:hanging="420"/>
              <w:jc w:val="left"/>
              <w:rPr>
                <w:sz w:val="20"/>
              </w:rPr>
            </w:pPr>
            <w:r>
              <w:rPr>
                <w:w w:val="95"/>
                <w:sz w:val="20"/>
              </w:rPr>
              <w:t>眼球缺失或摘除；</w:t>
            </w:r>
          </w:p>
          <w:p>
            <w:pPr>
              <w:pStyle w:val="TableParagraph"/>
              <w:numPr>
                <w:ilvl w:val="0"/>
                <w:numId w:val="17"/>
              </w:numPr>
              <w:tabs>
                <w:tab w:pos="529" w:val="left" w:leader="none"/>
              </w:tabs>
              <w:spacing w:line="240" w:lineRule="auto" w:before="64" w:after="0"/>
              <w:ind w:left="528" w:right="0" w:hanging="420"/>
              <w:jc w:val="left"/>
              <w:rPr>
                <w:sz w:val="20"/>
              </w:rPr>
            </w:pPr>
            <w:r>
              <w:rPr>
                <w:spacing w:val="-8"/>
                <w:sz w:val="20"/>
              </w:rPr>
              <w:t>矫正视力低于 </w:t>
            </w:r>
            <w:r>
              <w:rPr>
                <w:sz w:val="20"/>
              </w:rPr>
              <w:t>0.02（采用国际标准视力表，如果使用其它视力表应进行换算）；</w:t>
            </w:r>
          </w:p>
          <w:p>
            <w:pPr>
              <w:pStyle w:val="TableParagraph"/>
              <w:numPr>
                <w:ilvl w:val="0"/>
                <w:numId w:val="17"/>
              </w:numPr>
              <w:tabs>
                <w:tab w:pos="529" w:val="left" w:leader="none"/>
              </w:tabs>
              <w:spacing w:line="240" w:lineRule="auto" w:before="64" w:after="0"/>
              <w:ind w:left="528" w:right="0" w:hanging="420"/>
              <w:jc w:val="left"/>
              <w:rPr>
                <w:sz w:val="20"/>
              </w:rPr>
            </w:pPr>
            <w:r>
              <w:rPr>
                <w:spacing w:val="-8"/>
                <w:sz w:val="20"/>
              </w:rPr>
              <w:t>视野半径小于 </w:t>
            </w:r>
            <w:r>
              <w:rPr>
                <w:sz w:val="20"/>
              </w:rPr>
              <w:t>5</w:t>
            </w:r>
            <w:r>
              <w:rPr>
                <w:spacing w:val="-1"/>
                <w:sz w:val="20"/>
              </w:rPr>
              <w:t> 度。</w:t>
            </w:r>
          </w:p>
        </w:tc>
      </w:tr>
      <w:tr>
        <w:trPr>
          <w:trHeight w:val="1024" w:hRule="atLeast"/>
        </w:trPr>
        <w:tc>
          <w:tcPr>
            <w:tcW w:w="1860" w:type="dxa"/>
          </w:tcPr>
          <w:p>
            <w:pPr>
              <w:pStyle w:val="TableParagraph"/>
              <w:spacing w:before="18"/>
              <w:rPr>
                <w:sz w:val="20"/>
              </w:rPr>
            </w:pPr>
            <w:r>
              <w:rPr>
                <w:sz w:val="20"/>
              </w:rPr>
              <w:t>14.瘫痪</w:t>
            </w:r>
          </w:p>
        </w:tc>
        <w:tc>
          <w:tcPr>
            <w:tcW w:w="7933" w:type="dxa"/>
          </w:tcPr>
          <w:p>
            <w:pPr>
              <w:pStyle w:val="TableParagraph"/>
              <w:spacing w:line="300" w:lineRule="auto" w:before="18"/>
              <w:ind w:left="108" w:right="99"/>
              <w:jc w:val="both"/>
              <w:rPr>
                <w:sz w:val="20"/>
              </w:rPr>
            </w:pPr>
            <w:r>
              <w:rPr>
                <w:sz w:val="20"/>
              </w:rPr>
              <w:t>指因疾病或意外伤害导致两肢或两肢以上肢体机能永久完全丧失。肢体机能永久完全丧</w:t>
            </w:r>
            <w:r>
              <w:rPr>
                <w:spacing w:val="-6"/>
                <w:sz w:val="20"/>
              </w:rPr>
              <w:t>失，指疾病确诊 </w:t>
            </w:r>
            <w:r>
              <w:rPr>
                <w:sz w:val="20"/>
              </w:rPr>
              <w:t>180</w:t>
            </w:r>
            <w:r>
              <w:rPr>
                <w:spacing w:val="-5"/>
                <w:sz w:val="20"/>
              </w:rPr>
              <w:t> 天后或意外伤害发生 </w:t>
            </w:r>
            <w:r>
              <w:rPr>
                <w:sz w:val="20"/>
              </w:rPr>
              <w:t>180</w:t>
            </w:r>
            <w:r>
              <w:rPr>
                <w:spacing w:val="-1"/>
                <w:sz w:val="20"/>
              </w:rPr>
              <w:t> 天后，每肢三大关节中的两大关节仍然完</w:t>
            </w:r>
            <w:r>
              <w:rPr>
                <w:spacing w:val="-1"/>
                <w:w w:val="95"/>
                <w:sz w:val="20"/>
              </w:rPr>
              <w:t>全僵硬，或不能随意识活动。</w:t>
            </w:r>
          </w:p>
        </w:tc>
      </w:tr>
      <w:tr>
        <w:trPr>
          <w:trHeight w:val="371" w:hRule="atLeast"/>
        </w:trPr>
        <w:tc>
          <w:tcPr>
            <w:tcW w:w="1860" w:type="dxa"/>
          </w:tcPr>
          <w:p>
            <w:pPr>
              <w:pStyle w:val="TableParagraph"/>
              <w:spacing w:before="18"/>
              <w:rPr>
                <w:sz w:val="20"/>
              </w:rPr>
            </w:pPr>
            <w:r>
              <w:rPr>
                <w:w w:val="95"/>
                <w:sz w:val="20"/>
              </w:rPr>
              <w:t>15.心脏瓣膜手术</w:t>
            </w:r>
          </w:p>
        </w:tc>
        <w:tc>
          <w:tcPr>
            <w:tcW w:w="7933" w:type="dxa"/>
          </w:tcPr>
          <w:p>
            <w:pPr>
              <w:pStyle w:val="TableParagraph"/>
              <w:spacing w:before="18"/>
              <w:ind w:left="108"/>
              <w:rPr>
                <w:sz w:val="20"/>
              </w:rPr>
            </w:pPr>
            <w:r>
              <w:rPr>
                <w:w w:val="95"/>
                <w:sz w:val="20"/>
              </w:rPr>
              <w:t>指为治疗心脏瓣膜疾病，实际实施了开胸进行的心脏瓣膜置换或修复的手术。</w:t>
            </w:r>
          </w:p>
        </w:tc>
      </w:tr>
      <w:tr>
        <w:trPr>
          <w:trHeight w:val="1677" w:hRule="atLeast"/>
        </w:trPr>
        <w:tc>
          <w:tcPr>
            <w:tcW w:w="1860" w:type="dxa"/>
          </w:tcPr>
          <w:p>
            <w:pPr>
              <w:pStyle w:val="TableParagraph"/>
              <w:spacing w:line="300" w:lineRule="auto" w:before="19"/>
              <w:ind w:right="74"/>
              <w:rPr>
                <w:sz w:val="20"/>
              </w:rPr>
            </w:pPr>
            <w:r>
              <w:rPr>
                <w:sz w:val="20"/>
              </w:rPr>
              <w:t>16. 严重阿尔茨海</w:t>
            </w:r>
            <w:r>
              <w:rPr>
                <w:w w:val="95"/>
                <w:sz w:val="20"/>
              </w:rPr>
              <w:t>默病</w:t>
            </w:r>
          </w:p>
        </w:tc>
        <w:tc>
          <w:tcPr>
            <w:tcW w:w="7933" w:type="dxa"/>
          </w:tcPr>
          <w:p>
            <w:pPr>
              <w:pStyle w:val="TableParagraph"/>
              <w:spacing w:line="300" w:lineRule="auto" w:before="19"/>
              <w:ind w:left="108" w:right="102"/>
              <w:rPr>
                <w:sz w:val="20"/>
              </w:rPr>
            </w:pPr>
            <w:r>
              <w:rPr>
                <w:spacing w:val="-8"/>
                <w:w w:val="95"/>
                <w:sz w:val="20"/>
              </w:rPr>
              <w:t>指因大脑进行性、不可逆性改变导致智能严重衰退或丧失，临床表现为明显的认知能力障   </w:t>
            </w:r>
            <w:r>
              <w:rPr>
                <w:spacing w:val="-1"/>
                <w:sz w:val="20"/>
              </w:rPr>
              <w:t>碍、行为异常和社交能力减退，其日常生活必须持续受到他人监护。须由头颅断层扫描</w:t>
            </w:r>
          </w:p>
          <w:p>
            <w:pPr>
              <w:pStyle w:val="TableParagraph"/>
              <w:spacing w:line="300" w:lineRule="auto" w:before="15"/>
              <w:ind w:left="108" w:right="100"/>
              <w:rPr>
                <w:sz w:val="20"/>
              </w:rPr>
            </w:pPr>
            <w:r>
              <w:rPr>
                <w:spacing w:val="-3"/>
                <w:w w:val="95"/>
                <w:sz w:val="20"/>
              </w:rPr>
              <w:t>（CT）</w:t>
            </w:r>
            <w:r>
              <w:rPr>
                <w:spacing w:val="-4"/>
                <w:w w:val="95"/>
                <w:sz w:val="20"/>
              </w:rPr>
              <w:t>、核磁共振检查</w:t>
            </w:r>
            <w:r>
              <w:rPr>
                <w:spacing w:val="-3"/>
                <w:w w:val="95"/>
                <w:sz w:val="20"/>
              </w:rPr>
              <w:t>（MRI）</w:t>
            </w:r>
            <w:r>
              <w:rPr>
                <w:spacing w:val="-1"/>
                <w:w w:val="95"/>
                <w:sz w:val="20"/>
              </w:rPr>
              <w:t>或正电子发射断层扫描</w:t>
            </w:r>
            <w:r>
              <w:rPr>
                <w:spacing w:val="-3"/>
                <w:w w:val="95"/>
                <w:sz w:val="20"/>
              </w:rPr>
              <w:t>（PET）</w:t>
            </w:r>
            <w:r>
              <w:rPr>
                <w:spacing w:val="-2"/>
                <w:w w:val="95"/>
                <w:sz w:val="20"/>
              </w:rPr>
              <w:t>等影像学检查证实，且自主   生活能力完全丧失，无法独立完成六项基本日常生活活动中的三项或三项以上。</w:t>
            </w:r>
          </w:p>
          <w:p>
            <w:pPr>
              <w:pStyle w:val="TableParagraph"/>
              <w:spacing w:before="12"/>
              <w:ind w:left="108"/>
              <w:rPr>
                <w:b/>
                <w:sz w:val="20"/>
              </w:rPr>
            </w:pPr>
            <w:r>
              <w:rPr>
                <w:b/>
                <w:w w:val="95"/>
                <w:sz w:val="20"/>
              </w:rPr>
              <w:t>神经官能症和精神疾病不在保障范围内。</w:t>
            </w:r>
          </w:p>
        </w:tc>
      </w:tr>
      <w:tr>
        <w:trPr>
          <w:trHeight w:val="371" w:hRule="atLeast"/>
        </w:trPr>
        <w:tc>
          <w:tcPr>
            <w:tcW w:w="1860" w:type="dxa"/>
          </w:tcPr>
          <w:p>
            <w:pPr>
              <w:pStyle w:val="TableParagraph"/>
              <w:spacing w:before="18"/>
              <w:rPr>
                <w:sz w:val="20"/>
              </w:rPr>
            </w:pPr>
            <w:r>
              <w:rPr>
                <w:w w:val="95"/>
                <w:sz w:val="20"/>
              </w:rPr>
              <w:t>17.严重脑损伤</w:t>
            </w:r>
          </w:p>
        </w:tc>
        <w:tc>
          <w:tcPr>
            <w:tcW w:w="7933" w:type="dxa"/>
          </w:tcPr>
          <w:p>
            <w:pPr>
              <w:pStyle w:val="TableParagraph"/>
              <w:spacing w:before="18"/>
              <w:ind w:left="108"/>
              <w:rPr>
                <w:sz w:val="20"/>
              </w:rPr>
            </w:pPr>
            <w:r>
              <w:rPr>
                <w:w w:val="95"/>
                <w:sz w:val="20"/>
              </w:rPr>
              <w:t>指因头部遭受机械性外力，引起脑重要部位损伤，导致神经系统永久性的功能障碍。须由</w:t>
            </w:r>
          </w:p>
        </w:tc>
      </w:tr>
    </w:tbl>
    <w:p>
      <w:pPr>
        <w:spacing w:after="0"/>
        <w:rPr>
          <w:sz w:val="20"/>
        </w:rPr>
        <w:sectPr>
          <w:pgSz w:w="11910" w:h="16840"/>
          <w:pgMar w:header="0" w:footer="831" w:top="1420" w:bottom="1020" w:left="840" w:right="1040"/>
        </w:sectPr>
      </w:pPr>
    </w:p>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3"/>
      </w:tblGrid>
      <w:tr>
        <w:trPr>
          <w:trHeight w:val="381" w:hRule="atLeast"/>
        </w:trPr>
        <w:tc>
          <w:tcPr>
            <w:tcW w:w="1860" w:type="dxa"/>
            <w:shd w:val="clear" w:color="auto" w:fill="D7D7D7"/>
          </w:tcPr>
          <w:p>
            <w:pPr>
              <w:pStyle w:val="TableParagraph"/>
              <w:spacing w:before="28"/>
              <w:ind w:left="326"/>
              <w:rPr>
                <w:b/>
                <w:sz w:val="20"/>
              </w:rPr>
            </w:pPr>
            <w:r>
              <w:rPr>
                <w:b/>
                <w:w w:val="95"/>
                <w:sz w:val="20"/>
              </w:rPr>
              <w:t>重大疾病名称</w:t>
            </w:r>
          </w:p>
        </w:tc>
        <w:tc>
          <w:tcPr>
            <w:tcW w:w="7933" w:type="dxa"/>
            <w:shd w:val="clear" w:color="auto" w:fill="D7D7D7"/>
          </w:tcPr>
          <w:p>
            <w:pPr>
              <w:pStyle w:val="TableParagraph"/>
              <w:spacing w:before="28"/>
              <w:ind w:left="237" w:right="224"/>
              <w:jc w:val="center"/>
              <w:rPr>
                <w:b/>
                <w:sz w:val="20"/>
              </w:rPr>
            </w:pPr>
            <w:r>
              <w:rPr>
                <w:b/>
                <w:sz w:val="20"/>
              </w:rPr>
              <w:t>定义</w:t>
            </w:r>
          </w:p>
        </w:tc>
      </w:tr>
      <w:tr>
        <w:trPr>
          <w:trHeight w:val="2003" w:hRule="atLeast"/>
        </w:trPr>
        <w:tc>
          <w:tcPr>
            <w:tcW w:w="1860" w:type="dxa"/>
          </w:tcPr>
          <w:p>
            <w:pPr>
              <w:pStyle w:val="TableParagraph"/>
              <w:ind w:left="0"/>
              <w:rPr>
                <w:rFonts w:ascii="Times New Roman"/>
                <w:sz w:val="18"/>
              </w:rPr>
            </w:pPr>
          </w:p>
        </w:tc>
        <w:tc>
          <w:tcPr>
            <w:tcW w:w="7933" w:type="dxa"/>
          </w:tcPr>
          <w:p>
            <w:pPr>
              <w:pStyle w:val="TableParagraph"/>
              <w:spacing w:line="300" w:lineRule="auto" w:before="18"/>
              <w:ind w:left="108" w:right="100"/>
              <w:jc w:val="both"/>
              <w:rPr>
                <w:sz w:val="20"/>
              </w:rPr>
            </w:pPr>
            <w:r>
              <w:rPr>
                <w:spacing w:val="-2"/>
                <w:w w:val="95"/>
                <w:sz w:val="20"/>
              </w:rPr>
              <w:t>头颅断层扫描</w:t>
            </w:r>
            <w:r>
              <w:rPr>
                <w:spacing w:val="-3"/>
                <w:w w:val="95"/>
                <w:sz w:val="20"/>
              </w:rPr>
              <w:t>（CT）</w:t>
            </w:r>
            <w:r>
              <w:rPr>
                <w:spacing w:val="-4"/>
                <w:w w:val="95"/>
                <w:sz w:val="20"/>
              </w:rPr>
              <w:t>、核磁共振检查</w:t>
            </w:r>
            <w:r>
              <w:rPr>
                <w:spacing w:val="-3"/>
                <w:w w:val="95"/>
                <w:sz w:val="20"/>
              </w:rPr>
              <w:t>（MRI）</w:t>
            </w:r>
            <w:r>
              <w:rPr>
                <w:spacing w:val="-2"/>
                <w:w w:val="95"/>
                <w:sz w:val="20"/>
              </w:rPr>
              <w:t>或正电子发射断层扫描</w:t>
            </w:r>
            <w:r>
              <w:rPr>
                <w:spacing w:val="-3"/>
                <w:w w:val="95"/>
                <w:sz w:val="20"/>
              </w:rPr>
              <w:t>（PET）</w:t>
            </w:r>
            <w:r>
              <w:rPr>
                <w:w w:val="95"/>
                <w:sz w:val="20"/>
              </w:rPr>
              <w:t>等影像学检查   </w:t>
            </w:r>
            <w:r>
              <w:rPr>
                <w:sz w:val="20"/>
              </w:rPr>
              <w:t>证实。神经系统永久性的功能障碍，指脑损伤 180 天后，仍遗留下列一种或一种以上障</w:t>
            </w:r>
            <w:r>
              <w:rPr>
                <w:w w:val="95"/>
                <w:sz w:val="20"/>
              </w:rPr>
              <w:t>碍：</w:t>
            </w:r>
          </w:p>
          <w:p>
            <w:pPr>
              <w:pStyle w:val="TableParagraph"/>
              <w:numPr>
                <w:ilvl w:val="0"/>
                <w:numId w:val="18"/>
              </w:numPr>
              <w:tabs>
                <w:tab w:pos="512" w:val="left" w:leader="none"/>
              </w:tabs>
              <w:spacing w:line="240" w:lineRule="auto" w:before="12" w:after="0"/>
              <w:ind w:left="511" w:right="0" w:hanging="403"/>
              <w:jc w:val="both"/>
              <w:rPr>
                <w:sz w:val="20"/>
              </w:rPr>
            </w:pPr>
            <w:r>
              <w:rPr>
                <w:w w:val="95"/>
                <w:sz w:val="20"/>
              </w:rPr>
              <w:t>一肢或一肢以上肢体机能完全丧失；</w:t>
            </w:r>
          </w:p>
          <w:p>
            <w:pPr>
              <w:pStyle w:val="TableParagraph"/>
              <w:numPr>
                <w:ilvl w:val="0"/>
                <w:numId w:val="18"/>
              </w:numPr>
              <w:tabs>
                <w:tab w:pos="512" w:val="left" w:leader="none"/>
              </w:tabs>
              <w:spacing w:line="240" w:lineRule="auto" w:before="64" w:after="0"/>
              <w:ind w:left="511" w:right="0" w:hanging="403"/>
              <w:jc w:val="both"/>
              <w:rPr>
                <w:sz w:val="20"/>
              </w:rPr>
            </w:pPr>
            <w:r>
              <w:rPr>
                <w:w w:val="95"/>
                <w:sz w:val="20"/>
              </w:rPr>
              <w:t>语言能力或咀嚼吞咽能力完全丧失；</w:t>
            </w:r>
          </w:p>
          <w:p>
            <w:pPr>
              <w:pStyle w:val="TableParagraph"/>
              <w:numPr>
                <w:ilvl w:val="0"/>
                <w:numId w:val="18"/>
              </w:numPr>
              <w:tabs>
                <w:tab w:pos="512" w:val="left" w:leader="none"/>
              </w:tabs>
              <w:spacing w:line="240" w:lineRule="auto" w:before="64" w:after="0"/>
              <w:ind w:left="511" w:right="0" w:hanging="403"/>
              <w:jc w:val="both"/>
              <w:rPr>
                <w:sz w:val="20"/>
              </w:rPr>
            </w:pPr>
            <w:r>
              <w:rPr>
                <w:w w:val="95"/>
                <w:sz w:val="20"/>
              </w:rPr>
              <w:t>自主生活能力完全丧失，无法独立完成六项基本日常生活活动中的三项或三项以上。</w:t>
            </w:r>
          </w:p>
        </w:tc>
      </w:tr>
      <w:tr>
        <w:trPr>
          <w:trHeight w:val="1674" w:hRule="atLeast"/>
        </w:trPr>
        <w:tc>
          <w:tcPr>
            <w:tcW w:w="1860" w:type="dxa"/>
          </w:tcPr>
          <w:p>
            <w:pPr>
              <w:pStyle w:val="TableParagraph"/>
              <w:spacing w:before="16"/>
              <w:rPr>
                <w:sz w:val="20"/>
              </w:rPr>
            </w:pPr>
            <w:r>
              <w:rPr>
                <w:w w:val="95"/>
                <w:sz w:val="20"/>
              </w:rPr>
              <w:t>18.严重帕金森病</w:t>
            </w:r>
          </w:p>
        </w:tc>
        <w:tc>
          <w:tcPr>
            <w:tcW w:w="7933" w:type="dxa"/>
          </w:tcPr>
          <w:p>
            <w:pPr>
              <w:pStyle w:val="TableParagraph"/>
              <w:spacing w:line="300" w:lineRule="auto" w:before="16"/>
              <w:ind w:left="108" w:right="104"/>
              <w:rPr>
                <w:sz w:val="20"/>
              </w:rPr>
            </w:pPr>
            <w:r>
              <w:rPr>
                <w:spacing w:val="-5"/>
                <w:w w:val="95"/>
                <w:sz w:val="20"/>
              </w:rPr>
              <w:t>是一种中枢神经系统的退行性疾病，临床表现为震颤麻痹、共济失调等。须满足下列全部   条件：</w:t>
            </w:r>
          </w:p>
          <w:p>
            <w:pPr>
              <w:pStyle w:val="TableParagraph"/>
              <w:numPr>
                <w:ilvl w:val="0"/>
                <w:numId w:val="19"/>
              </w:numPr>
              <w:tabs>
                <w:tab w:pos="512" w:val="left" w:leader="none"/>
              </w:tabs>
              <w:spacing w:line="240" w:lineRule="auto" w:before="15" w:after="0"/>
              <w:ind w:left="108" w:right="0" w:firstLine="0"/>
              <w:jc w:val="left"/>
              <w:rPr>
                <w:sz w:val="20"/>
              </w:rPr>
            </w:pPr>
            <w:r>
              <w:rPr>
                <w:w w:val="95"/>
                <w:sz w:val="20"/>
              </w:rPr>
              <w:t>药物治疗无法控制病情；</w:t>
            </w:r>
          </w:p>
          <w:p>
            <w:pPr>
              <w:pStyle w:val="TableParagraph"/>
              <w:numPr>
                <w:ilvl w:val="0"/>
                <w:numId w:val="19"/>
              </w:numPr>
              <w:tabs>
                <w:tab w:pos="512" w:val="left" w:leader="none"/>
              </w:tabs>
              <w:spacing w:line="300" w:lineRule="auto" w:before="65" w:after="0"/>
              <w:ind w:left="108" w:right="17" w:firstLine="0"/>
              <w:jc w:val="left"/>
              <w:rPr>
                <w:b/>
                <w:sz w:val="20"/>
              </w:rPr>
            </w:pPr>
            <w:r>
              <w:rPr>
                <w:w w:val="95"/>
                <w:sz w:val="20"/>
              </w:rPr>
              <w:t>自主生活能力完全丧失，无法独立完成六项基本日常生活活动中的三项或三项以上。  </w:t>
            </w:r>
            <w:r>
              <w:rPr>
                <w:b/>
                <w:w w:val="95"/>
                <w:sz w:val="20"/>
              </w:rPr>
              <w:t>继发性帕金森综合征不在保障范围内。</w:t>
            </w:r>
          </w:p>
        </w:tc>
      </w:tr>
      <w:tr>
        <w:trPr>
          <w:trHeight w:val="698" w:hRule="atLeast"/>
        </w:trPr>
        <w:tc>
          <w:tcPr>
            <w:tcW w:w="1860" w:type="dxa"/>
          </w:tcPr>
          <w:p>
            <w:pPr>
              <w:pStyle w:val="TableParagraph"/>
              <w:spacing w:before="19"/>
              <w:rPr>
                <w:sz w:val="20"/>
              </w:rPr>
            </w:pPr>
            <w:r>
              <w:rPr>
                <w:w w:val="95"/>
                <w:sz w:val="20"/>
              </w:rPr>
              <w:t>19.严重Ⅲ度烧伤</w:t>
            </w:r>
          </w:p>
        </w:tc>
        <w:tc>
          <w:tcPr>
            <w:tcW w:w="7933" w:type="dxa"/>
          </w:tcPr>
          <w:p>
            <w:pPr>
              <w:pStyle w:val="TableParagraph"/>
              <w:spacing w:line="300" w:lineRule="auto" w:before="19"/>
              <w:ind w:left="108" w:right="98"/>
              <w:rPr>
                <w:sz w:val="20"/>
              </w:rPr>
            </w:pPr>
            <w:r>
              <w:rPr>
                <w:spacing w:val="-2"/>
                <w:sz w:val="20"/>
              </w:rPr>
              <w:t>指烧伤程度为Ⅲ度，且Ⅲ度烧伤的面积达到全身体表面积的 </w:t>
            </w:r>
            <w:r>
              <w:rPr>
                <w:sz w:val="20"/>
              </w:rPr>
              <w:t>20</w:t>
            </w:r>
            <w:r>
              <w:rPr>
                <w:spacing w:val="-16"/>
                <w:sz w:val="20"/>
              </w:rPr>
              <w:t>％或 </w:t>
            </w:r>
            <w:r>
              <w:rPr>
                <w:sz w:val="20"/>
              </w:rPr>
              <w:t>20％以上。体表面积</w:t>
            </w:r>
            <w:r>
              <w:rPr>
                <w:w w:val="95"/>
                <w:sz w:val="20"/>
              </w:rPr>
              <w:t>根据《中国新九分法》计算。</w:t>
            </w:r>
          </w:p>
        </w:tc>
      </w:tr>
      <w:tr>
        <w:trPr>
          <w:trHeight w:val="1024" w:hRule="atLeast"/>
        </w:trPr>
        <w:tc>
          <w:tcPr>
            <w:tcW w:w="1860" w:type="dxa"/>
          </w:tcPr>
          <w:p>
            <w:pPr>
              <w:pStyle w:val="TableParagraph"/>
              <w:spacing w:line="300" w:lineRule="auto" w:before="18"/>
              <w:ind w:right="74"/>
              <w:rPr>
                <w:sz w:val="20"/>
              </w:rPr>
            </w:pPr>
            <w:r>
              <w:rPr>
                <w:sz w:val="20"/>
              </w:rPr>
              <w:t>20. 严重原发性肺</w:t>
            </w:r>
            <w:r>
              <w:rPr>
                <w:w w:val="95"/>
                <w:sz w:val="20"/>
              </w:rPr>
              <w:t>动脉高压</w:t>
            </w:r>
          </w:p>
        </w:tc>
        <w:tc>
          <w:tcPr>
            <w:tcW w:w="7933" w:type="dxa"/>
          </w:tcPr>
          <w:p>
            <w:pPr>
              <w:pStyle w:val="TableParagraph"/>
              <w:spacing w:line="297" w:lineRule="auto" w:before="18"/>
              <w:ind w:left="108" w:right="98"/>
              <w:jc w:val="both"/>
              <w:rPr>
                <w:sz w:val="20"/>
              </w:rPr>
            </w:pPr>
            <w:r>
              <w:rPr>
                <w:spacing w:val="-5"/>
                <w:sz w:val="20"/>
              </w:rPr>
              <w:t>指不明原因的肺动脉压力持续性增高，进行性发展而导致的慢性疾病，已经造成永久不可</w:t>
            </w:r>
            <w:r>
              <w:rPr>
                <w:spacing w:val="-8"/>
                <w:sz w:val="20"/>
              </w:rPr>
              <w:t>逆性的体力活动能力受限，达到美国纽约心脏病学会心功能状态分级 </w:t>
            </w:r>
            <w:r>
              <w:rPr>
                <w:sz w:val="20"/>
              </w:rPr>
              <w:t>IV</w:t>
            </w:r>
            <w:r>
              <w:rPr>
                <w:spacing w:val="-5"/>
                <w:sz w:val="20"/>
              </w:rPr>
              <w:t> 级，且静息状态</w:t>
            </w:r>
            <w:r>
              <w:rPr>
                <w:spacing w:val="-10"/>
                <w:sz w:val="20"/>
              </w:rPr>
              <w:t>下肺动脉平均压超过 </w:t>
            </w:r>
            <w:r>
              <w:rPr>
                <w:sz w:val="20"/>
              </w:rPr>
              <w:t>30mmHg。</w:t>
            </w:r>
          </w:p>
        </w:tc>
      </w:tr>
      <w:tr>
        <w:trPr>
          <w:trHeight w:val="1024" w:hRule="atLeast"/>
        </w:trPr>
        <w:tc>
          <w:tcPr>
            <w:tcW w:w="1860" w:type="dxa"/>
          </w:tcPr>
          <w:p>
            <w:pPr>
              <w:pStyle w:val="TableParagraph"/>
              <w:spacing w:line="297" w:lineRule="auto" w:before="18"/>
              <w:ind w:right="74"/>
              <w:rPr>
                <w:sz w:val="20"/>
              </w:rPr>
            </w:pPr>
            <w:r>
              <w:rPr>
                <w:sz w:val="20"/>
              </w:rPr>
              <w:t>21. 严重运动神经</w:t>
            </w:r>
            <w:r>
              <w:rPr>
                <w:w w:val="95"/>
                <w:sz w:val="20"/>
              </w:rPr>
              <w:t>元病</w:t>
            </w:r>
          </w:p>
        </w:tc>
        <w:tc>
          <w:tcPr>
            <w:tcW w:w="7933" w:type="dxa"/>
          </w:tcPr>
          <w:p>
            <w:pPr>
              <w:pStyle w:val="TableParagraph"/>
              <w:spacing w:line="297" w:lineRule="auto" w:before="18"/>
              <w:ind w:left="108" w:right="103"/>
              <w:jc w:val="both"/>
              <w:rPr>
                <w:sz w:val="20"/>
              </w:rPr>
            </w:pPr>
            <w:r>
              <w:rPr>
                <w:spacing w:val="-4"/>
                <w:w w:val="95"/>
                <w:sz w:val="20"/>
              </w:rPr>
              <w:t>是一组中枢神经系统运动神经元的进行性变性疾病，包括进行性脊肌萎缩症、进行性延髓   </w:t>
            </w:r>
            <w:r>
              <w:rPr>
                <w:spacing w:val="-10"/>
                <w:w w:val="95"/>
                <w:sz w:val="20"/>
              </w:rPr>
              <w:t>麻痹症、原发性侧索硬化症、肌萎缩性侧索硬化症。须满足自主生活能力完全丧失，无法   独立完成六项基本日常生活活动中的三项或三项以上的条件。</w:t>
            </w:r>
          </w:p>
        </w:tc>
      </w:tr>
      <w:tr>
        <w:trPr>
          <w:trHeight w:val="1024" w:hRule="atLeast"/>
        </w:trPr>
        <w:tc>
          <w:tcPr>
            <w:tcW w:w="1860" w:type="dxa"/>
          </w:tcPr>
          <w:p>
            <w:pPr>
              <w:pStyle w:val="TableParagraph"/>
              <w:spacing w:before="16"/>
              <w:rPr>
                <w:sz w:val="20"/>
              </w:rPr>
            </w:pPr>
            <w:r>
              <w:rPr>
                <w:w w:val="95"/>
                <w:sz w:val="20"/>
              </w:rPr>
              <w:t>22.语言能力丧失</w:t>
            </w:r>
          </w:p>
        </w:tc>
        <w:tc>
          <w:tcPr>
            <w:tcW w:w="7933" w:type="dxa"/>
          </w:tcPr>
          <w:p>
            <w:pPr>
              <w:pStyle w:val="TableParagraph"/>
              <w:spacing w:line="300" w:lineRule="auto" w:before="16"/>
              <w:ind w:left="108" w:right="98"/>
              <w:rPr>
                <w:sz w:val="20"/>
              </w:rPr>
            </w:pPr>
            <w:r>
              <w:rPr>
                <w:spacing w:val="-2"/>
                <w:sz w:val="20"/>
              </w:rPr>
              <w:t>指因疾病或意外伤害导致完全丧失语言能力，经过积极治疗至少 </w:t>
            </w:r>
            <w:r>
              <w:rPr>
                <w:sz w:val="20"/>
              </w:rPr>
              <w:t>12</w:t>
            </w:r>
            <w:r>
              <w:rPr>
                <w:spacing w:val="-16"/>
                <w:sz w:val="20"/>
              </w:rPr>
              <w:t> 个月</w:t>
            </w:r>
            <w:r>
              <w:rPr>
                <w:sz w:val="20"/>
              </w:rPr>
              <w:t>（声带完全切除</w:t>
            </w:r>
            <w:r>
              <w:rPr>
                <w:w w:val="95"/>
                <w:sz w:val="20"/>
              </w:rPr>
              <w:t>不受此时间限制），仍无法通过现有医疗手段恢复。</w:t>
            </w:r>
          </w:p>
          <w:p>
            <w:pPr>
              <w:pStyle w:val="TableParagraph"/>
              <w:spacing w:before="15"/>
              <w:ind w:left="108"/>
              <w:rPr>
                <w:b/>
                <w:sz w:val="20"/>
              </w:rPr>
            </w:pPr>
            <w:r>
              <w:rPr>
                <w:b/>
                <w:w w:val="95"/>
                <w:sz w:val="20"/>
              </w:rPr>
              <w:t>精神心理因素所致的语言能力丧失不在保障范围内。</w:t>
            </w:r>
          </w:p>
        </w:tc>
      </w:tr>
      <w:tr>
        <w:trPr>
          <w:trHeight w:val="2327" w:hRule="atLeast"/>
        </w:trPr>
        <w:tc>
          <w:tcPr>
            <w:tcW w:w="1860" w:type="dxa"/>
          </w:tcPr>
          <w:p>
            <w:pPr>
              <w:pStyle w:val="TableParagraph"/>
              <w:spacing w:line="300" w:lineRule="auto" w:before="16"/>
              <w:ind w:right="74"/>
              <w:rPr>
                <w:sz w:val="20"/>
              </w:rPr>
            </w:pPr>
            <w:r>
              <w:rPr>
                <w:sz w:val="20"/>
              </w:rPr>
              <w:t>23. 重型再生障碍</w:t>
            </w:r>
            <w:r>
              <w:rPr>
                <w:w w:val="95"/>
                <w:sz w:val="20"/>
              </w:rPr>
              <w:t>性贫血</w:t>
            </w:r>
          </w:p>
        </w:tc>
        <w:tc>
          <w:tcPr>
            <w:tcW w:w="7933" w:type="dxa"/>
          </w:tcPr>
          <w:p>
            <w:pPr>
              <w:pStyle w:val="TableParagraph"/>
              <w:spacing w:line="300" w:lineRule="auto" w:before="16"/>
              <w:ind w:left="108" w:right="103"/>
              <w:rPr>
                <w:sz w:val="20"/>
              </w:rPr>
            </w:pPr>
            <w:r>
              <w:rPr>
                <w:spacing w:val="-4"/>
                <w:w w:val="95"/>
                <w:sz w:val="20"/>
              </w:rPr>
              <w:t>指因骨髓造血功能慢性持续性衰竭导致的贫血、中性粒细胞减少及血小板减少。须满足下   列全部条件：</w:t>
            </w:r>
          </w:p>
          <w:p>
            <w:pPr>
              <w:pStyle w:val="TableParagraph"/>
              <w:numPr>
                <w:ilvl w:val="0"/>
                <w:numId w:val="20"/>
              </w:numPr>
              <w:tabs>
                <w:tab w:pos="512" w:val="left" w:leader="none"/>
              </w:tabs>
              <w:spacing w:line="240" w:lineRule="auto" w:before="15" w:after="0"/>
              <w:ind w:left="511" w:right="0" w:hanging="403"/>
              <w:jc w:val="left"/>
              <w:rPr>
                <w:sz w:val="20"/>
              </w:rPr>
            </w:pPr>
            <w:r>
              <w:rPr>
                <w:w w:val="95"/>
                <w:sz w:val="20"/>
              </w:rPr>
              <w:t>骨髓穿刺检查或骨髓活检结果支持诊断；</w:t>
            </w:r>
          </w:p>
          <w:p>
            <w:pPr>
              <w:pStyle w:val="TableParagraph"/>
              <w:numPr>
                <w:ilvl w:val="0"/>
                <w:numId w:val="20"/>
              </w:numPr>
              <w:tabs>
                <w:tab w:pos="512" w:val="left" w:leader="none"/>
              </w:tabs>
              <w:spacing w:line="240" w:lineRule="auto" w:before="65" w:after="0"/>
              <w:ind w:left="511" w:right="0" w:hanging="403"/>
              <w:jc w:val="left"/>
              <w:rPr>
                <w:sz w:val="20"/>
              </w:rPr>
            </w:pPr>
            <w:r>
              <w:rPr>
                <w:w w:val="95"/>
                <w:sz w:val="20"/>
              </w:rPr>
              <w:t>外周血象须具备以下三项条件：</w:t>
            </w:r>
          </w:p>
          <w:p>
            <w:pPr>
              <w:pStyle w:val="TableParagraph"/>
              <w:spacing w:before="65"/>
              <w:ind w:left="108"/>
              <w:rPr>
                <w:sz w:val="20"/>
              </w:rPr>
            </w:pPr>
            <w:r>
              <w:rPr>
                <w:sz w:val="20"/>
              </w:rPr>
              <w:t>1）中性粒细胞绝对值≤0.5×10</w:t>
            </w:r>
            <w:r>
              <w:rPr>
                <w:position w:val="10"/>
                <w:sz w:val="10"/>
              </w:rPr>
              <w:t>9</w:t>
            </w:r>
            <w:r>
              <w:rPr>
                <w:sz w:val="20"/>
              </w:rPr>
              <w:t>/L ；</w:t>
            </w:r>
          </w:p>
          <w:p>
            <w:pPr>
              <w:pStyle w:val="TableParagraph"/>
              <w:spacing w:before="62"/>
              <w:ind w:left="108"/>
              <w:rPr>
                <w:sz w:val="20"/>
              </w:rPr>
            </w:pPr>
            <w:r>
              <w:rPr>
                <w:w w:val="95"/>
                <w:sz w:val="20"/>
              </w:rPr>
              <w:t>2）网织红细胞＜1%；</w:t>
            </w:r>
          </w:p>
          <w:p>
            <w:pPr>
              <w:pStyle w:val="TableParagraph"/>
              <w:spacing w:before="64"/>
              <w:ind w:left="108"/>
              <w:rPr>
                <w:sz w:val="20"/>
              </w:rPr>
            </w:pPr>
            <w:r>
              <w:rPr>
                <w:w w:val="95"/>
                <w:sz w:val="20"/>
              </w:rPr>
              <w:t>3）血小板绝对值≤20×10</w:t>
            </w:r>
            <w:r>
              <w:rPr>
                <w:w w:val="95"/>
                <w:position w:val="10"/>
                <w:sz w:val="10"/>
              </w:rPr>
              <w:t>9</w:t>
            </w:r>
            <w:r>
              <w:rPr>
                <w:w w:val="95"/>
                <w:sz w:val="20"/>
              </w:rPr>
              <w:t>/L。</w:t>
            </w:r>
          </w:p>
        </w:tc>
      </w:tr>
      <w:tr>
        <w:trPr>
          <w:trHeight w:val="1024" w:hRule="atLeast"/>
        </w:trPr>
        <w:tc>
          <w:tcPr>
            <w:tcW w:w="1860" w:type="dxa"/>
          </w:tcPr>
          <w:p>
            <w:pPr>
              <w:pStyle w:val="TableParagraph"/>
              <w:spacing w:before="16"/>
              <w:rPr>
                <w:sz w:val="20"/>
              </w:rPr>
            </w:pPr>
            <w:r>
              <w:rPr>
                <w:w w:val="95"/>
                <w:sz w:val="20"/>
              </w:rPr>
              <w:t>24.主动脉手术</w:t>
            </w:r>
          </w:p>
        </w:tc>
        <w:tc>
          <w:tcPr>
            <w:tcW w:w="7933" w:type="dxa"/>
          </w:tcPr>
          <w:p>
            <w:pPr>
              <w:pStyle w:val="TableParagraph"/>
              <w:spacing w:line="300" w:lineRule="auto" w:before="16"/>
              <w:ind w:left="108" w:right="104"/>
              <w:rPr>
                <w:sz w:val="20"/>
              </w:rPr>
            </w:pPr>
            <w:r>
              <w:rPr>
                <w:spacing w:val="-5"/>
                <w:w w:val="95"/>
                <w:sz w:val="20"/>
              </w:rPr>
              <w:t>指为治疗主动脉疾病，实际实施了开胸或开腹进行的切除、置换、修补病损主动脉血管的   手术。主动脉指胸主动脉和腹主动脉，不包括胸主动脉和腹主动脉的分支血管。</w:t>
            </w:r>
          </w:p>
          <w:p>
            <w:pPr>
              <w:pStyle w:val="TableParagraph"/>
              <w:spacing w:before="15"/>
              <w:ind w:left="108"/>
              <w:rPr>
                <w:b/>
                <w:sz w:val="20"/>
              </w:rPr>
            </w:pPr>
            <w:r>
              <w:rPr>
                <w:b/>
                <w:w w:val="95"/>
                <w:sz w:val="20"/>
              </w:rPr>
              <w:t>动脉内血管成形术不在保障范围内。</w:t>
            </w:r>
          </w:p>
        </w:tc>
      </w:tr>
      <w:tr>
        <w:trPr>
          <w:trHeight w:val="2328" w:hRule="atLeast"/>
        </w:trPr>
        <w:tc>
          <w:tcPr>
            <w:tcW w:w="1860" w:type="dxa"/>
          </w:tcPr>
          <w:p>
            <w:pPr>
              <w:pStyle w:val="TableParagraph"/>
              <w:spacing w:before="16"/>
              <w:rPr>
                <w:sz w:val="20"/>
              </w:rPr>
            </w:pPr>
            <w:r>
              <w:rPr>
                <w:w w:val="95"/>
                <w:sz w:val="20"/>
              </w:rPr>
              <w:t>25.原发性心肌病</w:t>
            </w:r>
          </w:p>
        </w:tc>
        <w:tc>
          <w:tcPr>
            <w:tcW w:w="7933" w:type="dxa"/>
          </w:tcPr>
          <w:p>
            <w:pPr>
              <w:pStyle w:val="TableParagraph"/>
              <w:spacing w:line="300" w:lineRule="auto" w:before="16"/>
              <w:ind w:left="108" w:right="95"/>
              <w:jc w:val="both"/>
              <w:rPr>
                <w:sz w:val="20"/>
              </w:rPr>
            </w:pPr>
            <w:r>
              <w:rPr>
                <w:spacing w:val="-5"/>
                <w:w w:val="95"/>
                <w:sz w:val="20"/>
              </w:rPr>
              <w:t>指不明原因引起的一类心肌病变，包括原发性扩张型心肌病、原发性肥厚型心肌病及原发   </w:t>
            </w:r>
            <w:r>
              <w:rPr>
                <w:spacing w:val="-11"/>
                <w:sz w:val="20"/>
              </w:rPr>
              <w:t>性限制型心肌病三种，病变必须已造成事实上心室功能障碍而出现明显的心功能衰竭( 美</w:t>
            </w:r>
            <w:r>
              <w:rPr>
                <w:spacing w:val="-14"/>
                <w:sz w:val="20"/>
              </w:rPr>
              <w:t>国纽约心脏协会心功能分类标准心功能达 </w:t>
            </w:r>
            <w:r>
              <w:rPr>
                <w:sz w:val="20"/>
              </w:rPr>
              <w:t>IV</w:t>
            </w:r>
            <w:r>
              <w:rPr>
                <w:spacing w:val="-9"/>
                <w:sz w:val="20"/>
              </w:rPr>
              <w:t> 级)，且有相关住院医疗记录显示 </w:t>
            </w:r>
            <w:r>
              <w:rPr>
                <w:sz w:val="20"/>
              </w:rPr>
              <w:t>IV</w:t>
            </w:r>
            <w:r>
              <w:rPr>
                <w:spacing w:val="-14"/>
                <w:sz w:val="20"/>
              </w:rPr>
              <w:t> 级心功</w:t>
            </w:r>
            <w:r>
              <w:rPr>
                <w:spacing w:val="-16"/>
                <w:sz w:val="20"/>
              </w:rPr>
              <w:t>能衰竭状态持续至少一百八十天。该疾病索赔时须要经心内科专科医生做出明确诊断。继</w:t>
            </w:r>
            <w:r>
              <w:rPr>
                <w:spacing w:val="-2"/>
                <w:sz w:val="20"/>
              </w:rPr>
              <w:t>发于全身性疾病或其它器官系统疾病以及由于酒精和药物滥用导致的心肌病不在保障范</w:t>
            </w:r>
            <w:r>
              <w:rPr>
                <w:spacing w:val="-5"/>
                <w:sz w:val="20"/>
              </w:rPr>
              <w:t>围内。美国纽约心脏协会分类标准心功能 </w:t>
            </w:r>
            <w:r>
              <w:rPr>
                <w:sz w:val="20"/>
              </w:rPr>
              <w:t>IV</w:t>
            </w:r>
            <w:r>
              <w:rPr>
                <w:spacing w:val="-7"/>
                <w:sz w:val="20"/>
              </w:rPr>
              <w:t> 级是指有医院的医疗记录显示病人不能进行</w:t>
            </w:r>
            <w:r>
              <w:rPr>
                <w:spacing w:val="-7"/>
                <w:w w:val="95"/>
                <w:sz w:val="20"/>
              </w:rPr>
              <w:t>任何活动，休息时仍有心悸、呼吸困难等心力衰竭表现。</w:t>
            </w:r>
          </w:p>
        </w:tc>
      </w:tr>
    </w:tbl>
    <w:p>
      <w:pPr>
        <w:spacing w:after="0" w:line="300" w:lineRule="auto"/>
        <w:jc w:val="both"/>
        <w:rPr>
          <w:sz w:val="20"/>
        </w:rPr>
        <w:sectPr>
          <w:pgSz w:w="11910" w:h="16840"/>
          <w:pgMar w:header="0" w:footer="831" w:top="1420" w:bottom="1020" w:left="840" w:right="1040"/>
        </w:sectPr>
      </w:pPr>
    </w:p>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3"/>
      </w:tblGrid>
      <w:tr>
        <w:trPr>
          <w:trHeight w:val="381" w:hRule="atLeast"/>
        </w:trPr>
        <w:tc>
          <w:tcPr>
            <w:tcW w:w="1860" w:type="dxa"/>
            <w:shd w:val="clear" w:color="auto" w:fill="D7D7D7"/>
          </w:tcPr>
          <w:p>
            <w:pPr>
              <w:pStyle w:val="TableParagraph"/>
              <w:spacing w:before="28"/>
              <w:ind w:left="326"/>
              <w:rPr>
                <w:b/>
                <w:sz w:val="20"/>
              </w:rPr>
            </w:pPr>
            <w:r>
              <w:rPr>
                <w:b/>
                <w:w w:val="95"/>
                <w:sz w:val="20"/>
              </w:rPr>
              <w:t>重大疾病名称</w:t>
            </w:r>
          </w:p>
        </w:tc>
        <w:tc>
          <w:tcPr>
            <w:tcW w:w="7933" w:type="dxa"/>
            <w:shd w:val="clear" w:color="auto" w:fill="D7D7D7"/>
          </w:tcPr>
          <w:p>
            <w:pPr>
              <w:pStyle w:val="TableParagraph"/>
              <w:spacing w:before="28"/>
              <w:ind w:left="237" w:right="224"/>
              <w:jc w:val="center"/>
              <w:rPr>
                <w:b/>
                <w:sz w:val="20"/>
              </w:rPr>
            </w:pPr>
            <w:r>
              <w:rPr>
                <w:b/>
                <w:sz w:val="20"/>
              </w:rPr>
              <w:t>定义</w:t>
            </w:r>
          </w:p>
        </w:tc>
      </w:tr>
      <w:tr>
        <w:trPr>
          <w:trHeight w:val="1350" w:hRule="atLeast"/>
        </w:trPr>
        <w:tc>
          <w:tcPr>
            <w:tcW w:w="1860" w:type="dxa"/>
          </w:tcPr>
          <w:p>
            <w:pPr>
              <w:pStyle w:val="TableParagraph"/>
              <w:spacing w:before="18"/>
              <w:rPr>
                <w:sz w:val="20"/>
              </w:rPr>
            </w:pPr>
            <w:r>
              <w:rPr>
                <w:w w:val="95"/>
                <w:sz w:val="20"/>
              </w:rPr>
              <w:t>26.脊髓灰质炎</w:t>
            </w:r>
          </w:p>
        </w:tc>
        <w:tc>
          <w:tcPr>
            <w:tcW w:w="7933" w:type="dxa"/>
          </w:tcPr>
          <w:p>
            <w:pPr>
              <w:pStyle w:val="TableParagraph"/>
              <w:spacing w:line="297" w:lineRule="auto" w:before="18"/>
              <w:ind w:left="108" w:right="15"/>
              <w:rPr>
                <w:sz w:val="20"/>
              </w:rPr>
            </w:pPr>
            <w:r>
              <w:rPr>
                <w:spacing w:val="-4"/>
                <w:sz w:val="20"/>
              </w:rPr>
              <w:t>脊髓灰质炎是由于脊髓灰质炎病毒感染所致的瘫痪性疾病，临床表现为运动功能损害或呼</w:t>
            </w:r>
            <w:r>
              <w:rPr>
                <w:spacing w:val="-11"/>
                <w:sz w:val="20"/>
              </w:rPr>
              <w:t>吸无力。脊髓灰质炎必须明确诊断。我们仅对脊髓灰质炎造成的神经系统功能损害导致被</w:t>
            </w:r>
            <w:r>
              <w:rPr>
                <w:spacing w:val="-11"/>
                <w:w w:val="95"/>
                <w:sz w:val="20"/>
              </w:rPr>
              <w:t>保险人一肢或一肢以上肢体机能永久完全丧失的情况予以理赔。肢体机能永久完全丧失，   </w:t>
            </w:r>
            <w:r>
              <w:rPr>
                <w:spacing w:val="-19"/>
                <w:sz w:val="20"/>
              </w:rPr>
              <w:t>指疾病确诊 </w:t>
            </w:r>
            <w:r>
              <w:rPr>
                <w:sz w:val="20"/>
              </w:rPr>
              <w:t>180</w:t>
            </w:r>
            <w:r>
              <w:rPr>
                <w:spacing w:val="-8"/>
                <w:sz w:val="20"/>
              </w:rPr>
              <w:t> 天后，每肢三大关节中的两大关节仍然完全僵硬，或不能随意识活动。</w:t>
            </w:r>
          </w:p>
        </w:tc>
      </w:tr>
      <w:tr>
        <w:trPr>
          <w:trHeight w:val="3957" w:hRule="atLeast"/>
        </w:trPr>
        <w:tc>
          <w:tcPr>
            <w:tcW w:w="1860" w:type="dxa"/>
          </w:tcPr>
          <w:p>
            <w:pPr>
              <w:pStyle w:val="TableParagraph"/>
              <w:spacing w:line="297" w:lineRule="auto" w:before="18"/>
              <w:ind w:right="74"/>
              <w:jc w:val="both"/>
              <w:rPr>
                <w:sz w:val="20"/>
              </w:rPr>
            </w:pPr>
            <w:r>
              <w:rPr>
                <w:sz w:val="20"/>
              </w:rPr>
              <w:t>27. 经输血导致的人类免疫缺陷病毒</w:t>
            </w:r>
            <w:r>
              <w:rPr>
                <w:w w:val="95"/>
                <w:sz w:val="20"/>
              </w:rPr>
              <w:t>感染</w:t>
            </w:r>
          </w:p>
        </w:tc>
        <w:tc>
          <w:tcPr>
            <w:tcW w:w="7933" w:type="dxa"/>
          </w:tcPr>
          <w:p>
            <w:pPr>
              <w:pStyle w:val="TableParagraph"/>
              <w:spacing w:before="18"/>
              <w:ind w:left="108"/>
              <w:rPr>
                <w:sz w:val="20"/>
              </w:rPr>
            </w:pPr>
            <w:r>
              <w:rPr>
                <w:w w:val="95"/>
                <w:sz w:val="20"/>
              </w:rPr>
              <w:t>被保险人感染上人类免疫缺陷病毒（HIV）并且符合下列所有条件：</w:t>
            </w:r>
          </w:p>
          <w:p>
            <w:pPr>
              <w:pStyle w:val="TableParagraph"/>
              <w:numPr>
                <w:ilvl w:val="0"/>
                <w:numId w:val="21"/>
              </w:numPr>
              <w:tabs>
                <w:tab w:pos="512" w:val="left" w:leader="none"/>
              </w:tabs>
              <w:spacing w:line="300" w:lineRule="auto" w:before="62" w:after="0"/>
              <w:ind w:left="108" w:right="103" w:firstLine="0"/>
              <w:jc w:val="left"/>
              <w:rPr>
                <w:sz w:val="20"/>
              </w:rPr>
            </w:pPr>
            <w:r>
              <w:rPr>
                <w:spacing w:val="-5"/>
                <w:w w:val="95"/>
                <w:sz w:val="20"/>
              </w:rPr>
              <w:t>在保障起始日或效力恢复日之后，被保险人因治疗必需而接受输血，并且因输血而感  </w:t>
            </w:r>
            <w:r>
              <w:rPr>
                <w:spacing w:val="-28"/>
                <w:sz w:val="20"/>
              </w:rPr>
              <w:t>染 </w:t>
            </w:r>
            <w:r>
              <w:rPr>
                <w:sz w:val="20"/>
              </w:rPr>
              <w:t>HIV；</w:t>
            </w:r>
          </w:p>
          <w:p>
            <w:pPr>
              <w:pStyle w:val="TableParagraph"/>
              <w:numPr>
                <w:ilvl w:val="0"/>
                <w:numId w:val="21"/>
              </w:numPr>
              <w:tabs>
                <w:tab w:pos="512" w:val="left" w:leader="none"/>
              </w:tabs>
              <w:spacing w:line="300" w:lineRule="auto" w:before="14" w:after="0"/>
              <w:ind w:left="108" w:right="101" w:firstLine="0"/>
              <w:jc w:val="left"/>
              <w:rPr>
                <w:sz w:val="20"/>
              </w:rPr>
            </w:pPr>
            <w:r>
              <w:rPr>
                <w:spacing w:val="-3"/>
                <w:w w:val="95"/>
                <w:sz w:val="20"/>
              </w:rPr>
              <w:t>提供输血治疗的输血中心或医院出具该项输血感染属医疗责任事故的报告，或者法院  终审裁定为医疗责任；</w:t>
            </w:r>
          </w:p>
          <w:p>
            <w:pPr>
              <w:pStyle w:val="TableParagraph"/>
              <w:numPr>
                <w:ilvl w:val="0"/>
                <w:numId w:val="21"/>
              </w:numPr>
              <w:tabs>
                <w:tab w:pos="512" w:val="left" w:leader="none"/>
              </w:tabs>
              <w:spacing w:line="240" w:lineRule="auto" w:before="14" w:after="0"/>
              <w:ind w:left="108" w:right="0" w:firstLine="0"/>
              <w:jc w:val="left"/>
              <w:rPr>
                <w:sz w:val="20"/>
              </w:rPr>
            </w:pPr>
            <w:r>
              <w:rPr>
                <w:w w:val="95"/>
                <w:sz w:val="20"/>
              </w:rPr>
              <w:t>提供输血治疗的输血中心或医院必须拥有合法经营执照；</w:t>
            </w:r>
          </w:p>
          <w:p>
            <w:pPr>
              <w:pStyle w:val="TableParagraph"/>
              <w:numPr>
                <w:ilvl w:val="0"/>
                <w:numId w:val="21"/>
              </w:numPr>
              <w:tabs>
                <w:tab w:pos="512" w:val="left" w:leader="none"/>
              </w:tabs>
              <w:spacing w:line="240" w:lineRule="auto" w:before="64" w:after="0"/>
              <w:ind w:left="108" w:right="0" w:firstLine="0"/>
              <w:jc w:val="left"/>
              <w:rPr>
                <w:sz w:val="20"/>
              </w:rPr>
            </w:pPr>
            <w:r>
              <w:rPr>
                <w:w w:val="95"/>
                <w:sz w:val="20"/>
              </w:rPr>
              <w:t>受感染的被保险人不是血友病患者。</w:t>
            </w:r>
          </w:p>
          <w:p>
            <w:pPr>
              <w:pStyle w:val="TableParagraph"/>
              <w:spacing w:line="300" w:lineRule="auto" w:before="62"/>
              <w:ind w:left="108" w:right="97"/>
              <w:rPr>
                <w:sz w:val="20"/>
              </w:rPr>
            </w:pPr>
            <w:r>
              <w:rPr>
                <w:spacing w:val="-4"/>
                <w:sz w:val="20"/>
              </w:rPr>
              <w:t>在任何治愈艾滋病</w:t>
            </w:r>
            <w:r>
              <w:rPr>
                <w:spacing w:val="-5"/>
                <w:sz w:val="20"/>
              </w:rPr>
              <w:t>（AIDS）</w:t>
            </w:r>
            <w:r>
              <w:rPr>
                <w:spacing w:val="-13"/>
                <w:sz w:val="20"/>
              </w:rPr>
              <w:t>或阻止 </w:t>
            </w:r>
            <w:r>
              <w:rPr>
                <w:sz w:val="20"/>
              </w:rPr>
              <w:t>HIV</w:t>
            </w:r>
            <w:r>
              <w:rPr>
                <w:spacing w:val="-6"/>
                <w:sz w:val="20"/>
              </w:rPr>
              <w:t> 病毒作用的疗法被发现以后，或能防止 </w:t>
            </w:r>
            <w:r>
              <w:rPr>
                <w:sz w:val="20"/>
              </w:rPr>
              <w:t>AIDS</w:t>
            </w:r>
            <w:r>
              <w:rPr>
                <w:spacing w:val="-1"/>
                <w:sz w:val="20"/>
              </w:rPr>
              <w:t> 发生</w:t>
            </w:r>
            <w:r>
              <w:rPr>
                <w:spacing w:val="-1"/>
                <w:w w:val="95"/>
                <w:sz w:val="20"/>
              </w:rPr>
              <w:t>的医疗方法被研究出来以后，本保障将不再予以赔付。</w:t>
            </w:r>
          </w:p>
          <w:p>
            <w:pPr>
              <w:pStyle w:val="TableParagraph"/>
              <w:spacing w:line="300" w:lineRule="auto" w:before="14"/>
              <w:ind w:left="108" w:right="-15"/>
              <w:rPr>
                <w:sz w:val="20"/>
              </w:rPr>
            </w:pPr>
            <w:r>
              <w:rPr>
                <w:b/>
                <w:spacing w:val="-5"/>
                <w:sz w:val="20"/>
              </w:rPr>
              <w:t>任何因其他传播方式</w:t>
            </w:r>
            <w:r>
              <w:rPr>
                <w:b/>
                <w:sz w:val="20"/>
              </w:rPr>
              <w:t>（</w:t>
            </w:r>
            <w:r>
              <w:rPr>
                <w:b/>
                <w:spacing w:val="-6"/>
                <w:sz w:val="20"/>
              </w:rPr>
              <w:t>包括：性传播或静脉注射毒品</w:t>
            </w:r>
            <w:r>
              <w:rPr>
                <w:b/>
                <w:spacing w:val="-39"/>
                <w:sz w:val="20"/>
              </w:rPr>
              <w:t>）</w:t>
            </w:r>
            <w:r>
              <w:rPr>
                <w:b/>
                <w:spacing w:val="-1"/>
                <w:sz w:val="20"/>
              </w:rPr>
              <w:t>导致的 </w:t>
            </w:r>
            <w:r>
              <w:rPr>
                <w:b/>
                <w:sz w:val="20"/>
              </w:rPr>
              <w:t>HIV</w:t>
            </w:r>
            <w:r>
              <w:rPr>
                <w:b/>
                <w:spacing w:val="-2"/>
                <w:sz w:val="20"/>
              </w:rPr>
              <w:t> 感染不在保障范围内。</w:t>
            </w:r>
            <w:r>
              <w:rPr>
                <w:sz w:val="20"/>
              </w:rPr>
              <w:t>保险公司必须拥有获得使用被保险人的血液样本的权利和能够对这些样本进行独立检验</w:t>
            </w:r>
            <w:r>
              <w:rPr>
                <w:w w:val="95"/>
                <w:sz w:val="20"/>
              </w:rPr>
              <w:t>的权利。</w:t>
            </w:r>
          </w:p>
        </w:tc>
      </w:tr>
      <w:tr>
        <w:trPr>
          <w:trHeight w:val="2003" w:hRule="atLeast"/>
        </w:trPr>
        <w:tc>
          <w:tcPr>
            <w:tcW w:w="1860" w:type="dxa"/>
          </w:tcPr>
          <w:p>
            <w:pPr>
              <w:pStyle w:val="TableParagraph"/>
              <w:spacing w:before="18"/>
              <w:rPr>
                <w:sz w:val="20"/>
              </w:rPr>
            </w:pPr>
            <w:r>
              <w:rPr>
                <w:w w:val="95"/>
                <w:sz w:val="20"/>
              </w:rPr>
              <w:t>28.肌营养不良症</w:t>
            </w:r>
          </w:p>
        </w:tc>
        <w:tc>
          <w:tcPr>
            <w:tcW w:w="7933" w:type="dxa"/>
          </w:tcPr>
          <w:p>
            <w:pPr>
              <w:pStyle w:val="TableParagraph"/>
              <w:spacing w:line="300" w:lineRule="auto" w:before="18"/>
              <w:ind w:left="108" w:right="101"/>
              <w:rPr>
                <w:sz w:val="20"/>
              </w:rPr>
            </w:pPr>
            <w:r>
              <w:rPr>
                <w:spacing w:val="-7"/>
                <w:w w:val="95"/>
                <w:sz w:val="20"/>
              </w:rPr>
              <w:t>指一组遗传性肌肉变性病变，临床特征为与神经系统无关的骨骼肌对称地进行性无力和萎   缩，其诊断需满足下列全部条件：</w:t>
            </w:r>
          </w:p>
          <w:p>
            <w:pPr>
              <w:pStyle w:val="TableParagraph"/>
              <w:numPr>
                <w:ilvl w:val="0"/>
                <w:numId w:val="22"/>
              </w:numPr>
              <w:tabs>
                <w:tab w:pos="512" w:val="left" w:leader="none"/>
              </w:tabs>
              <w:spacing w:line="240" w:lineRule="auto" w:before="14" w:after="0"/>
              <w:ind w:left="108" w:right="0" w:firstLine="0"/>
              <w:jc w:val="left"/>
              <w:rPr>
                <w:sz w:val="20"/>
              </w:rPr>
            </w:pPr>
            <w:r>
              <w:rPr>
                <w:w w:val="95"/>
                <w:sz w:val="20"/>
              </w:rPr>
              <w:t>肌电图显示典型肌营养不良症的阳性改变；</w:t>
            </w:r>
          </w:p>
          <w:p>
            <w:pPr>
              <w:pStyle w:val="TableParagraph"/>
              <w:numPr>
                <w:ilvl w:val="0"/>
                <w:numId w:val="22"/>
              </w:numPr>
              <w:tabs>
                <w:tab w:pos="512" w:val="left" w:leader="none"/>
              </w:tabs>
              <w:spacing w:line="240" w:lineRule="auto" w:before="62" w:after="0"/>
              <w:ind w:left="108" w:right="0" w:firstLine="0"/>
              <w:jc w:val="left"/>
              <w:rPr>
                <w:sz w:val="20"/>
              </w:rPr>
            </w:pPr>
            <w:r>
              <w:rPr>
                <w:w w:val="95"/>
                <w:sz w:val="20"/>
              </w:rPr>
              <w:t>肌肉活检的病理学诊断符合肌营养不良症的肌肉细胞变性、坏死等阳性改变；</w:t>
            </w:r>
          </w:p>
          <w:p>
            <w:pPr>
              <w:pStyle w:val="TableParagraph"/>
              <w:numPr>
                <w:ilvl w:val="0"/>
                <w:numId w:val="22"/>
              </w:numPr>
              <w:tabs>
                <w:tab w:pos="514" w:val="left" w:leader="none"/>
              </w:tabs>
              <w:spacing w:line="300" w:lineRule="auto" w:before="65" w:after="0"/>
              <w:ind w:left="108" w:right="106" w:firstLine="0"/>
              <w:jc w:val="left"/>
              <w:rPr>
                <w:sz w:val="20"/>
              </w:rPr>
            </w:pPr>
            <w:r>
              <w:rPr>
                <w:sz w:val="20"/>
              </w:rPr>
              <w:t>已导致被保险人持续超过三个月无法独立完成六项基本日常生活活动中的三项或三</w:t>
            </w:r>
            <w:r>
              <w:rPr>
                <w:w w:val="95"/>
                <w:sz w:val="20"/>
              </w:rPr>
              <w:t>项以上。</w:t>
            </w:r>
          </w:p>
        </w:tc>
      </w:tr>
      <w:tr>
        <w:trPr>
          <w:trHeight w:val="1348" w:hRule="atLeast"/>
        </w:trPr>
        <w:tc>
          <w:tcPr>
            <w:tcW w:w="1860" w:type="dxa"/>
          </w:tcPr>
          <w:p>
            <w:pPr>
              <w:pStyle w:val="TableParagraph"/>
              <w:spacing w:before="16"/>
              <w:rPr>
                <w:sz w:val="20"/>
              </w:rPr>
            </w:pPr>
            <w:r>
              <w:rPr>
                <w:w w:val="95"/>
                <w:sz w:val="20"/>
              </w:rPr>
              <w:t>29.多发性硬化症</w:t>
            </w:r>
          </w:p>
        </w:tc>
        <w:tc>
          <w:tcPr>
            <w:tcW w:w="7933" w:type="dxa"/>
          </w:tcPr>
          <w:p>
            <w:pPr>
              <w:pStyle w:val="TableParagraph"/>
              <w:spacing w:line="300" w:lineRule="auto" w:before="16"/>
              <w:ind w:left="108" w:right="101"/>
              <w:jc w:val="both"/>
              <w:rPr>
                <w:sz w:val="20"/>
              </w:rPr>
            </w:pPr>
            <w:r>
              <w:rPr>
                <w:spacing w:val="-5"/>
                <w:w w:val="95"/>
                <w:sz w:val="20"/>
              </w:rPr>
              <w:t>指中枢神经系统白质多灶性脱髓鞘病变，病变有时累及灰质。多发性硬化症必须由我们认   </w:t>
            </w:r>
            <w:r>
              <w:rPr>
                <w:spacing w:val="-10"/>
                <w:w w:val="95"/>
                <w:sz w:val="20"/>
              </w:rPr>
              <w:t>可的医院的神经专科主任级医生确诊。诊断须包括：永久的运动及感觉功能障碍必须不间   </w:t>
            </w:r>
            <w:r>
              <w:rPr>
                <w:spacing w:val="-13"/>
                <w:w w:val="95"/>
                <w:sz w:val="20"/>
              </w:rPr>
              <w:t>断地持续至少六个月，必须有典型的脱髓鞘症状和运动及感觉功能障碍的客观证据，如腰   </w:t>
            </w:r>
            <w:r>
              <w:rPr>
                <w:spacing w:val="-16"/>
                <w:sz w:val="20"/>
              </w:rPr>
              <w:t>穿、听觉诱发反应、视觉诱发反应和 </w:t>
            </w:r>
            <w:r>
              <w:rPr>
                <w:sz w:val="20"/>
              </w:rPr>
              <w:t>MRI</w:t>
            </w:r>
            <w:r>
              <w:rPr>
                <w:spacing w:val="-2"/>
                <w:sz w:val="20"/>
              </w:rPr>
              <w:t> 检查的典型改变。</w:t>
            </w:r>
          </w:p>
        </w:tc>
      </w:tr>
      <w:tr>
        <w:trPr>
          <w:trHeight w:val="4284" w:hRule="atLeast"/>
        </w:trPr>
        <w:tc>
          <w:tcPr>
            <w:tcW w:w="1860" w:type="dxa"/>
          </w:tcPr>
          <w:p>
            <w:pPr>
              <w:pStyle w:val="TableParagraph"/>
              <w:spacing w:line="300" w:lineRule="auto" w:before="18"/>
              <w:ind w:right="74"/>
              <w:rPr>
                <w:sz w:val="20"/>
              </w:rPr>
            </w:pPr>
            <w:r>
              <w:rPr>
                <w:sz w:val="20"/>
              </w:rPr>
              <w:t>30. 系统性红斑狼疮</w:t>
            </w:r>
          </w:p>
        </w:tc>
        <w:tc>
          <w:tcPr>
            <w:tcW w:w="7933" w:type="dxa"/>
          </w:tcPr>
          <w:p>
            <w:pPr>
              <w:pStyle w:val="TableParagraph"/>
              <w:spacing w:line="297" w:lineRule="auto" w:before="18"/>
              <w:ind w:left="108" w:right="101"/>
              <w:jc w:val="both"/>
              <w:rPr>
                <w:sz w:val="20"/>
              </w:rPr>
            </w:pPr>
            <w:r>
              <w:rPr>
                <w:sz w:val="20"/>
              </w:rPr>
              <w:t>由于病理性自身抗体和免疫复合物的沉积破坏了血管和细胞而导致的一种自体免疫性疾</w:t>
            </w:r>
            <w:r>
              <w:rPr>
                <w:spacing w:val="-9"/>
                <w:w w:val="95"/>
                <w:sz w:val="20"/>
              </w:rPr>
              <w:t>病。由于系统性红斑狼疮会损害肾功能而导致狼疮肾炎，世界卫生组织根据肾脏活检结果   </w:t>
            </w:r>
            <w:r>
              <w:rPr>
                <w:spacing w:val="-14"/>
                <w:sz w:val="20"/>
              </w:rPr>
              <w:t>将狼疮肾炎分成 </w:t>
            </w:r>
            <w:r>
              <w:rPr>
                <w:sz w:val="20"/>
              </w:rPr>
              <w:t>I</w:t>
            </w:r>
            <w:r>
              <w:rPr>
                <w:spacing w:val="-12"/>
                <w:sz w:val="20"/>
              </w:rPr>
              <w:t> 型到 </w:t>
            </w:r>
            <w:r>
              <w:rPr>
                <w:sz w:val="20"/>
              </w:rPr>
              <w:t>VI</w:t>
            </w:r>
            <w:r>
              <w:rPr>
                <w:spacing w:val="-1"/>
                <w:sz w:val="20"/>
              </w:rPr>
              <w:t> 型六种类型，但本合同仅承保导致世界卫生组织</w:t>
            </w:r>
            <w:r>
              <w:rPr>
                <w:sz w:val="20"/>
              </w:rPr>
              <w:t>（WHO）狼疮</w:t>
            </w:r>
            <w:r>
              <w:rPr>
                <w:spacing w:val="-9"/>
                <w:sz w:val="20"/>
              </w:rPr>
              <w:t>肾炎分类的 </w:t>
            </w:r>
            <w:r>
              <w:rPr>
                <w:sz w:val="20"/>
              </w:rPr>
              <w:t>III</w:t>
            </w:r>
            <w:r>
              <w:rPr>
                <w:spacing w:val="-27"/>
                <w:sz w:val="20"/>
              </w:rPr>
              <w:t> 型到 </w:t>
            </w:r>
            <w:r>
              <w:rPr>
                <w:sz w:val="20"/>
              </w:rPr>
              <w:t>VI</w:t>
            </w:r>
            <w:r>
              <w:rPr>
                <w:spacing w:val="-11"/>
                <w:sz w:val="20"/>
              </w:rPr>
              <w:t> 型的系统性红斑狼疮。世界卫生组织</w:t>
            </w:r>
            <w:r>
              <w:rPr>
                <w:spacing w:val="-6"/>
                <w:sz w:val="20"/>
              </w:rPr>
              <w:t>（WHO）</w:t>
            </w:r>
            <w:r>
              <w:rPr>
                <w:sz w:val="20"/>
              </w:rPr>
              <w:t>对狼疮肾炎的六种分</w:t>
            </w:r>
            <w:r>
              <w:rPr>
                <w:w w:val="95"/>
                <w:sz w:val="20"/>
              </w:rPr>
              <w:t>类为：</w:t>
            </w:r>
          </w:p>
          <w:p>
            <w:pPr>
              <w:pStyle w:val="TableParagraph"/>
              <w:spacing w:line="300" w:lineRule="auto" w:before="16"/>
              <w:ind w:left="108" w:right="5115"/>
              <w:rPr>
                <w:sz w:val="20"/>
              </w:rPr>
            </w:pPr>
            <w:r>
              <w:rPr>
                <w:sz w:val="20"/>
              </w:rPr>
              <w:t>WHO</w:t>
            </w:r>
            <w:r>
              <w:rPr>
                <w:spacing w:val="31"/>
                <w:sz w:val="20"/>
              </w:rPr>
              <w:t> </w:t>
            </w:r>
            <w:r>
              <w:rPr>
                <w:sz w:val="20"/>
              </w:rPr>
              <w:t>I</w:t>
            </w:r>
            <w:r>
              <w:rPr>
                <w:spacing w:val="3"/>
                <w:sz w:val="20"/>
              </w:rPr>
              <w:t> 型： 正常肾小球； WHO</w:t>
            </w:r>
            <w:r>
              <w:rPr>
                <w:spacing w:val="-5"/>
                <w:sz w:val="20"/>
              </w:rPr>
              <w:t> </w:t>
            </w:r>
            <w:r>
              <w:rPr>
                <w:sz w:val="20"/>
              </w:rPr>
              <w:t>II</w:t>
            </w:r>
            <w:r>
              <w:rPr>
                <w:spacing w:val="-2"/>
                <w:sz w:val="20"/>
              </w:rPr>
              <w:t> 型：单纯系膜增生型；</w:t>
            </w:r>
          </w:p>
          <w:p>
            <w:pPr>
              <w:pStyle w:val="TableParagraph"/>
              <w:spacing w:line="300" w:lineRule="auto" w:before="14"/>
              <w:ind w:left="108" w:right="3335"/>
              <w:rPr>
                <w:sz w:val="20"/>
              </w:rPr>
            </w:pPr>
            <w:r>
              <w:rPr>
                <w:sz w:val="20"/>
              </w:rPr>
              <w:t>WHO III 型：局灶或节段性增生性肾小球肾炎； WHO IV 型：弥漫性增生性肾小球肾炎；</w:t>
            </w:r>
          </w:p>
          <w:p>
            <w:pPr>
              <w:pStyle w:val="TableParagraph"/>
              <w:spacing w:before="12"/>
              <w:ind w:left="108"/>
              <w:rPr>
                <w:sz w:val="20"/>
              </w:rPr>
            </w:pPr>
            <w:r>
              <w:rPr>
                <w:sz w:val="20"/>
              </w:rPr>
              <w:t>WHO V 型：弥漫膜性肾小球肾炎；</w:t>
            </w:r>
          </w:p>
          <w:p>
            <w:pPr>
              <w:pStyle w:val="TableParagraph"/>
              <w:spacing w:before="64"/>
              <w:ind w:left="108"/>
              <w:rPr>
                <w:sz w:val="20"/>
              </w:rPr>
            </w:pPr>
            <w:r>
              <w:rPr>
                <w:sz w:val="20"/>
              </w:rPr>
              <w:t>WHO VI 型：进行性硬化性肾小球肾炎。</w:t>
            </w:r>
          </w:p>
          <w:p>
            <w:pPr>
              <w:pStyle w:val="TableParagraph"/>
              <w:spacing w:line="300" w:lineRule="auto" w:before="64"/>
              <w:ind w:left="108" w:right="102"/>
              <w:rPr>
                <w:b/>
                <w:sz w:val="20"/>
              </w:rPr>
            </w:pPr>
            <w:r>
              <w:rPr>
                <w:b/>
                <w:sz w:val="20"/>
              </w:rPr>
              <w:t>其他类型的狼疮，例如盘状红斑狼疮或那些只影响血液和关节的红斑狼疮，不在保障范围内。</w:t>
            </w:r>
          </w:p>
        </w:tc>
      </w:tr>
      <w:tr>
        <w:trPr>
          <w:trHeight w:val="373" w:hRule="atLeast"/>
        </w:trPr>
        <w:tc>
          <w:tcPr>
            <w:tcW w:w="1860" w:type="dxa"/>
          </w:tcPr>
          <w:p>
            <w:pPr>
              <w:pStyle w:val="TableParagraph"/>
              <w:spacing w:before="18"/>
              <w:rPr>
                <w:sz w:val="20"/>
              </w:rPr>
            </w:pPr>
            <w:r>
              <w:rPr>
                <w:w w:val="95"/>
                <w:sz w:val="20"/>
              </w:rPr>
              <w:t>31.系统性硬化病</w:t>
            </w:r>
          </w:p>
        </w:tc>
        <w:tc>
          <w:tcPr>
            <w:tcW w:w="7933" w:type="dxa"/>
          </w:tcPr>
          <w:p>
            <w:pPr>
              <w:pStyle w:val="TableParagraph"/>
              <w:spacing w:before="18"/>
              <w:ind w:left="237" w:right="235"/>
              <w:jc w:val="center"/>
              <w:rPr>
                <w:sz w:val="20"/>
              </w:rPr>
            </w:pPr>
            <w:r>
              <w:rPr>
                <w:w w:val="95"/>
                <w:sz w:val="20"/>
              </w:rPr>
              <w:t>系统性硬化病又称硬皮病，是以弥漫性皮肤、血管及内脏器官结缔组织纤维化、硬化及萎</w:t>
            </w:r>
          </w:p>
        </w:tc>
      </w:tr>
    </w:tbl>
    <w:p>
      <w:pPr>
        <w:spacing w:after="0"/>
        <w:jc w:val="center"/>
        <w:rPr>
          <w:sz w:val="20"/>
        </w:rPr>
        <w:sectPr>
          <w:pgSz w:w="11910" w:h="16840"/>
          <w:pgMar w:header="0" w:footer="831" w:top="1420" w:bottom="1020" w:left="840" w:right="1040"/>
        </w:sectPr>
      </w:pPr>
    </w:p>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3"/>
      </w:tblGrid>
      <w:tr>
        <w:trPr>
          <w:trHeight w:val="381" w:hRule="atLeast"/>
        </w:trPr>
        <w:tc>
          <w:tcPr>
            <w:tcW w:w="1860" w:type="dxa"/>
            <w:shd w:val="clear" w:color="auto" w:fill="D7D7D7"/>
          </w:tcPr>
          <w:p>
            <w:pPr>
              <w:pStyle w:val="TableParagraph"/>
              <w:spacing w:before="28"/>
              <w:ind w:left="326"/>
              <w:rPr>
                <w:b/>
                <w:sz w:val="20"/>
              </w:rPr>
            </w:pPr>
            <w:r>
              <w:rPr>
                <w:b/>
                <w:w w:val="95"/>
                <w:sz w:val="20"/>
              </w:rPr>
              <w:t>重大疾病名称</w:t>
            </w:r>
          </w:p>
        </w:tc>
        <w:tc>
          <w:tcPr>
            <w:tcW w:w="7933" w:type="dxa"/>
            <w:shd w:val="clear" w:color="auto" w:fill="D7D7D7"/>
          </w:tcPr>
          <w:p>
            <w:pPr>
              <w:pStyle w:val="TableParagraph"/>
              <w:spacing w:before="28"/>
              <w:ind w:left="237" w:right="224"/>
              <w:jc w:val="center"/>
              <w:rPr>
                <w:b/>
                <w:sz w:val="20"/>
              </w:rPr>
            </w:pPr>
            <w:r>
              <w:rPr>
                <w:b/>
                <w:sz w:val="20"/>
              </w:rPr>
              <w:t>定义</w:t>
            </w:r>
          </w:p>
        </w:tc>
      </w:tr>
      <w:tr>
        <w:trPr>
          <w:trHeight w:val="2003" w:hRule="atLeast"/>
        </w:trPr>
        <w:tc>
          <w:tcPr>
            <w:tcW w:w="1860" w:type="dxa"/>
          </w:tcPr>
          <w:p>
            <w:pPr>
              <w:pStyle w:val="TableParagraph"/>
              <w:ind w:left="0"/>
              <w:rPr>
                <w:rFonts w:ascii="Times New Roman"/>
                <w:sz w:val="18"/>
              </w:rPr>
            </w:pPr>
          </w:p>
        </w:tc>
        <w:tc>
          <w:tcPr>
            <w:tcW w:w="7933" w:type="dxa"/>
          </w:tcPr>
          <w:p>
            <w:pPr>
              <w:pStyle w:val="TableParagraph"/>
              <w:spacing w:line="300" w:lineRule="auto" w:before="18"/>
              <w:ind w:left="108" w:right="104"/>
              <w:rPr>
                <w:sz w:val="20"/>
              </w:rPr>
            </w:pPr>
            <w:r>
              <w:rPr>
                <w:spacing w:val="-6"/>
                <w:w w:val="95"/>
                <w:sz w:val="20"/>
              </w:rPr>
              <w:t>缩为特点的结缔组织病。必须由具有执业医师资格的风湿免疫专科医生确诊。必须有活体   组织检查和血清学的检查作为确诊依据。病变需累及心脏，肺脏或肾脏。</w:t>
            </w:r>
          </w:p>
          <w:p>
            <w:pPr>
              <w:pStyle w:val="TableParagraph"/>
              <w:spacing w:before="14"/>
              <w:ind w:left="108"/>
              <w:rPr>
                <w:b/>
                <w:sz w:val="20"/>
              </w:rPr>
            </w:pPr>
            <w:r>
              <w:rPr>
                <w:b/>
                <w:w w:val="95"/>
                <w:sz w:val="20"/>
              </w:rPr>
              <w:t>下列疾病不在保障范围内：</w:t>
            </w:r>
          </w:p>
          <w:p>
            <w:pPr>
              <w:pStyle w:val="TableParagraph"/>
              <w:numPr>
                <w:ilvl w:val="0"/>
                <w:numId w:val="23"/>
              </w:numPr>
              <w:tabs>
                <w:tab w:pos="512" w:val="left" w:leader="none"/>
              </w:tabs>
              <w:spacing w:line="240" w:lineRule="auto" w:before="62" w:after="0"/>
              <w:ind w:left="511" w:right="0" w:hanging="403"/>
              <w:jc w:val="left"/>
              <w:rPr>
                <w:b/>
                <w:sz w:val="20"/>
              </w:rPr>
            </w:pPr>
            <w:r>
              <w:rPr>
                <w:b/>
                <w:w w:val="95"/>
                <w:sz w:val="20"/>
              </w:rPr>
              <w:t>局限性硬皮病（包括带状硬皮病、硬斑病）；</w:t>
            </w:r>
          </w:p>
          <w:p>
            <w:pPr>
              <w:pStyle w:val="TableParagraph"/>
              <w:numPr>
                <w:ilvl w:val="0"/>
                <w:numId w:val="23"/>
              </w:numPr>
              <w:tabs>
                <w:tab w:pos="512" w:val="left" w:leader="none"/>
              </w:tabs>
              <w:spacing w:line="240" w:lineRule="auto" w:before="65" w:after="0"/>
              <w:ind w:left="511" w:right="0" w:hanging="403"/>
              <w:jc w:val="left"/>
              <w:rPr>
                <w:b/>
                <w:sz w:val="20"/>
              </w:rPr>
            </w:pPr>
            <w:r>
              <w:rPr>
                <w:b/>
                <w:w w:val="95"/>
                <w:sz w:val="20"/>
              </w:rPr>
              <w:t>嗜酸细胞性筋膜炎；</w:t>
            </w:r>
          </w:p>
          <w:p>
            <w:pPr>
              <w:pStyle w:val="TableParagraph"/>
              <w:numPr>
                <w:ilvl w:val="0"/>
                <w:numId w:val="23"/>
              </w:numPr>
              <w:tabs>
                <w:tab w:pos="512" w:val="left" w:leader="none"/>
              </w:tabs>
              <w:spacing w:line="240" w:lineRule="auto" w:before="65" w:after="0"/>
              <w:ind w:left="511" w:right="0" w:hanging="403"/>
              <w:jc w:val="left"/>
              <w:rPr>
                <w:b/>
                <w:sz w:val="20"/>
              </w:rPr>
            </w:pPr>
            <w:r>
              <w:rPr>
                <w:b/>
                <w:sz w:val="20"/>
              </w:rPr>
              <w:t>CREST</w:t>
            </w:r>
            <w:r>
              <w:rPr>
                <w:b/>
                <w:spacing w:val="-12"/>
                <w:sz w:val="20"/>
              </w:rPr>
              <w:t> 综合征。</w:t>
            </w:r>
          </w:p>
        </w:tc>
      </w:tr>
      <w:tr>
        <w:trPr>
          <w:trHeight w:val="697" w:hRule="atLeast"/>
        </w:trPr>
        <w:tc>
          <w:tcPr>
            <w:tcW w:w="1860" w:type="dxa"/>
          </w:tcPr>
          <w:p>
            <w:pPr>
              <w:pStyle w:val="TableParagraph"/>
              <w:spacing w:before="16"/>
              <w:rPr>
                <w:sz w:val="20"/>
              </w:rPr>
            </w:pPr>
            <w:r>
              <w:rPr>
                <w:w w:val="95"/>
                <w:sz w:val="20"/>
              </w:rPr>
              <w:t>32.严重克隆病</w:t>
            </w:r>
          </w:p>
        </w:tc>
        <w:tc>
          <w:tcPr>
            <w:tcW w:w="7933" w:type="dxa"/>
          </w:tcPr>
          <w:p>
            <w:pPr>
              <w:pStyle w:val="TableParagraph"/>
              <w:spacing w:line="300" w:lineRule="auto" w:before="16"/>
              <w:ind w:left="108" w:right="103"/>
              <w:rPr>
                <w:sz w:val="20"/>
              </w:rPr>
            </w:pPr>
            <w:r>
              <w:rPr>
                <w:spacing w:val="-5"/>
                <w:w w:val="95"/>
                <w:sz w:val="20"/>
              </w:rPr>
              <w:t>克隆病是一种慢性肉芽肿性肠炎，具有特征性的克隆病病理组织学变化。诊断必须由病理   检查结果证实。被保险人所患的克隆病必须已经造成瘘管形成并伴有肠梗阻或肠穿孔。</w:t>
            </w:r>
          </w:p>
        </w:tc>
      </w:tr>
      <w:tr>
        <w:trPr>
          <w:trHeight w:val="1022" w:hRule="atLeast"/>
        </w:trPr>
        <w:tc>
          <w:tcPr>
            <w:tcW w:w="1860" w:type="dxa"/>
          </w:tcPr>
          <w:p>
            <w:pPr>
              <w:pStyle w:val="TableParagraph"/>
              <w:spacing w:line="300" w:lineRule="auto" w:before="16"/>
              <w:ind w:right="74"/>
              <w:rPr>
                <w:sz w:val="20"/>
              </w:rPr>
            </w:pPr>
            <w:r>
              <w:rPr>
                <w:sz w:val="20"/>
              </w:rPr>
              <w:t>33. 严重溃疡性结</w:t>
            </w:r>
            <w:r>
              <w:rPr>
                <w:w w:val="95"/>
                <w:sz w:val="20"/>
              </w:rPr>
              <w:t>肠炎</w:t>
            </w:r>
          </w:p>
        </w:tc>
        <w:tc>
          <w:tcPr>
            <w:tcW w:w="7933" w:type="dxa"/>
          </w:tcPr>
          <w:p>
            <w:pPr>
              <w:pStyle w:val="TableParagraph"/>
              <w:spacing w:line="300" w:lineRule="auto" w:before="16"/>
              <w:ind w:left="108" w:right="103"/>
              <w:jc w:val="both"/>
              <w:rPr>
                <w:sz w:val="20"/>
              </w:rPr>
            </w:pPr>
            <w:r>
              <w:rPr>
                <w:spacing w:val="-4"/>
                <w:w w:val="95"/>
                <w:sz w:val="20"/>
              </w:rPr>
              <w:t>指伴有致命性电解质紊乱的急性暴发性溃疡性结肠炎，病变累及全结肠，表现为严重的血   </w:t>
            </w:r>
            <w:r>
              <w:rPr>
                <w:spacing w:val="-10"/>
                <w:w w:val="95"/>
                <w:sz w:val="20"/>
              </w:rPr>
              <w:t>便和系统性症状体征，治疗通常采取全结肠切除和回肠造瘘术。溃疡性结肠炎必须根据组   织病理学特点诊断，并且被保险人已经接受了结肠切除和回肠造瘘术。</w:t>
            </w:r>
          </w:p>
        </w:tc>
      </w:tr>
      <w:tr>
        <w:trPr>
          <w:trHeight w:val="1024" w:hRule="atLeast"/>
        </w:trPr>
        <w:tc>
          <w:tcPr>
            <w:tcW w:w="1860" w:type="dxa"/>
          </w:tcPr>
          <w:p>
            <w:pPr>
              <w:pStyle w:val="TableParagraph"/>
              <w:spacing w:line="300" w:lineRule="auto" w:before="18"/>
              <w:ind w:right="74"/>
              <w:rPr>
                <w:sz w:val="20"/>
              </w:rPr>
            </w:pPr>
            <w:r>
              <w:rPr>
                <w:sz w:val="20"/>
              </w:rPr>
              <w:t>34. 急性坏死性胰</w:t>
            </w:r>
            <w:r>
              <w:rPr>
                <w:w w:val="95"/>
                <w:sz w:val="20"/>
              </w:rPr>
              <w:t>腺炎</w:t>
            </w:r>
          </w:p>
        </w:tc>
        <w:tc>
          <w:tcPr>
            <w:tcW w:w="7933" w:type="dxa"/>
          </w:tcPr>
          <w:p>
            <w:pPr>
              <w:pStyle w:val="TableParagraph"/>
              <w:spacing w:line="300" w:lineRule="auto" w:before="18"/>
              <w:ind w:left="108" w:right="104"/>
              <w:rPr>
                <w:sz w:val="20"/>
              </w:rPr>
            </w:pPr>
            <w:r>
              <w:rPr>
                <w:spacing w:val="-5"/>
                <w:w w:val="95"/>
                <w:sz w:val="20"/>
              </w:rPr>
              <w:t>指由专科医生确诊为急性出血坏死性胰腺炎，并已经接受了外科开腹手术治疗，以进行坏   死组织清除、坏死病灶切除或胰腺切除。</w:t>
            </w:r>
          </w:p>
          <w:p>
            <w:pPr>
              <w:pStyle w:val="TableParagraph"/>
              <w:spacing w:before="14"/>
              <w:ind w:left="108"/>
              <w:rPr>
                <w:b/>
                <w:sz w:val="20"/>
              </w:rPr>
            </w:pPr>
            <w:r>
              <w:rPr>
                <w:b/>
                <w:w w:val="95"/>
                <w:sz w:val="20"/>
              </w:rPr>
              <w:t>因饮酒所致的急性出血坏死性胰腺炎或经腹腔镜手术进行的治疗不在保障范围内。</w:t>
            </w:r>
          </w:p>
        </w:tc>
      </w:tr>
      <w:tr>
        <w:trPr>
          <w:trHeight w:val="1024" w:hRule="atLeast"/>
        </w:trPr>
        <w:tc>
          <w:tcPr>
            <w:tcW w:w="1860" w:type="dxa"/>
          </w:tcPr>
          <w:p>
            <w:pPr>
              <w:pStyle w:val="TableParagraph"/>
              <w:spacing w:line="300" w:lineRule="auto" w:before="18"/>
              <w:ind w:right="74"/>
              <w:rPr>
                <w:sz w:val="20"/>
              </w:rPr>
            </w:pPr>
            <w:r>
              <w:rPr>
                <w:sz w:val="20"/>
              </w:rPr>
              <w:t>35. 慢性复发性胰</w:t>
            </w:r>
            <w:r>
              <w:rPr>
                <w:w w:val="95"/>
                <w:sz w:val="20"/>
              </w:rPr>
              <w:t>腺炎</w:t>
            </w:r>
          </w:p>
        </w:tc>
        <w:tc>
          <w:tcPr>
            <w:tcW w:w="7933" w:type="dxa"/>
          </w:tcPr>
          <w:p>
            <w:pPr>
              <w:pStyle w:val="TableParagraph"/>
              <w:spacing w:before="18"/>
              <w:ind w:left="108"/>
              <w:rPr>
                <w:sz w:val="20"/>
              </w:rPr>
            </w:pPr>
            <w:r>
              <w:rPr>
                <w:w w:val="95"/>
                <w:sz w:val="20"/>
              </w:rPr>
              <w:t>胰腺炎反复发作超过三次以上并导致胰腺功能紊乱和营养不良，且已持续接受酶替代治疗</w:t>
            </w:r>
          </w:p>
          <w:p>
            <w:pPr>
              <w:pStyle w:val="TableParagraph"/>
              <w:spacing w:line="300" w:lineRule="auto" w:before="64"/>
              <w:ind w:left="108" w:right="466"/>
              <w:rPr>
                <w:b/>
                <w:sz w:val="20"/>
              </w:rPr>
            </w:pPr>
            <w:r>
              <w:rPr>
                <w:sz w:val="20"/>
              </w:rPr>
              <w:t>180</w:t>
            </w:r>
            <w:r>
              <w:rPr>
                <w:spacing w:val="-8"/>
                <w:sz w:val="20"/>
              </w:rPr>
              <w:t> 天以上。诊断必须有消化科专科医生确认并且有内窥镜逆行胰胆管造影所证实。</w:t>
            </w:r>
            <w:r>
              <w:rPr>
                <w:b/>
                <w:spacing w:val="-8"/>
                <w:w w:val="95"/>
                <w:sz w:val="20"/>
              </w:rPr>
              <w:t>因酒精所致的慢性复发性胰腺炎不在保障范围内。</w:t>
            </w:r>
          </w:p>
        </w:tc>
      </w:tr>
      <w:tr>
        <w:trPr>
          <w:trHeight w:val="2328" w:hRule="atLeast"/>
        </w:trPr>
        <w:tc>
          <w:tcPr>
            <w:tcW w:w="1860" w:type="dxa"/>
          </w:tcPr>
          <w:p>
            <w:pPr>
              <w:pStyle w:val="TableParagraph"/>
              <w:spacing w:line="300" w:lineRule="auto" w:before="18"/>
              <w:ind w:right="74"/>
              <w:rPr>
                <w:sz w:val="20"/>
              </w:rPr>
            </w:pPr>
            <w:r>
              <w:rPr>
                <w:sz w:val="20"/>
              </w:rPr>
              <w:t>36. 原发性硬化性</w:t>
            </w:r>
            <w:r>
              <w:rPr>
                <w:w w:val="95"/>
                <w:sz w:val="20"/>
              </w:rPr>
              <w:t>胆管炎</w:t>
            </w:r>
          </w:p>
        </w:tc>
        <w:tc>
          <w:tcPr>
            <w:tcW w:w="7933" w:type="dxa"/>
          </w:tcPr>
          <w:p>
            <w:pPr>
              <w:pStyle w:val="TableParagraph"/>
              <w:spacing w:line="297" w:lineRule="auto" w:before="18"/>
              <w:ind w:left="108" w:right="100"/>
              <w:jc w:val="both"/>
              <w:rPr>
                <w:sz w:val="20"/>
              </w:rPr>
            </w:pPr>
            <w:r>
              <w:rPr>
                <w:spacing w:val="-6"/>
                <w:w w:val="95"/>
                <w:sz w:val="20"/>
              </w:rPr>
              <w:t>指一种胆汁淤积综合征，其特征是肝内、肝外胆道因纤维化性炎症逐渐狭窄，并最终导致   </w:t>
            </w:r>
            <w:r>
              <w:rPr>
                <w:spacing w:val="-11"/>
                <w:w w:val="95"/>
                <w:sz w:val="20"/>
              </w:rPr>
              <w:t>完全阻塞而发展为肝硬化。本病须经内镜逆行胰胆管造影等影像学检查证实，并须满足下   列全部条件：</w:t>
            </w:r>
          </w:p>
          <w:p>
            <w:pPr>
              <w:pStyle w:val="TableParagraph"/>
              <w:numPr>
                <w:ilvl w:val="0"/>
                <w:numId w:val="24"/>
              </w:numPr>
              <w:tabs>
                <w:tab w:pos="529" w:val="left" w:leader="none"/>
              </w:tabs>
              <w:spacing w:line="240" w:lineRule="auto" w:before="16" w:after="0"/>
              <w:ind w:left="528" w:right="0" w:hanging="420"/>
              <w:jc w:val="both"/>
              <w:rPr>
                <w:sz w:val="20"/>
              </w:rPr>
            </w:pPr>
            <w:r>
              <w:rPr>
                <w:spacing w:val="-4"/>
                <w:sz w:val="20"/>
              </w:rPr>
              <w:t>总胆红素和直接胆红素同时升高，血清 </w:t>
            </w:r>
            <w:r>
              <w:rPr>
                <w:sz w:val="20"/>
              </w:rPr>
              <w:t>ALP&gt;200U/L；</w:t>
            </w:r>
          </w:p>
          <w:p>
            <w:pPr>
              <w:pStyle w:val="TableParagraph"/>
              <w:numPr>
                <w:ilvl w:val="0"/>
                <w:numId w:val="24"/>
              </w:numPr>
              <w:tabs>
                <w:tab w:pos="529" w:val="left" w:leader="none"/>
              </w:tabs>
              <w:spacing w:line="240" w:lineRule="auto" w:before="64" w:after="0"/>
              <w:ind w:left="528" w:right="0" w:hanging="420"/>
              <w:jc w:val="both"/>
              <w:rPr>
                <w:sz w:val="20"/>
              </w:rPr>
            </w:pPr>
            <w:r>
              <w:rPr>
                <w:w w:val="95"/>
                <w:sz w:val="20"/>
              </w:rPr>
              <w:t>持续性黄疸病史；</w:t>
            </w:r>
          </w:p>
          <w:p>
            <w:pPr>
              <w:pStyle w:val="TableParagraph"/>
              <w:numPr>
                <w:ilvl w:val="0"/>
                <w:numId w:val="24"/>
              </w:numPr>
              <w:tabs>
                <w:tab w:pos="529" w:val="left" w:leader="none"/>
              </w:tabs>
              <w:spacing w:line="240" w:lineRule="auto" w:before="65" w:after="0"/>
              <w:ind w:left="528" w:right="0" w:hanging="420"/>
              <w:jc w:val="both"/>
              <w:rPr>
                <w:sz w:val="20"/>
              </w:rPr>
            </w:pPr>
            <w:r>
              <w:rPr>
                <w:w w:val="95"/>
                <w:sz w:val="20"/>
              </w:rPr>
              <w:t>出现胆汁性肝硬化或门脉高压。</w:t>
            </w:r>
          </w:p>
          <w:p>
            <w:pPr>
              <w:pStyle w:val="TableParagraph"/>
              <w:spacing w:before="65"/>
              <w:ind w:left="108"/>
              <w:jc w:val="both"/>
              <w:rPr>
                <w:b/>
                <w:sz w:val="20"/>
              </w:rPr>
            </w:pPr>
            <w:r>
              <w:rPr>
                <w:b/>
                <w:w w:val="95"/>
                <w:sz w:val="20"/>
              </w:rPr>
              <w:t>因肿瘤或胆管损伤等继发性的硬化性胆管炎不在保障范围内。</w:t>
            </w:r>
          </w:p>
        </w:tc>
      </w:tr>
      <w:tr>
        <w:trPr>
          <w:trHeight w:val="1677" w:hRule="atLeast"/>
        </w:trPr>
        <w:tc>
          <w:tcPr>
            <w:tcW w:w="1860" w:type="dxa"/>
          </w:tcPr>
          <w:p>
            <w:pPr>
              <w:pStyle w:val="TableParagraph"/>
              <w:spacing w:before="18"/>
              <w:rPr>
                <w:sz w:val="20"/>
              </w:rPr>
            </w:pPr>
            <w:r>
              <w:rPr>
                <w:w w:val="95"/>
                <w:sz w:val="20"/>
              </w:rPr>
              <w:t>37.坏死性筋膜炎</w:t>
            </w:r>
          </w:p>
        </w:tc>
        <w:tc>
          <w:tcPr>
            <w:tcW w:w="7933" w:type="dxa"/>
          </w:tcPr>
          <w:p>
            <w:pPr>
              <w:pStyle w:val="TableParagraph"/>
              <w:spacing w:before="18"/>
              <w:ind w:left="108"/>
              <w:rPr>
                <w:sz w:val="20"/>
              </w:rPr>
            </w:pPr>
            <w:r>
              <w:rPr>
                <w:w w:val="95"/>
                <w:sz w:val="20"/>
              </w:rPr>
              <w:t>坏死性筋膜炎的诊断须同时符合下列要求：</w:t>
            </w:r>
          </w:p>
          <w:p>
            <w:pPr>
              <w:pStyle w:val="TableParagraph"/>
              <w:numPr>
                <w:ilvl w:val="0"/>
                <w:numId w:val="25"/>
              </w:numPr>
              <w:tabs>
                <w:tab w:pos="529" w:val="left" w:leader="none"/>
              </w:tabs>
              <w:spacing w:line="240" w:lineRule="auto" w:before="64" w:after="0"/>
              <w:ind w:left="108" w:right="0" w:firstLine="0"/>
              <w:jc w:val="left"/>
              <w:rPr>
                <w:sz w:val="20"/>
              </w:rPr>
            </w:pPr>
            <w:r>
              <w:rPr>
                <w:w w:val="95"/>
                <w:sz w:val="20"/>
              </w:rPr>
              <w:t>符合坏死性筋膜炎的一般临床表现；</w:t>
            </w:r>
          </w:p>
          <w:p>
            <w:pPr>
              <w:pStyle w:val="TableParagraph"/>
              <w:numPr>
                <w:ilvl w:val="0"/>
                <w:numId w:val="25"/>
              </w:numPr>
              <w:tabs>
                <w:tab w:pos="529" w:val="left" w:leader="none"/>
              </w:tabs>
              <w:spacing w:line="240" w:lineRule="auto" w:before="64" w:after="0"/>
              <w:ind w:left="108" w:right="0" w:firstLine="0"/>
              <w:jc w:val="left"/>
              <w:rPr>
                <w:sz w:val="20"/>
              </w:rPr>
            </w:pPr>
            <w:r>
              <w:rPr>
                <w:w w:val="95"/>
                <w:sz w:val="20"/>
              </w:rPr>
              <w:t>细菌培养检出致病菌；</w:t>
            </w:r>
          </w:p>
          <w:p>
            <w:pPr>
              <w:pStyle w:val="TableParagraph"/>
              <w:numPr>
                <w:ilvl w:val="0"/>
                <w:numId w:val="25"/>
              </w:numPr>
              <w:tabs>
                <w:tab w:pos="529" w:val="left" w:leader="none"/>
              </w:tabs>
              <w:spacing w:line="300" w:lineRule="auto" w:before="62" w:after="0"/>
              <w:ind w:left="108" w:right="197" w:firstLine="0"/>
              <w:jc w:val="left"/>
              <w:rPr>
                <w:b/>
                <w:sz w:val="20"/>
              </w:rPr>
            </w:pPr>
            <w:r>
              <w:rPr>
                <w:w w:val="95"/>
                <w:sz w:val="20"/>
              </w:rPr>
              <w:t>出现广泛性肌肉及组织坏死，并确实实施了坏死组织和筋膜以及肌肉的切除手术。  </w:t>
            </w:r>
            <w:r>
              <w:rPr>
                <w:b/>
                <w:w w:val="95"/>
                <w:sz w:val="20"/>
              </w:rPr>
              <w:t>清创术不在保障范围内。</w:t>
            </w:r>
          </w:p>
        </w:tc>
      </w:tr>
      <w:tr>
        <w:trPr>
          <w:trHeight w:val="2328" w:hRule="atLeast"/>
        </w:trPr>
        <w:tc>
          <w:tcPr>
            <w:tcW w:w="1860" w:type="dxa"/>
          </w:tcPr>
          <w:p>
            <w:pPr>
              <w:pStyle w:val="TableParagraph"/>
              <w:spacing w:line="300" w:lineRule="auto" w:before="16"/>
              <w:ind w:right="74"/>
              <w:rPr>
                <w:sz w:val="20"/>
              </w:rPr>
            </w:pPr>
            <w:r>
              <w:rPr>
                <w:sz w:val="20"/>
              </w:rPr>
              <w:t>38. 慢性肾上腺皮</w:t>
            </w:r>
            <w:r>
              <w:rPr>
                <w:w w:val="95"/>
                <w:sz w:val="20"/>
              </w:rPr>
              <w:t>质功能衰竭</w:t>
            </w:r>
          </w:p>
        </w:tc>
        <w:tc>
          <w:tcPr>
            <w:tcW w:w="7933" w:type="dxa"/>
          </w:tcPr>
          <w:p>
            <w:pPr>
              <w:pStyle w:val="TableParagraph"/>
              <w:spacing w:line="300" w:lineRule="auto" w:before="16"/>
              <w:ind w:left="108" w:right="104"/>
              <w:rPr>
                <w:sz w:val="20"/>
              </w:rPr>
            </w:pPr>
            <w:r>
              <w:rPr>
                <w:spacing w:val="-6"/>
                <w:w w:val="95"/>
                <w:sz w:val="20"/>
              </w:rPr>
              <w:t>因为自身免疫功能紊乱，使肾上腺组织逐渐受损，而需要长期接受糖皮质激素及肾上腺皮   质激素替代疗法。该病必须经内分泌专科医生确诊，并有以下报告作为证据：</w:t>
            </w:r>
          </w:p>
          <w:p>
            <w:pPr>
              <w:pStyle w:val="TableParagraph"/>
              <w:numPr>
                <w:ilvl w:val="0"/>
                <w:numId w:val="26"/>
              </w:numPr>
              <w:tabs>
                <w:tab w:pos="529" w:val="left" w:leader="none"/>
              </w:tabs>
              <w:spacing w:line="240" w:lineRule="auto" w:before="15" w:after="0"/>
              <w:ind w:left="528" w:right="0" w:hanging="420"/>
              <w:jc w:val="left"/>
              <w:rPr>
                <w:sz w:val="20"/>
              </w:rPr>
            </w:pPr>
            <w:r>
              <w:rPr>
                <w:w w:val="95"/>
                <w:sz w:val="20"/>
              </w:rPr>
              <w:t>促肾上腺皮质激素(ACTH)</w:t>
            </w:r>
            <w:r>
              <w:rPr>
                <w:spacing w:val="-2"/>
                <w:w w:val="95"/>
                <w:sz w:val="20"/>
              </w:rPr>
              <w:t>刺激试验；</w:t>
            </w:r>
          </w:p>
          <w:p>
            <w:pPr>
              <w:pStyle w:val="TableParagraph"/>
              <w:numPr>
                <w:ilvl w:val="0"/>
                <w:numId w:val="26"/>
              </w:numPr>
              <w:tabs>
                <w:tab w:pos="529" w:val="left" w:leader="none"/>
              </w:tabs>
              <w:spacing w:line="240" w:lineRule="auto" w:before="65" w:after="0"/>
              <w:ind w:left="528" w:right="0" w:hanging="420"/>
              <w:jc w:val="left"/>
              <w:rPr>
                <w:sz w:val="20"/>
              </w:rPr>
            </w:pPr>
            <w:r>
              <w:rPr>
                <w:w w:val="95"/>
                <w:sz w:val="20"/>
              </w:rPr>
              <w:t>胰岛素血糖减少测试；</w:t>
            </w:r>
          </w:p>
          <w:p>
            <w:pPr>
              <w:pStyle w:val="TableParagraph"/>
              <w:numPr>
                <w:ilvl w:val="0"/>
                <w:numId w:val="26"/>
              </w:numPr>
              <w:tabs>
                <w:tab w:pos="529" w:val="left" w:leader="none"/>
              </w:tabs>
              <w:spacing w:line="240" w:lineRule="auto" w:before="65" w:after="0"/>
              <w:ind w:left="528" w:right="0" w:hanging="420"/>
              <w:jc w:val="left"/>
              <w:rPr>
                <w:sz w:val="20"/>
              </w:rPr>
            </w:pPr>
            <w:r>
              <w:rPr>
                <w:w w:val="95"/>
                <w:sz w:val="20"/>
              </w:rPr>
              <w:t>血浆促肾上腺皮质激素(ACTH)水平测定；</w:t>
            </w:r>
          </w:p>
          <w:p>
            <w:pPr>
              <w:pStyle w:val="TableParagraph"/>
              <w:numPr>
                <w:ilvl w:val="0"/>
                <w:numId w:val="26"/>
              </w:numPr>
              <w:tabs>
                <w:tab w:pos="529" w:val="left" w:leader="none"/>
              </w:tabs>
              <w:spacing w:line="240" w:lineRule="auto" w:before="64" w:after="0"/>
              <w:ind w:left="528" w:right="0" w:hanging="420"/>
              <w:jc w:val="left"/>
              <w:rPr>
                <w:sz w:val="20"/>
              </w:rPr>
            </w:pPr>
            <w:r>
              <w:rPr>
                <w:w w:val="95"/>
                <w:sz w:val="20"/>
              </w:rPr>
              <w:t>血浆肾素活性(PRA)测定。</w:t>
            </w:r>
          </w:p>
          <w:p>
            <w:pPr>
              <w:pStyle w:val="TableParagraph"/>
              <w:spacing w:before="62"/>
              <w:ind w:left="108"/>
              <w:rPr>
                <w:b/>
                <w:sz w:val="20"/>
              </w:rPr>
            </w:pPr>
            <w:r>
              <w:rPr>
                <w:b/>
                <w:w w:val="95"/>
                <w:sz w:val="20"/>
              </w:rPr>
              <w:t>非由自身免疫功能紊乱引起的慢性肾上腺皮质功能衰竭不在保障范围内。</w:t>
            </w:r>
          </w:p>
        </w:tc>
      </w:tr>
      <w:tr>
        <w:trPr>
          <w:trHeight w:val="1350" w:hRule="atLeast"/>
        </w:trPr>
        <w:tc>
          <w:tcPr>
            <w:tcW w:w="1860" w:type="dxa"/>
          </w:tcPr>
          <w:p>
            <w:pPr>
              <w:pStyle w:val="TableParagraph"/>
              <w:spacing w:line="297" w:lineRule="auto" w:before="18"/>
              <w:ind w:right="74"/>
              <w:rPr>
                <w:sz w:val="20"/>
              </w:rPr>
            </w:pPr>
            <w:r>
              <w:rPr>
                <w:sz w:val="20"/>
              </w:rPr>
              <w:t>39. 慢性呼吸功能</w:t>
            </w:r>
            <w:r>
              <w:rPr>
                <w:w w:val="95"/>
                <w:sz w:val="20"/>
              </w:rPr>
              <w:t>衰竭</w:t>
            </w:r>
          </w:p>
        </w:tc>
        <w:tc>
          <w:tcPr>
            <w:tcW w:w="7933" w:type="dxa"/>
          </w:tcPr>
          <w:p>
            <w:pPr>
              <w:pStyle w:val="TableParagraph"/>
              <w:spacing w:line="297" w:lineRule="auto" w:before="18"/>
              <w:ind w:left="108" w:right="101"/>
              <w:rPr>
                <w:sz w:val="20"/>
              </w:rPr>
            </w:pPr>
            <w:r>
              <w:rPr>
                <w:spacing w:val="-4"/>
                <w:w w:val="95"/>
                <w:sz w:val="20"/>
              </w:rPr>
              <w:t>慢性肺部疾病导致永久不可逆性的慢性呼吸功能衰竭，必须由呼吸专科医师确认并符合下   列所有条件：</w:t>
            </w:r>
          </w:p>
          <w:p>
            <w:pPr>
              <w:pStyle w:val="TableParagraph"/>
              <w:numPr>
                <w:ilvl w:val="0"/>
                <w:numId w:val="27"/>
              </w:numPr>
              <w:tabs>
                <w:tab w:pos="529" w:val="left" w:leader="none"/>
              </w:tabs>
              <w:spacing w:line="240" w:lineRule="auto" w:before="16" w:after="0"/>
              <w:ind w:left="528" w:right="0" w:hanging="420"/>
              <w:jc w:val="left"/>
              <w:rPr>
                <w:sz w:val="20"/>
              </w:rPr>
            </w:pPr>
            <w:r>
              <w:rPr>
                <w:w w:val="95"/>
                <w:sz w:val="20"/>
              </w:rPr>
              <w:t>休息时出现呼吸困难；</w:t>
            </w:r>
          </w:p>
          <w:p>
            <w:pPr>
              <w:pStyle w:val="TableParagraph"/>
              <w:numPr>
                <w:ilvl w:val="0"/>
                <w:numId w:val="27"/>
              </w:numPr>
              <w:tabs>
                <w:tab w:pos="529" w:val="left" w:leader="none"/>
              </w:tabs>
              <w:spacing w:line="240" w:lineRule="auto" w:before="64" w:after="0"/>
              <w:ind w:left="528" w:right="0" w:hanging="420"/>
              <w:jc w:val="left"/>
              <w:rPr>
                <w:sz w:val="20"/>
              </w:rPr>
            </w:pPr>
            <w:r>
              <w:rPr>
                <w:position w:val="1"/>
                <w:sz w:val="20"/>
              </w:rPr>
              <w:t>动脉氧分压（PaO</w:t>
            </w:r>
            <w:r>
              <w:rPr>
                <w:sz w:val="10"/>
              </w:rPr>
              <w:t>2</w:t>
            </w:r>
            <w:r>
              <w:rPr>
                <w:position w:val="1"/>
                <w:sz w:val="20"/>
              </w:rPr>
              <w:t>）&lt;</w:t>
            </w:r>
            <w:r>
              <w:rPr>
                <w:spacing w:val="-7"/>
                <w:position w:val="1"/>
                <w:sz w:val="20"/>
              </w:rPr>
              <w:t> </w:t>
            </w:r>
            <w:r>
              <w:rPr>
                <w:position w:val="1"/>
                <w:sz w:val="20"/>
              </w:rPr>
              <w:t>50mmHg；</w:t>
            </w:r>
          </w:p>
        </w:tc>
      </w:tr>
    </w:tbl>
    <w:p>
      <w:pPr>
        <w:spacing w:after="0" w:line="240" w:lineRule="auto"/>
        <w:jc w:val="left"/>
        <w:rPr>
          <w:sz w:val="20"/>
        </w:rPr>
        <w:sectPr>
          <w:pgSz w:w="11910" w:h="16840"/>
          <w:pgMar w:header="0" w:footer="831" w:top="1420" w:bottom="1020" w:left="840" w:right="1040"/>
        </w:sectPr>
      </w:pPr>
    </w:p>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3"/>
      </w:tblGrid>
      <w:tr>
        <w:trPr>
          <w:trHeight w:val="381" w:hRule="atLeast"/>
        </w:trPr>
        <w:tc>
          <w:tcPr>
            <w:tcW w:w="1860" w:type="dxa"/>
            <w:shd w:val="clear" w:color="auto" w:fill="D7D7D7"/>
          </w:tcPr>
          <w:p>
            <w:pPr>
              <w:pStyle w:val="TableParagraph"/>
              <w:spacing w:before="28"/>
              <w:ind w:left="326"/>
              <w:rPr>
                <w:b/>
                <w:sz w:val="20"/>
              </w:rPr>
            </w:pPr>
            <w:r>
              <w:rPr>
                <w:b/>
                <w:w w:val="95"/>
                <w:sz w:val="20"/>
              </w:rPr>
              <w:t>重大疾病名称</w:t>
            </w:r>
          </w:p>
        </w:tc>
        <w:tc>
          <w:tcPr>
            <w:tcW w:w="7933" w:type="dxa"/>
            <w:shd w:val="clear" w:color="auto" w:fill="D7D7D7"/>
          </w:tcPr>
          <w:p>
            <w:pPr>
              <w:pStyle w:val="TableParagraph"/>
              <w:spacing w:before="28"/>
              <w:ind w:left="237" w:right="224"/>
              <w:jc w:val="center"/>
              <w:rPr>
                <w:b/>
                <w:sz w:val="20"/>
              </w:rPr>
            </w:pPr>
            <w:r>
              <w:rPr>
                <w:b/>
                <w:sz w:val="20"/>
              </w:rPr>
              <w:t>定义</w:t>
            </w:r>
          </w:p>
        </w:tc>
      </w:tr>
      <w:tr>
        <w:trPr>
          <w:trHeight w:val="697" w:hRule="atLeast"/>
        </w:trPr>
        <w:tc>
          <w:tcPr>
            <w:tcW w:w="1860" w:type="dxa"/>
          </w:tcPr>
          <w:p>
            <w:pPr>
              <w:pStyle w:val="TableParagraph"/>
              <w:ind w:left="0"/>
              <w:rPr>
                <w:rFonts w:ascii="Times New Roman"/>
                <w:sz w:val="18"/>
              </w:rPr>
            </w:pPr>
          </w:p>
        </w:tc>
        <w:tc>
          <w:tcPr>
            <w:tcW w:w="7933" w:type="dxa"/>
          </w:tcPr>
          <w:p>
            <w:pPr>
              <w:pStyle w:val="TableParagraph"/>
              <w:numPr>
                <w:ilvl w:val="0"/>
                <w:numId w:val="28"/>
              </w:numPr>
              <w:tabs>
                <w:tab w:pos="529" w:val="left" w:leader="none"/>
              </w:tabs>
              <w:spacing w:line="240" w:lineRule="auto" w:before="18" w:after="0"/>
              <w:ind w:left="528" w:right="0" w:hanging="420"/>
              <w:jc w:val="left"/>
              <w:rPr>
                <w:sz w:val="20"/>
              </w:rPr>
            </w:pPr>
            <w:r>
              <w:rPr>
                <w:position w:val="1"/>
                <w:sz w:val="20"/>
              </w:rPr>
              <w:t>动脉血氧饱和度（SaO</w:t>
            </w:r>
            <w:r>
              <w:rPr>
                <w:sz w:val="10"/>
              </w:rPr>
              <w:t>2</w:t>
            </w:r>
            <w:r>
              <w:rPr>
                <w:position w:val="1"/>
                <w:sz w:val="20"/>
              </w:rPr>
              <w:t>）&lt;</w:t>
            </w:r>
            <w:r>
              <w:rPr>
                <w:spacing w:val="-3"/>
                <w:position w:val="1"/>
                <w:sz w:val="20"/>
              </w:rPr>
              <w:t> </w:t>
            </w:r>
            <w:r>
              <w:rPr>
                <w:position w:val="1"/>
                <w:sz w:val="20"/>
              </w:rPr>
              <w:t>80％；</w:t>
            </w:r>
          </w:p>
          <w:p>
            <w:pPr>
              <w:pStyle w:val="TableParagraph"/>
              <w:numPr>
                <w:ilvl w:val="0"/>
                <w:numId w:val="28"/>
              </w:numPr>
              <w:tabs>
                <w:tab w:pos="529" w:val="left" w:leader="none"/>
              </w:tabs>
              <w:spacing w:line="240" w:lineRule="auto" w:before="65" w:after="0"/>
              <w:ind w:left="528" w:right="0" w:hanging="420"/>
              <w:jc w:val="left"/>
              <w:rPr>
                <w:sz w:val="20"/>
              </w:rPr>
            </w:pPr>
            <w:r>
              <w:rPr>
                <w:w w:val="95"/>
                <w:sz w:val="20"/>
              </w:rPr>
              <w:t>因缺氧必须接受持续的输氧治疗。</w:t>
            </w:r>
          </w:p>
        </w:tc>
      </w:tr>
      <w:tr>
        <w:trPr>
          <w:trHeight w:val="1024" w:hRule="atLeast"/>
        </w:trPr>
        <w:tc>
          <w:tcPr>
            <w:tcW w:w="1860" w:type="dxa"/>
          </w:tcPr>
          <w:p>
            <w:pPr>
              <w:pStyle w:val="TableParagraph"/>
              <w:spacing w:before="18"/>
              <w:rPr>
                <w:sz w:val="20"/>
              </w:rPr>
            </w:pPr>
            <w:r>
              <w:rPr>
                <w:w w:val="95"/>
                <w:sz w:val="20"/>
              </w:rPr>
              <w:t>40.象皮病</w:t>
            </w:r>
          </w:p>
        </w:tc>
        <w:tc>
          <w:tcPr>
            <w:tcW w:w="7933" w:type="dxa"/>
          </w:tcPr>
          <w:p>
            <w:pPr>
              <w:pStyle w:val="TableParagraph"/>
              <w:spacing w:line="300" w:lineRule="auto" w:before="18"/>
              <w:ind w:left="108" w:right="103"/>
              <w:jc w:val="both"/>
              <w:rPr>
                <w:sz w:val="20"/>
              </w:rPr>
            </w:pPr>
            <w:r>
              <w:rPr>
                <w:spacing w:val="-9"/>
                <w:w w:val="95"/>
                <w:sz w:val="20"/>
              </w:rPr>
              <w:t>指末期丝虫病，按国际淋巴学会分级为三度淋巴液肿，其临床表现为肢体非凹陷性水肿伴   </w:t>
            </w:r>
            <w:r>
              <w:rPr>
                <w:spacing w:val="-12"/>
                <w:w w:val="95"/>
                <w:sz w:val="20"/>
              </w:rPr>
              <w:t>畸形增大、硬皮症和疣状增生。此病症须经专科医生根据临床表现和微丝蚴的化验结果确   诊。</w:t>
            </w:r>
          </w:p>
        </w:tc>
      </w:tr>
      <w:tr>
        <w:trPr>
          <w:trHeight w:val="1677" w:hRule="atLeast"/>
        </w:trPr>
        <w:tc>
          <w:tcPr>
            <w:tcW w:w="1860" w:type="dxa"/>
          </w:tcPr>
          <w:p>
            <w:pPr>
              <w:pStyle w:val="TableParagraph"/>
              <w:spacing w:line="300" w:lineRule="auto" w:before="18"/>
              <w:ind w:right="74"/>
              <w:rPr>
                <w:sz w:val="20"/>
              </w:rPr>
            </w:pPr>
            <w:r>
              <w:rPr>
                <w:sz w:val="20"/>
              </w:rPr>
              <w:t>41. 全身性重症肌</w:t>
            </w:r>
            <w:r>
              <w:rPr>
                <w:w w:val="95"/>
                <w:sz w:val="20"/>
              </w:rPr>
              <w:t>无力</w:t>
            </w:r>
          </w:p>
        </w:tc>
        <w:tc>
          <w:tcPr>
            <w:tcW w:w="7933" w:type="dxa"/>
          </w:tcPr>
          <w:p>
            <w:pPr>
              <w:pStyle w:val="TableParagraph"/>
              <w:spacing w:line="297" w:lineRule="auto" w:before="18"/>
              <w:ind w:left="108" w:right="103"/>
              <w:jc w:val="both"/>
              <w:rPr>
                <w:sz w:val="20"/>
              </w:rPr>
            </w:pPr>
            <w:r>
              <w:rPr>
                <w:spacing w:val="-4"/>
                <w:w w:val="95"/>
                <w:sz w:val="20"/>
              </w:rPr>
              <w:t>重症肌无力是一种神经肌肉接头传递障碍所致的疾病，表现为局部或全身骨骼肌</w:t>
            </w:r>
            <w:r>
              <w:rPr>
                <w:w w:val="95"/>
                <w:sz w:val="20"/>
              </w:rPr>
              <w:t>（特别是   眼外肌</w:t>
            </w:r>
            <w:r>
              <w:rPr>
                <w:spacing w:val="-22"/>
                <w:w w:val="95"/>
                <w:sz w:val="20"/>
              </w:rPr>
              <w:t>）</w:t>
            </w:r>
            <w:r>
              <w:rPr>
                <w:spacing w:val="-7"/>
                <w:w w:val="95"/>
                <w:sz w:val="20"/>
              </w:rPr>
              <w:t>极易疲劳。疾病可以累及呼吸肌、上肢或下肢的近端肌群或全身肌肉，必须满足   下列全部条件：</w:t>
            </w:r>
          </w:p>
          <w:p>
            <w:pPr>
              <w:pStyle w:val="TableParagraph"/>
              <w:numPr>
                <w:ilvl w:val="0"/>
                <w:numId w:val="29"/>
              </w:numPr>
              <w:tabs>
                <w:tab w:pos="529" w:val="left" w:leader="none"/>
              </w:tabs>
              <w:spacing w:line="240" w:lineRule="auto" w:before="16" w:after="0"/>
              <w:ind w:left="528" w:right="0" w:hanging="420"/>
              <w:jc w:val="both"/>
              <w:rPr>
                <w:sz w:val="20"/>
              </w:rPr>
            </w:pPr>
            <w:r>
              <w:rPr>
                <w:w w:val="95"/>
                <w:sz w:val="20"/>
              </w:rPr>
              <w:t>经药物治疗和胸腺切除治疗一年以上仍无法控制病情；</w:t>
            </w:r>
          </w:p>
          <w:p>
            <w:pPr>
              <w:pStyle w:val="TableParagraph"/>
              <w:numPr>
                <w:ilvl w:val="0"/>
                <w:numId w:val="29"/>
              </w:numPr>
              <w:tabs>
                <w:tab w:pos="529" w:val="left" w:leader="none"/>
              </w:tabs>
              <w:spacing w:line="240" w:lineRule="auto" w:before="64" w:after="0"/>
              <w:ind w:left="528" w:right="0" w:hanging="420"/>
              <w:jc w:val="both"/>
              <w:rPr>
                <w:sz w:val="20"/>
              </w:rPr>
            </w:pPr>
            <w:r>
              <w:rPr>
                <w:spacing w:val="-1"/>
                <w:w w:val="95"/>
                <w:sz w:val="20"/>
              </w:rPr>
              <w:t>自主生活能力完全丧失，无法独立完成六项基本日常生活活动中的三项或三项以上。</w:t>
            </w:r>
          </w:p>
        </w:tc>
      </w:tr>
      <w:tr>
        <w:trPr>
          <w:trHeight w:val="2328" w:hRule="atLeast"/>
        </w:trPr>
        <w:tc>
          <w:tcPr>
            <w:tcW w:w="1860" w:type="dxa"/>
          </w:tcPr>
          <w:p>
            <w:pPr>
              <w:pStyle w:val="TableParagraph"/>
              <w:spacing w:before="16"/>
              <w:rPr>
                <w:sz w:val="20"/>
              </w:rPr>
            </w:pPr>
            <w:r>
              <w:rPr>
                <w:w w:val="95"/>
                <w:sz w:val="20"/>
              </w:rPr>
              <w:t>42.疯牛病</w:t>
            </w:r>
          </w:p>
        </w:tc>
        <w:tc>
          <w:tcPr>
            <w:tcW w:w="7933" w:type="dxa"/>
          </w:tcPr>
          <w:p>
            <w:pPr>
              <w:pStyle w:val="TableParagraph"/>
              <w:spacing w:before="16"/>
              <w:ind w:left="108"/>
              <w:rPr>
                <w:sz w:val="20"/>
              </w:rPr>
            </w:pPr>
            <w:r>
              <w:rPr>
                <w:w w:val="95"/>
                <w:sz w:val="20"/>
              </w:rPr>
              <w:t>神经系统疾病及致命的成胶质状脑病，并有以下症状：</w:t>
            </w:r>
          </w:p>
          <w:p>
            <w:pPr>
              <w:pStyle w:val="TableParagraph"/>
              <w:numPr>
                <w:ilvl w:val="0"/>
                <w:numId w:val="30"/>
              </w:numPr>
              <w:tabs>
                <w:tab w:pos="529" w:val="left" w:leader="none"/>
              </w:tabs>
              <w:spacing w:line="240" w:lineRule="auto" w:before="65" w:after="0"/>
              <w:ind w:left="528" w:right="0" w:hanging="420"/>
              <w:jc w:val="left"/>
              <w:rPr>
                <w:sz w:val="20"/>
              </w:rPr>
            </w:pPr>
            <w:r>
              <w:rPr>
                <w:w w:val="95"/>
                <w:sz w:val="20"/>
              </w:rPr>
              <w:t>不能控制的肌肉痉挛及震颤；</w:t>
            </w:r>
          </w:p>
          <w:p>
            <w:pPr>
              <w:pStyle w:val="TableParagraph"/>
              <w:numPr>
                <w:ilvl w:val="0"/>
                <w:numId w:val="30"/>
              </w:numPr>
              <w:tabs>
                <w:tab w:pos="529" w:val="left" w:leader="none"/>
              </w:tabs>
              <w:spacing w:line="240" w:lineRule="auto" w:before="64" w:after="0"/>
              <w:ind w:left="528" w:right="0" w:hanging="420"/>
              <w:jc w:val="left"/>
              <w:rPr>
                <w:sz w:val="20"/>
              </w:rPr>
            </w:pPr>
            <w:r>
              <w:rPr>
                <w:w w:val="95"/>
                <w:sz w:val="20"/>
              </w:rPr>
              <w:t>逐渐痴呆；</w:t>
            </w:r>
          </w:p>
          <w:p>
            <w:pPr>
              <w:pStyle w:val="TableParagraph"/>
              <w:numPr>
                <w:ilvl w:val="0"/>
                <w:numId w:val="30"/>
              </w:numPr>
              <w:tabs>
                <w:tab w:pos="529" w:val="left" w:leader="none"/>
              </w:tabs>
              <w:spacing w:line="240" w:lineRule="auto" w:before="64" w:after="0"/>
              <w:ind w:left="528" w:right="0" w:hanging="420"/>
              <w:jc w:val="left"/>
              <w:rPr>
                <w:sz w:val="20"/>
              </w:rPr>
            </w:pPr>
            <w:r>
              <w:rPr>
                <w:w w:val="95"/>
                <w:sz w:val="20"/>
              </w:rPr>
              <w:t>小脑功能不良，共济失调；</w:t>
            </w:r>
          </w:p>
          <w:p>
            <w:pPr>
              <w:pStyle w:val="TableParagraph"/>
              <w:numPr>
                <w:ilvl w:val="0"/>
                <w:numId w:val="30"/>
              </w:numPr>
              <w:tabs>
                <w:tab w:pos="529" w:val="left" w:leader="none"/>
              </w:tabs>
              <w:spacing w:line="240" w:lineRule="auto" w:before="64" w:after="0"/>
              <w:ind w:left="528" w:right="0" w:hanging="420"/>
              <w:jc w:val="left"/>
              <w:rPr>
                <w:sz w:val="20"/>
              </w:rPr>
            </w:pPr>
            <w:r>
              <w:rPr>
                <w:w w:val="95"/>
                <w:sz w:val="20"/>
              </w:rPr>
              <w:t>手足徐动症。</w:t>
            </w:r>
          </w:p>
          <w:p>
            <w:pPr>
              <w:pStyle w:val="TableParagraph"/>
              <w:spacing w:before="62"/>
              <w:ind w:left="108"/>
              <w:rPr>
                <w:sz w:val="20"/>
              </w:rPr>
            </w:pPr>
            <w:r>
              <w:rPr>
                <w:w w:val="95"/>
                <w:sz w:val="20"/>
              </w:rPr>
              <w:t>诊断必须由神经科专科医生基于以下检查报告作出：脑电图、脑脊液报告、电脑断层扫描</w:t>
            </w:r>
          </w:p>
          <w:p>
            <w:pPr>
              <w:pStyle w:val="TableParagraph"/>
              <w:spacing w:before="64"/>
              <w:ind w:left="108"/>
              <w:rPr>
                <w:sz w:val="20"/>
              </w:rPr>
            </w:pPr>
            <w:r>
              <w:rPr>
                <w:sz w:val="20"/>
              </w:rPr>
              <w:t>(CT)及核磁共振(MRI)。</w:t>
            </w:r>
          </w:p>
        </w:tc>
      </w:tr>
      <w:tr>
        <w:trPr>
          <w:trHeight w:val="3304" w:hRule="atLeast"/>
        </w:trPr>
        <w:tc>
          <w:tcPr>
            <w:tcW w:w="1860" w:type="dxa"/>
          </w:tcPr>
          <w:p>
            <w:pPr>
              <w:pStyle w:val="TableParagraph"/>
              <w:spacing w:line="300" w:lineRule="auto" w:before="16"/>
              <w:ind w:right="74"/>
              <w:rPr>
                <w:sz w:val="20"/>
              </w:rPr>
            </w:pPr>
            <w:r>
              <w:rPr>
                <w:sz w:val="20"/>
              </w:rPr>
              <w:t>43. 严重类风湿性</w:t>
            </w:r>
            <w:r>
              <w:rPr>
                <w:w w:val="95"/>
                <w:sz w:val="20"/>
              </w:rPr>
              <w:t>关节炎</w:t>
            </w:r>
          </w:p>
        </w:tc>
        <w:tc>
          <w:tcPr>
            <w:tcW w:w="7933" w:type="dxa"/>
          </w:tcPr>
          <w:p>
            <w:pPr>
              <w:pStyle w:val="TableParagraph"/>
              <w:spacing w:line="300" w:lineRule="auto" w:before="16"/>
              <w:ind w:left="108" w:right="98"/>
              <w:jc w:val="both"/>
              <w:rPr>
                <w:sz w:val="20"/>
              </w:rPr>
            </w:pPr>
            <w:r>
              <w:rPr>
                <w:spacing w:val="-4"/>
                <w:w w:val="95"/>
                <w:sz w:val="20"/>
              </w:rPr>
              <w:t>类风湿性关节炎为广泛分布的慢性进行性多关节病变，表现为关节严重变形，侵犯至少三   </w:t>
            </w:r>
            <w:r>
              <w:rPr>
                <w:spacing w:val="-9"/>
                <w:w w:val="95"/>
                <w:sz w:val="20"/>
              </w:rPr>
              <w:t>个主要关节或关节组，如双手(多手指)关节、双足(多足趾)关节、双腕关节、双膝关节和   </w:t>
            </w:r>
            <w:r>
              <w:rPr>
                <w:spacing w:val="-12"/>
                <w:w w:val="95"/>
                <w:sz w:val="20"/>
              </w:rPr>
              <w:t>双髋关节。被保险人所患的类风湿性关节炎必须已经达到类风湿性关节炎功能分级Ⅲ级以   </w:t>
            </w:r>
            <w:r>
              <w:rPr>
                <w:spacing w:val="-15"/>
                <w:w w:val="95"/>
                <w:sz w:val="20"/>
              </w:rPr>
              <w:t>上的功能障碍</w:t>
            </w:r>
            <w:r>
              <w:rPr>
                <w:w w:val="95"/>
                <w:sz w:val="20"/>
              </w:rPr>
              <w:t>（</w:t>
            </w:r>
            <w:r>
              <w:rPr>
                <w:spacing w:val="-4"/>
                <w:w w:val="95"/>
                <w:sz w:val="20"/>
              </w:rPr>
              <w:t>关节活动严重限制，不能完成大部分的日常工作和活动</w:t>
            </w:r>
            <w:r>
              <w:rPr>
                <w:spacing w:val="-29"/>
                <w:w w:val="95"/>
                <w:sz w:val="20"/>
              </w:rPr>
              <w:t>）</w:t>
            </w:r>
            <w:r>
              <w:rPr>
                <w:w w:val="95"/>
                <w:sz w:val="20"/>
              </w:rPr>
              <w:t>并须满足下列全   部条件：</w:t>
            </w:r>
          </w:p>
          <w:p>
            <w:pPr>
              <w:pStyle w:val="TableParagraph"/>
              <w:numPr>
                <w:ilvl w:val="0"/>
                <w:numId w:val="31"/>
              </w:numPr>
              <w:tabs>
                <w:tab w:pos="529" w:val="left" w:leader="none"/>
              </w:tabs>
              <w:spacing w:line="240" w:lineRule="auto" w:before="15" w:after="0"/>
              <w:ind w:left="528" w:right="0" w:hanging="420"/>
              <w:jc w:val="both"/>
              <w:rPr>
                <w:sz w:val="20"/>
              </w:rPr>
            </w:pPr>
            <w:r>
              <w:rPr>
                <w:w w:val="95"/>
                <w:sz w:val="20"/>
              </w:rPr>
              <w:t>晨僵；</w:t>
            </w:r>
          </w:p>
          <w:p>
            <w:pPr>
              <w:pStyle w:val="TableParagraph"/>
              <w:numPr>
                <w:ilvl w:val="0"/>
                <w:numId w:val="31"/>
              </w:numPr>
              <w:tabs>
                <w:tab w:pos="529" w:val="left" w:leader="none"/>
              </w:tabs>
              <w:spacing w:line="240" w:lineRule="auto" w:before="62" w:after="0"/>
              <w:ind w:left="528" w:right="0" w:hanging="420"/>
              <w:jc w:val="both"/>
              <w:rPr>
                <w:sz w:val="20"/>
              </w:rPr>
            </w:pPr>
            <w:r>
              <w:rPr>
                <w:w w:val="95"/>
                <w:sz w:val="20"/>
              </w:rPr>
              <w:t>对称性关节炎；</w:t>
            </w:r>
          </w:p>
          <w:p>
            <w:pPr>
              <w:pStyle w:val="TableParagraph"/>
              <w:numPr>
                <w:ilvl w:val="0"/>
                <w:numId w:val="31"/>
              </w:numPr>
              <w:tabs>
                <w:tab w:pos="529" w:val="left" w:leader="none"/>
              </w:tabs>
              <w:spacing w:line="240" w:lineRule="auto" w:before="64" w:after="0"/>
              <w:ind w:left="528" w:right="0" w:hanging="420"/>
              <w:jc w:val="both"/>
              <w:rPr>
                <w:sz w:val="20"/>
              </w:rPr>
            </w:pPr>
            <w:r>
              <w:rPr>
                <w:w w:val="95"/>
                <w:sz w:val="20"/>
              </w:rPr>
              <w:t>类风湿性皮下结节；</w:t>
            </w:r>
          </w:p>
          <w:p>
            <w:pPr>
              <w:pStyle w:val="TableParagraph"/>
              <w:numPr>
                <w:ilvl w:val="0"/>
                <w:numId w:val="31"/>
              </w:numPr>
              <w:tabs>
                <w:tab w:pos="529" w:val="left" w:leader="none"/>
              </w:tabs>
              <w:spacing w:line="240" w:lineRule="auto" w:before="64" w:after="0"/>
              <w:ind w:left="528" w:right="0" w:hanging="420"/>
              <w:jc w:val="both"/>
              <w:rPr>
                <w:sz w:val="20"/>
              </w:rPr>
            </w:pPr>
            <w:r>
              <w:rPr>
                <w:w w:val="95"/>
                <w:sz w:val="20"/>
              </w:rPr>
              <w:t>类风湿因子滴度升高；</w:t>
            </w:r>
          </w:p>
          <w:p>
            <w:pPr>
              <w:pStyle w:val="TableParagraph"/>
              <w:numPr>
                <w:ilvl w:val="0"/>
                <w:numId w:val="31"/>
              </w:numPr>
              <w:tabs>
                <w:tab w:pos="529" w:val="left" w:leader="none"/>
              </w:tabs>
              <w:spacing w:line="240" w:lineRule="auto" w:before="64" w:after="0"/>
              <w:ind w:left="528" w:right="0" w:hanging="420"/>
              <w:jc w:val="both"/>
              <w:rPr>
                <w:sz w:val="20"/>
              </w:rPr>
            </w:pPr>
            <w:r>
              <w:rPr>
                <w:sz w:val="20"/>
              </w:rPr>
              <w:t>X</w:t>
            </w:r>
            <w:r>
              <w:rPr>
                <w:spacing w:val="-8"/>
                <w:sz w:val="20"/>
              </w:rPr>
              <w:t> 线显示严重的关节(软骨和骨)破坏和关节畸形。</w:t>
            </w:r>
          </w:p>
        </w:tc>
      </w:tr>
      <w:tr>
        <w:trPr>
          <w:trHeight w:val="698" w:hRule="atLeast"/>
        </w:trPr>
        <w:tc>
          <w:tcPr>
            <w:tcW w:w="1860" w:type="dxa"/>
          </w:tcPr>
          <w:p>
            <w:pPr>
              <w:pStyle w:val="TableParagraph"/>
              <w:spacing w:before="18"/>
              <w:rPr>
                <w:sz w:val="20"/>
              </w:rPr>
            </w:pPr>
            <w:r>
              <w:rPr>
                <w:w w:val="95"/>
                <w:sz w:val="20"/>
              </w:rPr>
              <w:t>44.严重心肌炎</w:t>
            </w:r>
          </w:p>
        </w:tc>
        <w:tc>
          <w:tcPr>
            <w:tcW w:w="7933" w:type="dxa"/>
          </w:tcPr>
          <w:p>
            <w:pPr>
              <w:pStyle w:val="TableParagraph"/>
              <w:spacing w:line="300" w:lineRule="auto" w:before="18"/>
              <w:ind w:left="108" w:right="98"/>
              <w:rPr>
                <w:sz w:val="20"/>
              </w:rPr>
            </w:pPr>
            <w:r>
              <w:rPr>
                <w:spacing w:val="-5"/>
                <w:sz w:val="20"/>
              </w:rPr>
              <w:t>指心肌局限性或弥漫性的急性或慢性炎症病变， 导致心脏功能障碍， 达到美国纽约心脏</w:t>
            </w:r>
            <w:r>
              <w:rPr>
                <w:spacing w:val="-10"/>
                <w:sz w:val="20"/>
              </w:rPr>
              <w:t>病学会心功能状态分级 </w:t>
            </w:r>
            <w:r>
              <w:rPr>
                <w:sz w:val="20"/>
              </w:rPr>
              <w:t>IV</w:t>
            </w:r>
            <w:r>
              <w:rPr>
                <w:spacing w:val="-13"/>
                <w:sz w:val="20"/>
              </w:rPr>
              <w:t> 级，且持续至少 </w:t>
            </w:r>
            <w:r>
              <w:rPr>
                <w:sz w:val="20"/>
              </w:rPr>
              <w:t>90</w:t>
            </w:r>
            <w:r>
              <w:rPr>
                <w:spacing w:val="-1"/>
                <w:sz w:val="20"/>
              </w:rPr>
              <w:t> 天。</w:t>
            </w:r>
          </w:p>
        </w:tc>
      </w:tr>
      <w:tr>
        <w:trPr>
          <w:trHeight w:val="1350" w:hRule="atLeast"/>
        </w:trPr>
        <w:tc>
          <w:tcPr>
            <w:tcW w:w="1860" w:type="dxa"/>
          </w:tcPr>
          <w:p>
            <w:pPr>
              <w:pStyle w:val="TableParagraph"/>
              <w:spacing w:line="300" w:lineRule="auto" w:before="18"/>
              <w:ind w:right="74"/>
              <w:rPr>
                <w:sz w:val="20"/>
              </w:rPr>
            </w:pPr>
            <w:r>
              <w:rPr>
                <w:sz w:val="20"/>
              </w:rPr>
              <w:t>45. 严重肺源性心</w:t>
            </w:r>
            <w:r>
              <w:rPr>
                <w:w w:val="95"/>
                <w:sz w:val="20"/>
              </w:rPr>
              <w:t>脏病</w:t>
            </w:r>
          </w:p>
        </w:tc>
        <w:tc>
          <w:tcPr>
            <w:tcW w:w="7933" w:type="dxa"/>
          </w:tcPr>
          <w:p>
            <w:pPr>
              <w:pStyle w:val="TableParagraph"/>
              <w:spacing w:line="300" w:lineRule="auto" w:before="18"/>
              <w:ind w:left="108" w:right="98"/>
              <w:jc w:val="both"/>
              <w:rPr>
                <w:sz w:val="20"/>
              </w:rPr>
            </w:pPr>
            <w:r>
              <w:rPr>
                <w:spacing w:val="-3"/>
                <w:w w:val="95"/>
                <w:sz w:val="20"/>
              </w:rPr>
              <w:t>指被保险人因慢性肺部疾病导致慢性心功能损害造成永久不可逆性的心功能衰竭。心功能  </w:t>
            </w:r>
            <w:r>
              <w:rPr>
                <w:spacing w:val="-5"/>
                <w:sz w:val="20"/>
              </w:rPr>
              <w:t>衰竭程度达到纽约心脏病学会的心功能分级标准之心功能 </w:t>
            </w:r>
            <w:r>
              <w:rPr>
                <w:sz w:val="20"/>
              </w:rPr>
              <w:t>IV</w:t>
            </w:r>
            <w:r>
              <w:rPr>
                <w:spacing w:val="-7"/>
                <w:sz w:val="20"/>
              </w:rPr>
              <w:t> 级。被保险人永久不可逆性</w:t>
            </w:r>
            <w:r>
              <w:rPr>
                <w:spacing w:val="-12"/>
                <w:w w:val="95"/>
                <w:sz w:val="20"/>
              </w:rPr>
              <w:t>的体力活动能力受限，不能从事任何体力活动。本疾病的诊断及严重程度均须由本公司认   可的医院的呼吸专科医生确认。</w:t>
            </w:r>
          </w:p>
        </w:tc>
      </w:tr>
      <w:tr>
        <w:trPr>
          <w:trHeight w:val="1351" w:hRule="atLeast"/>
        </w:trPr>
        <w:tc>
          <w:tcPr>
            <w:tcW w:w="1860" w:type="dxa"/>
          </w:tcPr>
          <w:p>
            <w:pPr>
              <w:pStyle w:val="TableParagraph"/>
              <w:spacing w:before="19"/>
              <w:rPr>
                <w:sz w:val="20"/>
              </w:rPr>
            </w:pPr>
            <w:r>
              <w:rPr>
                <w:w w:val="95"/>
                <w:sz w:val="20"/>
              </w:rPr>
              <w:t>46.植物人状态</w:t>
            </w:r>
          </w:p>
        </w:tc>
        <w:tc>
          <w:tcPr>
            <w:tcW w:w="7933" w:type="dxa"/>
          </w:tcPr>
          <w:p>
            <w:pPr>
              <w:pStyle w:val="TableParagraph"/>
              <w:spacing w:line="297" w:lineRule="auto" w:before="19"/>
              <w:ind w:left="108" w:right="101"/>
              <w:jc w:val="both"/>
              <w:rPr>
                <w:sz w:val="20"/>
              </w:rPr>
            </w:pPr>
            <w:r>
              <w:rPr>
                <w:spacing w:val="-3"/>
                <w:w w:val="95"/>
                <w:sz w:val="20"/>
              </w:rPr>
              <w:t>植物人状态是指由于严重脑外伤造成大脑严重损害导致对自身和环境的意识完全丧失，仅   </w:t>
            </w:r>
            <w:r>
              <w:rPr>
                <w:spacing w:val="-7"/>
                <w:w w:val="95"/>
                <w:sz w:val="20"/>
              </w:rPr>
              <w:t>残存植物神经功能的疾病状态。诊断必须明确并且具有严重颅脑外伤和脑损害的证据。植   </w:t>
            </w:r>
            <w:r>
              <w:rPr>
                <w:spacing w:val="-13"/>
                <w:sz w:val="20"/>
              </w:rPr>
              <w:t>物人状态必须持续 </w:t>
            </w:r>
            <w:r>
              <w:rPr>
                <w:sz w:val="20"/>
              </w:rPr>
              <w:t>30</w:t>
            </w:r>
            <w:r>
              <w:rPr>
                <w:spacing w:val="-8"/>
                <w:sz w:val="20"/>
              </w:rPr>
              <w:t> 天以上方可申请理赔。</w:t>
            </w:r>
          </w:p>
          <w:p>
            <w:pPr>
              <w:pStyle w:val="TableParagraph"/>
              <w:spacing w:before="17"/>
              <w:ind w:left="108"/>
              <w:jc w:val="both"/>
              <w:rPr>
                <w:b/>
                <w:sz w:val="20"/>
              </w:rPr>
            </w:pPr>
            <w:r>
              <w:rPr>
                <w:b/>
                <w:w w:val="95"/>
                <w:sz w:val="20"/>
              </w:rPr>
              <w:t>由于酗酒或滥用药物所致的植物人状态不在保障范围内。</w:t>
            </w:r>
          </w:p>
        </w:tc>
      </w:tr>
      <w:tr>
        <w:trPr>
          <w:trHeight w:val="1024" w:hRule="atLeast"/>
        </w:trPr>
        <w:tc>
          <w:tcPr>
            <w:tcW w:w="1860" w:type="dxa"/>
          </w:tcPr>
          <w:p>
            <w:pPr>
              <w:pStyle w:val="TableParagraph"/>
              <w:spacing w:line="300" w:lineRule="auto" w:before="16"/>
              <w:ind w:right="74"/>
              <w:rPr>
                <w:sz w:val="20"/>
              </w:rPr>
            </w:pPr>
            <w:r>
              <w:rPr>
                <w:sz w:val="20"/>
              </w:rPr>
              <w:t>47. 非阿尔茨海默</w:t>
            </w:r>
            <w:r>
              <w:rPr>
                <w:w w:val="95"/>
                <w:sz w:val="20"/>
              </w:rPr>
              <w:t>病所致严重痴呆</w:t>
            </w:r>
          </w:p>
        </w:tc>
        <w:tc>
          <w:tcPr>
            <w:tcW w:w="7933" w:type="dxa"/>
          </w:tcPr>
          <w:p>
            <w:pPr>
              <w:pStyle w:val="TableParagraph"/>
              <w:spacing w:line="300" w:lineRule="auto" w:before="16"/>
              <w:ind w:left="108" w:right="17"/>
              <w:rPr>
                <w:sz w:val="20"/>
              </w:rPr>
            </w:pPr>
            <w:r>
              <w:rPr>
                <w:w w:val="95"/>
                <w:sz w:val="20"/>
              </w:rPr>
              <w:t>指因阿尔茨海默病以外的脑的器质性疾病造成脑功能衰竭导致永久不可逆性的严重痴呆，  </w:t>
            </w:r>
            <w:r>
              <w:rPr>
                <w:spacing w:val="-5"/>
                <w:sz w:val="20"/>
              </w:rPr>
              <w:t>临床表现为明显的认知能力障碍、行为异常和社交能力减退。被保险人自主生活能力完全</w:t>
            </w:r>
            <w:r>
              <w:rPr>
                <w:spacing w:val="-10"/>
                <w:w w:val="95"/>
                <w:sz w:val="20"/>
              </w:rPr>
              <w:t>丧失，无法独立完成六项基本日常生活活动中的三项或三项以上，日常生活必须持续受到</w:t>
            </w:r>
          </w:p>
        </w:tc>
      </w:tr>
    </w:tbl>
    <w:p>
      <w:pPr>
        <w:spacing w:after="0" w:line="300" w:lineRule="auto"/>
        <w:rPr>
          <w:sz w:val="20"/>
        </w:rPr>
        <w:sectPr>
          <w:pgSz w:w="11910" w:h="16840"/>
          <w:pgMar w:header="0" w:footer="831" w:top="1420" w:bottom="1020" w:left="840" w:right="1040"/>
        </w:sectPr>
      </w:pPr>
    </w:p>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3"/>
      </w:tblGrid>
      <w:tr>
        <w:trPr>
          <w:trHeight w:val="381" w:hRule="atLeast"/>
        </w:trPr>
        <w:tc>
          <w:tcPr>
            <w:tcW w:w="1860" w:type="dxa"/>
            <w:shd w:val="clear" w:color="auto" w:fill="D7D7D7"/>
          </w:tcPr>
          <w:p>
            <w:pPr>
              <w:pStyle w:val="TableParagraph"/>
              <w:spacing w:before="28"/>
              <w:ind w:left="326"/>
              <w:rPr>
                <w:b/>
                <w:sz w:val="20"/>
              </w:rPr>
            </w:pPr>
            <w:r>
              <w:rPr>
                <w:b/>
                <w:w w:val="95"/>
                <w:sz w:val="20"/>
              </w:rPr>
              <w:t>重大疾病名称</w:t>
            </w:r>
          </w:p>
        </w:tc>
        <w:tc>
          <w:tcPr>
            <w:tcW w:w="7933" w:type="dxa"/>
            <w:shd w:val="clear" w:color="auto" w:fill="D7D7D7"/>
          </w:tcPr>
          <w:p>
            <w:pPr>
              <w:pStyle w:val="TableParagraph"/>
              <w:spacing w:before="28"/>
              <w:ind w:left="237" w:right="224"/>
              <w:jc w:val="center"/>
              <w:rPr>
                <w:b/>
                <w:sz w:val="20"/>
              </w:rPr>
            </w:pPr>
            <w:r>
              <w:rPr>
                <w:b/>
                <w:sz w:val="20"/>
              </w:rPr>
              <w:t>定义</w:t>
            </w:r>
          </w:p>
        </w:tc>
      </w:tr>
      <w:tr>
        <w:trPr>
          <w:trHeight w:val="1024" w:hRule="atLeast"/>
        </w:trPr>
        <w:tc>
          <w:tcPr>
            <w:tcW w:w="1860" w:type="dxa"/>
          </w:tcPr>
          <w:p>
            <w:pPr>
              <w:pStyle w:val="TableParagraph"/>
              <w:ind w:left="0"/>
              <w:rPr>
                <w:rFonts w:ascii="Times New Roman"/>
                <w:sz w:val="18"/>
              </w:rPr>
            </w:pPr>
          </w:p>
        </w:tc>
        <w:tc>
          <w:tcPr>
            <w:tcW w:w="7933" w:type="dxa"/>
          </w:tcPr>
          <w:p>
            <w:pPr>
              <w:pStyle w:val="TableParagraph"/>
              <w:spacing w:line="300" w:lineRule="auto" w:before="18"/>
              <w:ind w:left="108" w:right="104"/>
              <w:rPr>
                <w:sz w:val="20"/>
              </w:rPr>
            </w:pPr>
            <w:r>
              <w:rPr>
                <w:spacing w:val="-8"/>
                <w:w w:val="95"/>
                <w:sz w:val="20"/>
              </w:rPr>
              <w:t>他人监护。导致痴呆的疾病必须明确诊断，并且由完整的临床、实验室和影像学检查结果   证实。</w:t>
            </w:r>
          </w:p>
          <w:p>
            <w:pPr>
              <w:pStyle w:val="TableParagraph"/>
              <w:spacing w:before="14"/>
              <w:ind w:left="108"/>
              <w:rPr>
                <w:b/>
                <w:sz w:val="20"/>
              </w:rPr>
            </w:pPr>
            <w:r>
              <w:rPr>
                <w:b/>
                <w:w w:val="95"/>
                <w:sz w:val="20"/>
              </w:rPr>
              <w:t>神经官能症，精神疾病及酒精中毒所致脑损害不在保障范围内。</w:t>
            </w:r>
          </w:p>
        </w:tc>
      </w:tr>
      <w:tr>
        <w:trPr>
          <w:trHeight w:val="697" w:hRule="atLeast"/>
        </w:trPr>
        <w:tc>
          <w:tcPr>
            <w:tcW w:w="1860" w:type="dxa"/>
          </w:tcPr>
          <w:p>
            <w:pPr>
              <w:pStyle w:val="TableParagraph"/>
              <w:spacing w:line="300" w:lineRule="auto" w:before="18"/>
              <w:ind w:right="242"/>
              <w:rPr>
                <w:sz w:val="20"/>
              </w:rPr>
            </w:pPr>
            <w:r>
              <w:rPr>
                <w:w w:val="95"/>
                <w:sz w:val="20"/>
              </w:rPr>
              <w:t>48.埃博拉病毒感</w:t>
            </w:r>
            <w:r>
              <w:rPr>
                <w:sz w:val="20"/>
              </w:rPr>
              <w:t>染</w:t>
            </w:r>
          </w:p>
        </w:tc>
        <w:tc>
          <w:tcPr>
            <w:tcW w:w="7933" w:type="dxa"/>
          </w:tcPr>
          <w:p>
            <w:pPr>
              <w:pStyle w:val="TableParagraph"/>
              <w:spacing w:line="300" w:lineRule="auto" w:before="18"/>
              <w:ind w:left="108" w:right="104"/>
              <w:rPr>
                <w:sz w:val="20"/>
              </w:rPr>
            </w:pPr>
            <w:r>
              <w:rPr>
                <w:spacing w:val="-5"/>
                <w:w w:val="95"/>
                <w:sz w:val="20"/>
              </w:rPr>
              <w:t>受埃博拉病毒感染导致出血性发热。埃博拉病必须经传染病专家确诊，并且埃博拉病毒的   存在必须经过实验室检查证实。该病必须从症状开始后三十天后持续出现并发症。</w:t>
            </w:r>
          </w:p>
        </w:tc>
      </w:tr>
      <w:tr>
        <w:trPr>
          <w:trHeight w:val="698" w:hRule="atLeast"/>
        </w:trPr>
        <w:tc>
          <w:tcPr>
            <w:tcW w:w="1860" w:type="dxa"/>
          </w:tcPr>
          <w:p>
            <w:pPr>
              <w:pStyle w:val="TableParagraph"/>
              <w:spacing w:before="18"/>
              <w:rPr>
                <w:sz w:val="20"/>
              </w:rPr>
            </w:pPr>
            <w:r>
              <w:rPr>
                <w:w w:val="95"/>
                <w:sz w:val="20"/>
              </w:rPr>
              <w:t>49.胰腺移植</w:t>
            </w:r>
          </w:p>
        </w:tc>
        <w:tc>
          <w:tcPr>
            <w:tcW w:w="7933" w:type="dxa"/>
          </w:tcPr>
          <w:p>
            <w:pPr>
              <w:pStyle w:val="TableParagraph"/>
              <w:spacing w:line="300" w:lineRule="auto" w:before="18"/>
              <w:ind w:left="108" w:right="816"/>
              <w:rPr>
                <w:b/>
                <w:sz w:val="20"/>
              </w:rPr>
            </w:pPr>
            <w:r>
              <w:rPr>
                <w:w w:val="95"/>
                <w:sz w:val="20"/>
              </w:rPr>
              <w:t>指因胰腺功能衰竭，已经实施了在全身麻醉下进行的胰腺的异体器官移植手术。  </w:t>
            </w:r>
            <w:r>
              <w:rPr>
                <w:b/>
                <w:w w:val="95"/>
                <w:sz w:val="20"/>
              </w:rPr>
              <w:t>单纯胰岛移植、部分胰腺组织或细胞的移植不在保障范围内。</w:t>
            </w:r>
          </w:p>
        </w:tc>
      </w:tr>
      <w:tr>
        <w:trPr>
          <w:trHeight w:val="2654" w:hRule="atLeast"/>
        </w:trPr>
        <w:tc>
          <w:tcPr>
            <w:tcW w:w="1860" w:type="dxa"/>
          </w:tcPr>
          <w:p>
            <w:pPr>
              <w:pStyle w:val="TableParagraph"/>
              <w:spacing w:line="300" w:lineRule="auto" w:before="18"/>
              <w:ind w:right="74"/>
              <w:rPr>
                <w:sz w:val="20"/>
              </w:rPr>
            </w:pPr>
            <w:r>
              <w:rPr>
                <w:sz w:val="20"/>
              </w:rPr>
              <w:t>50. 严重自身免疫</w:t>
            </w:r>
            <w:r>
              <w:rPr>
                <w:w w:val="95"/>
                <w:sz w:val="20"/>
              </w:rPr>
              <w:t>性肝炎</w:t>
            </w:r>
          </w:p>
        </w:tc>
        <w:tc>
          <w:tcPr>
            <w:tcW w:w="7933" w:type="dxa"/>
          </w:tcPr>
          <w:p>
            <w:pPr>
              <w:pStyle w:val="TableParagraph"/>
              <w:spacing w:line="297" w:lineRule="auto" w:before="18"/>
              <w:ind w:left="108" w:right="103"/>
              <w:jc w:val="both"/>
              <w:rPr>
                <w:sz w:val="20"/>
              </w:rPr>
            </w:pPr>
            <w:r>
              <w:rPr>
                <w:spacing w:val="-4"/>
                <w:w w:val="95"/>
                <w:sz w:val="20"/>
              </w:rPr>
              <w:t>自身免疫性肝炎是一种原因不明的慢性肝脏的坏死性炎性疾病，机体免疫机制被破坏，产   </w:t>
            </w:r>
            <w:r>
              <w:rPr>
                <w:spacing w:val="-8"/>
                <w:w w:val="95"/>
                <w:sz w:val="20"/>
              </w:rPr>
              <w:t>生针对肝脏自身抗原的抗体导致自身免疫反应，从而破坏肝细胞造成肝脏炎症坏死，进而   发展为肝硬化。必须满足所有以下条件：</w:t>
            </w:r>
          </w:p>
          <w:p>
            <w:pPr>
              <w:pStyle w:val="TableParagraph"/>
              <w:numPr>
                <w:ilvl w:val="0"/>
                <w:numId w:val="32"/>
              </w:numPr>
              <w:tabs>
                <w:tab w:pos="529" w:val="left" w:leader="none"/>
              </w:tabs>
              <w:spacing w:line="240" w:lineRule="auto" w:before="16" w:after="0"/>
              <w:ind w:left="528" w:right="0" w:hanging="420"/>
              <w:jc w:val="left"/>
              <w:rPr>
                <w:sz w:val="20"/>
              </w:rPr>
            </w:pPr>
            <w:r>
              <w:rPr>
                <w:spacing w:val="-27"/>
                <w:sz w:val="20"/>
              </w:rPr>
              <w:t>高 </w:t>
            </w:r>
            <w:r>
              <w:rPr>
                <w:sz w:val="20"/>
              </w:rPr>
              <w:t>γ</w:t>
            </w:r>
            <w:r>
              <w:rPr>
                <w:spacing w:val="-9"/>
                <w:sz w:val="20"/>
              </w:rPr>
              <w:t> 球蛋白血症；</w:t>
            </w:r>
          </w:p>
          <w:p>
            <w:pPr>
              <w:pStyle w:val="TableParagraph"/>
              <w:numPr>
                <w:ilvl w:val="0"/>
                <w:numId w:val="32"/>
              </w:numPr>
              <w:tabs>
                <w:tab w:pos="529" w:val="left" w:leader="none"/>
              </w:tabs>
              <w:spacing w:line="300" w:lineRule="auto" w:before="65" w:after="0"/>
              <w:ind w:left="528" w:right="98" w:hanging="420"/>
              <w:jc w:val="left"/>
              <w:rPr>
                <w:sz w:val="20"/>
              </w:rPr>
            </w:pPr>
            <w:r>
              <w:rPr>
                <w:spacing w:val="-1"/>
                <w:sz w:val="20"/>
              </w:rPr>
              <w:t>血液中存在高水平的自身免疫抗体，如 </w:t>
            </w:r>
            <w:r>
              <w:rPr>
                <w:sz w:val="20"/>
              </w:rPr>
              <w:t>ANA（抗核抗体）、SMA（抗平滑肌抗体）、</w:t>
            </w:r>
            <w:r>
              <w:rPr>
                <w:spacing w:val="-27"/>
                <w:sz w:val="20"/>
              </w:rPr>
              <w:t>抗 </w:t>
            </w:r>
            <w:r>
              <w:rPr>
                <w:sz w:val="20"/>
              </w:rPr>
              <w:t>LKM1</w:t>
            </w:r>
            <w:r>
              <w:rPr>
                <w:spacing w:val="-10"/>
                <w:sz w:val="20"/>
              </w:rPr>
              <w:t> 抗体或抗-</w:t>
            </w:r>
            <w:r>
              <w:rPr>
                <w:sz w:val="20"/>
              </w:rPr>
              <w:t>SLA/LP</w:t>
            </w:r>
            <w:r>
              <w:rPr>
                <w:spacing w:val="-14"/>
                <w:sz w:val="20"/>
              </w:rPr>
              <w:t> 抗体；</w:t>
            </w:r>
          </w:p>
          <w:p>
            <w:pPr>
              <w:pStyle w:val="TableParagraph"/>
              <w:numPr>
                <w:ilvl w:val="0"/>
                <w:numId w:val="32"/>
              </w:numPr>
              <w:tabs>
                <w:tab w:pos="529" w:val="left" w:leader="none"/>
              </w:tabs>
              <w:spacing w:line="240" w:lineRule="auto" w:before="15" w:after="0"/>
              <w:ind w:left="528" w:right="0" w:hanging="420"/>
              <w:jc w:val="both"/>
              <w:rPr>
                <w:sz w:val="20"/>
              </w:rPr>
            </w:pPr>
            <w:r>
              <w:rPr>
                <w:w w:val="95"/>
                <w:sz w:val="20"/>
              </w:rPr>
              <w:t>肝脏活检证实免疫性肝炎；</w:t>
            </w:r>
          </w:p>
          <w:p>
            <w:pPr>
              <w:pStyle w:val="TableParagraph"/>
              <w:numPr>
                <w:ilvl w:val="0"/>
                <w:numId w:val="32"/>
              </w:numPr>
              <w:tabs>
                <w:tab w:pos="529" w:val="left" w:leader="none"/>
              </w:tabs>
              <w:spacing w:line="240" w:lineRule="auto" w:before="65" w:after="0"/>
              <w:ind w:left="528" w:right="0" w:hanging="420"/>
              <w:jc w:val="both"/>
              <w:rPr>
                <w:sz w:val="20"/>
              </w:rPr>
            </w:pPr>
            <w:r>
              <w:rPr>
                <w:w w:val="95"/>
                <w:sz w:val="20"/>
              </w:rPr>
              <w:t>临床已经出现腹水、食道静脉曲张和脾肿大等肝硬化表现。</w:t>
            </w:r>
          </w:p>
        </w:tc>
      </w:tr>
      <w:tr>
        <w:trPr>
          <w:trHeight w:val="1350" w:hRule="atLeast"/>
        </w:trPr>
        <w:tc>
          <w:tcPr>
            <w:tcW w:w="1860" w:type="dxa"/>
          </w:tcPr>
          <w:p>
            <w:pPr>
              <w:pStyle w:val="TableParagraph"/>
              <w:spacing w:before="18"/>
              <w:rPr>
                <w:sz w:val="20"/>
              </w:rPr>
            </w:pPr>
            <w:r>
              <w:rPr>
                <w:w w:val="95"/>
                <w:sz w:val="20"/>
              </w:rPr>
              <w:t>51.骨髓纤维化</w:t>
            </w:r>
          </w:p>
        </w:tc>
        <w:tc>
          <w:tcPr>
            <w:tcW w:w="7933" w:type="dxa"/>
          </w:tcPr>
          <w:p>
            <w:pPr>
              <w:pStyle w:val="TableParagraph"/>
              <w:spacing w:line="297" w:lineRule="auto" w:before="18"/>
              <w:ind w:left="108" w:right="101"/>
              <w:jc w:val="both"/>
              <w:rPr>
                <w:sz w:val="20"/>
              </w:rPr>
            </w:pPr>
            <w:r>
              <w:rPr>
                <w:sz w:val="20"/>
              </w:rPr>
              <w:t>一种因纤维组织取代正常骨髓从而导致贫血、白血球及血小板含量过低及脾脏肿大的疾</w:t>
            </w:r>
            <w:r>
              <w:rPr>
                <w:spacing w:val="-10"/>
                <w:w w:val="95"/>
                <w:sz w:val="20"/>
              </w:rPr>
              <w:t>病。申请理赔时，被保险人须已经接受输血治疗至少六个月，并且每个月至少一次。骨髓   </w:t>
            </w:r>
            <w:r>
              <w:rPr>
                <w:spacing w:val="-13"/>
                <w:w w:val="95"/>
                <w:sz w:val="20"/>
              </w:rPr>
              <w:t>纤维化的诊断必须由我们认可的医院的专科医师作出。理赔时需提供骨髓穿刺检查诊断报   告。</w:t>
            </w:r>
          </w:p>
        </w:tc>
      </w:tr>
      <w:tr>
        <w:trPr>
          <w:trHeight w:val="1675" w:hRule="atLeast"/>
        </w:trPr>
        <w:tc>
          <w:tcPr>
            <w:tcW w:w="1860" w:type="dxa"/>
          </w:tcPr>
          <w:p>
            <w:pPr>
              <w:pStyle w:val="TableParagraph"/>
              <w:spacing w:line="300" w:lineRule="auto" w:before="16"/>
              <w:ind w:right="74"/>
              <w:rPr>
                <w:sz w:val="20"/>
              </w:rPr>
            </w:pPr>
            <w:r>
              <w:rPr>
                <w:sz w:val="20"/>
              </w:rPr>
              <w:t>52. 进行性核上性</w:t>
            </w:r>
            <w:r>
              <w:rPr>
                <w:w w:val="95"/>
                <w:sz w:val="20"/>
              </w:rPr>
              <w:t>麻痹</w:t>
            </w:r>
          </w:p>
        </w:tc>
        <w:tc>
          <w:tcPr>
            <w:tcW w:w="7933" w:type="dxa"/>
          </w:tcPr>
          <w:p>
            <w:pPr>
              <w:pStyle w:val="TableParagraph"/>
              <w:spacing w:line="300" w:lineRule="auto" w:before="16"/>
              <w:ind w:left="108" w:right="103"/>
              <w:rPr>
                <w:sz w:val="20"/>
              </w:rPr>
            </w:pPr>
            <w:r>
              <w:rPr>
                <w:spacing w:val="-9"/>
                <w:w w:val="95"/>
                <w:sz w:val="20"/>
              </w:rPr>
              <w:t>一种隐匿起病、逐渐加重的神经系统变性疾病。本疾病必须由本公司认可的医院的神经科   专科医生确诊，并须满足下列所有条件：</w:t>
            </w:r>
          </w:p>
          <w:p>
            <w:pPr>
              <w:pStyle w:val="TableParagraph"/>
              <w:numPr>
                <w:ilvl w:val="0"/>
                <w:numId w:val="33"/>
              </w:numPr>
              <w:tabs>
                <w:tab w:pos="529" w:val="left" w:leader="none"/>
              </w:tabs>
              <w:spacing w:line="240" w:lineRule="auto" w:before="15" w:after="0"/>
              <w:ind w:left="528" w:right="0" w:hanging="420"/>
              <w:jc w:val="left"/>
              <w:rPr>
                <w:sz w:val="20"/>
              </w:rPr>
            </w:pPr>
            <w:r>
              <w:rPr>
                <w:w w:val="95"/>
                <w:sz w:val="20"/>
              </w:rPr>
              <w:t>步态共济失调；</w:t>
            </w:r>
          </w:p>
          <w:p>
            <w:pPr>
              <w:pStyle w:val="TableParagraph"/>
              <w:numPr>
                <w:ilvl w:val="0"/>
                <w:numId w:val="33"/>
              </w:numPr>
              <w:tabs>
                <w:tab w:pos="529" w:val="left" w:leader="none"/>
              </w:tabs>
              <w:spacing w:line="240" w:lineRule="auto" w:before="65" w:after="0"/>
              <w:ind w:left="528" w:right="0" w:hanging="420"/>
              <w:jc w:val="left"/>
              <w:rPr>
                <w:sz w:val="20"/>
              </w:rPr>
            </w:pPr>
            <w:r>
              <w:rPr>
                <w:w w:val="95"/>
                <w:sz w:val="20"/>
              </w:rPr>
              <w:t>对称性眼球垂直运动障碍；</w:t>
            </w:r>
          </w:p>
          <w:p>
            <w:pPr>
              <w:pStyle w:val="TableParagraph"/>
              <w:numPr>
                <w:ilvl w:val="0"/>
                <w:numId w:val="33"/>
              </w:numPr>
              <w:tabs>
                <w:tab w:pos="529" w:val="left" w:leader="none"/>
              </w:tabs>
              <w:spacing w:line="240" w:lineRule="auto" w:before="64" w:after="0"/>
              <w:ind w:left="528" w:right="0" w:hanging="420"/>
              <w:jc w:val="left"/>
              <w:rPr>
                <w:sz w:val="20"/>
              </w:rPr>
            </w:pPr>
            <w:r>
              <w:rPr>
                <w:w w:val="95"/>
                <w:sz w:val="20"/>
              </w:rPr>
              <w:t>假性球麻痹，表现为构音障碍和吞咽困难。</w:t>
            </w:r>
          </w:p>
        </w:tc>
      </w:tr>
      <w:tr>
        <w:trPr>
          <w:trHeight w:val="2327" w:hRule="atLeast"/>
        </w:trPr>
        <w:tc>
          <w:tcPr>
            <w:tcW w:w="1860" w:type="dxa"/>
          </w:tcPr>
          <w:p>
            <w:pPr>
              <w:pStyle w:val="TableParagraph"/>
              <w:spacing w:line="300" w:lineRule="auto" w:before="18"/>
              <w:ind w:right="74"/>
              <w:rPr>
                <w:sz w:val="20"/>
              </w:rPr>
            </w:pPr>
            <w:r>
              <w:rPr>
                <w:sz w:val="20"/>
              </w:rPr>
              <w:t>53. 一肢及单眼缺失</w:t>
            </w:r>
          </w:p>
        </w:tc>
        <w:tc>
          <w:tcPr>
            <w:tcW w:w="7933" w:type="dxa"/>
          </w:tcPr>
          <w:p>
            <w:pPr>
              <w:pStyle w:val="TableParagraph"/>
              <w:spacing w:line="300" w:lineRule="auto" w:before="18"/>
              <w:ind w:left="108" w:right="103"/>
              <w:rPr>
                <w:sz w:val="20"/>
              </w:rPr>
            </w:pPr>
            <w:r>
              <w:rPr>
                <w:spacing w:val="-2"/>
                <w:w w:val="95"/>
                <w:sz w:val="20"/>
              </w:rPr>
              <w:t>因疾病或意外伤害导致单眼视力丧失及任何一肢自腕关节或踝关节近端</w:t>
            </w:r>
            <w:r>
              <w:rPr>
                <w:w w:val="95"/>
                <w:sz w:val="20"/>
              </w:rPr>
              <w:t>（靠近躯干端</w:t>
            </w:r>
            <w:r>
              <w:rPr>
                <w:spacing w:val="-44"/>
                <w:w w:val="95"/>
                <w:sz w:val="20"/>
              </w:rPr>
              <w:t>）</w:t>
            </w:r>
            <w:r>
              <w:rPr>
                <w:w w:val="95"/>
                <w:sz w:val="20"/>
              </w:rPr>
              <w:t>以   上完全性断离。</w:t>
            </w:r>
          </w:p>
          <w:p>
            <w:pPr>
              <w:pStyle w:val="TableParagraph"/>
              <w:spacing w:before="14"/>
              <w:ind w:left="108"/>
              <w:rPr>
                <w:sz w:val="20"/>
              </w:rPr>
            </w:pPr>
            <w:r>
              <w:rPr>
                <w:w w:val="95"/>
                <w:sz w:val="20"/>
              </w:rPr>
              <w:t>单眼视力丧失指单眼视力永久不可逆性丧失，患眼须满足下列至少一项条件：</w:t>
            </w:r>
          </w:p>
          <w:p>
            <w:pPr>
              <w:pStyle w:val="TableParagraph"/>
              <w:numPr>
                <w:ilvl w:val="0"/>
                <w:numId w:val="34"/>
              </w:numPr>
              <w:tabs>
                <w:tab w:pos="529" w:val="left" w:leader="none"/>
              </w:tabs>
              <w:spacing w:line="240" w:lineRule="auto" w:before="62" w:after="0"/>
              <w:ind w:left="528" w:right="0" w:hanging="420"/>
              <w:jc w:val="left"/>
              <w:rPr>
                <w:sz w:val="20"/>
              </w:rPr>
            </w:pPr>
            <w:r>
              <w:rPr>
                <w:w w:val="95"/>
                <w:sz w:val="20"/>
              </w:rPr>
              <w:t>眼球缺失或摘除；</w:t>
            </w:r>
          </w:p>
          <w:p>
            <w:pPr>
              <w:pStyle w:val="TableParagraph"/>
              <w:numPr>
                <w:ilvl w:val="0"/>
                <w:numId w:val="34"/>
              </w:numPr>
              <w:tabs>
                <w:tab w:pos="529" w:val="left" w:leader="none"/>
              </w:tabs>
              <w:spacing w:line="240" w:lineRule="auto" w:before="65" w:after="0"/>
              <w:ind w:left="528" w:right="0" w:hanging="420"/>
              <w:jc w:val="left"/>
              <w:rPr>
                <w:sz w:val="20"/>
              </w:rPr>
            </w:pPr>
            <w:r>
              <w:rPr>
                <w:spacing w:val="-8"/>
                <w:sz w:val="20"/>
              </w:rPr>
              <w:t>矫正视力低于 </w:t>
            </w:r>
            <w:r>
              <w:rPr>
                <w:sz w:val="20"/>
              </w:rPr>
              <w:t>0.02（采用国际标准视力表，如果使用其它视力表应进行换算）；</w:t>
            </w:r>
          </w:p>
          <w:p>
            <w:pPr>
              <w:pStyle w:val="TableParagraph"/>
              <w:numPr>
                <w:ilvl w:val="0"/>
                <w:numId w:val="34"/>
              </w:numPr>
              <w:tabs>
                <w:tab w:pos="529" w:val="left" w:leader="none"/>
              </w:tabs>
              <w:spacing w:line="240" w:lineRule="auto" w:before="65" w:after="0"/>
              <w:ind w:left="528" w:right="0" w:hanging="420"/>
              <w:jc w:val="left"/>
              <w:rPr>
                <w:sz w:val="20"/>
              </w:rPr>
            </w:pPr>
            <w:r>
              <w:rPr>
                <w:spacing w:val="-8"/>
                <w:sz w:val="20"/>
              </w:rPr>
              <w:t>视野半径小于 </w:t>
            </w:r>
            <w:r>
              <w:rPr>
                <w:sz w:val="20"/>
              </w:rPr>
              <w:t>5</w:t>
            </w:r>
            <w:r>
              <w:rPr>
                <w:spacing w:val="-1"/>
                <w:sz w:val="20"/>
              </w:rPr>
              <w:t> 度。</w:t>
            </w:r>
          </w:p>
          <w:p>
            <w:pPr>
              <w:pStyle w:val="TableParagraph"/>
              <w:spacing w:before="65"/>
              <w:ind w:left="108"/>
              <w:rPr>
                <w:b/>
                <w:sz w:val="20"/>
              </w:rPr>
            </w:pPr>
            <w:r>
              <w:rPr>
                <w:b/>
                <w:sz w:val="20"/>
              </w:rPr>
              <w:t>被保险人在 3 周岁之前因疾病导致单眼视力丧失不在保障范围内。</w:t>
            </w:r>
          </w:p>
        </w:tc>
      </w:tr>
      <w:tr>
        <w:trPr>
          <w:trHeight w:val="1677" w:hRule="atLeast"/>
        </w:trPr>
        <w:tc>
          <w:tcPr>
            <w:tcW w:w="1860" w:type="dxa"/>
          </w:tcPr>
          <w:p>
            <w:pPr>
              <w:pStyle w:val="TableParagraph"/>
              <w:spacing w:line="300" w:lineRule="auto" w:before="18"/>
              <w:ind w:right="74"/>
              <w:jc w:val="both"/>
              <w:rPr>
                <w:sz w:val="20"/>
              </w:rPr>
            </w:pPr>
            <w:r>
              <w:rPr>
                <w:sz w:val="20"/>
              </w:rPr>
              <w:t>54. 严重获得性或继发性肺泡蛋白质</w:t>
            </w:r>
            <w:r>
              <w:rPr>
                <w:w w:val="95"/>
                <w:sz w:val="20"/>
              </w:rPr>
              <w:t>沉积症</w:t>
            </w:r>
          </w:p>
        </w:tc>
        <w:tc>
          <w:tcPr>
            <w:tcW w:w="7933" w:type="dxa"/>
          </w:tcPr>
          <w:p>
            <w:pPr>
              <w:pStyle w:val="TableParagraph"/>
              <w:spacing w:line="300" w:lineRule="auto" w:before="18"/>
              <w:ind w:left="108" w:right="101"/>
              <w:rPr>
                <w:sz w:val="20"/>
              </w:rPr>
            </w:pPr>
            <w:r>
              <w:rPr>
                <w:spacing w:val="-3"/>
                <w:w w:val="95"/>
                <w:sz w:val="20"/>
              </w:rPr>
              <w:t>因获得性或继发性原因导致双肺肺泡和细支气管腔内充满不可溶性富磷脂蛋白的疾病。理   赔时须满足下列所有条件：</w:t>
            </w:r>
          </w:p>
          <w:p>
            <w:pPr>
              <w:pStyle w:val="TableParagraph"/>
              <w:numPr>
                <w:ilvl w:val="0"/>
                <w:numId w:val="35"/>
              </w:numPr>
              <w:tabs>
                <w:tab w:pos="529" w:val="left" w:leader="none"/>
              </w:tabs>
              <w:spacing w:line="300" w:lineRule="auto" w:before="15" w:after="0"/>
              <w:ind w:left="528" w:right="97" w:hanging="420"/>
              <w:jc w:val="left"/>
              <w:rPr>
                <w:sz w:val="20"/>
              </w:rPr>
            </w:pPr>
            <w:r>
              <w:rPr>
                <w:spacing w:val="-1"/>
                <w:w w:val="95"/>
                <w:sz w:val="20"/>
              </w:rPr>
              <w:t>支气管镜活检或开胸肺活检病理检查证实肺泡内充满有过碘酸雪夫</w:t>
            </w:r>
            <w:r>
              <w:rPr>
                <w:w w:val="95"/>
                <w:sz w:val="20"/>
              </w:rPr>
              <w:t>（PAS）染色阳性  的蛋白样物质；</w:t>
            </w:r>
          </w:p>
          <w:p>
            <w:pPr>
              <w:pStyle w:val="TableParagraph"/>
              <w:numPr>
                <w:ilvl w:val="0"/>
                <w:numId w:val="35"/>
              </w:numPr>
              <w:tabs>
                <w:tab w:pos="529" w:val="left" w:leader="none"/>
              </w:tabs>
              <w:spacing w:line="240" w:lineRule="auto" w:before="12" w:after="0"/>
              <w:ind w:left="528" w:right="0" w:hanging="420"/>
              <w:jc w:val="left"/>
              <w:rPr>
                <w:sz w:val="20"/>
              </w:rPr>
            </w:pPr>
            <w:r>
              <w:rPr>
                <w:w w:val="95"/>
                <w:sz w:val="20"/>
              </w:rPr>
              <w:t>被保险人因中重度呼吸困难或低氧血症而实际已行全身麻醉下的全肺灌洗治疗。</w:t>
            </w:r>
          </w:p>
        </w:tc>
      </w:tr>
      <w:tr>
        <w:trPr>
          <w:trHeight w:val="1350" w:hRule="atLeast"/>
        </w:trPr>
        <w:tc>
          <w:tcPr>
            <w:tcW w:w="1860" w:type="dxa"/>
          </w:tcPr>
          <w:p>
            <w:pPr>
              <w:pStyle w:val="TableParagraph"/>
              <w:spacing w:line="297" w:lineRule="auto" w:before="18"/>
              <w:ind w:right="74"/>
              <w:rPr>
                <w:sz w:val="20"/>
              </w:rPr>
            </w:pPr>
            <w:r>
              <w:rPr>
                <w:sz w:val="20"/>
              </w:rPr>
              <w:t>55. 肺淋巴管肌瘤病</w:t>
            </w:r>
          </w:p>
        </w:tc>
        <w:tc>
          <w:tcPr>
            <w:tcW w:w="7933" w:type="dxa"/>
          </w:tcPr>
          <w:p>
            <w:pPr>
              <w:pStyle w:val="TableParagraph"/>
              <w:spacing w:line="297" w:lineRule="auto" w:before="18"/>
              <w:ind w:left="108" w:right="103"/>
              <w:rPr>
                <w:sz w:val="20"/>
              </w:rPr>
            </w:pPr>
            <w:r>
              <w:rPr>
                <w:spacing w:val="-4"/>
                <w:w w:val="95"/>
                <w:sz w:val="20"/>
              </w:rPr>
              <w:t>肺淋巴管肌瘤病是一种弥漫性肺部疾病，主要病理改变为肺间质、支气管、血管和淋巴管   内出现未成熟的平滑肌异常增生，同时需满足下列全部条件：</w:t>
            </w:r>
          </w:p>
          <w:p>
            <w:pPr>
              <w:pStyle w:val="TableParagraph"/>
              <w:spacing w:before="16"/>
              <w:ind w:left="108"/>
              <w:rPr>
                <w:sz w:val="20"/>
              </w:rPr>
            </w:pPr>
            <w:r>
              <w:rPr>
                <w:w w:val="95"/>
                <w:sz w:val="20"/>
              </w:rPr>
              <w:t>(1）经组织病理学诊断；</w:t>
            </w:r>
          </w:p>
          <w:p>
            <w:pPr>
              <w:pStyle w:val="TableParagraph"/>
              <w:spacing w:before="64"/>
              <w:ind w:left="108"/>
              <w:rPr>
                <w:sz w:val="20"/>
              </w:rPr>
            </w:pPr>
            <w:r>
              <w:rPr>
                <w:sz w:val="20"/>
              </w:rPr>
              <w:t>(2）CT 显示双肺弥漫性囊性改变；</w:t>
            </w:r>
          </w:p>
        </w:tc>
      </w:tr>
    </w:tbl>
    <w:p>
      <w:pPr>
        <w:spacing w:after="0"/>
        <w:rPr>
          <w:sz w:val="20"/>
        </w:rPr>
        <w:sectPr>
          <w:pgSz w:w="11910" w:h="16840"/>
          <w:pgMar w:header="0" w:footer="831" w:top="1420" w:bottom="1020" w:left="840" w:right="1040"/>
        </w:sectPr>
      </w:pPr>
    </w:p>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3"/>
      </w:tblGrid>
      <w:tr>
        <w:trPr>
          <w:trHeight w:val="381" w:hRule="atLeast"/>
        </w:trPr>
        <w:tc>
          <w:tcPr>
            <w:tcW w:w="1860" w:type="dxa"/>
            <w:shd w:val="clear" w:color="auto" w:fill="D7D7D7"/>
          </w:tcPr>
          <w:p>
            <w:pPr>
              <w:pStyle w:val="TableParagraph"/>
              <w:spacing w:before="28"/>
              <w:ind w:left="326"/>
              <w:rPr>
                <w:b/>
                <w:sz w:val="20"/>
              </w:rPr>
            </w:pPr>
            <w:r>
              <w:rPr>
                <w:b/>
                <w:w w:val="95"/>
                <w:sz w:val="20"/>
              </w:rPr>
              <w:t>重大疾病名称</w:t>
            </w:r>
          </w:p>
        </w:tc>
        <w:tc>
          <w:tcPr>
            <w:tcW w:w="7933" w:type="dxa"/>
            <w:shd w:val="clear" w:color="auto" w:fill="D7D7D7"/>
          </w:tcPr>
          <w:p>
            <w:pPr>
              <w:pStyle w:val="TableParagraph"/>
              <w:spacing w:before="28"/>
              <w:ind w:left="237" w:right="224"/>
              <w:jc w:val="center"/>
              <w:rPr>
                <w:b/>
                <w:sz w:val="20"/>
              </w:rPr>
            </w:pPr>
            <w:r>
              <w:rPr>
                <w:b/>
                <w:sz w:val="20"/>
              </w:rPr>
              <w:t>定义</w:t>
            </w:r>
          </w:p>
        </w:tc>
      </w:tr>
      <w:tr>
        <w:trPr>
          <w:trHeight w:val="371" w:hRule="atLeast"/>
        </w:trPr>
        <w:tc>
          <w:tcPr>
            <w:tcW w:w="1860" w:type="dxa"/>
          </w:tcPr>
          <w:p>
            <w:pPr>
              <w:pStyle w:val="TableParagraph"/>
              <w:ind w:left="0"/>
              <w:rPr>
                <w:rFonts w:ascii="Times New Roman"/>
                <w:sz w:val="18"/>
              </w:rPr>
            </w:pPr>
          </w:p>
        </w:tc>
        <w:tc>
          <w:tcPr>
            <w:tcW w:w="7933" w:type="dxa"/>
          </w:tcPr>
          <w:p>
            <w:pPr>
              <w:pStyle w:val="TableParagraph"/>
              <w:spacing w:before="18"/>
              <w:ind w:left="108"/>
              <w:rPr>
                <w:sz w:val="20"/>
              </w:rPr>
            </w:pPr>
            <w:r>
              <w:rPr>
                <w:w w:val="95"/>
                <w:sz w:val="20"/>
              </w:rPr>
              <w:t>(3）休息时出现呼吸困难或经本公司认可医院的专科医生认可有必要进行肺移植手术。</w:t>
            </w:r>
          </w:p>
        </w:tc>
      </w:tr>
      <w:tr>
        <w:trPr>
          <w:trHeight w:val="2003" w:hRule="atLeast"/>
        </w:trPr>
        <w:tc>
          <w:tcPr>
            <w:tcW w:w="1860" w:type="dxa"/>
          </w:tcPr>
          <w:p>
            <w:pPr>
              <w:pStyle w:val="TableParagraph"/>
              <w:spacing w:line="300" w:lineRule="auto" w:before="18"/>
              <w:ind w:right="74"/>
              <w:rPr>
                <w:sz w:val="20"/>
              </w:rPr>
            </w:pPr>
            <w:r>
              <w:rPr>
                <w:sz w:val="20"/>
              </w:rPr>
              <w:t>56. 感染性心内膜炎</w:t>
            </w:r>
          </w:p>
        </w:tc>
        <w:tc>
          <w:tcPr>
            <w:tcW w:w="7933" w:type="dxa"/>
          </w:tcPr>
          <w:p>
            <w:pPr>
              <w:pStyle w:val="TableParagraph"/>
              <w:spacing w:before="18"/>
              <w:ind w:left="108"/>
              <w:rPr>
                <w:sz w:val="20"/>
              </w:rPr>
            </w:pPr>
            <w:r>
              <w:rPr>
                <w:sz w:val="20"/>
              </w:rPr>
              <w:t>是指由感染性微生物导致的心脏内膜炎症，并须符合下</w:t>
            </w:r>
            <w:r>
              <w:rPr>
                <w:rFonts w:ascii="Arial" w:eastAsia="Arial"/>
                <w:w w:val="115"/>
                <w:sz w:val="20"/>
              </w:rPr>
              <w:t>列</w:t>
            </w:r>
            <w:r>
              <w:rPr>
                <w:sz w:val="20"/>
              </w:rPr>
              <w:t>所有条件：</w:t>
            </w:r>
          </w:p>
          <w:p>
            <w:pPr>
              <w:pStyle w:val="TableParagraph"/>
              <w:numPr>
                <w:ilvl w:val="0"/>
                <w:numId w:val="36"/>
              </w:numPr>
              <w:tabs>
                <w:tab w:pos="512" w:val="left" w:leader="none"/>
              </w:tabs>
              <w:spacing w:line="240" w:lineRule="auto" w:before="50" w:after="0"/>
              <w:ind w:left="108" w:right="0" w:firstLine="0"/>
              <w:jc w:val="left"/>
              <w:rPr>
                <w:sz w:val="20"/>
              </w:rPr>
            </w:pPr>
            <w:r>
              <w:rPr>
                <w:w w:val="95"/>
                <w:sz w:val="20"/>
              </w:rPr>
              <w:t>血液细菌培养结果呈阳性，证明感染性微生物的存在；</w:t>
            </w:r>
          </w:p>
          <w:p>
            <w:pPr>
              <w:pStyle w:val="TableParagraph"/>
              <w:numPr>
                <w:ilvl w:val="0"/>
                <w:numId w:val="36"/>
              </w:numPr>
              <w:tabs>
                <w:tab w:pos="512" w:val="left" w:leader="none"/>
              </w:tabs>
              <w:spacing w:line="283" w:lineRule="auto" w:before="64" w:after="0"/>
              <w:ind w:left="108" w:right="65" w:firstLine="0"/>
              <w:jc w:val="left"/>
              <w:rPr>
                <w:sz w:val="20"/>
              </w:rPr>
            </w:pPr>
            <w:r>
              <w:rPr>
                <w:sz w:val="20"/>
              </w:rPr>
              <w:t>感染性心内膜炎导致至少中度的心脏瓣膜关闭</w:t>
            </w:r>
            <w:r>
              <w:rPr>
                <w:rFonts w:ascii="Arial" w:eastAsia="Arial"/>
                <w:sz w:val="20"/>
              </w:rPr>
              <w:t>不</w:t>
            </w:r>
            <w:r>
              <w:rPr>
                <w:sz w:val="20"/>
              </w:rPr>
              <w:t>全（</w:t>
            </w:r>
            <w:r>
              <w:rPr>
                <w:spacing w:val="-1"/>
                <w:sz w:val="20"/>
              </w:rPr>
              <w:t>即返流部分面积达 </w:t>
            </w:r>
            <w:r>
              <w:rPr>
                <w:sz w:val="20"/>
              </w:rPr>
              <w:t>20%或以上</w:t>
            </w:r>
            <w:r>
              <w:rPr>
                <w:spacing w:val="-72"/>
                <w:sz w:val="20"/>
              </w:rPr>
              <w:t>） </w:t>
            </w:r>
            <w:r>
              <w:rPr>
                <w:sz w:val="20"/>
              </w:rPr>
              <w:t>或中度的心脏瓣膜狭窄（</w:t>
            </w:r>
            <w:r>
              <w:rPr>
                <w:spacing w:val="-5"/>
                <w:sz w:val="20"/>
              </w:rPr>
              <w:t>即心脏瓣膜面积为正常值的 </w:t>
            </w:r>
            <w:r>
              <w:rPr>
                <w:sz w:val="20"/>
              </w:rPr>
              <w:t>30%或以下）；</w:t>
            </w:r>
          </w:p>
          <w:p>
            <w:pPr>
              <w:pStyle w:val="TableParagraph"/>
              <w:numPr>
                <w:ilvl w:val="0"/>
                <w:numId w:val="36"/>
              </w:numPr>
              <w:tabs>
                <w:tab w:pos="514" w:val="left" w:leader="none"/>
              </w:tabs>
              <w:spacing w:line="300" w:lineRule="auto" w:before="26" w:after="0"/>
              <w:ind w:left="108" w:right="106" w:firstLine="0"/>
              <w:jc w:val="left"/>
              <w:rPr>
                <w:sz w:val="20"/>
              </w:rPr>
            </w:pPr>
            <w:r>
              <w:rPr>
                <w:sz w:val="20"/>
              </w:rPr>
              <w:t>感染性心内膜炎的诊断及瓣膜受损的严重程度必须由本公司认可医院的心脏病专科</w:t>
            </w:r>
            <w:r>
              <w:rPr>
                <w:w w:val="95"/>
                <w:sz w:val="20"/>
              </w:rPr>
              <w:t>医生确定，并提供超声心动图或放射影像学检查结果报告以支持诊断。</w:t>
            </w:r>
          </w:p>
        </w:tc>
      </w:tr>
      <w:tr>
        <w:trPr>
          <w:trHeight w:val="1024" w:hRule="atLeast"/>
        </w:trPr>
        <w:tc>
          <w:tcPr>
            <w:tcW w:w="1860" w:type="dxa"/>
          </w:tcPr>
          <w:p>
            <w:pPr>
              <w:pStyle w:val="TableParagraph"/>
              <w:spacing w:before="16"/>
              <w:rPr>
                <w:sz w:val="20"/>
              </w:rPr>
            </w:pPr>
            <w:r>
              <w:rPr>
                <w:sz w:val="20"/>
              </w:rPr>
              <w:t>57. 肝豆状核变性</w:t>
            </w:r>
          </w:p>
          <w:p>
            <w:pPr>
              <w:pStyle w:val="TableParagraph"/>
              <w:spacing w:before="65"/>
              <w:rPr>
                <w:sz w:val="20"/>
              </w:rPr>
            </w:pPr>
            <w:r>
              <w:rPr>
                <w:w w:val="95"/>
                <w:sz w:val="20"/>
              </w:rPr>
              <w:t>（威尔逊氏病)</w:t>
            </w:r>
          </w:p>
        </w:tc>
        <w:tc>
          <w:tcPr>
            <w:tcW w:w="7933" w:type="dxa"/>
          </w:tcPr>
          <w:p>
            <w:pPr>
              <w:pStyle w:val="TableParagraph"/>
              <w:spacing w:line="300" w:lineRule="auto" w:before="16"/>
              <w:ind w:left="108" w:right="101"/>
              <w:jc w:val="both"/>
              <w:rPr>
                <w:sz w:val="20"/>
              </w:rPr>
            </w:pPr>
            <w:r>
              <w:rPr>
                <w:spacing w:val="-5"/>
                <w:w w:val="95"/>
                <w:sz w:val="20"/>
              </w:rPr>
              <w:t>威尔逊氏病是一种可能危及生命的铜代谢疾病，以铜沉积造成的渐进性肝功能损害及╱或   </w:t>
            </w:r>
            <w:r>
              <w:rPr>
                <w:spacing w:val="-11"/>
                <w:w w:val="95"/>
                <w:sz w:val="20"/>
              </w:rPr>
              <w:t>神经功能恶化为特征。必须由本公司认可医院的专科医生通过肝脏活组织检查结果确定诊  </w:t>
            </w:r>
            <w:r>
              <w:rPr>
                <w:spacing w:val="-14"/>
                <w:sz w:val="20"/>
              </w:rPr>
              <w:t>断并配合螯合剂治疗持续至少 </w:t>
            </w:r>
            <w:r>
              <w:rPr>
                <w:sz w:val="20"/>
              </w:rPr>
              <w:t>6</w:t>
            </w:r>
            <w:r>
              <w:rPr>
                <w:spacing w:val="-14"/>
                <w:sz w:val="20"/>
              </w:rPr>
              <w:t> 个月。</w:t>
            </w:r>
          </w:p>
        </w:tc>
      </w:tr>
      <w:tr>
        <w:trPr>
          <w:trHeight w:val="1348" w:hRule="atLeast"/>
        </w:trPr>
        <w:tc>
          <w:tcPr>
            <w:tcW w:w="1860" w:type="dxa"/>
          </w:tcPr>
          <w:p>
            <w:pPr>
              <w:pStyle w:val="TableParagraph"/>
              <w:spacing w:line="300" w:lineRule="auto" w:before="16"/>
              <w:ind w:right="74"/>
              <w:rPr>
                <w:sz w:val="20"/>
              </w:rPr>
            </w:pPr>
            <w:r>
              <w:rPr>
                <w:sz w:val="20"/>
              </w:rPr>
              <w:t>58. 破裂脑动脉瘤</w:t>
            </w:r>
            <w:r>
              <w:rPr>
                <w:w w:val="95"/>
                <w:sz w:val="20"/>
              </w:rPr>
              <w:t>夹闭手术</w:t>
            </w:r>
          </w:p>
        </w:tc>
        <w:tc>
          <w:tcPr>
            <w:tcW w:w="7933" w:type="dxa"/>
          </w:tcPr>
          <w:p>
            <w:pPr>
              <w:pStyle w:val="TableParagraph"/>
              <w:spacing w:line="300" w:lineRule="auto" w:before="16"/>
              <w:ind w:left="108" w:right="101"/>
              <w:rPr>
                <w:sz w:val="20"/>
              </w:rPr>
            </w:pPr>
            <w:r>
              <w:rPr>
                <w:spacing w:val="-5"/>
                <w:w w:val="95"/>
                <w:sz w:val="20"/>
              </w:rPr>
              <w:t>指因脑动脉瘤破裂造成蛛网膜下腔出血，被保险人实际接受了在全身麻醉下进行的开颅动   脉瘤夹闭手术。</w:t>
            </w:r>
          </w:p>
          <w:p>
            <w:pPr>
              <w:pStyle w:val="TableParagraph"/>
              <w:spacing w:line="300" w:lineRule="auto" w:before="15"/>
              <w:ind w:left="108" w:right="102"/>
              <w:rPr>
                <w:b/>
                <w:sz w:val="20"/>
              </w:rPr>
            </w:pPr>
            <w:r>
              <w:rPr>
                <w:b/>
                <w:sz w:val="20"/>
              </w:rPr>
              <w:t>脑动脉瘤（未破裂）预防性手术、颅骨打孔手术、动脉瘤栓塞手术、血管内手术及其他</w:t>
            </w:r>
            <w:r>
              <w:rPr>
                <w:b/>
                <w:w w:val="95"/>
                <w:sz w:val="20"/>
              </w:rPr>
              <w:t>颅脑手术不在保障范围内。</w:t>
            </w:r>
          </w:p>
        </w:tc>
      </w:tr>
      <w:tr>
        <w:trPr>
          <w:trHeight w:val="4936" w:hRule="atLeast"/>
        </w:trPr>
        <w:tc>
          <w:tcPr>
            <w:tcW w:w="1860" w:type="dxa"/>
          </w:tcPr>
          <w:p>
            <w:pPr>
              <w:pStyle w:val="TableParagraph"/>
              <w:spacing w:line="300" w:lineRule="auto" w:before="18"/>
              <w:ind w:right="74"/>
              <w:jc w:val="both"/>
              <w:rPr>
                <w:sz w:val="20"/>
              </w:rPr>
            </w:pPr>
            <w:r>
              <w:rPr>
                <w:sz w:val="20"/>
              </w:rPr>
              <w:t>59. 因职业关系导致的人类免疫缺陷</w:t>
            </w:r>
            <w:r>
              <w:rPr>
                <w:w w:val="95"/>
                <w:sz w:val="20"/>
              </w:rPr>
              <w:t>病毒感染</w:t>
            </w:r>
          </w:p>
        </w:tc>
        <w:tc>
          <w:tcPr>
            <w:tcW w:w="7933" w:type="dxa"/>
          </w:tcPr>
          <w:p>
            <w:pPr>
              <w:pStyle w:val="TableParagraph"/>
              <w:spacing w:line="300" w:lineRule="auto" w:before="18"/>
              <w:ind w:left="108" w:right="101"/>
              <w:rPr>
                <w:sz w:val="20"/>
              </w:rPr>
            </w:pPr>
            <w:r>
              <w:rPr>
                <w:spacing w:val="-5"/>
                <w:w w:val="95"/>
                <w:sz w:val="20"/>
              </w:rPr>
              <w:t>被保险人在其常规职业工作过程中遭遇外伤，或者职业需要处理血液或者其他体液时感染   人类免疫缺陷病毒（HIV）。</w:t>
            </w:r>
          </w:p>
          <w:p>
            <w:pPr>
              <w:pStyle w:val="TableParagraph"/>
              <w:spacing w:before="14"/>
              <w:ind w:left="108"/>
              <w:rPr>
                <w:sz w:val="20"/>
              </w:rPr>
            </w:pPr>
            <w:r>
              <w:rPr>
                <w:w w:val="95"/>
                <w:sz w:val="20"/>
              </w:rPr>
              <w:t>必须满足下列全部条件：</w:t>
            </w:r>
          </w:p>
          <w:p>
            <w:pPr>
              <w:pStyle w:val="TableParagraph"/>
              <w:numPr>
                <w:ilvl w:val="0"/>
                <w:numId w:val="37"/>
              </w:numPr>
              <w:tabs>
                <w:tab w:pos="529" w:val="left" w:leader="none"/>
              </w:tabs>
              <w:spacing w:line="300" w:lineRule="auto" w:before="62" w:after="0"/>
              <w:ind w:left="528" w:right="-15" w:hanging="420"/>
              <w:jc w:val="left"/>
              <w:rPr>
                <w:sz w:val="20"/>
              </w:rPr>
            </w:pPr>
            <w:r>
              <w:rPr>
                <w:spacing w:val="-1"/>
                <w:sz w:val="20"/>
              </w:rPr>
              <w:t>感染必须是在被保险人正在从事其职业工作中发生，该职业必须属于以下职业之一： </w:t>
            </w:r>
            <w:r>
              <w:rPr>
                <w:sz w:val="20"/>
              </w:rPr>
              <w:t>医生和牙科医生、护士、医院化验室工作人员、医生助理和牙医助理、救护车工作</w:t>
            </w:r>
            <w:r>
              <w:rPr>
                <w:w w:val="95"/>
                <w:sz w:val="20"/>
              </w:rPr>
              <w:t>人员、助产士、消防队员、警察、狱警；</w:t>
            </w:r>
          </w:p>
          <w:p>
            <w:pPr>
              <w:pStyle w:val="TableParagraph"/>
              <w:numPr>
                <w:ilvl w:val="0"/>
                <w:numId w:val="37"/>
              </w:numPr>
              <w:tabs>
                <w:tab w:pos="529" w:val="left" w:leader="none"/>
              </w:tabs>
              <w:spacing w:line="240" w:lineRule="auto" w:before="15" w:after="0"/>
              <w:ind w:left="528" w:right="0" w:hanging="420"/>
              <w:jc w:val="left"/>
              <w:rPr>
                <w:sz w:val="20"/>
              </w:rPr>
            </w:pPr>
            <w:r>
              <w:rPr>
                <w:spacing w:val="-4"/>
                <w:sz w:val="20"/>
              </w:rPr>
              <w:t>血清转化必须出现在事故发生后的 </w:t>
            </w:r>
            <w:r>
              <w:rPr>
                <w:sz w:val="20"/>
              </w:rPr>
              <w:t>6</w:t>
            </w:r>
            <w:r>
              <w:rPr>
                <w:spacing w:val="-10"/>
                <w:sz w:val="20"/>
              </w:rPr>
              <w:t> 个月以内；</w:t>
            </w:r>
          </w:p>
          <w:p>
            <w:pPr>
              <w:pStyle w:val="TableParagraph"/>
              <w:numPr>
                <w:ilvl w:val="0"/>
                <w:numId w:val="37"/>
              </w:numPr>
              <w:tabs>
                <w:tab w:pos="529" w:val="left" w:leader="none"/>
              </w:tabs>
              <w:spacing w:line="300" w:lineRule="auto" w:before="65" w:after="0"/>
              <w:ind w:left="528" w:right="99" w:hanging="420"/>
              <w:jc w:val="left"/>
              <w:rPr>
                <w:sz w:val="20"/>
              </w:rPr>
            </w:pPr>
            <w:r>
              <w:rPr>
                <w:spacing w:val="-1"/>
                <w:sz w:val="20"/>
              </w:rPr>
              <w:t>必须提供被保险人在所报事故发生后的 </w:t>
            </w:r>
            <w:r>
              <w:rPr>
                <w:sz w:val="20"/>
              </w:rPr>
              <w:t>5</w:t>
            </w:r>
            <w:r>
              <w:rPr>
                <w:spacing w:val="-2"/>
                <w:sz w:val="20"/>
              </w:rPr>
              <w:t> 天以内进行的检查报告，该报告必须显示</w:t>
            </w:r>
            <w:r>
              <w:rPr>
                <w:spacing w:val="-9"/>
                <w:sz w:val="20"/>
              </w:rPr>
              <w:t>被保险人血液 </w:t>
            </w:r>
            <w:r>
              <w:rPr>
                <w:sz w:val="20"/>
              </w:rPr>
              <w:t>HIV</w:t>
            </w:r>
            <w:r>
              <w:rPr>
                <w:spacing w:val="-10"/>
                <w:sz w:val="20"/>
              </w:rPr>
              <w:t> 病毒阴性和</w:t>
            </w:r>
            <w:r>
              <w:rPr>
                <w:sz w:val="20"/>
              </w:rPr>
              <w:t>/</w:t>
            </w:r>
            <w:r>
              <w:rPr>
                <w:spacing w:val="-26"/>
                <w:sz w:val="20"/>
              </w:rPr>
              <w:t>或 </w:t>
            </w:r>
            <w:r>
              <w:rPr>
                <w:sz w:val="20"/>
              </w:rPr>
              <w:t>HIV</w:t>
            </w:r>
            <w:r>
              <w:rPr>
                <w:spacing w:val="-10"/>
                <w:sz w:val="20"/>
              </w:rPr>
              <w:t> 抗体阴性；</w:t>
            </w:r>
          </w:p>
          <w:p>
            <w:pPr>
              <w:pStyle w:val="TableParagraph"/>
              <w:numPr>
                <w:ilvl w:val="0"/>
                <w:numId w:val="37"/>
              </w:numPr>
              <w:tabs>
                <w:tab w:pos="529" w:val="left" w:leader="none"/>
              </w:tabs>
              <w:spacing w:line="240" w:lineRule="auto" w:before="12" w:after="0"/>
              <w:ind w:left="528" w:right="0" w:hanging="420"/>
              <w:jc w:val="left"/>
              <w:rPr>
                <w:sz w:val="20"/>
              </w:rPr>
            </w:pPr>
            <w:r>
              <w:rPr>
                <w:spacing w:val="-6"/>
                <w:sz w:val="20"/>
              </w:rPr>
              <w:t>必须在事故发生后的 </w:t>
            </w:r>
            <w:r>
              <w:rPr>
                <w:sz w:val="20"/>
              </w:rPr>
              <w:t>12</w:t>
            </w:r>
            <w:r>
              <w:rPr>
                <w:spacing w:val="-11"/>
                <w:sz w:val="20"/>
              </w:rPr>
              <w:t> 个月内证实被保险人体内存在 </w:t>
            </w:r>
            <w:r>
              <w:rPr>
                <w:sz w:val="20"/>
              </w:rPr>
              <w:t>HIV</w:t>
            </w:r>
            <w:r>
              <w:rPr>
                <w:spacing w:val="-19"/>
                <w:sz w:val="20"/>
              </w:rPr>
              <w:t> 病毒或者 </w:t>
            </w:r>
            <w:r>
              <w:rPr>
                <w:sz w:val="20"/>
              </w:rPr>
              <w:t>HIV</w:t>
            </w:r>
            <w:r>
              <w:rPr>
                <w:spacing w:val="-14"/>
                <w:sz w:val="20"/>
              </w:rPr>
              <w:t> 抗体。</w:t>
            </w:r>
          </w:p>
          <w:p>
            <w:pPr>
              <w:pStyle w:val="TableParagraph"/>
              <w:spacing w:line="300" w:lineRule="auto" w:before="64"/>
              <w:ind w:left="108" w:right="97"/>
              <w:rPr>
                <w:sz w:val="20"/>
              </w:rPr>
            </w:pPr>
            <w:r>
              <w:rPr>
                <w:spacing w:val="-2"/>
                <w:sz w:val="20"/>
              </w:rPr>
              <w:t>在任何治愈艾滋病</w:t>
            </w:r>
            <w:r>
              <w:rPr>
                <w:sz w:val="20"/>
              </w:rPr>
              <w:t>（AIDS）</w:t>
            </w:r>
            <w:r>
              <w:rPr>
                <w:spacing w:val="-14"/>
                <w:sz w:val="20"/>
              </w:rPr>
              <w:t>或阻止 </w:t>
            </w:r>
            <w:r>
              <w:rPr>
                <w:sz w:val="20"/>
              </w:rPr>
              <w:t>HIV</w:t>
            </w:r>
            <w:r>
              <w:rPr>
                <w:spacing w:val="-7"/>
                <w:sz w:val="20"/>
              </w:rPr>
              <w:t> 病毒作用的疗法被发现以后，或能防止 </w:t>
            </w:r>
            <w:r>
              <w:rPr>
                <w:sz w:val="20"/>
              </w:rPr>
              <w:t>AIDS</w:t>
            </w:r>
            <w:r>
              <w:rPr>
                <w:spacing w:val="-18"/>
                <w:sz w:val="20"/>
              </w:rPr>
              <w:t> 发生</w:t>
            </w:r>
            <w:r>
              <w:rPr>
                <w:spacing w:val="-18"/>
                <w:w w:val="95"/>
                <w:sz w:val="20"/>
              </w:rPr>
              <w:t>的医疗方法被研究出来以后，本保障将不再予以赔付。</w:t>
            </w:r>
          </w:p>
          <w:p>
            <w:pPr>
              <w:pStyle w:val="TableParagraph"/>
              <w:spacing w:line="300" w:lineRule="auto" w:before="14"/>
              <w:ind w:left="108" w:right="-15"/>
              <w:rPr>
                <w:sz w:val="20"/>
              </w:rPr>
            </w:pPr>
            <w:r>
              <w:rPr>
                <w:b/>
                <w:spacing w:val="-3"/>
                <w:sz w:val="20"/>
              </w:rPr>
              <w:t>任何因其他传播方式</w:t>
            </w:r>
            <w:r>
              <w:rPr>
                <w:b/>
                <w:sz w:val="20"/>
              </w:rPr>
              <w:t>（</w:t>
            </w:r>
            <w:r>
              <w:rPr>
                <w:b/>
                <w:spacing w:val="-5"/>
                <w:sz w:val="20"/>
              </w:rPr>
              <w:t>包括：性传播或静脉注射毒品</w:t>
            </w:r>
            <w:r>
              <w:rPr>
                <w:b/>
                <w:spacing w:val="-22"/>
                <w:sz w:val="20"/>
              </w:rPr>
              <w:t>）</w:t>
            </w:r>
            <w:r>
              <w:rPr>
                <w:b/>
                <w:spacing w:val="-13"/>
                <w:sz w:val="20"/>
              </w:rPr>
              <w:t>导致的 </w:t>
            </w:r>
            <w:r>
              <w:rPr>
                <w:b/>
                <w:sz w:val="20"/>
              </w:rPr>
              <w:t>HIV</w:t>
            </w:r>
            <w:r>
              <w:rPr>
                <w:b/>
                <w:spacing w:val="-3"/>
                <w:sz w:val="20"/>
              </w:rPr>
              <w:t> 感染不在保障范围内。</w:t>
            </w:r>
            <w:r>
              <w:rPr>
                <w:sz w:val="20"/>
              </w:rPr>
              <w:t>保险公司必须拥有获得使用被保险人的血液样本的权利和能够对这些样本进行独立检验</w:t>
            </w:r>
            <w:r>
              <w:rPr>
                <w:w w:val="95"/>
                <w:sz w:val="20"/>
              </w:rPr>
              <w:t>的权利。</w:t>
            </w:r>
          </w:p>
        </w:tc>
      </w:tr>
      <w:tr>
        <w:trPr>
          <w:trHeight w:val="2654" w:hRule="atLeast"/>
        </w:trPr>
        <w:tc>
          <w:tcPr>
            <w:tcW w:w="1860" w:type="dxa"/>
          </w:tcPr>
          <w:p>
            <w:pPr>
              <w:pStyle w:val="TableParagraph"/>
              <w:spacing w:line="300" w:lineRule="auto" w:before="18"/>
              <w:ind w:right="74"/>
              <w:rPr>
                <w:sz w:val="20"/>
              </w:rPr>
            </w:pPr>
            <w:r>
              <w:rPr>
                <w:sz w:val="20"/>
              </w:rPr>
              <w:t>60. 严重冠状动脉</w:t>
            </w:r>
            <w:r>
              <w:rPr>
                <w:w w:val="95"/>
                <w:sz w:val="20"/>
              </w:rPr>
              <w:t>粥样硬化性心脏病</w:t>
            </w:r>
          </w:p>
        </w:tc>
        <w:tc>
          <w:tcPr>
            <w:tcW w:w="7933" w:type="dxa"/>
          </w:tcPr>
          <w:p>
            <w:pPr>
              <w:pStyle w:val="TableParagraph"/>
              <w:spacing w:line="300" w:lineRule="auto" w:before="18"/>
              <w:ind w:left="108" w:right="101"/>
              <w:rPr>
                <w:sz w:val="20"/>
              </w:rPr>
            </w:pPr>
            <w:r>
              <w:rPr>
                <w:spacing w:val="-3"/>
                <w:w w:val="95"/>
                <w:sz w:val="20"/>
              </w:rPr>
              <w:t>指经心脏科专科医师根据冠状动脉造影检查结果确诊为主要血管严重狭窄性病变，须满足   下列至少一项条件：</w:t>
            </w:r>
          </w:p>
          <w:p>
            <w:pPr>
              <w:pStyle w:val="TableParagraph"/>
              <w:numPr>
                <w:ilvl w:val="0"/>
                <w:numId w:val="38"/>
              </w:numPr>
              <w:tabs>
                <w:tab w:pos="529" w:val="left" w:leader="none"/>
              </w:tabs>
              <w:spacing w:line="300" w:lineRule="auto" w:before="12" w:after="0"/>
              <w:ind w:left="528" w:right="97" w:hanging="420"/>
              <w:jc w:val="left"/>
              <w:rPr>
                <w:sz w:val="20"/>
              </w:rPr>
            </w:pPr>
            <w:r>
              <w:rPr>
                <w:sz w:val="20"/>
              </w:rPr>
              <w:t>左冠状动脉主干和右冠状动脉中，一支血管管腔堵塞≥</w:t>
            </w:r>
            <w:r>
              <w:rPr>
                <w:spacing w:val="1"/>
                <w:sz w:val="20"/>
              </w:rPr>
              <w:t>75</w:t>
            </w:r>
            <w:r>
              <w:rPr>
                <w:sz w:val="20"/>
              </w:rPr>
              <w:t>％，且另一支血管管腔堵</w:t>
            </w:r>
            <w:r>
              <w:rPr>
                <w:w w:val="95"/>
                <w:sz w:val="20"/>
              </w:rPr>
              <w:t>塞≥60％；</w:t>
            </w:r>
          </w:p>
          <w:p>
            <w:pPr>
              <w:pStyle w:val="TableParagraph"/>
              <w:numPr>
                <w:ilvl w:val="0"/>
                <w:numId w:val="38"/>
              </w:numPr>
              <w:tabs>
                <w:tab w:pos="529" w:val="left" w:leader="none"/>
              </w:tabs>
              <w:spacing w:line="300" w:lineRule="auto" w:before="15" w:after="0"/>
              <w:ind w:left="528" w:right="98" w:hanging="420"/>
              <w:jc w:val="left"/>
              <w:rPr>
                <w:sz w:val="20"/>
              </w:rPr>
            </w:pPr>
            <w:r>
              <w:rPr>
                <w:spacing w:val="-2"/>
                <w:sz w:val="20"/>
              </w:rPr>
              <w:t>左前降支、左回旋支和右冠状动脉中，至少一支血管管腔堵塞≥</w:t>
            </w:r>
            <w:r>
              <w:rPr>
                <w:sz w:val="20"/>
              </w:rPr>
              <w:t>75%，且其他两支血</w:t>
            </w:r>
            <w:r>
              <w:rPr>
                <w:w w:val="95"/>
                <w:sz w:val="20"/>
              </w:rPr>
              <w:t>管管腔堵塞均≥60%。</w:t>
            </w:r>
          </w:p>
          <w:p>
            <w:pPr>
              <w:pStyle w:val="TableParagraph"/>
              <w:spacing w:line="300" w:lineRule="auto" w:before="14"/>
              <w:ind w:left="108" w:right="102"/>
              <w:rPr>
                <w:b/>
                <w:sz w:val="20"/>
              </w:rPr>
            </w:pPr>
            <w:r>
              <w:rPr>
                <w:b/>
                <w:sz w:val="20"/>
              </w:rPr>
              <w:t>左前降支的分支血管、左回旋支的分支血管及右冠状动脉的分支血管的狭窄不作为本保</w:t>
            </w:r>
            <w:r>
              <w:rPr>
                <w:b/>
                <w:w w:val="95"/>
                <w:sz w:val="20"/>
              </w:rPr>
              <w:t>障的衡量指标。</w:t>
            </w:r>
          </w:p>
        </w:tc>
      </w:tr>
    </w:tbl>
    <w:p>
      <w:pPr>
        <w:spacing w:after="0" w:line="300" w:lineRule="auto"/>
        <w:rPr>
          <w:sz w:val="20"/>
        </w:rPr>
        <w:sectPr>
          <w:pgSz w:w="11910" w:h="16840"/>
          <w:pgMar w:header="0" w:footer="831" w:top="1420" w:bottom="1020" w:left="840" w:right="1040"/>
        </w:sectPr>
      </w:pPr>
    </w:p>
    <w:p>
      <w:pPr>
        <w:pStyle w:val="BodyText"/>
        <w:spacing w:before="9"/>
        <w:rPr>
          <w:rFonts w:ascii="Times New Roman"/>
          <w:sz w:val="5"/>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5"/>
        <w:gridCol w:w="2091"/>
        <w:gridCol w:w="7826"/>
      </w:tblGrid>
      <w:tr>
        <w:trPr>
          <w:trHeight w:val="264" w:hRule="atLeast"/>
        </w:trPr>
        <w:tc>
          <w:tcPr>
            <w:tcW w:w="525" w:type="dxa"/>
            <w:tcBorders>
              <w:bottom w:val="single" w:sz="4" w:space="0" w:color="000000"/>
            </w:tcBorders>
          </w:tcPr>
          <w:p>
            <w:pPr>
              <w:pStyle w:val="TableParagraph"/>
              <w:spacing w:line="199" w:lineRule="exact"/>
              <w:ind w:left="108"/>
              <w:rPr>
                <w:b/>
                <w:sz w:val="20"/>
              </w:rPr>
            </w:pPr>
            <w:r>
              <w:rPr>
                <w:b/>
                <w:sz w:val="20"/>
              </w:rPr>
              <w:t>释义</w:t>
            </w:r>
          </w:p>
        </w:tc>
        <w:tc>
          <w:tcPr>
            <w:tcW w:w="2091" w:type="dxa"/>
            <w:tcBorders>
              <w:bottom w:val="single" w:sz="4" w:space="0" w:color="000000"/>
            </w:tcBorders>
          </w:tcPr>
          <w:p>
            <w:pPr>
              <w:pStyle w:val="TableParagraph"/>
              <w:ind w:left="0"/>
              <w:rPr>
                <w:rFonts w:ascii="Times New Roman"/>
                <w:sz w:val="18"/>
              </w:rPr>
            </w:pPr>
          </w:p>
        </w:tc>
        <w:tc>
          <w:tcPr>
            <w:tcW w:w="7826" w:type="dxa"/>
            <w:tcBorders>
              <w:bottom w:val="single" w:sz="4" w:space="0" w:color="000000"/>
            </w:tcBorders>
          </w:tcPr>
          <w:p>
            <w:pPr>
              <w:pStyle w:val="TableParagraph"/>
              <w:ind w:left="0"/>
              <w:rPr>
                <w:rFonts w:ascii="Times New Roman"/>
                <w:sz w:val="18"/>
              </w:rPr>
            </w:pPr>
          </w:p>
        </w:tc>
      </w:tr>
      <w:tr>
        <w:trPr>
          <w:trHeight w:val="977" w:hRule="atLeast"/>
        </w:trPr>
        <w:tc>
          <w:tcPr>
            <w:tcW w:w="525" w:type="dxa"/>
            <w:tcBorders>
              <w:top w:val="single" w:sz="4" w:space="0" w:color="000000"/>
            </w:tcBorders>
          </w:tcPr>
          <w:p>
            <w:pPr>
              <w:pStyle w:val="TableParagraph"/>
              <w:spacing w:before="162"/>
              <w:ind w:left="28"/>
              <w:rPr>
                <w:b/>
                <w:sz w:val="20"/>
              </w:rPr>
            </w:pPr>
            <w:r>
              <w:rPr>
                <w:b/>
                <w:sz w:val="20"/>
              </w:rPr>
              <w:t>1.</w:t>
            </w:r>
          </w:p>
        </w:tc>
        <w:tc>
          <w:tcPr>
            <w:tcW w:w="2091" w:type="dxa"/>
            <w:tcBorders>
              <w:top w:val="single" w:sz="4" w:space="0" w:color="000000"/>
            </w:tcBorders>
          </w:tcPr>
          <w:p>
            <w:pPr>
              <w:pStyle w:val="TableParagraph"/>
              <w:spacing w:before="162"/>
              <w:ind w:left="293"/>
              <w:rPr>
                <w:b/>
                <w:sz w:val="20"/>
              </w:rPr>
            </w:pPr>
            <w:r>
              <w:rPr>
                <w:b/>
                <w:sz w:val="20"/>
              </w:rPr>
              <w:t>周岁</w:t>
            </w:r>
          </w:p>
        </w:tc>
        <w:tc>
          <w:tcPr>
            <w:tcW w:w="7826" w:type="dxa"/>
            <w:tcBorders>
              <w:top w:val="single" w:sz="4" w:space="0" w:color="000000"/>
            </w:tcBorders>
          </w:tcPr>
          <w:p>
            <w:pPr>
              <w:pStyle w:val="TableParagraph"/>
              <w:spacing w:line="300" w:lineRule="auto" w:before="162"/>
              <w:ind w:left="96" w:right="131"/>
              <w:rPr>
                <w:sz w:val="20"/>
              </w:rPr>
            </w:pPr>
            <w:r>
              <w:rPr>
                <w:w w:val="95"/>
                <w:sz w:val="20"/>
              </w:rPr>
              <w:t>以法定身份证明文件中记载的出生日期为基准，自出生之日起为零周岁，每经过一年增  加一周岁，不足一年的不计，依此类推。</w:t>
            </w:r>
          </w:p>
        </w:tc>
      </w:tr>
      <w:tr>
        <w:trPr>
          <w:trHeight w:val="651" w:hRule="atLeast"/>
        </w:trPr>
        <w:tc>
          <w:tcPr>
            <w:tcW w:w="525" w:type="dxa"/>
          </w:tcPr>
          <w:p>
            <w:pPr>
              <w:pStyle w:val="TableParagraph"/>
              <w:spacing w:before="164"/>
              <w:ind w:left="28"/>
              <w:rPr>
                <w:b/>
                <w:sz w:val="20"/>
              </w:rPr>
            </w:pPr>
            <w:r>
              <w:rPr>
                <w:b/>
                <w:sz w:val="20"/>
              </w:rPr>
              <w:t>2.</w:t>
            </w:r>
          </w:p>
        </w:tc>
        <w:tc>
          <w:tcPr>
            <w:tcW w:w="2091" w:type="dxa"/>
          </w:tcPr>
          <w:p>
            <w:pPr>
              <w:pStyle w:val="TableParagraph"/>
              <w:spacing w:before="164"/>
              <w:ind w:left="293"/>
              <w:rPr>
                <w:b/>
                <w:sz w:val="20"/>
              </w:rPr>
            </w:pPr>
            <w:r>
              <w:rPr>
                <w:b/>
                <w:sz w:val="20"/>
              </w:rPr>
              <w:t>满期日</w:t>
            </w:r>
          </w:p>
        </w:tc>
        <w:tc>
          <w:tcPr>
            <w:tcW w:w="7826" w:type="dxa"/>
          </w:tcPr>
          <w:p>
            <w:pPr>
              <w:pStyle w:val="TableParagraph"/>
              <w:spacing w:before="164"/>
              <w:ind w:left="96"/>
              <w:rPr>
                <w:sz w:val="20"/>
              </w:rPr>
            </w:pPr>
            <w:r>
              <w:rPr>
                <w:w w:val="95"/>
                <w:sz w:val="20"/>
              </w:rPr>
              <w:t>本附加合同订立时约定的保险期间届满之日。</w:t>
            </w:r>
          </w:p>
        </w:tc>
      </w:tr>
      <w:tr>
        <w:trPr>
          <w:trHeight w:val="3587" w:hRule="atLeast"/>
        </w:trPr>
        <w:tc>
          <w:tcPr>
            <w:tcW w:w="525" w:type="dxa"/>
          </w:tcPr>
          <w:p>
            <w:pPr>
              <w:pStyle w:val="TableParagraph"/>
              <w:spacing w:before="163"/>
              <w:ind w:left="28"/>
              <w:rPr>
                <w:b/>
                <w:sz w:val="20"/>
              </w:rPr>
            </w:pPr>
            <w:r>
              <w:rPr>
                <w:b/>
                <w:sz w:val="20"/>
              </w:rPr>
              <w:t>3.</w:t>
            </w:r>
          </w:p>
        </w:tc>
        <w:tc>
          <w:tcPr>
            <w:tcW w:w="2091" w:type="dxa"/>
          </w:tcPr>
          <w:p>
            <w:pPr>
              <w:pStyle w:val="TableParagraph"/>
              <w:spacing w:before="163"/>
              <w:ind w:left="293"/>
              <w:rPr>
                <w:b/>
                <w:sz w:val="20"/>
              </w:rPr>
            </w:pPr>
            <w:r>
              <w:rPr>
                <w:b/>
                <w:sz w:val="20"/>
              </w:rPr>
              <w:t>医院</w:t>
            </w:r>
          </w:p>
        </w:tc>
        <w:tc>
          <w:tcPr>
            <w:tcW w:w="7826" w:type="dxa"/>
          </w:tcPr>
          <w:p>
            <w:pPr>
              <w:pStyle w:val="TableParagraph"/>
              <w:spacing w:before="163"/>
              <w:ind w:left="96"/>
              <w:rPr>
                <w:sz w:val="20"/>
              </w:rPr>
            </w:pPr>
            <w:r>
              <w:rPr>
                <w:w w:val="95"/>
                <w:sz w:val="20"/>
              </w:rPr>
              <w:t>指同时符合下列条件的机构：</w:t>
            </w:r>
          </w:p>
          <w:p>
            <w:pPr>
              <w:pStyle w:val="TableParagraph"/>
              <w:numPr>
                <w:ilvl w:val="0"/>
                <w:numId w:val="39"/>
              </w:numPr>
              <w:tabs>
                <w:tab w:pos="777" w:val="left" w:leader="none"/>
              </w:tabs>
              <w:spacing w:line="300" w:lineRule="auto" w:before="64" w:after="0"/>
              <w:ind w:left="776" w:right="34" w:hanging="680"/>
              <w:jc w:val="both"/>
              <w:rPr>
                <w:sz w:val="20"/>
              </w:rPr>
            </w:pPr>
            <w:r>
              <w:rPr>
                <w:sz w:val="20"/>
              </w:rPr>
              <w:t>中华人民共和国境内合法经营的二级以上医院（含二级）或香港特别行政区、澳</w:t>
            </w:r>
            <w:r>
              <w:rPr>
                <w:w w:val="95"/>
                <w:sz w:val="20"/>
              </w:rPr>
              <w:t>门特别行政区及台湾地区医院；</w:t>
            </w:r>
          </w:p>
          <w:p>
            <w:pPr>
              <w:pStyle w:val="TableParagraph"/>
              <w:numPr>
                <w:ilvl w:val="0"/>
                <w:numId w:val="39"/>
              </w:numPr>
              <w:tabs>
                <w:tab w:pos="777" w:val="left" w:leader="none"/>
              </w:tabs>
              <w:spacing w:line="295" w:lineRule="auto" w:before="14" w:after="0"/>
              <w:ind w:left="776" w:right="29" w:hanging="680"/>
              <w:jc w:val="both"/>
              <w:rPr>
                <w:sz w:val="20"/>
              </w:rPr>
            </w:pPr>
            <w:r>
              <w:rPr>
                <w:sz w:val="20"/>
              </w:rPr>
              <w:t>具有符合中华人民共和国（包括香港特别行政区、澳门特别行政区及台湾地区） </w:t>
            </w:r>
            <w:r>
              <w:rPr>
                <w:spacing w:val="-6"/>
                <w:sz w:val="20"/>
              </w:rPr>
              <w:t>有关医院管理规则设施标准的医疗设备，且全天 </w:t>
            </w:r>
            <w:r>
              <w:rPr>
                <w:rFonts w:ascii="Times New Roman" w:eastAsia="Times New Roman"/>
                <w:sz w:val="20"/>
              </w:rPr>
              <w:t>24</w:t>
            </w:r>
            <w:r>
              <w:rPr>
                <w:rFonts w:ascii="Times New Roman" w:eastAsia="Times New Roman"/>
                <w:spacing w:val="-5"/>
                <w:sz w:val="20"/>
              </w:rPr>
              <w:t> </w:t>
            </w:r>
            <w:r>
              <w:rPr>
                <w:spacing w:val="-6"/>
                <w:sz w:val="20"/>
              </w:rPr>
              <w:t>小时有合格医师</w:t>
            </w:r>
            <w:r>
              <w:rPr>
                <w:sz w:val="20"/>
              </w:rPr>
              <w:t>（合格医师指具有与请求赔付的疾病相适应的专业资格认证和诊断处方权，且正在上述医院执业的医师，但投保人、被保险人本人及其直系亲属除外。）及护士驻院提供医疗</w:t>
            </w:r>
            <w:r>
              <w:rPr>
                <w:w w:val="95"/>
                <w:sz w:val="20"/>
              </w:rPr>
              <w:t>及护理服务；</w:t>
            </w:r>
          </w:p>
          <w:p>
            <w:pPr>
              <w:pStyle w:val="TableParagraph"/>
              <w:numPr>
                <w:ilvl w:val="0"/>
                <w:numId w:val="39"/>
              </w:numPr>
              <w:tabs>
                <w:tab w:pos="777" w:val="left" w:leader="none"/>
              </w:tabs>
              <w:spacing w:line="300" w:lineRule="auto" w:before="18" w:after="0"/>
              <w:ind w:left="776" w:right="32" w:hanging="680"/>
              <w:jc w:val="both"/>
              <w:rPr>
                <w:b/>
                <w:sz w:val="20"/>
              </w:rPr>
            </w:pPr>
            <w:r>
              <w:rPr>
                <w:b/>
                <w:spacing w:val="-2"/>
                <w:w w:val="95"/>
                <w:sz w:val="20"/>
              </w:rPr>
              <w:t>不包括未达卫生行政管理规定的二级医院标准的分院、联合医院及病房、外设挂  靠的门诊部、康复、疗养、戒酒、戒毒或类似的医疗机构。</w:t>
            </w:r>
          </w:p>
        </w:tc>
      </w:tr>
      <w:tr>
        <w:trPr>
          <w:trHeight w:val="1956" w:hRule="atLeast"/>
        </w:trPr>
        <w:tc>
          <w:tcPr>
            <w:tcW w:w="525" w:type="dxa"/>
          </w:tcPr>
          <w:p>
            <w:pPr>
              <w:pStyle w:val="TableParagraph"/>
              <w:spacing w:before="164"/>
              <w:ind w:left="28"/>
              <w:rPr>
                <w:b/>
                <w:sz w:val="20"/>
              </w:rPr>
            </w:pPr>
            <w:r>
              <w:rPr>
                <w:b/>
                <w:sz w:val="20"/>
              </w:rPr>
              <w:t>4.</w:t>
            </w:r>
          </w:p>
        </w:tc>
        <w:tc>
          <w:tcPr>
            <w:tcW w:w="2091" w:type="dxa"/>
          </w:tcPr>
          <w:p>
            <w:pPr>
              <w:pStyle w:val="TableParagraph"/>
              <w:spacing w:before="164"/>
              <w:ind w:left="293"/>
              <w:rPr>
                <w:b/>
                <w:sz w:val="20"/>
              </w:rPr>
            </w:pPr>
            <w:r>
              <w:rPr>
                <w:b/>
                <w:sz w:val="20"/>
              </w:rPr>
              <w:t>专科医生</w:t>
            </w:r>
          </w:p>
        </w:tc>
        <w:tc>
          <w:tcPr>
            <w:tcW w:w="7826" w:type="dxa"/>
          </w:tcPr>
          <w:p>
            <w:pPr>
              <w:pStyle w:val="TableParagraph"/>
              <w:spacing w:before="164"/>
              <w:ind w:left="96"/>
              <w:rPr>
                <w:sz w:val="20"/>
              </w:rPr>
            </w:pPr>
            <w:r>
              <w:rPr>
                <w:w w:val="95"/>
                <w:sz w:val="20"/>
              </w:rPr>
              <w:t>专科医生应当同时满足以下四项资格条件：</w:t>
            </w:r>
          </w:p>
          <w:p>
            <w:pPr>
              <w:pStyle w:val="TableParagraph"/>
              <w:numPr>
                <w:ilvl w:val="0"/>
                <w:numId w:val="40"/>
              </w:numPr>
              <w:tabs>
                <w:tab w:pos="777" w:val="left" w:leader="none"/>
              </w:tabs>
              <w:spacing w:line="240" w:lineRule="auto" w:before="62" w:after="0"/>
              <w:ind w:left="776" w:right="0" w:hanging="680"/>
              <w:jc w:val="left"/>
              <w:rPr>
                <w:sz w:val="20"/>
              </w:rPr>
            </w:pPr>
            <w:r>
              <w:rPr>
                <w:w w:val="95"/>
                <w:sz w:val="20"/>
              </w:rPr>
              <w:t>具有有效的中华人民共和国《医师资格证书》；</w:t>
            </w:r>
          </w:p>
          <w:p>
            <w:pPr>
              <w:pStyle w:val="TableParagraph"/>
              <w:numPr>
                <w:ilvl w:val="0"/>
                <w:numId w:val="40"/>
              </w:numPr>
              <w:tabs>
                <w:tab w:pos="777" w:val="left" w:leader="none"/>
              </w:tabs>
              <w:spacing w:line="240" w:lineRule="auto" w:before="64" w:after="0"/>
              <w:ind w:left="776" w:right="0" w:hanging="680"/>
              <w:jc w:val="left"/>
              <w:rPr>
                <w:sz w:val="20"/>
              </w:rPr>
            </w:pPr>
            <w:r>
              <w:rPr>
                <w:w w:val="95"/>
                <w:sz w:val="20"/>
              </w:rPr>
              <w:t>具有有效的中华人民共和国《医师执业证书》，并按期到相关部门登记注册；</w:t>
            </w:r>
          </w:p>
          <w:p>
            <w:pPr>
              <w:pStyle w:val="TableParagraph"/>
              <w:numPr>
                <w:ilvl w:val="0"/>
                <w:numId w:val="40"/>
              </w:numPr>
              <w:tabs>
                <w:tab w:pos="777" w:val="left" w:leader="none"/>
              </w:tabs>
              <w:spacing w:line="240" w:lineRule="auto" w:before="64" w:after="0"/>
              <w:ind w:left="776" w:right="0" w:hanging="680"/>
              <w:jc w:val="left"/>
              <w:rPr>
                <w:sz w:val="20"/>
              </w:rPr>
            </w:pPr>
            <w:r>
              <w:rPr>
                <w:w w:val="95"/>
                <w:sz w:val="20"/>
              </w:rPr>
              <w:t>具有有效的中华人民共和国主治医师或主治医师以上职称的《医师职称证书》；</w:t>
            </w:r>
          </w:p>
          <w:p>
            <w:pPr>
              <w:pStyle w:val="TableParagraph"/>
              <w:numPr>
                <w:ilvl w:val="0"/>
                <w:numId w:val="40"/>
              </w:numPr>
              <w:tabs>
                <w:tab w:pos="777" w:val="left" w:leader="none"/>
              </w:tabs>
              <w:spacing w:line="240" w:lineRule="auto" w:before="64" w:after="0"/>
              <w:ind w:left="776" w:right="0" w:hanging="680"/>
              <w:jc w:val="left"/>
              <w:rPr>
                <w:b/>
                <w:sz w:val="20"/>
              </w:rPr>
            </w:pPr>
            <w:r>
              <w:rPr>
                <w:b/>
                <w:w w:val="95"/>
                <w:sz w:val="20"/>
              </w:rPr>
              <w:t>在二级或二级以上医院的相应科室从事临床工作三年以上。</w:t>
            </w:r>
          </w:p>
        </w:tc>
      </w:tr>
      <w:tr>
        <w:trPr>
          <w:trHeight w:val="977" w:hRule="atLeast"/>
        </w:trPr>
        <w:tc>
          <w:tcPr>
            <w:tcW w:w="525" w:type="dxa"/>
          </w:tcPr>
          <w:p>
            <w:pPr>
              <w:pStyle w:val="TableParagraph"/>
              <w:spacing w:before="164"/>
              <w:ind w:left="28"/>
              <w:rPr>
                <w:b/>
                <w:sz w:val="20"/>
              </w:rPr>
            </w:pPr>
            <w:r>
              <w:rPr>
                <w:b/>
                <w:sz w:val="20"/>
              </w:rPr>
              <w:t>5.</w:t>
            </w:r>
          </w:p>
        </w:tc>
        <w:tc>
          <w:tcPr>
            <w:tcW w:w="2091" w:type="dxa"/>
          </w:tcPr>
          <w:p>
            <w:pPr>
              <w:pStyle w:val="TableParagraph"/>
              <w:spacing w:before="164"/>
              <w:ind w:left="293"/>
              <w:rPr>
                <w:b/>
                <w:sz w:val="20"/>
              </w:rPr>
            </w:pPr>
            <w:r>
              <w:rPr>
                <w:b/>
                <w:w w:val="95"/>
                <w:sz w:val="20"/>
              </w:rPr>
              <w:t>基本保险金额</w:t>
            </w:r>
          </w:p>
        </w:tc>
        <w:tc>
          <w:tcPr>
            <w:tcW w:w="7826" w:type="dxa"/>
          </w:tcPr>
          <w:p>
            <w:pPr>
              <w:pStyle w:val="TableParagraph"/>
              <w:spacing w:line="297" w:lineRule="auto" w:before="164"/>
              <w:ind w:left="96" w:right="131"/>
              <w:rPr>
                <w:sz w:val="20"/>
              </w:rPr>
            </w:pPr>
            <w:r>
              <w:rPr>
                <w:w w:val="95"/>
                <w:sz w:val="20"/>
              </w:rPr>
              <w:t>本附加合同所称的基本保险金额是指保险单所载本附加合同的保险金额，若该金额经本  附加合同其他条款的修正而发生变更，则以变更后的金额作为基本保险金额。</w:t>
            </w:r>
          </w:p>
        </w:tc>
      </w:tr>
      <w:tr>
        <w:trPr>
          <w:trHeight w:val="652" w:hRule="atLeast"/>
        </w:trPr>
        <w:tc>
          <w:tcPr>
            <w:tcW w:w="525" w:type="dxa"/>
          </w:tcPr>
          <w:p>
            <w:pPr>
              <w:pStyle w:val="TableParagraph"/>
              <w:spacing w:before="164"/>
              <w:ind w:left="28"/>
              <w:rPr>
                <w:b/>
                <w:sz w:val="20"/>
              </w:rPr>
            </w:pPr>
            <w:r>
              <w:rPr>
                <w:b/>
                <w:sz w:val="20"/>
              </w:rPr>
              <w:t>6.</w:t>
            </w:r>
          </w:p>
        </w:tc>
        <w:tc>
          <w:tcPr>
            <w:tcW w:w="2091" w:type="dxa"/>
          </w:tcPr>
          <w:p>
            <w:pPr>
              <w:pStyle w:val="TableParagraph"/>
              <w:spacing w:before="164"/>
              <w:ind w:left="293"/>
              <w:rPr>
                <w:b/>
                <w:sz w:val="20"/>
              </w:rPr>
            </w:pPr>
            <w:r>
              <w:rPr>
                <w:b/>
                <w:sz w:val="20"/>
              </w:rPr>
              <w:t>意外事故</w:t>
            </w:r>
          </w:p>
        </w:tc>
        <w:tc>
          <w:tcPr>
            <w:tcW w:w="7826" w:type="dxa"/>
          </w:tcPr>
          <w:p>
            <w:pPr>
              <w:pStyle w:val="TableParagraph"/>
              <w:spacing w:before="164"/>
              <w:ind w:left="96"/>
              <w:rPr>
                <w:sz w:val="20"/>
              </w:rPr>
            </w:pPr>
            <w:r>
              <w:rPr>
                <w:w w:val="95"/>
                <w:sz w:val="20"/>
              </w:rPr>
              <w:t>指外来的、突发的、非本意的、非疾病的使身体受到伤害的客观事件。</w:t>
            </w:r>
          </w:p>
        </w:tc>
      </w:tr>
      <w:tr>
        <w:trPr>
          <w:trHeight w:val="1629" w:hRule="atLeast"/>
        </w:trPr>
        <w:tc>
          <w:tcPr>
            <w:tcW w:w="525" w:type="dxa"/>
          </w:tcPr>
          <w:p>
            <w:pPr>
              <w:pStyle w:val="TableParagraph"/>
              <w:spacing w:before="164"/>
              <w:ind w:left="28"/>
              <w:rPr>
                <w:b/>
                <w:sz w:val="20"/>
              </w:rPr>
            </w:pPr>
            <w:r>
              <w:rPr>
                <w:b/>
                <w:sz w:val="20"/>
              </w:rPr>
              <w:t>7.</w:t>
            </w:r>
          </w:p>
        </w:tc>
        <w:tc>
          <w:tcPr>
            <w:tcW w:w="2091" w:type="dxa"/>
          </w:tcPr>
          <w:p>
            <w:pPr>
              <w:pStyle w:val="TableParagraph"/>
              <w:spacing w:line="300" w:lineRule="auto" w:before="164"/>
              <w:ind w:left="296" w:right="95" w:hanging="3"/>
              <w:rPr>
                <w:b/>
                <w:sz w:val="20"/>
              </w:rPr>
            </w:pPr>
            <w:r>
              <w:rPr>
                <w:b/>
                <w:w w:val="95"/>
                <w:sz w:val="20"/>
              </w:rPr>
              <w:t>患艾滋病或感染艾</w:t>
            </w:r>
            <w:r>
              <w:rPr>
                <w:b/>
                <w:sz w:val="20"/>
              </w:rPr>
              <w:t>滋病病毒</w:t>
            </w:r>
          </w:p>
        </w:tc>
        <w:tc>
          <w:tcPr>
            <w:tcW w:w="7826" w:type="dxa"/>
          </w:tcPr>
          <w:p>
            <w:pPr>
              <w:pStyle w:val="TableParagraph"/>
              <w:spacing w:line="300" w:lineRule="auto" w:before="164"/>
              <w:ind w:left="96" w:right="30"/>
              <w:rPr>
                <w:sz w:val="20"/>
              </w:rPr>
            </w:pPr>
            <w:r>
              <w:rPr>
                <w:spacing w:val="-5"/>
                <w:sz w:val="20"/>
              </w:rPr>
              <w:t>艾滋病病毒指人类免疫缺陷病毒，英文缩写为 </w:t>
            </w:r>
            <w:r>
              <w:rPr>
                <w:spacing w:val="-7"/>
                <w:sz w:val="20"/>
              </w:rPr>
              <w:t>HIV</w:t>
            </w:r>
            <w:r>
              <w:rPr>
                <w:spacing w:val="-3"/>
                <w:sz w:val="20"/>
              </w:rPr>
              <w:t>；艾滋病指人类免疫缺陷病毒引起的获</w:t>
            </w:r>
            <w:r>
              <w:rPr>
                <w:spacing w:val="-7"/>
                <w:sz w:val="20"/>
              </w:rPr>
              <w:t>得性免疫缺陷综合征，英文缩写为 </w:t>
            </w:r>
            <w:r>
              <w:rPr>
                <w:sz w:val="20"/>
              </w:rPr>
              <w:t>AIDS。</w:t>
            </w:r>
          </w:p>
          <w:p>
            <w:pPr>
              <w:pStyle w:val="TableParagraph"/>
              <w:spacing w:line="300" w:lineRule="auto" w:before="12"/>
              <w:ind w:left="96" w:right="38"/>
              <w:rPr>
                <w:b/>
                <w:sz w:val="20"/>
              </w:rPr>
            </w:pPr>
            <w:r>
              <w:rPr>
                <w:b/>
                <w:sz w:val="20"/>
              </w:rPr>
              <w:t>在人体血液或其它样本中检测到艾滋病病毒或其抗体呈阳性，没有出现临床症状或体征</w:t>
            </w:r>
            <w:r>
              <w:rPr>
                <w:b/>
                <w:w w:val="95"/>
                <w:sz w:val="20"/>
              </w:rPr>
              <w:t>的，为感染艾滋病病毒；如果同时出现了明显临床症状或体征的，为患艾滋病。</w:t>
            </w:r>
          </w:p>
        </w:tc>
      </w:tr>
      <w:tr>
        <w:trPr>
          <w:trHeight w:val="1305" w:hRule="atLeast"/>
        </w:trPr>
        <w:tc>
          <w:tcPr>
            <w:tcW w:w="525" w:type="dxa"/>
          </w:tcPr>
          <w:p>
            <w:pPr>
              <w:pStyle w:val="TableParagraph"/>
              <w:spacing w:before="164"/>
              <w:ind w:left="28"/>
              <w:rPr>
                <w:b/>
                <w:sz w:val="20"/>
              </w:rPr>
            </w:pPr>
            <w:r>
              <w:rPr>
                <w:b/>
                <w:sz w:val="20"/>
              </w:rPr>
              <w:t>8.</w:t>
            </w:r>
          </w:p>
        </w:tc>
        <w:tc>
          <w:tcPr>
            <w:tcW w:w="2091" w:type="dxa"/>
          </w:tcPr>
          <w:p>
            <w:pPr>
              <w:pStyle w:val="TableParagraph"/>
              <w:spacing w:before="164"/>
              <w:ind w:left="293"/>
              <w:rPr>
                <w:b/>
                <w:sz w:val="20"/>
              </w:rPr>
            </w:pPr>
            <w:r>
              <w:rPr>
                <w:b/>
                <w:sz w:val="20"/>
              </w:rPr>
              <w:t>酒后驾驶</w:t>
            </w:r>
          </w:p>
        </w:tc>
        <w:tc>
          <w:tcPr>
            <w:tcW w:w="7826" w:type="dxa"/>
          </w:tcPr>
          <w:p>
            <w:pPr>
              <w:pStyle w:val="TableParagraph"/>
              <w:spacing w:line="300" w:lineRule="auto" w:before="164"/>
              <w:ind w:left="96" w:right="41"/>
              <w:jc w:val="both"/>
              <w:rPr>
                <w:sz w:val="20"/>
              </w:rPr>
            </w:pPr>
            <w:r>
              <w:rPr>
                <w:sz w:val="20"/>
              </w:rPr>
              <w:t>指经检测或鉴定，发生事故时车辆驾驶人员每百毫升血液中的酒精含量达到或超过一定的标准，公安机关交通管理部门依据《道路交通安全法》的规定认定为饮酒后驾驶或醉</w:t>
            </w:r>
            <w:r>
              <w:rPr>
                <w:w w:val="95"/>
                <w:sz w:val="20"/>
              </w:rPr>
              <w:t>酒后驾驶。</w:t>
            </w:r>
          </w:p>
        </w:tc>
      </w:tr>
      <w:tr>
        <w:trPr>
          <w:trHeight w:val="1403" w:hRule="atLeast"/>
        </w:trPr>
        <w:tc>
          <w:tcPr>
            <w:tcW w:w="525" w:type="dxa"/>
          </w:tcPr>
          <w:p>
            <w:pPr>
              <w:pStyle w:val="TableParagraph"/>
              <w:spacing w:before="163"/>
              <w:ind w:left="28"/>
              <w:rPr>
                <w:b/>
                <w:sz w:val="20"/>
              </w:rPr>
            </w:pPr>
            <w:r>
              <w:rPr>
                <w:b/>
                <w:sz w:val="20"/>
              </w:rPr>
              <w:t>9.</w:t>
            </w:r>
          </w:p>
        </w:tc>
        <w:tc>
          <w:tcPr>
            <w:tcW w:w="2091" w:type="dxa"/>
          </w:tcPr>
          <w:p>
            <w:pPr>
              <w:pStyle w:val="TableParagraph"/>
              <w:spacing w:line="300" w:lineRule="auto" w:before="163"/>
              <w:ind w:left="296" w:right="95" w:hanging="3"/>
              <w:rPr>
                <w:b/>
                <w:sz w:val="20"/>
              </w:rPr>
            </w:pPr>
            <w:r>
              <w:rPr>
                <w:b/>
                <w:w w:val="95"/>
                <w:sz w:val="20"/>
              </w:rPr>
              <w:t>无合法有效驾驶证</w:t>
            </w:r>
            <w:r>
              <w:rPr>
                <w:b/>
                <w:sz w:val="20"/>
              </w:rPr>
              <w:t>驾驶</w:t>
            </w:r>
          </w:p>
        </w:tc>
        <w:tc>
          <w:tcPr>
            <w:tcW w:w="7826" w:type="dxa"/>
          </w:tcPr>
          <w:p>
            <w:pPr>
              <w:pStyle w:val="TableParagraph"/>
              <w:spacing w:before="163"/>
              <w:ind w:left="96"/>
              <w:rPr>
                <w:sz w:val="20"/>
              </w:rPr>
            </w:pPr>
            <w:r>
              <w:rPr>
                <w:w w:val="95"/>
                <w:sz w:val="20"/>
              </w:rPr>
              <w:t>指下列情形之一：</w:t>
            </w:r>
          </w:p>
          <w:p>
            <w:pPr>
              <w:pStyle w:val="TableParagraph"/>
              <w:numPr>
                <w:ilvl w:val="0"/>
                <w:numId w:val="41"/>
              </w:numPr>
              <w:tabs>
                <w:tab w:pos="777" w:val="left" w:leader="none"/>
              </w:tabs>
              <w:spacing w:line="240" w:lineRule="auto" w:before="64" w:after="0"/>
              <w:ind w:left="776" w:right="0" w:hanging="680"/>
              <w:jc w:val="left"/>
              <w:rPr>
                <w:sz w:val="20"/>
              </w:rPr>
            </w:pPr>
            <w:r>
              <w:rPr>
                <w:w w:val="95"/>
                <w:sz w:val="20"/>
              </w:rPr>
              <w:t>没有取得驾驶资格；</w:t>
            </w:r>
          </w:p>
          <w:p>
            <w:pPr>
              <w:pStyle w:val="TableParagraph"/>
              <w:numPr>
                <w:ilvl w:val="0"/>
                <w:numId w:val="41"/>
              </w:numPr>
              <w:tabs>
                <w:tab w:pos="777" w:val="left" w:leader="none"/>
              </w:tabs>
              <w:spacing w:line="240" w:lineRule="auto" w:before="64" w:after="0"/>
              <w:ind w:left="776" w:right="0" w:hanging="680"/>
              <w:jc w:val="left"/>
              <w:rPr>
                <w:sz w:val="20"/>
              </w:rPr>
            </w:pPr>
            <w:r>
              <w:rPr>
                <w:w w:val="95"/>
                <w:sz w:val="20"/>
              </w:rPr>
              <w:t>驾驶与驾驶证准驾车型不相符合的车辆；</w:t>
            </w:r>
          </w:p>
          <w:p>
            <w:pPr>
              <w:pStyle w:val="TableParagraph"/>
              <w:numPr>
                <w:ilvl w:val="0"/>
                <w:numId w:val="41"/>
              </w:numPr>
              <w:tabs>
                <w:tab w:pos="777" w:val="left" w:leader="none"/>
              </w:tabs>
              <w:spacing w:line="242" w:lineRule="exact" w:before="64" w:after="0"/>
              <w:ind w:left="776" w:right="0" w:hanging="680"/>
              <w:jc w:val="left"/>
              <w:rPr>
                <w:sz w:val="20"/>
              </w:rPr>
            </w:pPr>
            <w:r>
              <w:rPr>
                <w:w w:val="95"/>
                <w:sz w:val="20"/>
              </w:rPr>
              <w:t>持审验不合格或者未经审验的驾驶证驾驶；</w:t>
            </w:r>
          </w:p>
        </w:tc>
      </w:tr>
    </w:tbl>
    <w:p>
      <w:pPr>
        <w:spacing w:after="0" w:line="242" w:lineRule="exact"/>
        <w:jc w:val="left"/>
        <w:rPr>
          <w:sz w:val="20"/>
        </w:rPr>
        <w:sectPr>
          <w:pgSz w:w="11910" w:h="16840"/>
          <w:pgMar w:header="0" w:footer="831" w:top="1580" w:bottom="1020" w:left="68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6"/>
        <w:gridCol w:w="2040"/>
        <w:gridCol w:w="8096"/>
      </w:tblGrid>
      <w:tr>
        <w:trPr>
          <w:trHeight w:val="444" w:hRule="atLeast"/>
        </w:trPr>
        <w:tc>
          <w:tcPr>
            <w:tcW w:w="746" w:type="dxa"/>
          </w:tcPr>
          <w:p>
            <w:pPr>
              <w:pStyle w:val="TableParagraph"/>
              <w:ind w:left="0"/>
              <w:rPr>
                <w:rFonts w:ascii="Times New Roman"/>
                <w:sz w:val="18"/>
              </w:rPr>
            </w:pPr>
          </w:p>
        </w:tc>
        <w:tc>
          <w:tcPr>
            <w:tcW w:w="2040" w:type="dxa"/>
          </w:tcPr>
          <w:p>
            <w:pPr>
              <w:pStyle w:val="TableParagraph"/>
              <w:ind w:left="0"/>
              <w:rPr>
                <w:rFonts w:ascii="Times New Roman"/>
                <w:sz w:val="18"/>
              </w:rPr>
            </w:pPr>
          </w:p>
        </w:tc>
        <w:tc>
          <w:tcPr>
            <w:tcW w:w="8096" w:type="dxa"/>
          </w:tcPr>
          <w:p>
            <w:pPr>
              <w:pStyle w:val="TableParagraph"/>
              <w:spacing w:line="199" w:lineRule="exact"/>
              <w:ind w:left="97"/>
              <w:rPr>
                <w:sz w:val="20"/>
              </w:rPr>
            </w:pPr>
            <w:r>
              <w:rPr>
                <w:sz w:val="20"/>
              </w:rPr>
              <w:t>（4） 持学习驾驶证学习驾车时，无教练员随车指导，或不按指定时间、路线学习驾车。</w:t>
            </w:r>
          </w:p>
        </w:tc>
      </w:tr>
      <w:tr>
        <w:trPr>
          <w:trHeight w:val="1242" w:hRule="atLeast"/>
        </w:trPr>
        <w:tc>
          <w:tcPr>
            <w:tcW w:w="746" w:type="dxa"/>
          </w:tcPr>
          <w:p>
            <w:pPr>
              <w:pStyle w:val="TableParagraph"/>
              <w:spacing w:before="10"/>
              <w:ind w:left="0"/>
              <w:rPr>
                <w:rFonts w:ascii="Times New Roman"/>
                <w:sz w:val="15"/>
              </w:rPr>
            </w:pPr>
          </w:p>
          <w:p>
            <w:pPr>
              <w:pStyle w:val="TableParagraph"/>
              <w:ind w:left="200"/>
              <w:rPr>
                <w:b/>
                <w:sz w:val="20"/>
              </w:rPr>
            </w:pPr>
            <w:r>
              <w:rPr>
                <w:b/>
                <w:sz w:val="20"/>
              </w:rPr>
              <w:t>10.</w:t>
            </w:r>
          </w:p>
        </w:tc>
        <w:tc>
          <w:tcPr>
            <w:tcW w:w="2040" w:type="dxa"/>
          </w:tcPr>
          <w:p>
            <w:pPr>
              <w:pStyle w:val="TableParagraph"/>
              <w:spacing w:before="10"/>
              <w:ind w:left="0"/>
              <w:rPr>
                <w:rFonts w:ascii="Times New Roman"/>
                <w:sz w:val="15"/>
              </w:rPr>
            </w:pPr>
          </w:p>
          <w:p>
            <w:pPr>
              <w:pStyle w:val="TableParagraph"/>
              <w:ind w:left="244"/>
              <w:rPr>
                <w:b/>
                <w:sz w:val="20"/>
              </w:rPr>
            </w:pPr>
            <w:r>
              <w:rPr>
                <w:b/>
                <w:w w:val="95"/>
                <w:sz w:val="20"/>
              </w:rPr>
              <w:t>无有效行驶证</w:t>
            </w:r>
          </w:p>
        </w:tc>
        <w:tc>
          <w:tcPr>
            <w:tcW w:w="8096" w:type="dxa"/>
          </w:tcPr>
          <w:p>
            <w:pPr>
              <w:pStyle w:val="TableParagraph"/>
              <w:spacing w:before="10"/>
              <w:ind w:left="0"/>
              <w:rPr>
                <w:rFonts w:ascii="Times New Roman"/>
                <w:sz w:val="15"/>
              </w:rPr>
            </w:pPr>
          </w:p>
          <w:p>
            <w:pPr>
              <w:pStyle w:val="TableParagraph"/>
              <w:ind w:left="97"/>
              <w:rPr>
                <w:sz w:val="20"/>
              </w:rPr>
            </w:pPr>
            <w:r>
              <w:rPr>
                <w:w w:val="95"/>
                <w:sz w:val="20"/>
              </w:rPr>
              <w:t>指下列情形之一：</w:t>
            </w:r>
          </w:p>
          <w:p>
            <w:pPr>
              <w:pStyle w:val="TableParagraph"/>
              <w:numPr>
                <w:ilvl w:val="0"/>
                <w:numId w:val="42"/>
              </w:numPr>
              <w:tabs>
                <w:tab w:pos="778" w:val="left" w:leader="none"/>
              </w:tabs>
              <w:spacing w:line="240" w:lineRule="auto" w:before="64" w:after="0"/>
              <w:ind w:left="777" w:right="0" w:hanging="680"/>
              <w:jc w:val="left"/>
              <w:rPr>
                <w:sz w:val="20"/>
              </w:rPr>
            </w:pPr>
            <w:r>
              <w:rPr>
                <w:w w:val="95"/>
                <w:sz w:val="20"/>
              </w:rPr>
              <w:t>机动车被依法注销登记的；</w:t>
            </w:r>
          </w:p>
          <w:p>
            <w:pPr>
              <w:pStyle w:val="TableParagraph"/>
              <w:numPr>
                <w:ilvl w:val="0"/>
                <w:numId w:val="42"/>
              </w:numPr>
              <w:tabs>
                <w:tab w:pos="778" w:val="left" w:leader="none"/>
              </w:tabs>
              <w:spacing w:line="240" w:lineRule="auto" w:before="64" w:after="0"/>
              <w:ind w:left="777" w:right="0" w:hanging="680"/>
              <w:jc w:val="left"/>
              <w:rPr>
                <w:sz w:val="20"/>
              </w:rPr>
            </w:pPr>
            <w:r>
              <w:rPr>
                <w:w w:val="95"/>
                <w:sz w:val="20"/>
              </w:rPr>
              <w:t>未依法按时进行或通过机动车安全技术检验的。</w:t>
            </w:r>
          </w:p>
        </w:tc>
      </w:tr>
      <w:tr>
        <w:trPr>
          <w:trHeight w:val="895" w:hRule="atLeast"/>
        </w:trPr>
        <w:tc>
          <w:tcPr>
            <w:tcW w:w="746" w:type="dxa"/>
          </w:tcPr>
          <w:p>
            <w:pPr>
              <w:pStyle w:val="TableParagraph"/>
              <w:spacing w:before="82"/>
              <w:ind w:left="200"/>
              <w:rPr>
                <w:b/>
                <w:sz w:val="20"/>
              </w:rPr>
            </w:pPr>
            <w:r>
              <w:rPr>
                <w:b/>
                <w:sz w:val="20"/>
              </w:rPr>
              <w:t>11.</w:t>
            </w:r>
          </w:p>
        </w:tc>
        <w:tc>
          <w:tcPr>
            <w:tcW w:w="2040" w:type="dxa"/>
          </w:tcPr>
          <w:p>
            <w:pPr>
              <w:pStyle w:val="TableParagraph"/>
              <w:spacing w:before="82"/>
              <w:ind w:left="244"/>
              <w:rPr>
                <w:b/>
                <w:sz w:val="20"/>
              </w:rPr>
            </w:pPr>
            <w:r>
              <w:rPr>
                <w:b/>
                <w:w w:val="95"/>
                <w:sz w:val="20"/>
              </w:rPr>
              <w:t>遗传性疾病</w:t>
            </w:r>
          </w:p>
        </w:tc>
        <w:tc>
          <w:tcPr>
            <w:tcW w:w="8096" w:type="dxa"/>
          </w:tcPr>
          <w:p>
            <w:pPr>
              <w:pStyle w:val="TableParagraph"/>
              <w:spacing w:line="297" w:lineRule="auto" w:before="82"/>
              <w:ind w:left="97" w:right="304"/>
              <w:rPr>
                <w:sz w:val="20"/>
              </w:rPr>
            </w:pPr>
            <w:r>
              <w:rPr>
                <w:sz w:val="20"/>
              </w:rPr>
              <w:t>指生殖细胞或受精卵的遗传物质（染色体和基因）发生突变或畸变所引起的疾病，通常</w:t>
            </w:r>
            <w:r>
              <w:rPr>
                <w:w w:val="95"/>
                <w:sz w:val="20"/>
              </w:rPr>
              <w:t>具有由亲代传至后代的垂直传递的特征。</w:t>
            </w:r>
          </w:p>
        </w:tc>
      </w:tr>
      <w:tr>
        <w:trPr>
          <w:trHeight w:val="979" w:hRule="atLeast"/>
        </w:trPr>
        <w:tc>
          <w:tcPr>
            <w:tcW w:w="746" w:type="dxa"/>
          </w:tcPr>
          <w:p>
            <w:pPr>
              <w:pStyle w:val="TableParagraph"/>
              <w:spacing w:before="164"/>
              <w:ind w:left="200"/>
              <w:rPr>
                <w:b/>
                <w:sz w:val="20"/>
              </w:rPr>
            </w:pPr>
            <w:r>
              <w:rPr>
                <w:b/>
                <w:sz w:val="20"/>
              </w:rPr>
              <w:t>12.</w:t>
            </w:r>
          </w:p>
        </w:tc>
        <w:tc>
          <w:tcPr>
            <w:tcW w:w="2040" w:type="dxa"/>
          </w:tcPr>
          <w:p>
            <w:pPr>
              <w:pStyle w:val="TableParagraph"/>
              <w:spacing w:line="300" w:lineRule="auto" w:before="164"/>
              <w:ind w:left="246" w:right="94" w:hanging="3"/>
              <w:rPr>
                <w:b/>
                <w:sz w:val="20"/>
              </w:rPr>
            </w:pPr>
            <w:r>
              <w:rPr>
                <w:b/>
                <w:w w:val="95"/>
                <w:sz w:val="20"/>
              </w:rPr>
              <w:t>先天性畸形、变形或染色体异常</w:t>
            </w:r>
          </w:p>
        </w:tc>
        <w:tc>
          <w:tcPr>
            <w:tcW w:w="8096" w:type="dxa"/>
          </w:tcPr>
          <w:p>
            <w:pPr>
              <w:pStyle w:val="TableParagraph"/>
              <w:spacing w:line="300" w:lineRule="auto" w:before="164"/>
              <w:ind w:left="97" w:right="309"/>
              <w:rPr>
                <w:sz w:val="20"/>
              </w:rPr>
            </w:pPr>
            <w:r>
              <w:rPr>
                <w:sz w:val="20"/>
              </w:rPr>
              <w:t>指被保险人出生时就具有的畸形、变形或染色体异常。先天性畸形、变形和染色体异常</w:t>
            </w:r>
            <w:r>
              <w:rPr>
                <w:w w:val="95"/>
                <w:sz w:val="20"/>
              </w:rPr>
              <w:t>依照世界卫生组织《疾病和有关健康问题的国际统计分类》（ICD-10）确定。</w:t>
            </w:r>
          </w:p>
        </w:tc>
      </w:tr>
      <w:tr>
        <w:trPr>
          <w:trHeight w:val="977" w:hRule="atLeast"/>
        </w:trPr>
        <w:tc>
          <w:tcPr>
            <w:tcW w:w="746" w:type="dxa"/>
          </w:tcPr>
          <w:p>
            <w:pPr>
              <w:pStyle w:val="TableParagraph"/>
              <w:spacing w:before="164"/>
              <w:ind w:left="200"/>
              <w:rPr>
                <w:b/>
                <w:sz w:val="20"/>
              </w:rPr>
            </w:pPr>
            <w:r>
              <w:rPr>
                <w:b/>
                <w:sz w:val="20"/>
              </w:rPr>
              <w:t>13.</w:t>
            </w:r>
          </w:p>
        </w:tc>
        <w:tc>
          <w:tcPr>
            <w:tcW w:w="2040" w:type="dxa"/>
          </w:tcPr>
          <w:p>
            <w:pPr>
              <w:pStyle w:val="TableParagraph"/>
              <w:spacing w:before="164"/>
              <w:ind w:left="244"/>
              <w:rPr>
                <w:b/>
                <w:sz w:val="20"/>
              </w:rPr>
            </w:pPr>
            <w:r>
              <w:rPr>
                <w:b/>
                <w:w w:val="95"/>
                <w:sz w:val="20"/>
              </w:rPr>
              <w:t>未经过净保险费</w:t>
            </w:r>
          </w:p>
        </w:tc>
        <w:tc>
          <w:tcPr>
            <w:tcW w:w="8096" w:type="dxa"/>
          </w:tcPr>
          <w:p>
            <w:pPr>
              <w:pStyle w:val="TableParagraph"/>
              <w:spacing w:line="297" w:lineRule="auto" w:before="164"/>
              <w:ind w:left="97" w:right="299"/>
              <w:rPr>
                <w:sz w:val="20"/>
              </w:rPr>
            </w:pPr>
            <w:r>
              <w:rPr>
                <w:sz w:val="20"/>
              </w:rPr>
              <w:t>保险费×（1-（保单责任已经过天数/保险期间天数））×（1-35%）。其中经过天数不</w:t>
            </w:r>
            <w:r>
              <w:rPr>
                <w:w w:val="95"/>
                <w:sz w:val="20"/>
              </w:rPr>
              <w:t>足一天的按一天计算。</w:t>
            </w:r>
          </w:p>
        </w:tc>
      </w:tr>
      <w:tr>
        <w:trPr>
          <w:trHeight w:val="979" w:hRule="atLeast"/>
        </w:trPr>
        <w:tc>
          <w:tcPr>
            <w:tcW w:w="746" w:type="dxa"/>
          </w:tcPr>
          <w:p>
            <w:pPr>
              <w:pStyle w:val="TableParagraph"/>
              <w:spacing w:before="164"/>
              <w:ind w:left="200"/>
              <w:rPr>
                <w:b/>
                <w:sz w:val="20"/>
              </w:rPr>
            </w:pPr>
            <w:r>
              <w:rPr>
                <w:b/>
                <w:sz w:val="20"/>
              </w:rPr>
              <w:t>14.</w:t>
            </w:r>
          </w:p>
        </w:tc>
        <w:tc>
          <w:tcPr>
            <w:tcW w:w="2040" w:type="dxa"/>
          </w:tcPr>
          <w:p>
            <w:pPr>
              <w:pStyle w:val="TableParagraph"/>
              <w:spacing w:before="164"/>
              <w:ind w:left="244"/>
              <w:rPr>
                <w:b/>
                <w:sz w:val="20"/>
              </w:rPr>
            </w:pPr>
            <w:r>
              <w:rPr>
                <w:b/>
                <w:w w:val="95"/>
                <w:sz w:val="20"/>
              </w:rPr>
              <w:t>肢体机能完全丧失</w:t>
            </w:r>
          </w:p>
        </w:tc>
        <w:tc>
          <w:tcPr>
            <w:tcW w:w="8096" w:type="dxa"/>
          </w:tcPr>
          <w:p>
            <w:pPr>
              <w:pStyle w:val="TableParagraph"/>
              <w:spacing w:line="300" w:lineRule="auto" w:before="164"/>
              <w:ind w:left="97" w:right="309"/>
              <w:rPr>
                <w:sz w:val="20"/>
              </w:rPr>
            </w:pPr>
            <w:r>
              <w:rPr>
                <w:sz w:val="20"/>
              </w:rPr>
              <w:t>指肢体的三大关节中的两大关节僵硬，或不能随意识活动。肢体是指包括肩关节的整个</w:t>
            </w:r>
            <w:r>
              <w:rPr>
                <w:w w:val="95"/>
                <w:sz w:val="20"/>
              </w:rPr>
              <w:t>上肢或包括髋关节的整个下肢。</w:t>
            </w:r>
          </w:p>
        </w:tc>
      </w:tr>
      <w:tr>
        <w:trPr>
          <w:trHeight w:val="1792" w:hRule="atLeast"/>
        </w:trPr>
        <w:tc>
          <w:tcPr>
            <w:tcW w:w="746" w:type="dxa"/>
          </w:tcPr>
          <w:p>
            <w:pPr>
              <w:pStyle w:val="TableParagraph"/>
              <w:spacing w:before="164"/>
              <w:ind w:left="200"/>
              <w:rPr>
                <w:b/>
                <w:sz w:val="20"/>
              </w:rPr>
            </w:pPr>
            <w:r>
              <w:rPr>
                <w:b/>
                <w:sz w:val="20"/>
              </w:rPr>
              <w:t>15.</w:t>
            </w:r>
          </w:p>
        </w:tc>
        <w:tc>
          <w:tcPr>
            <w:tcW w:w="2040" w:type="dxa"/>
          </w:tcPr>
          <w:p>
            <w:pPr>
              <w:pStyle w:val="TableParagraph"/>
              <w:spacing w:line="297" w:lineRule="auto" w:before="164"/>
              <w:ind w:left="246" w:right="94" w:hanging="3"/>
              <w:rPr>
                <w:b/>
                <w:sz w:val="20"/>
              </w:rPr>
            </w:pPr>
            <w:r>
              <w:rPr>
                <w:b/>
                <w:w w:val="95"/>
                <w:sz w:val="20"/>
              </w:rPr>
              <w:t>语言能力或咀嚼吞咽能力完全丧失</w:t>
            </w:r>
          </w:p>
        </w:tc>
        <w:tc>
          <w:tcPr>
            <w:tcW w:w="8096" w:type="dxa"/>
          </w:tcPr>
          <w:p>
            <w:pPr>
              <w:pStyle w:val="TableParagraph"/>
              <w:spacing w:line="297" w:lineRule="auto" w:before="164"/>
              <w:ind w:left="97" w:right="309"/>
              <w:rPr>
                <w:sz w:val="20"/>
              </w:rPr>
            </w:pPr>
            <w:r>
              <w:rPr>
                <w:sz w:val="20"/>
              </w:rPr>
              <w:t>语言能力完全丧失，指无法发出四种语音（包括口唇音、齿舌音、口盖音和喉头音）中</w:t>
            </w:r>
            <w:r>
              <w:rPr>
                <w:w w:val="95"/>
                <w:sz w:val="20"/>
              </w:rPr>
              <w:t>的任何三种，或声带全部切除，或因大脑语言中枢受伤害而患失语症。</w:t>
            </w:r>
          </w:p>
          <w:p>
            <w:pPr>
              <w:pStyle w:val="TableParagraph"/>
              <w:spacing w:line="300" w:lineRule="auto" w:before="179"/>
              <w:ind w:left="97" w:right="309"/>
              <w:rPr>
                <w:sz w:val="20"/>
              </w:rPr>
            </w:pPr>
            <w:r>
              <w:rPr>
                <w:sz w:val="20"/>
              </w:rPr>
              <w:t>咀嚼吞咽能力完全丧失，指因牙齿以外的原因导致器质障碍或机能障碍，以致不能作咀</w:t>
            </w:r>
            <w:r>
              <w:rPr>
                <w:w w:val="95"/>
                <w:sz w:val="20"/>
              </w:rPr>
              <w:t>嚼吞咽运动，除流质食物外不能摄取或吞咽的状态。</w:t>
            </w:r>
          </w:p>
        </w:tc>
      </w:tr>
      <w:tr>
        <w:trPr>
          <w:trHeight w:val="1303" w:hRule="atLeast"/>
        </w:trPr>
        <w:tc>
          <w:tcPr>
            <w:tcW w:w="746" w:type="dxa"/>
          </w:tcPr>
          <w:p>
            <w:pPr>
              <w:pStyle w:val="TableParagraph"/>
              <w:spacing w:before="164"/>
              <w:ind w:left="200"/>
              <w:rPr>
                <w:b/>
                <w:sz w:val="20"/>
              </w:rPr>
            </w:pPr>
            <w:r>
              <w:rPr>
                <w:b/>
                <w:sz w:val="20"/>
              </w:rPr>
              <w:t>16.</w:t>
            </w:r>
          </w:p>
        </w:tc>
        <w:tc>
          <w:tcPr>
            <w:tcW w:w="2040" w:type="dxa"/>
          </w:tcPr>
          <w:p>
            <w:pPr>
              <w:pStyle w:val="TableParagraph"/>
              <w:spacing w:line="297" w:lineRule="auto" w:before="164"/>
              <w:ind w:left="246" w:right="94" w:hanging="3"/>
              <w:rPr>
                <w:b/>
                <w:sz w:val="20"/>
              </w:rPr>
            </w:pPr>
            <w:r>
              <w:rPr>
                <w:b/>
                <w:w w:val="95"/>
                <w:sz w:val="20"/>
              </w:rPr>
              <w:t>六项基本日常生活</w:t>
            </w:r>
            <w:r>
              <w:rPr>
                <w:b/>
                <w:sz w:val="20"/>
              </w:rPr>
              <w:t>活动</w:t>
            </w:r>
          </w:p>
        </w:tc>
        <w:tc>
          <w:tcPr>
            <w:tcW w:w="8096" w:type="dxa"/>
          </w:tcPr>
          <w:p>
            <w:pPr>
              <w:pStyle w:val="TableParagraph"/>
              <w:spacing w:line="297" w:lineRule="auto" w:before="164"/>
              <w:ind w:left="97" w:right="299"/>
              <w:jc w:val="both"/>
              <w:rPr>
                <w:sz w:val="20"/>
              </w:rPr>
            </w:pPr>
            <w:r>
              <w:rPr>
                <w:w w:val="95"/>
                <w:sz w:val="20"/>
              </w:rPr>
              <w:t>指（1）穿衣：自己能够穿衣及脱衣；（2）移动：自己从一个房间到另一个房间；（3）  </w:t>
            </w:r>
            <w:r>
              <w:rPr>
                <w:sz w:val="20"/>
              </w:rPr>
              <w:t>行动：自己上下床或上下轮椅；</w:t>
            </w:r>
            <w:r>
              <w:rPr>
                <w:spacing w:val="2"/>
                <w:sz w:val="20"/>
              </w:rPr>
              <w:t>（4）</w:t>
            </w:r>
            <w:r>
              <w:rPr>
                <w:sz w:val="20"/>
              </w:rPr>
              <w:t>如厕：自己控制进行大小便；</w:t>
            </w:r>
            <w:r>
              <w:rPr>
                <w:spacing w:val="1"/>
                <w:sz w:val="20"/>
              </w:rPr>
              <w:t>（5）</w:t>
            </w:r>
            <w:r>
              <w:rPr>
                <w:sz w:val="20"/>
              </w:rPr>
              <w:t>进食：自己从</w:t>
            </w:r>
            <w:r>
              <w:rPr>
                <w:w w:val="95"/>
                <w:sz w:val="20"/>
              </w:rPr>
              <w:t>已准备好的碗或碟中取食物放入口中；（6）洗澡：自己进行淋浴或盆浴。</w:t>
            </w:r>
          </w:p>
        </w:tc>
      </w:tr>
      <w:tr>
        <w:trPr>
          <w:trHeight w:val="752" w:hRule="atLeast"/>
        </w:trPr>
        <w:tc>
          <w:tcPr>
            <w:tcW w:w="746" w:type="dxa"/>
          </w:tcPr>
          <w:p>
            <w:pPr>
              <w:pStyle w:val="TableParagraph"/>
              <w:spacing w:before="164"/>
              <w:ind w:left="200"/>
              <w:rPr>
                <w:b/>
                <w:sz w:val="20"/>
              </w:rPr>
            </w:pPr>
            <w:r>
              <w:rPr>
                <w:b/>
                <w:sz w:val="20"/>
              </w:rPr>
              <w:t>17.</w:t>
            </w:r>
          </w:p>
        </w:tc>
        <w:tc>
          <w:tcPr>
            <w:tcW w:w="2040" w:type="dxa"/>
          </w:tcPr>
          <w:p>
            <w:pPr>
              <w:pStyle w:val="TableParagraph"/>
              <w:spacing w:before="164"/>
              <w:ind w:left="244"/>
              <w:rPr>
                <w:b/>
                <w:sz w:val="20"/>
              </w:rPr>
            </w:pPr>
            <w:r>
              <w:rPr>
                <w:b/>
                <w:w w:val="95"/>
                <w:sz w:val="20"/>
              </w:rPr>
              <w:t>永久不可逆</w:t>
            </w:r>
          </w:p>
        </w:tc>
        <w:tc>
          <w:tcPr>
            <w:tcW w:w="8096" w:type="dxa"/>
          </w:tcPr>
          <w:p>
            <w:pPr>
              <w:pStyle w:val="TableParagraph"/>
              <w:spacing w:line="320" w:lineRule="atLeast" w:before="106"/>
              <w:ind w:left="97" w:right="258"/>
              <w:rPr>
                <w:sz w:val="20"/>
              </w:rPr>
            </w:pPr>
            <w:r>
              <w:rPr>
                <w:sz w:val="20"/>
              </w:rPr>
              <w:t>指自疾病确诊或意外伤害发生之日起，经过积极治疗 180 天后仍无法通过现有医疗手段</w:t>
            </w:r>
            <w:r>
              <w:rPr>
                <w:w w:val="95"/>
                <w:sz w:val="20"/>
              </w:rPr>
              <w:t>恢复。</w:t>
            </w:r>
          </w:p>
        </w:tc>
      </w:tr>
    </w:tbl>
    <w:sectPr>
      <w:pgSz w:w="11910" w:h="16840"/>
      <w:pgMar w:header="0" w:footer="831" w:top="1480" w:bottom="1020" w:left="50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47.240002pt;margin-top:785.386597pt;width:114.1pt;height:20.4pt;mso-position-horizontal-relative:page;mso-position-vertical-relative:page;z-index:-45952" type="#_x0000_t202" filled="false" stroked="false">
          <v:textbox inset="0,0,0,0">
            <w:txbxContent>
              <w:p>
                <w:pPr>
                  <w:spacing w:line="179" w:lineRule="exact" w:before="0"/>
                  <w:ind w:left="20" w:right="0" w:firstLine="0"/>
                  <w:jc w:val="left"/>
                  <w:rPr>
                    <w:sz w:val="16"/>
                  </w:rPr>
                </w:pPr>
                <w:r>
                  <w:rPr>
                    <w:sz w:val="16"/>
                  </w:rPr>
                  <w:t>中德安联人寿保险有限公司</w:t>
                </w:r>
              </w:p>
              <w:p>
                <w:pPr>
                  <w:spacing w:line="208" w:lineRule="exact" w:before="0"/>
                  <w:ind w:left="20" w:right="0" w:firstLine="0"/>
                  <w:jc w:val="left"/>
                  <w:rPr>
                    <w:sz w:val="16"/>
                  </w:rPr>
                </w:pPr>
                <w:r>
                  <w:rPr>
                    <w:sz w:val="16"/>
                  </w:rPr>
                  <w:t>安联附加超级随心重大疾病保险</w:t>
                </w:r>
              </w:p>
            </w:txbxContent>
          </v:textbox>
          <w10:wrap type="none"/>
        </v:shape>
      </w:pict>
    </w:r>
    <w:r>
      <w:rPr/>
      <w:pict>
        <v:shape style="position:absolute;margin-left:469.380005pt;margin-top:785.386597pt;width:66.1pt;height:10.050pt;mso-position-horizontal-relative:page;mso-position-vertical-relative:page;z-index:-45928" type="#_x0000_t202" filled="false" stroked="false">
          <v:textbox inset="0,0,0,0">
            <w:txbxContent>
              <w:p>
                <w:pPr>
                  <w:spacing w:line="181" w:lineRule="exact" w:before="0"/>
                  <w:ind w:left="20" w:right="0" w:firstLine="0"/>
                  <w:jc w:val="left"/>
                  <w:rPr>
                    <w:sz w:val="16"/>
                  </w:rPr>
                </w:pPr>
                <w:r>
                  <w:rPr>
                    <w:sz w:val="16"/>
                  </w:rPr>
                  <w:t>第 </w:t>
                </w:r>
                <w:r>
                  <w:rPr/>
                  <w:fldChar w:fldCharType="begin"/>
                </w:r>
                <w:r>
                  <w:rPr>
                    <w:sz w:val="16"/>
                  </w:rPr>
                  <w:instrText> PAGE </w:instrText>
                </w:r>
                <w:r>
                  <w:rPr/>
                  <w:fldChar w:fldCharType="separate"/>
                </w:r>
                <w:r>
                  <w:rPr/>
                  <w:t>3</w:t>
                </w:r>
                <w:r>
                  <w:rPr/>
                  <w:fldChar w:fldCharType="end"/>
                </w:r>
                <w:r>
                  <w:rPr>
                    <w:sz w:val="16"/>
                  </w:rPr>
                  <w:t> 页 共 18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1pt;margin-top:538.786621pt;width:114.1pt;height:20.4pt;mso-position-horizontal-relative:page;mso-position-vertical-relative:page;z-index:-45904" type="#_x0000_t202" filled="false" stroked="false">
          <v:textbox inset="0,0,0,0">
            <w:txbxContent>
              <w:p>
                <w:pPr>
                  <w:spacing w:line="179" w:lineRule="exact" w:before="0"/>
                  <w:ind w:left="20" w:right="0" w:firstLine="0"/>
                  <w:jc w:val="left"/>
                  <w:rPr>
                    <w:sz w:val="16"/>
                  </w:rPr>
                </w:pPr>
                <w:r>
                  <w:rPr>
                    <w:sz w:val="16"/>
                  </w:rPr>
                  <w:t>中德安联人寿保险有限公司</w:t>
                </w:r>
              </w:p>
              <w:p>
                <w:pPr>
                  <w:spacing w:line="208" w:lineRule="exact" w:before="0"/>
                  <w:ind w:left="20" w:right="0" w:firstLine="0"/>
                  <w:jc w:val="left"/>
                  <w:rPr>
                    <w:sz w:val="16"/>
                  </w:rPr>
                </w:pPr>
                <w:r>
                  <w:rPr>
                    <w:sz w:val="16"/>
                  </w:rPr>
                  <w:t>安联附加超级随心重大疾病保险</w:t>
                </w:r>
              </w:p>
            </w:txbxContent>
          </v:textbox>
          <w10:wrap type="none"/>
        </v:shape>
      </w:pict>
    </w:r>
    <w:r>
      <w:rPr/>
      <w:pict>
        <v:shape style="position:absolute;margin-left:493.109985pt;margin-top:538.786621pt;width:66.1pt;height:10.050pt;mso-position-horizontal-relative:page;mso-position-vertical-relative:page;z-index:-45880" type="#_x0000_t202" filled="false" stroked="false">
          <v:textbox inset="0,0,0,0">
            <w:txbxContent>
              <w:p>
                <w:pPr>
                  <w:spacing w:line="181" w:lineRule="exact" w:before="0"/>
                  <w:ind w:left="20" w:right="0" w:firstLine="0"/>
                  <w:jc w:val="left"/>
                  <w:rPr>
                    <w:sz w:val="16"/>
                  </w:rPr>
                </w:pPr>
                <w:r>
                  <w:rPr>
                    <w:sz w:val="16"/>
                  </w:rPr>
                  <w:t>第 </w:t>
                </w:r>
                <w:r>
                  <w:rPr/>
                  <w:fldChar w:fldCharType="begin"/>
                </w:r>
                <w:r>
                  <w:rPr>
                    <w:sz w:val="16"/>
                  </w:rPr>
                  <w:instrText> PAGE </w:instrText>
                </w:r>
                <w:r>
                  <w:rPr/>
                  <w:fldChar w:fldCharType="separate"/>
                </w:r>
                <w:r>
                  <w:rPr/>
                  <w:t>7</w:t>
                </w:r>
                <w:r>
                  <w:rPr/>
                  <w:fldChar w:fldCharType="end"/>
                </w:r>
                <w:r>
                  <w:rPr>
                    <w:sz w:val="16"/>
                  </w:rPr>
                  <w:t> 页 共 18 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7.240002pt;margin-top:785.386597pt;width:114.1pt;height:20.4pt;mso-position-horizontal-relative:page;mso-position-vertical-relative:page;z-index:-45856" type="#_x0000_t202" filled="false" stroked="false">
          <v:textbox inset="0,0,0,0">
            <w:txbxContent>
              <w:p>
                <w:pPr>
                  <w:spacing w:line="179" w:lineRule="exact" w:before="0"/>
                  <w:ind w:left="20" w:right="0" w:firstLine="0"/>
                  <w:jc w:val="left"/>
                  <w:rPr>
                    <w:sz w:val="16"/>
                  </w:rPr>
                </w:pPr>
                <w:r>
                  <w:rPr>
                    <w:sz w:val="16"/>
                  </w:rPr>
                  <w:t>中德安联人寿保险有限公司</w:t>
                </w:r>
              </w:p>
              <w:p>
                <w:pPr>
                  <w:spacing w:line="208" w:lineRule="exact" w:before="0"/>
                  <w:ind w:left="20" w:right="0" w:firstLine="0"/>
                  <w:jc w:val="left"/>
                  <w:rPr>
                    <w:sz w:val="16"/>
                  </w:rPr>
                </w:pPr>
                <w:r>
                  <w:rPr>
                    <w:sz w:val="16"/>
                  </w:rPr>
                  <w:t>安联附加超级随心重大疾病保险</w:t>
                </w:r>
              </w:p>
            </w:txbxContent>
          </v:textbox>
          <w10:wrap type="none"/>
        </v:shape>
      </w:pict>
    </w:r>
    <w:r>
      <w:rPr/>
      <w:pict>
        <v:shape style="position:absolute;margin-left:465.299988pt;margin-top:785.386597pt;width:70.2pt;height:10.050pt;mso-position-horizontal-relative:page;mso-position-vertical-relative:page;z-index:-45832" type="#_x0000_t202" filled="false" stroked="false">
          <v:textbox inset="0,0,0,0">
            <w:txbxContent>
              <w:p>
                <w:pPr>
                  <w:spacing w:line="181" w:lineRule="exact" w:before="0"/>
                  <w:ind w:left="20" w:right="0" w:firstLine="0"/>
                  <w:jc w:val="left"/>
                  <w:rPr>
                    <w:sz w:val="16"/>
                  </w:rPr>
                </w:pPr>
                <w:r>
                  <w:rPr>
                    <w:sz w:val="16"/>
                  </w:rPr>
                  <w:t>第 </w:t>
                </w:r>
                <w:r>
                  <w:rPr/>
                  <w:fldChar w:fldCharType="begin"/>
                </w:r>
                <w:r>
                  <w:rPr>
                    <w:sz w:val="16"/>
                  </w:rPr>
                  <w:instrText> PAGE </w:instrText>
                </w:r>
                <w:r>
                  <w:rPr/>
                  <w:fldChar w:fldCharType="separate"/>
                </w:r>
                <w:r>
                  <w:rPr/>
                  <w:t>10</w:t>
                </w:r>
                <w:r>
                  <w:rPr/>
                  <w:fldChar w:fldCharType="end"/>
                </w:r>
                <w:r>
                  <w:rPr>
                    <w:sz w:val="16"/>
                  </w:rPr>
                  <w:t> 页 共 18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1">
    <w:multiLevelType w:val="hybridMultilevel"/>
    <w:lvl w:ilvl="0">
      <w:start w:val="1"/>
      <w:numFmt w:val="decimal"/>
      <w:lvlText w:val="（%1）"/>
      <w:lvlJc w:val="left"/>
      <w:pPr>
        <w:ind w:left="777" w:hanging="680"/>
        <w:jc w:val="left"/>
      </w:pPr>
      <w:rPr>
        <w:rFonts w:hint="default" w:ascii="宋体" w:hAnsi="宋体" w:eastAsia="宋体" w:cs="宋体"/>
        <w:w w:val="99"/>
        <w:sz w:val="20"/>
        <w:szCs w:val="20"/>
      </w:rPr>
    </w:lvl>
    <w:lvl w:ilvl="1">
      <w:start w:val="0"/>
      <w:numFmt w:val="bullet"/>
      <w:lvlText w:val="•"/>
      <w:lvlJc w:val="left"/>
      <w:pPr>
        <w:ind w:left="1511" w:hanging="680"/>
      </w:pPr>
      <w:rPr>
        <w:rFonts w:hint="default"/>
      </w:rPr>
    </w:lvl>
    <w:lvl w:ilvl="2">
      <w:start w:val="0"/>
      <w:numFmt w:val="bullet"/>
      <w:lvlText w:val="•"/>
      <w:lvlJc w:val="left"/>
      <w:pPr>
        <w:ind w:left="2243" w:hanging="680"/>
      </w:pPr>
      <w:rPr>
        <w:rFonts w:hint="default"/>
      </w:rPr>
    </w:lvl>
    <w:lvl w:ilvl="3">
      <w:start w:val="0"/>
      <w:numFmt w:val="bullet"/>
      <w:lvlText w:val="•"/>
      <w:lvlJc w:val="left"/>
      <w:pPr>
        <w:ind w:left="2974" w:hanging="680"/>
      </w:pPr>
      <w:rPr>
        <w:rFonts w:hint="default"/>
      </w:rPr>
    </w:lvl>
    <w:lvl w:ilvl="4">
      <w:start w:val="0"/>
      <w:numFmt w:val="bullet"/>
      <w:lvlText w:val="•"/>
      <w:lvlJc w:val="left"/>
      <w:pPr>
        <w:ind w:left="3706" w:hanging="680"/>
      </w:pPr>
      <w:rPr>
        <w:rFonts w:hint="default"/>
      </w:rPr>
    </w:lvl>
    <w:lvl w:ilvl="5">
      <w:start w:val="0"/>
      <w:numFmt w:val="bullet"/>
      <w:lvlText w:val="•"/>
      <w:lvlJc w:val="left"/>
      <w:pPr>
        <w:ind w:left="4438" w:hanging="680"/>
      </w:pPr>
      <w:rPr>
        <w:rFonts w:hint="default"/>
      </w:rPr>
    </w:lvl>
    <w:lvl w:ilvl="6">
      <w:start w:val="0"/>
      <w:numFmt w:val="bullet"/>
      <w:lvlText w:val="•"/>
      <w:lvlJc w:val="left"/>
      <w:pPr>
        <w:ind w:left="5169" w:hanging="680"/>
      </w:pPr>
      <w:rPr>
        <w:rFonts w:hint="default"/>
      </w:rPr>
    </w:lvl>
    <w:lvl w:ilvl="7">
      <w:start w:val="0"/>
      <w:numFmt w:val="bullet"/>
      <w:lvlText w:val="•"/>
      <w:lvlJc w:val="left"/>
      <w:pPr>
        <w:ind w:left="5901" w:hanging="680"/>
      </w:pPr>
      <w:rPr>
        <w:rFonts w:hint="default"/>
      </w:rPr>
    </w:lvl>
    <w:lvl w:ilvl="8">
      <w:start w:val="0"/>
      <w:numFmt w:val="bullet"/>
      <w:lvlText w:val="•"/>
      <w:lvlJc w:val="left"/>
      <w:pPr>
        <w:ind w:left="6632" w:hanging="680"/>
      </w:pPr>
      <w:rPr>
        <w:rFonts w:hint="default"/>
      </w:rPr>
    </w:lvl>
  </w:abstractNum>
  <w:abstractNum w:abstractNumId="40">
    <w:multiLevelType w:val="hybridMultilevel"/>
    <w:lvl w:ilvl="0">
      <w:start w:val="1"/>
      <w:numFmt w:val="decimal"/>
      <w:lvlText w:val="（%1）"/>
      <w:lvlJc w:val="left"/>
      <w:pPr>
        <w:ind w:left="776" w:hanging="680"/>
        <w:jc w:val="left"/>
      </w:pPr>
      <w:rPr>
        <w:rFonts w:hint="default" w:ascii="宋体" w:hAnsi="宋体" w:eastAsia="宋体" w:cs="宋体"/>
        <w:w w:val="99"/>
        <w:sz w:val="20"/>
        <w:szCs w:val="20"/>
      </w:rPr>
    </w:lvl>
    <w:lvl w:ilvl="1">
      <w:start w:val="0"/>
      <w:numFmt w:val="bullet"/>
      <w:lvlText w:val="•"/>
      <w:lvlJc w:val="left"/>
      <w:pPr>
        <w:ind w:left="1484" w:hanging="680"/>
      </w:pPr>
      <w:rPr>
        <w:rFonts w:hint="default"/>
      </w:rPr>
    </w:lvl>
    <w:lvl w:ilvl="2">
      <w:start w:val="0"/>
      <w:numFmt w:val="bullet"/>
      <w:lvlText w:val="•"/>
      <w:lvlJc w:val="left"/>
      <w:pPr>
        <w:ind w:left="2189" w:hanging="680"/>
      </w:pPr>
      <w:rPr>
        <w:rFonts w:hint="default"/>
      </w:rPr>
    </w:lvl>
    <w:lvl w:ilvl="3">
      <w:start w:val="0"/>
      <w:numFmt w:val="bullet"/>
      <w:lvlText w:val="•"/>
      <w:lvlJc w:val="left"/>
      <w:pPr>
        <w:ind w:left="2893" w:hanging="680"/>
      </w:pPr>
      <w:rPr>
        <w:rFonts w:hint="default"/>
      </w:rPr>
    </w:lvl>
    <w:lvl w:ilvl="4">
      <w:start w:val="0"/>
      <w:numFmt w:val="bullet"/>
      <w:lvlText w:val="•"/>
      <w:lvlJc w:val="left"/>
      <w:pPr>
        <w:ind w:left="3598" w:hanging="680"/>
      </w:pPr>
      <w:rPr>
        <w:rFonts w:hint="default"/>
      </w:rPr>
    </w:lvl>
    <w:lvl w:ilvl="5">
      <w:start w:val="0"/>
      <w:numFmt w:val="bullet"/>
      <w:lvlText w:val="•"/>
      <w:lvlJc w:val="left"/>
      <w:pPr>
        <w:ind w:left="4303" w:hanging="680"/>
      </w:pPr>
      <w:rPr>
        <w:rFonts w:hint="default"/>
      </w:rPr>
    </w:lvl>
    <w:lvl w:ilvl="6">
      <w:start w:val="0"/>
      <w:numFmt w:val="bullet"/>
      <w:lvlText w:val="•"/>
      <w:lvlJc w:val="left"/>
      <w:pPr>
        <w:ind w:left="5007" w:hanging="680"/>
      </w:pPr>
      <w:rPr>
        <w:rFonts w:hint="default"/>
      </w:rPr>
    </w:lvl>
    <w:lvl w:ilvl="7">
      <w:start w:val="0"/>
      <w:numFmt w:val="bullet"/>
      <w:lvlText w:val="•"/>
      <w:lvlJc w:val="left"/>
      <w:pPr>
        <w:ind w:left="5712" w:hanging="680"/>
      </w:pPr>
      <w:rPr>
        <w:rFonts w:hint="default"/>
      </w:rPr>
    </w:lvl>
    <w:lvl w:ilvl="8">
      <w:start w:val="0"/>
      <w:numFmt w:val="bullet"/>
      <w:lvlText w:val="•"/>
      <w:lvlJc w:val="left"/>
      <w:pPr>
        <w:ind w:left="6416" w:hanging="680"/>
      </w:pPr>
      <w:rPr>
        <w:rFonts w:hint="default"/>
      </w:rPr>
    </w:lvl>
  </w:abstractNum>
  <w:abstractNum w:abstractNumId="39">
    <w:multiLevelType w:val="hybridMultilevel"/>
    <w:lvl w:ilvl="0">
      <w:start w:val="1"/>
      <w:numFmt w:val="decimal"/>
      <w:lvlText w:val="（%1）"/>
      <w:lvlJc w:val="left"/>
      <w:pPr>
        <w:ind w:left="776" w:hanging="680"/>
        <w:jc w:val="left"/>
      </w:pPr>
      <w:rPr>
        <w:rFonts w:hint="default" w:ascii="宋体" w:hAnsi="宋体" w:eastAsia="宋体" w:cs="宋体"/>
        <w:w w:val="99"/>
        <w:sz w:val="20"/>
        <w:szCs w:val="20"/>
      </w:rPr>
    </w:lvl>
    <w:lvl w:ilvl="1">
      <w:start w:val="0"/>
      <w:numFmt w:val="bullet"/>
      <w:lvlText w:val="•"/>
      <w:lvlJc w:val="left"/>
      <w:pPr>
        <w:ind w:left="1484" w:hanging="680"/>
      </w:pPr>
      <w:rPr>
        <w:rFonts w:hint="default"/>
      </w:rPr>
    </w:lvl>
    <w:lvl w:ilvl="2">
      <w:start w:val="0"/>
      <w:numFmt w:val="bullet"/>
      <w:lvlText w:val="•"/>
      <w:lvlJc w:val="left"/>
      <w:pPr>
        <w:ind w:left="2189" w:hanging="680"/>
      </w:pPr>
      <w:rPr>
        <w:rFonts w:hint="default"/>
      </w:rPr>
    </w:lvl>
    <w:lvl w:ilvl="3">
      <w:start w:val="0"/>
      <w:numFmt w:val="bullet"/>
      <w:lvlText w:val="•"/>
      <w:lvlJc w:val="left"/>
      <w:pPr>
        <w:ind w:left="2893" w:hanging="680"/>
      </w:pPr>
      <w:rPr>
        <w:rFonts w:hint="default"/>
      </w:rPr>
    </w:lvl>
    <w:lvl w:ilvl="4">
      <w:start w:val="0"/>
      <w:numFmt w:val="bullet"/>
      <w:lvlText w:val="•"/>
      <w:lvlJc w:val="left"/>
      <w:pPr>
        <w:ind w:left="3598" w:hanging="680"/>
      </w:pPr>
      <w:rPr>
        <w:rFonts w:hint="default"/>
      </w:rPr>
    </w:lvl>
    <w:lvl w:ilvl="5">
      <w:start w:val="0"/>
      <w:numFmt w:val="bullet"/>
      <w:lvlText w:val="•"/>
      <w:lvlJc w:val="left"/>
      <w:pPr>
        <w:ind w:left="4303" w:hanging="680"/>
      </w:pPr>
      <w:rPr>
        <w:rFonts w:hint="default"/>
      </w:rPr>
    </w:lvl>
    <w:lvl w:ilvl="6">
      <w:start w:val="0"/>
      <w:numFmt w:val="bullet"/>
      <w:lvlText w:val="•"/>
      <w:lvlJc w:val="left"/>
      <w:pPr>
        <w:ind w:left="5007" w:hanging="680"/>
      </w:pPr>
      <w:rPr>
        <w:rFonts w:hint="default"/>
      </w:rPr>
    </w:lvl>
    <w:lvl w:ilvl="7">
      <w:start w:val="0"/>
      <w:numFmt w:val="bullet"/>
      <w:lvlText w:val="•"/>
      <w:lvlJc w:val="left"/>
      <w:pPr>
        <w:ind w:left="5712" w:hanging="680"/>
      </w:pPr>
      <w:rPr>
        <w:rFonts w:hint="default"/>
      </w:rPr>
    </w:lvl>
    <w:lvl w:ilvl="8">
      <w:start w:val="0"/>
      <w:numFmt w:val="bullet"/>
      <w:lvlText w:val="•"/>
      <w:lvlJc w:val="left"/>
      <w:pPr>
        <w:ind w:left="6416" w:hanging="680"/>
      </w:pPr>
      <w:rPr>
        <w:rFonts w:hint="default"/>
      </w:rPr>
    </w:lvl>
  </w:abstractNum>
  <w:abstractNum w:abstractNumId="38">
    <w:multiLevelType w:val="hybridMultilevel"/>
    <w:lvl w:ilvl="0">
      <w:start w:val="1"/>
      <w:numFmt w:val="decimal"/>
      <w:lvlText w:val="（%1）"/>
      <w:lvlJc w:val="left"/>
      <w:pPr>
        <w:ind w:left="776" w:hanging="680"/>
        <w:jc w:val="left"/>
      </w:pPr>
      <w:rPr>
        <w:rFonts w:hint="default" w:ascii="宋体" w:hAnsi="宋体" w:eastAsia="宋体" w:cs="宋体"/>
        <w:w w:val="99"/>
        <w:sz w:val="20"/>
        <w:szCs w:val="20"/>
      </w:rPr>
    </w:lvl>
    <w:lvl w:ilvl="1">
      <w:start w:val="0"/>
      <w:numFmt w:val="bullet"/>
      <w:lvlText w:val="•"/>
      <w:lvlJc w:val="left"/>
      <w:pPr>
        <w:ind w:left="1484" w:hanging="680"/>
      </w:pPr>
      <w:rPr>
        <w:rFonts w:hint="default"/>
      </w:rPr>
    </w:lvl>
    <w:lvl w:ilvl="2">
      <w:start w:val="0"/>
      <w:numFmt w:val="bullet"/>
      <w:lvlText w:val="•"/>
      <w:lvlJc w:val="left"/>
      <w:pPr>
        <w:ind w:left="2189" w:hanging="680"/>
      </w:pPr>
      <w:rPr>
        <w:rFonts w:hint="default"/>
      </w:rPr>
    </w:lvl>
    <w:lvl w:ilvl="3">
      <w:start w:val="0"/>
      <w:numFmt w:val="bullet"/>
      <w:lvlText w:val="•"/>
      <w:lvlJc w:val="left"/>
      <w:pPr>
        <w:ind w:left="2893" w:hanging="680"/>
      </w:pPr>
      <w:rPr>
        <w:rFonts w:hint="default"/>
      </w:rPr>
    </w:lvl>
    <w:lvl w:ilvl="4">
      <w:start w:val="0"/>
      <w:numFmt w:val="bullet"/>
      <w:lvlText w:val="•"/>
      <w:lvlJc w:val="left"/>
      <w:pPr>
        <w:ind w:left="3598" w:hanging="680"/>
      </w:pPr>
      <w:rPr>
        <w:rFonts w:hint="default"/>
      </w:rPr>
    </w:lvl>
    <w:lvl w:ilvl="5">
      <w:start w:val="0"/>
      <w:numFmt w:val="bullet"/>
      <w:lvlText w:val="•"/>
      <w:lvlJc w:val="left"/>
      <w:pPr>
        <w:ind w:left="4303" w:hanging="680"/>
      </w:pPr>
      <w:rPr>
        <w:rFonts w:hint="default"/>
      </w:rPr>
    </w:lvl>
    <w:lvl w:ilvl="6">
      <w:start w:val="0"/>
      <w:numFmt w:val="bullet"/>
      <w:lvlText w:val="•"/>
      <w:lvlJc w:val="left"/>
      <w:pPr>
        <w:ind w:left="5007" w:hanging="680"/>
      </w:pPr>
      <w:rPr>
        <w:rFonts w:hint="default"/>
      </w:rPr>
    </w:lvl>
    <w:lvl w:ilvl="7">
      <w:start w:val="0"/>
      <w:numFmt w:val="bullet"/>
      <w:lvlText w:val="•"/>
      <w:lvlJc w:val="left"/>
      <w:pPr>
        <w:ind w:left="5712" w:hanging="680"/>
      </w:pPr>
      <w:rPr>
        <w:rFonts w:hint="default"/>
      </w:rPr>
    </w:lvl>
    <w:lvl w:ilvl="8">
      <w:start w:val="0"/>
      <w:numFmt w:val="bullet"/>
      <w:lvlText w:val="•"/>
      <w:lvlJc w:val="left"/>
      <w:pPr>
        <w:ind w:left="6416" w:hanging="680"/>
      </w:pPr>
      <w:rPr>
        <w:rFonts w:hint="default"/>
      </w:rPr>
    </w:lvl>
  </w:abstractNum>
  <w:abstractNum w:abstractNumId="37">
    <w:multiLevelType w:val="hybridMultilevel"/>
    <w:lvl w:ilvl="0">
      <w:start w:val="1"/>
      <w:numFmt w:val="decimal"/>
      <w:lvlText w:val="(%1)"/>
      <w:lvlJc w:val="left"/>
      <w:pPr>
        <w:ind w:left="528"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1"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2" w:hanging="420"/>
      </w:pPr>
      <w:rPr>
        <w:rFonts w:hint="default"/>
      </w:rPr>
    </w:lvl>
    <w:lvl w:ilvl="8">
      <w:start w:val="0"/>
      <w:numFmt w:val="bullet"/>
      <w:lvlText w:val="•"/>
      <w:lvlJc w:val="left"/>
      <w:pPr>
        <w:ind w:left="6442" w:hanging="420"/>
      </w:pPr>
      <w:rPr>
        <w:rFonts w:hint="default"/>
      </w:rPr>
    </w:lvl>
  </w:abstractNum>
  <w:abstractNum w:abstractNumId="36">
    <w:multiLevelType w:val="hybridMultilevel"/>
    <w:lvl w:ilvl="0">
      <w:start w:val="1"/>
      <w:numFmt w:val="decimal"/>
      <w:lvlText w:val="(%1)"/>
      <w:lvlJc w:val="left"/>
      <w:pPr>
        <w:ind w:left="528"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1"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2" w:hanging="420"/>
      </w:pPr>
      <w:rPr>
        <w:rFonts w:hint="default"/>
      </w:rPr>
    </w:lvl>
    <w:lvl w:ilvl="8">
      <w:start w:val="0"/>
      <w:numFmt w:val="bullet"/>
      <w:lvlText w:val="•"/>
      <w:lvlJc w:val="left"/>
      <w:pPr>
        <w:ind w:left="6442" w:hanging="420"/>
      </w:pPr>
      <w:rPr>
        <w:rFonts w:hint="default"/>
      </w:rPr>
    </w:lvl>
  </w:abstractNum>
  <w:abstractNum w:abstractNumId="35">
    <w:multiLevelType w:val="hybridMultilevel"/>
    <w:lvl w:ilvl="0">
      <w:start w:val="1"/>
      <w:numFmt w:val="decimal"/>
      <w:lvlText w:val="(%1)"/>
      <w:lvlJc w:val="left"/>
      <w:pPr>
        <w:ind w:left="108" w:hanging="404"/>
        <w:jc w:val="left"/>
      </w:pPr>
      <w:rPr>
        <w:rFonts w:hint="default" w:ascii="宋体" w:hAnsi="宋体" w:eastAsia="宋体" w:cs="宋体"/>
        <w:spacing w:val="0"/>
        <w:w w:val="99"/>
        <w:sz w:val="20"/>
        <w:szCs w:val="20"/>
      </w:rPr>
    </w:lvl>
    <w:lvl w:ilvl="1">
      <w:start w:val="0"/>
      <w:numFmt w:val="bullet"/>
      <w:lvlText w:val="•"/>
      <w:lvlJc w:val="left"/>
      <w:pPr>
        <w:ind w:left="882" w:hanging="404"/>
      </w:pPr>
      <w:rPr>
        <w:rFonts w:hint="default"/>
      </w:rPr>
    </w:lvl>
    <w:lvl w:ilvl="2">
      <w:start w:val="0"/>
      <w:numFmt w:val="bullet"/>
      <w:lvlText w:val="•"/>
      <w:lvlJc w:val="left"/>
      <w:pPr>
        <w:ind w:left="1664" w:hanging="404"/>
      </w:pPr>
      <w:rPr>
        <w:rFonts w:hint="default"/>
      </w:rPr>
    </w:lvl>
    <w:lvl w:ilvl="3">
      <w:start w:val="0"/>
      <w:numFmt w:val="bullet"/>
      <w:lvlText w:val="•"/>
      <w:lvlJc w:val="left"/>
      <w:pPr>
        <w:ind w:left="2446" w:hanging="404"/>
      </w:pPr>
      <w:rPr>
        <w:rFonts w:hint="default"/>
      </w:rPr>
    </w:lvl>
    <w:lvl w:ilvl="4">
      <w:start w:val="0"/>
      <w:numFmt w:val="bullet"/>
      <w:lvlText w:val="•"/>
      <w:lvlJc w:val="left"/>
      <w:pPr>
        <w:ind w:left="3229" w:hanging="404"/>
      </w:pPr>
      <w:rPr>
        <w:rFonts w:hint="default"/>
      </w:rPr>
    </w:lvl>
    <w:lvl w:ilvl="5">
      <w:start w:val="0"/>
      <w:numFmt w:val="bullet"/>
      <w:lvlText w:val="•"/>
      <w:lvlJc w:val="left"/>
      <w:pPr>
        <w:ind w:left="4011" w:hanging="404"/>
      </w:pPr>
      <w:rPr>
        <w:rFonts w:hint="default"/>
      </w:rPr>
    </w:lvl>
    <w:lvl w:ilvl="6">
      <w:start w:val="0"/>
      <w:numFmt w:val="bullet"/>
      <w:lvlText w:val="•"/>
      <w:lvlJc w:val="left"/>
      <w:pPr>
        <w:ind w:left="4793" w:hanging="404"/>
      </w:pPr>
      <w:rPr>
        <w:rFonts w:hint="default"/>
      </w:rPr>
    </w:lvl>
    <w:lvl w:ilvl="7">
      <w:start w:val="0"/>
      <w:numFmt w:val="bullet"/>
      <w:lvlText w:val="•"/>
      <w:lvlJc w:val="left"/>
      <w:pPr>
        <w:ind w:left="5576" w:hanging="404"/>
      </w:pPr>
      <w:rPr>
        <w:rFonts w:hint="default"/>
      </w:rPr>
    </w:lvl>
    <w:lvl w:ilvl="8">
      <w:start w:val="0"/>
      <w:numFmt w:val="bullet"/>
      <w:lvlText w:val="•"/>
      <w:lvlJc w:val="left"/>
      <w:pPr>
        <w:ind w:left="6358" w:hanging="404"/>
      </w:pPr>
      <w:rPr>
        <w:rFonts w:hint="default"/>
      </w:rPr>
    </w:lvl>
  </w:abstractNum>
  <w:abstractNum w:abstractNumId="34">
    <w:multiLevelType w:val="hybridMultilevel"/>
    <w:lvl w:ilvl="0">
      <w:start w:val="1"/>
      <w:numFmt w:val="decimal"/>
      <w:lvlText w:val="(%1)"/>
      <w:lvlJc w:val="left"/>
      <w:pPr>
        <w:ind w:left="528"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1"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2" w:hanging="420"/>
      </w:pPr>
      <w:rPr>
        <w:rFonts w:hint="default"/>
      </w:rPr>
    </w:lvl>
    <w:lvl w:ilvl="8">
      <w:start w:val="0"/>
      <w:numFmt w:val="bullet"/>
      <w:lvlText w:val="•"/>
      <w:lvlJc w:val="left"/>
      <w:pPr>
        <w:ind w:left="6442" w:hanging="420"/>
      </w:pPr>
      <w:rPr>
        <w:rFonts w:hint="default"/>
      </w:rPr>
    </w:lvl>
  </w:abstractNum>
  <w:abstractNum w:abstractNumId="33">
    <w:multiLevelType w:val="hybridMultilevel"/>
    <w:lvl w:ilvl="0">
      <w:start w:val="1"/>
      <w:numFmt w:val="decimal"/>
      <w:lvlText w:val="(%1)"/>
      <w:lvlJc w:val="left"/>
      <w:pPr>
        <w:ind w:left="528"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1"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2" w:hanging="420"/>
      </w:pPr>
      <w:rPr>
        <w:rFonts w:hint="default"/>
      </w:rPr>
    </w:lvl>
    <w:lvl w:ilvl="8">
      <w:start w:val="0"/>
      <w:numFmt w:val="bullet"/>
      <w:lvlText w:val="•"/>
      <w:lvlJc w:val="left"/>
      <w:pPr>
        <w:ind w:left="6442" w:hanging="420"/>
      </w:pPr>
      <w:rPr>
        <w:rFonts w:hint="default"/>
      </w:rPr>
    </w:lvl>
  </w:abstractNum>
  <w:abstractNum w:abstractNumId="32">
    <w:multiLevelType w:val="hybridMultilevel"/>
    <w:lvl w:ilvl="0">
      <w:start w:val="1"/>
      <w:numFmt w:val="decimal"/>
      <w:lvlText w:val="(%1)"/>
      <w:lvlJc w:val="left"/>
      <w:pPr>
        <w:ind w:left="528"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1"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2" w:hanging="420"/>
      </w:pPr>
      <w:rPr>
        <w:rFonts w:hint="default"/>
      </w:rPr>
    </w:lvl>
    <w:lvl w:ilvl="8">
      <w:start w:val="0"/>
      <w:numFmt w:val="bullet"/>
      <w:lvlText w:val="•"/>
      <w:lvlJc w:val="left"/>
      <w:pPr>
        <w:ind w:left="6442" w:hanging="420"/>
      </w:pPr>
      <w:rPr>
        <w:rFonts w:hint="default"/>
      </w:rPr>
    </w:lvl>
  </w:abstractNum>
  <w:abstractNum w:abstractNumId="31">
    <w:multiLevelType w:val="hybridMultilevel"/>
    <w:lvl w:ilvl="0">
      <w:start w:val="1"/>
      <w:numFmt w:val="decimal"/>
      <w:lvlText w:val="(%1)"/>
      <w:lvlJc w:val="left"/>
      <w:pPr>
        <w:ind w:left="528"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1"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2" w:hanging="420"/>
      </w:pPr>
      <w:rPr>
        <w:rFonts w:hint="default"/>
      </w:rPr>
    </w:lvl>
    <w:lvl w:ilvl="8">
      <w:start w:val="0"/>
      <w:numFmt w:val="bullet"/>
      <w:lvlText w:val="•"/>
      <w:lvlJc w:val="left"/>
      <w:pPr>
        <w:ind w:left="6442" w:hanging="420"/>
      </w:pPr>
      <w:rPr>
        <w:rFonts w:hint="default"/>
      </w:rPr>
    </w:lvl>
  </w:abstractNum>
  <w:abstractNum w:abstractNumId="30">
    <w:multiLevelType w:val="hybridMultilevel"/>
    <w:lvl w:ilvl="0">
      <w:start w:val="1"/>
      <w:numFmt w:val="decimal"/>
      <w:lvlText w:val="(%1)"/>
      <w:lvlJc w:val="left"/>
      <w:pPr>
        <w:ind w:left="528"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1"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2" w:hanging="420"/>
      </w:pPr>
      <w:rPr>
        <w:rFonts w:hint="default"/>
      </w:rPr>
    </w:lvl>
    <w:lvl w:ilvl="8">
      <w:start w:val="0"/>
      <w:numFmt w:val="bullet"/>
      <w:lvlText w:val="•"/>
      <w:lvlJc w:val="left"/>
      <w:pPr>
        <w:ind w:left="6442" w:hanging="420"/>
      </w:pPr>
      <w:rPr>
        <w:rFonts w:hint="default"/>
      </w:rPr>
    </w:lvl>
  </w:abstractNum>
  <w:abstractNum w:abstractNumId="29">
    <w:multiLevelType w:val="hybridMultilevel"/>
    <w:lvl w:ilvl="0">
      <w:start w:val="1"/>
      <w:numFmt w:val="decimal"/>
      <w:lvlText w:val="(%1)"/>
      <w:lvlJc w:val="left"/>
      <w:pPr>
        <w:ind w:left="528"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1"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2" w:hanging="420"/>
      </w:pPr>
      <w:rPr>
        <w:rFonts w:hint="default"/>
      </w:rPr>
    </w:lvl>
    <w:lvl w:ilvl="8">
      <w:start w:val="0"/>
      <w:numFmt w:val="bullet"/>
      <w:lvlText w:val="•"/>
      <w:lvlJc w:val="left"/>
      <w:pPr>
        <w:ind w:left="6442" w:hanging="420"/>
      </w:pPr>
      <w:rPr>
        <w:rFonts w:hint="default"/>
      </w:rPr>
    </w:lvl>
  </w:abstractNum>
  <w:abstractNum w:abstractNumId="28">
    <w:multiLevelType w:val="hybridMultilevel"/>
    <w:lvl w:ilvl="0">
      <w:start w:val="1"/>
      <w:numFmt w:val="decimal"/>
      <w:lvlText w:val="(%1)"/>
      <w:lvlJc w:val="left"/>
      <w:pPr>
        <w:ind w:left="528"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1"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2" w:hanging="420"/>
      </w:pPr>
      <w:rPr>
        <w:rFonts w:hint="default"/>
      </w:rPr>
    </w:lvl>
    <w:lvl w:ilvl="8">
      <w:start w:val="0"/>
      <w:numFmt w:val="bullet"/>
      <w:lvlText w:val="•"/>
      <w:lvlJc w:val="left"/>
      <w:pPr>
        <w:ind w:left="6442" w:hanging="420"/>
      </w:pPr>
      <w:rPr>
        <w:rFonts w:hint="default"/>
      </w:rPr>
    </w:lvl>
  </w:abstractNum>
  <w:abstractNum w:abstractNumId="27">
    <w:multiLevelType w:val="hybridMultilevel"/>
    <w:lvl w:ilvl="0">
      <w:start w:val="3"/>
      <w:numFmt w:val="decimal"/>
      <w:lvlText w:val="(%1)"/>
      <w:lvlJc w:val="left"/>
      <w:pPr>
        <w:ind w:left="528" w:hanging="420"/>
        <w:jc w:val="left"/>
      </w:pPr>
      <w:rPr>
        <w:rFonts w:hint="default" w:ascii="宋体" w:hAnsi="宋体" w:eastAsia="宋体" w:cs="宋体"/>
        <w:spacing w:val="0"/>
        <w:w w:val="99"/>
        <w:position w:val="1"/>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1"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2" w:hanging="420"/>
      </w:pPr>
      <w:rPr>
        <w:rFonts w:hint="default"/>
      </w:rPr>
    </w:lvl>
    <w:lvl w:ilvl="8">
      <w:start w:val="0"/>
      <w:numFmt w:val="bullet"/>
      <w:lvlText w:val="•"/>
      <w:lvlJc w:val="left"/>
      <w:pPr>
        <w:ind w:left="6442" w:hanging="420"/>
      </w:pPr>
      <w:rPr>
        <w:rFonts w:hint="default"/>
      </w:rPr>
    </w:lvl>
  </w:abstractNum>
  <w:abstractNum w:abstractNumId="26">
    <w:multiLevelType w:val="hybridMultilevel"/>
    <w:lvl w:ilvl="0">
      <w:start w:val="1"/>
      <w:numFmt w:val="decimal"/>
      <w:lvlText w:val="(%1)"/>
      <w:lvlJc w:val="left"/>
      <w:pPr>
        <w:ind w:left="528"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1"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2" w:hanging="420"/>
      </w:pPr>
      <w:rPr>
        <w:rFonts w:hint="default"/>
      </w:rPr>
    </w:lvl>
    <w:lvl w:ilvl="8">
      <w:start w:val="0"/>
      <w:numFmt w:val="bullet"/>
      <w:lvlText w:val="•"/>
      <w:lvlJc w:val="left"/>
      <w:pPr>
        <w:ind w:left="6442" w:hanging="420"/>
      </w:pPr>
      <w:rPr>
        <w:rFonts w:hint="default"/>
      </w:rPr>
    </w:lvl>
  </w:abstractNum>
  <w:abstractNum w:abstractNumId="25">
    <w:multiLevelType w:val="hybridMultilevel"/>
    <w:lvl w:ilvl="0">
      <w:start w:val="1"/>
      <w:numFmt w:val="decimal"/>
      <w:lvlText w:val="(%1)"/>
      <w:lvlJc w:val="left"/>
      <w:pPr>
        <w:ind w:left="528"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1"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2" w:hanging="420"/>
      </w:pPr>
      <w:rPr>
        <w:rFonts w:hint="default"/>
      </w:rPr>
    </w:lvl>
    <w:lvl w:ilvl="8">
      <w:start w:val="0"/>
      <w:numFmt w:val="bullet"/>
      <w:lvlText w:val="•"/>
      <w:lvlJc w:val="left"/>
      <w:pPr>
        <w:ind w:left="6442" w:hanging="420"/>
      </w:pPr>
      <w:rPr>
        <w:rFonts w:hint="default"/>
      </w:rPr>
    </w:lvl>
  </w:abstractNum>
  <w:abstractNum w:abstractNumId="24">
    <w:multiLevelType w:val="hybridMultilevel"/>
    <w:lvl w:ilvl="0">
      <w:start w:val="1"/>
      <w:numFmt w:val="decimal"/>
      <w:lvlText w:val="(%1)"/>
      <w:lvlJc w:val="left"/>
      <w:pPr>
        <w:ind w:left="108" w:hanging="420"/>
        <w:jc w:val="left"/>
      </w:pPr>
      <w:rPr>
        <w:rFonts w:hint="default" w:ascii="宋体" w:hAnsi="宋体" w:eastAsia="宋体" w:cs="宋体"/>
        <w:spacing w:val="0"/>
        <w:w w:val="99"/>
        <w:sz w:val="20"/>
        <w:szCs w:val="20"/>
      </w:rPr>
    </w:lvl>
    <w:lvl w:ilvl="1">
      <w:start w:val="0"/>
      <w:numFmt w:val="bullet"/>
      <w:lvlText w:val="•"/>
      <w:lvlJc w:val="left"/>
      <w:pPr>
        <w:ind w:left="882" w:hanging="420"/>
      </w:pPr>
      <w:rPr>
        <w:rFonts w:hint="default"/>
      </w:rPr>
    </w:lvl>
    <w:lvl w:ilvl="2">
      <w:start w:val="0"/>
      <w:numFmt w:val="bullet"/>
      <w:lvlText w:val="•"/>
      <w:lvlJc w:val="left"/>
      <w:pPr>
        <w:ind w:left="1664" w:hanging="420"/>
      </w:pPr>
      <w:rPr>
        <w:rFonts w:hint="default"/>
      </w:rPr>
    </w:lvl>
    <w:lvl w:ilvl="3">
      <w:start w:val="0"/>
      <w:numFmt w:val="bullet"/>
      <w:lvlText w:val="•"/>
      <w:lvlJc w:val="left"/>
      <w:pPr>
        <w:ind w:left="2446" w:hanging="420"/>
      </w:pPr>
      <w:rPr>
        <w:rFonts w:hint="default"/>
      </w:rPr>
    </w:lvl>
    <w:lvl w:ilvl="4">
      <w:start w:val="0"/>
      <w:numFmt w:val="bullet"/>
      <w:lvlText w:val="•"/>
      <w:lvlJc w:val="left"/>
      <w:pPr>
        <w:ind w:left="3229" w:hanging="420"/>
      </w:pPr>
      <w:rPr>
        <w:rFonts w:hint="default"/>
      </w:rPr>
    </w:lvl>
    <w:lvl w:ilvl="5">
      <w:start w:val="0"/>
      <w:numFmt w:val="bullet"/>
      <w:lvlText w:val="•"/>
      <w:lvlJc w:val="left"/>
      <w:pPr>
        <w:ind w:left="4011" w:hanging="420"/>
      </w:pPr>
      <w:rPr>
        <w:rFonts w:hint="default"/>
      </w:rPr>
    </w:lvl>
    <w:lvl w:ilvl="6">
      <w:start w:val="0"/>
      <w:numFmt w:val="bullet"/>
      <w:lvlText w:val="•"/>
      <w:lvlJc w:val="left"/>
      <w:pPr>
        <w:ind w:left="4793" w:hanging="420"/>
      </w:pPr>
      <w:rPr>
        <w:rFonts w:hint="default"/>
      </w:rPr>
    </w:lvl>
    <w:lvl w:ilvl="7">
      <w:start w:val="0"/>
      <w:numFmt w:val="bullet"/>
      <w:lvlText w:val="•"/>
      <w:lvlJc w:val="left"/>
      <w:pPr>
        <w:ind w:left="5576" w:hanging="420"/>
      </w:pPr>
      <w:rPr>
        <w:rFonts w:hint="default"/>
      </w:rPr>
    </w:lvl>
    <w:lvl w:ilvl="8">
      <w:start w:val="0"/>
      <w:numFmt w:val="bullet"/>
      <w:lvlText w:val="•"/>
      <w:lvlJc w:val="left"/>
      <w:pPr>
        <w:ind w:left="6358" w:hanging="420"/>
      </w:pPr>
      <w:rPr>
        <w:rFonts w:hint="default"/>
      </w:rPr>
    </w:lvl>
  </w:abstractNum>
  <w:abstractNum w:abstractNumId="23">
    <w:multiLevelType w:val="hybridMultilevel"/>
    <w:lvl w:ilvl="0">
      <w:start w:val="1"/>
      <w:numFmt w:val="decimal"/>
      <w:lvlText w:val="(%1)"/>
      <w:lvlJc w:val="left"/>
      <w:pPr>
        <w:ind w:left="528"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1"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2" w:hanging="420"/>
      </w:pPr>
      <w:rPr>
        <w:rFonts w:hint="default"/>
      </w:rPr>
    </w:lvl>
    <w:lvl w:ilvl="8">
      <w:start w:val="0"/>
      <w:numFmt w:val="bullet"/>
      <w:lvlText w:val="•"/>
      <w:lvlJc w:val="left"/>
      <w:pPr>
        <w:ind w:left="6442" w:hanging="420"/>
      </w:pPr>
      <w:rPr>
        <w:rFonts w:hint="default"/>
      </w:rPr>
    </w:lvl>
  </w:abstractNum>
  <w:abstractNum w:abstractNumId="22">
    <w:multiLevelType w:val="hybridMultilevel"/>
    <w:lvl w:ilvl="0">
      <w:start w:val="1"/>
      <w:numFmt w:val="decimal"/>
      <w:lvlText w:val="(%1)"/>
      <w:lvlJc w:val="left"/>
      <w:pPr>
        <w:ind w:left="511" w:hanging="404"/>
        <w:jc w:val="left"/>
      </w:pPr>
      <w:rPr>
        <w:rFonts w:hint="default" w:ascii="宋体" w:hAnsi="宋体" w:eastAsia="宋体" w:cs="宋体"/>
        <w:b/>
        <w:bCs/>
        <w:spacing w:val="0"/>
        <w:w w:val="98"/>
        <w:sz w:val="20"/>
        <w:szCs w:val="20"/>
      </w:rPr>
    </w:lvl>
    <w:lvl w:ilvl="1">
      <w:start w:val="0"/>
      <w:numFmt w:val="bullet"/>
      <w:lvlText w:val="•"/>
      <w:lvlJc w:val="left"/>
      <w:pPr>
        <w:ind w:left="1260" w:hanging="404"/>
      </w:pPr>
      <w:rPr>
        <w:rFonts w:hint="default"/>
      </w:rPr>
    </w:lvl>
    <w:lvl w:ilvl="2">
      <w:start w:val="0"/>
      <w:numFmt w:val="bullet"/>
      <w:lvlText w:val="•"/>
      <w:lvlJc w:val="left"/>
      <w:pPr>
        <w:ind w:left="2000" w:hanging="404"/>
      </w:pPr>
      <w:rPr>
        <w:rFonts w:hint="default"/>
      </w:rPr>
    </w:lvl>
    <w:lvl w:ilvl="3">
      <w:start w:val="0"/>
      <w:numFmt w:val="bullet"/>
      <w:lvlText w:val="•"/>
      <w:lvlJc w:val="left"/>
      <w:pPr>
        <w:ind w:left="2740" w:hanging="404"/>
      </w:pPr>
      <w:rPr>
        <w:rFonts w:hint="default"/>
      </w:rPr>
    </w:lvl>
    <w:lvl w:ilvl="4">
      <w:start w:val="0"/>
      <w:numFmt w:val="bullet"/>
      <w:lvlText w:val="•"/>
      <w:lvlJc w:val="left"/>
      <w:pPr>
        <w:ind w:left="3481" w:hanging="404"/>
      </w:pPr>
      <w:rPr>
        <w:rFonts w:hint="default"/>
      </w:rPr>
    </w:lvl>
    <w:lvl w:ilvl="5">
      <w:start w:val="0"/>
      <w:numFmt w:val="bullet"/>
      <w:lvlText w:val="•"/>
      <w:lvlJc w:val="left"/>
      <w:pPr>
        <w:ind w:left="4221" w:hanging="404"/>
      </w:pPr>
      <w:rPr>
        <w:rFonts w:hint="default"/>
      </w:rPr>
    </w:lvl>
    <w:lvl w:ilvl="6">
      <w:start w:val="0"/>
      <w:numFmt w:val="bullet"/>
      <w:lvlText w:val="•"/>
      <w:lvlJc w:val="left"/>
      <w:pPr>
        <w:ind w:left="4961" w:hanging="404"/>
      </w:pPr>
      <w:rPr>
        <w:rFonts w:hint="default"/>
      </w:rPr>
    </w:lvl>
    <w:lvl w:ilvl="7">
      <w:start w:val="0"/>
      <w:numFmt w:val="bullet"/>
      <w:lvlText w:val="•"/>
      <w:lvlJc w:val="left"/>
      <w:pPr>
        <w:ind w:left="5702" w:hanging="404"/>
      </w:pPr>
      <w:rPr>
        <w:rFonts w:hint="default"/>
      </w:rPr>
    </w:lvl>
    <w:lvl w:ilvl="8">
      <w:start w:val="0"/>
      <w:numFmt w:val="bullet"/>
      <w:lvlText w:val="•"/>
      <w:lvlJc w:val="left"/>
      <w:pPr>
        <w:ind w:left="6442" w:hanging="404"/>
      </w:pPr>
      <w:rPr>
        <w:rFonts w:hint="default"/>
      </w:rPr>
    </w:lvl>
  </w:abstractNum>
  <w:abstractNum w:abstractNumId="21">
    <w:multiLevelType w:val="hybridMultilevel"/>
    <w:lvl w:ilvl="0">
      <w:start w:val="1"/>
      <w:numFmt w:val="decimal"/>
      <w:lvlText w:val="(%1)"/>
      <w:lvlJc w:val="left"/>
      <w:pPr>
        <w:ind w:left="108" w:hanging="404"/>
        <w:jc w:val="left"/>
      </w:pPr>
      <w:rPr>
        <w:rFonts w:hint="default" w:ascii="宋体" w:hAnsi="宋体" w:eastAsia="宋体" w:cs="宋体"/>
        <w:spacing w:val="0"/>
        <w:w w:val="99"/>
        <w:sz w:val="20"/>
        <w:szCs w:val="20"/>
      </w:rPr>
    </w:lvl>
    <w:lvl w:ilvl="1">
      <w:start w:val="0"/>
      <w:numFmt w:val="bullet"/>
      <w:lvlText w:val="•"/>
      <w:lvlJc w:val="left"/>
      <w:pPr>
        <w:ind w:left="882" w:hanging="404"/>
      </w:pPr>
      <w:rPr>
        <w:rFonts w:hint="default"/>
      </w:rPr>
    </w:lvl>
    <w:lvl w:ilvl="2">
      <w:start w:val="0"/>
      <w:numFmt w:val="bullet"/>
      <w:lvlText w:val="•"/>
      <w:lvlJc w:val="left"/>
      <w:pPr>
        <w:ind w:left="1664" w:hanging="404"/>
      </w:pPr>
      <w:rPr>
        <w:rFonts w:hint="default"/>
      </w:rPr>
    </w:lvl>
    <w:lvl w:ilvl="3">
      <w:start w:val="0"/>
      <w:numFmt w:val="bullet"/>
      <w:lvlText w:val="•"/>
      <w:lvlJc w:val="left"/>
      <w:pPr>
        <w:ind w:left="2446" w:hanging="404"/>
      </w:pPr>
      <w:rPr>
        <w:rFonts w:hint="default"/>
      </w:rPr>
    </w:lvl>
    <w:lvl w:ilvl="4">
      <w:start w:val="0"/>
      <w:numFmt w:val="bullet"/>
      <w:lvlText w:val="•"/>
      <w:lvlJc w:val="left"/>
      <w:pPr>
        <w:ind w:left="3229" w:hanging="404"/>
      </w:pPr>
      <w:rPr>
        <w:rFonts w:hint="default"/>
      </w:rPr>
    </w:lvl>
    <w:lvl w:ilvl="5">
      <w:start w:val="0"/>
      <w:numFmt w:val="bullet"/>
      <w:lvlText w:val="•"/>
      <w:lvlJc w:val="left"/>
      <w:pPr>
        <w:ind w:left="4011" w:hanging="404"/>
      </w:pPr>
      <w:rPr>
        <w:rFonts w:hint="default"/>
      </w:rPr>
    </w:lvl>
    <w:lvl w:ilvl="6">
      <w:start w:val="0"/>
      <w:numFmt w:val="bullet"/>
      <w:lvlText w:val="•"/>
      <w:lvlJc w:val="left"/>
      <w:pPr>
        <w:ind w:left="4793" w:hanging="404"/>
      </w:pPr>
      <w:rPr>
        <w:rFonts w:hint="default"/>
      </w:rPr>
    </w:lvl>
    <w:lvl w:ilvl="7">
      <w:start w:val="0"/>
      <w:numFmt w:val="bullet"/>
      <w:lvlText w:val="•"/>
      <w:lvlJc w:val="left"/>
      <w:pPr>
        <w:ind w:left="5576" w:hanging="404"/>
      </w:pPr>
      <w:rPr>
        <w:rFonts w:hint="default"/>
      </w:rPr>
    </w:lvl>
    <w:lvl w:ilvl="8">
      <w:start w:val="0"/>
      <w:numFmt w:val="bullet"/>
      <w:lvlText w:val="•"/>
      <w:lvlJc w:val="left"/>
      <w:pPr>
        <w:ind w:left="6358" w:hanging="404"/>
      </w:pPr>
      <w:rPr>
        <w:rFonts w:hint="default"/>
      </w:rPr>
    </w:lvl>
  </w:abstractNum>
  <w:abstractNum w:abstractNumId="20">
    <w:multiLevelType w:val="hybridMultilevel"/>
    <w:lvl w:ilvl="0">
      <w:start w:val="1"/>
      <w:numFmt w:val="decimal"/>
      <w:lvlText w:val="(%1)"/>
      <w:lvlJc w:val="left"/>
      <w:pPr>
        <w:ind w:left="108" w:hanging="404"/>
        <w:jc w:val="left"/>
      </w:pPr>
      <w:rPr>
        <w:rFonts w:hint="default" w:ascii="宋体" w:hAnsi="宋体" w:eastAsia="宋体" w:cs="宋体"/>
        <w:spacing w:val="0"/>
        <w:w w:val="99"/>
        <w:sz w:val="20"/>
        <w:szCs w:val="20"/>
      </w:rPr>
    </w:lvl>
    <w:lvl w:ilvl="1">
      <w:start w:val="0"/>
      <w:numFmt w:val="bullet"/>
      <w:lvlText w:val="•"/>
      <w:lvlJc w:val="left"/>
      <w:pPr>
        <w:ind w:left="882" w:hanging="404"/>
      </w:pPr>
      <w:rPr>
        <w:rFonts w:hint="default"/>
      </w:rPr>
    </w:lvl>
    <w:lvl w:ilvl="2">
      <w:start w:val="0"/>
      <w:numFmt w:val="bullet"/>
      <w:lvlText w:val="•"/>
      <w:lvlJc w:val="left"/>
      <w:pPr>
        <w:ind w:left="1664" w:hanging="404"/>
      </w:pPr>
      <w:rPr>
        <w:rFonts w:hint="default"/>
      </w:rPr>
    </w:lvl>
    <w:lvl w:ilvl="3">
      <w:start w:val="0"/>
      <w:numFmt w:val="bullet"/>
      <w:lvlText w:val="•"/>
      <w:lvlJc w:val="left"/>
      <w:pPr>
        <w:ind w:left="2446" w:hanging="404"/>
      </w:pPr>
      <w:rPr>
        <w:rFonts w:hint="default"/>
      </w:rPr>
    </w:lvl>
    <w:lvl w:ilvl="4">
      <w:start w:val="0"/>
      <w:numFmt w:val="bullet"/>
      <w:lvlText w:val="•"/>
      <w:lvlJc w:val="left"/>
      <w:pPr>
        <w:ind w:left="3229" w:hanging="404"/>
      </w:pPr>
      <w:rPr>
        <w:rFonts w:hint="default"/>
      </w:rPr>
    </w:lvl>
    <w:lvl w:ilvl="5">
      <w:start w:val="0"/>
      <w:numFmt w:val="bullet"/>
      <w:lvlText w:val="•"/>
      <w:lvlJc w:val="left"/>
      <w:pPr>
        <w:ind w:left="4011" w:hanging="404"/>
      </w:pPr>
      <w:rPr>
        <w:rFonts w:hint="default"/>
      </w:rPr>
    </w:lvl>
    <w:lvl w:ilvl="6">
      <w:start w:val="0"/>
      <w:numFmt w:val="bullet"/>
      <w:lvlText w:val="•"/>
      <w:lvlJc w:val="left"/>
      <w:pPr>
        <w:ind w:left="4793" w:hanging="404"/>
      </w:pPr>
      <w:rPr>
        <w:rFonts w:hint="default"/>
      </w:rPr>
    </w:lvl>
    <w:lvl w:ilvl="7">
      <w:start w:val="0"/>
      <w:numFmt w:val="bullet"/>
      <w:lvlText w:val="•"/>
      <w:lvlJc w:val="left"/>
      <w:pPr>
        <w:ind w:left="5576" w:hanging="404"/>
      </w:pPr>
      <w:rPr>
        <w:rFonts w:hint="default"/>
      </w:rPr>
    </w:lvl>
    <w:lvl w:ilvl="8">
      <w:start w:val="0"/>
      <w:numFmt w:val="bullet"/>
      <w:lvlText w:val="•"/>
      <w:lvlJc w:val="left"/>
      <w:pPr>
        <w:ind w:left="6358" w:hanging="404"/>
      </w:pPr>
      <w:rPr>
        <w:rFonts w:hint="default"/>
      </w:rPr>
    </w:lvl>
  </w:abstractNum>
  <w:abstractNum w:abstractNumId="19">
    <w:multiLevelType w:val="hybridMultilevel"/>
    <w:lvl w:ilvl="0">
      <w:start w:val="1"/>
      <w:numFmt w:val="decimal"/>
      <w:lvlText w:val="(%1)"/>
      <w:lvlJc w:val="left"/>
      <w:pPr>
        <w:ind w:left="511" w:hanging="404"/>
        <w:jc w:val="left"/>
      </w:pPr>
      <w:rPr>
        <w:rFonts w:hint="default" w:ascii="宋体" w:hAnsi="宋体" w:eastAsia="宋体" w:cs="宋体"/>
        <w:spacing w:val="0"/>
        <w:w w:val="99"/>
        <w:sz w:val="20"/>
        <w:szCs w:val="20"/>
      </w:rPr>
    </w:lvl>
    <w:lvl w:ilvl="1">
      <w:start w:val="0"/>
      <w:numFmt w:val="bullet"/>
      <w:lvlText w:val="•"/>
      <w:lvlJc w:val="left"/>
      <w:pPr>
        <w:ind w:left="1260" w:hanging="404"/>
      </w:pPr>
      <w:rPr>
        <w:rFonts w:hint="default"/>
      </w:rPr>
    </w:lvl>
    <w:lvl w:ilvl="2">
      <w:start w:val="0"/>
      <w:numFmt w:val="bullet"/>
      <w:lvlText w:val="•"/>
      <w:lvlJc w:val="left"/>
      <w:pPr>
        <w:ind w:left="2000" w:hanging="404"/>
      </w:pPr>
      <w:rPr>
        <w:rFonts w:hint="default"/>
      </w:rPr>
    </w:lvl>
    <w:lvl w:ilvl="3">
      <w:start w:val="0"/>
      <w:numFmt w:val="bullet"/>
      <w:lvlText w:val="•"/>
      <w:lvlJc w:val="left"/>
      <w:pPr>
        <w:ind w:left="2740" w:hanging="404"/>
      </w:pPr>
      <w:rPr>
        <w:rFonts w:hint="default"/>
      </w:rPr>
    </w:lvl>
    <w:lvl w:ilvl="4">
      <w:start w:val="0"/>
      <w:numFmt w:val="bullet"/>
      <w:lvlText w:val="•"/>
      <w:lvlJc w:val="left"/>
      <w:pPr>
        <w:ind w:left="3481" w:hanging="404"/>
      </w:pPr>
      <w:rPr>
        <w:rFonts w:hint="default"/>
      </w:rPr>
    </w:lvl>
    <w:lvl w:ilvl="5">
      <w:start w:val="0"/>
      <w:numFmt w:val="bullet"/>
      <w:lvlText w:val="•"/>
      <w:lvlJc w:val="left"/>
      <w:pPr>
        <w:ind w:left="4221" w:hanging="404"/>
      </w:pPr>
      <w:rPr>
        <w:rFonts w:hint="default"/>
      </w:rPr>
    </w:lvl>
    <w:lvl w:ilvl="6">
      <w:start w:val="0"/>
      <w:numFmt w:val="bullet"/>
      <w:lvlText w:val="•"/>
      <w:lvlJc w:val="left"/>
      <w:pPr>
        <w:ind w:left="4961" w:hanging="404"/>
      </w:pPr>
      <w:rPr>
        <w:rFonts w:hint="default"/>
      </w:rPr>
    </w:lvl>
    <w:lvl w:ilvl="7">
      <w:start w:val="0"/>
      <w:numFmt w:val="bullet"/>
      <w:lvlText w:val="•"/>
      <w:lvlJc w:val="left"/>
      <w:pPr>
        <w:ind w:left="5702" w:hanging="404"/>
      </w:pPr>
      <w:rPr>
        <w:rFonts w:hint="default"/>
      </w:rPr>
    </w:lvl>
    <w:lvl w:ilvl="8">
      <w:start w:val="0"/>
      <w:numFmt w:val="bullet"/>
      <w:lvlText w:val="•"/>
      <w:lvlJc w:val="left"/>
      <w:pPr>
        <w:ind w:left="6442" w:hanging="404"/>
      </w:pPr>
      <w:rPr>
        <w:rFonts w:hint="default"/>
      </w:rPr>
    </w:lvl>
  </w:abstractNum>
  <w:abstractNum w:abstractNumId="18">
    <w:multiLevelType w:val="hybridMultilevel"/>
    <w:lvl w:ilvl="0">
      <w:start w:val="1"/>
      <w:numFmt w:val="decimal"/>
      <w:lvlText w:val="(%1)"/>
      <w:lvlJc w:val="left"/>
      <w:pPr>
        <w:ind w:left="108" w:hanging="404"/>
        <w:jc w:val="left"/>
      </w:pPr>
      <w:rPr>
        <w:rFonts w:hint="default" w:ascii="宋体" w:hAnsi="宋体" w:eastAsia="宋体" w:cs="宋体"/>
        <w:spacing w:val="0"/>
        <w:w w:val="99"/>
        <w:sz w:val="20"/>
        <w:szCs w:val="20"/>
      </w:rPr>
    </w:lvl>
    <w:lvl w:ilvl="1">
      <w:start w:val="0"/>
      <w:numFmt w:val="bullet"/>
      <w:lvlText w:val="•"/>
      <w:lvlJc w:val="left"/>
      <w:pPr>
        <w:ind w:left="882" w:hanging="404"/>
      </w:pPr>
      <w:rPr>
        <w:rFonts w:hint="default"/>
      </w:rPr>
    </w:lvl>
    <w:lvl w:ilvl="2">
      <w:start w:val="0"/>
      <w:numFmt w:val="bullet"/>
      <w:lvlText w:val="•"/>
      <w:lvlJc w:val="left"/>
      <w:pPr>
        <w:ind w:left="1664" w:hanging="404"/>
      </w:pPr>
      <w:rPr>
        <w:rFonts w:hint="default"/>
      </w:rPr>
    </w:lvl>
    <w:lvl w:ilvl="3">
      <w:start w:val="0"/>
      <w:numFmt w:val="bullet"/>
      <w:lvlText w:val="•"/>
      <w:lvlJc w:val="left"/>
      <w:pPr>
        <w:ind w:left="2446" w:hanging="404"/>
      </w:pPr>
      <w:rPr>
        <w:rFonts w:hint="default"/>
      </w:rPr>
    </w:lvl>
    <w:lvl w:ilvl="4">
      <w:start w:val="0"/>
      <w:numFmt w:val="bullet"/>
      <w:lvlText w:val="•"/>
      <w:lvlJc w:val="left"/>
      <w:pPr>
        <w:ind w:left="3229" w:hanging="404"/>
      </w:pPr>
      <w:rPr>
        <w:rFonts w:hint="default"/>
      </w:rPr>
    </w:lvl>
    <w:lvl w:ilvl="5">
      <w:start w:val="0"/>
      <w:numFmt w:val="bullet"/>
      <w:lvlText w:val="•"/>
      <w:lvlJc w:val="left"/>
      <w:pPr>
        <w:ind w:left="4011" w:hanging="404"/>
      </w:pPr>
      <w:rPr>
        <w:rFonts w:hint="default"/>
      </w:rPr>
    </w:lvl>
    <w:lvl w:ilvl="6">
      <w:start w:val="0"/>
      <w:numFmt w:val="bullet"/>
      <w:lvlText w:val="•"/>
      <w:lvlJc w:val="left"/>
      <w:pPr>
        <w:ind w:left="4793" w:hanging="404"/>
      </w:pPr>
      <w:rPr>
        <w:rFonts w:hint="default"/>
      </w:rPr>
    </w:lvl>
    <w:lvl w:ilvl="7">
      <w:start w:val="0"/>
      <w:numFmt w:val="bullet"/>
      <w:lvlText w:val="•"/>
      <w:lvlJc w:val="left"/>
      <w:pPr>
        <w:ind w:left="5576" w:hanging="404"/>
      </w:pPr>
      <w:rPr>
        <w:rFonts w:hint="default"/>
      </w:rPr>
    </w:lvl>
    <w:lvl w:ilvl="8">
      <w:start w:val="0"/>
      <w:numFmt w:val="bullet"/>
      <w:lvlText w:val="•"/>
      <w:lvlJc w:val="left"/>
      <w:pPr>
        <w:ind w:left="6358" w:hanging="404"/>
      </w:pPr>
      <w:rPr>
        <w:rFonts w:hint="default"/>
      </w:rPr>
    </w:lvl>
  </w:abstractNum>
  <w:abstractNum w:abstractNumId="17">
    <w:multiLevelType w:val="hybridMultilevel"/>
    <w:lvl w:ilvl="0">
      <w:start w:val="1"/>
      <w:numFmt w:val="decimal"/>
      <w:lvlText w:val="(%1)"/>
      <w:lvlJc w:val="left"/>
      <w:pPr>
        <w:ind w:left="511" w:hanging="404"/>
        <w:jc w:val="left"/>
      </w:pPr>
      <w:rPr>
        <w:rFonts w:hint="default" w:ascii="宋体" w:hAnsi="宋体" w:eastAsia="宋体" w:cs="宋体"/>
        <w:spacing w:val="0"/>
        <w:w w:val="99"/>
        <w:sz w:val="20"/>
        <w:szCs w:val="20"/>
      </w:rPr>
    </w:lvl>
    <w:lvl w:ilvl="1">
      <w:start w:val="0"/>
      <w:numFmt w:val="bullet"/>
      <w:lvlText w:val="•"/>
      <w:lvlJc w:val="left"/>
      <w:pPr>
        <w:ind w:left="1260" w:hanging="404"/>
      </w:pPr>
      <w:rPr>
        <w:rFonts w:hint="default"/>
      </w:rPr>
    </w:lvl>
    <w:lvl w:ilvl="2">
      <w:start w:val="0"/>
      <w:numFmt w:val="bullet"/>
      <w:lvlText w:val="•"/>
      <w:lvlJc w:val="left"/>
      <w:pPr>
        <w:ind w:left="2000" w:hanging="404"/>
      </w:pPr>
      <w:rPr>
        <w:rFonts w:hint="default"/>
      </w:rPr>
    </w:lvl>
    <w:lvl w:ilvl="3">
      <w:start w:val="0"/>
      <w:numFmt w:val="bullet"/>
      <w:lvlText w:val="•"/>
      <w:lvlJc w:val="left"/>
      <w:pPr>
        <w:ind w:left="2740" w:hanging="404"/>
      </w:pPr>
      <w:rPr>
        <w:rFonts w:hint="default"/>
      </w:rPr>
    </w:lvl>
    <w:lvl w:ilvl="4">
      <w:start w:val="0"/>
      <w:numFmt w:val="bullet"/>
      <w:lvlText w:val="•"/>
      <w:lvlJc w:val="left"/>
      <w:pPr>
        <w:ind w:left="3481" w:hanging="404"/>
      </w:pPr>
      <w:rPr>
        <w:rFonts w:hint="default"/>
      </w:rPr>
    </w:lvl>
    <w:lvl w:ilvl="5">
      <w:start w:val="0"/>
      <w:numFmt w:val="bullet"/>
      <w:lvlText w:val="•"/>
      <w:lvlJc w:val="left"/>
      <w:pPr>
        <w:ind w:left="4221" w:hanging="404"/>
      </w:pPr>
      <w:rPr>
        <w:rFonts w:hint="default"/>
      </w:rPr>
    </w:lvl>
    <w:lvl w:ilvl="6">
      <w:start w:val="0"/>
      <w:numFmt w:val="bullet"/>
      <w:lvlText w:val="•"/>
      <w:lvlJc w:val="left"/>
      <w:pPr>
        <w:ind w:left="4961" w:hanging="404"/>
      </w:pPr>
      <w:rPr>
        <w:rFonts w:hint="default"/>
      </w:rPr>
    </w:lvl>
    <w:lvl w:ilvl="7">
      <w:start w:val="0"/>
      <w:numFmt w:val="bullet"/>
      <w:lvlText w:val="•"/>
      <w:lvlJc w:val="left"/>
      <w:pPr>
        <w:ind w:left="5702" w:hanging="404"/>
      </w:pPr>
      <w:rPr>
        <w:rFonts w:hint="default"/>
      </w:rPr>
    </w:lvl>
    <w:lvl w:ilvl="8">
      <w:start w:val="0"/>
      <w:numFmt w:val="bullet"/>
      <w:lvlText w:val="•"/>
      <w:lvlJc w:val="left"/>
      <w:pPr>
        <w:ind w:left="6442" w:hanging="404"/>
      </w:pPr>
      <w:rPr>
        <w:rFonts w:hint="default"/>
      </w:rPr>
    </w:lvl>
  </w:abstractNum>
  <w:abstractNum w:abstractNumId="16">
    <w:multiLevelType w:val="hybridMultilevel"/>
    <w:lvl w:ilvl="0">
      <w:start w:val="1"/>
      <w:numFmt w:val="decimal"/>
      <w:lvlText w:val="(%1)"/>
      <w:lvlJc w:val="left"/>
      <w:pPr>
        <w:ind w:left="528"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1"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2" w:hanging="420"/>
      </w:pPr>
      <w:rPr>
        <w:rFonts w:hint="default"/>
      </w:rPr>
    </w:lvl>
    <w:lvl w:ilvl="8">
      <w:start w:val="0"/>
      <w:numFmt w:val="bullet"/>
      <w:lvlText w:val="•"/>
      <w:lvlJc w:val="left"/>
      <w:pPr>
        <w:ind w:left="6442" w:hanging="420"/>
      </w:pPr>
      <w:rPr>
        <w:rFonts w:hint="default"/>
      </w:rPr>
    </w:lvl>
  </w:abstractNum>
  <w:abstractNum w:abstractNumId="15">
    <w:multiLevelType w:val="hybridMultilevel"/>
    <w:lvl w:ilvl="0">
      <w:start w:val="1"/>
      <w:numFmt w:val="decimal"/>
      <w:lvlText w:val="(%1)"/>
      <w:lvlJc w:val="left"/>
      <w:pPr>
        <w:ind w:left="528"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1"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2" w:hanging="420"/>
      </w:pPr>
      <w:rPr>
        <w:rFonts w:hint="default"/>
      </w:rPr>
    </w:lvl>
    <w:lvl w:ilvl="8">
      <w:start w:val="0"/>
      <w:numFmt w:val="bullet"/>
      <w:lvlText w:val="•"/>
      <w:lvlJc w:val="left"/>
      <w:pPr>
        <w:ind w:left="6442" w:hanging="420"/>
      </w:pPr>
      <w:rPr>
        <w:rFonts w:hint="default"/>
      </w:rPr>
    </w:lvl>
  </w:abstractNum>
  <w:abstractNum w:abstractNumId="14">
    <w:multiLevelType w:val="hybridMultilevel"/>
    <w:lvl w:ilvl="0">
      <w:start w:val="1"/>
      <w:numFmt w:val="decimal"/>
      <w:lvlText w:val="(%1)"/>
      <w:lvlJc w:val="left"/>
      <w:pPr>
        <w:ind w:left="108" w:hanging="420"/>
        <w:jc w:val="left"/>
      </w:pPr>
      <w:rPr>
        <w:rFonts w:hint="default" w:ascii="宋体" w:hAnsi="宋体" w:eastAsia="宋体" w:cs="宋体"/>
        <w:spacing w:val="0"/>
        <w:w w:val="99"/>
        <w:sz w:val="20"/>
        <w:szCs w:val="20"/>
      </w:rPr>
    </w:lvl>
    <w:lvl w:ilvl="1">
      <w:start w:val="0"/>
      <w:numFmt w:val="bullet"/>
      <w:lvlText w:val="•"/>
      <w:lvlJc w:val="left"/>
      <w:pPr>
        <w:ind w:left="882" w:hanging="420"/>
      </w:pPr>
      <w:rPr>
        <w:rFonts w:hint="default"/>
      </w:rPr>
    </w:lvl>
    <w:lvl w:ilvl="2">
      <w:start w:val="0"/>
      <w:numFmt w:val="bullet"/>
      <w:lvlText w:val="•"/>
      <w:lvlJc w:val="left"/>
      <w:pPr>
        <w:ind w:left="1664" w:hanging="420"/>
      </w:pPr>
      <w:rPr>
        <w:rFonts w:hint="default"/>
      </w:rPr>
    </w:lvl>
    <w:lvl w:ilvl="3">
      <w:start w:val="0"/>
      <w:numFmt w:val="bullet"/>
      <w:lvlText w:val="•"/>
      <w:lvlJc w:val="left"/>
      <w:pPr>
        <w:ind w:left="2446" w:hanging="420"/>
      </w:pPr>
      <w:rPr>
        <w:rFonts w:hint="default"/>
      </w:rPr>
    </w:lvl>
    <w:lvl w:ilvl="4">
      <w:start w:val="0"/>
      <w:numFmt w:val="bullet"/>
      <w:lvlText w:val="•"/>
      <w:lvlJc w:val="left"/>
      <w:pPr>
        <w:ind w:left="3229" w:hanging="420"/>
      </w:pPr>
      <w:rPr>
        <w:rFonts w:hint="default"/>
      </w:rPr>
    </w:lvl>
    <w:lvl w:ilvl="5">
      <w:start w:val="0"/>
      <w:numFmt w:val="bullet"/>
      <w:lvlText w:val="•"/>
      <w:lvlJc w:val="left"/>
      <w:pPr>
        <w:ind w:left="4011" w:hanging="420"/>
      </w:pPr>
      <w:rPr>
        <w:rFonts w:hint="default"/>
      </w:rPr>
    </w:lvl>
    <w:lvl w:ilvl="6">
      <w:start w:val="0"/>
      <w:numFmt w:val="bullet"/>
      <w:lvlText w:val="•"/>
      <w:lvlJc w:val="left"/>
      <w:pPr>
        <w:ind w:left="4793" w:hanging="420"/>
      </w:pPr>
      <w:rPr>
        <w:rFonts w:hint="default"/>
      </w:rPr>
    </w:lvl>
    <w:lvl w:ilvl="7">
      <w:start w:val="0"/>
      <w:numFmt w:val="bullet"/>
      <w:lvlText w:val="•"/>
      <w:lvlJc w:val="left"/>
      <w:pPr>
        <w:ind w:left="5576" w:hanging="420"/>
      </w:pPr>
      <w:rPr>
        <w:rFonts w:hint="default"/>
      </w:rPr>
    </w:lvl>
    <w:lvl w:ilvl="8">
      <w:start w:val="0"/>
      <w:numFmt w:val="bullet"/>
      <w:lvlText w:val="•"/>
      <w:lvlJc w:val="left"/>
      <w:pPr>
        <w:ind w:left="6358" w:hanging="420"/>
      </w:pPr>
      <w:rPr>
        <w:rFonts w:hint="default"/>
      </w:rPr>
    </w:lvl>
  </w:abstractNum>
  <w:abstractNum w:abstractNumId="13">
    <w:multiLevelType w:val="hybridMultilevel"/>
    <w:lvl w:ilvl="0">
      <w:start w:val="1"/>
      <w:numFmt w:val="decimal"/>
      <w:lvlText w:val="(%1)"/>
      <w:lvlJc w:val="left"/>
      <w:pPr>
        <w:ind w:left="528"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1"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2" w:hanging="420"/>
      </w:pPr>
      <w:rPr>
        <w:rFonts w:hint="default"/>
      </w:rPr>
    </w:lvl>
    <w:lvl w:ilvl="8">
      <w:start w:val="0"/>
      <w:numFmt w:val="bullet"/>
      <w:lvlText w:val="•"/>
      <w:lvlJc w:val="left"/>
      <w:pPr>
        <w:ind w:left="6442" w:hanging="420"/>
      </w:pPr>
      <w:rPr>
        <w:rFonts w:hint="default"/>
      </w:rPr>
    </w:lvl>
  </w:abstractNum>
  <w:abstractNum w:abstractNumId="12">
    <w:multiLevelType w:val="hybridMultilevel"/>
    <w:lvl w:ilvl="0">
      <w:start w:val="1"/>
      <w:numFmt w:val="decimal"/>
      <w:lvlText w:val="(%1)"/>
      <w:lvlJc w:val="left"/>
      <w:pPr>
        <w:ind w:left="528"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1"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2" w:hanging="420"/>
      </w:pPr>
      <w:rPr>
        <w:rFonts w:hint="default"/>
      </w:rPr>
    </w:lvl>
    <w:lvl w:ilvl="8">
      <w:start w:val="0"/>
      <w:numFmt w:val="bullet"/>
      <w:lvlText w:val="•"/>
      <w:lvlJc w:val="left"/>
      <w:pPr>
        <w:ind w:left="6442" w:hanging="420"/>
      </w:pPr>
      <w:rPr>
        <w:rFonts w:hint="default"/>
      </w:rPr>
    </w:lvl>
  </w:abstractNum>
  <w:abstractNum w:abstractNumId="11">
    <w:multiLevelType w:val="hybridMultilevel"/>
    <w:lvl w:ilvl="0">
      <w:start w:val="1"/>
      <w:numFmt w:val="decimal"/>
      <w:lvlText w:val="(%1)"/>
      <w:lvlJc w:val="left"/>
      <w:pPr>
        <w:ind w:left="528"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1"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2" w:hanging="420"/>
      </w:pPr>
      <w:rPr>
        <w:rFonts w:hint="default"/>
      </w:rPr>
    </w:lvl>
    <w:lvl w:ilvl="8">
      <w:start w:val="0"/>
      <w:numFmt w:val="bullet"/>
      <w:lvlText w:val="•"/>
      <w:lvlJc w:val="left"/>
      <w:pPr>
        <w:ind w:left="6442" w:hanging="420"/>
      </w:pPr>
      <w:rPr>
        <w:rFonts w:hint="default"/>
      </w:rPr>
    </w:lvl>
  </w:abstractNum>
  <w:abstractNum w:abstractNumId="10">
    <w:multiLevelType w:val="hybridMultilevel"/>
    <w:lvl w:ilvl="0">
      <w:start w:val="1"/>
      <w:numFmt w:val="decimal"/>
      <w:lvlText w:val="(%1)"/>
      <w:lvlJc w:val="left"/>
      <w:pPr>
        <w:ind w:left="528"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1"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2" w:hanging="420"/>
      </w:pPr>
      <w:rPr>
        <w:rFonts w:hint="default"/>
      </w:rPr>
    </w:lvl>
    <w:lvl w:ilvl="8">
      <w:start w:val="0"/>
      <w:numFmt w:val="bullet"/>
      <w:lvlText w:val="•"/>
      <w:lvlJc w:val="left"/>
      <w:pPr>
        <w:ind w:left="6442" w:hanging="420"/>
      </w:pPr>
      <w:rPr>
        <w:rFonts w:hint="default"/>
      </w:rPr>
    </w:lvl>
  </w:abstractNum>
  <w:abstractNum w:abstractNumId="9">
    <w:multiLevelType w:val="hybridMultilevel"/>
    <w:lvl w:ilvl="0">
      <w:start w:val="1"/>
      <w:numFmt w:val="decimal"/>
      <w:lvlText w:val="(%1)"/>
      <w:lvlJc w:val="left"/>
      <w:pPr>
        <w:ind w:left="528" w:hanging="420"/>
        <w:jc w:val="left"/>
      </w:pPr>
      <w:rPr>
        <w:rFonts w:hint="default" w:ascii="宋体" w:hAnsi="宋体" w:eastAsia="宋体" w:cs="宋体"/>
        <w:b/>
        <w:bCs/>
        <w:spacing w:val="0"/>
        <w:w w:val="98"/>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1"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2" w:hanging="420"/>
      </w:pPr>
      <w:rPr>
        <w:rFonts w:hint="default"/>
      </w:rPr>
    </w:lvl>
    <w:lvl w:ilvl="8">
      <w:start w:val="0"/>
      <w:numFmt w:val="bullet"/>
      <w:lvlText w:val="•"/>
      <w:lvlJc w:val="left"/>
      <w:pPr>
        <w:ind w:left="6442" w:hanging="420"/>
      </w:pPr>
      <w:rPr>
        <w:rFonts w:hint="default"/>
      </w:rPr>
    </w:lvl>
  </w:abstractNum>
  <w:abstractNum w:abstractNumId="8">
    <w:multiLevelType w:val="hybridMultilevel"/>
    <w:lvl w:ilvl="0">
      <w:start w:val="1"/>
      <w:numFmt w:val="decimal"/>
      <w:lvlText w:val="（%1）"/>
      <w:lvlJc w:val="left"/>
      <w:pPr>
        <w:ind w:left="967" w:hanging="680"/>
        <w:jc w:val="left"/>
      </w:pPr>
      <w:rPr>
        <w:rFonts w:hint="default" w:ascii="宋体" w:hAnsi="宋体" w:eastAsia="宋体" w:cs="宋体"/>
        <w:w w:val="99"/>
        <w:sz w:val="20"/>
        <w:szCs w:val="20"/>
      </w:rPr>
    </w:lvl>
    <w:lvl w:ilvl="1">
      <w:start w:val="0"/>
      <w:numFmt w:val="bullet"/>
      <w:lvlText w:val="•"/>
      <w:lvlJc w:val="left"/>
      <w:pPr>
        <w:ind w:left="1671" w:hanging="680"/>
      </w:pPr>
      <w:rPr>
        <w:rFonts w:hint="default"/>
      </w:rPr>
    </w:lvl>
    <w:lvl w:ilvl="2">
      <w:start w:val="0"/>
      <w:numFmt w:val="bullet"/>
      <w:lvlText w:val="•"/>
      <w:lvlJc w:val="left"/>
      <w:pPr>
        <w:ind w:left="2383" w:hanging="680"/>
      </w:pPr>
      <w:rPr>
        <w:rFonts w:hint="default"/>
      </w:rPr>
    </w:lvl>
    <w:lvl w:ilvl="3">
      <w:start w:val="0"/>
      <w:numFmt w:val="bullet"/>
      <w:lvlText w:val="•"/>
      <w:lvlJc w:val="left"/>
      <w:pPr>
        <w:ind w:left="3095" w:hanging="680"/>
      </w:pPr>
      <w:rPr>
        <w:rFonts w:hint="default"/>
      </w:rPr>
    </w:lvl>
    <w:lvl w:ilvl="4">
      <w:start w:val="0"/>
      <w:numFmt w:val="bullet"/>
      <w:lvlText w:val="•"/>
      <w:lvlJc w:val="left"/>
      <w:pPr>
        <w:ind w:left="3807" w:hanging="680"/>
      </w:pPr>
      <w:rPr>
        <w:rFonts w:hint="default"/>
      </w:rPr>
    </w:lvl>
    <w:lvl w:ilvl="5">
      <w:start w:val="0"/>
      <w:numFmt w:val="bullet"/>
      <w:lvlText w:val="•"/>
      <w:lvlJc w:val="left"/>
      <w:pPr>
        <w:ind w:left="4519" w:hanging="680"/>
      </w:pPr>
      <w:rPr>
        <w:rFonts w:hint="default"/>
      </w:rPr>
    </w:lvl>
    <w:lvl w:ilvl="6">
      <w:start w:val="0"/>
      <w:numFmt w:val="bullet"/>
      <w:lvlText w:val="•"/>
      <w:lvlJc w:val="left"/>
      <w:pPr>
        <w:ind w:left="5231" w:hanging="680"/>
      </w:pPr>
      <w:rPr>
        <w:rFonts w:hint="default"/>
      </w:rPr>
    </w:lvl>
    <w:lvl w:ilvl="7">
      <w:start w:val="0"/>
      <w:numFmt w:val="bullet"/>
      <w:lvlText w:val="•"/>
      <w:lvlJc w:val="left"/>
      <w:pPr>
        <w:ind w:left="5943" w:hanging="680"/>
      </w:pPr>
      <w:rPr>
        <w:rFonts w:hint="default"/>
      </w:rPr>
    </w:lvl>
    <w:lvl w:ilvl="8">
      <w:start w:val="0"/>
      <w:numFmt w:val="bullet"/>
      <w:lvlText w:val="•"/>
      <w:lvlJc w:val="left"/>
      <w:pPr>
        <w:ind w:left="6655" w:hanging="680"/>
      </w:pPr>
      <w:rPr>
        <w:rFonts w:hint="default"/>
      </w:rPr>
    </w:lvl>
  </w:abstractNum>
  <w:abstractNum w:abstractNumId="7">
    <w:multiLevelType w:val="hybridMultilevel"/>
    <w:lvl w:ilvl="0">
      <w:start w:val="1"/>
      <w:numFmt w:val="decimal"/>
      <w:lvlText w:val="（%1）"/>
      <w:lvlJc w:val="left"/>
      <w:pPr>
        <w:ind w:left="967" w:hanging="680"/>
        <w:jc w:val="left"/>
      </w:pPr>
      <w:rPr>
        <w:rFonts w:hint="default" w:ascii="宋体" w:hAnsi="宋体" w:eastAsia="宋体" w:cs="宋体"/>
        <w:w w:val="99"/>
        <w:sz w:val="20"/>
        <w:szCs w:val="20"/>
      </w:rPr>
    </w:lvl>
    <w:lvl w:ilvl="1">
      <w:start w:val="1"/>
      <w:numFmt w:val="decimal"/>
      <w:lvlText w:val="%2）"/>
      <w:lvlJc w:val="left"/>
      <w:pPr>
        <w:ind w:left="1339" w:hanging="356"/>
        <w:jc w:val="left"/>
      </w:pPr>
      <w:rPr>
        <w:rFonts w:hint="default" w:ascii="宋体" w:hAnsi="宋体" w:eastAsia="宋体" w:cs="宋体"/>
        <w:spacing w:val="0"/>
        <w:w w:val="99"/>
        <w:sz w:val="20"/>
        <w:szCs w:val="20"/>
      </w:rPr>
    </w:lvl>
    <w:lvl w:ilvl="2">
      <w:start w:val="0"/>
      <w:numFmt w:val="bullet"/>
      <w:lvlText w:val="•"/>
      <w:lvlJc w:val="left"/>
      <w:pPr>
        <w:ind w:left="2088" w:hanging="356"/>
      </w:pPr>
      <w:rPr>
        <w:rFonts w:hint="default"/>
      </w:rPr>
    </w:lvl>
    <w:lvl w:ilvl="3">
      <w:start w:val="0"/>
      <w:numFmt w:val="bullet"/>
      <w:lvlText w:val="•"/>
      <w:lvlJc w:val="left"/>
      <w:pPr>
        <w:ind w:left="2837" w:hanging="356"/>
      </w:pPr>
      <w:rPr>
        <w:rFonts w:hint="default"/>
      </w:rPr>
    </w:lvl>
    <w:lvl w:ilvl="4">
      <w:start w:val="0"/>
      <w:numFmt w:val="bullet"/>
      <w:lvlText w:val="•"/>
      <w:lvlJc w:val="left"/>
      <w:pPr>
        <w:ind w:left="3586" w:hanging="356"/>
      </w:pPr>
      <w:rPr>
        <w:rFonts w:hint="default"/>
      </w:rPr>
    </w:lvl>
    <w:lvl w:ilvl="5">
      <w:start w:val="0"/>
      <w:numFmt w:val="bullet"/>
      <w:lvlText w:val="•"/>
      <w:lvlJc w:val="left"/>
      <w:pPr>
        <w:ind w:left="4335" w:hanging="356"/>
      </w:pPr>
      <w:rPr>
        <w:rFonts w:hint="default"/>
      </w:rPr>
    </w:lvl>
    <w:lvl w:ilvl="6">
      <w:start w:val="0"/>
      <w:numFmt w:val="bullet"/>
      <w:lvlText w:val="•"/>
      <w:lvlJc w:val="left"/>
      <w:pPr>
        <w:ind w:left="5083" w:hanging="356"/>
      </w:pPr>
      <w:rPr>
        <w:rFonts w:hint="default"/>
      </w:rPr>
    </w:lvl>
    <w:lvl w:ilvl="7">
      <w:start w:val="0"/>
      <w:numFmt w:val="bullet"/>
      <w:lvlText w:val="•"/>
      <w:lvlJc w:val="left"/>
      <w:pPr>
        <w:ind w:left="5832" w:hanging="356"/>
      </w:pPr>
      <w:rPr>
        <w:rFonts w:hint="default"/>
      </w:rPr>
    </w:lvl>
    <w:lvl w:ilvl="8">
      <w:start w:val="0"/>
      <w:numFmt w:val="bullet"/>
      <w:lvlText w:val="•"/>
      <w:lvlJc w:val="left"/>
      <w:pPr>
        <w:ind w:left="6581" w:hanging="356"/>
      </w:pPr>
      <w:rPr>
        <w:rFonts w:hint="default"/>
      </w:rPr>
    </w:lvl>
  </w:abstractNum>
  <w:abstractNum w:abstractNumId="6">
    <w:multiLevelType w:val="hybridMultilevel"/>
    <w:lvl w:ilvl="0">
      <w:start w:val="1"/>
      <w:numFmt w:val="decimal"/>
      <w:lvlText w:val="%1)"/>
      <w:lvlJc w:val="left"/>
      <w:pPr>
        <w:ind w:left="983" w:hanging="360"/>
        <w:jc w:val="left"/>
      </w:pPr>
      <w:rPr>
        <w:rFonts w:hint="default" w:ascii="宋体" w:hAnsi="宋体" w:eastAsia="宋体" w:cs="宋体"/>
        <w:spacing w:val="0"/>
        <w:w w:val="99"/>
        <w:sz w:val="20"/>
        <w:szCs w:val="20"/>
      </w:rPr>
    </w:lvl>
    <w:lvl w:ilvl="1">
      <w:start w:val="0"/>
      <w:numFmt w:val="bullet"/>
      <w:lvlText w:val="•"/>
      <w:lvlJc w:val="left"/>
      <w:pPr>
        <w:ind w:left="1656" w:hanging="360"/>
      </w:pPr>
      <w:rPr>
        <w:rFonts w:hint="default"/>
      </w:rPr>
    </w:lvl>
    <w:lvl w:ilvl="2">
      <w:start w:val="0"/>
      <w:numFmt w:val="bullet"/>
      <w:lvlText w:val="•"/>
      <w:lvlJc w:val="left"/>
      <w:pPr>
        <w:ind w:left="2333" w:hanging="360"/>
      </w:pPr>
      <w:rPr>
        <w:rFonts w:hint="default"/>
      </w:rPr>
    </w:lvl>
    <w:lvl w:ilvl="3">
      <w:start w:val="0"/>
      <w:numFmt w:val="bullet"/>
      <w:lvlText w:val="•"/>
      <w:lvlJc w:val="left"/>
      <w:pPr>
        <w:ind w:left="3009" w:hanging="360"/>
      </w:pPr>
      <w:rPr>
        <w:rFonts w:hint="default"/>
      </w:rPr>
    </w:lvl>
    <w:lvl w:ilvl="4">
      <w:start w:val="0"/>
      <w:numFmt w:val="bullet"/>
      <w:lvlText w:val="•"/>
      <w:lvlJc w:val="left"/>
      <w:pPr>
        <w:ind w:left="3686" w:hanging="360"/>
      </w:pPr>
      <w:rPr>
        <w:rFonts w:hint="default"/>
      </w:rPr>
    </w:lvl>
    <w:lvl w:ilvl="5">
      <w:start w:val="0"/>
      <w:numFmt w:val="bullet"/>
      <w:lvlText w:val="•"/>
      <w:lvlJc w:val="left"/>
      <w:pPr>
        <w:ind w:left="4362" w:hanging="360"/>
      </w:pPr>
      <w:rPr>
        <w:rFonts w:hint="default"/>
      </w:rPr>
    </w:lvl>
    <w:lvl w:ilvl="6">
      <w:start w:val="0"/>
      <w:numFmt w:val="bullet"/>
      <w:lvlText w:val="•"/>
      <w:lvlJc w:val="left"/>
      <w:pPr>
        <w:ind w:left="5039" w:hanging="360"/>
      </w:pPr>
      <w:rPr>
        <w:rFonts w:hint="default"/>
      </w:rPr>
    </w:lvl>
    <w:lvl w:ilvl="7">
      <w:start w:val="0"/>
      <w:numFmt w:val="bullet"/>
      <w:lvlText w:val="•"/>
      <w:lvlJc w:val="left"/>
      <w:pPr>
        <w:ind w:left="5715" w:hanging="360"/>
      </w:pPr>
      <w:rPr>
        <w:rFonts w:hint="default"/>
      </w:rPr>
    </w:lvl>
    <w:lvl w:ilvl="8">
      <w:start w:val="0"/>
      <w:numFmt w:val="bullet"/>
      <w:lvlText w:val="•"/>
      <w:lvlJc w:val="left"/>
      <w:pPr>
        <w:ind w:left="6392" w:hanging="360"/>
      </w:pPr>
      <w:rPr>
        <w:rFonts w:hint="default"/>
      </w:rPr>
    </w:lvl>
  </w:abstractNum>
  <w:abstractNum w:abstractNumId="5">
    <w:multiLevelType w:val="hybridMultilevel"/>
    <w:lvl w:ilvl="0">
      <w:start w:val="1"/>
      <w:numFmt w:val="decimal"/>
      <w:lvlText w:val="（%1）"/>
      <w:lvlJc w:val="left"/>
      <w:pPr>
        <w:ind w:left="791" w:hanging="680"/>
        <w:jc w:val="left"/>
      </w:pPr>
      <w:rPr>
        <w:rFonts w:hint="default" w:ascii="宋体" w:hAnsi="宋体" w:eastAsia="宋体" w:cs="宋体"/>
        <w:w w:val="99"/>
        <w:sz w:val="20"/>
        <w:szCs w:val="20"/>
      </w:rPr>
    </w:lvl>
    <w:lvl w:ilvl="1">
      <w:start w:val="0"/>
      <w:numFmt w:val="bullet"/>
      <w:lvlText w:val="•"/>
      <w:lvlJc w:val="left"/>
      <w:pPr>
        <w:ind w:left="1494" w:hanging="680"/>
      </w:pPr>
      <w:rPr>
        <w:rFonts w:hint="default"/>
      </w:rPr>
    </w:lvl>
    <w:lvl w:ilvl="2">
      <w:start w:val="0"/>
      <w:numFmt w:val="bullet"/>
      <w:lvlText w:val="•"/>
      <w:lvlJc w:val="left"/>
      <w:pPr>
        <w:ind w:left="2189" w:hanging="680"/>
      </w:pPr>
      <w:rPr>
        <w:rFonts w:hint="default"/>
      </w:rPr>
    </w:lvl>
    <w:lvl w:ilvl="3">
      <w:start w:val="0"/>
      <w:numFmt w:val="bullet"/>
      <w:lvlText w:val="•"/>
      <w:lvlJc w:val="left"/>
      <w:pPr>
        <w:ind w:left="2883" w:hanging="680"/>
      </w:pPr>
      <w:rPr>
        <w:rFonts w:hint="default"/>
      </w:rPr>
    </w:lvl>
    <w:lvl w:ilvl="4">
      <w:start w:val="0"/>
      <w:numFmt w:val="bullet"/>
      <w:lvlText w:val="•"/>
      <w:lvlJc w:val="left"/>
      <w:pPr>
        <w:ind w:left="3578" w:hanging="680"/>
      </w:pPr>
      <w:rPr>
        <w:rFonts w:hint="default"/>
      </w:rPr>
    </w:lvl>
    <w:lvl w:ilvl="5">
      <w:start w:val="0"/>
      <w:numFmt w:val="bullet"/>
      <w:lvlText w:val="•"/>
      <w:lvlJc w:val="left"/>
      <w:pPr>
        <w:ind w:left="4272" w:hanging="680"/>
      </w:pPr>
      <w:rPr>
        <w:rFonts w:hint="default"/>
      </w:rPr>
    </w:lvl>
    <w:lvl w:ilvl="6">
      <w:start w:val="0"/>
      <w:numFmt w:val="bullet"/>
      <w:lvlText w:val="•"/>
      <w:lvlJc w:val="left"/>
      <w:pPr>
        <w:ind w:left="4967" w:hanging="680"/>
      </w:pPr>
      <w:rPr>
        <w:rFonts w:hint="default"/>
      </w:rPr>
    </w:lvl>
    <w:lvl w:ilvl="7">
      <w:start w:val="0"/>
      <w:numFmt w:val="bullet"/>
      <w:lvlText w:val="•"/>
      <w:lvlJc w:val="left"/>
      <w:pPr>
        <w:ind w:left="5661" w:hanging="680"/>
      </w:pPr>
      <w:rPr>
        <w:rFonts w:hint="default"/>
      </w:rPr>
    </w:lvl>
    <w:lvl w:ilvl="8">
      <w:start w:val="0"/>
      <w:numFmt w:val="bullet"/>
      <w:lvlText w:val="•"/>
      <w:lvlJc w:val="left"/>
      <w:pPr>
        <w:ind w:left="6356" w:hanging="680"/>
      </w:pPr>
      <w:rPr>
        <w:rFonts w:hint="default"/>
      </w:rPr>
    </w:lvl>
  </w:abstractNum>
  <w:abstractNum w:abstractNumId="4">
    <w:multiLevelType w:val="hybridMultilevel"/>
    <w:lvl w:ilvl="0">
      <w:start w:val="1"/>
      <w:numFmt w:val="decimal"/>
      <w:lvlText w:val="（%1）"/>
      <w:lvlJc w:val="left"/>
      <w:pPr>
        <w:ind w:left="905" w:hanging="618"/>
        <w:jc w:val="left"/>
      </w:pPr>
      <w:rPr>
        <w:rFonts w:hint="default" w:ascii="宋体" w:hAnsi="宋体" w:eastAsia="宋体" w:cs="宋体"/>
        <w:spacing w:val="-1"/>
        <w:w w:val="99"/>
        <w:sz w:val="20"/>
        <w:szCs w:val="20"/>
      </w:rPr>
    </w:lvl>
    <w:lvl w:ilvl="1">
      <w:start w:val="0"/>
      <w:numFmt w:val="bullet"/>
      <w:lvlText w:val="•"/>
      <w:lvlJc w:val="left"/>
      <w:pPr>
        <w:ind w:left="1611" w:hanging="618"/>
      </w:pPr>
      <w:rPr>
        <w:rFonts w:hint="default"/>
      </w:rPr>
    </w:lvl>
    <w:lvl w:ilvl="2">
      <w:start w:val="0"/>
      <w:numFmt w:val="bullet"/>
      <w:lvlText w:val="•"/>
      <w:lvlJc w:val="left"/>
      <w:pPr>
        <w:ind w:left="2322" w:hanging="618"/>
      </w:pPr>
      <w:rPr>
        <w:rFonts w:hint="default"/>
      </w:rPr>
    </w:lvl>
    <w:lvl w:ilvl="3">
      <w:start w:val="0"/>
      <w:numFmt w:val="bullet"/>
      <w:lvlText w:val="•"/>
      <w:lvlJc w:val="left"/>
      <w:pPr>
        <w:ind w:left="3033" w:hanging="618"/>
      </w:pPr>
      <w:rPr>
        <w:rFonts w:hint="default"/>
      </w:rPr>
    </w:lvl>
    <w:lvl w:ilvl="4">
      <w:start w:val="0"/>
      <w:numFmt w:val="bullet"/>
      <w:lvlText w:val="•"/>
      <w:lvlJc w:val="left"/>
      <w:pPr>
        <w:ind w:left="3744" w:hanging="618"/>
      </w:pPr>
      <w:rPr>
        <w:rFonts w:hint="default"/>
      </w:rPr>
    </w:lvl>
    <w:lvl w:ilvl="5">
      <w:start w:val="0"/>
      <w:numFmt w:val="bullet"/>
      <w:lvlText w:val="•"/>
      <w:lvlJc w:val="left"/>
      <w:pPr>
        <w:ind w:left="4456" w:hanging="618"/>
      </w:pPr>
      <w:rPr>
        <w:rFonts w:hint="default"/>
      </w:rPr>
    </w:lvl>
    <w:lvl w:ilvl="6">
      <w:start w:val="0"/>
      <w:numFmt w:val="bullet"/>
      <w:lvlText w:val="•"/>
      <w:lvlJc w:val="left"/>
      <w:pPr>
        <w:ind w:left="5167" w:hanging="618"/>
      </w:pPr>
      <w:rPr>
        <w:rFonts w:hint="default"/>
      </w:rPr>
    </w:lvl>
    <w:lvl w:ilvl="7">
      <w:start w:val="0"/>
      <w:numFmt w:val="bullet"/>
      <w:lvlText w:val="•"/>
      <w:lvlJc w:val="left"/>
      <w:pPr>
        <w:ind w:left="5878" w:hanging="618"/>
      </w:pPr>
      <w:rPr>
        <w:rFonts w:hint="default"/>
      </w:rPr>
    </w:lvl>
    <w:lvl w:ilvl="8">
      <w:start w:val="0"/>
      <w:numFmt w:val="bullet"/>
      <w:lvlText w:val="•"/>
      <w:lvlJc w:val="left"/>
      <w:pPr>
        <w:ind w:left="6589" w:hanging="618"/>
      </w:pPr>
      <w:rPr>
        <w:rFonts w:hint="default"/>
      </w:rPr>
    </w:lvl>
  </w:abstractNum>
  <w:abstractNum w:abstractNumId="3">
    <w:multiLevelType w:val="hybridMultilevel"/>
    <w:lvl w:ilvl="0">
      <w:start w:val="1"/>
      <w:numFmt w:val="decimal"/>
      <w:lvlText w:val="（%1）"/>
      <w:lvlJc w:val="left"/>
      <w:pPr>
        <w:ind w:left="968" w:hanging="680"/>
        <w:jc w:val="left"/>
      </w:pPr>
      <w:rPr>
        <w:rFonts w:hint="default" w:ascii="宋体" w:hAnsi="宋体" w:eastAsia="宋体" w:cs="宋体"/>
        <w:b/>
        <w:bCs/>
        <w:spacing w:val="0"/>
        <w:w w:val="98"/>
        <w:sz w:val="20"/>
        <w:szCs w:val="20"/>
      </w:rPr>
    </w:lvl>
    <w:lvl w:ilvl="1">
      <w:start w:val="0"/>
      <w:numFmt w:val="bullet"/>
      <w:lvlText w:val="•"/>
      <w:lvlJc w:val="left"/>
      <w:pPr>
        <w:ind w:left="1665" w:hanging="680"/>
      </w:pPr>
      <w:rPr>
        <w:rFonts w:hint="default"/>
      </w:rPr>
    </w:lvl>
    <w:lvl w:ilvl="2">
      <w:start w:val="0"/>
      <w:numFmt w:val="bullet"/>
      <w:lvlText w:val="•"/>
      <w:lvlJc w:val="left"/>
      <w:pPr>
        <w:ind w:left="2370" w:hanging="680"/>
      </w:pPr>
      <w:rPr>
        <w:rFonts w:hint="default"/>
      </w:rPr>
    </w:lvl>
    <w:lvl w:ilvl="3">
      <w:start w:val="0"/>
      <w:numFmt w:val="bullet"/>
      <w:lvlText w:val="•"/>
      <w:lvlJc w:val="left"/>
      <w:pPr>
        <w:ind w:left="3075" w:hanging="680"/>
      </w:pPr>
      <w:rPr>
        <w:rFonts w:hint="default"/>
      </w:rPr>
    </w:lvl>
    <w:lvl w:ilvl="4">
      <w:start w:val="0"/>
      <w:numFmt w:val="bullet"/>
      <w:lvlText w:val="•"/>
      <w:lvlJc w:val="left"/>
      <w:pPr>
        <w:ind w:left="3780" w:hanging="680"/>
      </w:pPr>
      <w:rPr>
        <w:rFonts w:hint="default"/>
      </w:rPr>
    </w:lvl>
    <w:lvl w:ilvl="5">
      <w:start w:val="0"/>
      <w:numFmt w:val="bullet"/>
      <w:lvlText w:val="•"/>
      <w:lvlJc w:val="left"/>
      <w:pPr>
        <w:ind w:left="4486" w:hanging="680"/>
      </w:pPr>
      <w:rPr>
        <w:rFonts w:hint="default"/>
      </w:rPr>
    </w:lvl>
    <w:lvl w:ilvl="6">
      <w:start w:val="0"/>
      <w:numFmt w:val="bullet"/>
      <w:lvlText w:val="•"/>
      <w:lvlJc w:val="left"/>
      <w:pPr>
        <w:ind w:left="5191" w:hanging="680"/>
      </w:pPr>
      <w:rPr>
        <w:rFonts w:hint="default"/>
      </w:rPr>
    </w:lvl>
    <w:lvl w:ilvl="7">
      <w:start w:val="0"/>
      <w:numFmt w:val="bullet"/>
      <w:lvlText w:val="•"/>
      <w:lvlJc w:val="left"/>
      <w:pPr>
        <w:ind w:left="5896" w:hanging="680"/>
      </w:pPr>
      <w:rPr>
        <w:rFonts w:hint="default"/>
      </w:rPr>
    </w:lvl>
    <w:lvl w:ilvl="8">
      <w:start w:val="0"/>
      <w:numFmt w:val="bullet"/>
      <w:lvlText w:val="•"/>
      <w:lvlJc w:val="left"/>
      <w:pPr>
        <w:ind w:left="6601" w:hanging="680"/>
      </w:pPr>
      <w:rPr>
        <w:rFonts w:hint="default"/>
      </w:rPr>
    </w:lvl>
  </w:abstractNum>
  <w:abstractNum w:abstractNumId="2">
    <w:multiLevelType w:val="hybridMultilevel"/>
    <w:lvl w:ilvl="0">
      <w:start w:val="1"/>
      <w:numFmt w:val="decimal"/>
      <w:lvlText w:val="（%1）"/>
      <w:lvlJc w:val="left"/>
      <w:pPr>
        <w:ind w:left="1267" w:hanging="680"/>
        <w:jc w:val="left"/>
      </w:pPr>
      <w:rPr>
        <w:rFonts w:hint="default" w:ascii="宋体" w:hAnsi="宋体" w:eastAsia="宋体" w:cs="宋体"/>
        <w:b/>
        <w:bCs/>
        <w:spacing w:val="0"/>
        <w:w w:val="98"/>
        <w:sz w:val="20"/>
        <w:szCs w:val="20"/>
      </w:rPr>
    </w:lvl>
    <w:lvl w:ilvl="1">
      <w:start w:val="0"/>
      <w:numFmt w:val="bullet"/>
      <w:lvlText w:val="•"/>
      <w:lvlJc w:val="left"/>
      <w:pPr>
        <w:ind w:left="1956" w:hanging="680"/>
      </w:pPr>
      <w:rPr>
        <w:rFonts w:hint="default"/>
      </w:rPr>
    </w:lvl>
    <w:lvl w:ilvl="2">
      <w:start w:val="0"/>
      <w:numFmt w:val="bullet"/>
      <w:lvlText w:val="•"/>
      <w:lvlJc w:val="left"/>
      <w:pPr>
        <w:ind w:left="2652" w:hanging="680"/>
      </w:pPr>
      <w:rPr>
        <w:rFonts w:hint="default"/>
      </w:rPr>
    </w:lvl>
    <w:lvl w:ilvl="3">
      <w:start w:val="0"/>
      <w:numFmt w:val="bullet"/>
      <w:lvlText w:val="•"/>
      <w:lvlJc w:val="left"/>
      <w:pPr>
        <w:ind w:left="3348" w:hanging="680"/>
      </w:pPr>
      <w:rPr>
        <w:rFonts w:hint="default"/>
      </w:rPr>
    </w:lvl>
    <w:lvl w:ilvl="4">
      <w:start w:val="0"/>
      <w:numFmt w:val="bullet"/>
      <w:lvlText w:val="•"/>
      <w:lvlJc w:val="left"/>
      <w:pPr>
        <w:ind w:left="4044" w:hanging="680"/>
      </w:pPr>
      <w:rPr>
        <w:rFonts w:hint="default"/>
      </w:rPr>
    </w:lvl>
    <w:lvl w:ilvl="5">
      <w:start w:val="0"/>
      <w:numFmt w:val="bullet"/>
      <w:lvlText w:val="•"/>
      <w:lvlJc w:val="left"/>
      <w:pPr>
        <w:ind w:left="4740" w:hanging="680"/>
      </w:pPr>
      <w:rPr>
        <w:rFonts w:hint="default"/>
      </w:rPr>
    </w:lvl>
    <w:lvl w:ilvl="6">
      <w:start w:val="0"/>
      <w:numFmt w:val="bullet"/>
      <w:lvlText w:val="•"/>
      <w:lvlJc w:val="left"/>
      <w:pPr>
        <w:ind w:left="5436" w:hanging="680"/>
      </w:pPr>
      <w:rPr>
        <w:rFonts w:hint="default"/>
      </w:rPr>
    </w:lvl>
    <w:lvl w:ilvl="7">
      <w:start w:val="0"/>
      <w:numFmt w:val="bullet"/>
      <w:lvlText w:val="•"/>
      <w:lvlJc w:val="left"/>
      <w:pPr>
        <w:ind w:left="6132" w:hanging="680"/>
      </w:pPr>
      <w:rPr>
        <w:rFonts w:hint="default"/>
      </w:rPr>
    </w:lvl>
    <w:lvl w:ilvl="8">
      <w:start w:val="0"/>
      <w:numFmt w:val="bullet"/>
      <w:lvlText w:val="•"/>
      <w:lvlJc w:val="left"/>
      <w:pPr>
        <w:ind w:left="6828" w:hanging="680"/>
      </w:pPr>
      <w:rPr>
        <w:rFonts w:hint="default"/>
      </w:rPr>
    </w:lvl>
  </w:abstractNum>
  <w:abstractNum w:abstractNumId="1">
    <w:multiLevelType w:val="hybridMultilevel"/>
    <w:lvl w:ilvl="0">
      <w:start w:val="1"/>
      <w:numFmt w:val="decimal"/>
      <w:lvlText w:val="(%1)"/>
      <w:lvlJc w:val="left"/>
      <w:pPr>
        <w:ind w:left="519" w:hanging="421"/>
        <w:jc w:val="left"/>
      </w:pPr>
      <w:rPr>
        <w:rFonts w:hint="default" w:ascii="宋体" w:hAnsi="宋体" w:eastAsia="宋体" w:cs="宋体"/>
        <w:spacing w:val="0"/>
        <w:w w:val="99"/>
        <w:sz w:val="20"/>
        <w:szCs w:val="20"/>
      </w:rPr>
    </w:lvl>
    <w:lvl w:ilvl="1">
      <w:start w:val="0"/>
      <w:numFmt w:val="bullet"/>
      <w:lvlText w:val="•"/>
      <w:lvlJc w:val="left"/>
      <w:pPr>
        <w:ind w:left="1241" w:hanging="421"/>
      </w:pPr>
      <w:rPr>
        <w:rFonts w:hint="default"/>
      </w:rPr>
    </w:lvl>
    <w:lvl w:ilvl="2">
      <w:start w:val="0"/>
      <w:numFmt w:val="bullet"/>
      <w:lvlText w:val="•"/>
      <w:lvlJc w:val="left"/>
      <w:pPr>
        <w:ind w:left="1962" w:hanging="421"/>
      </w:pPr>
      <w:rPr>
        <w:rFonts w:hint="default"/>
      </w:rPr>
    </w:lvl>
    <w:lvl w:ilvl="3">
      <w:start w:val="0"/>
      <w:numFmt w:val="bullet"/>
      <w:lvlText w:val="•"/>
      <w:lvlJc w:val="left"/>
      <w:pPr>
        <w:ind w:left="2683" w:hanging="421"/>
      </w:pPr>
      <w:rPr>
        <w:rFonts w:hint="default"/>
      </w:rPr>
    </w:lvl>
    <w:lvl w:ilvl="4">
      <w:start w:val="0"/>
      <w:numFmt w:val="bullet"/>
      <w:lvlText w:val="•"/>
      <w:lvlJc w:val="left"/>
      <w:pPr>
        <w:ind w:left="3404" w:hanging="421"/>
      </w:pPr>
      <w:rPr>
        <w:rFonts w:hint="default"/>
      </w:rPr>
    </w:lvl>
    <w:lvl w:ilvl="5">
      <w:start w:val="0"/>
      <w:numFmt w:val="bullet"/>
      <w:lvlText w:val="•"/>
      <w:lvlJc w:val="left"/>
      <w:pPr>
        <w:ind w:left="4125" w:hanging="421"/>
      </w:pPr>
      <w:rPr>
        <w:rFonts w:hint="default"/>
      </w:rPr>
    </w:lvl>
    <w:lvl w:ilvl="6">
      <w:start w:val="0"/>
      <w:numFmt w:val="bullet"/>
      <w:lvlText w:val="•"/>
      <w:lvlJc w:val="left"/>
      <w:pPr>
        <w:ind w:left="4846" w:hanging="421"/>
      </w:pPr>
      <w:rPr>
        <w:rFonts w:hint="default"/>
      </w:rPr>
    </w:lvl>
    <w:lvl w:ilvl="7">
      <w:start w:val="0"/>
      <w:numFmt w:val="bullet"/>
      <w:lvlText w:val="•"/>
      <w:lvlJc w:val="left"/>
      <w:pPr>
        <w:ind w:left="5567" w:hanging="421"/>
      </w:pPr>
      <w:rPr>
        <w:rFonts w:hint="default"/>
      </w:rPr>
    </w:lvl>
    <w:lvl w:ilvl="8">
      <w:start w:val="0"/>
      <w:numFmt w:val="bullet"/>
      <w:lvlText w:val="•"/>
      <w:lvlJc w:val="left"/>
      <w:pPr>
        <w:ind w:left="6288" w:hanging="421"/>
      </w:pPr>
      <w:rPr>
        <w:rFonts w:hint="default"/>
      </w:rPr>
    </w:lvl>
  </w:abstractNum>
  <w:abstractNum w:abstractNumId="0">
    <w:multiLevelType w:val="hybridMultilevel"/>
    <w:lvl w:ilvl="0">
      <w:start w:val="0"/>
      <w:numFmt w:val="bullet"/>
      <w:lvlText w:val=""/>
      <w:lvlJc w:val="left"/>
      <w:pPr>
        <w:ind w:left="676" w:hanging="420"/>
      </w:pPr>
      <w:rPr>
        <w:rFonts w:hint="default" w:ascii="Wingdings" w:hAnsi="Wingdings" w:eastAsia="Wingdings" w:cs="Wingdings"/>
        <w:w w:val="99"/>
        <w:sz w:val="20"/>
        <w:szCs w:val="20"/>
      </w:rPr>
    </w:lvl>
    <w:lvl w:ilvl="1">
      <w:start w:val="0"/>
      <w:numFmt w:val="bullet"/>
      <w:lvlText w:val="•"/>
      <w:lvlJc w:val="left"/>
      <w:pPr>
        <w:ind w:left="1688" w:hanging="420"/>
      </w:pPr>
      <w:rPr>
        <w:rFonts w:hint="default"/>
      </w:rPr>
    </w:lvl>
    <w:lvl w:ilvl="2">
      <w:start w:val="0"/>
      <w:numFmt w:val="bullet"/>
      <w:lvlText w:val="•"/>
      <w:lvlJc w:val="left"/>
      <w:pPr>
        <w:ind w:left="2697" w:hanging="420"/>
      </w:pPr>
      <w:rPr>
        <w:rFonts w:hint="default"/>
      </w:rPr>
    </w:lvl>
    <w:lvl w:ilvl="3">
      <w:start w:val="0"/>
      <w:numFmt w:val="bullet"/>
      <w:lvlText w:val="•"/>
      <w:lvlJc w:val="left"/>
      <w:pPr>
        <w:ind w:left="3705" w:hanging="420"/>
      </w:pPr>
      <w:rPr>
        <w:rFonts w:hint="default"/>
      </w:rPr>
    </w:lvl>
    <w:lvl w:ilvl="4">
      <w:start w:val="0"/>
      <w:numFmt w:val="bullet"/>
      <w:lvlText w:val="•"/>
      <w:lvlJc w:val="left"/>
      <w:pPr>
        <w:ind w:left="4714" w:hanging="420"/>
      </w:pPr>
      <w:rPr>
        <w:rFonts w:hint="default"/>
      </w:rPr>
    </w:lvl>
    <w:lvl w:ilvl="5">
      <w:start w:val="0"/>
      <w:numFmt w:val="bullet"/>
      <w:lvlText w:val="•"/>
      <w:lvlJc w:val="left"/>
      <w:pPr>
        <w:ind w:left="5723" w:hanging="420"/>
      </w:pPr>
      <w:rPr>
        <w:rFonts w:hint="default"/>
      </w:rPr>
    </w:lvl>
    <w:lvl w:ilvl="6">
      <w:start w:val="0"/>
      <w:numFmt w:val="bullet"/>
      <w:lvlText w:val="•"/>
      <w:lvlJc w:val="left"/>
      <w:pPr>
        <w:ind w:left="6731" w:hanging="420"/>
      </w:pPr>
      <w:rPr>
        <w:rFonts w:hint="default"/>
      </w:rPr>
    </w:lvl>
    <w:lvl w:ilvl="7">
      <w:start w:val="0"/>
      <w:numFmt w:val="bullet"/>
      <w:lvlText w:val="•"/>
      <w:lvlJc w:val="left"/>
      <w:pPr>
        <w:ind w:left="7740" w:hanging="420"/>
      </w:pPr>
      <w:rPr>
        <w:rFonts w:hint="default"/>
      </w:rPr>
    </w:lvl>
    <w:lvl w:ilvl="8">
      <w:start w:val="0"/>
      <w:numFmt w:val="bullet"/>
      <w:lvlText w:val="•"/>
      <w:lvlJc w:val="left"/>
      <w:pPr>
        <w:ind w:left="8749" w:hanging="420"/>
      </w:pPr>
      <w:rPr>
        <w:rFonts w:hint="default"/>
      </w:rPr>
    </w:lvl>
  </w:abstract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0"/>
      <w:szCs w:val="20"/>
    </w:rPr>
  </w:style>
  <w:style w:styleId="Heading1" w:type="paragraph">
    <w:name w:val="Heading 1"/>
    <w:basedOn w:val="Normal"/>
    <w:uiPriority w:val="1"/>
    <w:qFormat/>
    <w:pPr>
      <w:outlineLvl w:val="1"/>
    </w:pPr>
    <w:rPr>
      <w:rFonts w:ascii="宋体" w:hAnsi="宋体" w:eastAsia="宋体" w:cs="宋体"/>
      <w:b/>
      <w:bCs/>
      <w:sz w:val="28"/>
      <w:szCs w:val="28"/>
    </w:rPr>
  </w:style>
  <w:style w:styleId="Heading2" w:type="paragraph">
    <w:name w:val="Heading 2"/>
    <w:basedOn w:val="Normal"/>
    <w:uiPriority w:val="1"/>
    <w:qFormat/>
    <w:pPr>
      <w:spacing w:before="10"/>
      <w:ind w:left="140"/>
      <w:outlineLvl w:val="2"/>
    </w:pPr>
    <w:rPr>
      <w:rFonts w:ascii="宋体" w:hAnsi="宋体" w:eastAsia="宋体" w:cs="宋体"/>
      <w:b/>
      <w:bCs/>
      <w:sz w:val="24"/>
      <w:szCs w:val="24"/>
    </w:rPr>
  </w:style>
  <w:style w:styleId="Heading3" w:type="paragraph">
    <w:name w:val="Heading 3"/>
    <w:basedOn w:val="Normal"/>
    <w:uiPriority w:val="1"/>
    <w:qFormat/>
    <w:pPr>
      <w:spacing w:before="49"/>
      <w:ind w:left="284"/>
      <w:outlineLvl w:val="3"/>
    </w:pPr>
    <w:rPr>
      <w:rFonts w:ascii="宋体" w:hAnsi="宋体" w:eastAsia="宋体" w:cs="宋体"/>
      <w:b/>
      <w:bCs/>
      <w:sz w:val="20"/>
      <w:szCs w:val="20"/>
    </w:rPr>
  </w:style>
  <w:style w:styleId="ListParagraph" w:type="paragraph">
    <w:name w:val="List Paragraph"/>
    <w:basedOn w:val="Normal"/>
    <w:uiPriority w:val="1"/>
    <w:qFormat/>
    <w:pPr>
      <w:spacing w:before="36"/>
      <w:ind w:left="676" w:firstLine="442"/>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celialiu</dc:creator>
  <dc:title>中德安联人寿保险有限公司</dc:title>
  <dcterms:created xsi:type="dcterms:W3CDTF">2018-10-20T01:25:05Z</dcterms:created>
  <dcterms:modified xsi:type="dcterms:W3CDTF">2018-10-20T01:25:05Z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2016-11-02T00:00:00Z</vt:filetime>
  </property>
  <property fmtid="{D5CDD505-2E9C-101B-9397-08002B2CF9AE}" pid="3" name="Creator">
    <vt:lpwstr>Microsoft® Word 2010</vt:lpwstr>
  </property>
  <property fmtid="{D5CDD505-2E9C-101B-9397-08002B2CF9AE}" pid="4" name="LastSaved">
    <vt:filetime>2018-10-19T00:00:00Z</vt:filetime>
  </property>
</Properties>
</file>