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3"/>
        <w:ind w:left="0" w:right="101" w:firstLine="0"/>
        <w:jc w:val="right"/>
        <w:rPr>
          <w:sz w:val="12"/>
        </w:rPr>
      </w:pPr>
      <w:r>
        <w:rPr/>
        <w:drawing>
          <wp:anchor distT="0" distB="0" distL="0" distR="0" allowOverlap="1" layoutInCell="1" locked="0" behindDoc="0" simplePos="0" relativeHeight="0">
            <wp:simplePos x="0" y="0"/>
            <wp:positionH relativeFrom="page">
              <wp:posOffset>6430517</wp:posOffset>
            </wp:positionH>
            <wp:positionV relativeFrom="paragraph">
              <wp:posOffset>177013</wp:posOffset>
            </wp:positionV>
            <wp:extent cx="723899"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anchor>
        </w:drawing>
      </w:r>
      <w:r>
        <w:rPr>
          <w:sz w:val="12"/>
        </w:rPr>
        <w:t>利安人寿[2012]疾病保险 007 号</w:t>
      </w: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10" w:h="16840"/>
          <w:pgMar w:top="200" w:bottom="280" w:left="1340" w:right="280"/>
        </w:sectPr>
      </w:pPr>
    </w:p>
    <w:p>
      <w:pPr>
        <w:pStyle w:val="Heading1"/>
        <w:spacing w:line="225" w:lineRule="auto" w:before="182"/>
        <w:jc w:val="center"/>
      </w:pPr>
      <w:r>
        <w:rPr>
          <w:w w:val="95"/>
        </w:rPr>
        <w:t>利安人寿保险股份有限公司团体终身重大疾病保险条款</w:t>
      </w:r>
    </w:p>
    <w:p>
      <w:pPr>
        <w:spacing w:before="153"/>
        <w:ind w:left="2092" w:right="0" w:firstLine="0"/>
        <w:jc w:val="center"/>
        <w:rPr>
          <w:rFonts w:ascii="黑体" w:eastAsia="黑体" w:hint="eastAsia"/>
          <w:sz w:val="24"/>
        </w:rPr>
      </w:pPr>
      <w:r>
        <w:rPr>
          <w:rFonts w:ascii="黑体" w:eastAsia="黑体" w:hint="eastAsia"/>
          <w:sz w:val="24"/>
        </w:rPr>
        <w:t>阅 读 指 引</w:t>
      </w:r>
    </w:p>
    <w:p>
      <w:pPr>
        <w:spacing w:before="19"/>
        <w:ind w:left="2091" w:right="0" w:firstLine="0"/>
        <w:jc w:val="center"/>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762" w:val="left" w:leader="none"/>
        </w:tabs>
        <w:spacing w:line="524" w:lineRule="exact" w:before="124"/>
      </w:pPr>
      <w:r>
        <w:rPr>
          <w:rFonts w:ascii="Arial" w:hAnsi="Arial" w:eastAsia="Arial"/>
          <w:w w:val="105"/>
          <w:position w:val="-11"/>
          <w:sz w:val="48"/>
        </w:rPr>
        <w:t></w:t>
        <w:tab/>
      </w:r>
      <w:r>
        <w:rPr>
          <w:w w:val="95"/>
        </w:rPr>
        <w:t>投保人拥有的重要权益</w:t>
      </w:r>
    </w:p>
    <w:p>
      <w:pPr>
        <w:pStyle w:val="BodyText"/>
        <w:ind w:left="0"/>
        <w:rPr>
          <w:rFonts w:ascii="黑体"/>
          <w:b/>
          <w:sz w:val="12"/>
        </w:rPr>
      </w:pPr>
      <w:r>
        <w:rPr/>
        <w:br w:type="column"/>
      </w:r>
      <w:r>
        <w:rPr>
          <w:rFonts w:ascii="黑体"/>
          <w:b/>
          <w:sz w:val="12"/>
        </w:rPr>
      </w:r>
    </w:p>
    <w:p>
      <w:pPr>
        <w:pStyle w:val="BodyText"/>
        <w:ind w:left="0"/>
        <w:rPr>
          <w:rFonts w:ascii="黑体"/>
          <w:b/>
          <w:sz w:val="12"/>
        </w:rPr>
      </w:pPr>
    </w:p>
    <w:p>
      <w:pPr>
        <w:pStyle w:val="BodyText"/>
        <w:spacing w:before="6"/>
        <w:ind w:left="0"/>
        <w:rPr>
          <w:rFonts w:ascii="黑体"/>
          <w:b/>
          <w:sz w:val="12"/>
        </w:rPr>
      </w:pPr>
    </w:p>
    <w:p>
      <w:pPr>
        <w:spacing w:before="0"/>
        <w:ind w:left="100" w:right="0" w:firstLine="0"/>
        <w:jc w:val="left"/>
        <w:rPr>
          <w:sz w:val="12"/>
        </w:rPr>
      </w:pPr>
      <w:r>
        <w:rPr>
          <w:sz w:val="12"/>
        </w:rPr>
        <w:t>请扫描以查询验证条款</w:t>
      </w:r>
    </w:p>
    <w:p>
      <w:pPr>
        <w:spacing w:after="0"/>
        <w:jc w:val="left"/>
        <w:rPr>
          <w:sz w:val="12"/>
        </w:rPr>
        <w:sectPr>
          <w:type w:val="continuous"/>
          <w:pgSz w:w="11910" w:h="16840"/>
          <w:pgMar w:top="200" w:bottom="280" w:left="1340" w:right="280"/>
          <w:cols w:num="2" w:equalWidth="0">
            <w:col w:w="7133" w:space="1509"/>
            <w:col w:w="1648"/>
          </w:cols>
        </w:sectPr>
      </w:pPr>
    </w:p>
    <w:p>
      <w:pPr>
        <w:pStyle w:val="ListParagraph"/>
        <w:numPr>
          <w:ilvl w:val="0"/>
          <w:numId w:val="1"/>
        </w:numPr>
        <w:tabs>
          <w:tab w:pos="823" w:val="left" w:leader="none"/>
          <w:tab w:pos="9282" w:val="right" w:leader="dot"/>
        </w:tabs>
        <w:spacing w:line="200" w:lineRule="exact" w:before="0" w:after="0"/>
        <w:ind w:left="822" w:right="0" w:hanging="360"/>
        <w:jc w:val="left"/>
        <w:rPr>
          <w:sz w:val="18"/>
        </w:rPr>
      </w:pPr>
      <w:r>
        <w:rPr>
          <w:sz w:val="18"/>
        </w:rPr>
        <w:t>签收本合同次日起</w:t>
      </w:r>
      <w:r>
        <w:rPr>
          <w:spacing w:val="-46"/>
          <w:sz w:val="18"/>
        </w:rPr>
        <w:t> </w:t>
      </w:r>
      <w:r>
        <w:rPr>
          <w:sz w:val="18"/>
        </w:rPr>
        <w:t>10</w:t>
      </w:r>
      <w:r>
        <w:rPr>
          <w:spacing w:val="-46"/>
          <w:sz w:val="18"/>
        </w:rPr>
        <w:t> </w:t>
      </w:r>
      <w:r>
        <w:rPr>
          <w:sz w:val="18"/>
        </w:rPr>
        <w:t>日（即犹豫期）内投保人若要求退保，本公司全额退还保险费…</w:t>
        <w:tab/>
        <w:t>1.4</w:t>
      </w:r>
    </w:p>
    <w:p>
      <w:pPr>
        <w:pStyle w:val="ListParagraph"/>
        <w:numPr>
          <w:ilvl w:val="0"/>
          <w:numId w:val="1"/>
        </w:numPr>
        <w:tabs>
          <w:tab w:pos="823" w:val="left" w:leader="none"/>
          <w:tab w:pos="9282" w:val="right" w:leader="dot"/>
        </w:tabs>
        <w:spacing w:line="240" w:lineRule="auto" w:before="72" w:after="0"/>
        <w:ind w:left="822" w:right="0" w:hanging="360"/>
        <w:jc w:val="left"/>
        <w:rPr>
          <w:sz w:val="18"/>
        </w:rPr>
      </w:pPr>
      <w:r>
        <w:rPr>
          <w:sz w:val="18"/>
        </w:rPr>
        <w:t>本合同提供的保障在保险责任条款中列明</w:t>
        <w:tab/>
        <w:t>2.3</w:t>
      </w:r>
    </w:p>
    <w:p>
      <w:pPr>
        <w:pStyle w:val="ListParagraph"/>
        <w:numPr>
          <w:ilvl w:val="0"/>
          <w:numId w:val="1"/>
        </w:numPr>
        <w:tabs>
          <w:tab w:pos="823" w:val="left" w:leader="none"/>
          <w:tab w:pos="9282" w:val="right" w:leader="dot"/>
        </w:tabs>
        <w:spacing w:line="234" w:lineRule="exact" w:before="88" w:after="0"/>
        <w:ind w:left="822" w:right="0" w:hanging="360"/>
        <w:jc w:val="left"/>
        <w:rPr>
          <w:sz w:val="18"/>
        </w:rPr>
      </w:pPr>
      <w:r>
        <w:rPr>
          <w:sz w:val="18"/>
        </w:rPr>
        <w:t>投保人有退保的权利</w:t>
        <w:tab/>
        <w:t>7.1</w:t>
      </w:r>
    </w:p>
    <w:p>
      <w:pPr>
        <w:pStyle w:val="Heading2"/>
        <w:tabs>
          <w:tab w:pos="762" w:val="left" w:leader="none"/>
        </w:tabs>
        <w:spacing w:line="483" w:lineRule="exact" w:before="0"/>
      </w:pPr>
      <w:r>
        <w:rPr>
          <w:rFonts w:ascii="Arial" w:hAnsi="Arial" w:eastAsia="Arial"/>
          <w:w w:val="105"/>
          <w:position w:val="-11"/>
          <w:sz w:val="48"/>
        </w:rPr>
        <w:t></w:t>
        <w:tab/>
      </w:r>
      <w:r>
        <w:rPr>
          <w:w w:val="95"/>
        </w:rPr>
        <w:t>投保人应当特别注意的事项</w:t>
      </w:r>
    </w:p>
    <w:p>
      <w:pPr>
        <w:pStyle w:val="ListParagraph"/>
        <w:numPr>
          <w:ilvl w:val="0"/>
          <w:numId w:val="1"/>
        </w:numPr>
        <w:tabs>
          <w:tab w:pos="823" w:val="left" w:leader="none"/>
          <w:tab w:pos="9282" w:val="right" w:leader="dot"/>
        </w:tabs>
        <w:spacing w:line="194" w:lineRule="exact" w:before="0" w:after="0"/>
        <w:ind w:left="822" w:right="0" w:hanging="360"/>
        <w:jc w:val="left"/>
        <w:rPr>
          <w:sz w:val="18"/>
        </w:rPr>
      </w:pPr>
      <w:r>
        <w:rPr>
          <w:sz w:val="18"/>
        </w:rPr>
        <w:t>本合同有责任免除条款，请注意</w:t>
        <w:tab/>
        <w:t>2.4</w:t>
      </w:r>
    </w:p>
    <w:p>
      <w:pPr>
        <w:pStyle w:val="ListParagraph"/>
        <w:numPr>
          <w:ilvl w:val="0"/>
          <w:numId w:val="1"/>
        </w:numPr>
        <w:tabs>
          <w:tab w:pos="823" w:val="left" w:leader="none"/>
          <w:tab w:pos="9282" w:val="right" w:leader="dot"/>
        </w:tabs>
        <w:spacing w:line="240" w:lineRule="auto" w:before="71" w:after="0"/>
        <w:ind w:left="822" w:right="0" w:hanging="360"/>
        <w:jc w:val="left"/>
        <w:rPr>
          <w:sz w:val="18"/>
        </w:rPr>
      </w:pPr>
      <w:r>
        <w:rPr>
          <w:sz w:val="18"/>
        </w:rPr>
        <w:t>保险事故发生后，请及时通知本公司</w:t>
        <w:tab/>
        <w:t>3.2</w:t>
      </w:r>
    </w:p>
    <w:p>
      <w:pPr>
        <w:pStyle w:val="ListParagraph"/>
        <w:numPr>
          <w:ilvl w:val="0"/>
          <w:numId w:val="1"/>
        </w:numPr>
        <w:tabs>
          <w:tab w:pos="823" w:val="left" w:leader="none"/>
          <w:tab w:pos="9282" w:val="right" w:leader="dot"/>
        </w:tabs>
        <w:spacing w:line="240" w:lineRule="auto" w:before="71" w:after="0"/>
        <w:ind w:left="822" w:right="0" w:hanging="360"/>
        <w:jc w:val="left"/>
        <w:rPr>
          <w:sz w:val="18"/>
        </w:rPr>
      </w:pPr>
      <w:r>
        <w:rPr>
          <w:sz w:val="18"/>
        </w:rPr>
        <w:t>退保会给投保人造成一定的损失，请慎重决策</w:t>
        <w:tab/>
        <w:t>7.1</w:t>
      </w:r>
    </w:p>
    <w:p>
      <w:pPr>
        <w:pStyle w:val="ListParagraph"/>
        <w:numPr>
          <w:ilvl w:val="0"/>
          <w:numId w:val="1"/>
        </w:numPr>
        <w:tabs>
          <w:tab w:pos="823" w:val="left" w:leader="none"/>
          <w:tab w:pos="9282" w:val="right" w:leader="dot"/>
        </w:tabs>
        <w:spacing w:line="240" w:lineRule="auto" w:before="70" w:after="0"/>
        <w:ind w:left="822" w:right="0" w:hanging="360"/>
        <w:jc w:val="left"/>
        <w:rPr>
          <w:sz w:val="18"/>
        </w:rPr>
      </w:pPr>
      <w:r>
        <w:rPr>
          <w:sz w:val="18"/>
        </w:rPr>
        <w:t>投保人有如实告知的义务</w:t>
        <w:tab/>
        <w:t>8.1</w:t>
      </w:r>
    </w:p>
    <w:p>
      <w:pPr>
        <w:pStyle w:val="ListParagraph"/>
        <w:numPr>
          <w:ilvl w:val="0"/>
          <w:numId w:val="1"/>
        </w:numPr>
        <w:tabs>
          <w:tab w:pos="823" w:val="left" w:leader="none"/>
          <w:tab w:pos="9102" w:val="right" w:leader="dot"/>
        </w:tabs>
        <w:spacing w:line="233" w:lineRule="exact" w:before="72" w:after="0"/>
        <w:ind w:left="822" w:right="0" w:hanging="360"/>
        <w:jc w:val="left"/>
        <w:rPr>
          <w:sz w:val="18"/>
        </w:rPr>
      </w:pPr>
      <w:r>
        <w:rPr>
          <w:sz w:val="18"/>
        </w:rPr>
        <w:t>本公司对一些重要术语进行了解释，并作了显著标识，请注意</w:t>
        <w:tab/>
        <w:t>9</w:t>
      </w:r>
    </w:p>
    <w:p>
      <w:pPr>
        <w:pStyle w:val="Heading2"/>
        <w:tabs>
          <w:tab w:pos="763" w:val="left" w:leader="none"/>
        </w:tabs>
        <w:spacing w:line="430" w:lineRule="exact" w:before="0"/>
      </w:pPr>
      <w:r>
        <w:rPr>
          <w:rFonts w:ascii="Arial" w:hAnsi="Arial" w:eastAsia="Arial"/>
          <w:w w:val="105"/>
          <w:position w:val="-11"/>
          <w:sz w:val="48"/>
        </w:rPr>
        <w:t></w:t>
        <w:tab/>
      </w:r>
      <w:r>
        <w:rPr>
          <w:w w:val="95"/>
        </w:rPr>
        <w:t>保险条款是保险合同的重要内容，为充分保障投保人的权益，请仔细阅读本保险条款。</w:t>
      </w:r>
    </w:p>
    <w:p>
      <w:pPr>
        <w:tabs>
          <w:tab w:pos="762" w:val="left" w:leader="none"/>
        </w:tabs>
        <w:spacing w:line="387" w:lineRule="exact" w:before="0"/>
        <w:ind w:left="100" w:right="0" w:firstLine="0"/>
        <w:jc w:val="left"/>
        <w:rPr>
          <w:rFonts w:ascii="黑体" w:hAnsi="黑体" w:eastAsia="黑体" w:hint="eastAsia"/>
          <w:b/>
          <w:sz w:val="21"/>
        </w:rPr>
      </w:pPr>
      <w:r>
        <w:rPr/>
        <w:pict>
          <v:shapetype id="_x0000_t202" o:spt="202" coordsize="21600,21600" path="m,l,21600r21600,l21600,xe">
            <v:stroke joinstyle="miter"/>
            <v:path gradientshapeok="t" o:connecttype="rect"/>
          </v:shapetype>
          <v:shape style="position:absolute;margin-left:92.580002pt;margin-top:18.222885pt;width:124.7pt;height:11.8pt;mso-position-horizontal-relative:page;mso-position-vertical-relative:paragraph;z-index:-21424"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1．双方订立的合同</w:t>
                  </w:r>
                </w:p>
              </w:txbxContent>
            </v:textbox>
            <v:fill type="solid"/>
            <w10:wrap type="none"/>
          </v:shape>
        </w:pict>
      </w:r>
      <w:r>
        <w:rPr/>
        <w:pict>
          <v:shape style="position:absolute;margin-left:235.979996pt;margin-top:18.222885pt;width:141.9pt;height:11.8pt;mso-position-horizontal-relative:page;mso-position-vertical-relative:paragraph;z-index:1072"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4．保险费的支付</w:t>
                  </w:r>
                </w:p>
              </w:txbxContent>
            </v:textbox>
            <v:fill type="solid"/>
            <w10:wrap type="none"/>
          </v:shape>
        </w:pict>
      </w:r>
      <w:r>
        <w:rPr>
          <w:rFonts w:ascii="Arial" w:hAnsi="Arial" w:eastAsia="Arial"/>
          <w:b/>
          <w:w w:val="110"/>
          <w:position w:val="-11"/>
          <w:sz w:val="48"/>
        </w:rPr>
        <w:t></w:t>
        <w:tab/>
      </w:r>
      <w:r>
        <w:rPr>
          <w:rFonts w:ascii="黑体" w:hAnsi="黑体" w:eastAsia="黑体" w:hint="eastAsia"/>
          <w:b/>
          <w:w w:val="95"/>
          <w:sz w:val="21"/>
        </w:rPr>
        <w:t>条款目录</w:t>
      </w:r>
    </w:p>
    <w:p>
      <w:pPr>
        <w:spacing w:after="0" w:line="387" w:lineRule="exact"/>
        <w:jc w:val="left"/>
        <w:rPr>
          <w:rFonts w:ascii="黑体" w:hAnsi="黑体" w:eastAsia="黑体" w:hint="eastAsia"/>
          <w:sz w:val="21"/>
        </w:rPr>
        <w:sectPr>
          <w:type w:val="continuous"/>
          <w:pgSz w:w="11910" w:h="16840"/>
          <w:pgMar w:top="200" w:bottom="280" w:left="1340" w:right="280"/>
        </w:sectPr>
      </w:pPr>
    </w:p>
    <w:p>
      <w:pPr>
        <w:pStyle w:val="BodyText"/>
        <w:spacing w:before="8"/>
        <w:ind w:left="0"/>
        <w:rPr>
          <w:rFonts w:ascii="黑体"/>
          <w:b/>
          <w:sz w:val="20"/>
        </w:rPr>
      </w:pPr>
    </w:p>
    <w:p>
      <w:pPr>
        <w:pStyle w:val="ListParagraph"/>
        <w:numPr>
          <w:ilvl w:val="1"/>
          <w:numId w:val="2"/>
        </w:numPr>
        <w:tabs>
          <w:tab w:pos="852" w:val="left" w:leader="none"/>
        </w:tabs>
        <w:spacing w:line="240" w:lineRule="auto" w:before="0" w:after="0"/>
        <w:ind w:left="851" w:right="0" w:hanging="340"/>
        <w:jc w:val="left"/>
        <w:rPr>
          <w:sz w:val="18"/>
        </w:rPr>
      </w:pPr>
      <w:r>
        <w:rPr>
          <w:spacing w:val="-1"/>
          <w:sz w:val="18"/>
        </w:rPr>
        <w:t>合同构成</w:t>
      </w:r>
    </w:p>
    <w:p>
      <w:pPr>
        <w:pStyle w:val="ListParagraph"/>
        <w:numPr>
          <w:ilvl w:val="1"/>
          <w:numId w:val="2"/>
        </w:numPr>
        <w:tabs>
          <w:tab w:pos="852" w:val="left" w:leader="none"/>
        </w:tabs>
        <w:spacing w:line="240" w:lineRule="auto" w:before="84" w:after="0"/>
        <w:ind w:left="851" w:right="0" w:hanging="340"/>
        <w:jc w:val="left"/>
        <w:rPr>
          <w:sz w:val="18"/>
        </w:rPr>
      </w:pPr>
      <w:r>
        <w:rPr>
          <w:spacing w:val="-1"/>
          <w:sz w:val="18"/>
        </w:rPr>
        <w:t>合同成立与生效</w:t>
      </w:r>
    </w:p>
    <w:p>
      <w:pPr>
        <w:pStyle w:val="ListParagraph"/>
        <w:numPr>
          <w:ilvl w:val="1"/>
          <w:numId w:val="2"/>
        </w:numPr>
        <w:tabs>
          <w:tab w:pos="852" w:val="left" w:leader="none"/>
        </w:tabs>
        <w:spacing w:line="240" w:lineRule="auto" w:before="83" w:after="0"/>
        <w:ind w:left="851" w:right="0" w:hanging="340"/>
        <w:jc w:val="left"/>
        <w:rPr>
          <w:sz w:val="18"/>
        </w:rPr>
      </w:pPr>
      <w:r>
        <w:rPr>
          <w:spacing w:val="-1"/>
          <w:sz w:val="18"/>
        </w:rPr>
        <w:t>投保范围</w:t>
      </w:r>
    </w:p>
    <w:p>
      <w:pPr>
        <w:pStyle w:val="ListParagraph"/>
        <w:numPr>
          <w:ilvl w:val="1"/>
          <w:numId w:val="2"/>
        </w:numPr>
        <w:tabs>
          <w:tab w:pos="852" w:val="left" w:leader="none"/>
        </w:tabs>
        <w:spacing w:line="240" w:lineRule="auto" w:before="85" w:after="0"/>
        <w:ind w:left="851" w:right="0" w:hanging="340"/>
        <w:jc w:val="left"/>
        <w:rPr>
          <w:sz w:val="18"/>
        </w:rPr>
      </w:pPr>
      <w:r>
        <w:rPr>
          <w:spacing w:val="-1"/>
          <w:sz w:val="18"/>
        </w:rPr>
        <w:t>犹豫期</w:t>
      </w:r>
    </w:p>
    <w:p>
      <w:pPr>
        <w:tabs>
          <w:tab w:pos="3005" w:val="left" w:leader="none"/>
        </w:tabs>
        <w:spacing w:before="85"/>
        <w:ind w:left="511" w:right="0" w:firstLine="0"/>
        <w:jc w:val="left"/>
        <w:rPr>
          <w:rFonts w:ascii="黑体" w:eastAsia="黑体" w:hint="eastAsia"/>
          <w:sz w:val="18"/>
        </w:rPr>
      </w:pPr>
      <w:r>
        <w:rPr>
          <w:rFonts w:ascii="黑体" w:eastAsia="黑体" w:hint="eastAsia"/>
          <w:sz w:val="18"/>
          <w:shd w:fill="D9D9D9" w:color="auto" w:val="clear"/>
        </w:rPr>
        <w:t>2．本公司提供的保障</w:t>
        <w:tab/>
      </w:r>
    </w:p>
    <w:p>
      <w:pPr>
        <w:pStyle w:val="ListParagraph"/>
        <w:numPr>
          <w:ilvl w:val="1"/>
          <w:numId w:val="3"/>
        </w:numPr>
        <w:tabs>
          <w:tab w:pos="852" w:val="left" w:leader="none"/>
        </w:tabs>
        <w:spacing w:line="240" w:lineRule="auto" w:before="83" w:after="0"/>
        <w:ind w:left="851" w:right="0" w:hanging="340"/>
        <w:jc w:val="left"/>
        <w:rPr>
          <w:sz w:val="18"/>
        </w:rPr>
      </w:pPr>
      <w:r>
        <w:rPr>
          <w:spacing w:val="-1"/>
          <w:sz w:val="18"/>
        </w:rPr>
        <w:t>保险金额</w:t>
      </w:r>
    </w:p>
    <w:p>
      <w:pPr>
        <w:pStyle w:val="ListParagraph"/>
        <w:numPr>
          <w:ilvl w:val="1"/>
          <w:numId w:val="3"/>
        </w:numPr>
        <w:tabs>
          <w:tab w:pos="852" w:val="left" w:leader="none"/>
        </w:tabs>
        <w:spacing w:line="240" w:lineRule="auto" w:before="84" w:after="0"/>
        <w:ind w:left="851" w:right="0" w:hanging="340"/>
        <w:jc w:val="left"/>
        <w:rPr>
          <w:sz w:val="18"/>
        </w:rPr>
      </w:pPr>
      <w:r>
        <w:rPr>
          <w:spacing w:val="-1"/>
          <w:sz w:val="18"/>
        </w:rPr>
        <w:t>保险期间</w:t>
      </w:r>
    </w:p>
    <w:p>
      <w:pPr>
        <w:pStyle w:val="ListParagraph"/>
        <w:numPr>
          <w:ilvl w:val="1"/>
          <w:numId w:val="3"/>
        </w:numPr>
        <w:tabs>
          <w:tab w:pos="852" w:val="left" w:leader="none"/>
        </w:tabs>
        <w:spacing w:line="240" w:lineRule="auto" w:before="84" w:after="0"/>
        <w:ind w:left="851" w:right="0" w:hanging="340"/>
        <w:jc w:val="left"/>
        <w:rPr>
          <w:sz w:val="18"/>
        </w:rPr>
      </w:pPr>
      <w:r>
        <w:rPr>
          <w:spacing w:val="-1"/>
          <w:sz w:val="18"/>
        </w:rPr>
        <w:t>保险责任</w:t>
      </w:r>
    </w:p>
    <w:p>
      <w:pPr>
        <w:pStyle w:val="ListParagraph"/>
        <w:numPr>
          <w:ilvl w:val="1"/>
          <w:numId w:val="3"/>
        </w:numPr>
        <w:tabs>
          <w:tab w:pos="852" w:val="left" w:leader="none"/>
        </w:tabs>
        <w:spacing w:line="240" w:lineRule="auto" w:before="83" w:after="0"/>
        <w:ind w:left="851" w:right="0" w:hanging="340"/>
        <w:jc w:val="left"/>
        <w:rPr>
          <w:sz w:val="18"/>
        </w:rPr>
      </w:pPr>
      <w:r>
        <w:rPr>
          <w:spacing w:val="-1"/>
          <w:sz w:val="18"/>
        </w:rPr>
        <w:t>责任免除</w:t>
      </w:r>
    </w:p>
    <w:p>
      <w:pPr>
        <w:tabs>
          <w:tab w:pos="3005" w:val="left" w:leader="none"/>
        </w:tabs>
        <w:spacing w:before="85"/>
        <w:ind w:left="511" w:right="0" w:firstLine="0"/>
        <w:jc w:val="left"/>
        <w:rPr>
          <w:rFonts w:ascii="黑体" w:eastAsia="黑体" w:hint="eastAsia"/>
          <w:sz w:val="18"/>
        </w:rPr>
      </w:pPr>
      <w:r>
        <w:rPr>
          <w:rFonts w:ascii="黑体" w:eastAsia="黑体" w:hint="eastAsia"/>
          <w:sz w:val="18"/>
          <w:shd w:fill="D9D9D9" w:color="auto" w:val="clear"/>
        </w:rPr>
        <w:t>3．保险金的申请</w:t>
        <w:tab/>
      </w:r>
    </w:p>
    <w:p>
      <w:pPr>
        <w:pStyle w:val="ListParagraph"/>
        <w:numPr>
          <w:ilvl w:val="1"/>
          <w:numId w:val="4"/>
        </w:numPr>
        <w:tabs>
          <w:tab w:pos="852" w:val="left" w:leader="none"/>
        </w:tabs>
        <w:spacing w:line="240" w:lineRule="auto" w:before="85" w:after="0"/>
        <w:ind w:left="851" w:right="0" w:hanging="340"/>
        <w:jc w:val="left"/>
        <w:rPr>
          <w:sz w:val="18"/>
        </w:rPr>
      </w:pPr>
      <w:r>
        <w:rPr>
          <w:spacing w:val="-1"/>
          <w:sz w:val="18"/>
        </w:rPr>
        <w:t>受益人</w:t>
      </w:r>
    </w:p>
    <w:p>
      <w:pPr>
        <w:pStyle w:val="ListParagraph"/>
        <w:numPr>
          <w:ilvl w:val="1"/>
          <w:numId w:val="4"/>
        </w:numPr>
        <w:tabs>
          <w:tab w:pos="852" w:val="left" w:leader="none"/>
        </w:tabs>
        <w:spacing w:line="240" w:lineRule="auto" w:before="83" w:after="0"/>
        <w:ind w:left="851" w:right="0" w:hanging="340"/>
        <w:jc w:val="left"/>
        <w:rPr>
          <w:sz w:val="18"/>
        </w:rPr>
      </w:pPr>
      <w:r>
        <w:rPr>
          <w:spacing w:val="-1"/>
          <w:sz w:val="18"/>
        </w:rPr>
        <w:t>保险事故通知</w:t>
      </w:r>
    </w:p>
    <w:p>
      <w:pPr>
        <w:pStyle w:val="ListParagraph"/>
        <w:numPr>
          <w:ilvl w:val="1"/>
          <w:numId w:val="4"/>
        </w:numPr>
        <w:tabs>
          <w:tab w:pos="852" w:val="left" w:leader="none"/>
        </w:tabs>
        <w:spacing w:line="240" w:lineRule="auto" w:before="84" w:after="0"/>
        <w:ind w:left="851" w:right="0" w:hanging="340"/>
        <w:jc w:val="left"/>
        <w:rPr>
          <w:sz w:val="18"/>
        </w:rPr>
      </w:pPr>
      <w:r>
        <w:rPr>
          <w:spacing w:val="-1"/>
          <w:sz w:val="18"/>
        </w:rPr>
        <w:t>保险金申请</w:t>
      </w:r>
    </w:p>
    <w:p>
      <w:pPr>
        <w:pStyle w:val="ListParagraph"/>
        <w:numPr>
          <w:ilvl w:val="1"/>
          <w:numId w:val="4"/>
        </w:numPr>
        <w:tabs>
          <w:tab w:pos="852" w:val="left" w:leader="none"/>
        </w:tabs>
        <w:spacing w:line="240" w:lineRule="auto" w:before="84" w:after="0"/>
        <w:ind w:left="851" w:right="0" w:hanging="340"/>
        <w:jc w:val="left"/>
        <w:rPr>
          <w:sz w:val="18"/>
        </w:rPr>
      </w:pPr>
      <w:r>
        <w:rPr>
          <w:spacing w:val="-1"/>
          <w:sz w:val="18"/>
        </w:rPr>
        <w:t>保险金给付</w:t>
      </w:r>
    </w:p>
    <w:p>
      <w:pPr>
        <w:pStyle w:val="ListParagraph"/>
        <w:numPr>
          <w:ilvl w:val="1"/>
          <w:numId w:val="4"/>
        </w:numPr>
        <w:tabs>
          <w:tab w:pos="852" w:val="left" w:leader="none"/>
        </w:tabs>
        <w:spacing w:line="240" w:lineRule="auto" w:before="83" w:after="0"/>
        <w:ind w:left="851" w:right="0" w:hanging="340"/>
        <w:jc w:val="left"/>
        <w:rPr>
          <w:sz w:val="18"/>
        </w:rPr>
      </w:pPr>
      <w:r>
        <w:rPr>
          <w:spacing w:val="-1"/>
          <w:sz w:val="18"/>
        </w:rPr>
        <w:t>宣告死亡处理</w:t>
      </w:r>
    </w:p>
    <w:p>
      <w:pPr>
        <w:pStyle w:val="ListParagraph"/>
        <w:numPr>
          <w:ilvl w:val="1"/>
          <w:numId w:val="4"/>
        </w:numPr>
        <w:tabs>
          <w:tab w:pos="852" w:val="left" w:leader="none"/>
        </w:tabs>
        <w:spacing w:line="240" w:lineRule="auto" w:before="85" w:after="0"/>
        <w:ind w:left="851" w:right="0" w:hanging="340"/>
        <w:jc w:val="left"/>
        <w:rPr>
          <w:sz w:val="18"/>
        </w:rPr>
      </w:pPr>
      <w:r>
        <w:rPr>
          <w:spacing w:val="-1"/>
          <w:sz w:val="18"/>
        </w:rPr>
        <w:t>诉讼时效</w:t>
      </w:r>
    </w:p>
    <w:p>
      <w:pPr>
        <w:pStyle w:val="BodyText"/>
        <w:spacing w:before="8"/>
        <w:ind w:left="0"/>
        <w:rPr>
          <w:sz w:val="20"/>
        </w:rPr>
      </w:pPr>
      <w:r>
        <w:rPr/>
        <w:br w:type="column"/>
      </w:r>
      <w:r>
        <w:rPr>
          <w:sz w:val="20"/>
        </w:rPr>
      </w:r>
    </w:p>
    <w:p>
      <w:pPr>
        <w:pStyle w:val="ListParagraph"/>
        <w:numPr>
          <w:ilvl w:val="1"/>
          <w:numId w:val="5"/>
        </w:numPr>
        <w:tabs>
          <w:tab w:pos="661" w:val="left" w:leader="none"/>
        </w:tabs>
        <w:spacing w:line="240" w:lineRule="auto" w:before="0" w:after="0"/>
        <w:ind w:left="660" w:right="0" w:hanging="340"/>
        <w:jc w:val="left"/>
        <w:rPr>
          <w:sz w:val="18"/>
        </w:rPr>
      </w:pPr>
      <w:r>
        <w:rPr>
          <w:sz w:val="18"/>
        </w:rPr>
        <w:t>保险费的支付</w:t>
      </w:r>
    </w:p>
    <w:p>
      <w:pPr>
        <w:pStyle w:val="ListParagraph"/>
        <w:numPr>
          <w:ilvl w:val="1"/>
          <w:numId w:val="5"/>
        </w:numPr>
        <w:tabs>
          <w:tab w:pos="661" w:val="left" w:leader="none"/>
        </w:tabs>
        <w:spacing w:line="240" w:lineRule="auto" w:before="84" w:after="0"/>
        <w:ind w:left="660" w:right="0" w:hanging="340"/>
        <w:jc w:val="left"/>
        <w:rPr>
          <w:sz w:val="18"/>
        </w:rPr>
      </w:pPr>
      <w:r>
        <w:rPr>
          <w:sz w:val="18"/>
        </w:rPr>
        <w:t>宽限期</w:t>
      </w:r>
    </w:p>
    <w:p>
      <w:pPr>
        <w:tabs>
          <w:tab w:pos="3172" w:val="left" w:leader="none"/>
        </w:tabs>
        <w:spacing w:before="83"/>
        <w:ind w:left="321" w:right="0" w:firstLine="0"/>
        <w:jc w:val="left"/>
        <w:rPr>
          <w:rFonts w:ascii="黑体" w:eastAsia="黑体" w:hint="eastAsia"/>
          <w:sz w:val="18"/>
        </w:rPr>
      </w:pPr>
      <w:r>
        <w:rPr>
          <w:rFonts w:ascii="黑体" w:eastAsia="黑体" w:hint="eastAsia"/>
          <w:sz w:val="18"/>
          <w:shd w:fill="D9D9D9" w:color="auto" w:val="clear"/>
        </w:rPr>
        <w:t>5．合同效力的恢复</w:t>
        <w:tab/>
      </w:r>
    </w:p>
    <w:p>
      <w:pPr>
        <w:pStyle w:val="ListParagraph"/>
        <w:numPr>
          <w:ilvl w:val="1"/>
          <w:numId w:val="6"/>
        </w:numPr>
        <w:tabs>
          <w:tab w:pos="661" w:val="left" w:leader="none"/>
        </w:tabs>
        <w:spacing w:line="240" w:lineRule="auto" w:before="85" w:after="0"/>
        <w:ind w:left="660" w:right="0" w:hanging="340"/>
        <w:jc w:val="left"/>
        <w:rPr>
          <w:sz w:val="18"/>
        </w:rPr>
      </w:pPr>
      <w:r>
        <w:rPr>
          <w:sz w:val="18"/>
        </w:rPr>
        <w:t>效力中止</w:t>
      </w:r>
    </w:p>
    <w:p>
      <w:pPr>
        <w:pStyle w:val="ListParagraph"/>
        <w:numPr>
          <w:ilvl w:val="1"/>
          <w:numId w:val="6"/>
        </w:numPr>
        <w:tabs>
          <w:tab w:pos="661" w:val="left" w:leader="none"/>
        </w:tabs>
        <w:spacing w:line="240" w:lineRule="auto" w:before="85" w:after="0"/>
        <w:ind w:left="660" w:right="0" w:hanging="340"/>
        <w:jc w:val="left"/>
        <w:rPr>
          <w:sz w:val="18"/>
        </w:rPr>
      </w:pPr>
      <w:r>
        <w:rPr>
          <w:sz w:val="18"/>
        </w:rPr>
        <w:t>效力恢复</w:t>
      </w:r>
    </w:p>
    <w:p>
      <w:pPr>
        <w:tabs>
          <w:tab w:pos="3172" w:val="left" w:leader="none"/>
        </w:tabs>
        <w:spacing w:before="83"/>
        <w:ind w:left="321" w:right="0" w:firstLine="0"/>
        <w:jc w:val="left"/>
        <w:rPr>
          <w:rFonts w:ascii="黑体" w:eastAsia="黑体" w:hint="eastAsia"/>
          <w:sz w:val="18"/>
        </w:rPr>
      </w:pPr>
      <w:r>
        <w:rPr>
          <w:rFonts w:ascii="黑体" w:eastAsia="黑体" w:hint="eastAsia"/>
          <w:sz w:val="18"/>
          <w:shd w:fill="D9D9D9" w:color="auto" w:val="clear"/>
        </w:rPr>
        <w:t>6．被保险人变动</w:t>
        <w:tab/>
      </w:r>
    </w:p>
    <w:p>
      <w:pPr>
        <w:spacing w:before="84"/>
        <w:ind w:left="320" w:right="0" w:firstLine="0"/>
        <w:jc w:val="left"/>
        <w:rPr>
          <w:sz w:val="18"/>
        </w:rPr>
      </w:pPr>
      <w:r>
        <w:rPr>
          <w:sz w:val="18"/>
        </w:rPr>
        <w:t>6.1 被保险人变动</w:t>
      </w:r>
    </w:p>
    <w:p>
      <w:pPr>
        <w:tabs>
          <w:tab w:pos="3172" w:val="left" w:leader="none"/>
        </w:tabs>
        <w:spacing w:before="84"/>
        <w:ind w:left="321" w:right="0" w:firstLine="0"/>
        <w:jc w:val="left"/>
        <w:rPr>
          <w:rFonts w:ascii="黑体" w:eastAsia="黑体" w:hint="eastAsia"/>
          <w:sz w:val="18"/>
        </w:rPr>
      </w:pPr>
      <w:r>
        <w:rPr>
          <w:rFonts w:ascii="黑体" w:eastAsia="黑体" w:hint="eastAsia"/>
          <w:sz w:val="18"/>
          <w:shd w:fill="D9D9D9" w:color="auto" w:val="clear"/>
        </w:rPr>
        <w:t>7．合同解除</w:t>
        <w:tab/>
      </w:r>
    </w:p>
    <w:p>
      <w:pPr>
        <w:spacing w:before="83"/>
        <w:ind w:left="323" w:right="0" w:firstLine="0"/>
        <w:jc w:val="left"/>
        <w:rPr>
          <w:sz w:val="18"/>
        </w:rPr>
      </w:pPr>
      <w:r>
        <w:rPr>
          <w:sz w:val="18"/>
        </w:rPr>
        <w:t>7.1 投保人解除合同的手续及风险</w:t>
      </w:r>
    </w:p>
    <w:p>
      <w:pPr>
        <w:tabs>
          <w:tab w:pos="3172" w:val="left" w:leader="none"/>
        </w:tabs>
        <w:spacing w:before="85"/>
        <w:ind w:left="321" w:right="0" w:firstLine="0"/>
        <w:jc w:val="left"/>
        <w:rPr>
          <w:rFonts w:ascii="黑体" w:eastAsia="黑体" w:hint="eastAsia"/>
          <w:sz w:val="18"/>
        </w:rPr>
      </w:pPr>
      <w:r>
        <w:rPr>
          <w:rFonts w:ascii="黑体" w:eastAsia="黑体" w:hint="eastAsia"/>
          <w:sz w:val="18"/>
          <w:shd w:fill="D9D9D9" w:color="auto" w:val="clear"/>
        </w:rPr>
        <w:t>8．其他需要关注的事项</w:t>
        <w:tab/>
      </w:r>
    </w:p>
    <w:p>
      <w:pPr>
        <w:pStyle w:val="ListParagraph"/>
        <w:numPr>
          <w:ilvl w:val="1"/>
          <w:numId w:val="7"/>
        </w:numPr>
        <w:tabs>
          <w:tab w:pos="661" w:val="left" w:leader="none"/>
        </w:tabs>
        <w:spacing w:line="240" w:lineRule="auto" w:before="85" w:after="0"/>
        <w:ind w:left="660" w:right="0" w:hanging="340"/>
        <w:jc w:val="left"/>
        <w:rPr>
          <w:sz w:val="18"/>
        </w:rPr>
      </w:pPr>
      <w:r>
        <w:rPr>
          <w:sz w:val="18"/>
        </w:rPr>
        <w:t>明确说明与如实告知</w:t>
      </w:r>
    </w:p>
    <w:p>
      <w:pPr>
        <w:pStyle w:val="ListParagraph"/>
        <w:numPr>
          <w:ilvl w:val="1"/>
          <w:numId w:val="7"/>
        </w:numPr>
        <w:tabs>
          <w:tab w:pos="661" w:val="left" w:leader="none"/>
        </w:tabs>
        <w:spacing w:line="240" w:lineRule="auto" w:before="83" w:after="0"/>
        <w:ind w:left="660" w:right="0" w:hanging="340"/>
        <w:jc w:val="left"/>
        <w:rPr>
          <w:sz w:val="18"/>
        </w:rPr>
      </w:pPr>
      <w:r>
        <w:rPr>
          <w:sz w:val="18"/>
        </w:rPr>
        <w:t>本公司合同解除权的限制</w:t>
      </w:r>
    </w:p>
    <w:p>
      <w:pPr>
        <w:pStyle w:val="ListParagraph"/>
        <w:numPr>
          <w:ilvl w:val="1"/>
          <w:numId w:val="7"/>
        </w:numPr>
        <w:tabs>
          <w:tab w:pos="647" w:val="left" w:leader="none"/>
        </w:tabs>
        <w:spacing w:line="240" w:lineRule="auto" w:before="84" w:after="0"/>
        <w:ind w:left="646" w:right="0" w:hanging="340"/>
        <w:jc w:val="left"/>
        <w:rPr>
          <w:sz w:val="18"/>
        </w:rPr>
      </w:pPr>
      <w:r>
        <w:rPr>
          <w:spacing w:val="-1"/>
          <w:sz w:val="18"/>
        </w:rPr>
        <w:t>年龄和性别确定与错误处理</w:t>
      </w:r>
    </w:p>
    <w:p>
      <w:pPr>
        <w:pStyle w:val="ListParagraph"/>
        <w:numPr>
          <w:ilvl w:val="1"/>
          <w:numId w:val="7"/>
        </w:numPr>
        <w:tabs>
          <w:tab w:pos="647" w:val="left" w:leader="none"/>
        </w:tabs>
        <w:spacing w:line="240" w:lineRule="auto" w:before="84" w:after="0"/>
        <w:ind w:left="646" w:right="0" w:hanging="340"/>
        <w:jc w:val="left"/>
        <w:rPr>
          <w:sz w:val="18"/>
        </w:rPr>
      </w:pPr>
      <w:r>
        <w:rPr>
          <w:spacing w:val="-1"/>
          <w:sz w:val="18"/>
        </w:rPr>
        <w:t>未还款项</w:t>
      </w:r>
    </w:p>
    <w:p>
      <w:pPr>
        <w:pStyle w:val="ListParagraph"/>
        <w:numPr>
          <w:ilvl w:val="1"/>
          <w:numId w:val="7"/>
        </w:numPr>
        <w:tabs>
          <w:tab w:pos="647" w:val="left" w:leader="none"/>
        </w:tabs>
        <w:spacing w:line="240" w:lineRule="auto" w:before="83" w:after="0"/>
        <w:ind w:left="646" w:right="0" w:hanging="340"/>
        <w:jc w:val="left"/>
        <w:rPr>
          <w:sz w:val="18"/>
        </w:rPr>
      </w:pPr>
      <w:r>
        <w:rPr>
          <w:spacing w:val="-1"/>
          <w:sz w:val="18"/>
        </w:rPr>
        <w:t>合同内容变更</w:t>
      </w:r>
    </w:p>
    <w:p>
      <w:pPr>
        <w:pStyle w:val="ListParagraph"/>
        <w:numPr>
          <w:ilvl w:val="1"/>
          <w:numId w:val="7"/>
        </w:numPr>
        <w:tabs>
          <w:tab w:pos="647" w:val="left" w:leader="none"/>
        </w:tabs>
        <w:spacing w:line="240" w:lineRule="auto" w:before="85" w:after="0"/>
        <w:ind w:left="646" w:right="0" w:hanging="340"/>
        <w:jc w:val="left"/>
        <w:rPr>
          <w:sz w:val="18"/>
        </w:rPr>
      </w:pPr>
      <w:r>
        <w:rPr>
          <w:spacing w:val="-1"/>
          <w:sz w:val="18"/>
        </w:rPr>
        <w:t>联系方式变更</w:t>
      </w:r>
    </w:p>
    <w:p>
      <w:pPr>
        <w:pStyle w:val="ListParagraph"/>
        <w:numPr>
          <w:ilvl w:val="1"/>
          <w:numId w:val="7"/>
        </w:numPr>
        <w:tabs>
          <w:tab w:pos="572" w:val="left" w:leader="none"/>
        </w:tabs>
        <w:spacing w:line="185" w:lineRule="exact" w:before="0" w:after="0"/>
        <w:ind w:left="572" w:right="0" w:hanging="340"/>
        <w:jc w:val="left"/>
        <w:rPr>
          <w:sz w:val="18"/>
        </w:rPr>
      </w:pPr>
      <w:r>
        <w:rPr>
          <w:sz w:val="18"/>
        </w:rPr>
        <w:br w:type="column"/>
        <w:t>争议处理</w:t>
      </w:r>
    </w:p>
    <w:p>
      <w:pPr>
        <w:tabs>
          <w:tab w:pos="3150" w:val="left" w:leader="none"/>
        </w:tabs>
        <w:spacing w:before="85"/>
        <w:ind w:left="270" w:right="0" w:firstLine="0"/>
        <w:jc w:val="left"/>
        <w:rPr>
          <w:rFonts w:ascii="黑体" w:eastAsia="黑体" w:hint="eastAsia"/>
          <w:sz w:val="18"/>
        </w:rPr>
      </w:pPr>
      <w:r>
        <w:rPr>
          <w:rFonts w:ascii="黑体" w:eastAsia="黑体" w:hint="eastAsia"/>
          <w:sz w:val="18"/>
          <w:shd w:fill="D9D9D9" w:color="auto" w:val="clear"/>
        </w:rPr>
        <w:t>9．释义</w:t>
        <w:tab/>
      </w:r>
    </w:p>
    <w:p>
      <w:pPr>
        <w:pStyle w:val="ListParagraph"/>
        <w:numPr>
          <w:ilvl w:val="1"/>
          <w:numId w:val="8"/>
        </w:numPr>
        <w:tabs>
          <w:tab w:pos="540" w:val="left" w:leader="none"/>
        </w:tabs>
        <w:spacing w:line="240" w:lineRule="auto" w:before="85" w:after="0"/>
        <w:ind w:left="539" w:right="0" w:hanging="294"/>
        <w:jc w:val="left"/>
        <w:rPr>
          <w:sz w:val="18"/>
        </w:rPr>
      </w:pPr>
      <w:r>
        <w:rPr>
          <w:sz w:val="18"/>
        </w:rPr>
        <w:t>合同生效日对应日</w:t>
      </w:r>
    </w:p>
    <w:p>
      <w:pPr>
        <w:pStyle w:val="ListParagraph"/>
        <w:numPr>
          <w:ilvl w:val="1"/>
          <w:numId w:val="8"/>
        </w:numPr>
        <w:tabs>
          <w:tab w:pos="540" w:val="left" w:leader="none"/>
        </w:tabs>
        <w:spacing w:line="240" w:lineRule="auto" w:before="83" w:after="0"/>
        <w:ind w:left="539" w:right="0" w:hanging="294"/>
        <w:jc w:val="left"/>
        <w:rPr>
          <w:sz w:val="18"/>
        </w:rPr>
      </w:pPr>
      <w:r>
        <w:rPr>
          <w:sz w:val="18"/>
        </w:rPr>
        <w:t>保险费约定支付日</w:t>
      </w:r>
    </w:p>
    <w:p>
      <w:pPr>
        <w:pStyle w:val="ListParagraph"/>
        <w:numPr>
          <w:ilvl w:val="1"/>
          <w:numId w:val="8"/>
        </w:numPr>
        <w:tabs>
          <w:tab w:pos="586" w:val="left" w:leader="none"/>
        </w:tabs>
        <w:spacing w:line="240" w:lineRule="auto" w:before="84" w:after="0"/>
        <w:ind w:left="585" w:right="0" w:hanging="340"/>
        <w:jc w:val="left"/>
        <w:rPr>
          <w:sz w:val="18"/>
        </w:rPr>
      </w:pPr>
      <w:r>
        <w:rPr>
          <w:spacing w:val="-1"/>
          <w:sz w:val="18"/>
        </w:rPr>
        <w:t>周岁</w:t>
      </w:r>
    </w:p>
    <w:p>
      <w:pPr>
        <w:pStyle w:val="ListParagraph"/>
        <w:numPr>
          <w:ilvl w:val="1"/>
          <w:numId w:val="8"/>
        </w:numPr>
        <w:tabs>
          <w:tab w:pos="586" w:val="left" w:leader="none"/>
        </w:tabs>
        <w:spacing w:line="240" w:lineRule="auto" w:before="84" w:after="0"/>
        <w:ind w:left="585" w:right="0" w:hanging="340"/>
        <w:jc w:val="left"/>
        <w:rPr>
          <w:sz w:val="18"/>
        </w:rPr>
      </w:pPr>
      <w:r>
        <w:rPr>
          <w:spacing w:val="-1"/>
          <w:sz w:val="18"/>
        </w:rPr>
        <w:t>意外伤害</w:t>
      </w:r>
    </w:p>
    <w:p>
      <w:pPr>
        <w:pStyle w:val="ListParagraph"/>
        <w:numPr>
          <w:ilvl w:val="1"/>
          <w:numId w:val="8"/>
        </w:numPr>
        <w:tabs>
          <w:tab w:pos="586" w:val="left" w:leader="none"/>
        </w:tabs>
        <w:spacing w:line="240" w:lineRule="auto" w:before="83" w:after="0"/>
        <w:ind w:left="585" w:right="0" w:hanging="340"/>
        <w:jc w:val="left"/>
        <w:rPr>
          <w:sz w:val="18"/>
        </w:rPr>
      </w:pPr>
      <w:r>
        <w:rPr>
          <w:spacing w:val="-1"/>
          <w:sz w:val="18"/>
        </w:rPr>
        <w:t>毒品</w:t>
      </w:r>
    </w:p>
    <w:p>
      <w:pPr>
        <w:pStyle w:val="ListParagraph"/>
        <w:numPr>
          <w:ilvl w:val="1"/>
          <w:numId w:val="8"/>
        </w:numPr>
        <w:tabs>
          <w:tab w:pos="586" w:val="left" w:leader="none"/>
        </w:tabs>
        <w:spacing w:line="240" w:lineRule="auto" w:before="85" w:after="0"/>
        <w:ind w:left="585" w:right="0" w:hanging="340"/>
        <w:jc w:val="left"/>
        <w:rPr>
          <w:sz w:val="18"/>
        </w:rPr>
      </w:pPr>
      <w:r>
        <w:rPr>
          <w:spacing w:val="-1"/>
          <w:sz w:val="18"/>
        </w:rPr>
        <w:t>酒后驾驶</w:t>
      </w:r>
    </w:p>
    <w:p>
      <w:pPr>
        <w:pStyle w:val="ListParagraph"/>
        <w:numPr>
          <w:ilvl w:val="1"/>
          <w:numId w:val="8"/>
        </w:numPr>
        <w:tabs>
          <w:tab w:pos="586" w:val="left" w:leader="none"/>
        </w:tabs>
        <w:spacing w:line="240" w:lineRule="auto" w:before="85" w:after="0"/>
        <w:ind w:left="585" w:right="0" w:hanging="340"/>
        <w:jc w:val="left"/>
        <w:rPr>
          <w:sz w:val="18"/>
        </w:rPr>
      </w:pPr>
      <w:r>
        <w:rPr>
          <w:spacing w:val="-1"/>
          <w:sz w:val="18"/>
        </w:rPr>
        <w:t>无合法有效驾驶证驾驶</w:t>
      </w:r>
    </w:p>
    <w:p>
      <w:pPr>
        <w:pStyle w:val="ListParagraph"/>
        <w:numPr>
          <w:ilvl w:val="1"/>
          <w:numId w:val="8"/>
        </w:numPr>
        <w:tabs>
          <w:tab w:pos="586" w:val="left" w:leader="none"/>
        </w:tabs>
        <w:spacing w:line="240" w:lineRule="auto" w:before="83" w:after="0"/>
        <w:ind w:left="585" w:right="0" w:hanging="340"/>
        <w:jc w:val="left"/>
        <w:rPr>
          <w:sz w:val="18"/>
        </w:rPr>
      </w:pPr>
      <w:r>
        <w:rPr>
          <w:spacing w:val="-1"/>
          <w:sz w:val="18"/>
        </w:rPr>
        <w:t>无有效行驶证</w:t>
      </w:r>
    </w:p>
    <w:p>
      <w:pPr>
        <w:pStyle w:val="ListParagraph"/>
        <w:numPr>
          <w:ilvl w:val="1"/>
          <w:numId w:val="8"/>
        </w:numPr>
        <w:tabs>
          <w:tab w:pos="586" w:val="left" w:leader="none"/>
        </w:tabs>
        <w:spacing w:line="240" w:lineRule="auto" w:before="84" w:after="0"/>
        <w:ind w:left="585" w:right="0" w:hanging="340"/>
        <w:jc w:val="left"/>
        <w:rPr>
          <w:sz w:val="18"/>
        </w:rPr>
      </w:pPr>
      <w:r>
        <w:rPr>
          <w:spacing w:val="-1"/>
          <w:sz w:val="18"/>
        </w:rPr>
        <w:t>机动车</w:t>
      </w:r>
    </w:p>
    <w:p>
      <w:pPr>
        <w:pStyle w:val="ListParagraph"/>
        <w:numPr>
          <w:ilvl w:val="1"/>
          <w:numId w:val="8"/>
        </w:numPr>
        <w:tabs>
          <w:tab w:pos="686" w:val="left" w:leader="none"/>
        </w:tabs>
        <w:spacing w:line="240" w:lineRule="auto" w:before="84" w:after="0"/>
        <w:ind w:left="685" w:right="0" w:hanging="440"/>
        <w:jc w:val="left"/>
        <w:rPr>
          <w:sz w:val="18"/>
        </w:rPr>
      </w:pPr>
      <w:r>
        <w:rPr>
          <w:spacing w:val="-1"/>
          <w:sz w:val="18"/>
        </w:rPr>
        <w:t>遗传性疾病</w:t>
      </w:r>
    </w:p>
    <w:p>
      <w:pPr>
        <w:pStyle w:val="ListParagraph"/>
        <w:numPr>
          <w:ilvl w:val="1"/>
          <w:numId w:val="8"/>
        </w:numPr>
        <w:tabs>
          <w:tab w:pos="640" w:val="left" w:leader="none"/>
        </w:tabs>
        <w:spacing w:line="240" w:lineRule="auto" w:before="83" w:after="0"/>
        <w:ind w:left="639" w:right="0" w:hanging="394"/>
        <w:jc w:val="left"/>
        <w:rPr>
          <w:sz w:val="18"/>
        </w:rPr>
      </w:pPr>
      <w:r>
        <w:rPr>
          <w:spacing w:val="-1"/>
          <w:sz w:val="18"/>
        </w:rPr>
        <w:t>先天性畸形、变形或染色体异常</w:t>
      </w:r>
    </w:p>
    <w:p>
      <w:pPr>
        <w:pStyle w:val="ListParagraph"/>
        <w:numPr>
          <w:ilvl w:val="1"/>
          <w:numId w:val="8"/>
        </w:numPr>
        <w:tabs>
          <w:tab w:pos="640" w:val="left" w:leader="none"/>
        </w:tabs>
        <w:spacing w:line="240" w:lineRule="auto" w:before="85" w:after="0"/>
        <w:ind w:left="639" w:right="0" w:hanging="394"/>
        <w:jc w:val="left"/>
        <w:rPr>
          <w:sz w:val="18"/>
        </w:rPr>
      </w:pPr>
      <w:r>
        <w:rPr>
          <w:spacing w:val="-1"/>
          <w:sz w:val="18"/>
        </w:rPr>
        <w:t>感染艾滋病病毒或患艾滋病</w:t>
      </w:r>
    </w:p>
    <w:p>
      <w:pPr>
        <w:pStyle w:val="ListParagraph"/>
        <w:numPr>
          <w:ilvl w:val="1"/>
          <w:numId w:val="8"/>
        </w:numPr>
        <w:tabs>
          <w:tab w:pos="640" w:val="left" w:leader="none"/>
        </w:tabs>
        <w:spacing w:line="240" w:lineRule="auto" w:before="85" w:after="0"/>
        <w:ind w:left="639" w:right="0" w:hanging="394"/>
        <w:jc w:val="left"/>
        <w:rPr>
          <w:sz w:val="18"/>
        </w:rPr>
      </w:pPr>
      <w:r>
        <w:rPr>
          <w:spacing w:val="-1"/>
          <w:sz w:val="18"/>
        </w:rPr>
        <w:t>现金价值</w:t>
      </w:r>
    </w:p>
    <w:p>
      <w:pPr>
        <w:pStyle w:val="ListParagraph"/>
        <w:numPr>
          <w:ilvl w:val="1"/>
          <w:numId w:val="8"/>
        </w:numPr>
        <w:tabs>
          <w:tab w:pos="640" w:val="left" w:leader="none"/>
        </w:tabs>
        <w:spacing w:line="240" w:lineRule="auto" w:before="83" w:after="0"/>
        <w:ind w:left="639" w:right="0" w:hanging="394"/>
        <w:jc w:val="left"/>
        <w:rPr>
          <w:sz w:val="18"/>
        </w:rPr>
      </w:pPr>
      <w:r>
        <w:rPr>
          <w:spacing w:val="-1"/>
          <w:sz w:val="18"/>
        </w:rPr>
        <w:t>有效身份证件</w:t>
      </w:r>
    </w:p>
    <w:p>
      <w:pPr>
        <w:spacing w:before="84"/>
        <w:ind w:left="245" w:right="0" w:firstLine="0"/>
        <w:jc w:val="left"/>
        <w:rPr>
          <w:sz w:val="18"/>
        </w:rPr>
      </w:pPr>
      <w:r>
        <w:rPr>
          <w:sz w:val="18"/>
        </w:rPr>
        <w:t>附件 1：重大疾病范围及定义</w:t>
      </w:r>
    </w:p>
    <w:p>
      <w:pPr>
        <w:spacing w:after="0"/>
        <w:jc w:val="left"/>
        <w:rPr>
          <w:sz w:val="18"/>
        </w:rPr>
        <w:sectPr>
          <w:type w:val="continuous"/>
          <w:pgSz w:w="11910" w:h="16840"/>
          <w:pgMar w:top="200" w:bottom="280" w:left="1340" w:right="280"/>
          <w:cols w:num="3" w:equalWidth="0">
            <w:col w:w="3006" w:space="40"/>
            <w:col w:w="3173" w:space="39"/>
            <w:col w:w="4032"/>
          </w:cols>
        </w:sectPr>
      </w:pPr>
    </w:p>
    <w:p>
      <w:pPr>
        <w:pStyle w:val="Heading1"/>
        <w:spacing w:line="206" w:lineRule="auto"/>
        <w:ind w:left="3106" w:right="3101" w:firstLine="0"/>
      </w:pPr>
      <w:r>
        <w:rPr/>
        <w:t>利安人寿保险股份有限公司</w:t>
      </w:r>
      <w:r>
        <w:rPr>
          <w:w w:val="95"/>
        </w:rPr>
        <w:t>团体终身重大疾病保险条款</w:t>
      </w:r>
    </w:p>
    <w:p>
      <w:pPr>
        <w:pStyle w:val="BodyText"/>
        <w:spacing w:before="37"/>
        <w:ind w:left="3010"/>
      </w:pPr>
      <w:r>
        <w:rPr/>
        <w:t>（2012 年呈报中国保险监督管理委员会备案）</w:t>
      </w:r>
    </w:p>
    <w:p>
      <w:pPr>
        <w:pStyle w:val="BodyText"/>
        <w:ind w:left="0"/>
        <w:rPr>
          <w:sz w:val="20"/>
        </w:rPr>
      </w:pPr>
    </w:p>
    <w:p>
      <w:pPr>
        <w:pStyle w:val="BodyText"/>
        <w:spacing w:before="10"/>
        <w:ind w:left="0"/>
        <w:rPr>
          <w:sz w:val="19"/>
        </w:rPr>
      </w:pPr>
    </w:p>
    <w:p>
      <w:pPr>
        <w:pStyle w:val="BodyText"/>
        <w:spacing w:line="280" w:lineRule="auto"/>
        <w:ind w:left="213" w:right="303" w:firstLine="420"/>
      </w:pPr>
      <w:r>
        <w:rPr>
          <w:spacing w:val="-9"/>
        </w:rPr>
        <w:t>“团体终身重大疾病保险”简称“团终身重疾”。在本保险条款中，“本公司”指利安人寿保险股份</w:t>
      </w:r>
      <w:r>
        <w:rPr>
          <w:spacing w:val="-14"/>
        </w:rPr>
        <w:t>有限公司，“本合同”指投保人与本公司之间订立的“团体终身重大疾病保险合同”。</w:t>
      </w:r>
    </w:p>
    <w:p>
      <w:pPr>
        <w:pStyle w:val="BodyText"/>
        <w:spacing w:before="10"/>
        <w:ind w:left="0"/>
        <w:rPr>
          <w:sz w:val="11"/>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5"/>
        <w:gridCol w:w="2074"/>
        <w:gridCol w:w="7075"/>
      </w:tblGrid>
      <w:tr>
        <w:trPr>
          <w:trHeight w:val="311" w:hRule="atLeast"/>
        </w:trPr>
        <w:tc>
          <w:tcPr>
            <w:tcW w:w="705" w:type="dxa"/>
            <w:shd w:val="clear" w:color="auto" w:fill="D3D3D3"/>
          </w:tcPr>
          <w:p>
            <w:pPr>
              <w:pStyle w:val="TableParagraph"/>
              <w:spacing w:before="10"/>
              <w:ind w:left="108"/>
              <w:rPr>
                <w:rFonts w:ascii="黑体" w:eastAsia="黑体" w:hint="eastAsia"/>
                <w:b/>
                <w:sz w:val="21"/>
              </w:rPr>
            </w:pPr>
            <w:r>
              <w:rPr>
                <w:rFonts w:ascii="黑体" w:eastAsia="黑体" w:hint="eastAsia"/>
                <w:b/>
                <w:sz w:val="21"/>
              </w:rPr>
              <w:t>1．</w:t>
            </w:r>
          </w:p>
        </w:tc>
        <w:tc>
          <w:tcPr>
            <w:tcW w:w="2074" w:type="dxa"/>
            <w:shd w:val="clear" w:color="auto" w:fill="D3D3D3"/>
          </w:tcPr>
          <w:p>
            <w:pPr>
              <w:pStyle w:val="TableParagraph"/>
              <w:spacing w:before="10"/>
              <w:ind w:left="280"/>
              <w:rPr>
                <w:rFonts w:ascii="黑体" w:eastAsia="黑体" w:hint="eastAsia"/>
                <w:b/>
                <w:sz w:val="21"/>
              </w:rPr>
            </w:pPr>
            <w:r>
              <w:rPr>
                <w:rFonts w:ascii="黑体" w:eastAsia="黑体" w:hint="eastAsia"/>
                <w:b/>
                <w:w w:val="95"/>
                <w:sz w:val="21"/>
              </w:rPr>
              <w:t>双方订立的合同</w:t>
            </w:r>
          </w:p>
        </w:tc>
        <w:tc>
          <w:tcPr>
            <w:tcW w:w="7075" w:type="dxa"/>
            <w:shd w:val="clear" w:color="auto" w:fill="D3D3D3"/>
          </w:tcPr>
          <w:p>
            <w:pPr>
              <w:pStyle w:val="TableParagraph"/>
              <w:rPr>
                <w:rFonts w:ascii="Times New Roman"/>
                <w:sz w:val="20"/>
              </w:rPr>
            </w:pPr>
          </w:p>
        </w:tc>
      </w:tr>
      <w:tr>
        <w:trPr>
          <w:trHeight w:val="482" w:hRule="atLeast"/>
        </w:trPr>
        <w:tc>
          <w:tcPr>
            <w:tcW w:w="705" w:type="dxa"/>
          </w:tcPr>
          <w:p>
            <w:pPr>
              <w:pStyle w:val="TableParagraph"/>
              <w:spacing w:before="153"/>
              <w:ind w:left="108"/>
              <w:rPr>
                <w:rFonts w:ascii="黑体"/>
                <w:sz w:val="21"/>
              </w:rPr>
            </w:pPr>
            <w:r>
              <w:rPr>
                <w:rFonts w:ascii="黑体"/>
                <w:sz w:val="21"/>
              </w:rPr>
              <w:t>1.1</w:t>
            </w:r>
          </w:p>
        </w:tc>
        <w:tc>
          <w:tcPr>
            <w:tcW w:w="2074" w:type="dxa"/>
          </w:tcPr>
          <w:p>
            <w:pPr>
              <w:pStyle w:val="TableParagraph"/>
              <w:spacing w:before="153"/>
              <w:ind w:left="280"/>
              <w:rPr>
                <w:rFonts w:ascii="黑体" w:eastAsia="黑体" w:hint="eastAsia"/>
                <w:sz w:val="21"/>
              </w:rPr>
            </w:pPr>
            <w:r>
              <w:rPr>
                <w:rFonts w:ascii="黑体" w:eastAsia="黑体" w:hint="eastAsia"/>
                <w:sz w:val="21"/>
              </w:rPr>
              <w:t>合同构成</w:t>
            </w:r>
          </w:p>
        </w:tc>
        <w:tc>
          <w:tcPr>
            <w:tcW w:w="7075" w:type="dxa"/>
          </w:tcPr>
          <w:p>
            <w:pPr>
              <w:pStyle w:val="TableParagraph"/>
              <w:spacing w:before="153"/>
              <w:ind w:left="107"/>
              <w:rPr>
                <w:sz w:val="21"/>
              </w:rPr>
            </w:pPr>
            <w:r>
              <w:rPr>
                <w:sz w:val="21"/>
              </w:rPr>
              <w:t>本合同是投保人与本公司约定保险权利义务关系的协议，包括本保险条款、</w:t>
            </w:r>
          </w:p>
        </w:tc>
      </w:tr>
      <w:tr>
        <w:trPr>
          <w:trHeight w:val="319" w:hRule="atLeast"/>
        </w:trPr>
        <w:tc>
          <w:tcPr>
            <w:tcW w:w="705" w:type="dxa"/>
          </w:tcPr>
          <w:p>
            <w:pPr>
              <w:pStyle w:val="TableParagraph"/>
              <w:rPr>
                <w:rFonts w:ascii="Times New Roman"/>
                <w:sz w:val="20"/>
              </w:rPr>
            </w:pPr>
          </w:p>
        </w:tc>
        <w:tc>
          <w:tcPr>
            <w:tcW w:w="2074" w:type="dxa"/>
          </w:tcPr>
          <w:p>
            <w:pPr>
              <w:pStyle w:val="TableParagraph"/>
              <w:rPr>
                <w:rFonts w:ascii="Times New Roman"/>
                <w:sz w:val="20"/>
              </w:rPr>
            </w:pPr>
          </w:p>
        </w:tc>
        <w:tc>
          <w:tcPr>
            <w:tcW w:w="7075" w:type="dxa"/>
          </w:tcPr>
          <w:p>
            <w:pPr>
              <w:pStyle w:val="TableParagraph"/>
              <w:spacing w:line="265" w:lineRule="exact"/>
              <w:ind w:left="107"/>
              <w:rPr>
                <w:sz w:val="21"/>
              </w:rPr>
            </w:pPr>
            <w:r>
              <w:rPr>
                <w:sz w:val="21"/>
              </w:rPr>
              <w:t>保险单或其他保险凭证、投保单、合法有效的声明、批注、批单及其他书面</w:t>
            </w:r>
          </w:p>
        </w:tc>
      </w:tr>
      <w:tr>
        <w:trPr>
          <w:trHeight w:val="391" w:hRule="atLeast"/>
        </w:trPr>
        <w:tc>
          <w:tcPr>
            <w:tcW w:w="705" w:type="dxa"/>
          </w:tcPr>
          <w:p>
            <w:pPr>
              <w:pStyle w:val="TableParagraph"/>
              <w:rPr>
                <w:rFonts w:ascii="Times New Roman"/>
                <w:sz w:val="20"/>
              </w:rPr>
            </w:pPr>
          </w:p>
        </w:tc>
        <w:tc>
          <w:tcPr>
            <w:tcW w:w="2074" w:type="dxa"/>
          </w:tcPr>
          <w:p>
            <w:pPr>
              <w:pStyle w:val="TableParagraph"/>
              <w:rPr>
                <w:rFonts w:ascii="Times New Roman"/>
                <w:sz w:val="20"/>
              </w:rPr>
            </w:pPr>
          </w:p>
        </w:tc>
        <w:tc>
          <w:tcPr>
            <w:tcW w:w="7075" w:type="dxa"/>
          </w:tcPr>
          <w:p>
            <w:pPr>
              <w:pStyle w:val="TableParagraph"/>
              <w:spacing w:line="265" w:lineRule="exact"/>
              <w:ind w:left="107"/>
              <w:rPr>
                <w:sz w:val="21"/>
              </w:rPr>
            </w:pPr>
            <w:r>
              <w:rPr>
                <w:sz w:val="21"/>
              </w:rPr>
              <w:t>协议。</w:t>
            </w:r>
          </w:p>
        </w:tc>
      </w:tr>
      <w:tr>
        <w:trPr>
          <w:trHeight w:val="391" w:hRule="atLeast"/>
        </w:trPr>
        <w:tc>
          <w:tcPr>
            <w:tcW w:w="705" w:type="dxa"/>
          </w:tcPr>
          <w:p>
            <w:pPr>
              <w:pStyle w:val="TableParagraph"/>
              <w:spacing w:before="61"/>
              <w:ind w:left="108"/>
              <w:rPr>
                <w:rFonts w:ascii="黑体"/>
                <w:sz w:val="21"/>
              </w:rPr>
            </w:pPr>
            <w:r>
              <w:rPr>
                <w:rFonts w:ascii="黑体"/>
                <w:sz w:val="21"/>
              </w:rPr>
              <w:t>1.2</w:t>
            </w:r>
          </w:p>
        </w:tc>
        <w:tc>
          <w:tcPr>
            <w:tcW w:w="2074" w:type="dxa"/>
          </w:tcPr>
          <w:p>
            <w:pPr>
              <w:pStyle w:val="TableParagraph"/>
              <w:spacing w:before="61"/>
              <w:ind w:left="280"/>
              <w:rPr>
                <w:rFonts w:ascii="黑体" w:eastAsia="黑体" w:hint="eastAsia"/>
                <w:sz w:val="21"/>
              </w:rPr>
            </w:pPr>
            <w:r>
              <w:rPr>
                <w:rFonts w:ascii="黑体" w:eastAsia="黑体" w:hint="eastAsia"/>
                <w:sz w:val="21"/>
              </w:rPr>
              <w:t>合同成立与Th效</w:t>
            </w:r>
          </w:p>
        </w:tc>
        <w:tc>
          <w:tcPr>
            <w:tcW w:w="7075" w:type="dxa"/>
          </w:tcPr>
          <w:p>
            <w:pPr>
              <w:pStyle w:val="TableParagraph"/>
              <w:spacing w:before="61"/>
              <w:ind w:left="107"/>
              <w:rPr>
                <w:sz w:val="21"/>
              </w:rPr>
            </w:pPr>
            <w:r>
              <w:rPr>
                <w:sz w:val="21"/>
              </w:rPr>
              <w:t>投保人提出保险申请、本公司同意承保，本合同成立。</w:t>
            </w:r>
          </w:p>
        </w:tc>
      </w:tr>
      <w:tr>
        <w:trPr>
          <w:trHeight w:val="319" w:hRule="atLeast"/>
        </w:trPr>
        <w:tc>
          <w:tcPr>
            <w:tcW w:w="705" w:type="dxa"/>
          </w:tcPr>
          <w:p>
            <w:pPr>
              <w:pStyle w:val="TableParagraph"/>
              <w:rPr>
                <w:rFonts w:ascii="Times New Roman"/>
                <w:sz w:val="20"/>
              </w:rPr>
            </w:pPr>
          </w:p>
        </w:tc>
        <w:tc>
          <w:tcPr>
            <w:tcW w:w="2074" w:type="dxa"/>
          </w:tcPr>
          <w:p>
            <w:pPr>
              <w:pStyle w:val="TableParagraph"/>
              <w:rPr>
                <w:rFonts w:ascii="Times New Roman"/>
                <w:sz w:val="20"/>
              </w:rPr>
            </w:pPr>
          </w:p>
        </w:tc>
        <w:tc>
          <w:tcPr>
            <w:tcW w:w="7075" w:type="dxa"/>
          </w:tcPr>
          <w:p>
            <w:pPr>
              <w:pStyle w:val="TableParagraph"/>
              <w:spacing w:line="265" w:lineRule="exact"/>
              <w:ind w:left="107"/>
              <w:rPr>
                <w:sz w:val="21"/>
              </w:rPr>
            </w:pPr>
            <w:r>
              <w:rPr>
                <w:sz w:val="21"/>
              </w:rPr>
              <w:t>本合同自本公司同意承保、收取保险费并签发保险单开始生效，具体生效日</w:t>
            </w:r>
          </w:p>
        </w:tc>
      </w:tr>
      <w:tr>
        <w:trPr>
          <w:trHeight w:val="319" w:hRule="atLeast"/>
        </w:trPr>
        <w:tc>
          <w:tcPr>
            <w:tcW w:w="705" w:type="dxa"/>
          </w:tcPr>
          <w:p>
            <w:pPr>
              <w:pStyle w:val="TableParagraph"/>
              <w:rPr>
                <w:rFonts w:ascii="Times New Roman"/>
                <w:sz w:val="20"/>
              </w:rPr>
            </w:pPr>
          </w:p>
        </w:tc>
        <w:tc>
          <w:tcPr>
            <w:tcW w:w="2074" w:type="dxa"/>
          </w:tcPr>
          <w:p>
            <w:pPr>
              <w:pStyle w:val="TableParagraph"/>
              <w:rPr>
                <w:rFonts w:ascii="Times New Roman"/>
                <w:sz w:val="20"/>
              </w:rPr>
            </w:pPr>
          </w:p>
        </w:tc>
        <w:tc>
          <w:tcPr>
            <w:tcW w:w="7075" w:type="dxa"/>
          </w:tcPr>
          <w:p>
            <w:pPr>
              <w:pStyle w:val="TableParagraph"/>
              <w:spacing w:line="290" w:lineRule="exact"/>
              <w:ind w:left="107"/>
              <w:rPr>
                <w:sz w:val="21"/>
              </w:rPr>
            </w:pPr>
            <w:r>
              <w:rPr>
                <w:sz w:val="21"/>
              </w:rPr>
              <w:t>以保险单所载的日期为准。</w:t>
            </w:r>
            <w:r>
              <w:rPr>
                <w:rFonts w:ascii="微软雅黑" w:eastAsia="微软雅黑" w:hint="eastAsia"/>
                <w:b/>
                <w:sz w:val="21"/>
              </w:rPr>
              <w:t>合同生效日对应日、保险费约定支付日</w:t>
            </w:r>
            <w:r>
              <w:rPr>
                <w:sz w:val="21"/>
              </w:rPr>
              <w:t>均以该日</w:t>
            </w:r>
          </w:p>
        </w:tc>
      </w:tr>
      <w:tr>
        <w:trPr>
          <w:trHeight w:val="391" w:hRule="atLeast"/>
        </w:trPr>
        <w:tc>
          <w:tcPr>
            <w:tcW w:w="705" w:type="dxa"/>
          </w:tcPr>
          <w:p>
            <w:pPr>
              <w:pStyle w:val="TableParagraph"/>
              <w:rPr>
                <w:rFonts w:ascii="Times New Roman"/>
                <w:sz w:val="20"/>
              </w:rPr>
            </w:pPr>
          </w:p>
        </w:tc>
        <w:tc>
          <w:tcPr>
            <w:tcW w:w="2074" w:type="dxa"/>
          </w:tcPr>
          <w:p>
            <w:pPr>
              <w:pStyle w:val="TableParagraph"/>
              <w:rPr>
                <w:rFonts w:ascii="Times New Roman"/>
                <w:sz w:val="20"/>
              </w:rPr>
            </w:pPr>
          </w:p>
        </w:tc>
        <w:tc>
          <w:tcPr>
            <w:tcW w:w="7075" w:type="dxa"/>
          </w:tcPr>
          <w:p>
            <w:pPr>
              <w:pStyle w:val="TableParagraph"/>
              <w:spacing w:line="265" w:lineRule="exact"/>
              <w:ind w:left="107"/>
              <w:rPr>
                <w:sz w:val="21"/>
              </w:rPr>
            </w:pPr>
            <w:r>
              <w:rPr>
                <w:sz w:val="21"/>
              </w:rPr>
              <w:t>期计算。</w:t>
            </w:r>
          </w:p>
        </w:tc>
      </w:tr>
      <w:tr>
        <w:trPr>
          <w:trHeight w:val="391" w:hRule="atLeast"/>
        </w:trPr>
        <w:tc>
          <w:tcPr>
            <w:tcW w:w="705" w:type="dxa"/>
          </w:tcPr>
          <w:p>
            <w:pPr>
              <w:pStyle w:val="TableParagraph"/>
              <w:spacing w:before="61"/>
              <w:ind w:left="108"/>
              <w:rPr>
                <w:rFonts w:ascii="黑体"/>
                <w:sz w:val="21"/>
              </w:rPr>
            </w:pPr>
            <w:r>
              <w:rPr>
                <w:rFonts w:ascii="黑体"/>
                <w:sz w:val="21"/>
              </w:rPr>
              <w:t>1.3</w:t>
            </w:r>
          </w:p>
        </w:tc>
        <w:tc>
          <w:tcPr>
            <w:tcW w:w="2074" w:type="dxa"/>
          </w:tcPr>
          <w:p>
            <w:pPr>
              <w:pStyle w:val="TableParagraph"/>
              <w:spacing w:before="61"/>
              <w:ind w:left="280"/>
              <w:rPr>
                <w:rFonts w:ascii="黑体" w:eastAsia="黑体" w:hint="eastAsia"/>
                <w:sz w:val="21"/>
              </w:rPr>
            </w:pPr>
            <w:r>
              <w:rPr>
                <w:rFonts w:ascii="黑体" w:eastAsia="黑体" w:hint="eastAsia"/>
                <w:sz w:val="21"/>
              </w:rPr>
              <w:t>投保范围</w:t>
            </w:r>
          </w:p>
        </w:tc>
        <w:tc>
          <w:tcPr>
            <w:tcW w:w="7075" w:type="dxa"/>
          </w:tcPr>
          <w:p>
            <w:pPr>
              <w:pStyle w:val="TableParagraph"/>
              <w:spacing w:before="61"/>
              <w:ind w:left="107"/>
              <w:rPr>
                <w:sz w:val="21"/>
              </w:rPr>
            </w:pPr>
            <w:r>
              <w:rPr>
                <w:sz w:val="21"/>
              </w:rPr>
              <w:t>团体可作为投保人，为其成员及其他本公司认可的人员向本公司投保本保</w:t>
            </w:r>
          </w:p>
        </w:tc>
      </w:tr>
      <w:tr>
        <w:trPr>
          <w:trHeight w:val="391" w:hRule="atLeast"/>
        </w:trPr>
        <w:tc>
          <w:tcPr>
            <w:tcW w:w="705" w:type="dxa"/>
          </w:tcPr>
          <w:p>
            <w:pPr>
              <w:pStyle w:val="TableParagraph"/>
              <w:rPr>
                <w:rFonts w:ascii="Times New Roman"/>
                <w:sz w:val="20"/>
              </w:rPr>
            </w:pPr>
          </w:p>
        </w:tc>
        <w:tc>
          <w:tcPr>
            <w:tcW w:w="2074" w:type="dxa"/>
          </w:tcPr>
          <w:p>
            <w:pPr>
              <w:pStyle w:val="TableParagraph"/>
              <w:rPr>
                <w:rFonts w:ascii="Times New Roman"/>
                <w:sz w:val="20"/>
              </w:rPr>
            </w:pPr>
          </w:p>
        </w:tc>
        <w:tc>
          <w:tcPr>
            <w:tcW w:w="7075" w:type="dxa"/>
          </w:tcPr>
          <w:p>
            <w:pPr>
              <w:pStyle w:val="TableParagraph"/>
              <w:spacing w:line="291" w:lineRule="exact"/>
              <w:ind w:left="107"/>
              <w:rPr>
                <w:sz w:val="21"/>
              </w:rPr>
            </w:pPr>
            <w:r>
              <w:rPr>
                <w:spacing w:val="-3"/>
                <w:sz w:val="21"/>
              </w:rPr>
              <w:t>险。本合同接受的被保险人的投保年龄范围为 </w:t>
            </w:r>
            <w:r>
              <w:rPr>
                <w:sz w:val="21"/>
              </w:rPr>
              <w:t>16</w:t>
            </w:r>
            <w:r>
              <w:rPr>
                <w:spacing w:val="-58"/>
                <w:sz w:val="21"/>
              </w:rPr>
              <w:t> </w:t>
            </w:r>
            <w:r>
              <w:rPr>
                <w:rFonts w:ascii="微软雅黑" w:eastAsia="微软雅黑" w:hint="eastAsia"/>
                <w:b/>
                <w:sz w:val="21"/>
              </w:rPr>
              <w:t>周岁</w:t>
            </w:r>
            <w:r>
              <w:rPr>
                <w:spacing w:val="-29"/>
                <w:sz w:val="21"/>
              </w:rPr>
              <w:t>至 </w:t>
            </w:r>
            <w:r>
              <w:rPr>
                <w:sz w:val="21"/>
              </w:rPr>
              <w:t>65</w:t>
            </w:r>
            <w:r>
              <w:rPr>
                <w:spacing w:val="-15"/>
                <w:sz w:val="21"/>
              </w:rPr>
              <w:t> 周岁。</w:t>
            </w:r>
          </w:p>
        </w:tc>
      </w:tr>
      <w:tr>
        <w:trPr>
          <w:trHeight w:val="390" w:hRule="atLeast"/>
        </w:trPr>
        <w:tc>
          <w:tcPr>
            <w:tcW w:w="705" w:type="dxa"/>
          </w:tcPr>
          <w:p>
            <w:pPr>
              <w:pStyle w:val="TableParagraph"/>
              <w:spacing w:before="61"/>
              <w:ind w:left="108"/>
              <w:rPr>
                <w:rFonts w:ascii="黑体"/>
                <w:sz w:val="21"/>
              </w:rPr>
            </w:pPr>
            <w:r>
              <w:rPr>
                <w:rFonts w:ascii="黑体"/>
                <w:sz w:val="21"/>
              </w:rPr>
              <w:t>1.4</w:t>
            </w:r>
          </w:p>
        </w:tc>
        <w:tc>
          <w:tcPr>
            <w:tcW w:w="2074" w:type="dxa"/>
          </w:tcPr>
          <w:p>
            <w:pPr>
              <w:pStyle w:val="TableParagraph"/>
              <w:spacing w:before="61"/>
              <w:ind w:left="280"/>
              <w:rPr>
                <w:rFonts w:ascii="黑体" w:eastAsia="黑体" w:hint="eastAsia"/>
                <w:sz w:val="21"/>
              </w:rPr>
            </w:pPr>
            <w:r>
              <w:rPr>
                <w:rFonts w:ascii="黑体" w:eastAsia="黑体" w:hint="eastAsia"/>
                <w:sz w:val="21"/>
              </w:rPr>
              <w:t>犹豫期</w:t>
            </w:r>
          </w:p>
        </w:tc>
        <w:tc>
          <w:tcPr>
            <w:tcW w:w="7075" w:type="dxa"/>
          </w:tcPr>
          <w:p>
            <w:pPr>
              <w:pStyle w:val="TableParagraph"/>
              <w:spacing w:before="61"/>
              <w:ind w:left="107"/>
              <w:rPr>
                <w:sz w:val="21"/>
              </w:rPr>
            </w:pPr>
            <w:r>
              <w:rPr>
                <w:sz w:val="21"/>
              </w:rPr>
              <w:t>自投保人签收本合同次日起，有 10 日的犹豫期。在此期间，请投保人认真</w:t>
            </w:r>
          </w:p>
        </w:tc>
      </w:tr>
      <w:tr>
        <w:trPr>
          <w:trHeight w:val="319" w:hRule="atLeast"/>
        </w:trPr>
        <w:tc>
          <w:tcPr>
            <w:tcW w:w="705" w:type="dxa"/>
          </w:tcPr>
          <w:p>
            <w:pPr>
              <w:pStyle w:val="TableParagraph"/>
              <w:rPr>
                <w:rFonts w:ascii="Times New Roman"/>
                <w:sz w:val="20"/>
              </w:rPr>
            </w:pPr>
          </w:p>
        </w:tc>
        <w:tc>
          <w:tcPr>
            <w:tcW w:w="2074" w:type="dxa"/>
          </w:tcPr>
          <w:p>
            <w:pPr>
              <w:pStyle w:val="TableParagraph"/>
              <w:rPr>
                <w:rFonts w:ascii="Times New Roman"/>
                <w:sz w:val="20"/>
              </w:rPr>
            </w:pPr>
          </w:p>
        </w:tc>
        <w:tc>
          <w:tcPr>
            <w:tcW w:w="7075" w:type="dxa"/>
          </w:tcPr>
          <w:p>
            <w:pPr>
              <w:pStyle w:val="TableParagraph"/>
              <w:spacing w:line="265" w:lineRule="exact"/>
              <w:ind w:left="107"/>
              <w:rPr>
                <w:sz w:val="21"/>
              </w:rPr>
            </w:pPr>
            <w:r>
              <w:rPr>
                <w:sz w:val="21"/>
              </w:rPr>
              <w:t>审视本合同，如果投保人认为本合同与投保人的需求不相符，投保人可以在</w:t>
            </w:r>
          </w:p>
        </w:tc>
      </w:tr>
      <w:tr>
        <w:trPr>
          <w:trHeight w:val="320" w:hRule="atLeast"/>
        </w:trPr>
        <w:tc>
          <w:tcPr>
            <w:tcW w:w="705" w:type="dxa"/>
          </w:tcPr>
          <w:p>
            <w:pPr>
              <w:pStyle w:val="TableParagraph"/>
              <w:rPr>
                <w:rFonts w:ascii="Times New Roman"/>
                <w:sz w:val="20"/>
              </w:rPr>
            </w:pPr>
          </w:p>
        </w:tc>
        <w:tc>
          <w:tcPr>
            <w:tcW w:w="2074" w:type="dxa"/>
          </w:tcPr>
          <w:p>
            <w:pPr>
              <w:pStyle w:val="TableParagraph"/>
              <w:rPr>
                <w:rFonts w:ascii="Times New Roman"/>
                <w:sz w:val="20"/>
              </w:rPr>
            </w:pPr>
          </w:p>
        </w:tc>
        <w:tc>
          <w:tcPr>
            <w:tcW w:w="7075" w:type="dxa"/>
          </w:tcPr>
          <w:p>
            <w:pPr>
              <w:pStyle w:val="TableParagraph"/>
              <w:spacing w:line="265" w:lineRule="exact"/>
              <w:ind w:left="107"/>
              <w:rPr>
                <w:sz w:val="21"/>
              </w:rPr>
            </w:pPr>
            <w:r>
              <w:rPr>
                <w:sz w:val="21"/>
              </w:rPr>
              <w:t>此期间提出解除本合同，本公司将退还投保人所支付的保险费。</w:t>
            </w:r>
          </w:p>
        </w:tc>
      </w:tr>
      <w:tr>
        <w:trPr>
          <w:trHeight w:val="319" w:hRule="atLeast"/>
        </w:trPr>
        <w:tc>
          <w:tcPr>
            <w:tcW w:w="705" w:type="dxa"/>
          </w:tcPr>
          <w:p>
            <w:pPr>
              <w:pStyle w:val="TableParagraph"/>
              <w:rPr>
                <w:rFonts w:ascii="Times New Roman"/>
                <w:sz w:val="20"/>
              </w:rPr>
            </w:pPr>
          </w:p>
        </w:tc>
        <w:tc>
          <w:tcPr>
            <w:tcW w:w="2074" w:type="dxa"/>
          </w:tcPr>
          <w:p>
            <w:pPr>
              <w:pStyle w:val="TableParagraph"/>
              <w:rPr>
                <w:rFonts w:ascii="Times New Roman"/>
                <w:sz w:val="20"/>
              </w:rPr>
            </w:pPr>
          </w:p>
        </w:tc>
        <w:tc>
          <w:tcPr>
            <w:tcW w:w="7075" w:type="dxa"/>
          </w:tcPr>
          <w:p>
            <w:pPr>
              <w:pStyle w:val="TableParagraph"/>
              <w:spacing w:line="265" w:lineRule="exact"/>
              <w:ind w:left="107"/>
              <w:rPr>
                <w:sz w:val="21"/>
              </w:rPr>
            </w:pPr>
            <w:r>
              <w:rPr>
                <w:sz w:val="21"/>
              </w:rPr>
              <w:t>解除合同时，投保人需要填写申请书，并提供保险合同及投保人单位证明。</w:t>
            </w:r>
          </w:p>
        </w:tc>
      </w:tr>
      <w:tr>
        <w:trPr>
          <w:trHeight w:val="319" w:hRule="atLeast"/>
        </w:trPr>
        <w:tc>
          <w:tcPr>
            <w:tcW w:w="705" w:type="dxa"/>
          </w:tcPr>
          <w:p>
            <w:pPr>
              <w:pStyle w:val="TableParagraph"/>
              <w:rPr>
                <w:rFonts w:ascii="Times New Roman"/>
                <w:sz w:val="20"/>
              </w:rPr>
            </w:pPr>
          </w:p>
        </w:tc>
        <w:tc>
          <w:tcPr>
            <w:tcW w:w="2074" w:type="dxa"/>
          </w:tcPr>
          <w:p>
            <w:pPr>
              <w:pStyle w:val="TableParagraph"/>
              <w:rPr>
                <w:rFonts w:ascii="Times New Roman"/>
                <w:sz w:val="20"/>
              </w:rPr>
            </w:pPr>
          </w:p>
        </w:tc>
        <w:tc>
          <w:tcPr>
            <w:tcW w:w="7075" w:type="dxa"/>
          </w:tcPr>
          <w:p>
            <w:pPr>
              <w:pStyle w:val="TableParagraph"/>
              <w:spacing w:line="265" w:lineRule="exact"/>
              <w:ind w:left="106"/>
              <w:rPr>
                <w:sz w:val="21"/>
              </w:rPr>
            </w:pPr>
            <w:r>
              <w:rPr>
                <w:sz w:val="21"/>
                <w:shd w:fill="D9D9D9" w:color="auto" w:val="clear"/>
              </w:rPr>
              <w:t>自本公司收到投保人解除合同的书面申请时起，本合同即被解除，对于合同</w:t>
            </w:r>
          </w:p>
        </w:tc>
      </w:tr>
      <w:tr>
        <w:trPr>
          <w:trHeight w:val="442" w:hRule="atLeast"/>
        </w:trPr>
        <w:tc>
          <w:tcPr>
            <w:tcW w:w="705" w:type="dxa"/>
          </w:tcPr>
          <w:p>
            <w:pPr>
              <w:pStyle w:val="TableParagraph"/>
              <w:rPr>
                <w:rFonts w:ascii="Times New Roman"/>
                <w:sz w:val="20"/>
              </w:rPr>
            </w:pPr>
          </w:p>
        </w:tc>
        <w:tc>
          <w:tcPr>
            <w:tcW w:w="2074" w:type="dxa"/>
          </w:tcPr>
          <w:p>
            <w:pPr>
              <w:pStyle w:val="TableParagraph"/>
              <w:rPr>
                <w:rFonts w:ascii="Times New Roman"/>
                <w:sz w:val="20"/>
              </w:rPr>
            </w:pPr>
          </w:p>
        </w:tc>
        <w:tc>
          <w:tcPr>
            <w:tcW w:w="7075" w:type="dxa"/>
          </w:tcPr>
          <w:p>
            <w:pPr>
              <w:pStyle w:val="TableParagraph"/>
              <w:spacing w:line="265" w:lineRule="exact"/>
              <w:ind w:left="106"/>
              <w:rPr>
                <w:sz w:val="21"/>
              </w:rPr>
            </w:pPr>
            <w:r>
              <w:rPr>
                <w:sz w:val="21"/>
                <w:shd w:fill="D9D9D9" w:color="auto" w:val="clear"/>
              </w:rPr>
              <w:t>解除前发生的保险事故，本公司不承担保险责任。</w:t>
            </w:r>
          </w:p>
        </w:tc>
      </w:tr>
      <w:tr>
        <w:trPr>
          <w:trHeight w:val="312" w:hRule="atLeast"/>
        </w:trPr>
        <w:tc>
          <w:tcPr>
            <w:tcW w:w="705" w:type="dxa"/>
            <w:shd w:val="clear" w:color="auto" w:fill="D3D3D3"/>
          </w:tcPr>
          <w:p>
            <w:pPr>
              <w:pStyle w:val="TableParagraph"/>
              <w:spacing w:before="10"/>
              <w:ind w:left="108"/>
              <w:rPr>
                <w:rFonts w:ascii="黑体" w:eastAsia="黑体" w:hint="eastAsia"/>
                <w:b/>
                <w:sz w:val="21"/>
              </w:rPr>
            </w:pPr>
            <w:r>
              <w:rPr>
                <w:rFonts w:ascii="黑体" w:eastAsia="黑体" w:hint="eastAsia"/>
                <w:b/>
                <w:sz w:val="21"/>
              </w:rPr>
              <w:t>2．</w:t>
            </w:r>
          </w:p>
        </w:tc>
        <w:tc>
          <w:tcPr>
            <w:tcW w:w="2074" w:type="dxa"/>
            <w:shd w:val="clear" w:color="auto" w:fill="D3D3D3"/>
          </w:tcPr>
          <w:p>
            <w:pPr>
              <w:pStyle w:val="TableParagraph"/>
              <w:spacing w:before="10"/>
              <w:ind w:left="280"/>
              <w:rPr>
                <w:rFonts w:ascii="黑体" w:eastAsia="黑体" w:hint="eastAsia"/>
                <w:b/>
                <w:sz w:val="21"/>
              </w:rPr>
            </w:pPr>
            <w:r>
              <w:rPr>
                <w:rFonts w:ascii="黑体" w:eastAsia="黑体" w:hint="eastAsia"/>
                <w:b/>
                <w:w w:val="95"/>
                <w:sz w:val="21"/>
              </w:rPr>
              <w:t>本公司提供的保障</w:t>
            </w:r>
          </w:p>
        </w:tc>
        <w:tc>
          <w:tcPr>
            <w:tcW w:w="7075" w:type="dxa"/>
            <w:shd w:val="clear" w:color="auto" w:fill="D3D3D3"/>
          </w:tcPr>
          <w:p>
            <w:pPr>
              <w:pStyle w:val="TableParagraph"/>
              <w:rPr>
                <w:rFonts w:ascii="Times New Roman"/>
                <w:sz w:val="20"/>
              </w:rPr>
            </w:pPr>
          </w:p>
        </w:tc>
      </w:tr>
      <w:tr>
        <w:trPr>
          <w:trHeight w:val="529" w:hRule="atLeast"/>
        </w:trPr>
        <w:tc>
          <w:tcPr>
            <w:tcW w:w="705" w:type="dxa"/>
          </w:tcPr>
          <w:p>
            <w:pPr>
              <w:pStyle w:val="TableParagraph"/>
              <w:spacing w:before="152"/>
              <w:ind w:left="108"/>
              <w:rPr>
                <w:rFonts w:ascii="黑体"/>
                <w:sz w:val="21"/>
              </w:rPr>
            </w:pPr>
            <w:r>
              <w:rPr>
                <w:rFonts w:ascii="黑体"/>
                <w:sz w:val="21"/>
              </w:rPr>
              <w:t>2.1</w:t>
            </w:r>
          </w:p>
        </w:tc>
        <w:tc>
          <w:tcPr>
            <w:tcW w:w="2074" w:type="dxa"/>
          </w:tcPr>
          <w:p>
            <w:pPr>
              <w:pStyle w:val="TableParagraph"/>
              <w:spacing w:before="152"/>
              <w:ind w:left="280"/>
              <w:rPr>
                <w:rFonts w:ascii="黑体" w:eastAsia="黑体" w:hint="eastAsia"/>
                <w:sz w:val="21"/>
              </w:rPr>
            </w:pPr>
            <w:r>
              <w:rPr>
                <w:rFonts w:ascii="黑体" w:eastAsia="黑体" w:hint="eastAsia"/>
                <w:sz w:val="21"/>
              </w:rPr>
              <w:t>保险金额</w:t>
            </w:r>
          </w:p>
        </w:tc>
        <w:tc>
          <w:tcPr>
            <w:tcW w:w="7075" w:type="dxa"/>
          </w:tcPr>
          <w:p>
            <w:pPr>
              <w:pStyle w:val="TableParagraph"/>
              <w:spacing w:before="152"/>
              <w:ind w:left="107"/>
              <w:rPr>
                <w:sz w:val="21"/>
              </w:rPr>
            </w:pPr>
            <w:r>
              <w:rPr>
                <w:sz w:val="21"/>
              </w:rPr>
              <w:t>本合同的保险金额由投保人与本公司约定，并在保险单上载明。</w:t>
            </w:r>
          </w:p>
        </w:tc>
      </w:tr>
      <w:tr>
        <w:trPr>
          <w:trHeight w:val="484" w:hRule="atLeast"/>
        </w:trPr>
        <w:tc>
          <w:tcPr>
            <w:tcW w:w="705" w:type="dxa"/>
          </w:tcPr>
          <w:p>
            <w:pPr>
              <w:pStyle w:val="TableParagraph"/>
              <w:spacing w:before="84"/>
              <w:ind w:left="108"/>
              <w:rPr>
                <w:rFonts w:ascii="黑体"/>
                <w:sz w:val="21"/>
              </w:rPr>
            </w:pPr>
            <w:r>
              <w:rPr>
                <w:rFonts w:ascii="黑体"/>
                <w:sz w:val="21"/>
              </w:rPr>
              <w:t>2.2</w:t>
            </w:r>
          </w:p>
        </w:tc>
        <w:tc>
          <w:tcPr>
            <w:tcW w:w="2074" w:type="dxa"/>
          </w:tcPr>
          <w:p>
            <w:pPr>
              <w:pStyle w:val="TableParagraph"/>
              <w:spacing w:before="84"/>
              <w:ind w:left="280"/>
              <w:rPr>
                <w:rFonts w:ascii="黑体" w:eastAsia="黑体" w:hint="eastAsia"/>
                <w:sz w:val="21"/>
              </w:rPr>
            </w:pPr>
            <w:r>
              <w:rPr>
                <w:rFonts w:ascii="黑体" w:eastAsia="黑体" w:hint="eastAsia"/>
                <w:sz w:val="21"/>
              </w:rPr>
              <w:t>保险期间</w:t>
            </w:r>
          </w:p>
        </w:tc>
        <w:tc>
          <w:tcPr>
            <w:tcW w:w="7075" w:type="dxa"/>
          </w:tcPr>
          <w:p>
            <w:pPr>
              <w:pStyle w:val="TableParagraph"/>
              <w:spacing w:before="38"/>
              <w:ind w:left="107"/>
              <w:rPr>
                <w:sz w:val="21"/>
              </w:rPr>
            </w:pPr>
            <w:r>
              <w:rPr>
                <w:sz w:val="21"/>
              </w:rPr>
              <w:t>本合同的保险期间自本合同生效日的零时起，至所有被保险人身故时止。</w:t>
            </w:r>
          </w:p>
        </w:tc>
      </w:tr>
      <w:tr>
        <w:trPr>
          <w:trHeight w:val="391" w:hRule="atLeast"/>
        </w:trPr>
        <w:tc>
          <w:tcPr>
            <w:tcW w:w="705" w:type="dxa"/>
          </w:tcPr>
          <w:p>
            <w:pPr>
              <w:pStyle w:val="TableParagraph"/>
              <w:spacing w:before="61"/>
              <w:ind w:left="108"/>
              <w:rPr>
                <w:rFonts w:ascii="黑体"/>
                <w:sz w:val="21"/>
              </w:rPr>
            </w:pPr>
            <w:r>
              <w:rPr>
                <w:rFonts w:ascii="黑体"/>
                <w:sz w:val="21"/>
              </w:rPr>
              <w:t>2.3</w:t>
            </w:r>
          </w:p>
        </w:tc>
        <w:tc>
          <w:tcPr>
            <w:tcW w:w="2074" w:type="dxa"/>
          </w:tcPr>
          <w:p>
            <w:pPr>
              <w:pStyle w:val="TableParagraph"/>
              <w:spacing w:before="61"/>
              <w:ind w:left="280"/>
              <w:rPr>
                <w:rFonts w:ascii="黑体" w:eastAsia="黑体" w:hint="eastAsia"/>
                <w:sz w:val="21"/>
              </w:rPr>
            </w:pPr>
            <w:r>
              <w:rPr>
                <w:rFonts w:ascii="黑体" w:eastAsia="黑体" w:hint="eastAsia"/>
                <w:sz w:val="21"/>
              </w:rPr>
              <w:t>保险责任</w:t>
            </w:r>
          </w:p>
        </w:tc>
        <w:tc>
          <w:tcPr>
            <w:tcW w:w="7075" w:type="dxa"/>
          </w:tcPr>
          <w:p>
            <w:pPr>
              <w:pStyle w:val="TableParagraph"/>
              <w:spacing w:before="61"/>
              <w:ind w:left="107"/>
              <w:rPr>
                <w:sz w:val="21"/>
              </w:rPr>
            </w:pPr>
            <w:r>
              <w:rPr>
                <w:sz w:val="21"/>
              </w:rPr>
              <w:t>在本合同保险期间内，且在本合同有效的前提下，本公司按以下约定承担保</w:t>
            </w:r>
          </w:p>
        </w:tc>
      </w:tr>
      <w:tr>
        <w:trPr>
          <w:trHeight w:val="388" w:hRule="atLeast"/>
        </w:trPr>
        <w:tc>
          <w:tcPr>
            <w:tcW w:w="705" w:type="dxa"/>
          </w:tcPr>
          <w:p>
            <w:pPr>
              <w:pStyle w:val="TableParagraph"/>
              <w:rPr>
                <w:rFonts w:ascii="Times New Roman"/>
                <w:sz w:val="20"/>
              </w:rPr>
            </w:pPr>
          </w:p>
        </w:tc>
        <w:tc>
          <w:tcPr>
            <w:tcW w:w="2074" w:type="dxa"/>
          </w:tcPr>
          <w:p>
            <w:pPr>
              <w:pStyle w:val="TableParagraph"/>
              <w:rPr>
                <w:rFonts w:ascii="Times New Roman"/>
                <w:sz w:val="20"/>
              </w:rPr>
            </w:pPr>
          </w:p>
        </w:tc>
        <w:tc>
          <w:tcPr>
            <w:tcW w:w="7075" w:type="dxa"/>
          </w:tcPr>
          <w:p>
            <w:pPr>
              <w:pStyle w:val="TableParagraph"/>
              <w:spacing w:line="265" w:lineRule="exact"/>
              <w:ind w:left="107"/>
              <w:rPr>
                <w:sz w:val="21"/>
              </w:rPr>
            </w:pPr>
            <w:r>
              <w:rPr>
                <w:sz w:val="21"/>
              </w:rPr>
              <w:t>险责任：</w:t>
            </w:r>
          </w:p>
        </w:tc>
      </w:tr>
      <w:tr>
        <w:trPr>
          <w:trHeight w:val="713" w:hRule="atLeast"/>
        </w:trPr>
        <w:tc>
          <w:tcPr>
            <w:tcW w:w="705" w:type="dxa"/>
          </w:tcPr>
          <w:p>
            <w:pPr>
              <w:pStyle w:val="TableParagraph"/>
              <w:rPr>
                <w:rFonts w:ascii="Times New Roman"/>
                <w:sz w:val="20"/>
              </w:rPr>
            </w:pPr>
          </w:p>
        </w:tc>
        <w:tc>
          <w:tcPr>
            <w:tcW w:w="2074" w:type="dxa"/>
          </w:tcPr>
          <w:p>
            <w:pPr>
              <w:pStyle w:val="TableParagraph"/>
              <w:spacing w:before="64"/>
              <w:ind w:left="280"/>
              <w:rPr>
                <w:sz w:val="21"/>
              </w:rPr>
            </w:pPr>
            <w:r>
              <w:rPr>
                <w:sz w:val="21"/>
              </w:rPr>
              <w:t>重大疾病保险金</w:t>
            </w:r>
          </w:p>
        </w:tc>
        <w:tc>
          <w:tcPr>
            <w:tcW w:w="7075" w:type="dxa"/>
          </w:tcPr>
          <w:p>
            <w:pPr>
              <w:pStyle w:val="TableParagraph"/>
              <w:spacing w:line="254" w:lineRule="auto" w:before="1"/>
              <w:ind w:left="106" w:right="102"/>
              <w:rPr>
                <w:sz w:val="21"/>
              </w:rPr>
            </w:pPr>
            <w:r>
              <w:rPr>
                <w:sz w:val="21"/>
              </w:rPr>
              <w:t>若被保险人因遭受</w:t>
            </w:r>
            <w:r>
              <w:rPr>
                <w:rFonts w:ascii="微软雅黑" w:eastAsia="微软雅黑" w:hint="eastAsia"/>
                <w:b/>
                <w:sz w:val="21"/>
              </w:rPr>
              <w:t>意外伤害</w:t>
            </w:r>
            <w:r>
              <w:rPr>
                <w:spacing w:val="-5"/>
                <w:sz w:val="21"/>
              </w:rPr>
              <w:t>被确诊初次发生本合同约定的重大疾病</w:t>
            </w:r>
            <w:r>
              <w:rPr>
                <w:sz w:val="21"/>
              </w:rPr>
              <w:t>（无论一</w:t>
            </w:r>
            <w:r>
              <w:rPr>
                <w:spacing w:val="0"/>
                <w:sz w:val="21"/>
              </w:rPr>
              <w:t>种或多种，下同</w:t>
            </w:r>
            <w:r>
              <w:rPr>
                <w:spacing w:val="-105"/>
                <w:sz w:val="21"/>
              </w:rPr>
              <w:t>）</w:t>
            </w:r>
            <w:r>
              <w:rPr>
                <w:spacing w:val="0"/>
                <w:sz w:val="21"/>
              </w:rPr>
              <w:t>，或在本合同生效或最后一次复效（以较迟者为准）之日</w:t>
            </w:r>
          </w:p>
        </w:tc>
      </w:tr>
      <w:tr>
        <w:trPr>
          <w:trHeight w:val="319" w:hRule="atLeast"/>
        </w:trPr>
        <w:tc>
          <w:tcPr>
            <w:tcW w:w="705" w:type="dxa"/>
          </w:tcPr>
          <w:p>
            <w:pPr>
              <w:pStyle w:val="TableParagraph"/>
              <w:rPr>
                <w:rFonts w:ascii="Times New Roman"/>
                <w:sz w:val="20"/>
              </w:rPr>
            </w:pPr>
          </w:p>
        </w:tc>
        <w:tc>
          <w:tcPr>
            <w:tcW w:w="2074" w:type="dxa"/>
          </w:tcPr>
          <w:p>
            <w:pPr>
              <w:pStyle w:val="TableParagraph"/>
              <w:rPr>
                <w:rFonts w:ascii="Times New Roman"/>
                <w:sz w:val="20"/>
              </w:rPr>
            </w:pPr>
          </w:p>
        </w:tc>
        <w:tc>
          <w:tcPr>
            <w:tcW w:w="7075" w:type="dxa"/>
          </w:tcPr>
          <w:p>
            <w:pPr>
              <w:pStyle w:val="TableParagraph"/>
              <w:spacing w:line="265" w:lineRule="exact"/>
              <w:ind w:left="106"/>
              <w:rPr>
                <w:sz w:val="21"/>
              </w:rPr>
            </w:pPr>
            <w:r>
              <w:rPr>
                <w:spacing w:val="-32"/>
                <w:sz w:val="21"/>
              </w:rPr>
              <w:t>起 </w:t>
            </w:r>
            <w:r>
              <w:rPr>
                <w:sz w:val="21"/>
              </w:rPr>
              <w:t>180</w:t>
            </w:r>
            <w:r>
              <w:rPr>
                <w:spacing w:val="-36"/>
                <w:sz w:val="21"/>
              </w:rPr>
              <w:t> 日</w:t>
            </w:r>
            <w:r>
              <w:rPr>
                <w:sz w:val="21"/>
              </w:rPr>
              <w:t>（180</w:t>
            </w:r>
            <w:r>
              <w:rPr>
                <w:spacing w:val="-12"/>
                <w:sz w:val="21"/>
              </w:rPr>
              <w:t> 日为等待期</w:t>
            </w:r>
            <w:r>
              <w:rPr>
                <w:spacing w:val="-9"/>
                <w:sz w:val="21"/>
              </w:rPr>
              <w:t>）</w:t>
            </w:r>
            <w:r>
              <w:rPr>
                <w:sz w:val="21"/>
              </w:rPr>
              <w:t>后因意外伤害以外的原因被确诊初次发生本合</w:t>
            </w:r>
          </w:p>
        </w:tc>
      </w:tr>
      <w:tr>
        <w:trPr>
          <w:trHeight w:val="320" w:hRule="atLeast"/>
        </w:trPr>
        <w:tc>
          <w:tcPr>
            <w:tcW w:w="705" w:type="dxa"/>
          </w:tcPr>
          <w:p>
            <w:pPr>
              <w:pStyle w:val="TableParagraph"/>
              <w:rPr>
                <w:rFonts w:ascii="Times New Roman"/>
                <w:sz w:val="20"/>
              </w:rPr>
            </w:pPr>
          </w:p>
        </w:tc>
        <w:tc>
          <w:tcPr>
            <w:tcW w:w="2074" w:type="dxa"/>
          </w:tcPr>
          <w:p>
            <w:pPr>
              <w:pStyle w:val="TableParagraph"/>
              <w:rPr>
                <w:rFonts w:ascii="Times New Roman"/>
                <w:sz w:val="20"/>
              </w:rPr>
            </w:pPr>
          </w:p>
        </w:tc>
        <w:tc>
          <w:tcPr>
            <w:tcW w:w="7075" w:type="dxa"/>
          </w:tcPr>
          <w:p>
            <w:pPr>
              <w:pStyle w:val="TableParagraph"/>
              <w:spacing w:line="265" w:lineRule="exact"/>
              <w:ind w:left="106"/>
              <w:rPr>
                <w:sz w:val="21"/>
              </w:rPr>
            </w:pPr>
            <w:r>
              <w:rPr>
                <w:sz w:val="21"/>
              </w:rPr>
              <w:t>同约定的重大疾病，本公司按该被保险人对应的保险金额给付重大疾病保险</w:t>
            </w:r>
          </w:p>
        </w:tc>
      </w:tr>
      <w:tr>
        <w:trPr>
          <w:trHeight w:val="319" w:hRule="atLeast"/>
        </w:trPr>
        <w:tc>
          <w:tcPr>
            <w:tcW w:w="705" w:type="dxa"/>
          </w:tcPr>
          <w:p>
            <w:pPr>
              <w:pStyle w:val="TableParagraph"/>
              <w:rPr>
                <w:rFonts w:ascii="Times New Roman"/>
                <w:sz w:val="20"/>
              </w:rPr>
            </w:pPr>
          </w:p>
        </w:tc>
        <w:tc>
          <w:tcPr>
            <w:tcW w:w="2074" w:type="dxa"/>
          </w:tcPr>
          <w:p>
            <w:pPr>
              <w:pStyle w:val="TableParagraph"/>
              <w:rPr>
                <w:rFonts w:ascii="Times New Roman"/>
                <w:sz w:val="20"/>
              </w:rPr>
            </w:pPr>
          </w:p>
        </w:tc>
        <w:tc>
          <w:tcPr>
            <w:tcW w:w="7075" w:type="dxa"/>
          </w:tcPr>
          <w:p>
            <w:pPr>
              <w:pStyle w:val="TableParagraph"/>
              <w:spacing w:line="265" w:lineRule="exact"/>
              <w:ind w:left="106"/>
              <w:rPr>
                <w:sz w:val="21"/>
              </w:rPr>
            </w:pPr>
            <w:r>
              <w:rPr>
                <w:sz w:val="21"/>
              </w:rPr>
              <w:t>金，本公司对该被保险人的保险责任终止。</w:t>
            </w:r>
          </w:p>
        </w:tc>
      </w:tr>
      <w:tr>
        <w:trPr>
          <w:trHeight w:val="319" w:hRule="atLeast"/>
        </w:trPr>
        <w:tc>
          <w:tcPr>
            <w:tcW w:w="705" w:type="dxa"/>
          </w:tcPr>
          <w:p>
            <w:pPr>
              <w:pStyle w:val="TableParagraph"/>
              <w:rPr>
                <w:rFonts w:ascii="Times New Roman"/>
                <w:sz w:val="20"/>
              </w:rPr>
            </w:pPr>
          </w:p>
        </w:tc>
        <w:tc>
          <w:tcPr>
            <w:tcW w:w="2074" w:type="dxa"/>
          </w:tcPr>
          <w:p>
            <w:pPr>
              <w:pStyle w:val="TableParagraph"/>
              <w:rPr>
                <w:rFonts w:ascii="Times New Roman"/>
                <w:sz w:val="20"/>
              </w:rPr>
            </w:pPr>
          </w:p>
        </w:tc>
        <w:tc>
          <w:tcPr>
            <w:tcW w:w="7075" w:type="dxa"/>
          </w:tcPr>
          <w:p>
            <w:pPr>
              <w:pStyle w:val="TableParagraph"/>
              <w:spacing w:line="265" w:lineRule="exact"/>
              <w:ind w:left="106"/>
              <w:rPr>
                <w:sz w:val="21"/>
              </w:rPr>
            </w:pPr>
            <w:r>
              <w:rPr>
                <w:spacing w:val="-2"/>
                <w:sz w:val="21"/>
              </w:rPr>
              <w:t>若被保险人在本合同生效或最后一次复效</w:t>
            </w:r>
            <w:r>
              <w:rPr>
                <w:sz w:val="21"/>
              </w:rPr>
              <w:t>（以较迟者为准</w:t>
            </w:r>
            <w:r>
              <w:rPr>
                <w:spacing w:val="-35"/>
                <w:sz w:val="21"/>
              </w:rPr>
              <w:t>）</w:t>
            </w:r>
            <w:r>
              <w:rPr>
                <w:spacing w:val="-14"/>
                <w:sz w:val="21"/>
              </w:rPr>
              <w:t>之日起 </w:t>
            </w:r>
            <w:r>
              <w:rPr>
                <w:sz w:val="21"/>
              </w:rPr>
              <w:t>180</w:t>
            </w:r>
            <w:r>
              <w:rPr>
                <w:spacing w:val="-18"/>
                <w:sz w:val="21"/>
              </w:rPr>
              <w:t> 日内</w:t>
            </w:r>
          </w:p>
        </w:tc>
      </w:tr>
      <w:tr>
        <w:trPr>
          <w:trHeight w:val="320" w:hRule="atLeast"/>
        </w:trPr>
        <w:tc>
          <w:tcPr>
            <w:tcW w:w="705" w:type="dxa"/>
          </w:tcPr>
          <w:p>
            <w:pPr>
              <w:pStyle w:val="TableParagraph"/>
              <w:rPr>
                <w:rFonts w:ascii="Times New Roman"/>
                <w:sz w:val="20"/>
              </w:rPr>
            </w:pPr>
          </w:p>
        </w:tc>
        <w:tc>
          <w:tcPr>
            <w:tcW w:w="2074" w:type="dxa"/>
          </w:tcPr>
          <w:p>
            <w:pPr>
              <w:pStyle w:val="TableParagraph"/>
              <w:rPr>
                <w:rFonts w:ascii="Times New Roman"/>
                <w:sz w:val="20"/>
              </w:rPr>
            </w:pPr>
          </w:p>
        </w:tc>
        <w:tc>
          <w:tcPr>
            <w:tcW w:w="7075" w:type="dxa"/>
          </w:tcPr>
          <w:p>
            <w:pPr>
              <w:pStyle w:val="TableParagraph"/>
              <w:spacing w:line="265" w:lineRule="exact"/>
              <w:ind w:left="106"/>
              <w:rPr>
                <w:sz w:val="21"/>
              </w:rPr>
            </w:pPr>
            <w:r>
              <w:rPr>
                <w:sz w:val="21"/>
              </w:rPr>
              <w:t>因意外伤害以外的原因被确诊初次发生本合同约定的重大疾病，本公司按该</w:t>
            </w:r>
          </w:p>
        </w:tc>
      </w:tr>
      <w:tr>
        <w:trPr>
          <w:trHeight w:val="319" w:hRule="atLeast"/>
        </w:trPr>
        <w:tc>
          <w:tcPr>
            <w:tcW w:w="705" w:type="dxa"/>
          </w:tcPr>
          <w:p>
            <w:pPr>
              <w:pStyle w:val="TableParagraph"/>
              <w:rPr>
                <w:rFonts w:ascii="Times New Roman"/>
                <w:sz w:val="20"/>
              </w:rPr>
            </w:pPr>
          </w:p>
        </w:tc>
        <w:tc>
          <w:tcPr>
            <w:tcW w:w="2074" w:type="dxa"/>
          </w:tcPr>
          <w:p>
            <w:pPr>
              <w:pStyle w:val="TableParagraph"/>
              <w:rPr>
                <w:rFonts w:ascii="Times New Roman"/>
                <w:sz w:val="20"/>
              </w:rPr>
            </w:pPr>
          </w:p>
        </w:tc>
        <w:tc>
          <w:tcPr>
            <w:tcW w:w="7075" w:type="dxa"/>
          </w:tcPr>
          <w:p>
            <w:pPr>
              <w:pStyle w:val="TableParagraph"/>
              <w:spacing w:line="265" w:lineRule="exact"/>
              <w:ind w:left="106"/>
              <w:rPr>
                <w:sz w:val="21"/>
              </w:rPr>
            </w:pPr>
            <w:r>
              <w:rPr>
                <w:sz w:val="21"/>
              </w:rPr>
              <w:t>被保险人对应的已支付的保险费给付重大疾病保险金，本公司对该被保险人</w:t>
            </w:r>
          </w:p>
        </w:tc>
      </w:tr>
      <w:tr>
        <w:trPr>
          <w:trHeight w:val="436" w:hRule="atLeast"/>
        </w:trPr>
        <w:tc>
          <w:tcPr>
            <w:tcW w:w="705" w:type="dxa"/>
          </w:tcPr>
          <w:p>
            <w:pPr>
              <w:pStyle w:val="TableParagraph"/>
              <w:rPr>
                <w:rFonts w:ascii="Times New Roman"/>
                <w:sz w:val="20"/>
              </w:rPr>
            </w:pPr>
          </w:p>
        </w:tc>
        <w:tc>
          <w:tcPr>
            <w:tcW w:w="2074" w:type="dxa"/>
          </w:tcPr>
          <w:p>
            <w:pPr>
              <w:pStyle w:val="TableParagraph"/>
              <w:rPr>
                <w:rFonts w:ascii="Times New Roman"/>
                <w:sz w:val="20"/>
              </w:rPr>
            </w:pPr>
          </w:p>
        </w:tc>
        <w:tc>
          <w:tcPr>
            <w:tcW w:w="7075" w:type="dxa"/>
          </w:tcPr>
          <w:p>
            <w:pPr>
              <w:pStyle w:val="TableParagraph"/>
              <w:spacing w:line="265" w:lineRule="exact"/>
              <w:ind w:left="106"/>
              <w:rPr>
                <w:sz w:val="21"/>
              </w:rPr>
            </w:pPr>
            <w:r>
              <w:rPr>
                <w:sz w:val="21"/>
              </w:rPr>
              <w:t>的保险责任终止。</w:t>
            </w:r>
          </w:p>
        </w:tc>
      </w:tr>
      <w:tr>
        <w:trPr>
          <w:trHeight w:val="381" w:hRule="atLeast"/>
        </w:trPr>
        <w:tc>
          <w:tcPr>
            <w:tcW w:w="705" w:type="dxa"/>
          </w:tcPr>
          <w:p>
            <w:pPr>
              <w:pStyle w:val="TableParagraph"/>
              <w:rPr>
                <w:rFonts w:ascii="Times New Roman"/>
                <w:sz w:val="20"/>
              </w:rPr>
            </w:pPr>
          </w:p>
        </w:tc>
        <w:tc>
          <w:tcPr>
            <w:tcW w:w="2074" w:type="dxa"/>
          </w:tcPr>
          <w:p>
            <w:pPr>
              <w:pStyle w:val="TableParagraph"/>
              <w:spacing w:line="255" w:lineRule="exact" w:before="106"/>
              <w:ind w:left="280"/>
              <w:rPr>
                <w:rFonts w:ascii="黑体" w:eastAsia="黑体" w:hint="eastAsia"/>
                <w:sz w:val="21"/>
              </w:rPr>
            </w:pPr>
            <w:r>
              <w:rPr>
                <w:rFonts w:ascii="黑体" w:eastAsia="黑体" w:hint="eastAsia"/>
                <w:sz w:val="21"/>
              </w:rPr>
              <w:t>身故保险金</w:t>
            </w:r>
          </w:p>
        </w:tc>
        <w:tc>
          <w:tcPr>
            <w:tcW w:w="7075" w:type="dxa"/>
          </w:tcPr>
          <w:p>
            <w:pPr>
              <w:pStyle w:val="TableParagraph"/>
              <w:spacing w:line="255" w:lineRule="exact" w:before="106"/>
              <w:ind w:left="106"/>
              <w:rPr>
                <w:sz w:val="21"/>
              </w:rPr>
            </w:pPr>
            <w:r>
              <w:rPr>
                <w:sz w:val="21"/>
              </w:rPr>
              <w:t>若被保险人因意外伤害身故，或在本合同生效或最后一次复效（以较迟者为</w:t>
            </w:r>
          </w:p>
        </w:tc>
      </w:tr>
    </w:tbl>
    <w:p>
      <w:pPr>
        <w:spacing w:after="0" w:line="255" w:lineRule="exact"/>
        <w:rPr>
          <w:sz w:val="21"/>
        </w:rPr>
        <w:sectPr>
          <w:pgSz w:w="11910" w:h="16840"/>
          <w:pgMar w:top="1360" w:bottom="280" w:left="920" w:right="9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5"/>
        <w:gridCol w:w="1862"/>
        <w:gridCol w:w="7287"/>
      </w:tblGrid>
      <w:tr>
        <w:trPr>
          <w:trHeight w:val="1615" w:hRule="atLeast"/>
        </w:trPr>
        <w:tc>
          <w:tcPr>
            <w:tcW w:w="705" w:type="dxa"/>
          </w:tcPr>
          <w:p>
            <w:pPr>
              <w:pStyle w:val="TableParagraph"/>
              <w:rPr>
                <w:rFonts w:ascii="Times New Roman"/>
                <w:sz w:val="20"/>
              </w:rPr>
            </w:pPr>
          </w:p>
        </w:tc>
        <w:tc>
          <w:tcPr>
            <w:tcW w:w="1862" w:type="dxa"/>
          </w:tcPr>
          <w:p>
            <w:pPr>
              <w:pStyle w:val="TableParagraph"/>
              <w:rPr>
                <w:rFonts w:ascii="Times New Roman"/>
                <w:sz w:val="20"/>
              </w:rPr>
            </w:pPr>
          </w:p>
        </w:tc>
        <w:tc>
          <w:tcPr>
            <w:tcW w:w="7287" w:type="dxa"/>
          </w:tcPr>
          <w:p>
            <w:pPr>
              <w:pStyle w:val="TableParagraph"/>
              <w:spacing w:line="204" w:lineRule="exact"/>
              <w:ind w:left="319"/>
              <w:rPr>
                <w:sz w:val="21"/>
              </w:rPr>
            </w:pPr>
            <w:r>
              <w:rPr>
                <w:sz w:val="21"/>
              </w:rPr>
              <w:t>准</w:t>
            </w:r>
            <w:r>
              <w:rPr>
                <w:spacing w:val="-35"/>
                <w:sz w:val="21"/>
              </w:rPr>
              <w:t>）</w:t>
            </w:r>
            <w:r>
              <w:rPr>
                <w:spacing w:val="-14"/>
                <w:sz w:val="21"/>
              </w:rPr>
              <w:t>之日起 </w:t>
            </w:r>
            <w:r>
              <w:rPr>
                <w:sz w:val="21"/>
              </w:rPr>
              <w:t>180</w:t>
            </w:r>
            <w:r>
              <w:rPr>
                <w:spacing w:val="-10"/>
                <w:sz w:val="21"/>
              </w:rPr>
              <w:t> 日后因意外伤害以外的原因导致身故，本公司按该被保险人</w:t>
            </w:r>
          </w:p>
          <w:p>
            <w:pPr>
              <w:pStyle w:val="TableParagraph"/>
              <w:spacing w:line="278" w:lineRule="auto" w:before="44"/>
              <w:ind w:left="319" w:right="105"/>
              <w:rPr>
                <w:sz w:val="21"/>
              </w:rPr>
            </w:pPr>
            <w:r>
              <w:rPr>
                <w:sz w:val="21"/>
              </w:rPr>
              <w:t>对应的保险金额给付身故保险金，本公司对该被保险人的保险责任终止。</w:t>
            </w:r>
            <w:r>
              <w:rPr>
                <w:spacing w:val="-2"/>
                <w:sz w:val="21"/>
              </w:rPr>
              <w:t>若被保险人在本合同生效或最后一次复效</w:t>
            </w:r>
            <w:r>
              <w:rPr>
                <w:sz w:val="21"/>
              </w:rPr>
              <w:t>（以较迟者为准</w:t>
            </w:r>
            <w:r>
              <w:rPr>
                <w:spacing w:val="-35"/>
                <w:sz w:val="21"/>
              </w:rPr>
              <w:t>）</w:t>
            </w:r>
            <w:r>
              <w:rPr>
                <w:spacing w:val="-14"/>
                <w:sz w:val="21"/>
              </w:rPr>
              <w:t>之日起 </w:t>
            </w:r>
            <w:r>
              <w:rPr>
                <w:sz w:val="21"/>
              </w:rPr>
              <w:t>180</w:t>
            </w:r>
            <w:r>
              <w:rPr>
                <w:spacing w:val="-18"/>
                <w:sz w:val="21"/>
              </w:rPr>
              <w:t> 日内因意外伤害以外的原因导致身故，本公司按被保险人对应的已支付的保险费给付身故保险金，本公司对该被保险人的保险责任终止。</w:t>
            </w:r>
          </w:p>
        </w:tc>
      </w:tr>
      <w:tr>
        <w:trPr>
          <w:trHeight w:val="5312" w:hRule="atLeast"/>
        </w:trPr>
        <w:tc>
          <w:tcPr>
            <w:tcW w:w="705" w:type="dxa"/>
          </w:tcPr>
          <w:p>
            <w:pPr>
              <w:pStyle w:val="TableParagraph"/>
              <w:spacing w:before="54"/>
              <w:ind w:left="107"/>
              <w:rPr>
                <w:rFonts w:ascii="黑体"/>
                <w:sz w:val="21"/>
              </w:rPr>
            </w:pPr>
            <w:r>
              <w:rPr>
                <w:rFonts w:ascii="黑体"/>
                <w:sz w:val="21"/>
              </w:rPr>
              <w:t>2.4</w:t>
            </w:r>
          </w:p>
        </w:tc>
        <w:tc>
          <w:tcPr>
            <w:tcW w:w="1862" w:type="dxa"/>
          </w:tcPr>
          <w:p>
            <w:pPr>
              <w:pStyle w:val="TableParagraph"/>
              <w:spacing w:before="54"/>
              <w:ind w:left="280"/>
              <w:rPr>
                <w:rFonts w:ascii="黑体" w:eastAsia="黑体" w:hint="eastAsia"/>
                <w:sz w:val="21"/>
              </w:rPr>
            </w:pPr>
            <w:r>
              <w:rPr>
                <w:rFonts w:ascii="黑体" w:eastAsia="黑体" w:hint="eastAsia"/>
                <w:sz w:val="21"/>
              </w:rPr>
              <w:t>责任免除</w:t>
            </w:r>
          </w:p>
        </w:tc>
        <w:tc>
          <w:tcPr>
            <w:tcW w:w="7287" w:type="dxa"/>
          </w:tcPr>
          <w:p>
            <w:pPr>
              <w:pStyle w:val="TableParagraph"/>
              <w:spacing w:line="280" w:lineRule="auto" w:before="54"/>
              <w:ind w:left="319" w:right="176"/>
              <w:jc w:val="both"/>
              <w:rPr>
                <w:sz w:val="21"/>
              </w:rPr>
            </w:pPr>
            <w:r>
              <w:rPr>
                <w:sz w:val="21"/>
                <w:shd w:fill="D9D9D9" w:color="auto" w:val="clear"/>
              </w:rPr>
              <w:t>因下列第(1)至(7)项情形之一导致被保险人身故的，或因下列第(2)至(8) 项情形之一导致被保险人发生疾病、达到疾病状态或进行手术的，本公司不承担给付保险金的责任：</w:t>
            </w:r>
          </w:p>
          <w:p>
            <w:pPr>
              <w:pStyle w:val="TableParagraph"/>
              <w:spacing w:line="280" w:lineRule="auto" w:before="8"/>
              <w:ind w:left="319" w:right="181"/>
              <w:rPr>
                <w:sz w:val="21"/>
              </w:rPr>
            </w:pPr>
            <w:r>
              <w:rPr>
                <w:sz w:val="21"/>
                <w:shd w:fill="D9D9D9" w:color="auto" w:val="clear"/>
              </w:rPr>
              <w:t>(1)</w:t>
            </w:r>
            <w:r>
              <w:rPr>
                <w:spacing w:val="-3"/>
                <w:sz w:val="21"/>
                <w:shd w:fill="D9D9D9" w:color="auto" w:val="clear"/>
              </w:rPr>
              <w:t>被保险人自本合同成立或本合同效力恢复之日起 </w:t>
            </w:r>
            <w:r>
              <w:rPr>
                <w:sz w:val="21"/>
                <w:shd w:fill="D9D9D9" w:color="auto" w:val="clear"/>
              </w:rPr>
              <w:t>2</w:t>
            </w:r>
            <w:r>
              <w:rPr>
                <w:spacing w:val="-13"/>
                <w:sz w:val="21"/>
                <w:shd w:fill="D9D9D9" w:color="auto" w:val="clear"/>
              </w:rPr>
              <w:t> 年内自杀，但被保险人自杀时为无民事行为能力人的除外；</w:t>
            </w:r>
            <w:r>
              <w:rPr>
                <w:spacing w:val="-13"/>
                <w:sz w:val="21"/>
              </w:rPr>
              <w:t> </w:t>
            </w:r>
            <w:r>
              <w:rPr>
                <w:spacing w:val="-13"/>
                <w:sz w:val="21"/>
                <w:shd w:fill="D9D9D9" w:color="auto" w:val="clear"/>
              </w:rPr>
              <w:t>                           </w:t>
            </w:r>
            <w:r>
              <w:rPr>
                <w:spacing w:val="-1"/>
                <w:sz w:val="21"/>
                <w:shd w:fill="D9D9D9" w:color="auto" w:val="clear"/>
              </w:rPr>
              <w:t>(2)被保险人故意自伤、故意犯罪或者抗拒依法采取的刑事强制措施；</w:t>
            </w:r>
          </w:p>
          <w:p>
            <w:pPr>
              <w:pStyle w:val="TableParagraph"/>
              <w:spacing w:line="288" w:lineRule="exact"/>
              <w:ind w:left="319"/>
              <w:rPr>
                <w:sz w:val="21"/>
              </w:rPr>
            </w:pPr>
            <w:r>
              <w:rPr>
                <w:sz w:val="21"/>
                <w:shd w:fill="D9D9D9" w:color="auto" w:val="clear"/>
              </w:rPr>
              <w:t>(3)被保险人服用、吸食或注射</w:t>
            </w:r>
            <w:r>
              <w:rPr>
                <w:rFonts w:ascii="微软雅黑" w:eastAsia="微软雅黑" w:hint="eastAsia"/>
                <w:b/>
                <w:sz w:val="21"/>
                <w:shd w:fill="D9D9D9" w:color="auto" w:val="clear"/>
              </w:rPr>
              <w:t>毒品</w:t>
            </w:r>
            <w:r>
              <w:rPr>
                <w:sz w:val="21"/>
                <w:shd w:fill="D9D9D9" w:color="auto" w:val="clear"/>
              </w:rPr>
              <w:t>；</w:t>
            </w:r>
          </w:p>
          <w:p>
            <w:pPr>
              <w:pStyle w:val="TableParagraph"/>
              <w:spacing w:line="211" w:lineRule="auto" w:before="22"/>
              <w:ind w:left="319" w:right="106"/>
              <w:rPr>
                <w:sz w:val="21"/>
              </w:rPr>
            </w:pPr>
            <w:r>
              <w:rPr>
                <w:sz w:val="21"/>
                <w:shd w:fill="D9D9D9" w:color="auto" w:val="clear"/>
              </w:rPr>
              <w:t>(4)被保险人</w:t>
            </w:r>
            <w:r>
              <w:rPr>
                <w:rFonts w:ascii="微软雅黑" w:eastAsia="微软雅黑" w:hint="eastAsia"/>
                <w:b/>
                <w:sz w:val="21"/>
                <w:shd w:fill="D9D9D9" w:color="auto" w:val="clear"/>
              </w:rPr>
              <w:t>酒后驾驶</w:t>
            </w:r>
            <w:r>
              <w:rPr>
                <w:sz w:val="21"/>
                <w:shd w:fill="D9D9D9" w:color="auto" w:val="clear"/>
              </w:rPr>
              <w:t>，</w:t>
            </w:r>
            <w:r>
              <w:rPr>
                <w:rFonts w:ascii="微软雅黑" w:eastAsia="微软雅黑" w:hint="eastAsia"/>
                <w:b/>
                <w:sz w:val="21"/>
                <w:shd w:fill="D9D9D9" w:color="auto" w:val="clear"/>
              </w:rPr>
              <w:t>无合法有效驾驶证驾驶</w:t>
            </w:r>
            <w:r>
              <w:rPr>
                <w:sz w:val="21"/>
                <w:shd w:fill="D9D9D9" w:color="auto" w:val="clear"/>
              </w:rPr>
              <w:t>，或驾驶</w:t>
            </w:r>
            <w:r>
              <w:rPr>
                <w:rFonts w:ascii="微软雅黑" w:eastAsia="微软雅黑" w:hint="eastAsia"/>
                <w:b/>
                <w:sz w:val="21"/>
                <w:shd w:fill="D9D9D9" w:color="auto" w:val="clear"/>
              </w:rPr>
              <w:t>无有效行驶证</w:t>
            </w:r>
            <w:r>
              <w:rPr>
                <w:sz w:val="21"/>
                <w:shd w:fill="D9D9D9" w:color="auto" w:val="clear"/>
              </w:rPr>
              <w:t>的</w:t>
            </w:r>
            <w:r>
              <w:rPr>
                <w:rFonts w:ascii="微软雅黑" w:eastAsia="微软雅黑" w:hint="eastAsia"/>
                <w:b/>
                <w:sz w:val="21"/>
                <w:shd w:fill="D9D9D9" w:color="auto" w:val="clear"/>
              </w:rPr>
              <w:t>机动车</w:t>
            </w:r>
            <w:r>
              <w:rPr>
                <w:sz w:val="21"/>
                <w:shd w:fill="D9D9D9" w:color="auto" w:val="clear"/>
              </w:rPr>
              <w:t>；</w:t>
            </w:r>
          </w:p>
          <w:p>
            <w:pPr>
              <w:pStyle w:val="TableParagraph"/>
              <w:spacing w:line="320" w:lineRule="exact" w:before="8"/>
              <w:ind w:left="319" w:right="966"/>
              <w:rPr>
                <w:sz w:val="21"/>
              </w:rPr>
            </w:pPr>
            <w:r>
              <w:rPr>
                <w:sz w:val="21"/>
                <w:shd w:fill="D9D9D9" w:color="auto" w:val="clear"/>
              </w:rPr>
              <w:t>(5)被保险人所患</w:t>
            </w:r>
            <w:r>
              <w:rPr>
                <w:rFonts w:ascii="微软雅黑" w:eastAsia="微软雅黑" w:hint="eastAsia"/>
                <w:b/>
                <w:sz w:val="21"/>
                <w:shd w:fill="D9D9D9" w:color="auto" w:val="clear"/>
              </w:rPr>
              <w:t>遗传性疾病</w:t>
            </w:r>
            <w:r>
              <w:rPr>
                <w:sz w:val="21"/>
                <w:shd w:fill="D9D9D9" w:color="auto" w:val="clear"/>
              </w:rPr>
              <w:t>，</w:t>
            </w:r>
            <w:r>
              <w:rPr>
                <w:rFonts w:ascii="微软雅黑" w:eastAsia="微软雅黑" w:hint="eastAsia"/>
                <w:b/>
                <w:sz w:val="21"/>
                <w:shd w:fill="D9D9D9" w:color="auto" w:val="clear"/>
              </w:rPr>
              <w:t>先天性畸形、变形或染色体异常</w:t>
            </w:r>
            <w:r>
              <w:rPr>
                <w:sz w:val="21"/>
                <w:shd w:fill="D9D9D9" w:color="auto" w:val="clear"/>
              </w:rPr>
              <w:t>；</w:t>
            </w:r>
            <w:r>
              <w:rPr>
                <w:sz w:val="21"/>
              </w:rPr>
              <w:t> </w:t>
            </w:r>
            <w:r>
              <w:rPr>
                <w:sz w:val="21"/>
                <w:shd w:fill="D9D9D9" w:color="auto" w:val="clear"/>
              </w:rPr>
              <w:t>(6)战争、军事冲突、暴乱或武装叛乱；</w:t>
            </w:r>
            <w:r>
              <w:rPr>
                <w:sz w:val="21"/>
              </w:rPr>
              <w:t> </w:t>
            </w:r>
            <w:r>
              <w:rPr>
                <w:sz w:val="21"/>
                <w:shd w:fill="D9D9D9" w:color="auto" w:val="clear"/>
              </w:rPr>
              <w:t>                   </w:t>
            </w:r>
            <w:r>
              <w:rPr>
                <w:spacing w:val="-1"/>
                <w:sz w:val="21"/>
                <w:shd w:fill="D9D9D9" w:color="auto" w:val="clear"/>
              </w:rPr>
              <w:t>(7)核爆炸、核辐射或核污染；</w:t>
            </w:r>
          </w:p>
          <w:p>
            <w:pPr>
              <w:pStyle w:val="TableParagraph"/>
              <w:spacing w:line="310" w:lineRule="exact"/>
              <w:ind w:left="319"/>
              <w:rPr>
                <w:sz w:val="21"/>
              </w:rPr>
            </w:pPr>
            <w:r>
              <w:rPr>
                <w:sz w:val="21"/>
                <w:shd w:fill="D9D9D9" w:color="auto" w:val="clear"/>
              </w:rPr>
              <w:t>(8)被保险人</w:t>
            </w:r>
            <w:r>
              <w:rPr>
                <w:rFonts w:ascii="微软雅黑" w:eastAsia="微软雅黑" w:hint="eastAsia"/>
                <w:b/>
                <w:sz w:val="21"/>
                <w:shd w:fill="D9D9D9" w:color="auto" w:val="clear"/>
              </w:rPr>
              <w:t>感染艾滋病病毒或患艾滋病</w:t>
            </w:r>
            <w:r>
              <w:rPr>
                <w:sz w:val="21"/>
                <w:shd w:fill="D9D9D9" w:color="auto" w:val="clear"/>
              </w:rPr>
              <w:t>期间。</w:t>
            </w:r>
          </w:p>
          <w:p>
            <w:pPr>
              <w:pStyle w:val="TableParagraph"/>
              <w:spacing w:before="20"/>
              <w:ind w:left="318"/>
              <w:rPr>
                <w:sz w:val="21"/>
              </w:rPr>
            </w:pPr>
            <w:r>
              <w:rPr>
                <w:sz w:val="21"/>
              </w:rPr>
              <w:t>发生上述情形导致被保险人被确诊发生本合同约定的重大疾病或导致被保</w:t>
            </w:r>
          </w:p>
          <w:p>
            <w:pPr>
              <w:pStyle w:val="TableParagraph"/>
              <w:spacing w:line="228" w:lineRule="auto" w:before="59"/>
              <w:ind w:left="318" w:right="105"/>
              <w:rPr>
                <w:sz w:val="21"/>
              </w:rPr>
            </w:pPr>
            <w:r>
              <w:rPr>
                <w:spacing w:val="-8"/>
                <w:sz w:val="21"/>
              </w:rPr>
              <w:t>险人身故的，本公司对该被保险人的保险责任终止，并向投保人退还相应的</w:t>
            </w:r>
            <w:r>
              <w:rPr>
                <w:rFonts w:ascii="微软雅黑" w:eastAsia="微软雅黑" w:hint="eastAsia"/>
                <w:b/>
                <w:spacing w:val="-8"/>
                <w:sz w:val="21"/>
              </w:rPr>
              <w:t>现金价值</w:t>
            </w:r>
            <w:r>
              <w:rPr>
                <w:spacing w:val="-8"/>
                <w:sz w:val="21"/>
              </w:rPr>
              <w:t>。</w:t>
            </w:r>
          </w:p>
        </w:tc>
      </w:tr>
      <w:tr>
        <w:trPr>
          <w:trHeight w:val="312" w:hRule="atLeast"/>
        </w:trPr>
        <w:tc>
          <w:tcPr>
            <w:tcW w:w="705" w:type="dxa"/>
            <w:shd w:val="clear" w:color="auto" w:fill="D3D3D3"/>
          </w:tcPr>
          <w:p>
            <w:pPr>
              <w:pStyle w:val="TableParagraph"/>
              <w:spacing w:before="4"/>
              <w:ind w:left="108"/>
              <w:rPr>
                <w:rFonts w:ascii="黑体" w:eastAsia="黑体" w:hint="eastAsia"/>
                <w:b/>
                <w:sz w:val="21"/>
              </w:rPr>
            </w:pPr>
            <w:r>
              <w:rPr>
                <w:rFonts w:ascii="黑体" w:eastAsia="黑体" w:hint="eastAsia"/>
                <w:b/>
                <w:sz w:val="21"/>
              </w:rPr>
              <w:t>3．</w:t>
            </w:r>
          </w:p>
        </w:tc>
        <w:tc>
          <w:tcPr>
            <w:tcW w:w="1862" w:type="dxa"/>
            <w:shd w:val="clear" w:color="auto" w:fill="D3D3D3"/>
          </w:tcPr>
          <w:p>
            <w:pPr>
              <w:pStyle w:val="TableParagraph"/>
              <w:spacing w:before="4"/>
              <w:ind w:left="280"/>
              <w:rPr>
                <w:rFonts w:ascii="黑体" w:eastAsia="黑体" w:hint="eastAsia"/>
                <w:b/>
                <w:sz w:val="21"/>
              </w:rPr>
            </w:pPr>
            <w:r>
              <w:rPr>
                <w:rFonts w:ascii="黑体" w:eastAsia="黑体" w:hint="eastAsia"/>
                <w:b/>
                <w:w w:val="95"/>
                <w:sz w:val="21"/>
              </w:rPr>
              <w:t>保险金的申请</w:t>
            </w:r>
          </w:p>
        </w:tc>
        <w:tc>
          <w:tcPr>
            <w:tcW w:w="7287" w:type="dxa"/>
            <w:shd w:val="clear" w:color="auto" w:fill="D3D3D3"/>
          </w:tcPr>
          <w:p>
            <w:pPr>
              <w:pStyle w:val="TableParagraph"/>
              <w:rPr>
                <w:rFonts w:ascii="Times New Roman"/>
                <w:sz w:val="20"/>
              </w:rPr>
            </w:pPr>
          </w:p>
        </w:tc>
      </w:tr>
      <w:tr>
        <w:trPr>
          <w:trHeight w:val="6313" w:hRule="atLeast"/>
        </w:trPr>
        <w:tc>
          <w:tcPr>
            <w:tcW w:w="705" w:type="dxa"/>
          </w:tcPr>
          <w:p>
            <w:pPr>
              <w:pStyle w:val="TableParagraph"/>
              <w:spacing w:before="146"/>
              <w:ind w:left="108"/>
              <w:rPr>
                <w:rFonts w:ascii="黑体"/>
                <w:sz w:val="21"/>
              </w:rPr>
            </w:pPr>
            <w:r>
              <w:rPr>
                <w:rFonts w:ascii="黑体"/>
                <w:sz w:val="21"/>
              </w:rPr>
              <w:t>3.1</w:t>
            </w:r>
          </w:p>
        </w:tc>
        <w:tc>
          <w:tcPr>
            <w:tcW w:w="1862" w:type="dxa"/>
          </w:tcPr>
          <w:p>
            <w:pPr>
              <w:pStyle w:val="TableParagraph"/>
              <w:spacing w:before="146"/>
              <w:ind w:left="280"/>
              <w:rPr>
                <w:rFonts w:ascii="黑体" w:eastAsia="黑体" w:hint="eastAsia"/>
                <w:sz w:val="21"/>
              </w:rPr>
            </w:pPr>
            <w:r>
              <w:rPr>
                <w:rFonts w:ascii="黑体" w:eastAsia="黑体" w:hint="eastAsia"/>
                <w:sz w:val="21"/>
              </w:rPr>
              <w:t>受益人</w:t>
            </w:r>
          </w:p>
        </w:tc>
        <w:tc>
          <w:tcPr>
            <w:tcW w:w="7287" w:type="dxa"/>
          </w:tcPr>
          <w:p>
            <w:pPr>
              <w:pStyle w:val="TableParagraph"/>
              <w:spacing w:before="146"/>
              <w:ind w:left="319"/>
              <w:rPr>
                <w:sz w:val="21"/>
              </w:rPr>
            </w:pPr>
            <w:r>
              <w:rPr>
                <w:sz w:val="21"/>
              </w:rPr>
              <w:t>投保人或者被保险人可以指定一人或多人为身故保险金受益人。</w:t>
            </w:r>
          </w:p>
          <w:p>
            <w:pPr>
              <w:pStyle w:val="TableParagraph"/>
              <w:spacing w:line="280" w:lineRule="auto" w:before="43"/>
              <w:ind w:left="319" w:right="31"/>
              <w:rPr>
                <w:sz w:val="21"/>
              </w:rPr>
            </w:pPr>
            <w:r>
              <w:rPr>
                <w:sz w:val="21"/>
              </w:rPr>
              <w:t>身故保险金受益人为多人时，可以确定受益顺序和受益份额；如果没有确定份额，各受益人按照相等份额享有受益权。</w:t>
            </w:r>
          </w:p>
          <w:p>
            <w:pPr>
              <w:pStyle w:val="TableParagraph"/>
              <w:spacing w:line="278" w:lineRule="auto" w:before="9"/>
              <w:ind w:left="319" w:right="31"/>
              <w:rPr>
                <w:sz w:val="21"/>
              </w:rPr>
            </w:pPr>
            <w:r>
              <w:rPr>
                <w:sz w:val="21"/>
              </w:rPr>
              <w:t>被保险人为无民事行为能力人或限制民事行为能力人的，可以由其监护人指定受益人。</w:t>
            </w:r>
          </w:p>
          <w:p>
            <w:pPr>
              <w:pStyle w:val="TableParagraph"/>
              <w:spacing w:line="278" w:lineRule="auto" w:before="12"/>
              <w:ind w:left="319" w:right="99"/>
              <w:jc w:val="both"/>
              <w:rPr>
                <w:sz w:val="21"/>
              </w:rPr>
            </w:pPr>
            <w:r>
              <w:rPr>
                <w:spacing w:val="-3"/>
                <w:sz w:val="21"/>
              </w:rPr>
              <w:t>投保人或者被保险人可以变更身故保险金受益人并书面通知本公司。本公司</w:t>
            </w:r>
            <w:r>
              <w:rPr>
                <w:sz w:val="21"/>
              </w:rPr>
              <w:t>收到变更受益人的书面通知后，在保险单或其他保险凭证上批注或附贴批单。</w:t>
            </w:r>
          </w:p>
          <w:p>
            <w:pPr>
              <w:pStyle w:val="TableParagraph"/>
              <w:spacing w:before="12"/>
              <w:ind w:left="319"/>
              <w:rPr>
                <w:sz w:val="21"/>
              </w:rPr>
            </w:pPr>
            <w:r>
              <w:rPr>
                <w:sz w:val="21"/>
              </w:rPr>
              <w:t>投保人在指定和变更身故保险金受益人时，必须经过被保险人同意。</w:t>
            </w:r>
          </w:p>
          <w:p>
            <w:pPr>
              <w:pStyle w:val="TableParagraph"/>
              <w:spacing w:line="278" w:lineRule="auto" w:before="45"/>
              <w:ind w:left="319" w:right="104"/>
              <w:rPr>
                <w:sz w:val="21"/>
              </w:rPr>
            </w:pPr>
            <w:r>
              <w:rPr>
                <w:spacing w:val="-6"/>
                <w:sz w:val="21"/>
              </w:rPr>
              <w:t>被保险人身故后，有下列情形之一的，保险金作为被保险人的遗产，由本公司依照《中华人民共和国继承法》的规定履行给付保险金的义务：     (1)没有指定受益人，或者受益人指定不明无法确定的；              (2)受益人先于被保险人身故，没有其他受益人的；                  </w:t>
            </w:r>
            <w:r>
              <w:rPr>
                <w:spacing w:val="-1"/>
                <w:sz w:val="21"/>
              </w:rPr>
              <w:t>(3)受益人依法丧失受益权或者放弃受益权，没有其他受益人的。</w:t>
            </w:r>
          </w:p>
          <w:p>
            <w:pPr>
              <w:pStyle w:val="TableParagraph"/>
              <w:spacing w:line="280" w:lineRule="auto" w:before="11"/>
              <w:ind w:left="319" w:right="31"/>
              <w:rPr>
                <w:sz w:val="21"/>
              </w:rPr>
            </w:pPr>
            <w:r>
              <w:rPr>
                <w:sz w:val="21"/>
              </w:rPr>
              <w:t>受益人与被保险人在同一事件中身故，且不能确定身故先后顺序的，推定受益人身故在先。</w:t>
            </w:r>
          </w:p>
          <w:p>
            <w:pPr>
              <w:pStyle w:val="TableParagraph"/>
              <w:spacing w:line="280" w:lineRule="auto" w:before="8"/>
              <w:ind w:left="319" w:right="31"/>
              <w:rPr>
                <w:sz w:val="21"/>
              </w:rPr>
            </w:pPr>
            <w:r>
              <w:rPr>
                <w:sz w:val="21"/>
              </w:rPr>
              <w:t>受益人故意造成被保险人身故、伤残、疾病的，或者故意杀害被保险人未遂的，该受益人丧失受益权。</w:t>
            </w:r>
          </w:p>
          <w:p>
            <w:pPr>
              <w:pStyle w:val="TableParagraph"/>
              <w:spacing w:before="9"/>
              <w:ind w:left="319"/>
              <w:rPr>
                <w:sz w:val="21"/>
              </w:rPr>
            </w:pPr>
            <w:r>
              <w:rPr>
                <w:sz w:val="21"/>
              </w:rPr>
              <w:t>除另有指定外，重大疾病保险金的受益人为被保险人本人。</w:t>
            </w:r>
          </w:p>
        </w:tc>
      </w:tr>
      <w:tr>
        <w:trPr>
          <w:trHeight w:val="335" w:hRule="atLeast"/>
        </w:trPr>
        <w:tc>
          <w:tcPr>
            <w:tcW w:w="705" w:type="dxa"/>
          </w:tcPr>
          <w:p>
            <w:pPr>
              <w:pStyle w:val="TableParagraph"/>
              <w:spacing w:line="261" w:lineRule="exact" w:before="54"/>
              <w:ind w:left="108"/>
              <w:rPr>
                <w:rFonts w:ascii="黑体"/>
                <w:sz w:val="21"/>
              </w:rPr>
            </w:pPr>
            <w:r>
              <w:rPr>
                <w:rFonts w:ascii="黑体"/>
                <w:sz w:val="21"/>
              </w:rPr>
              <w:t>3.2</w:t>
            </w:r>
          </w:p>
        </w:tc>
        <w:tc>
          <w:tcPr>
            <w:tcW w:w="1862" w:type="dxa"/>
          </w:tcPr>
          <w:p>
            <w:pPr>
              <w:pStyle w:val="TableParagraph"/>
              <w:spacing w:line="261" w:lineRule="exact" w:before="54"/>
              <w:ind w:left="280"/>
              <w:rPr>
                <w:rFonts w:ascii="黑体" w:eastAsia="黑体" w:hint="eastAsia"/>
                <w:sz w:val="21"/>
              </w:rPr>
            </w:pPr>
            <w:r>
              <w:rPr>
                <w:rFonts w:ascii="黑体" w:eastAsia="黑体" w:hint="eastAsia"/>
                <w:sz w:val="21"/>
              </w:rPr>
              <w:t>保险事故通知</w:t>
            </w:r>
          </w:p>
        </w:tc>
        <w:tc>
          <w:tcPr>
            <w:tcW w:w="7287" w:type="dxa"/>
          </w:tcPr>
          <w:p>
            <w:pPr>
              <w:pStyle w:val="TableParagraph"/>
              <w:spacing w:line="261" w:lineRule="exact" w:before="54"/>
              <w:ind w:left="319"/>
              <w:rPr>
                <w:sz w:val="21"/>
              </w:rPr>
            </w:pPr>
            <w:r>
              <w:rPr>
                <w:sz w:val="21"/>
              </w:rPr>
              <w:t>投保人或受益人知道保险事故后应当在 10 日内通知本公司。</w:t>
            </w:r>
          </w:p>
        </w:tc>
      </w:tr>
    </w:tbl>
    <w:p>
      <w:pPr>
        <w:spacing w:after="0" w:line="261" w:lineRule="exact"/>
        <w:rPr>
          <w:sz w:val="21"/>
        </w:rPr>
        <w:sectPr>
          <w:pgSz w:w="11910" w:h="16840"/>
          <w:pgMar w:top="1500" w:bottom="280" w:left="920" w:right="920"/>
        </w:sectPr>
      </w:pPr>
    </w:p>
    <w:p>
      <w:pPr>
        <w:pStyle w:val="BodyText"/>
        <w:spacing w:line="278" w:lineRule="auto" w:before="8"/>
        <w:ind w:left="2892" w:right="163"/>
        <w:jc w:val="both"/>
      </w:pPr>
      <w:r>
        <w:rPr>
          <w:shd w:fill="D9D9D9" w:color="auto" w:val="clear"/>
        </w:rPr>
        <w:t>如果投保人或受益人故意或者因重大过失未及时通知，致使保险事故的性</w:t>
      </w:r>
      <w:r>
        <w:rPr>
          <w:spacing w:val="-193"/>
          <w:shd w:fill="D9D9D9" w:color="auto" w:val="clear"/>
        </w:rPr>
        <w:t>质</w:t>
      </w:r>
      <w:r>
        <w:rPr>
          <w:spacing w:val="-8"/>
          <w:shd w:fill="D9D9D9" w:color="auto" w:val="clear"/>
        </w:rPr>
        <w:t>、原因、损失程度等难以确定的，本公司对无法确定的部分，不承担给付 </w:t>
      </w:r>
      <w:r>
        <w:rPr>
          <w:spacing w:val="-17"/>
          <w:shd w:fill="D9D9D9" w:color="auto" w:val="clear"/>
        </w:rPr>
        <w:t>保险金的责任，</w:t>
      </w:r>
      <w:r>
        <w:rPr/>
        <w:t>但本公司通过其他途径已经及时知道或者应当及时知道保险</w:t>
      </w:r>
      <w:r>
        <w:rPr>
          <w:spacing w:val="-4"/>
        </w:rPr>
        <w:t>事故发生或者虽未及时通知但不影响本公司确定保险事故的性质、原因、损失程度的除外。</w:t>
      </w:r>
    </w:p>
    <w:p>
      <w:pPr>
        <w:pStyle w:val="ListParagraph"/>
        <w:numPr>
          <w:ilvl w:val="1"/>
          <w:numId w:val="9"/>
        </w:numPr>
        <w:tabs>
          <w:tab w:pos="991" w:val="left" w:leader="none"/>
          <w:tab w:pos="992" w:val="left" w:leader="none"/>
          <w:tab w:pos="2891" w:val="left" w:leader="none"/>
        </w:tabs>
        <w:spacing w:line="240" w:lineRule="auto" w:before="153" w:after="0"/>
        <w:ind w:left="2891" w:right="0" w:hanging="2778"/>
        <w:jc w:val="left"/>
        <w:rPr>
          <w:sz w:val="21"/>
        </w:rPr>
      </w:pPr>
      <w:r>
        <w:rPr>
          <w:rFonts w:ascii="黑体" w:eastAsia="黑体" w:hint="eastAsia"/>
          <w:sz w:val="21"/>
        </w:rPr>
        <w:t>保险金申请</w:t>
        <w:tab/>
      </w:r>
      <w:r>
        <w:rPr>
          <w:sz w:val="21"/>
        </w:rPr>
        <w:t>在申请保险金时，请按照下列方式办理：</w:t>
      </w:r>
    </w:p>
    <w:p>
      <w:pPr>
        <w:pStyle w:val="BodyText"/>
        <w:spacing w:before="2"/>
        <w:ind w:left="0"/>
        <w:rPr>
          <w:sz w:val="11"/>
        </w:rPr>
      </w:pPr>
    </w:p>
    <w:p>
      <w:pPr>
        <w:spacing w:after="0"/>
        <w:rPr>
          <w:sz w:val="11"/>
        </w:rPr>
        <w:sectPr>
          <w:pgSz w:w="11910" w:h="16840"/>
          <w:pgMar w:top="1420" w:bottom="280" w:left="1020" w:right="960"/>
        </w:sectPr>
      </w:pPr>
    </w:p>
    <w:p>
      <w:pPr>
        <w:pStyle w:val="BodyText"/>
        <w:spacing w:line="280" w:lineRule="auto" w:before="41"/>
        <w:ind w:left="991"/>
      </w:pPr>
      <w:r>
        <w:rPr/>
        <w:t>重大疾病保险金申请</w:t>
      </w:r>
    </w:p>
    <w:p>
      <w:pPr>
        <w:pStyle w:val="BodyText"/>
        <w:spacing w:line="280" w:lineRule="auto" w:before="41"/>
        <w:ind w:left="180" w:right="1558"/>
      </w:pPr>
      <w:r>
        <w:rPr/>
        <w:br w:type="column"/>
      </w:r>
      <w:r>
        <w:rPr/>
        <w:t>受益人须填写保险金给付申请书，并提供下列证明和资料： (1)保险合同或保险凭证；</w:t>
      </w:r>
    </w:p>
    <w:p>
      <w:pPr>
        <w:pStyle w:val="BodyText"/>
        <w:spacing w:line="320" w:lineRule="exact"/>
        <w:ind w:left="180" w:right="167"/>
      </w:pPr>
      <w:r>
        <w:rPr/>
        <w:t>(2)受益人的</w:t>
      </w:r>
      <w:r>
        <w:rPr>
          <w:rFonts w:ascii="微软雅黑" w:eastAsia="微软雅黑" w:hint="eastAsia"/>
          <w:b/>
        </w:rPr>
        <w:t>有效身份证件</w:t>
      </w:r>
      <w:r>
        <w:rPr/>
        <w:t>；                                      (3)卫生行政部门认定的二级以上医院出具的附有病理显微镜检查、血液检</w:t>
      </w:r>
    </w:p>
    <w:p>
      <w:pPr>
        <w:pStyle w:val="BodyText"/>
        <w:spacing w:line="280" w:lineRule="auto" w:before="12"/>
        <w:ind w:left="180" w:right="416"/>
      </w:pPr>
      <w:r>
        <w:rPr/>
        <w:t>验及其它科学方法检验报告的疾病诊断证明书；                   </w:t>
      </w:r>
      <w:r>
        <w:rPr>
          <w:spacing w:val="-1"/>
        </w:rPr>
        <w:t>(4)所能提供的与确认保险事故的性质、原因等有关的其他证明和资料。</w:t>
      </w:r>
    </w:p>
    <w:p>
      <w:pPr>
        <w:spacing w:after="0" w:line="280" w:lineRule="auto"/>
        <w:sectPr>
          <w:type w:val="continuous"/>
          <w:pgSz w:w="11910" w:h="16840"/>
          <w:pgMar w:top="200" w:bottom="280" w:left="1020" w:right="960"/>
          <w:cols w:num="2" w:equalWidth="0">
            <w:col w:w="2672" w:space="40"/>
            <w:col w:w="7218"/>
          </w:cols>
        </w:sectPr>
      </w:pPr>
    </w:p>
    <w:p>
      <w:pPr>
        <w:pStyle w:val="BodyText"/>
        <w:spacing w:before="5"/>
        <w:ind w:left="0"/>
        <w:rPr>
          <w:sz w:val="8"/>
        </w:rPr>
      </w:pPr>
    </w:p>
    <w:p>
      <w:pPr>
        <w:pStyle w:val="BodyText"/>
        <w:tabs>
          <w:tab w:pos="2891" w:val="left" w:leader="none"/>
        </w:tabs>
        <w:spacing w:line="278" w:lineRule="auto" w:before="41"/>
        <w:ind w:left="2891" w:right="1570" w:hanging="1901"/>
      </w:pPr>
      <w:r>
        <w:rPr/>
        <w:t>身故保险金申请</w:t>
        <w:tab/>
        <w:t>受益人须填写保险金给付申请书，并提供下列证明和资料： </w:t>
      </w:r>
      <w:r>
        <w:rPr>
          <w:spacing w:val="-1"/>
        </w:rPr>
        <w:t>(1)保险合同或保险凭证；</w:t>
      </w:r>
    </w:p>
    <w:p>
      <w:pPr>
        <w:pStyle w:val="BodyText"/>
        <w:spacing w:before="11"/>
        <w:ind w:left="2891"/>
      </w:pPr>
      <w:r>
        <w:rPr/>
        <w:t>(2)受益人的有效身份证件；</w:t>
      </w:r>
    </w:p>
    <w:p>
      <w:pPr>
        <w:pStyle w:val="BodyText"/>
        <w:spacing w:line="278" w:lineRule="auto" w:before="45"/>
        <w:ind w:left="2913" w:right="170"/>
      </w:pPr>
      <w:r>
        <w:rPr/>
        <w:t>(3)卫生行政部门认定的医疗机构、公安部门或其他相关机构出具的被保险人的死亡证明；</w:t>
      </w:r>
    </w:p>
    <w:p>
      <w:pPr>
        <w:pStyle w:val="BodyText"/>
        <w:spacing w:line="280" w:lineRule="auto" w:before="12"/>
        <w:ind w:left="2891" w:right="416"/>
      </w:pPr>
      <w:r>
        <w:rPr/>
        <w:t>(4)被保险人的户籍注销证明；                                  </w:t>
      </w:r>
      <w:r>
        <w:rPr>
          <w:spacing w:val="-1"/>
        </w:rPr>
        <w:t>(5)所能提供的与确认保险事故的性质、原因等有关的其他证明和资料。</w:t>
      </w:r>
    </w:p>
    <w:p>
      <w:pPr>
        <w:pStyle w:val="BodyText"/>
        <w:spacing w:before="8"/>
        <w:ind w:left="2891"/>
      </w:pPr>
      <w:r>
        <w:rPr/>
        <w:t>保险金作为被保险人遗产时，必须提供可证明合法继承权的相关权利文件。</w:t>
      </w:r>
    </w:p>
    <w:p>
      <w:pPr>
        <w:pStyle w:val="BodyText"/>
        <w:spacing w:before="3"/>
        <w:ind w:left="0"/>
        <w:rPr>
          <w:sz w:val="14"/>
        </w:rPr>
      </w:pPr>
    </w:p>
    <w:p>
      <w:pPr>
        <w:pStyle w:val="BodyText"/>
        <w:spacing w:line="280" w:lineRule="auto"/>
        <w:ind w:left="2891" w:right="99"/>
      </w:pPr>
      <w:r>
        <w:rPr/>
        <w:t>以上各项保险金申请的证明和资料不完整的，本公司将及时一次性通知受益人补充提供有关证明和资料。</w:t>
      </w:r>
    </w:p>
    <w:p>
      <w:pPr>
        <w:pStyle w:val="ListParagraph"/>
        <w:numPr>
          <w:ilvl w:val="1"/>
          <w:numId w:val="9"/>
        </w:numPr>
        <w:tabs>
          <w:tab w:pos="991" w:val="left" w:leader="none"/>
        </w:tabs>
        <w:spacing w:line="278" w:lineRule="auto" w:before="151" w:after="0"/>
        <w:ind w:left="2891" w:right="169" w:hanging="2778"/>
        <w:jc w:val="both"/>
        <w:rPr>
          <w:sz w:val="21"/>
        </w:rPr>
      </w:pPr>
      <w:r>
        <w:rPr>
          <w:rFonts w:ascii="黑体" w:eastAsia="黑体" w:hint="eastAsia"/>
          <w:sz w:val="21"/>
        </w:rPr>
        <w:t>保险金给付       </w:t>
      </w:r>
      <w:r>
        <w:rPr>
          <w:spacing w:val="-5"/>
          <w:sz w:val="21"/>
        </w:rPr>
        <w:t>本公司在收到保险金给付申请书及合同约定的证明和资料后，将在 </w:t>
      </w:r>
      <w:r>
        <w:rPr>
          <w:sz w:val="21"/>
        </w:rPr>
        <w:t>5</w:t>
      </w:r>
      <w:r>
        <w:rPr>
          <w:spacing w:val="-14"/>
          <w:sz w:val="21"/>
        </w:rPr>
        <w:t> 日内作</w:t>
      </w:r>
      <w:r>
        <w:rPr>
          <w:spacing w:val="-16"/>
          <w:sz w:val="21"/>
        </w:rPr>
        <w:t>出核定；情形复杂的，在 </w:t>
      </w:r>
      <w:r>
        <w:rPr>
          <w:sz w:val="21"/>
        </w:rPr>
        <w:t>30</w:t>
      </w:r>
      <w:r>
        <w:rPr>
          <w:spacing w:val="-6"/>
          <w:sz w:val="21"/>
        </w:rPr>
        <w:t> 日内作出核定。对属于保险责任的，本公司在</w:t>
      </w:r>
      <w:r>
        <w:rPr>
          <w:spacing w:val="-10"/>
          <w:sz w:val="21"/>
        </w:rPr>
        <w:t>与受益人达成给付保险金的协议后 </w:t>
      </w:r>
      <w:r>
        <w:rPr>
          <w:sz w:val="21"/>
        </w:rPr>
        <w:t>10</w:t>
      </w:r>
      <w:r>
        <w:rPr>
          <w:spacing w:val="-9"/>
          <w:sz w:val="21"/>
        </w:rPr>
        <w:t> 日内，履行给付保险金义务。</w:t>
      </w:r>
    </w:p>
    <w:p>
      <w:pPr>
        <w:pStyle w:val="BodyText"/>
        <w:spacing w:line="278" w:lineRule="auto" w:before="11"/>
        <w:ind w:left="2891" w:right="170"/>
        <w:jc w:val="both"/>
      </w:pPr>
      <w:r>
        <w:rPr>
          <w:spacing w:val="-5"/>
        </w:rPr>
        <w:t>本公司未及时履行前款规定义务的，除支付保险金外，应当赔偿受益人因此</w:t>
      </w:r>
      <w:r>
        <w:rPr>
          <w:spacing w:val="-10"/>
        </w:rPr>
        <w:t>受到的损失。前述“损失”是指根据中国人民银行公布的同时期的人民币活期存款基准利率计算的利息损失。</w:t>
      </w:r>
    </w:p>
    <w:p>
      <w:pPr>
        <w:pStyle w:val="BodyText"/>
        <w:spacing w:line="280" w:lineRule="auto" w:before="11"/>
        <w:ind w:left="2891" w:right="170"/>
      </w:pPr>
      <w:r>
        <w:rPr>
          <w:spacing w:val="-10"/>
        </w:rPr>
        <w:t>对不属于保险责任的，本公司自作出核定之日起 </w:t>
      </w:r>
      <w:r>
        <w:rPr/>
        <w:t>3</w:t>
      </w:r>
      <w:r>
        <w:rPr>
          <w:spacing w:val="-8"/>
        </w:rPr>
        <w:t> 日内向受益人发出拒绝给付保险金通知书并说明理由。</w:t>
      </w:r>
    </w:p>
    <w:p>
      <w:pPr>
        <w:pStyle w:val="BodyText"/>
        <w:spacing w:line="280" w:lineRule="auto" w:before="8"/>
        <w:ind w:left="2891" w:right="100"/>
      </w:pPr>
      <w:r>
        <w:rPr>
          <w:spacing w:val="-2"/>
        </w:rPr>
        <w:t>本公司在收到保险金给付申请书及有关证明和资料之日起 </w:t>
      </w:r>
      <w:r>
        <w:rPr/>
        <w:t>60</w:t>
      </w:r>
      <w:r>
        <w:rPr>
          <w:spacing w:val="-8"/>
        </w:rPr>
        <w:t> 日内，对给付保险金的数额不能确定的，根据已有证明和资料可以确定的数额先予支付； 本公司最终确定给付保险金的数额后，将支付相应的差额。</w:t>
      </w:r>
    </w:p>
    <w:p>
      <w:pPr>
        <w:pStyle w:val="ListParagraph"/>
        <w:numPr>
          <w:ilvl w:val="1"/>
          <w:numId w:val="9"/>
        </w:numPr>
        <w:tabs>
          <w:tab w:pos="992" w:val="left" w:leader="none"/>
        </w:tabs>
        <w:spacing w:line="278" w:lineRule="auto" w:before="151" w:after="0"/>
        <w:ind w:left="2891" w:right="170" w:hanging="2778"/>
        <w:jc w:val="both"/>
        <w:rPr>
          <w:sz w:val="21"/>
        </w:rPr>
      </w:pPr>
      <w:r>
        <w:rPr>
          <w:rFonts w:ascii="黑体" w:eastAsia="黑体" w:hint="eastAsia"/>
          <w:sz w:val="21"/>
        </w:rPr>
        <w:t>宣告死亡处理     </w:t>
      </w:r>
      <w:r>
        <w:rPr>
          <w:spacing w:val="-5"/>
          <w:sz w:val="21"/>
        </w:rPr>
        <w:t>如果被保险人在本合同有效期内失踪，而且被法院宣告死亡，本公司以法院</w:t>
      </w:r>
      <w:r>
        <w:rPr>
          <w:spacing w:val="-9"/>
          <w:sz w:val="21"/>
        </w:rPr>
        <w:t>判决宣告死亡之日作为被保险人的死亡时间，符合本合同约定的以死亡为保</w:t>
      </w:r>
      <w:r>
        <w:rPr>
          <w:spacing w:val="-1"/>
          <w:sz w:val="21"/>
        </w:rPr>
        <w:t>险金给付条件的，按本合同的约定给付保险金，本合同终止。</w:t>
      </w:r>
    </w:p>
    <w:p>
      <w:pPr>
        <w:pStyle w:val="BodyText"/>
        <w:spacing w:line="278" w:lineRule="auto" w:before="12"/>
        <w:ind w:left="2891" w:right="169"/>
        <w:jc w:val="both"/>
      </w:pPr>
      <w:r>
        <w:rPr>
          <w:spacing w:val="-3"/>
        </w:rPr>
        <w:t>如果被保险人在宣告死亡后重新出现或者确知其没有死亡，保险金受益人应</w:t>
      </w:r>
      <w:r>
        <w:rPr>
          <w:spacing w:val="-7"/>
        </w:rPr>
        <w:t>于知道或应当知道后 </w:t>
      </w:r>
      <w:r>
        <w:rPr/>
        <w:t>30</w:t>
      </w:r>
      <w:r>
        <w:rPr>
          <w:spacing w:val="-6"/>
        </w:rPr>
        <w:t> 日内向本公司退还已给付的保险金，退还后本合同的效力由本公司和投保人依法协商确定。</w:t>
      </w:r>
    </w:p>
    <w:p>
      <w:pPr>
        <w:pStyle w:val="ListParagraph"/>
        <w:numPr>
          <w:ilvl w:val="1"/>
          <w:numId w:val="9"/>
        </w:numPr>
        <w:tabs>
          <w:tab w:pos="991" w:val="left" w:leader="none"/>
          <w:tab w:pos="992" w:val="left" w:leader="none"/>
          <w:tab w:pos="2891" w:val="left" w:leader="none"/>
        </w:tabs>
        <w:spacing w:line="240" w:lineRule="auto" w:before="153" w:after="0"/>
        <w:ind w:left="991" w:right="0" w:hanging="878"/>
        <w:jc w:val="left"/>
        <w:rPr>
          <w:sz w:val="21"/>
        </w:rPr>
      </w:pPr>
      <w:r>
        <w:rPr>
          <w:rFonts w:ascii="黑体" w:eastAsia="黑体" w:hint="eastAsia"/>
          <w:sz w:val="21"/>
        </w:rPr>
        <w:t>诉讼时效</w:t>
        <w:tab/>
      </w:r>
      <w:r>
        <w:rPr>
          <w:sz w:val="21"/>
        </w:rPr>
        <w:t>受益人向本公司请求给付保险金的诉讼时效期间为</w:t>
      </w:r>
      <w:r>
        <w:rPr>
          <w:spacing w:val="-53"/>
          <w:sz w:val="21"/>
        </w:rPr>
        <w:t> </w:t>
      </w:r>
      <w:r>
        <w:rPr>
          <w:sz w:val="21"/>
        </w:rPr>
        <w:t>2</w:t>
      </w:r>
      <w:r>
        <w:rPr>
          <w:spacing w:val="-53"/>
          <w:sz w:val="21"/>
        </w:rPr>
        <w:t> </w:t>
      </w:r>
      <w:r>
        <w:rPr>
          <w:sz w:val="21"/>
        </w:rPr>
        <w:t>年</w:t>
      </w:r>
      <w:r>
        <w:rPr>
          <w:spacing w:val="-70"/>
          <w:sz w:val="21"/>
        </w:rPr>
        <w:t>，</w:t>
      </w:r>
      <w:r>
        <w:rPr>
          <w:sz w:val="21"/>
        </w:rPr>
        <w:t>自其知道或者应当</w:t>
      </w:r>
    </w:p>
    <w:p>
      <w:pPr>
        <w:spacing w:after="0" w:line="240" w:lineRule="auto"/>
        <w:jc w:val="left"/>
        <w:rPr>
          <w:sz w:val="21"/>
        </w:rPr>
        <w:sectPr>
          <w:type w:val="continuous"/>
          <w:pgSz w:w="11910" w:h="16840"/>
          <w:pgMar w:top="200" w:bottom="280" w:left="1020" w:right="96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5"/>
        <w:gridCol w:w="1968"/>
        <w:gridCol w:w="7181"/>
      </w:tblGrid>
      <w:tr>
        <w:trPr>
          <w:trHeight w:val="528" w:hRule="atLeast"/>
        </w:trPr>
        <w:tc>
          <w:tcPr>
            <w:tcW w:w="2673" w:type="dxa"/>
            <w:gridSpan w:val="2"/>
          </w:tcPr>
          <w:p>
            <w:pPr>
              <w:pStyle w:val="TableParagraph"/>
              <w:rPr>
                <w:rFonts w:ascii="Times New Roman"/>
                <w:sz w:val="20"/>
              </w:rPr>
            </w:pPr>
          </w:p>
        </w:tc>
        <w:tc>
          <w:tcPr>
            <w:tcW w:w="7181" w:type="dxa"/>
          </w:tcPr>
          <w:p>
            <w:pPr>
              <w:pStyle w:val="TableParagraph"/>
              <w:spacing w:line="204" w:lineRule="exact"/>
              <w:ind w:left="213"/>
              <w:rPr>
                <w:sz w:val="21"/>
              </w:rPr>
            </w:pPr>
            <w:r>
              <w:rPr>
                <w:sz w:val="21"/>
              </w:rPr>
              <w:t>知道保险事故发生之日起计算。</w:t>
            </w:r>
          </w:p>
        </w:tc>
      </w:tr>
      <w:tr>
        <w:trPr>
          <w:trHeight w:val="320" w:hRule="atLeast"/>
        </w:trPr>
        <w:tc>
          <w:tcPr>
            <w:tcW w:w="705" w:type="dxa"/>
            <w:shd w:val="clear" w:color="auto" w:fill="D3D3D3"/>
          </w:tcPr>
          <w:p>
            <w:pPr>
              <w:pStyle w:val="TableParagraph"/>
              <w:spacing w:before="4"/>
              <w:ind w:left="108"/>
              <w:rPr>
                <w:rFonts w:ascii="黑体" w:eastAsia="黑体" w:hint="eastAsia"/>
                <w:b/>
                <w:sz w:val="21"/>
              </w:rPr>
            </w:pPr>
            <w:r>
              <w:rPr>
                <w:rFonts w:ascii="黑体" w:eastAsia="黑体" w:hint="eastAsia"/>
                <w:b/>
                <w:sz w:val="21"/>
              </w:rPr>
              <w:t>4．</w:t>
            </w:r>
          </w:p>
        </w:tc>
        <w:tc>
          <w:tcPr>
            <w:tcW w:w="1968" w:type="dxa"/>
            <w:shd w:val="clear" w:color="auto" w:fill="D3D3D3"/>
          </w:tcPr>
          <w:p>
            <w:pPr>
              <w:pStyle w:val="TableParagraph"/>
              <w:spacing w:before="4"/>
              <w:ind w:left="280"/>
              <w:rPr>
                <w:rFonts w:ascii="黑体" w:eastAsia="黑体" w:hint="eastAsia"/>
                <w:b/>
                <w:sz w:val="21"/>
              </w:rPr>
            </w:pPr>
            <w:r>
              <w:rPr>
                <w:rFonts w:ascii="黑体" w:eastAsia="黑体" w:hint="eastAsia"/>
                <w:b/>
                <w:w w:val="95"/>
                <w:sz w:val="21"/>
              </w:rPr>
              <w:t>保险费的支付</w:t>
            </w:r>
          </w:p>
        </w:tc>
        <w:tc>
          <w:tcPr>
            <w:tcW w:w="7181" w:type="dxa"/>
            <w:shd w:val="clear" w:color="auto" w:fill="D3D3D3"/>
          </w:tcPr>
          <w:p>
            <w:pPr>
              <w:pStyle w:val="TableParagraph"/>
              <w:rPr>
                <w:rFonts w:ascii="Times New Roman"/>
                <w:sz w:val="20"/>
              </w:rPr>
            </w:pPr>
          </w:p>
        </w:tc>
      </w:tr>
      <w:tr>
        <w:trPr>
          <w:trHeight w:val="1833" w:hRule="atLeast"/>
        </w:trPr>
        <w:tc>
          <w:tcPr>
            <w:tcW w:w="705" w:type="dxa"/>
          </w:tcPr>
          <w:p>
            <w:pPr>
              <w:pStyle w:val="TableParagraph"/>
              <w:spacing w:before="145"/>
              <w:ind w:left="108"/>
              <w:rPr>
                <w:rFonts w:ascii="黑体"/>
                <w:sz w:val="21"/>
              </w:rPr>
            </w:pPr>
            <w:r>
              <w:rPr>
                <w:rFonts w:ascii="黑体"/>
                <w:sz w:val="21"/>
              </w:rPr>
              <w:t>4.1</w:t>
            </w:r>
          </w:p>
        </w:tc>
        <w:tc>
          <w:tcPr>
            <w:tcW w:w="1968" w:type="dxa"/>
          </w:tcPr>
          <w:p>
            <w:pPr>
              <w:pStyle w:val="TableParagraph"/>
              <w:spacing w:before="145"/>
              <w:ind w:left="280"/>
              <w:rPr>
                <w:rFonts w:ascii="黑体" w:eastAsia="黑体" w:hint="eastAsia"/>
                <w:sz w:val="21"/>
              </w:rPr>
            </w:pPr>
            <w:r>
              <w:rPr>
                <w:rFonts w:ascii="黑体" w:eastAsia="黑体" w:hint="eastAsia"/>
                <w:sz w:val="21"/>
              </w:rPr>
              <w:t>保险费的支付</w:t>
            </w:r>
          </w:p>
        </w:tc>
        <w:tc>
          <w:tcPr>
            <w:tcW w:w="7181" w:type="dxa"/>
          </w:tcPr>
          <w:p>
            <w:pPr>
              <w:pStyle w:val="TableParagraph"/>
              <w:spacing w:line="278" w:lineRule="auto" w:before="145"/>
              <w:ind w:left="213" w:right="102"/>
              <w:jc w:val="both"/>
              <w:rPr>
                <w:sz w:val="21"/>
              </w:rPr>
            </w:pPr>
            <w:r>
              <w:rPr>
                <w:sz w:val="21"/>
              </w:rPr>
              <w:t>本合同的保险费采用趸交(即一次性交清)、限期年交(即在约定的交费期间内每年支付一次保险费)的方式支付。投保人在投保时与本公司约定交费期间，并在保险单上载明。</w:t>
            </w:r>
          </w:p>
          <w:p>
            <w:pPr>
              <w:pStyle w:val="TableParagraph"/>
              <w:spacing w:line="280" w:lineRule="auto" w:before="11"/>
              <w:ind w:left="213" w:right="104"/>
              <w:jc w:val="both"/>
              <w:rPr>
                <w:sz w:val="21"/>
              </w:rPr>
            </w:pPr>
            <w:r>
              <w:rPr>
                <w:spacing w:val="-5"/>
                <w:sz w:val="21"/>
              </w:rPr>
              <w:t>选择限期年交方式的，在支付首期保险费后，投保人应当按照约定，在每个保险费约定支付日支付其余各期保险费。</w:t>
            </w:r>
          </w:p>
        </w:tc>
      </w:tr>
      <w:tr>
        <w:trPr>
          <w:trHeight w:val="2112" w:hRule="atLeast"/>
        </w:trPr>
        <w:tc>
          <w:tcPr>
            <w:tcW w:w="705" w:type="dxa"/>
          </w:tcPr>
          <w:p>
            <w:pPr>
              <w:pStyle w:val="TableParagraph"/>
              <w:spacing w:before="54"/>
              <w:ind w:left="108"/>
              <w:rPr>
                <w:rFonts w:ascii="黑体"/>
                <w:sz w:val="21"/>
              </w:rPr>
            </w:pPr>
            <w:r>
              <w:rPr>
                <w:rFonts w:ascii="黑体"/>
                <w:sz w:val="21"/>
              </w:rPr>
              <w:t>4.2</w:t>
            </w:r>
          </w:p>
        </w:tc>
        <w:tc>
          <w:tcPr>
            <w:tcW w:w="1968" w:type="dxa"/>
          </w:tcPr>
          <w:p>
            <w:pPr>
              <w:pStyle w:val="TableParagraph"/>
              <w:spacing w:before="54"/>
              <w:ind w:left="280"/>
              <w:rPr>
                <w:rFonts w:ascii="黑体" w:eastAsia="黑体" w:hint="eastAsia"/>
                <w:sz w:val="21"/>
              </w:rPr>
            </w:pPr>
            <w:r>
              <w:rPr>
                <w:rFonts w:ascii="黑体" w:eastAsia="黑体" w:hint="eastAsia"/>
                <w:sz w:val="21"/>
              </w:rPr>
              <w:t>宽限期</w:t>
            </w:r>
          </w:p>
        </w:tc>
        <w:tc>
          <w:tcPr>
            <w:tcW w:w="7181" w:type="dxa"/>
          </w:tcPr>
          <w:p>
            <w:pPr>
              <w:pStyle w:val="TableParagraph"/>
              <w:spacing w:line="278" w:lineRule="auto" w:before="54"/>
              <w:ind w:left="213" w:right="104"/>
              <w:jc w:val="both"/>
              <w:rPr>
                <w:sz w:val="21"/>
              </w:rPr>
            </w:pPr>
            <w:r>
              <w:rPr>
                <w:spacing w:val="-5"/>
                <w:sz w:val="21"/>
              </w:rPr>
              <w:t>投保人支付首期保险费后，除本合同另有约定外，如果投保人到期未支付保</w:t>
            </w:r>
            <w:r>
              <w:rPr>
                <w:spacing w:val="-7"/>
                <w:sz w:val="21"/>
              </w:rPr>
              <w:t>险费，自保险费约定支付日的次日零时起 </w:t>
            </w:r>
            <w:r>
              <w:rPr>
                <w:sz w:val="21"/>
              </w:rPr>
              <w:t>60</w:t>
            </w:r>
            <w:r>
              <w:rPr>
                <w:spacing w:val="-6"/>
                <w:sz w:val="21"/>
              </w:rPr>
              <w:t> 日为宽限期。宽限期内发生的</w:t>
            </w:r>
            <w:r>
              <w:rPr>
                <w:spacing w:val="-10"/>
                <w:sz w:val="21"/>
              </w:rPr>
              <w:t>保险事故，本公司仍会承担保险责任，但在给付保险金时会扣减投保人欠交的保险费。</w:t>
            </w:r>
          </w:p>
          <w:p>
            <w:pPr>
              <w:pStyle w:val="TableParagraph"/>
              <w:spacing w:line="280" w:lineRule="auto" w:before="10"/>
              <w:ind w:left="213" w:right="105"/>
              <w:jc w:val="both"/>
              <w:rPr>
                <w:sz w:val="21"/>
              </w:rPr>
            </w:pPr>
            <w:r>
              <w:rPr>
                <w:spacing w:val="-4"/>
                <w:sz w:val="21"/>
              </w:rPr>
              <w:t>如果投保人宽限期结束之后仍未支付保险费，则本合同自宽限期满的次日零时起效力中止。</w:t>
            </w:r>
          </w:p>
        </w:tc>
      </w:tr>
      <w:tr>
        <w:trPr>
          <w:trHeight w:val="320" w:hRule="atLeast"/>
        </w:trPr>
        <w:tc>
          <w:tcPr>
            <w:tcW w:w="705" w:type="dxa"/>
            <w:shd w:val="clear" w:color="auto" w:fill="D9D9D9"/>
          </w:tcPr>
          <w:p>
            <w:pPr>
              <w:pStyle w:val="TableParagraph"/>
              <w:spacing w:before="4"/>
              <w:ind w:left="108"/>
              <w:rPr>
                <w:rFonts w:ascii="黑体" w:eastAsia="黑体" w:hint="eastAsia"/>
                <w:b/>
                <w:sz w:val="21"/>
              </w:rPr>
            </w:pPr>
            <w:r>
              <w:rPr>
                <w:rFonts w:ascii="黑体" w:eastAsia="黑体" w:hint="eastAsia"/>
                <w:b/>
                <w:sz w:val="21"/>
              </w:rPr>
              <w:t>5．</w:t>
            </w:r>
          </w:p>
        </w:tc>
        <w:tc>
          <w:tcPr>
            <w:tcW w:w="1968" w:type="dxa"/>
            <w:shd w:val="clear" w:color="auto" w:fill="D9D9D9"/>
          </w:tcPr>
          <w:p>
            <w:pPr>
              <w:pStyle w:val="TableParagraph"/>
              <w:spacing w:before="4"/>
              <w:ind w:left="280"/>
              <w:rPr>
                <w:rFonts w:ascii="黑体" w:eastAsia="黑体" w:hint="eastAsia"/>
                <w:b/>
                <w:sz w:val="21"/>
              </w:rPr>
            </w:pPr>
            <w:r>
              <w:rPr>
                <w:rFonts w:ascii="黑体" w:eastAsia="黑体" w:hint="eastAsia"/>
                <w:b/>
                <w:w w:val="95"/>
                <w:sz w:val="21"/>
              </w:rPr>
              <w:t>合同效力的恢复</w:t>
            </w:r>
          </w:p>
        </w:tc>
        <w:tc>
          <w:tcPr>
            <w:tcW w:w="7181" w:type="dxa"/>
            <w:shd w:val="clear" w:color="auto" w:fill="D9D9D9"/>
          </w:tcPr>
          <w:p>
            <w:pPr>
              <w:pStyle w:val="TableParagraph"/>
              <w:rPr>
                <w:rFonts w:ascii="Times New Roman"/>
                <w:sz w:val="20"/>
              </w:rPr>
            </w:pPr>
          </w:p>
        </w:tc>
      </w:tr>
      <w:tr>
        <w:trPr>
          <w:trHeight w:val="552" w:hRule="atLeast"/>
        </w:trPr>
        <w:tc>
          <w:tcPr>
            <w:tcW w:w="705" w:type="dxa"/>
          </w:tcPr>
          <w:p>
            <w:pPr>
              <w:pStyle w:val="TableParagraph"/>
              <w:spacing w:before="145"/>
              <w:ind w:left="107"/>
              <w:rPr>
                <w:rFonts w:ascii="黑体"/>
                <w:sz w:val="21"/>
              </w:rPr>
            </w:pPr>
            <w:r>
              <w:rPr>
                <w:rFonts w:ascii="黑体"/>
                <w:sz w:val="21"/>
              </w:rPr>
              <w:t>5.1</w:t>
            </w:r>
          </w:p>
        </w:tc>
        <w:tc>
          <w:tcPr>
            <w:tcW w:w="1968" w:type="dxa"/>
          </w:tcPr>
          <w:p>
            <w:pPr>
              <w:pStyle w:val="TableParagraph"/>
              <w:spacing w:before="145"/>
              <w:ind w:left="280"/>
              <w:rPr>
                <w:rFonts w:ascii="黑体" w:eastAsia="黑体" w:hint="eastAsia"/>
                <w:sz w:val="21"/>
              </w:rPr>
            </w:pPr>
            <w:r>
              <w:rPr>
                <w:rFonts w:ascii="黑体" w:eastAsia="黑体" w:hint="eastAsia"/>
                <w:sz w:val="21"/>
              </w:rPr>
              <w:t>效力中止</w:t>
            </w:r>
          </w:p>
        </w:tc>
        <w:tc>
          <w:tcPr>
            <w:tcW w:w="7181" w:type="dxa"/>
          </w:tcPr>
          <w:p>
            <w:pPr>
              <w:pStyle w:val="TableParagraph"/>
              <w:spacing w:before="145"/>
              <w:ind w:left="213"/>
              <w:rPr>
                <w:sz w:val="21"/>
              </w:rPr>
            </w:pPr>
            <w:r>
              <w:rPr>
                <w:sz w:val="21"/>
                <w:shd w:fill="D9D9D9" w:color="auto" w:val="clear"/>
              </w:rPr>
              <w:t>在本合同效力中止期间，本公司不承担保险责任。</w:t>
            </w:r>
          </w:p>
        </w:tc>
      </w:tr>
      <w:tr>
        <w:trPr>
          <w:trHeight w:val="2432" w:hRule="atLeast"/>
        </w:trPr>
        <w:tc>
          <w:tcPr>
            <w:tcW w:w="705" w:type="dxa"/>
          </w:tcPr>
          <w:p>
            <w:pPr>
              <w:pStyle w:val="TableParagraph"/>
              <w:spacing w:before="54"/>
              <w:ind w:left="107"/>
              <w:rPr>
                <w:rFonts w:ascii="黑体"/>
                <w:sz w:val="21"/>
              </w:rPr>
            </w:pPr>
            <w:r>
              <w:rPr>
                <w:rFonts w:ascii="黑体"/>
                <w:sz w:val="21"/>
              </w:rPr>
              <w:t>5.2</w:t>
            </w:r>
          </w:p>
        </w:tc>
        <w:tc>
          <w:tcPr>
            <w:tcW w:w="1968" w:type="dxa"/>
          </w:tcPr>
          <w:p>
            <w:pPr>
              <w:pStyle w:val="TableParagraph"/>
              <w:spacing w:before="54"/>
              <w:ind w:left="280"/>
              <w:rPr>
                <w:rFonts w:ascii="黑体" w:eastAsia="黑体" w:hint="eastAsia"/>
                <w:sz w:val="21"/>
              </w:rPr>
            </w:pPr>
            <w:r>
              <w:rPr>
                <w:rFonts w:ascii="黑体" w:eastAsia="黑体" w:hint="eastAsia"/>
                <w:sz w:val="21"/>
              </w:rPr>
              <w:t>效力恢复</w:t>
            </w:r>
          </w:p>
        </w:tc>
        <w:tc>
          <w:tcPr>
            <w:tcW w:w="7181" w:type="dxa"/>
          </w:tcPr>
          <w:p>
            <w:pPr>
              <w:pStyle w:val="TableParagraph"/>
              <w:spacing w:line="278" w:lineRule="auto" w:before="54"/>
              <w:ind w:left="213" w:right="105"/>
              <w:jc w:val="both"/>
              <w:rPr>
                <w:sz w:val="21"/>
              </w:rPr>
            </w:pPr>
            <w:r>
              <w:rPr>
                <w:spacing w:val="-6"/>
                <w:sz w:val="21"/>
              </w:rPr>
              <w:t>本合同效力中止后 </w:t>
            </w:r>
            <w:r>
              <w:rPr>
                <w:sz w:val="21"/>
              </w:rPr>
              <w:t>2</w:t>
            </w:r>
            <w:r>
              <w:rPr>
                <w:spacing w:val="-12"/>
                <w:sz w:val="21"/>
              </w:rPr>
              <w:t> 年内，投保人可以申请恢复合同效力。经本公司与投保</w:t>
            </w:r>
            <w:r>
              <w:rPr>
                <w:spacing w:val="-13"/>
                <w:sz w:val="21"/>
              </w:rPr>
              <w:t>人协商并达成协议，自投保人补交保险费及相应利息的次日零时起，合同效</w:t>
            </w:r>
            <w:r>
              <w:rPr>
                <w:spacing w:val="-15"/>
                <w:sz w:val="21"/>
              </w:rPr>
              <w:t>力恢复。前述补交的利息按本公司参照 </w:t>
            </w:r>
            <w:r>
              <w:rPr>
                <w:sz w:val="21"/>
              </w:rPr>
              <w:t>2</w:t>
            </w:r>
            <w:r>
              <w:rPr>
                <w:spacing w:val="-8"/>
                <w:sz w:val="21"/>
              </w:rPr>
              <w:t> 年期居民定期存款基准利率作相应浮动后宣布的利率计算。</w:t>
            </w:r>
          </w:p>
          <w:p>
            <w:pPr>
              <w:pStyle w:val="TableParagraph"/>
              <w:spacing w:line="278" w:lineRule="auto" w:before="11"/>
              <w:ind w:left="213" w:right="105"/>
              <w:jc w:val="both"/>
              <w:rPr>
                <w:sz w:val="21"/>
              </w:rPr>
            </w:pPr>
            <w:r>
              <w:rPr>
                <w:spacing w:val="-5"/>
                <w:sz w:val="21"/>
              </w:rPr>
              <w:t>自本合同效力中止之日起满 </w:t>
            </w:r>
            <w:r>
              <w:rPr>
                <w:sz w:val="21"/>
              </w:rPr>
              <w:t>2</w:t>
            </w:r>
            <w:r>
              <w:rPr>
                <w:spacing w:val="-12"/>
                <w:sz w:val="21"/>
              </w:rPr>
              <w:t> 年投保人和本公司未达成协议的，本公司有权解除合同。本公司解除合同的，向投保人退还合同效力中止时保险单的现金价值</w:t>
            </w:r>
          </w:p>
        </w:tc>
      </w:tr>
      <w:tr>
        <w:trPr>
          <w:trHeight w:val="320" w:hRule="atLeast"/>
        </w:trPr>
        <w:tc>
          <w:tcPr>
            <w:tcW w:w="705" w:type="dxa"/>
            <w:shd w:val="clear" w:color="auto" w:fill="D3D3D3"/>
          </w:tcPr>
          <w:p>
            <w:pPr>
              <w:pStyle w:val="TableParagraph"/>
              <w:spacing w:before="4"/>
              <w:ind w:left="108"/>
              <w:rPr>
                <w:rFonts w:ascii="黑体" w:eastAsia="黑体" w:hint="eastAsia"/>
                <w:b/>
                <w:sz w:val="21"/>
              </w:rPr>
            </w:pPr>
            <w:r>
              <w:rPr>
                <w:rFonts w:ascii="黑体" w:eastAsia="黑体" w:hint="eastAsia"/>
                <w:b/>
                <w:sz w:val="21"/>
              </w:rPr>
              <w:t>6．</w:t>
            </w:r>
          </w:p>
        </w:tc>
        <w:tc>
          <w:tcPr>
            <w:tcW w:w="1968" w:type="dxa"/>
            <w:shd w:val="clear" w:color="auto" w:fill="D3D3D3"/>
          </w:tcPr>
          <w:p>
            <w:pPr>
              <w:pStyle w:val="TableParagraph"/>
              <w:spacing w:before="4"/>
              <w:ind w:left="280"/>
              <w:rPr>
                <w:rFonts w:ascii="黑体" w:eastAsia="黑体" w:hint="eastAsia"/>
                <w:b/>
                <w:sz w:val="21"/>
              </w:rPr>
            </w:pPr>
            <w:r>
              <w:rPr>
                <w:rFonts w:ascii="黑体" w:eastAsia="黑体" w:hint="eastAsia"/>
                <w:b/>
                <w:w w:val="95"/>
                <w:sz w:val="21"/>
              </w:rPr>
              <w:t>被保险人变动</w:t>
            </w:r>
          </w:p>
        </w:tc>
        <w:tc>
          <w:tcPr>
            <w:tcW w:w="7181" w:type="dxa"/>
            <w:shd w:val="clear" w:color="auto" w:fill="D3D3D3"/>
          </w:tcPr>
          <w:p>
            <w:pPr>
              <w:pStyle w:val="TableParagraph"/>
              <w:rPr>
                <w:rFonts w:ascii="Times New Roman"/>
                <w:sz w:val="20"/>
              </w:rPr>
            </w:pPr>
          </w:p>
        </w:tc>
      </w:tr>
      <w:tr>
        <w:trPr>
          <w:trHeight w:val="4905" w:hRule="atLeast"/>
        </w:trPr>
        <w:tc>
          <w:tcPr>
            <w:tcW w:w="705" w:type="dxa"/>
          </w:tcPr>
          <w:p>
            <w:pPr>
              <w:pStyle w:val="TableParagraph"/>
              <w:spacing w:before="145"/>
              <w:ind w:left="107"/>
              <w:rPr>
                <w:rFonts w:ascii="黑体"/>
                <w:sz w:val="21"/>
              </w:rPr>
            </w:pPr>
            <w:r>
              <w:rPr>
                <w:rFonts w:ascii="黑体"/>
                <w:sz w:val="21"/>
              </w:rPr>
              <w:t>6.1</w:t>
            </w:r>
          </w:p>
        </w:tc>
        <w:tc>
          <w:tcPr>
            <w:tcW w:w="1968" w:type="dxa"/>
          </w:tcPr>
          <w:p>
            <w:pPr>
              <w:pStyle w:val="TableParagraph"/>
              <w:spacing w:before="145"/>
              <w:ind w:left="280"/>
              <w:rPr>
                <w:rFonts w:ascii="黑体" w:eastAsia="黑体" w:hint="eastAsia"/>
                <w:sz w:val="21"/>
              </w:rPr>
            </w:pPr>
            <w:r>
              <w:rPr>
                <w:rFonts w:ascii="黑体" w:eastAsia="黑体" w:hint="eastAsia"/>
                <w:sz w:val="21"/>
              </w:rPr>
              <w:t>被保险人变动</w:t>
            </w:r>
          </w:p>
        </w:tc>
        <w:tc>
          <w:tcPr>
            <w:tcW w:w="7181" w:type="dxa"/>
          </w:tcPr>
          <w:p>
            <w:pPr>
              <w:pStyle w:val="TableParagraph"/>
              <w:spacing w:line="278" w:lineRule="auto" w:before="145"/>
              <w:ind w:left="212" w:right="103"/>
              <w:rPr>
                <w:sz w:val="21"/>
              </w:rPr>
            </w:pPr>
            <w:r>
              <w:rPr>
                <w:sz w:val="21"/>
              </w:rPr>
              <w:t>(1)在本合同有效期内，投保人因参加本保险的团体成员变动需要增加被保</w:t>
            </w:r>
            <w:r>
              <w:rPr>
                <w:spacing w:val="-8"/>
                <w:sz w:val="21"/>
              </w:rPr>
              <w:t>险人的，应书面通知本公司，本公司审核同意并收取保险费，开始对新增的</w:t>
            </w:r>
            <w:r>
              <w:rPr>
                <w:spacing w:val="-12"/>
                <w:sz w:val="21"/>
              </w:rPr>
              <w:t>被保险人承担保险责任，具体开始承担保险责任的日期以批单所载为准。新</w:t>
            </w:r>
            <w:r>
              <w:rPr>
                <w:spacing w:val="-19"/>
                <w:sz w:val="21"/>
              </w:rPr>
              <w:t>增被保险人 </w:t>
            </w:r>
            <w:r>
              <w:rPr>
                <w:sz w:val="21"/>
              </w:rPr>
              <w:t>180</w:t>
            </w:r>
            <w:r>
              <w:rPr>
                <w:spacing w:val="-11"/>
                <w:sz w:val="21"/>
              </w:rPr>
              <w:t> 日的等待期自其保险责任开始或本合同最后一次复效</w:t>
            </w:r>
            <w:r>
              <w:rPr>
                <w:sz w:val="21"/>
              </w:rPr>
              <w:t>（以较迟者为准）之日起计算。                                         (2)在本合同有效期内，投保人因被保险人离职或其他原因需要减少被保险</w:t>
            </w:r>
            <w:r>
              <w:rPr>
                <w:spacing w:val="-9"/>
                <w:sz w:val="21"/>
              </w:rPr>
              <w:t>人的，应书面通知本公司，本公司对相应被保险人的保险责任自通知到达时</w:t>
            </w:r>
            <w:r>
              <w:rPr>
                <w:spacing w:val="-10"/>
                <w:sz w:val="21"/>
              </w:rPr>
              <w:t>终止。若该被保险人未发生理赔，本公司将向投保人退回该被保险人对应的</w:t>
            </w:r>
            <w:r>
              <w:rPr>
                <w:spacing w:val="-11"/>
                <w:sz w:val="21"/>
              </w:rPr>
              <w:t>现金价值；若该被保险人已发生理赔，本公司将不退回该被保险人对应的现金 价 值 。                                                    (3)本合同的参保人数或参保比例不符合国务院保险监督管理机构的相关规</w:t>
            </w:r>
            <w:r>
              <w:rPr>
                <w:spacing w:val="-10"/>
                <w:sz w:val="21"/>
              </w:rPr>
              <w:t>定时，本公司有权解除本合同。若该被保险人未发生理赔，本公司将向投保</w:t>
            </w:r>
            <w:r>
              <w:rPr>
                <w:spacing w:val="-13"/>
                <w:sz w:val="21"/>
              </w:rPr>
              <w:t>人退回该被保险人对应的现金价值；若该被保险人已发生理赔，本公司将不退回该被保险人对应的现金价值。</w:t>
            </w:r>
          </w:p>
        </w:tc>
      </w:tr>
      <w:tr>
        <w:trPr>
          <w:trHeight w:val="311" w:hRule="atLeast"/>
        </w:trPr>
        <w:tc>
          <w:tcPr>
            <w:tcW w:w="705" w:type="dxa"/>
            <w:shd w:val="clear" w:color="auto" w:fill="D3D3D3"/>
          </w:tcPr>
          <w:p>
            <w:pPr>
              <w:pStyle w:val="TableParagraph"/>
              <w:spacing w:before="4"/>
              <w:ind w:left="108"/>
              <w:rPr>
                <w:rFonts w:ascii="黑体" w:eastAsia="黑体" w:hint="eastAsia"/>
                <w:b/>
                <w:sz w:val="21"/>
              </w:rPr>
            </w:pPr>
            <w:r>
              <w:rPr>
                <w:rFonts w:ascii="黑体" w:eastAsia="黑体" w:hint="eastAsia"/>
                <w:b/>
                <w:sz w:val="21"/>
              </w:rPr>
              <w:t>7．</w:t>
            </w:r>
          </w:p>
        </w:tc>
        <w:tc>
          <w:tcPr>
            <w:tcW w:w="1968" w:type="dxa"/>
            <w:shd w:val="clear" w:color="auto" w:fill="D3D3D3"/>
          </w:tcPr>
          <w:p>
            <w:pPr>
              <w:pStyle w:val="TableParagraph"/>
              <w:spacing w:before="4"/>
              <w:ind w:left="280"/>
              <w:rPr>
                <w:rFonts w:ascii="黑体" w:eastAsia="黑体" w:hint="eastAsia"/>
                <w:b/>
                <w:sz w:val="21"/>
              </w:rPr>
            </w:pPr>
            <w:r>
              <w:rPr>
                <w:rFonts w:ascii="黑体" w:eastAsia="黑体" w:hint="eastAsia"/>
                <w:b/>
                <w:sz w:val="21"/>
              </w:rPr>
              <w:t>合同解除</w:t>
            </w:r>
          </w:p>
        </w:tc>
        <w:tc>
          <w:tcPr>
            <w:tcW w:w="7181" w:type="dxa"/>
            <w:shd w:val="clear" w:color="auto" w:fill="D3D3D3"/>
          </w:tcPr>
          <w:p>
            <w:pPr>
              <w:pStyle w:val="TableParagraph"/>
              <w:rPr>
                <w:rFonts w:ascii="Times New Roman"/>
                <w:sz w:val="20"/>
              </w:rPr>
            </w:pPr>
          </w:p>
        </w:tc>
      </w:tr>
    </w:tbl>
    <w:p>
      <w:pPr>
        <w:spacing w:after="0"/>
        <w:rPr>
          <w:rFonts w:ascii="Times New Roman"/>
          <w:sz w:val="20"/>
        </w:rPr>
        <w:sectPr>
          <w:pgSz w:w="11910" w:h="16840"/>
          <w:pgMar w:top="1500" w:bottom="280" w:left="920" w:right="920"/>
        </w:sectPr>
      </w:pPr>
    </w:p>
    <w:p>
      <w:pPr>
        <w:pStyle w:val="BodyText"/>
        <w:tabs>
          <w:tab w:pos="1091" w:val="left" w:leader="none"/>
        </w:tabs>
        <w:spacing w:line="278" w:lineRule="auto" w:before="8"/>
        <w:ind w:left="1091" w:hanging="878"/>
        <w:rPr>
          <w:rFonts w:ascii="黑体" w:eastAsia="黑体" w:hint="eastAsia"/>
        </w:rPr>
      </w:pPr>
      <w:r>
        <w:rPr>
          <w:rFonts w:ascii="黑体" w:eastAsia="黑体" w:hint="eastAsia"/>
        </w:rPr>
        <w:t>7.1</w:t>
        <w:tab/>
        <w:t>投保人解除合同的</w:t>
      </w:r>
      <w:r>
        <w:rPr>
          <w:rFonts w:ascii="黑体" w:eastAsia="黑体" w:hint="eastAsia"/>
          <w:spacing w:val="-1"/>
        </w:rPr>
        <w:t>手续及风险</w:t>
      </w:r>
    </w:p>
    <w:p>
      <w:pPr>
        <w:pStyle w:val="BodyText"/>
        <w:spacing w:line="278" w:lineRule="auto" w:before="8"/>
        <w:ind w:left="180" w:right="203"/>
      </w:pPr>
      <w:r>
        <w:rPr/>
        <w:br w:type="column"/>
      </w:r>
      <w:r>
        <w:rPr/>
        <w:t>如投保人申请解除本合同，请填写解除合同申请书并向本公司提供下列资料：</w:t>
      </w:r>
    </w:p>
    <w:p>
      <w:pPr>
        <w:pStyle w:val="BodyText"/>
        <w:spacing w:line="280" w:lineRule="auto" w:before="11"/>
        <w:ind w:left="180" w:right="5075"/>
      </w:pPr>
      <w:r>
        <w:rPr/>
        <w:t>(1)保险合同；    </w:t>
      </w:r>
      <w:r>
        <w:rPr>
          <w:spacing w:val="-1"/>
        </w:rPr>
        <w:t>(2)投保人单位证明。</w:t>
      </w:r>
    </w:p>
    <w:p>
      <w:pPr>
        <w:pStyle w:val="BodyText"/>
        <w:spacing w:line="280" w:lineRule="auto" w:before="8"/>
        <w:ind w:left="180" w:right="139"/>
      </w:pPr>
      <w:r>
        <w:rPr/>
        <w:t>自本公司收到解除合同申请书时起，本合同终止。本公司自收到解除合同申请书之日起 30 日内向投保人退还保险单的现金价值。</w:t>
      </w:r>
    </w:p>
    <w:p>
      <w:pPr>
        <w:pStyle w:val="BodyText"/>
        <w:spacing w:before="9"/>
        <w:ind w:left="180"/>
      </w:pPr>
      <w:r>
        <w:rPr/>
        <w:t>投保人解除合同会遭受一定损失。</w:t>
      </w:r>
    </w:p>
    <w:p>
      <w:pPr>
        <w:spacing w:after="0"/>
        <w:sectPr>
          <w:pgSz w:w="11910" w:h="16840"/>
          <w:pgMar w:top="1420" w:bottom="280" w:left="920" w:right="920"/>
          <w:cols w:num="2" w:equalWidth="0">
            <w:col w:w="2772" w:space="40"/>
            <w:col w:w="7258"/>
          </w:cols>
        </w:sectPr>
      </w:pPr>
    </w:p>
    <w:p>
      <w:pPr>
        <w:pStyle w:val="BodyText"/>
        <w:spacing w:before="6"/>
        <w:ind w:left="0"/>
        <w:rPr>
          <w:sz w:val="13"/>
        </w:rPr>
      </w:pPr>
    </w:p>
    <w:p>
      <w:pPr>
        <w:pStyle w:val="BodyText"/>
        <w:ind w:left="106"/>
        <w:rPr>
          <w:sz w:val="20"/>
        </w:rPr>
      </w:pPr>
      <w:r>
        <w:rPr>
          <w:sz w:val="20"/>
        </w:rPr>
        <w:pict>
          <v:shape style="width:492.75pt;height:16pt;mso-position-horizontal-relative:char;mso-position-vertical-relative:line" type="#_x0000_t202" filled="true" fillcolor="#d3d3d3" stroked="false">
            <w10:anchorlock/>
            <v:textbox inset="0,0,0,0">
              <w:txbxContent>
                <w:p>
                  <w:pPr>
                    <w:tabs>
                      <w:tab w:pos="985" w:val="left" w:leader="none"/>
                    </w:tabs>
                    <w:spacing w:before="10"/>
                    <w:ind w:left="108" w:right="0" w:firstLine="0"/>
                    <w:jc w:val="left"/>
                    <w:rPr>
                      <w:rFonts w:ascii="黑体" w:eastAsia="黑体" w:hint="eastAsia"/>
                      <w:b/>
                      <w:sz w:val="21"/>
                    </w:rPr>
                  </w:pPr>
                  <w:r>
                    <w:rPr>
                      <w:rFonts w:ascii="黑体" w:eastAsia="黑体" w:hint="eastAsia"/>
                      <w:b/>
                      <w:sz w:val="21"/>
                    </w:rPr>
                    <w:t>8．</w:t>
                    <w:tab/>
                  </w:r>
                  <w:r>
                    <w:rPr>
                      <w:rFonts w:ascii="黑体" w:eastAsia="黑体" w:hint="eastAsia"/>
                      <w:b/>
                      <w:w w:val="95"/>
                      <w:sz w:val="21"/>
                    </w:rPr>
                    <w:t>其他需要关注的事项</w:t>
                  </w:r>
                </w:p>
              </w:txbxContent>
            </v:textbox>
            <v:fill type="solid"/>
          </v:shape>
        </w:pict>
      </w:r>
      <w:r>
        <w:rPr>
          <w:sz w:val="20"/>
        </w:rPr>
      </w:r>
    </w:p>
    <w:p>
      <w:pPr>
        <w:pStyle w:val="BodyText"/>
        <w:ind w:left="0"/>
        <w:rPr>
          <w:sz w:val="7"/>
        </w:rPr>
      </w:pPr>
    </w:p>
    <w:p>
      <w:pPr>
        <w:spacing w:after="0"/>
        <w:rPr>
          <w:sz w:val="7"/>
        </w:rPr>
        <w:sectPr>
          <w:type w:val="continuous"/>
          <w:pgSz w:w="11910" w:h="16840"/>
          <w:pgMar w:top="200" w:bottom="280" w:left="920" w:right="920"/>
        </w:sectPr>
      </w:pPr>
    </w:p>
    <w:p>
      <w:pPr>
        <w:pStyle w:val="ListParagraph"/>
        <w:numPr>
          <w:ilvl w:val="1"/>
          <w:numId w:val="10"/>
        </w:numPr>
        <w:tabs>
          <w:tab w:pos="1091" w:val="left" w:leader="none"/>
          <w:tab w:pos="1092" w:val="left" w:leader="none"/>
        </w:tabs>
        <w:spacing w:line="278" w:lineRule="auto" w:before="35" w:after="0"/>
        <w:ind w:left="1091" w:right="0" w:hanging="877"/>
        <w:jc w:val="left"/>
        <w:rPr>
          <w:rFonts w:ascii="黑体" w:eastAsia="黑体" w:hint="eastAsia"/>
          <w:sz w:val="21"/>
        </w:rPr>
      </w:pPr>
      <w:r>
        <w:rPr>
          <w:rFonts w:ascii="黑体" w:eastAsia="黑体" w:hint="eastAsia"/>
          <w:sz w:val="21"/>
        </w:rPr>
        <w:t>明确说明与如实告知</w:t>
      </w:r>
    </w:p>
    <w:p>
      <w:pPr>
        <w:pStyle w:val="BodyText"/>
        <w:spacing w:before="35"/>
        <w:ind w:left="180"/>
      </w:pPr>
      <w:r>
        <w:rPr/>
        <w:br w:type="column"/>
      </w:r>
      <w:r>
        <w:rPr/>
        <w:t>订立本合同时，本公司应向投保人说明本合同的内容。</w:t>
      </w:r>
    </w:p>
    <w:p>
      <w:pPr>
        <w:pStyle w:val="BodyText"/>
        <w:spacing w:line="278" w:lineRule="auto" w:before="43"/>
        <w:ind w:left="180" w:right="140"/>
      </w:pPr>
      <w:r>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line="278" w:lineRule="auto" w:before="11"/>
        <w:ind w:left="180" w:right="211"/>
      </w:pPr>
      <w:r>
        <w:rPr/>
        <w:t>本公司就投保人和被保险人的有关情况提出询问，投保人应当如实告知。</w:t>
      </w:r>
      <w:r>
        <w:rPr>
          <w:spacing w:val="-3"/>
        </w:rPr>
        <w:t>如果投保人故意或者因重大过失未履行前款规定的如实告知义务，足以影响</w:t>
      </w:r>
      <w:r>
        <w:rPr>
          <w:spacing w:val="-7"/>
        </w:rPr>
        <w:t>本公司决定是否同意承保或者提高保险费率的，本公司有权解除本合同或终止对该被保险人的保险责任。</w:t>
      </w:r>
    </w:p>
    <w:p>
      <w:pPr>
        <w:pStyle w:val="BodyText"/>
        <w:spacing w:line="278" w:lineRule="auto" w:before="11"/>
        <w:ind w:left="180" w:right="209"/>
        <w:jc w:val="both"/>
      </w:pPr>
      <w:r>
        <w:rPr>
          <w:spacing w:val="-5"/>
          <w:shd w:fill="D9D9D9" w:color="auto" w:val="clear"/>
        </w:rPr>
        <w:t>如果投保人故意不履行如实告知义务，对于本合同解除前或终止对该被保险</w:t>
      </w:r>
      <w:r>
        <w:rPr>
          <w:spacing w:val="-8"/>
          <w:shd w:fill="D9D9D9" w:color="auto" w:val="clear"/>
        </w:rPr>
        <w:t>人的保险责任前发生的保险事故，本公司不承担给付保险金的责任，并不退还保险费。</w:t>
      </w:r>
    </w:p>
    <w:p>
      <w:pPr>
        <w:pStyle w:val="BodyText"/>
        <w:spacing w:line="278" w:lineRule="auto" w:before="11"/>
        <w:ind w:left="180" w:right="140"/>
      </w:pPr>
      <w:r>
        <w:rPr>
          <w:shd w:fill="D9D9D9" w:color="auto" w:val="clear"/>
        </w:rPr>
        <w:t>如果投保人因重大过失未履行如实告知义务，对保险事故的发生有严重影响的，对于本合同解除前或终止对该被保险人的保险责任前发生的保险事故， 本公司不承担给付保险金的责任，但应当退还保险费。</w:t>
      </w:r>
    </w:p>
    <w:p>
      <w:pPr>
        <w:pStyle w:val="BodyText"/>
        <w:spacing w:line="278" w:lineRule="auto" w:before="11"/>
        <w:ind w:left="180" w:right="209"/>
        <w:jc w:val="both"/>
      </w:pPr>
      <w:r>
        <w:rPr>
          <w:spacing w:val="-3"/>
        </w:rPr>
        <w:t>本公司在合同订立时已经知道投保人未如实告知的情况的，本公司不得解除</w:t>
      </w:r>
      <w:r>
        <w:rPr>
          <w:spacing w:val="-7"/>
        </w:rPr>
        <w:t>合同或终止对该被保险人的保险责任；发生保险事故的，本公司承担给付保险金的责任。</w:t>
      </w:r>
    </w:p>
    <w:p>
      <w:pPr>
        <w:spacing w:after="0" w:line="278" w:lineRule="auto"/>
        <w:jc w:val="both"/>
        <w:sectPr>
          <w:type w:val="continuous"/>
          <w:pgSz w:w="11910" w:h="16840"/>
          <w:pgMar w:top="200" w:bottom="280" w:left="920" w:right="920"/>
          <w:cols w:num="2" w:equalWidth="0">
            <w:col w:w="2772" w:space="40"/>
            <w:col w:w="7258"/>
          </w:cols>
        </w:sectPr>
      </w:pPr>
    </w:p>
    <w:p>
      <w:pPr>
        <w:pStyle w:val="BodyText"/>
        <w:spacing w:before="13"/>
        <w:ind w:left="0"/>
        <w:rPr>
          <w:sz w:val="8"/>
        </w:rPr>
      </w:pPr>
    </w:p>
    <w:p>
      <w:pPr>
        <w:spacing w:after="0"/>
        <w:rPr>
          <w:sz w:val="8"/>
        </w:rPr>
        <w:sectPr>
          <w:type w:val="continuous"/>
          <w:pgSz w:w="11910" w:h="16840"/>
          <w:pgMar w:top="200" w:bottom="280" w:left="920" w:right="920"/>
        </w:sectPr>
      </w:pPr>
    </w:p>
    <w:p>
      <w:pPr>
        <w:pStyle w:val="ListParagraph"/>
        <w:numPr>
          <w:ilvl w:val="1"/>
          <w:numId w:val="10"/>
        </w:numPr>
        <w:tabs>
          <w:tab w:pos="1091" w:val="left" w:leader="none"/>
          <w:tab w:pos="1092" w:val="left" w:leader="none"/>
        </w:tabs>
        <w:spacing w:line="280" w:lineRule="auto" w:before="35" w:after="0"/>
        <w:ind w:left="1091" w:right="0" w:hanging="878"/>
        <w:jc w:val="left"/>
        <w:rPr>
          <w:rFonts w:ascii="黑体" w:eastAsia="黑体" w:hint="eastAsia"/>
          <w:sz w:val="21"/>
        </w:rPr>
      </w:pPr>
      <w:r>
        <w:rPr>
          <w:rFonts w:ascii="黑体" w:eastAsia="黑体" w:hint="eastAsia"/>
          <w:spacing w:val="-1"/>
          <w:sz w:val="21"/>
        </w:rPr>
        <w:t>本公司合同解除权的限制</w:t>
      </w:r>
    </w:p>
    <w:p>
      <w:pPr>
        <w:pStyle w:val="BodyText"/>
        <w:spacing w:line="278" w:lineRule="auto" w:before="35"/>
        <w:ind w:left="181" w:right="106"/>
      </w:pPr>
      <w:r>
        <w:rPr/>
        <w:br w:type="column"/>
      </w:r>
      <w:r>
        <w:rPr>
          <w:spacing w:val="-8"/>
        </w:rPr>
        <w:t>本保险条款“明确说明与如实告知”规定的合同解除权，自本公司知道有解</w:t>
      </w:r>
      <w:r>
        <w:rPr>
          <w:spacing w:val="-15"/>
        </w:rPr>
        <w:t>除事由之日起，超过 </w:t>
      </w:r>
      <w:r>
        <w:rPr/>
        <w:t>30</w:t>
      </w:r>
      <w:r>
        <w:rPr>
          <w:spacing w:val="-13"/>
        </w:rPr>
        <w:t> 日不行使而消灭。自本合同成立之日起超过 </w:t>
      </w:r>
      <w:r>
        <w:rPr/>
        <w:t>2</w:t>
      </w:r>
      <w:r>
        <w:rPr>
          <w:spacing w:val="-15"/>
        </w:rPr>
        <w:t> 年的， 本公司不得解除合同；发生保险事故的，本公司承担给付保险金的责任。</w:t>
      </w:r>
    </w:p>
    <w:p>
      <w:pPr>
        <w:spacing w:after="0" w:line="278" w:lineRule="auto"/>
        <w:sectPr>
          <w:type w:val="continuous"/>
          <w:pgSz w:w="11910" w:h="16840"/>
          <w:pgMar w:top="200" w:bottom="280" w:left="920" w:right="920"/>
          <w:cols w:num="2" w:equalWidth="0">
            <w:col w:w="2771" w:space="40"/>
            <w:col w:w="7259"/>
          </w:cols>
        </w:sectPr>
      </w:pPr>
    </w:p>
    <w:p>
      <w:pPr>
        <w:pStyle w:val="BodyText"/>
        <w:ind w:left="0"/>
        <w:rPr>
          <w:sz w:val="9"/>
        </w:rPr>
      </w:pPr>
    </w:p>
    <w:p>
      <w:pPr>
        <w:spacing w:after="0"/>
        <w:rPr>
          <w:sz w:val="9"/>
        </w:rPr>
        <w:sectPr>
          <w:type w:val="continuous"/>
          <w:pgSz w:w="11910" w:h="16840"/>
          <w:pgMar w:top="200" w:bottom="280" w:left="920" w:right="920"/>
        </w:sectPr>
      </w:pPr>
    </w:p>
    <w:p>
      <w:pPr>
        <w:pStyle w:val="ListParagraph"/>
        <w:numPr>
          <w:ilvl w:val="1"/>
          <w:numId w:val="10"/>
        </w:numPr>
        <w:tabs>
          <w:tab w:pos="1093" w:val="left" w:leader="none"/>
          <w:tab w:pos="1094" w:val="left" w:leader="none"/>
        </w:tabs>
        <w:spacing w:line="280" w:lineRule="auto" w:before="35" w:after="0"/>
        <w:ind w:left="1093" w:right="0" w:hanging="880"/>
        <w:jc w:val="left"/>
        <w:rPr>
          <w:rFonts w:ascii="黑体" w:eastAsia="黑体" w:hint="eastAsia"/>
          <w:sz w:val="21"/>
        </w:rPr>
      </w:pPr>
      <w:r>
        <w:rPr>
          <w:rFonts w:ascii="黑体" w:eastAsia="黑体" w:hint="eastAsia"/>
          <w:spacing w:val="-1"/>
          <w:sz w:val="21"/>
        </w:rPr>
        <w:t>年龄和性别确定与错误处理</w:t>
      </w:r>
    </w:p>
    <w:p>
      <w:pPr>
        <w:pStyle w:val="BodyText"/>
        <w:spacing w:line="278" w:lineRule="auto" w:before="35"/>
        <w:ind w:left="178" w:right="203" w:firstLine="2"/>
      </w:pPr>
      <w:r>
        <w:rPr/>
        <w:br w:type="column"/>
      </w:r>
      <w:r>
        <w:rPr>
          <w:spacing w:val="-8"/>
        </w:rPr>
        <w:t>投保人在申请投保时，应将与有效身份证件相符的被保险人的出生日期和性别在投保单上填明，如果发生错误按照下列方式办理：               (1)投保人申报的被保险人年龄不真实，并且其真实年龄不符合本合同约定</w:t>
      </w:r>
      <w:r>
        <w:rPr>
          <w:spacing w:val="-12"/>
        </w:rPr>
        <w:t>投保年龄限制的，在保险事故发生之前本公司有权解除合同或终止对该被保</w:t>
      </w:r>
      <w:r>
        <w:rPr>
          <w:spacing w:val="-13"/>
        </w:rPr>
        <w:t>险人的保险责任，并向投保人退还相应的现金价值。本公司行使合同解除权适用本保险条款“本公司合同解除权的限制”的规定。               (2)投保人申报的被保险人年龄或性别不真实，致使投保人实付保险费少于</w:t>
      </w:r>
      <w:r>
        <w:rPr>
          <w:spacing w:val="-12"/>
        </w:rPr>
        <w:t>应付保险费的，本公司有权作相应的更正并要求投保人补交保险费差额。若</w:t>
      </w:r>
      <w:r>
        <w:rPr/>
        <w:t>已经发生保险事故，在给付保险金时按实付保险费和应付保险费的比例给付 。                                                          (3)投保人申报的被保险人年龄或性别不真实，致使投保人实付保险费多于应付保险费的，本公司会将多收的保险费退还给投保人。</w:t>
      </w:r>
    </w:p>
    <w:p>
      <w:pPr>
        <w:spacing w:after="0" w:line="278" w:lineRule="auto"/>
        <w:sectPr>
          <w:type w:val="continuous"/>
          <w:pgSz w:w="11910" w:h="16840"/>
          <w:pgMar w:top="200" w:bottom="280" w:left="920" w:right="920"/>
          <w:cols w:num="2" w:equalWidth="0">
            <w:col w:w="2774" w:space="40"/>
            <w:col w:w="7256"/>
          </w:cols>
        </w:sectPr>
      </w:pPr>
    </w:p>
    <w:p>
      <w:pPr>
        <w:pStyle w:val="ListParagraph"/>
        <w:numPr>
          <w:ilvl w:val="1"/>
          <w:numId w:val="10"/>
        </w:numPr>
        <w:tabs>
          <w:tab w:pos="1094" w:val="left" w:leader="none"/>
        </w:tabs>
        <w:spacing w:line="278" w:lineRule="auto" w:before="8" w:after="0"/>
        <w:ind w:left="2992" w:right="105" w:hanging="2778"/>
        <w:jc w:val="both"/>
        <w:rPr>
          <w:sz w:val="21"/>
        </w:rPr>
      </w:pPr>
      <w:r>
        <w:rPr>
          <w:rFonts w:ascii="黑体" w:eastAsia="黑体" w:hint="eastAsia"/>
          <w:sz w:val="21"/>
        </w:rPr>
        <w:t>未还款项          </w:t>
      </w:r>
      <w:r>
        <w:rPr>
          <w:spacing w:val="-6"/>
          <w:sz w:val="21"/>
        </w:rPr>
        <w:t>本公司在给付保险金、退还保险单的现金价值或退还保险费时，如果投保人</w:t>
      </w:r>
      <w:r>
        <w:rPr>
          <w:spacing w:val="-16"/>
          <w:sz w:val="21"/>
        </w:rPr>
        <w:t>有欠交保险费、其他未还款项及相应利息，本公司会在扣除上述欠款后给付。</w:t>
      </w:r>
    </w:p>
    <w:p>
      <w:pPr>
        <w:pStyle w:val="BodyText"/>
        <w:spacing w:before="7"/>
        <w:ind w:left="0"/>
        <w:rPr>
          <w:sz w:val="22"/>
        </w:rPr>
      </w:pPr>
    </w:p>
    <w:p>
      <w:pPr>
        <w:pStyle w:val="ListParagraph"/>
        <w:numPr>
          <w:ilvl w:val="1"/>
          <w:numId w:val="10"/>
        </w:numPr>
        <w:tabs>
          <w:tab w:pos="1092" w:val="left" w:leader="none"/>
        </w:tabs>
        <w:spacing w:line="278" w:lineRule="auto" w:before="0" w:after="0"/>
        <w:ind w:left="2992" w:right="209" w:hanging="2778"/>
        <w:jc w:val="both"/>
        <w:rPr>
          <w:sz w:val="21"/>
        </w:rPr>
      </w:pPr>
      <w:r>
        <w:rPr>
          <w:rFonts w:ascii="黑体" w:eastAsia="黑体" w:hint="eastAsia"/>
          <w:sz w:val="21"/>
        </w:rPr>
        <w:t>合同内容变更     </w:t>
      </w:r>
      <w:r>
        <w:rPr>
          <w:spacing w:val="-6"/>
          <w:sz w:val="21"/>
        </w:rPr>
        <w:t>在本合同有效期内，经投保人与本公司协商一致，可以变更本合同的有关内</w:t>
      </w:r>
      <w:r>
        <w:rPr>
          <w:spacing w:val="-10"/>
          <w:sz w:val="21"/>
        </w:rPr>
        <w:t>容。变更本合同的，应当由本公司在保险单或者其他保险凭证上批注或者附贴批单。</w:t>
      </w:r>
    </w:p>
    <w:p>
      <w:pPr>
        <w:pStyle w:val="ListParagraph"/>
        <w:numPr>
          <w:ilvl w:val="1"/>
          <w:numId w:val="10"/>
        </w:numPr>
        <w:tabs>
          <w:tab w:pos="1092" w:val="left" w:leader="none"/>
        </w:tabs>
        <w:spacing w:line="278" w:lineRule="auto" w:before="153" w:after="0"/>
        <w:ind w:left="2992" w:right="140" w:hanging="2778"/>
        <w:jc w:val="both"/>
        <w:rPr>
          <w:sz w:val="21"/>
        </w:rPr>
      </w:pPr>
      <w:r>
        <w:rPr>
          <w:rFonts w:ascii="黑体" w:eastAsia="黑体" w:hint="eastAsia"/>
          <w:sz w:val="21"/>
        </w:rPr>
        <w:t>联系方式变更     </w:t>
      </w:r>
      <w:r>
        <w:rPr>
          <w:spacing w:val="-5"/>
          <w:sz w:val="21"/>
        </w:rPr>
        <w:t>为了保障投保人的合法权益，投保人的住所、通讯地址或电话等联系方式变</w:t>
      </w:r>
      <w:r>
        <w:rPr>
          <w:spacing w:val="-9"/>
          <w:sz w:val="21"/>
        </w:rPr>
        <w:t>更时，请及时以书面形式或双方认可的其他形式通知本公司。若投保人未以</w:t>
      </w:r>
      <w:r>
        <w:rPr>
          <w:spacing w:val="-13"/>
          <w:sz w:val="21"/>
        </w:rPr>
        <w:t>书面形式或双方认可的其他形式通知本公司，本公司按本合同载明的最后住所、通讯地址或电话等联系方式发送的有关通知，均视为已送达给投保人。</w:t>
      </w:r>
    </w:p>
    <w:p>
      <w:pPr>
        <w:pStyle w:val="ListParagraph"/>
        <w:numPr>
          <w:ilvl w:val="1"/>
          <w:numId w:val="10"/>
        </w:numPr>
        <w:tabs>
          <w:tab w:pos="1092" w:val="left" w:leader="none"/>
        </w:tabs>
        <w:spacing w:line="280" w:lineRule="auto" w:before="153" w:after="0"/>
        <w:ind w:left="2992" w:right="209" w:hanging="2778"/>
        <w:jc w:val="both"/>
        <w:rPr>
          <w:sz w:val="21"/>
        </w:rPr>
      </w:pPr>
      <w:r>
        <w:rPr>
          <w:rFonts w:ascii="黑体" w:eastAsia="黑体" w:hint="eastAsia"/>
          <w:sz w:val="21"/>
        </w:rPr>
        <w:t>争议处理         </w:t>
      </w:r>
      <w:r>
        <w:rPr>
          <w:spacing w:val="-6"/>
          <w:sz w:val="21"/>
        </w:rPr>
        <w:t>本合同履行过程中，双方发生争议不能协商解决的，可以达成仲裁协议通过仲裁解决，也可依法直接向法院提起诉讼。</w:t>
      </w:r>
    </w:p>
    <w:p>
      <w:pPr>
        <w:pStyle w:val="BodyText"/>
        <w:spacing w:before="11"/>
        <w:ind w:left="0"/>
        <w:rPr>
          <w:sz w:val="8"/>
        </w:rPr>
      </w:pPr>
      <w:r>
        <w:rPr/>
        <w:pict>
          <v:shape style="position:absolute;margin-left:51.299999pt;margin-top:7.020127pt;width:492.75pt;height:15.6pt;mso-position-horizontal-relative:page;mso-position-vertical-relative:paragraph;z-index:1120;mso-wrap-distance-left:0;mso-wrap-distance-right:0" type="#_x0000_t202" filled="true" fillcolor="#d3d3d3" stroked="false">
            <v:textbox inset="0,0,0,0">
              <w:txbxContent>
                <w:p>
                  <w:pPr>
                    <w:tabs>
                      <w:tab w:pos="985" w:val="left" w:leader="none"/>
                    </w:tabs>
                    <w:spacing w:before="10"/>
                    <w:ind w:left="108" w:right="0" w:firstLine="0"/>
                    <w:jc w:val="left"/>
                    <w:rPr>
                      <w:rFonts w:ascii="黑体" w:eastAsia="黑体" w:hint="eastAsia"/>
                      <w:b/>
                      <w:sz w:val="21"/>
                    </w:rPr>
                  </w:pPr>
                  <w:r>
                    <w:rPr>
                      <w:rFonts w:ascii="黑体" w:eastAsia="黑体" w:hint="eastAsia"/>
                      <w:b/>
                      <w:sz w:val="21"/>
                    </w:rPr>
                    <w:t>9．</w:t>
                    <w:tab/>
                    <w:t>释义</w:t>
                  </w:r>
                </w:p>
              </w:txbxContent>
            </v:textbox>
            <v:fill type="solid"/>
            <w10:wrap type="topAndBottom"/>
          </v:shape>
        </w:pict>
      </w:r>
    </w:p>
    <w:p>
      <w:pPr>
        <w:pStyle w:val="BodyText"/>
        <w:spacing w:before="10"/>
        <w:ind w:left="0"/>
        <w:rPr>
          <w:sz w:val="7"/>
        </w:rPr>
      </w:pPr>
    </w:p>
    <w:p>
      <w:pPr>
        <w:pStyle w:val="ListParagraph"/>
        <w:numPr>
          <w:ilvl w:val="1"/>
          <w:numId w:val="11"/>
        </w:numPr>
        <w:tabs>
          <w:tab w:pos="1092" w:val="left" w:leader="none"/>
        </w:tabs>
        <w:spacing w:line="280" w:lineRule="auto" w:before="35" w:after="0"/>
        <w:ind w:left="2992" w:right="209" w:hanging="2778"/>
        <w:jc w:val="both"/>
        <w:rPr>
          <w:sz w:val="21"/>
        </w:rPr>
      </w:pPr>
      <w:r>
        <w:rPr>
          <w:rFonts w:ascii="黑体" w:eastAsia="黑体" w:hint="eastAsia"/>
          <w:sz w:val="21"/>
        </w:rPr>
        <w:t>合同Th效日对应日 </w:t>
      </w:r>
      <w:r>
        <w:rPr>
          <w:spacing w:val="-4"/>
          <w:sz w:val="21"/>
        </w:rPr>
        <w:t>指本合同生效日在合同生效后每年的对应日，不含合同生效日当日。如果当月没有对应的同一日，则以该月最后一日为对应日。</w:t>
      </w:r>
    </w:p>
    <w:p>
      <w:pPr>
        <w:pStyle w:val="ListParagraph"/>
        <w:numPr>
          <w:ilvl w:val="1"/>
          <w:numId w:val="11"/>
        </w:numPr>
        <w:tabs>
          <w:tab w:pos="1091" w:val="left" w:leader="none"/>
          <w:tab w:pos="1092" w:val="left" w:leader="none"/>
          <w:tab w:pos="2991" w:val="left" w:leader="none"/>
        </w:tabs>
        <w:spacing w:line="240" w:lineRule="auto" w:before="151" w:after="0"/>
        <w:ind w:left="2992" w:right="0" w:hanging="2778"/>
        <w:jc w:val="left"/>
        <w:rPr>
          <w:sz w:val="21"/>
        </w:rPr>
      </w:pPr>
      <w:r>
        <w:rPr>
          <w:rFonts w:ascii="黑体" w:eastAsia="黑体" w:hint="eastAsia"/>
          <w:sz w:val="21"/>
        </w:rPr>
        <w:t>保险费约定支付日</w:t>
        <w:tab/>
      </w:r>
      <w:r>
        <w:rPr>
          <w:sz w:val="21"/>
        </w:rPr>
        <w:t>指保险费交费期间内每个合同生效日对应日。</w:t>
      </w:r>
    </w:p>
    <w:p>
      <w:pPr>
        <w:pStyle w:val="BodyText"/>
        <w:spacing w:before="3"/>
        <w:ind w:left="0"/>
        <w:rPr>
          <w:sz w:val="14"/>
        </w:rPr>
      </w:pPr>
    </w:p>
    <w:p>
      <w:pPr>
        <w:pStyle w:val="ListParagraph"/>
        <w:numPr>
          <w:ilvl w:val="1"/>
          <w:numId w:val="11"/>
        </w:numPr>
        <w:tabs>
          <w:tab w:pos="1092" w:val="left" w:leader="none"/>
          <w:tab w:pos="2991" w:val="left" w:leader="none"/>
        </w:tabs>
        <w:spacing w:line="278" w:lineRule="auto" w:before="1" w:after="0"/>
        <w:ind w:left="2992" w:right="140" w:hanging="2778"/>
        <w:jc w:val="both"/>
        <w:rPr>
          <w:sz w:val="21"/>
        </w:rPr>
      </w:pPr>
      <w:r>
        <w:rPr>
          <w:rFonts w:ascii="黑体" w:eastAsia="黑体" w:hint="eastAsia"/>
          <w:sz w:val="21"/>
        </w:rPr>
        <w:t>周岁</w:t>
        <w:tab/>
      </w:r>
      <w:r>
        <w:rPr>
          <w:sz w:val="21"/>
        </w:rPr>
        <w:t>指按有效身份证件中记载的出生日期计算的年龄，自出生之日起为零周岁，每经过一年增加一岁，不足一年的不计。</w:t>
      </w:r>
    </w:p>
    <w:p>
      <w:pPr>
        <w:pStyle w:val="ListParagraph"/>
        <w:numPr>
          <w:ilvl w:val="1"/>
          <w:numId w:val="11"/>
        </w:numPr>
        <w:tabs>
          <w:tab w:pos="1092" w:val="left" w:leader="none"/>
        </w:tabs>
        <w:spacing w:line="280" w:lineRule="auto" w:before="153" w:after="0"/>
        <w:ind w:left="2992" w:right="211" w:hanging="2778"/>
        <w:jc w:val="both"/>
        <w:rPr>
          <w:sz w:val="21"/>
        </w:rPr>
      </w:pPr>
      <w:r>
        <w:rPr>
          <w:rFonts w:ascii="黑体" w:eastAsia="黑体" w:hint="eastAsia"/>
          <w:sz w:val="21"/>
        </w:rPr>
        <w:t>意外伤害         </w:t>
      </w:r>
      <w:r>
        <w:rPr>
          <w:spacing w:val="-8"/>
          <w:sz w:val="21"/>
        </w:rPr>
        <w:t>指遭受外来的、突发的、非本意的、非疾病的客观事件直接致使身体受到的伤害。</w:t>
      </w:r>
    </w:p>
    <w:p>
      <w:pPr>
        <w:pStyle w:val="BodyText"/>
        <w:spacing w:line="278" w:lineRule="auto" w:before="9"/>
        <w:ind w:left="2991" w:right="206"/>
        <w:jc w:val="both"/>
      </w:pPr>
      <w:r>
        <w:rPr>
          <w:spacing w:val="-5"/>
          <w:shd w:fill="D9D9D9" w:color="auto" w:val="clear"/>
        </w:rPr>
        <w:t>本合同所述的意外伤害导致的身故，不包括猝死。</w:t>
      </w:r>
      <w:r>
        <w:rPr/>
        <w:t>“猝死”是指貌似健康的</w:t>
      </w:r>
      <w:r>
        <w:rPr>
          <w:spacing w:val="-2"/>
        </w:rPr>
        <w:t>人因潜在疾病、机能障碍或其他原因在出现症状后 </w:t>
      </w:r>
      <w:r>
        <w:rPr/>
        <w:t>24</w:t>
      </w:r>
      <w:r>
        <w:rPr>
          <w:spacing w:val="-6"/>
        </w:rPr>
        <w:t> 小时内发生的非暴力</w:t>
      </w:r>
      <w:r>
        <w:rPr>
          <w:spacing w:val="-10"/>
        </w:rPr>
        <w:t>性突然死亡。关于猝死的认定，如有司法机关的法律文件、医疗机构的诊断书等，则以上述法律文件、诊断书等为准。</w:t>
      </w:r>
    </w:p>
    <w:p>
      <w:pPr>
        <w:pStyle w:val="ListParagraph"/>
        <w:numPr>
          <w:ilvl w:val="1"/>
          <w:numId w:val="11"/>
        </w:numPr>
        <w:tabs>
          <w:tab w:pos="1092" w:val="left" w:leader="none"/>
          <w:tab w:pos="2991" w:val="left" w:leader="none"/>
        </w:tabs>
        <w:spacing w:line="278" w:lineRule="auto" w:before="153" w:after="0"/>
        <w:ind w:left="2992" w:right="206" w:hanging="2779"/>
        <w:jc w:val="both"/>
        <w:rPr>
          <w:sz w:val="21"/>
        </w:rPr>
      </w:pPr>
      <w:r>
        <w:rPr>
          <w:rFonts w:ascii="黑体" w:eastAsia="黑体" w:hint="eastAsia"/>
          <w:sz w:val="21"/>
        </w:rPr>
        <w:t>毒品</w:t>
        <w:tab/>
      </w:r>
      <w:r>
        <w:rPr>
          <w:sz w:val="21"/>
        </w:rPr>
        <w:t>指《中华人民共和国刑法》规定的鸦片、海洛因、甲基苯丙胺（冰毒</w:t>
      </w:r>
      <w:r>
        <w:rPr>
          <w:spacing w:val="-105"/>
          <w:sz w:val="21"/>
        </w:rPr>
        <w:t>）</w:t>
      </w:r>
      <w:r>
        <w:rPr>
          <w:sz w:val="21"/>
        </w:rPr>
        <w:t>、吗 啡</w:t>
      </w:r>
      <w:r>
        <w:rPr>
          <w:spacing w:val="-35"/>
          <w:sz w:val="21"/>
        </w:rPr>
        <w:t>、</w:t>
      </w:r>
      <w:r>
        <w:rPr>
          <w:sz w:val="21"/>
        </w:rPr>
        <w:t>大麻</w:t>
      </w:r>
      <w:r>
        <w:rPr>
          <w:spacing w:val="-35"/>
          <w:sz w:val="21"/>
        </w:rPr>
        <w:t>、</w:t>
      </w:r>
      <w:r>
        <w:rPr>
          <w:sz w:val="21"/>
        </w:rPr>
        <w:t>可卡因以及国家规定管制的其他能够使人形成瘾癖的麻醉药品和精神药品</w:t>
      </w:r>
      <w:r>
        <w:rPr>
          <w:spacing w:val="-70"/>
          <w:sz w:val="21"/>
        </w:rPr>
        <w:t>，</w:t>
      </w:r>
      <w:r>
        <w:rPr>
          <w:sz w:val="21"/>
        </w:rPr>
        <w:t>但不包括由医生开具并遵医嘱使用的用于治疗疾病但含有毒品成分的处方药品。</w:t>
      </w:r>
    </w:p>
    <w:p>
      <w:pPr>
        <w:pStyle w:val="ListParagraph"/>
        <w:numPr>
          <w:ilvl w:val="1"/>
          <w:numId w:val="11"/>
        </w:numPr>
        <w:tabs>
          <w:tab w:pos="1092" w:val="left" w:leader="none"/>
        </w:tabs>
        <w:spacing w:line="278" w:lineRule="auto" w:before="153" w:after="0"/>
        <w:ind w:left="2992" w:right="208" w:hanging="2779"/>
        <w:jc w:val="both"/>
        <w:rPr>
          <w:sz w:val="21"/>
        </w:rPr>
      </w:pPr>
      <w:r>
        <w:rPr>
          <w:rFonts w:ascii="黑体" w:eastAsia="黑体" w:hint="eastAsia"/>
          <w:sz w:val="21"/>
        </w:rPr>
        <w:t>酒后驾驶         </w:t>
      </w:r>
      <w:r>
        <w:rPr>
          <w:spacing w:val="-8"/>
          <w:sz w:val="21"/>
        </w:rPr>
        <w:t>指经检测或鉴定，发生事故时车辆驾驶人员每百毫升血液中的酒精含量达到</w:t>
      </w:r>
      <w:r>
        <w:rPr>
          <w:spacing w:val="-11"/>
          <w:sz w:val="21"/>
        </w:rPr>
        <w:t>或超过一定的标准，公安机关交通管理部门依据《道路交通安全法》的规定认定为饮酒后驾驶或醉酒后驾驶。</w:t>
      </w:r>
    </w:p>
    <w:p>
      <w:pPr>
        <w:pStyle w:val="BodyText"/>
        <w:ind w:left="0"/>
        <w:rPr>
          <w:sz w:val="9"/>
        </w:rPr>
      </w:pPr>
    </w:p>
    <w:p>
      <w:pPr>
        <w:spacing w:after="0"/>
        <w:rPr>
          <w:sz w:val="9"/>
        </w:rPr>
        <w:sectPr>
          <w:pgSz w:w="11910" w:h="16840"/>
          <w:pgMar w:top="1420" w:bottom="280" w:left="920" w:right="920"/>
        </w:sectPr>
      </w:pPr>
    </w:p>
    <w:p>
      <w:pPr>
        <w:pStyle w:val="ListParagraph"/>
        <w:numPr>
          <w:ilvl w:val="1"/>
          <w:numId w:val="11"/>
        </w:numPr>
        <w:tabs>
          <w:tab w:pos="1091" w:val="left" w:leader="none"/>
          <w:tab w:pos="1092" w:val="left" w:leader="none"/>
        </w:tabs>
        <w:spacing w:line="280" w:lineRule="auto" w:before="35" w:after="0"/>
        <w:ind w:left="1091" w:right="0" w:hanging="878"/>
        <w:jc w:val="left"/>
        <w:rPr>
          <w:rFonts w:ascii="黑体" w:eastAsia="黑体" w:hint="eastAsia"/>
          <w:sz w:val="21"/>
        </w:rPr>
      </w:pPr>
      <w:r>
        <w:rPr>
          <w:rFonts w:ascii="黑体" w:eastAsia="黑体" w:hint="eastAsia"/>
          <w:spacing w:val="-1"/>
          <w:sz w:val="21"/>
        </w:rPr>
        <w:t>无合法有效驾驶证驾驶</w:t>
      </w:r>
    </w:p>
    <w:p>
      <w:pPr>
        <w:pStyle w:val="BodyText"/>
        <w:spacing w:line="280" w:lineRule="auto" w:before="35"/>
        <w:ind w:left="181" w:right="4865"/>
      </w:pPr>
      <w:r>
        <w:rPr/>
        <w:br w:type="column"/>
      </w:r>
      <w:r>
        <w:rPr/>
        <w:t>指下列情形之一：   </w:t>
      </w:r>
      <w:r>
        <w:rPr>
          <w:spacing w:val="-1"/>
        </w:rPr>
        <w:t>(1)没有取得驾驶资格；</w:t>
      </w:r>
    </w:p>
    <w:p>
      <w:pPr>
        <w:pStyle w:val="BodyText"/>
        <w:spacing w:line="278" w:lineRule="auto" w:before="8"/>
        <w:ind w:left="181" w:right="207"/>
      </w:pPr>
      <w:r>
        <w:rPr/>
        <w:t>(2)驾驶与驾驶证准驾车型不相符合的车辆；                        (3)持审验不合格的驾驶证驾驶；                                  (4)持学习驾驶证学习驾车时，无教练员随车指导，或不按指定时间、路线学习驾车。</w:t>
      </w:r>
    </w:p>
    <w:p>
      <w:pPr>
        <w:spacing w:after="0" w:line="278" w:lineRule="auto"/>
        <w:sectPr>
          <w:type w:val="continuous"/>
          <w:pgSz w:w="11910" w:h="16840"/>
          <w:pgMar w:top="200" w:bottom="280" w:left="920" w:right="920"/>
          <w:cols w:num="2" w:equalWidth="0">
            <w:col w:w="2771" w:space="40"/>
            <w:col w:w="7259"/>
          </w:cols>
        </w:sectPr>
      </w:pPr>
    </w:p>
    <w:p>
      <w:pPr>
        <w:pStyle w:val="BodyText"/>
        <w:ind w:left="0"/>
        <w:rPr>
          <w:sz w:val="9"/>
        </w:rPr>
      </w:pPr>
    </w:p>
    <w:p>
      <w:pPr>
        <w:pStyle w:val="ListParagraph"/>
        <w:numPr>
          <w:ilvl w:val="1"/>
          <w:numId w:val="11"/>
        </w:numPr>
        <w:tabs>
          <w:tab w:pos="1091" w:val="left" w:leader="none"/>
          <w:tab w:pos="1092" w:val="left" w:leader="none"/>
          <w:tab w:pos="2991" w:val="left" w:leader="none"/>
        </w:tabs>
        <w:spacing w:line="240" w:lineRule="auto" w:before="36" w:after="0"/>
        <w:ind w:left="1091" w:right="0" w:hanging="878"/>
        <w:jc w:val="left"/>
        <w:rPr>
          <w:sz w:val="21"/>
        </w:rPr>
      </w:pPr>
      <w:r>
        <w:rPr>
          <w:rFonts w:ascii="黑体" w:eastAsia="黑体" w:hint="eastAsia"/>
          <w:sz w:val="21"/>
        </w:rPr>
        <w:t>无有效行驶证</w:t>
        <w:tab/>
      </w:r>
      <w:r>
        <w:rPr>
          <w:sz w:val="21"/>
        </w:rPr>
        <w:t>指下列情形之一：</w:t>
      </w:r>
    </w:p>
    <w:p>
      <w:pPr>
        <w:pStyle w:val="BodyText"/>
        <w:spacing w:before="45"/>
        <w:ind w:left="2991"/>
      </w:pPr>
      <w:r>
        <w:rPr/>
        <w:t>(1)未取得行驶证；</w:t>
      </w:r>
    </w:p>
    <w:p>
      <w:pPr>
        <w:spacing w:after="0"/>
        <w:sectPr>
          <w:type w:val="continuous"/>
          <w:pgSz w:w="11910" w:h="16840"/>
          <w:pgMar w:top="200" w:bottom="280" w:left="920" w:right="920"/>
        </w:sectPr>
      </w:pPr>
    </w:p>
    <w:p>
      <w:pPr>
        <w:pStyle w:val="BodyText"/>
        <w:spacing w:line="278" w:lineRule="auto" w:before="8"/>
        <w:ind w:left="2892" w:right="2575"/>
      </w:pPr>
      <w:r>
        <w:rPr/>
        <w:t>(2)机动车被依法注销登记的；              </w:t>
      </w:r>
      <w:r>
        <w:rPr>
          <w:spacing w:val="-1"/>
        </w:rPr>
        <w:t>(3)未依法按时进行或通过机动车安全技术检验。</w:t>
      </w:r>
    </w:p>
    <w:p>
      <w:pPr>
        <w:pStyle w:val="ListParagraph"/>
        <w:numPr>
          <w:ilvl w:val="1"/>
          <w:numId w:val="11"/>
        </w:numPr>
        <w:tabs>
          <w:tab w:pos="991" w:val="left" w:leader="none"/>
          <w:tab w:pos="992" w:val="left" w:leader="none"/>
          <w:tab w:pos="2891" w:val="left" w:leader="none"/>
        </w:tabs>
        <w:spacing w:line="280" w:lineRule="auto" w:before="153" w:after="0"/>
        <w:ind w:left="2892" w:right="229" w:hanging="2779"/>
        <w:jc w:val="left"/>
        <w:rPr>
          <w:sz w:val="21"/>
        </w:rPr>
      </w:pPr>
      <w:r>
        <w:rPr>
          <w:rFonts w:ascii="黑体" w:eastAsia="黑体" w:hint="eastAsia"/>
          <w:sz w:val="21"/>
        </w:rPr>
        <w:t>机动车</w:t>
        <w:tab/>
      </w:r>
      <w:r>
        <w:rPr>
          <w:sz w:val="21"/>
        </w:rPr>
        <w:t>指以动力装置驱动或者牵引</w:t>
      </w:r>
      <w:r>
        <w:rPr>
          <w:spacing w:val="-70"/>
          <w:sz w:val="21"/>
        </w:rPr>
        <w:t>，</w:t>
      </w:r>
      <w:r>
        <w:rPr>
          <w:sz w:val="21"/>
        </w:rPr>
        <w:t>上道路行驶的供人员乘用或者用于运送物品以及进行工程专项作业的轮式车辆。</w:t>
      </w:r>
    </w:p>
    <w:p>
      <w:pPr>
        <w:pStyle w:val="ListParagraph"/>
        <w:numPr>
          <w:ilvl w:val="1"/>
          <w:numId w:val="11"/>
        </w:numPr>
        <w:tabs>
          <w:tab w:pos="991" w:val="left" w:leader="none"/>
          <w:tab w:pos="992" w:val="left" w:leader="none"/>
          <w:tab w:pos="2891" w:val="left" w:leader="none"/>
        </w:tabs>
        <w:spacing w:line="280" w:lineRule="auto" w:before="151" w:after="0"/>
        <w:ind w:left="2891" w:right="230" w:hanging="2778"/>
        <w:jc w:val="left"/>
        <w:rPr>
          <w:sz w:val="21"/>
        </w:rPr>
      </w:pPr>
      <w:r>
        <w:rPr>
          <w:rFonts w:ascii="黑体" w:eastAsia="黑体" w:hint="eastAsia"/>
          <w:sz w:val="21"/>
        </w:rPr>
        <w:t>遗传性疾病</w:t>
        <w:tab/>
      </w:r>
      <w:r>
        <w:rPr>
          <w:sz w:val="21"/>
        </w:rPr>
        <w:t>指生殖细胞或受精卵的遗传物</w:t>
      </w:r>
      <w:r>
        <w:rPr>
          <w:spacing w:val="-35"/>
          <w:sz w:val="21"/>
        </w:rPr>
        <w:t>质</w:t>
      </w:r>
      <w:r>
        <w:rPr>
          <w:sz w:val="21"/>
        </w:rPr>
        <w:t>（染色体和基因</w:t>
      </w:r>
      <w:r>
        <w:rPr>
          <w:spacing w:val="-35"/>
          <w:sz w:val="21"/>
        </w:rPr>
        <w:t>）</w:t>
      </w:r>
      <w:r>
        <w:rPr>
          <w:sz w:val="21"/>
        </w:rPr>
        <w:t>发生突变或畸变所引起的疾病，通常具有由亲代传至后代的垂直传递的特征。</w:t>
      </w:r>
    </w:p>
    <w:p>
      <w:pPr>
        <w:pStyle w:val="BodyText"/>
        <w:spacing w:before="10"/>
        <w:ind w:left="0"/>
        <w:rPr>
          <w:sz w:val="8"/>
        </w:rPr>
      </w:pPr>
    </w:p>
    <w:p>
      <w:pPr>
        <w:spacing w:after="0"/>
        <w:rPr>
          <w:sz w:val="8"/>
        </w:rPr>
        <w:sectPr>
          <w:pgSz w:w="11910" w:h="16840"/>
          <w:pgMar w:top="1420" w:bottom="280" w:left="1020" w:right="900"/>
        </w:sectPr>
      </w:pPr>
    </w:p>
    <w:p>
      <w:pPr>
        <w:pStyle w:val="ListParagraph"/>
        <w:numPr>
          <w:ilvl w:val="1"/>
          <w:numId w:val="11"/>
        </w:numPr>
        <w:tabs>
          <w:tab w:pos="991" w:val="left" w:leader="none"/>
          <w:tab w:pos="992" w:val="left" w:leader="none"/>
        </w:tabs>
        <w:spacing w:line="240" w:lineRule="auto" w:before="36" w:after="0"/>
        <w:ind w:left="991" w:right="0" w:hanging="878"/>
        <w:jc w:val="left"/>
        <w:rPr>
          <w:rFonts w:ascii="黑体" w:eastAsia="黑体" w:hint="eastAsia"/>
          <w:sz w:val="21"/>
        </w:rPr>
      </w:pPr>
      <w:r>
        <w:rPr>
          <w:rFonts w:ascii="黑体" w:eastAsia="黑体" w:hint="eastAsia"/>
          <w:sz w:val="21"/>
        </w:rPr>
        <w:t>先天性畸形、变形</w:t>
      </w:r>
    </w:p>
    <w:p>
      <w:pPr>
        <w:pStyle w:val="BodyText"/>
        <w:spacing w:before="44"/>
        <w:ind w:left="991"/>
        <w:rPr>
          <w:rFonts w:ascii="黑体" w:eastAsia="黑体" w:hint="eastAsia"/>
        </w:rPr>
      </w:pPr>
      <w:r>
        <w:rPr>
          <w:rFonts w:ascii="黑体" w:eastAsia="黑体" w:hint="eastAsia"/>
        </w:rPr>
        <w:t>或染色体异常</w:t>
      </w:r>
    </w:p>
    <w:p>
      <w:pPr>
        <w:pStyle w:val="BodyText"/>
        <w:spacing w:before="12"/>
        <w:ind w:left="0"/>
        <w:rPr>
          <w:rFonts w:ascii="黑体"/>
          <w:sz w:val="27"/>
        </w:rPr>
      </w:pPr>
    </w:p>
    <w:p>
      <w:pPr>
        <w:pStyle w:val="ListParagraph"/>
        <w:numPr>
          <w:ilvl w:val="1"/>
          <w:numId w:val="11"/>
        </w:numPr>
        <w:tabs>
          <w:tab w:pos="991" w:val="left" w:leader="none"/>
          <w:tab w:pos="992" w:val="left" w:leader="none"/>
        </w:tabs>
        <w:spacing w:line="278" w:lineRule="auto" w:before="0" w:after="0"/>
        <w:ind w:left="991" w:right="0" w:hanging="878"/>
        <w:jc w:val="left"/>
        <w:rPr>
          <w:rFonts w:ascii="黑体" w:eastAsia="黑体" w:hint="eastAsia"/>
          <w:sz w:val="21"/>
        </w:rPr>
      </w:pPr>
      <w:r>
        <w:rPr>
          <w:rFonts w:ascii="黑体" w:eastAsia="黑体" w:hint="eastAsia"/>
          <w:sz w:val="21"/>
        </w:rPr>
        <w:t>感染艾滋病病毒或患艾滋病</w:t>
      </w:r>
    </w:p>
    <w:p>
      <w:pPr>
        <w:pStyle w:val="BodyText"/>
        <w:spacing w:line="278" w:lineRule="auto" w:before="36"/>
        <w:ind w:left="113" w:right="109"/>
      </w:pPr>
      <w:r>
        <w:rPr/>
        <w:br w:type="column"/>
      </w:r>
      <w:r>
        <w:rPr/>
        <w:t>指被保险人出生时就具有的畸形、变形或染色体异常。先天性畸形、变形和染色体异常依照世界卫生组织《疾病和有关健康问题的国际统计分类》</w:t>
      </w:r>
    </w:p>
    <w:p>
      <w:pPr>
        <w:pStyle w:val="BodyText"/>
        <w:spacing w:before="12"/>
        <w:ind w:left="113"/>
      </w:pPr>
      <w:r>
        <w:rPr/>
        <w:t>（ICD-10）确定。</w:t>
      </w:r>
    </w:p>
    <w:p>
      <w:pPr>
        <w:pStyle w:val="BodyText"/>
        <w:spacing w:line="278" w:lineRule="auto" w:before="45"/>
        <w:ind w:left="113" w:right="159"/>
      </w:pPr>
      <w:r>
        <w:rPr/>
        <w:t>艾滋病病毒指人类免疫缺陷病毒，英文缩写为 HIV。艾滋病指人类免疫缺陷病毒引起的获得性免疫缺陷综合征，英文缩写为 AIDS。</w:t>
      </w:r>
    </w:p>
    <w:p>
      <w:pPr>
        <w:pStyle w:val="BodyText"/>
        <w:spacing w:line="278" w:lineRule="auto" w:before="11"/>
        <w:ind w:left="113" w:right="125"/>
      </w:pPr>
      <w:r>
        <w:rPr>
          <w:spacing w:val="-3"/>
        </w:rPr>
        <w:t>在人体血液或其他样本中检测到艾滋病病毒或其抗体呈阳性，没有出现临床</w:t>
      </w:r>
      <w:r>
        <w:rPr>
          <w:spacing w:val="-16"/>
        </w:rPr>
        <w:t>症状或体征的，为感染艾滋病病毒；如果同时出现了明显临床症状或体征的， 为患艾滋病。</w:t>
      </w:r>
    </w:p>
    <w:p>
      <w:pPr>
        <w:spacing w:after="0" w:line="278" w:lineRule="auto"/>
        <w:sectPr>
          <w:type w:val="continuous"/>
          <w:pgSz w:w="11910" w:h="16840"/>
          <w:pgMar w:top="200" w:bottom="280" w:left="1020" w:right="900"/>
          <w:cols w:num="2" w:equalWidth="0">
            <w:col w:w="2672" w:space="106"/>
            <w:col w:w="7212"/>
          </w:cols>
        </w:sectPr>
      </w:pPr>
    </w:p>
    <w:p>
      <w:pPr>
        <w:pStyle w:val="BodyText"/>
        <w:ind w:left="0"/>
        <w:rPr>
          <w:sz w:val="9"/>
        </w:rPr>
      </w:pPr>
    </w:p>
    <w:p>
      <w:pPr>
        <w:pStyle w:val="ListParagraph"/>
        <w:numPr>
          <w:ilvl w:val="1"/>
          <w:numId w:val="11"/>
        </w:numPr>
        <w:tabs>
          <w:tab w:pos="991" w:val="left" w:leader="none"/>
          <w:tab w:pos="992" w:val="left" w:leader="none"/>
          <w:tab w:pos="2891" w:val="left" w:leader="none"/>
        </w:tabs>
        <w:spacing w:line="280" w:lineRule="auto" w:before="35" w:after="0"/>
        <w:ind w:left="2891" w:right="230" w:hanging="2778"/>
        <w:jc w:val="left"/>
        <w:rPr>
          <w:sz w:val="21"/>
        </w:rPr>
      </w:pPr>
      <w:r>
        <w:rPr>
          <w:rFonts w:ascii="黑体" w:eastAsia="黑体" w:hint="eastAsia"/>
          <w:sz w:val="21"/>
        </w:rPr>
        <w:t>现金价值</w:t>
        <w:tab/>
      </w:r>
      <w:r>
        <w:rPr>
          <w:sz w:val="21"/>
        </w:rPr>
        <w:t>指本合同保险单所具有的价值</w:t>
      </w:r>
      <w:r>
        <w:rPr>
          <w:spacing w:val="-35"/>
          <w:sz w:val="21"/>
        </w:rPr>
        <w:t>，</w:t>
      </w:r>
      <w:r>
        <w:rPr>
          <w:sz w:val="21"/>
        </w:rPr>
        <w:t>通常体现为解除合同时</w:t>
      </w:r>
      <w:r>
        <w:rPr>
          <w:spacing w:val="-35"/>
          <w:sz w:val="21"/>
        </w:rPr>
        <w:t>，</w:t>
      </w:r>
      <w:r>
        <w:rPr>
          <w:sz w:val="21"/>
        </w:rPr>
        <w:t>根据精算原理计算的，由本公司退还的那部分金额。现金价值见本合同相应栏目。</w:t>
      </w:r>
    </w:p>
    <w:p>
      <w:pPr>
        <w:pStyle w:val="ListParagraph"/>
        <w:numPr>
          <w:ilvl w:val="1"/>
          <w:numId w:val="11"/>
        </w:numPr>
        <w:tabs>
          <w:tab w:pos="991" w:val="left" w:leader="none"/>
          <w:tab w:pos="992" w:val="left" w:leader="none"/>
          <w:tab w:pos="2891" w:val="left" w:leader="none"/>
        </w:tabs>
        <w:spacing w:line="280" w:lineRule="auto" w:before="151" w:after="0"/>
        <w:ind w:left="2891" w:right="228" w:hanging="2778"/>
        <w:jc w:val="left"/>
        <w:rPr>
          <w:sz w:val="21"/>
        </w:rPr>
      </w:pPr>
      <w:r>
        <w:rPr>
          <w:rFonts w:ascii="黑体" w:eastAsia="黑体" w:hint="eastAsia"/>
          <w:sz w:val="21"/>
        </w:rPr>
        <w:t>有效身份证件</w:t>
        <w:tab/>
      </w:r>
      <w:r>
        <w:rPr>
          <w:sz w:val="21"/>
        </w:rPr>
        <w:t>指由政府主管部门规定的证明其身份的证件</w:t>
      </w:r>
      <w:r>
        <w:rPr>
          <w:spacing w:val="-23"/>
          <w:sz w:val="21"/>
        </w:rPr>
        <w:t>，</w:t>
      </w:r>
      <w:r>
        <w:rPr>
          <w:sz w:val="21"/>
        </w:rPr>
        <w:t>如</w:t>
      </w:r>
      <w:r>
        <w:rPr>
          <w:spacing w:val="-23"/>
          <w:sz w:val="21"/>
        </w:rPr>
        <w:t>：</w:t>
      </w:r>
      <w:r>
        <w:rPr>
          <w:sz w:val="21"/>
        </w:rPr>
        <w:t>居民身份证</w:t>
      </w:r>
      <w:r>
        <w:rPr>
          <w:spacing w:val="-23"/>
          <w:sz w:val="21"/>
        </w:rPr>
        <w:t>、</w:t>
      </w:r>
      <w:r>
        <w:rPr>
          <w:sz w:val="21"/>
        </w:rPr>
        <w:t>按规定可使用的有效护照、军官证、警官证、士兵证等证件。</w:t>
      </w:r>
    </w:p>
    <w:p>
      <w:pPr>
        <w:pStyle w:val="BodyText"/>
        <w:ind w:left="0"/>
        <w:rPr>
          <w:sz w:val="20"/>
        </w:rPr>
      </w:pPr>
    </w:p>
    <w:p>
      <w:pPr>
        <w:pStyle w:val="Heading2"/>
        <w:spacing w:before="157"/>
        <w:ind w:left="113"/>
      </w:pPr>
      <w:r>
        <w:rPr/>
        <w:t>附件 1：重大疾病范围及定义</w:t>
      </w:r>
    </w:p>
    <w:p>
      <w:pPr>
        <w:pStyle w:val="BodyText"/>
        <w:spacing w:before="12"/>
        <w:ind w:left="0"/>
        <w:rPr>
          <w:rFonts w:ascii="黑体"/>
          <w:b/>
          <w:sz w:val="13"/>
        </w:rPr>
      </w:pPr>
    </w:p>
    <w:p>
      <w:pPr>
        <w:pStyle w:val="BodyText"/>
        <w:spacing w:before="1"/>
        <w:ind w:left="2891" w:right="223" w:hanging="1901"/>
        <w:jc w:val="both"/>
      </w:pPr>
      <w:r>
        <w:rPr>
          <w:spacing w:val="-3"/>
        </w:rPr>
        <w:t>重大疾病         指被保险人初次发生符合下列定义的疾病，或初次接受符合下列所定义的手</w:t>
      </w:r>
      <w:r>
        <w:rPr>
          <w:spacing w:val="-7"/>
        </w:rPr>
        <w:t>术。该疾病或手术由</w:t>
      </w:r>
      <w:r>
        <w:rPr>
          <w:rFonts w:ascii="微软雅黑" w:eastAsia="微软雅黑" w:hint="eastAsia"/>
          <w:b/>
        </w:rPr>
        <w:t>专科医生</w:t>
      </w:r>
      <w:r>
        <w:rPr>
          <w:spacing w:val="-6"/>
        </w:rPr>
        <w:t>明确诊断。以下是本合同所附三十种重大疾病</w:t>
      </w:r>
      <w:r>
        <w:rPr/>
        <w:t>的定义，其中第一种至第二十五种重大疾病是中国保险业行业协会制定的</w:t>
      </w:r>
    </w:p>
    <w:p>
      <w:pPr>
        <w:pStyle w:val="BodyText"/>
        <w:spacing w:line="278" w:lineRule="auto" w:before="45"/>
        <w:ind w:left="2891" w:right="223"/>
        <w:jc w:val="both"/>
      </w:pPr>
      <w:r>
        <w:rPr>
          <w:spacing w:val="-5"/>
        </w:rPr>
        <w:t>《重大疾病保险的疾病定义使用规范》中列明的疾病，第二十六种至第三十</w:t>
      </w:r>
      <w:r>
        <w:rPr/>
        <w:t>种重大疾病是本公司在中国保险行业协会与中国医师协会制定了规范定义的疾病范围之外增加的疾病。</w:t>
      </w:r>
    </w:p>
    <w:p>
      <w:pPr>
        <w:pStyle w:val="BodyText"/>
        <w:spacing w:before="153"/>
        <w:ind w:left="2891"/>
      </w:pPr>
      <w:r>
        <w:rPr/>
        <w:t>（一）恶性肿瘤</w:t>
      </w:r>
    </w:p>
    <w:p>
      <w:pPr>
        <w:pStyle w:val="BodyText"/>
        <w:spacing w:line="278" w:lineRule="auto" w:before="45"/>
        <w:ind w:left="2891" w:right="230"/>
        <w:jc w:val="both"/>
      </w:pPr>
      <w:r>
        <w:rPr>
          <w:spacing w:val="-4"/>
        </w:rPr>
        <w:t>指恶性细胞不受控制的进行性增长和扩散，浸润和破坏周围正常组织，可以</w:t>
      </w:r>
      <w:r>
        <w:rPr>
          <w:spacing w:val="-9"/>
        </w:rPr>
        <w:t>经血管、淋巴管和体腔扩散转移到身体其他部位的疾病。经病理学检查结果</w:t>
      </w:r>
      <w:r>
        <w:rPr>
          <w:spacing w:val="-11"/>
        </w:rPr>
        <w:t>明确诊断，临床诊断属于世界卫生组织《疾病和有关健康问题的国际统计分</w:t>
      </w:r>
      <w:r>
        <w:rPr>
          <w:spacing w:val="-53"/>
        </w:rPr>
        <w:t>类》</w:t>
      </w:r>
      <w:r>
        <w:rPr>
          <w:spacing w:val="-1"/>
        </w:rPr>
        <w:t>（ICD-10）的恶性肿瘤范畴。</w:t>
      </w:r>
    </w:p>
    <w:p>
      <w:pPr>
        <w:pStyle w:val="BodyText"/>
        <w:spacing w:line="280" w:lineRule="auto" w:before="10"/>
        <w:ind w:left="2892" w:right="4558"/>
      </w:pPr>
      <w:r>
        <w:rPr>
          <w:shd w:fill="D9D9D9" w:color="auto" w:val="clear"/>
        </w:rPr>
        <w:t>下列疾病不在保障范围内：</w:t>
      </w:r>
      <w:r>
        <w:rPr/>
        <w:t> </w:t>
      </w:r>
      <w:r>
        <w:rPr>
          <w:shd w:fill="D9D9D9" w:color="auto" w:val="clear"/>
        </w:rPr>
        <w:t>(1)原位癌；</w:t>
      </w:r>
    </w:p>
    <w:p>
      <w:pPr>
        <w:pStyle w:val="BodyText"/>
        <w:spacing w:before="9"/>
        <w:ind w:left="2892"/>
      </w:pPr>
      <w:r>
        <w:rPr>
          <w:shd w:fill="D9D9D9" w:color="auto" w:val="clear"/>
        </w:rPr>
        <w:t>(2)相当于 Binet 分期方案 A 期程度的慢性淋巴细胞白血病；</w:t>
      </w:r>
    </w:p>
    <w:p>
      <w:pPr>
        <w:pStyle w:val="BodyText"/>
        <w:spacing w:line="278" w:lineRule="auto" w:before="43"/>
        <w:ind w:left="2892" w:right="1630"/>
      </w:pPr>
      <w:r>
        <w:rPr>
          <w:shd w:fill="D9D9D9" w:color="auto" w:val="clear"/>
        </w:rPr>
        <w:t>(3)</w:t>
      </w:r>
      <w:r>
        <w:rPr>
          <w:spacing w:val="-14"/>
          <w:shd w:fill="D9D9D9" w:color="auto" w:val="clear"/>
        </w:rPr>
        <w:t>相当于 </w:t>
      </w:r>
      <w:r>
        <w:rPr>
          <w:shd w:fill="D9D9D9" w:color="auto" w:val="clear"/>
        </w:rPr>
        <w:t>Ann</w:t>
      </w:r>
      <w:r>
        <w:rPr>
          <w:spacing w:val="-5"/>
          <w:shd w:fill="D9D9D9" w:color="auto" w:val="clear"/>
        </w:rPr>
        <w:t> </w:t>
      </w:r>
      <w:r>
        <w:rPr>
          <w:shd w:fill="D9D9D9" w:color="auto" w:val="clear"/>
        </w:rPr>
        <w:t>Arbor</w:t>
      </w:r>
      <w:r>
        <w:rPr>
          <w:spacing w:val="-20"/>
          <w:shd w:fill="D9D9D9" w:color="auto" w:val="clear"/>
        </w:rPr>
        <w:t> 分期方案 </w:t>
      </w:r>
      <w:r>
        <w:rPr>
          <w:shd w:fill="D9D9D9" w:color="auto" w:val="clear"/>
        </w:rPr>
        <w:t>I</w:t>
      </w:r>
      <w:r>
        <w:rPr>
          <w:spacing w:val="-8"/>
          <w:shd w:fill="D9D9D9" w:color="auto" w:val="clear"/>
        </w:rPr>
        <w:t> 期程度的何杰金氏病；</w:t>
      </w:r>
      <w:r>
        <w:rPr>
          <w:spacing w:val="-8"/>
        </w:rPr>
        <w:t> </w:t>
      </w:r>
      <w:r>
        <w:rPr>
          <w:spacing w:val="-1"/>
          <w:shd w:fill="D9D9D9" w:color="auto" w:val="clear"/>
        </w:rPr>
        <w:t>(4)皮肤癌（不包括恶性黑色素瘤及已发生转移的皮肤癌</w:t>
      </w:r>
      <w:r>
        <w:rPr>
          <w:spacing w:val="-105"/>
          <w:shd w:fill="D9D9D9" w:color="auto" w:val="clear"/>
        </w:rPr>
        <w:t>）</w:t>
      </w:r>
      <w:r>
        <w:rPr>
          <w:shd w:fill="D9D9D9" w:color="auto" w:val="clear"/>
        </w:rPr>
        <w:t>；</w:t>
      </w:r>
      <w:r>
        <w:rPr/>
        <w:t> </w:t>
      </w:r>
      <w:r>
        <w:rPr>
          <w:shd w:fill="D9D9D9" w:color="auto" w:val="clear"/>
        </w:rPr>
        <w:t>(5)TNM</w:t>
      </w:r>
      <w:r>
        <w:rPr>
          <w:spacing w:val="7"/>
          <w:shd w:fill="D9D9D9" w:color="auto" w:val="clear"/>
        </w:rPr>
        <w:t>  分期为  </w:t>
      </w:r>
      <w:r>
        <w:rPr>
          <w:shd w:fill="D9D9D9" w:color="auto" w:val="clear"/>
        </w:rPr>
        <w:t>T1N0M0  期或更轻分期的前列腺癌； </w:t>
      </w:r>
      <w:r>
        <w:rPr>
          <w:spacing w:val="-1"/>
          <w:shd w:fill="D9D9D9" w:color="auto" w:val="clear"/>
        </w:rPr>
        <w:t>(6)感染艾滋病病毒或患艾滋病期间所患恶性肿瘤。</w:t>
      </w:r>
    </w:p>
    <w:p>
      <w:pPr>
        <w:pStyle w:val="BodyText"/>
        <w:spacing w:before="153"/>
        <w:ind w:left="2891"/>
        <w:jc w:val="both"/>
      </w:pPr>
      <w:r>
        <w:rPr/>
        <w:t>（二）急性心肌梗塞</w:t>
      </w:r>
    </w:p>
    <w:p>
      <w:pPr>
        <w:spacing w:after="0"/>
        <w:jc w:val="both"/>
        <w:sectPr>
          <w:type w:val="continuous"/>
          <w:pgSz w:w="11910" w:h="16840"/>
          <w:pgMar w:top="200" w:bottom="280" w:left="1020" w:right="900"/>
        </w:sectPr>
      </w:pPr>
    </w:p>
    <w:p>
      <w:pPr>
        <w:pStyle w:val="BodyText"/>
        <w:spacing w:line="278" w:lineRule="auto" w:before="8"/>
        <w:ind w:right="138"/>
      </w:pPr>
      <w:r>
        <w:rPr/>
        <w:t>指因冠状动脉阻塞导致的相应区域供血不足造成部分心肌坏死。须满足下列至少三项条件：</w:t>
      </w:r>
    </w:p>
    <w:p>
      <w:pPr>
        <w:pStyle w:val="BodyText"/>
        <w:spacing w:line="278" w:lineRule="auto" w:before="11"/>
        <w:ind w:right="207"/>
      </w:pPr>
      <w:r>
        <w:rPr/>
        <w:t>(1)典型临床表现，例如急性胸痛等；                              (2)新近的心电图改变提示急性心肌梗塞；                          (3)心肌酶或肌钙蛋白有诊断意义的升高，或呈符合急性心肌梗塞的动态性</w:t>
      </w:r>
    </w:p>
    <w:p>
      <w:pPr>
        <w:pStyle w:val="BodyText"/>
        <w:spacing w:before="11"/>
        <w:ind w:left="2547"/>
      </w:pPr>
      <w:r>
        <w:rPr/>
        <w:t>变化；</w:t>
      </w:r>
    </w:p>
    <w:p>
      <w:pPr>
        <w:pStyle w:val="BodyText"/>
        <w:spacing w:before="40"/>
      </w:pPr>
      <w:r>
        <w:rPr>
          <w:position w:val="1"/>
        </w:rPr>
        <w:t>(4)发病</w:t>
      </w:r>
      <w:r>
        <w:rPr>
          <w:spacing w:val="-60"/>
          <w:position w:val="1"/>
        </w:rPr>
        <w:t> </w:t>
      </w:r>
      <w:r>
        <w:rPr>
          <w:position w:val="1"/>
        </w:rPr>
        <w:t>90</w:t>
      </w:r>
      <w:r>
        <w:rPr>
          <w:spacing w:val="-61"/>
          <w:position w:val="1"/>
        </w:rPr>
        <w:t> </w:t>
      </w:r>
      <w:r>
        <w:rPr>
          <w:position w:val="1"/>
        </w:rPr>
        <w:t>天后</w:t>
      </w:r>
      <w:r>
        <w:rPr>
          <w:spacing w:val="-62"/>
          <w:position w:val="1"/>
        </w:rPr>
        <w:t>，</w:t>
      </w:r>
      <w:r>
        <w:rPr>
          <w:position w:val="1"/>
        </w:rPr>
        <w:t>经检查证实左心室功能降低</w:t>
      </w:r>
      <w:r>
        <w:rPr>
          <w:spacing w:val="-62"/>
          <w:position w:val="1"/>
        </w:rPr>
        <w:t>，</w:t>
      </w:r>
      <w:r>
        <w:rPr>
          <w:position w:val="1"/>
        </w:rPr>
        <w:t>如左心室射血分数低于</w:t>
      </w:r>
      <w:r>
        <w:rPr>
          <w:spacing w:val="-53"/>
          <w:position w:val="1"/>
        </w:rPr>
        <w:t> </w:t>
      </w:r>
      <w:r>
        <w:rPr>
          <w:spacing w:val="3"/>
        </w:rPr>
        <w:drawing>
          <wp:inline distT="0" distB="0" distL="0" distR="0">
            <wp:extent cx="60325" cy="104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position w:val="1"/>
        </w:rPr>
        <w:t>。</w:t>
      </w:r>
    </w:p>
    <w:p>
      <w:pPr>
        <w:pStyle w:val="BodyText"/>
        <w:spacing w:before="9"/>
        <w:ind w:left="0"/>
        <w:rPr>
          <w:sz w:val="14"/>
        </w:rPr>
      </w:pPr>
    </w:p>
    <w:p>
      <w:pPr>
        <w:pStyle w:val="BodyText"/>
      </w:pPr>
      <w:r>
        <w:rPr/>
        <w:t>（三）脑中风后遗症</w:t>
      </w:r>
    </w:p>
    <w:p>
      <w:pPr>
        <w:pStyle w:val="BodyText"/>
        <w:spacing w:line="280" w:lineRule="auto" w:before="44"/>
        <w:ind w:right="209"/>
        <w:jc w:val="both"/>
      </w:pPr>
      <w:r>
        <w:rPr>
          <w:spacing w:val="-4"/>
        </w:rPr>
        <w:t>指因脑血管的突发病变引起脑血管出血、栓塞或梗塞，并导致神经系统永久</w:t>
      </w:r>
      <w:r>
        <w:rPr>
          <w:spacing w:val="-10"/>
        </w:rPr>
        <w:t>性的功能障碍。神经系统永久性的功能障碍，指疾病确诊 </w:t>
      </w:r>
      <w:r>
        <w:rPr/>
        <w:t>180</w:t>
      </w:r>
      <w:r>
        <w:rPr>
          <w:spacing w:val="-12"/>
        </w:rPr>
        <w:t> 天后，仍遗留下列一种或一种以上障碍：</w:t>
      </w:r>
    </w:p>
    <w:p>
      <w:pPr>
        <w:spacing w:line="288" w:lineRule="exact" w:before="0"/>
        <w:ind w:left="2232"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232"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30"/>
        <w:ind w:left="2547" w:right="238"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152"/>
        <w:ind w:left="2231"/>
      </w:pPr>
      <w:r>
        <w:rPr/>
        <w:t>（四）重大器官移植术或造血干细胞移植术</w:t>
      </w:r>
    </w:p>
    <w:p>
      <w:pPr>
        <w:pStyle w:val="BodyText"/>
        <w:spacing w:line="280" w:lineRule="auto" w:before="45"/>
        <w:ind w:left="2231" w:right="145"/>
      </w:pPr>
      <w:r>
        <w:rPr/>
        <w:t>重大器官移植术，指因相应器官功能衰竭，已经实施了肾脏、肝脏、心脏或肺脏的异体移植手术。</w:t>
      </w:r>
    </w:p>
    <w:p>
      <w:pPr>
        <w:pStyle w:val="BodyText"/>
        <w:spacing w:line="280" w:lineRule="auto" w:before="8"/>
        <w:ind w:left="2231" w:right="208"/>
        <w:jc w:val="both"/>
      </w:pPr>
      <w:r>
        <w:rPr>
          <w:spacing w:val="-6"/>
        </w:rPr>
        <w:t>造血干细胞移植术，指因造血功能损害或造血系统恶性肿瘤，已经实施了造</w:t>
      </w:r>
      <w:r>
        <w:rPr>
          <w:spacing w:val="-11"/>
        </w:rPr>
        <w:t>血干细胞</w:t>
      </w:r>
      <w:r>
        <w:rPr/>
        <w:t>（</w:t>
      </w:r>
      <w:r>
        <w:rPr>
          <w:spacing w:val="-3"/>
        </w:rPr>
        <w:t>包括骨髓造血干细胞、外周血造血干细胞和脐血造血干细胞</w:t>
      </w:r>
      <w:r>
        <w:rPr>
          <w:spacing w:val="-23"/>
        </w:rPr>
        <w:t>）</w:t>
      </w:r>
      <w:r>
        <w:rPr/>
        <w:t>的异体移植手术。</w:t>
      </w:r>
    </w:p>
    <w:p>
      <w:pPr>
        <w:pStyle w:val="BodyText"/>
        <w:spacing w:before="151"/>
        <w:ind w:left="2231"/>
      </w:pPr>
      <w:r>
        <w:rPr/>
        <w:t>（五）冠状动脉搭桥术（或称冠状动脉旁路移植术）</w:t>
      </w:r>
    </w:p>
    <w:p>
      <w:pPr>
        <w:pStyle w:val="BodyText"/>
        <w:spacing w:line="280" w:lineRule="auto" w:before="44"/>
        <w:ind w:left="2231" w:right="209"/>
      </w:pPr>
      <w:r>
        <w:rPr>
          <w:spacing w:val="-7"/>
        </w:rPr>
        <w:t>指为治疗严重的冠心病，实际实施了开胸进行的冠状动脉血管旁路移植的手术。</w:t>
      </w:r>
    </w:p>
    <w:p>
      <w:pPr>
        <w:pStyle w:val="BodyText"/>
        <w:spacing w:line="278" w:lineRule="auto" w:before="9"/>
        <w:ind w:right="144"/>
      </w:pPr>
      <w:r>
        <w:rPr>
          <w:shd w:fill="D9D9D9" w:color="auto" w:val="clear"/>
        </w:rPr>
        <w:t>冠状动脉支架植入术、心导管球囊扩张术、激光射频技术及其他非开胸的介入手术、腔镜手术不在保障范围内。</w:t>
      </w:r>
    </w:p>
    <w:p>
      <w:pPr>
        <w:pStyle w:val="BodyText"/>
        <w:spacing w:before="153"/>
        <w:ind w:left="2231"/>
      </w:pPr>
      <w:r>
        <w:rPr/>
        <w:t>（六）终末期肾病（或称慢性肾功能衰竭尿毒症期）</w:t>
      </w:r>
    </w:p>
    <w:p>
      <w:pPr>
        <w:pStyle w:val="BodyText"/>
        <w:spacing w:before="45"/>
      </w:pPr>
      <w:r>
        <w:rPr/>
        <w:t>指双肾功能慢性不可逆性衰竭，达到尿毒症期，经诊断后已经进行了至少</w:t>
      </w:r>
    </w:p>
    <w:p>
      <w:pPr>
        <w:pStyle w:val="BodyText"/>
        <w:spacing w:before="45"/>
      </w:pPr>
      <w:r>
        <w:rPr/>
        <w:t>90 天的规律性透析治疗或实施了肾脏移植手术。</w:t>
      </w:r>
    </w:p>
    <w:p>
      <w:pPr>
        <w:pStyle w:val="BodyText"/>
        <w:spacing w:before="3"/>
        <w:ind w:left="0"/>
        <w:rPr>
          <w:sz w:val="14"/>
        </w:rPr>
      </w:pPr>
    </w:p>
    <w:p>
      <w:pPr>
        <w:pStyle w:val="BodyText"/>
        <w:spacing w:before="1"/>
        <w:ind w:left="2231"/>
      </w:pPr>
      <w:r>
        <w:rPr/>
        <w:t>（七）多个肢体缺失</w:t>
      </w:r>
    </w:p>
    <w:p>
      <w:pPr>
        <w:pStyle w:val="BodyText"/>
        <w:spacing w:line="280" w:lineRule="auto" w:before="44"/>
        <w:ind w:right="138"/>
      </w:pPr>
      <w:r>
        <w:rPr/>
        <w:t>指因疾病或意外伤害导致两个或两个以上肢体自腕关节或踝关节近端（靠近躯干端）以上完全性断离。</w:t>
      </w:r>
    </w:p>
    <w:p>
      <w:pPr>
        <w:pStyle w:val="BodyText"/>
        <w:spacing w:before="151"/>
        <w:ind w:left="2231"/>
      </w:pPr>
      <w:r>
        <w:rPr/>
        <w:t>（八）急性或亚急性重症肝炎</w:t>
      </w:r>
    </w:p>
    <w:p>
      <w:pPr>
        <w:pStyle w:val="BodyText"/>
        <w:spacing w:line="278" w:lineRule="auto" w:before="45"/>
        <w:ind w:right="138"/>
      </w:pPr>
      <w:r>
        <w:rPr/>
        <w:t>指因肝炎病毒感染引起肝脏组织弥漫性坏死，导致急性肝功能衰竭，且经血清学或病毒学检查证实，并须满足下列全部条件：                   (1)重度黄疸或黄疸迅速加重；</w:t>
      </w:r>
    </w:p>
    <w:p>
      <w:pPr>
        <w:pStyle w:val="BodyText"/>
        <w:spacing w:before="11"/>
      </w:pPr>
      <w:r>
        <w:rPr/>
        <w:t>(2)肝性脑病；</w:t>
      </w:r>
    </w:p>
    <w:p>
      <w:pPr>
        <w:pStyle w:val="BodyText"/>
        <w:spacing w:line="280" w:lineRule="auto" w:before="44"/>
        <w:ind w:right="2334"/>
      </w:pPr>
      <w:r>
        <w:rPr/>
        <w:t>(3)B 超或其他影像学检查显示肝脏体积急速萎缩； (4)肝功能指标进行性恶化。</w:t>
      </w:r>
    </w:p>
    <w:p>
      <w:pPr>
        <w:pStyle w:val="BodyText"/>
        <w:spacing w:before="151"/>
        <w:ind w:left="2231"/>
      </w:pPr>
      <w:r>
        <w:rPr/>
        <w:t>（九）良性脑肿瘤</w:t>
      </w:r>
    </w:p>
    <w:p>
      <w:pPr>
        <w:spacing w:after="0"/>
        <w:sectPr>
          <w:pgSz w:w="11910" w:h="16840"/>
          <w:pgMar w:top="1420" w:bottom="280" w:left="1680" w:right="920"/>
        </w:sectPr>
      </w:pPr>
    </w:p>
    <w:p>
      <w:pPr>
        <w:pStyle w:val="BodyText"/>
        <w:spacing w:line="278" w:lineRule="auto" w:before="8"/>
        <w:ind w:right="207"/>
      </w:pPr>
      <w:r>
        <w:rPr>
          <w:spacing w:val="-6"/>
        </w:rPr>
        <w:t>指脑的良性肿瘤，已经引起颅内压增高，临床表现为视神经乳头水肿、精神</w:t>
      </w:r>
      <w:r>
        <w:rPr>
          <w:spacing w:val="0"/>
        </w:rPr>
        <w:t>症状、癫痫及运动感觉障碍等，并危及生命。须由头颅断层扫描（</w:t>
      </w:r>
      <w:r>
        <w:rPr>
          <w:spacing w:val="-1"/>
        </w:rPr>
        <w:t>C</w:t>
      </w:r>
      <w:r>
        <w:rPr>
          <w:spacing w:val="0"/>
        </w:rPr>
        <w:t>T</w:t>
      </w:r>
      <w:r>
        <w:rPr>
          <w:spacing w:val="-104"/>
        </w:rPr>
        <w:t>）</w:t>
      </w:r>
      <w:r>
        <w:rPr/>
        <w:t>、核</w:t>
      </w:r>
      <w:r>
        <w:rPr>
          <w:spacing w:val="-3"/>
        </w:rPr>
        <w:t>磁共振检查</w:t>
      </w:r>
      <w:r>
        <w:rPr>
          <w:spacing w:val="-4"/>
        </w:rPr>
        <w:t>（MRI）</w:t>
      </w:r>
      <w:r>
        <w:rPr>
          <w:spacing w:val="-2"/>
        </w:rPr>
        <w:t>或正电子发射断层扫描</w:t>
      </w:r>
      <w:r>
        <w:rPr>
          <w:spacing w:val="-4"/>
        </w:rPr>
        <w:t>（PET）</w:t>
      </w:r>
      <w:r>
        <w:rPr>
          <w:spacing w:val="-2"/>
        </w:rPr>
        <w:t>等影像学检查证实，并须满足下列至少一项条件：                                         (1)实际实施了开颅进行的脑肿瘤完全切除或部分切除的手术；        </w:t>
      </w:r>
      <w:r>
        <w:rPr>
          <w:spacing w:val="-1"/>
        </w:rPr>
        <w:t>(2)实际实施了对脑肿瘤进行的放射治疗。</w:t>
      </w:r>
    </w:p>
    <w:p>
      <w:pPr>
        <w:pStyle w:val="BodyText"/>
        <w:spacing w:before="11"/>
      </w:pPr>
      <w:r>
        <w:rPr>
          <w:shd w:fill="D9D9D9" w:color="auto" w:val="clear"/>
        </w:rPr>
        <w:t>脑垂体瘤、脑囊肿、脑血管性疾病不在保障范围内。</w:t>
      </w:r>
    </w:p>
    <w:p>
      <w:pPr>
        <w:pStyle w:val="BodyText"/>
        <w:spacing w:before="3"/>
        <w:ind w:left="0"/>
        <w:rPr>
          <w:sz w:val="14"/>
        </w:rPr>
      </w:pPr>
    </w:p>
    <w:p>
      <w:pPr>
        <w:pStyle w:val="BodyText"/>
        <w:ind w:left="2231"/>
      </w:pPr>
      <w:r>
        <w:rPr/>
        <w:t>（十）慢性肝功能衰竭失代偿期</w:t>
      </w:r>
    </w:p>
    <w:p>
      <w:pPr>
        <w:pStyle w:val="BodyText"/>
        <w:spacing w:line="280" w:lineRule="auto" w:before="43"/>
        <w:ind w:right="1598"/>
      </w:pPr>
      <w:r>
        <w:rPr/>
        <w:t>指因慢性肝脏疾病导致肝功能衰竭。须满足下列全部条件： (1)持续性黄疸；</w:t>
      </w:r>
    </w:p>
    <w:p>
      <w:pPr>
        <w:pStyle w:val="BodyText"/>
        <w:spacing w:line="278" w:lineRule="auto" w:before="9"/>
        <w:ind w:right="5705"/>
      </w:pPr>
      <w:r>
        <w:rPr/>
        <w:t>(2)腹水；  </w:t>
      </w:r>
      <w:r>
        <w:rPr>
          <w:spacing w:val="-1"/>
        </w:rPr>
        <w:t>(3)肝性脑病；</w:t>
      </w:r>
    </w:p>
    <w:p>
      <w:pPr>
        <w:pStyle w:val="BodyText"/>
        <w:spacing w:line="280" w:lineRule="auto" w:before="11"/>
        <w:ind w:right="2030"/>
      </w:pPr>
      <w:r>
        <w:rPr/>
        <w:t>(4)充血性脾肿大伴脾功能亢进或食管胃底静脉曲张。</w:t>
      </w:r>
      <w:r>
        <w:rPr>
          <w:shd w:fill="D9D9D9" w:color="auto" w:val="clear"/>
        </w:rPr>
        <w:t>因酗酒或药物滥用导致的肝功能衰竭不在保障范围内。</w:t>
      </w:r>
    </w:p>
    <w:p>
      <w:pPr>
        <w:pStyle w:val="BodyText"/>
        <w:spacing w:before="150"/>
        <w:ind w:left="2231"/>
      </w:pPr>
      <w:r>
        <w:rPr/>
        <w:t>（十一）脑炎后遗症或脑膜炎后遗症</w:t>
      </w:r>
    </w:p>
    <w:p>
      <w:pPr>
        <w:pStyle w:val="BodyText"/>
        <w:spacing w:line="278" w:lineRule="auto" w:before="43"/>
        <w:ind w:right="137"/>
      </w:pPr>
      <w:r>
        <w:rPr/>
        <w:t>指因患脑炎或脑膜炎导致的神经系统永久性的功能障碍。神经系统永久性的功能障碍，指疾病确诊 180 天后，仍遗留下列一种或一种以上障碍： (1)一肢或一肢以上肢体机能完全丧失；                            (2)语言能力或咀嚼吞咽能力完全丧失；                            (3)自主生活能力完全丧失，无法独立完成六项基本日常生活活动中的三项</w:t>
      </w:r>
    </w:p>
    <w:p>
      <w:pPr>
        <w:pStyle w:val="BodyText"/>
        <w:spacing w:before="11"/>
        <w:ind w:left="2547"/>
      </w:pPr>
      <w:r>
        <w:rPr/>
        <w:t>或三项以上。</w:t>
      </w:r>
    </w:p>
    <w:p>
      <w:pPr>
        <w:pStyle w:val="BodyText"/>
        <w:spacing w:before="3"/>
        <w:ind w:left="0"/>
        <w:rPr>
          <w:sz w:val="14"/>
        </w:rPr>
      </w:pPr>
    </w:p>
    <w:p>
      <w:pPr>
        <w:pStyle w:val="BodyText"/>
      </w:pPr>
      <w:r>
        <w:rPr/>
        <w:t>（十二）深度昏迷</w:t>
      </w:r>
    </w:p>
    <w:p>
      <w:pPr>
        <w:pStyle w:val="BodyText"/>
        <w:spacing w:line="280" w:lineRule="auto" w:before="43"/>
        <w:ind w:right="105"/>
      </w:pPr>
      <w:r>
        <w:rPr/>
        <w:t>指因疾病或意外伤害导致意识丧失,对外界刺激和体内需求均无反应,昏迷</w:t>
      </w:r>
      <w:r>
        <w:rPr>
          <w:spacing w:val="-3"/>
        </w:rPr>
        <w:t>程度按照格拉斯哥昏迷分级</w:t>
      </w:r>
      <w:r>
        <w:rPr/>
        <w:t>（Glasgow</w:t>
      </w:r>
      <w:r>
        <w:rPr>
          <w:spacing w:val="-54"/>
        </w:rPr>
        <w:t> </w:t>
      </w:r>
      <w:r>
        <w:rPr/>
        <w:t>coma</w:t>
      </w:r>
      <w:r>
        <w:rPr>
          <w:spacing w:val="-55"/>
        </w:rPr>
        <w:t> </w:t>
      </w:r>
      <w:r>
        <w:rPr>
          <w:spacing w:val="-7"/>
        </w:rPr>
        <w:t>scale）</w:t>
      </w:r>
      <w:r>
        <w:rPr>
          <w:spacing w:val="-14"/>
        </w:rPr>
        <w:t>结果为 </w:t>
      </w:r>
      <w:r>
        <w:rPr/>
        <w:t>5</w:t>
      </w:r>
      <w:r>
        <w:rPr>
          <w:spacing w:val="-27"/>
        </w:rPr>
        <w:t> 分或 </w:t>
      </w:r>
      <w:r>
        <w:rPr/>
        <w:t>5</w:t>
      </w:r>
      <w:r>
        <w:rPr>
          <w:spacing w:val="-12"/>
        </w:rPr>
        <w:t> 分以下， </w:t>
      </w:r>
      <w:r>
        <w:rPr>
          <w:spacing w:val="-15"/>
        </w:rPr>
        <w:t>且已经持续使用呼吸机及其他生命维持系统 </w:t>
      </w:r>
      <w:r>
        <w:rPr/>
        <w:t>96</w:t>
      </w:r>
      <w:r>
        <w:rPr>
          <w:spacing w:val="-12"/>
        </w:rPr>
        <w:t> 小时以上。</w:t>
      </w:r>
    </w:p>
    <w:p>
      <w:pPr>
        <w:pStyle w:val="BodyText"/>
        <w:spacing w:before="8"/>
      </w:pPr>
      <w:r>
        <w:rPr>
          <w:shd w:fill="D9D9D9" w:color="auto" w:val="clear"/>
        </w:rPr>
        <w:t>因酗酒或药物滥用导致的深度昏迷不在保障范围内。</w:t>
      </w:r>
    </w:p>
    <w:p>
      <w:pPr>
        <w:pStyle w:val="BodyText"/>
        <w:spacing w:before="3"/>
        <w:ind w:left="0"/>
        <w:rPr>
          <w:sz w:val="14"/>
        </w:rPr>
      </w:pPr>
    </w:p>
    <w:p>
      <w:pPr>
        <w:pStyle w:val="BodyText"/>
        <w:spacing w:line="266" w:lineRule="exact" w:before="1"/>
        <w:ind w:left="2231"/>
      </w:pPr>
      <w:r>
        <w:rPr/>
        <w:t>（十三）双耳失聪</w:t>
      </w:r>
    </w:p>
    <w:p>
      <w:pPr>
        <w:pStyle w:val="BodyText"/>
        <w:spacing w:line="354" w:lineRule="exact"/>
      </w:pPr>
      <w:r>
        <w:rPr/>
        <w:t>指因疾病或意外伤害导致双耳听力</w:t>
      </w:r>
      <w:r>
        <w:rPr>
          <w:rFonts w:ascii="微软雅黑" w:eastAsia="微软雅黑" w:hint="eastAsia"/>
          <w:b/>
        </w:rPr>
        <w:t>永久不可逆</w:t>
      </w:r>
      <w:r>
        <w:rPr/>
        <w:t>性丧失，在 500 赫兹、1000</w:t>
      </w:r>
    </w:p>
    <w:p>
      <w:pPr>
        <w:pStyle w:val="BodyText"/>
        <w:spacing w:line="278" w:lineRule="auto" w:before="20"/>
        <w:ind w:right="143"/>
      </w:pPr>
      <w:r>
        <w:rPr>
          <w:spacing w:val="-15"/>
        </w:rPr>
        <w:t>赫兹和 </w:t>
      </w:r>
      <w:r>
        <w:rPr/>
        <w:t>2000</w:t>
      </w:r>
      <w:r>
        <w:rPr>
          <w:spacing w:val="-12"/>
        </w:rPr>
        <w:t> 赫兹语音频率下，平均听阈大于 </w:t>
      </w:r>
      <w:r>
        <w:rPr/>
        <w:t>90</w:t>
      </w:r>
      <w:r>
        <w:rPr>
          <w:spacing w:val="-8"/>
        </w:rPr>
        <w:t> 分贝，且经纯音听力测试、声导抗检测或听觉诱发电位检测等证实。</w:t>
      </w:r>
    </w:p>
    <w:p>
      <w:pPr>
        <w:pStyle w:val="BodyText"/>
        <w:spacing w:before="153"/>
        <w:ind w:left="2231"/>
      </w:pPr>
      <w:r>
        <w:rPr/>
        <w:t>（十四）双目失明</w:t>
      </w:r>
    </w:p>
    <w:p>
      <w:pPr>
        <w:pStyle w:val="BodyText"/>
        <w:spacing w:line="280" w:lineRule="auto" w:before="45"/>
        <w:ind w:right="138"/>
      </w:pPr>
      <w:r>
        <w:rPr/>
        <w:t>指因疾病或意外伤害导致双眼视力永久不可逆性丧失，双眼中较好眼须满足下列至少一项条件：</w:t>
      </w:r>
    </w:p>
    <w:p>
      <w:pPr>
        <w:pStyle w:val="BodyText"/>
        <w:spacing w:before="8"/>
      </w:pPr>
      <w:r>
        <w:rPr/>
        <w:t>(1)眼球缺失或摘除；</w:t>
      </w:r>
    </w:p>
    <w:p>
      <w:pPr>
        <w:pStyle w:val="BodyText"/>
        <w:spacing w:line="280" w:lineRule="auto" w:before="45"/>
        <w:ind w:left="2547" w:right="210" w:hanging="316"/>
      </w:pPr>
      <w:r>
        <w:rPr/>
        <w:t>(2)</w:t>
      </w:r>
      <w:r>
        <w:rPr>
          <w:spacing w:val="-8"/>
        </w:rPr>
        <w:t>矫正视力低于 </w:t>
      </w:r>
      <w:r>
        <w:rPr>
          <w:spacing w:val="-3"/>
        </w:rPr>
        <w:t>0.02（</w:t>
      </w:r>
      <w:r>
        <w:rPr>
          <w:spacing w:val="-1"/>
        </w:rPr>
        <w:t>采用国际标准视力表，如果使用其他视力表应进行换算</w:t>
      </w:r>
      <w:r>
        <w:rPr>
          <w:spacing w:val="-105"/>
        </w:rPr>
        <w:t>）</w:t>
      </w:r>
      <w:r>
        <w:rPr/>
        <w:t>；</w:t>
      </w:r>
    </w:p>
    <w:p>
      <w:pPr>
        <w:pStyle w:val="BodyText"/>
        <w:spacing w:before="8"/>
      </w:pPr>
      <w:r>
        <w:rPr/>
        <w:t>(3)视野半径小于 5 度。</w:t>
      </w:r>
    </w:p>
    <w:p>
      <w:pPr>
        <w:pStyle w:val="BodyText"/>
        <w:spacing w:before="3"/>
        <w:ind w:left="0"/>
        <w:rPr>
          <w:sz w:val="14"/>
        </w:rPr>
      </w:pPr>
    </w:p>
    <w:p>
      <w:pPr>
        <w:pStyle w:val="BodyText"/>
      </w:pPr>
      <w:r>
        <w:rPr/>
        <w:t>（十五）瘫痪</w:t>
      </w:r>
    </w:p>
    <w:p>
      <w:pPr>
        <w:pStyle w:val="BodyText"/>
        <w:spacing w:line="278" w:lineRule="auto" w:before="45"/>
        <w:ind w:right="209"/>
        <w:jc w:val="both"/>
      </w:pPr>
      <w:r>
        <w:rPr>
          <w:spacing w:val="-3"/>
        </w:rPr>
        <w:t>指因疾病或意外伤害导致两肢或两肢以上肢体机能永久完全丧失。肢体机能</w:t>
      </w:r>
      <w:r>
        <w:rPr>
          <w:spacing w:val="-11"/>
        </w:rPr>
        <w:t>永久完全丧失，指疾病确诊 </w:t>
      </w:r>
      <w:r>
        <w:rPr/>
        <w:t>180</w:t>
      </w:r>
      <w:r>
        <w:rPr>
          <w:spacing w:val="-13"/>
        </w:rPr>
        <w:t> 天后或意外伤害发生 </w:t>
      </w:r>
      <w:r>
        <w:rPr/>
        <w:t>180</w:t>
      </w:r>
      <w:r>
        <w:rPr>
          <w:spacing w:val="-12"/>
        </w:rPr>
        <w:t> 天后，每肢三大关节中的两大关节仍然完全僵硬，或不能随意识活动。</w:t>
      </w:r>
    </w:p>
    <w:p>
      <w:pPr>
        <w:spacing w:after="0" w:line="278" w:lineRule="auto"/>
        <w:jc w:val="both"/>
        <w:sectPr>
          <w:pgSz w:w="11910" w:h="16840"/>
          <w:pgMar w:top="1420" w:bottom="280" w:left="1680" w:right="920"/>
        </w:sectPr>
      </w:pPr>
    </w:p>
    <w:p>
      <w:pPr>
        <w:pStyle w:val="BodyText"/>
        <w:spacing w:before="10"/>
        <w:ind w:left="2231"/>
      </w:pPr>
      <w:r>
        <w:rPr/>
        <w:t>（十六）心脏瓣膜手术</w:t>
      </w:r>
    </w:p>
    <w:p>
      <w:pPr>
        <w:pStyle w:val="BodyText"/>
        <w:spacing w:line="278" w:lineRule="auto" w:before="45"/>
        <w:ind w:right="103"/>
      </w:pPr>
      <w:r>
        <w:rPr/>
        <w:t>指为治疗心脏瓣膜疾病，实际实施了开胸进行的心脏瓣膜置换或修复的手术。</w:t>
      </w:r>
    </w:p>
    <w:p>
      <w:pPr>
        <w:pStyle w:val="BodyText"/>
        <w:spacing w:before="153"/>
        <w:ind w:left="2231"/>
      </w:pPr>
      <w:r>
        <w:rPr/>
        <w:t>（十七）严重阿尔茨海默病</w:t>
      </w:r>
    </w:p>
    <w:p>
      <w:pPr>
        <w:pStyle w:val="BodyText"/>
        <w:spacing w:line="278" w:lineRule="auto" w:before="45"/>
        <w:ind w:right="107"/>
        <w:jc w:val="both"/>
      </w:pPr>
      <w:r>
        <w:rPr>
          <w:spacing w:val="-7"/>
        </w:rPr>
        <w:t>指因大脑进行性、不可逆性改变导致智能严重衰退或丧失，临床表现为明显</w:t>
      </w:r>
      <w:r>
        <w:rPr>
          <w:spacing w:val="-11"/>
        </w:rPr>
        <w:t>的认知能力障碍、行为异常和社交能力减退，其日常生活必须持续受到他人</w:t>
      </w:r>
      <w:r>
        <w:rPr>
          <w:spacing w:val="-6"/>
        </w:rPr>
        <w:t>监护。须由头颅断层扫描</w:t>
      </w:r>
      <w:r>
        <w:rPr>
          <w:spacing w:val="0"/>
        </w:rPr>
        <w:t>（</w:t>
      </w:r>
      <w:r>
        <w:rPr>
          <w:spacing w:val="-1"/>
        </w:rPr>
        <w:t>CT</w:t>
      </w:r>
      <w:r>
        <w:rPr>
          <w:spacing w:val="-105"/>
        </w:rPr>
        <w:t>）</w:t>
      </w:r>
      <w:r>
        <w:rPr>
          <w:spacing w:val="-6"/>
        </w:rPr>
        <w:t>、核磁共振检查</w:t>
      </w:r>
      <w:r>
        <w:rPr>
          <w:spacing w:val="0"/>
        </w:rPr>
        <w:t>（</w:t>
      </w:r>
      <w:r>
        <w:rPr>
          <w:spacing w:val="-1"/>
        </w:rPr>
        <w:t>M</w:t>
      </w:r>
      <w:r>
        <w:rPr/>
        <w:t>RI</w:t>
      </w:r>
      <w:r>
        <w:rPr>
          <w:spacing w:val="-15"/>
        </w:rPr>
        <w:t>）</w:t>
      </w:r>
      <w:r>
        <w:rPr/>
        <w:t>或正电子发射断层扫描（PET）等影像学检查证实，且自主生活能力完全丧失，无法独立完成六项基本日常生活活动中的三项或三项以上。</w:t>
      </w:r>
    </w:p>
    <w:p>
      <w:pPr>
        <w:pStyle w:val="BodyText"/>
        <w:spacing w:before="10"/>
      </w:pPr>
      <w:r>
        <w:rPr>
          <w:shd w:fill="D9D9D9" w:color="auto" w:val="clear"/>
        </w:rPr>
        <w:t>神经官能症和精神疾病不在保障范围内。</w:t>
      </w:r>
    </w:p>
    <w:p>
      <w:pPr>
        <w:pStyle w:val="BodyText"/>
        <w:spacing w:before="3"/>
        <w:ind w:left="0"/>
        <w:rPr>
          <w:sz w:val="14"/>
        </w:rPr>
      </w:pPr>
    </w:p>
    <w:p>
      <w:pPr>
        <w:pStyle w:val="BodyText"/>
        <w:ind w:left="2231"/>
      </w:pPr>
      <w:r>
        <w:rPr/>
        <w:t>（十八）严重脑损伤</w:t>
      </w:r>
    </w:p>
    <w:p>
      <w:pPr>
        <w:pStyle w:val="BodyText"/>
        <w:spacing w:line="278" w:lineRule="auto" w:before="45"/>
        <w:ind w:left="2231" w:right="109"/>
      </w:pPr>
      <w:r>
        <w:rPr>
          <w:spacing w:val="-5"/>
        </w:rPr>
        <w:t>指因头部遭受机械性外力，引起脑重要部位损伤，导致神经系统永久性的功</w:t>
      </w:r>
      <w:r>
        <w:rPr>
          <w:spacing w:val="-6"/>
        </w:rPr>
        <w:t>能障碍。须由头颅断层扫描</w:t>
      </w:r>
      <w:r>
        <w:rPr>
          <w:spacing w:val="0"/>
        </w:rPr>
        <w:t>（</w:t>
      </w:r>
      <w:r>
        <w:rPr>
          <w:spacing w:val="-1"/>
        </w:rPr>
        <w:t>CT</w:t>
      </w:r>
      <w:r>
        <w:rPr>
          <w:spacing w:val="-105"/>
        </w:rPr>
        <w:t>）</w:t>
      </w:r>
      <w:r>
        <w:rPr>
          <w:spacing w:val="-6"/>
        </w:rPr>
        <w:t>、核磁共振检查</w:t>
      </w:r>
      <w:r>
        <w:rPr>
          <w:spacing w:val="0"/>
        </w:rPr>
        <w:t>（</w:t>
      </w:r>
      <w:r>
        <w:rPr>
          <w:spacing w:val="-1"/>
        </w:rPr>
        <w:t>M</w:t>
      </w:r>
      <w:r>
        <w:rPr/>
        <w:t>RI</w:t>
      </w:r>
      <w:r>
        <w:rPr>
          <w:spacing w:val="-15"/>
        </w:rPr>
        <w:t>）</w:t>
      </w:r>
      <w:r>
        <w:rPr/>
        <w:t>或正电子发射断层</w:t>
      </w:r>
      <w:r>
        <w:rPr>
          <w:spacing w:val="-16"/>
        </w:rPr>
        <w:t>扫描</w:t>
      </w:r>
      <w:r>
        <w:rPr>
          <w:spacing w:val="-7"/>
        </w:rPr>
        <w:t>（PET）</w:t>
      </w:r>
      <w:r>
        <w:rPr>
          <w:spacing w:val="-8"/>
        </w:rPr>
        <w:t>等影像学检查证实。神经系统永久性的功能障碍，指脑损伤 </w:t>
      </w:r>
      <w:r>
        <w:rPr/>
        <w:t>180 天后，仍遗留下列一种或一种以上障碍：                           (1)一肢或一肢以上肢体机能完全丧失；                            (2)语言能力或咀嚼吞咽能力完全丧失；                            </w:t>
      </w:r>
      <w:r>
        <w:rPr>
          <w:spacing w:val="-1"/>
        </w:rPr>
        <w:t>(3)自主生活能力完全丧失，无法独立完成六项基本日常生活活动中的三项</w:t>
      </w:r>
    </w:p>
    <w:p>
      <w:pPr>
        <w:pStyle w:val="BodyText"/>
        <w:spacing w:before="12"/>
        <w:ind w:left="2547"/>
      </w:pPr>
      <w:r>
        <w:rPr/>
        <w:t>或三项以上。</w:t>
      </w:r>
    </w:p>
    <w:p>
      <w:pPr>
        <w:pStyle w:val="BodyText"/>
        <w:spacing w:before="4"/>
        <w:ind w:left="0"/>
        <w:rPr>
          <w:sz w:val="14"/>
        </w:rPr>
      </w:pPr>
    </w:p>
    <w:p>
      <w:pPr>
        <w:pStyle w:val="BodyText"/>
      </w:pPr>
      <w:r>
        <w:rPr/>
        <w:t>（十九）严重帕金森病</w:t>
      </w:r>
    </w:p>
    <w:p>
      <w:pPr>
        <w:pStyle w:val="BodyText"/>
        <w:spacing w:line="280" w:lineRule="auto" w:before="44"/>
        <w:ind w:right="37"/>
      </w:pPr>
      <w:r>
        <w:rPr/>
        <w:t>是一种中枢神经系统的退行性疾病，临床表现为震颤麻痹、共济失调等。须满足下列全部条件：</w:t>
      </w:r>
    </w:p>
    <w:p>
      <w:pPr>
        <w:pStyle w:val="BodyText"/>
        <w:spacing w:line="278" w:lineRule="auto" w:before="9"/>
        <w:ind w:right="107"/>
      </w:pPr>
      <w:r>
        <w:rPr/>
        <w:t>(1)药物治疗无法控制病情；                                      (2)自主生活能力完全丧失，无法独立完成六项基本日常生活活动中的三项</w:t>
      </w:r>
    </w:p>
    <w:p>
      <w:pPr>
        <w:pStyle w:val="BodyText"/>
        <w:spacing w:before="11"/>
        <w:ind w:left="2547"/>
      </w:pPr>
      <w:r>
        <w:rPr/>
        <w:t>或三项以上。</w:t>
      </w:r>
    </w:p>
    <w:p>
      <w:pPr>
        <w:pStyle w:val="BodyText"/>
        <w:spacing w:before="45"/>
      </w:pPr>
      <w:r>
        <w:rPr>
          <w:shd w:fill="D9D9D9" w:color="auto" w:val="clear"/>
        </w:rPr>
        <w:t>继发性帕金森综合征不在保障范围内。</w:t>
      </w:r>
    </w:p>
    <w:p>
      <w:pPr>
        <w:pStyle w:val="BodyText"/>
        <w:spacing w:before="3"/>
        <w:ind w:left="0"/>
        <w:rPr>
          <w:sz w:val="14"/>
        </w:rPr>
      </w:pPr>
    </w:p>
    <w:p>
      <w:pPr>
        <w:pStyle w:val="BodyText"/>
        <w:ind w:left="2231"/>
      </w:pPr>
      <w:r>
        <w:rPr/>
        <w:t>（二十）严重Ⅲ度烧伤</w:t>
      </w:r>
    </w:p>
    <w:p>
      <w:pPr>
        <w:pStyle w:val="BodyText"/>
        <w:spacing w:line="280" w:lineRule="auto" w:before="43"/>
        <w:ind w:right="38"/>
      </w:pPr>
      <w:r>
        <w:rPr/>
        <w:t>指烧伤程度为Ⅲ度，且Ⅲ度烧伤的面积达到全身体表面积的 20％或 20％以上。体表面积根据《中国新九分法》计算。</w:t>
      </w:r>
    </w:p>
    <w:p>
      <w:pPr>
        <w:pStyle w:val="BodyText"/>
        <w:spacing w:before="151"/>
        <w:ind w:left="2231"/>
      </w:pPr>
      <w:r>
        <w:rPr/>
        <w:t>（二十一）严重原发性肺动脉高压</w:t>
      </w:r>
    </w:p>
    <w:p>
      <w:pPr>
        <w:pStyle w:val="BodyText"/>
        <w:spacing w:line="278" w:lineRule="auto" w:before="45"/>
        <w:ind w:right="109"/>
        <w:jc w:val="both"/>
      </w:pPr>
      <w:r>
        <w:rPr>
          <w:spacing w:val="-5"/>
        </w:rPr>
        <w:t>指不明原因的肺动脉压力持续性增高，进行性发展而导致的慢性疾病，已经</w:t>
      </w:r>
      <w:r>
        <w:rPr>
          <w:spacing w:val="-9"/>
        </w:rPr>
        <w:t>造成永久不可逆性的体力活动能力受限，达到美国纽约心脏病学会心功能状</w:t>
      </w:r>
      <w:r>
        <w:rPr>
          <w:spacing w:val="-23"/>
        </w:rPr>
        <w:t>态分级 </w:t>
      </w:r>
      <w:r>
        <w:rPr/>
        <w:t>IV</w:t>
      </w:r>
      <w:r>
        <w:rPr>
          <w:spacing w:val="-11"/>
        </w:rPr>
        <w:t> 级，且静息状态下肺动脉平均压超过 </w:t>
      </w:r>
      <w:r>
        <w:rPr/>
        <w:t>30mmHg。</w:t>
      </w:r>
    </w:p>
    <w:p>
      <w:pPr>
        <w:pStyle w:val="BodyText"/>
        <w:spacing w:before="153"/>
        <w:ind w:left="2231"/>
      </w:pPr>
      <w:r>
        <w:rPr/>
        <w:t>（二十二）严重运动神经元病</w:t>
      </w:r>
    </w:p>
    <w:p>
      <w:pPr>
        <w:pStyle w:val="BodyText"/>
        <w:spacing w:line="278" w:lineRule="auto" w:before="45"/>
        <w:ind w:right="103"/>
        <w:jc w:val="both"/>
      </w:pPr>
      <w:r>
        <w:rPr/>
        <w:t>是一组中枢神经系统运动神经元的进行性变性疾病，包括进行性脊肌萎缩</w:t>
      </w:r>
      <w:r>
        <w:rPr>
          <w:spacing w:val="-8"/>
        </w:rPr>
        <w:t>症、进行性延髓麻痹症、原发性侧索硬化症、肌萎缩性侧索硬化症。须满足</w:t>
      </w:r>
      <w:r>
        <w:rPr>
          <w:spacing w:val="-12"/>
        </w:rPr>
        <w:t>自主生活能力完全丧失，无法独立完成六项基本日常生活活动中的三项或三项以上的条件。</w:t>
      </w:r>
    </w:p>
    <w:p>
      <w:pPr>
        <w:pStyle w:val="BodyText"/>
        <w:spacing w:before="153"/>
        <w:ind w:left="2231"/>
      </w:pPr>
      <w:r>
        <w:rPr/>
        <w:t>（二十三）语言能力丧失</w:t>
      </w:r>
    </w:p>
    <w:p>
      <w:pPr>
        <w:pStyle w:val="BodyText"/>
        <w:spacing w:before="44"/>
      </w:pPr>
      <w:r>
        <w:rPr>
          <w:spacing w:val="-7"/>
        </w:rPr>
        <w:t>指因疾病或意外伤害导致完全丧失语言能力，经过积极治疗至少 </w:t>
      </w:r>
      <w:r>
        <w:rPr/>
        <w:t>12</w:t>
      </w:r>
      <w:r>
        <w:rPr>
          <w:spacing w:val="-49"/>
        </w:rPr>
        <w:t> 个月</w:t>
      </w:r>
      <w:r>
        <w:rPr/>
        <w:t>（声</w:t>
      </w:r>
    </w:p>
    <w:p>
      <w:pPr>
        <w:spacing w:after="0"/>
        <w:sectPr>
          <w:pgSz w:w="11910" w:h="16840"/>
          <w:pgMar w:top="1560" w:bottom="280" w:left="1680" w:right="1020"/>
        </w:sectPr>
      </w:pPr>
    </w:p>
    <w:p>
      <w:pPr>
        <w:pStyle w:val="BodyText"/>
        <w:spacing w:line="278" w:lineRule="auto" w:before="8"/>
        <w:ind w:right="1295"/>
      </w:pPr>
      <w:r>
        <w:rPr/>
        <w:t>带完全切除不受此时间限制</w:t>
      </w:r>
      <w:r>
        <w:rPr>
          <w:spacing w:val="-105"/>
        </w:rPr>
        <w:t>）</w:t>
      </w:r>
      <w:r>
        <w:rPr>
          <w:spacing w:val="-1"/>
        </w:rPr>
        <w:t>，仍无法通过现有医疗手段恢复。</w:t>
      </w:r>
      <w:r>
        <w:rPr>
          <w:spacing w:val="-1"/>
          <w:shd w:fill="D9D9D9" w:color="auto" w:val="clear"/>
        </w:rPr>
        <w:t>精神心理因素所致的语言能力丧失不在保障范围内。</w:t>
      </w:r>
    </w:p>
    <w:p>
      <w:pPr>
        <w:pStyle w:val="BodyText"/>
        <w:spacing w:before="153"/>
        <w:ind w:left="2231"/>
      </w:pPr>
      <w:r>
        <w:rPr/>
        <w:t>（二十四）重型再生障碍性贫血</w:t>
      </w:r>
    </w:p>
    <w:p>
      <w:pPr>
        <w:pStyle w:val="BodyText"/>
        <w:spacing w:line="280" w:lineRule="auto" w:before="45"/>
        <w:ind w:right="138"/>
      </w:pPr>
      <w:r>
        <w:rPr/>
        <w:t>指因骨髓造血功能慢性持续性衰竭导致的贫血、中性粒细胞减少及血小板减少。须满足下列全部条件：</w:t>
      </w:r>
    </w:p>
    <w:p>
      <w:pPr>
        <w:pStyle w:val="BodyText"/>
        <w:spacing w:line="280" w:lineRule="auto" w:before="8"/>
        <w:ind w:right="2963"/>
      </w:pPr>
      <w:r>
        <w:rPr/>
        <w:t>(1)骨髓穿刺检查或骨髓活检结果支持诊断； (2)外周血象须具备以下三项条件：</w:t>
      </w:r>
    </w:p>
    <w:p>
      <w:pPr>
        <w:pStyle w:val="BodyText"/>
        <w:spacing w:before="10"/>
        <w:ind w:left="2547"/>
      </w:pPr>
      <w:r>
        <w:rPr/>
        <w:t>①中性粒细胞绝对值≤0.5×10</w:t>
      </w:r>
      <w:r>
        <w:rPr>
          <w:position w:val="11"/>
          <w:sz w:val="11"/>
        </w:rPr>
        <w:t>9</w:t>
      </w:r>
      <w:r>
        <w:rPr/>
        <w:t>/L ；</w:t>
      </w:r>
    </w:p>
    <w:p>
      <w:pPr>
        <w:pStyle w:val="BodyText"/>
        <w:spacing w:before="44"/>
        <w:ind w:left="2547"/>
      </w:pPr>
      <w:r>
        <w:rPr/>
        <w:t>②网织红细胞＜1％；</w:t>
      </w:r>
    </w:p>
    <w:p>
      <w:pPr>
        <w:pStyle w:val="BodyText"/>
        <w:spacing w:before="45"/>
        <w:ind w:left="2547"/>
      </w:pPr>
      <w:r>
        <w:rPr/>
        <w:t>③血小板绝对值≤20×10</w:t>
      </w:r>
      <w:r>
        <w:rPr>
          <w:position w:val="11"/>
          <w:sz w:val="11"/>
        </w:rPr>
        <w:t>9</w:t>
      </w:r>
      <w:r>
        <w:rPr/>
        <w:t>/L。</w:t>
      </w:r>
    </w:p>
    <w:p>
      <w:pPr>
        <w:pStyle w:val="BodyText"/>
        <w:spacing w:before="187"/>
        <w:ind w:left="2231"/>
      </w:pPr>
      <w:r>
        <w:rPr/>
        <w:t>（二十五）主动脉手术</w:t>
      </w:r>
    </w:p>
    <w:p>
      <w:pPr>
        <w:pStyle w:val="BodyText"/>
        <w:spacing w:line="278" w:lineRule="auto" w:before="45"/>
        <w:ind w:right="209"/>
        <w:jc w:val="both"/>
      </w:pPr>
      <w:r>
        <w:rPr>
          <w:spacing w:val="-5"/>
        </w:rPr>
        <w:t>指为治疗主动脉疾病，实际实施了开胸或开腹进行的切除、置换、修补病损</w:t>
      </w:r>
      <w:r>
        <w:rPr>
          <w:spacing w:val="-11"/>
        </w:rPr>
        <w:t>主动脉血管的手术。主动脉指胸主动脉和腹主动脉，不包括胸主动脉和腹主动脉的分支血管。</w:t>
      </w:r>
    </w:p>
    <w:p>
      <w:pPr>
        <w:pStyle w:val="BodyText"/>
        <w:spacing w:before="11"/>
      </w:pPr>
      <w:r>
        <w:rPr>
          <w:shd w:fill="D9D9D9" w:color="auto" w:val="clear"/>
        </w:rPr>
        <w:t>动脉内血管成形术不在保障范围内。</w:t>
      </w:r>
    </w:p>
    <w:p>
      <w:pPr>
        <w:pStyle w:val="BodyText"/>
        <w:spacing w:before="3"/>
        <w:ind w:left="0"/>
        <w:rPr>
          <w:sz w:val="14"/>
        </w:rPr>
      </w:pPr>
    </w:p>
    <w:p>
      <w:pPr>
        <w:pStyle w:val="BodyText"/>
        <w:ind w:left="2231"/>
      </w:pPr>
      <w:r>
        <w:rPr/>
        <w:t>（二十六）严重原发性心肌病</w:t>
      </w:r>
    </w:p>
    <w:p>
      <w:pPr>
        <w:pStyle w:val="BodyText"/>
        <w:spacing w:line="278" w:lineRule="auto" w:before="44"/>
        <w:ind w:right="104"/>
      </w:pPr>
      <w:r>
        <w:rPr>
          <w:spacing w:val="-5"/>
        </w:rPr>
        <w:t>指不明原因引起的一类心肌病变，包括原发性扩张型心肌病、原发性肥厚型</w:t>
      </w:r>
      <w:r>
        <w:rPr>
          <w:spacing w:val="-10"/>
        </w:rPr>
        <w:t>心肌病及原发性限制型心肌病三种，病变必须已造成事实上心室功能障碍而</w:t>
      </w:r>
      <w:r>
        <w:rPr>
          <w:spacing w:val="-16"/>
        </w:rPr>
        <w:t>出现明显的心功能衰竭</w:t>
      </w:r>
      <w:r>
        <w:rPr/>
        <w:t>（美国纽约心脏协会心功能分类标准心功能达四级</w:t>
      </w:r>
      <w:r>
        <w:rPr>
          <w:spacing w:val="-105"/>
        </w:rPr>
        <w:t>）</w:t>
      </w:r>
      <w:r>
        <w:rPr/>
        <w:t>，</w:t>
      </w:r>
      <w:r>
        <w:rPr>
          <w:spacing w:val="-3"/>
        </w:rPr>
        <w:t>且有相关住院医疗记录显示四级心功能衰竭状态持续至少 </w:t>
      </w:r>
      <w:r>
        <w:rPr/>
        <w:t>180</w:t>
      </w:r>
      <w:r>
        <w:rPr>
          <w:spacing w:val="-18"/>
        </w:rPr>
        <w:t> 天。</w:t>
      </w:r>
    </w:p>
    <w:p>
      <w:pPr>
        <w:pStyle w:val="BodyText"/>
        <w:spacing w:line="278" w:lineRule="auto" w:before="12"/>
        <w:ind w:right="203"/>
      </w:pPr>
      <w:r>
        <w:rPr>
          <w:shd w:fill="D9D9D9" w:color="auto" w:val="clear"/>
        </w:rPr>
        <w:t>继发于全身性疾病或其它器官系统疾病造成的心肌病变不在保障范围内。</w:t>
      </w:r>
      <w:r>
        <w:rPr/>
        <w:t>美国纽约心脏协会分类标准心功能四级是指有医院的医疗记录显示病人不能进行任何活动，休息时仍有心悸、呼吸困难等心力衰竭表现。</w:t>
      </w:r>
    </w:p>
    <w:p>
      <w:pPr>
        <w:pStyle w:val="BodyText"/>
        <w:spacing w:before="153"/>
        <w:ind w:left="2231"/>
      </w:pPr>
      <w:r>
        <w:rPr/>
        <w:t>（二十七）终末期肺病</w:t>
      </w:r>
    </w:p>
    <w:p>
      <w:pPr>
        <w:pStyle w:val="BodyText"/>
        <w:spacing w:line="278" w:lineRule="auto" w:before="45"/>
        <w:ind w:right="770"/>
      </w:pPr>
      <w:r>
        <w:rPr/>
        <w:t>指患有终末期肺病而出现慢性呼吸功能衰竭。须满足下列全部条件： (1)</w:t>
      </w:r>
      <w:r>
        <w:rPr>
          <w:spacing w:val="1"/>
        </w:rPr>
        <w:t>肺功能测试其      </w:t>
      </w:r>
      <w:r>
        <w:rPr/>
        <w:t>FEV1</w:t>
      </w:r>
      <w:r>
        <w:rPr>
          <w:spacing w:val="0"/>
        </w:rPr>
        <w:t>      持续低于      </w:t>
      </w:r>
      <w:r>
        <w:rPr/>
        <w:t>1</w:t>
      </w:r>
      <w:r>
        <w:rPr>
          <w:spacing w:val="1"/>
        </w:rPr>
        <w:t>      升； (2)病人血氧不足必须持续地进行输氧治疗；                   (3)动脉血气分析氧分压等于或低于                  </w:t>
      </w:r>
      <w:r>
        <w:rPr/>
        <w:t>55mmHg； </w:t>
      </w:r>
      <w:r>
        <w:rPr>
          <w:spacing w:val="-1"/>
        </w:rPr>
        <w:t>(4)休息时出现呼吸困难。</w:t>
      </w:r>
    </w:p>
    <w:p>
      <w:pPr>
        <w:pStyle w:val="BodyText"/>
        <w:spacing w:before="153"/>
        <w:ind w:left="2231"/>
      </w:pPr>
      <w:r>
        <w:rPr/>
        <w:t>（二十八）多发性硬化症</w:t>
      </w:r>
    </w:p>
    <w:p>
      <w:pPr>
        <w:pStyle w:val="BodyText"/>
        <w:spacing w:line="278" w:lineRule="auto" w:before="44"/>
        <w:ind w:right="209"/>
        <w:jc w:val="both"/>
      </w:pPr>
      <w:r>
        <w:rPr>
          <w:spacing w:val="-3"/>
        </w:rPr>
        <w:t>指因中枢神经系统脱髓鞘所致的不可逆的神经系统功能障碍，须由计算机断</w:t>
      </w:r>
      <w:r>
        <w:rPr>
          <w:spacing w:val="-1"/>
        </w:rPr>
        <w:t>层扫描（CT</w:t>
      </w:r>
      <w:r>
        <w:rPr>
          <w:spacing w:val="-106"/>
        </w:rPr>
        <w:t>）</w:t>
      </w:r>
      <w:r>
        <w:rPr>
          <w:spacing w:val="-1"/>
        </w:rPr>
        <w:t>、核磁共振检查（MRI）或正电子发射断层扫描（PET）等影像</w:t>
      </w:r>
      <w:r>
        <w:rPr>
          <w:spacing w:val="-8"/>
        </w:rPr>
        <w:t>学检查证实，且已经造成自主生活能力完全丧失，无法独立完成六项基本日</w:t>
      </w:r>
      <w:r>
        <w:rPr>
          <w:spacing w:val="-11"/>
        </w:rPr>
        <w:t>常生活活动中的三项或三项以上，持续至少 </w:t>
      </w:r>
      <w:r>
        <w:rPr/>
        <w:t>180</w:t>
      </w:r>
      <w:r>
        <w:rPr>
          <w:spacing w:val="-18"/>
        </w:rPr>
        <w:t> 天。</w:t>
      </w:r>
    </w:p>
    <w:p>
      <w:pPr>
        <w:pStyle w:val="BodyText"/>
        <w:spacing w:before="153"/>
        <w:ind w:left="2231"/>
      </w:pPr>
      <w:r>
        <w:rPr/>
        <w:t>（二十九）系统性红斑狼疮累及肾脏（严重的狼疮性肾炎）</w:t>
      </w:r>
    </w:p>
    <w:p>
      <w:pPr>
        <w:pStyle w:val="BodyText"/>
        <w:spacing w:line="278" w:lineRule="auto" w:before="45"/>
        <w:ind w:right="209"/>
        <w:jc w:val="both"/>
      </w:pPr>
      <w:r>
        <w:rPr>
          <w:spacing w:val="-4"/>
        </w:rPr>
        <w:t>指系统性红斑狼疮累及肾脏导致的功能损害，经肾脏活检，病理结果符合世</w:t>
      </w:r>
      <w:r>
        <w:rPr>
          <w:spacing w:val="-8"/>
        </w:rPr>
        <w:t>界卫生组织</w:t>
      </w:r>
      <w:r>
        <w:rPr>
          <w:spacing w:val="-6"/>
        </w:rPr>
        <w:t>（WHO）</w:t>
      </w:r>
      <w:r>
        <w:rPr>
          <w:spacing w:val="-7"/>
        </w:rPr>
        <w:t>诊断标准定义中的 </w:t>
      </w:r>
      <w:r>
        <w:rPr/>
        <w:t>III</w:t>
      </w:r>
      <w:r>
        <w:rPr>
          <w:spacing w:val="-30"/>
        </w:rPr>
        <w:t> 型至 </w:t>
      </w:r>
      <w:r>
        <w:rPr/>
        <w:t>VI</w:t>
      </w:r>
      <w:r>
        <w:rPr>
          <w:spacing w:val="-10"/>
        </w:rPr>
        <w:t> 型的狼疮性肾炎。</w:t>
      </w:r>
      <w:r>
        <w:rPr>
          <w:shd w:fill="D9D9D9" w:color="auto" w:val="clear"/>
        </w:rPr>
        <w:t>其它类</w:t>
      </w:r>
      <w:r>
        <w:rPr>
          <w:spacing w:val="-9"/>
          <w:shd w:fill="D9D9D9" w:color="auto" w:val="clear"/>
        </w:rPr>
        <w:t>型的狼疮，例如盘状红斑狼疮或那些只影响血液和关节的红斑狼疮不在保障范围内。</w:t>
      </w:r>
    </w:p>
    <w:p>
      <w:pPr>
        <w:pStyle w:val="BodyText"/>
        <w:spacing w:before="12"/>
      </w:pPr>
      <w:r>
        <w:rPr/>
        <w:t>世界卫生组织（WHO）狼疮性肾炎标准病理分型：</w:t>
      </w:r>
    </w:p>
    <w:p>
      <w:pPr>
        <w:pStyle w:val="ListParagraph"/>
        <w:numPr>
          <w:ilvl w:val="0"/>
          <w:numId w:val="12"/>
        </w:numPr>
        <w:tabs>
          <w:tab w:pos="2442" w:val="left" w:leader="none"/>
          <w:tab w:pos="4751" w:val="left" w:leader="none"/>
        </w:tabs>
        <w:spacing w:line="240" w:lineRule="auto" w:before="44" w:after="0"/>
        <w:ind w:left="2441" w:right="0" w:hanging="209"/>
        <w:jc w:val="left"/>
        <w:rPr>
          <w:sz w:val="21"/>
        </w:rPr>
      </w:pPr>
      <w:r>
        <w:rPr>
          <w:sz w:val="21"/>
        </w:rPr>
        <w:t>型</w:t>
        <w:tab/>
      </w:r>
      <w:r>
        <w:rPr>
          <w:spacing w:val="-1"/>
          <w:sz w:val="21"/>
        </w:rPr>
        <w:t>正常肾小球型</w:t>
      </w:r>
    </w:p>
    <w:p>
      <w:pPr>
        <w:spacing w:after="0" w:line="240" w:lineRule="auto"/>
        <w:jc w:val="left"/>
        <w:rPr>
          <w:sz w:val="21"/>
        </w:rPr>
        <w:sectPr>
          <w:pgSz w:w="11910" w:h="16840"/>
          <w:pgMar w:top="1420" w:bottom="280" w:left="1680" w:right="920"/>
        </w:sectPr>
      </w:pPr>
    </w:p>
    <w:p>
      <w:pPr>
        <w:pStyle w:val="ListParagraph"/>
        <w:numPr>
          <w:ilvl w:val="0"/>
          <w:numId w:val="12"/>
        </w:numPr>
        <w:tabs>
          <w:tab w:pos="2495" w:val="left" w:leader="none"/>
          <w:tab w:pos="4698" w:val="left" w:leader="none"/>
        </w:tabs>
        <w:spacing w:line="240" w:lineRule="auto" w:before="8" w:after="0"/>
        <w:ind w:left="2494" w:right="0" w:hanging="262"/>
        <w:jc w:val="left"/>
        <w:rPr>
          <w:sz w:val="21"/>
        </w:rPr>
      </w:pPr>
      <w:r>
        <w:rPr>
          <w:sz w:val="21"/>
        </w:rPr>
        <w:t>型</w:t>
        <w:tab/>
      </w:r>
      <w:r>
        <w:rPr>
          <w:spacing w:val="-1"/>
          <w:sz w:val="21"/>
        </w:rPr>
        <w:t>系膜增生型</w:t>
      </w:r>
    </w:p>
    <w:p>
      <w:pPr>
        <w:pStyle w:val="ListParagraph"/>
        <w:numPr>
          <w:ilvl w:val="0"/>
          <w:numId w:val="12"/>
        </w:numPr>
        <w:tabs>
          <w:tab w:pos="2599" w:val="left" w:leader="none"/>
          <w:tab w:pos="4698" w:val="left" w:leader="none"/>
        </w:tabs>
        <w:spacing w:line="240" w:lineRule="auto" w:before="43" w:after="0"/>
        <w:ind w:left="2598" w:right="0" w:hanging="366"/>
        <w:jc w:val="left"/>
        <w:rPr>
          <w:sz w:val="21"/>
        </w:rPr>
      </w:pPr>
      <w:r>
        <w:rPr>
          <w:sz w:val="21"/>
        </w:rPr>
        <w:t>型</w:t>
        <w:tab/>
      </w:r>
      <w:r>
        <w:rPr>
          <w:spacing w:val="-1"/>
          <w:sz w:val="21"/>
        </w:rPr>
        <w:t>局灶及节段增生型</w:t>
      </w:r>
    </w:p>
    <w:p>
      <w:pPr>
        <w:pStyle w:val="ListParagraph"/>
        <w:numPr>
          <w:ilvl w:val="0"/>
          <w:numId w:val="12"/>
        </w:numPr>
        <w:tabs>
          <w:tab w:pos="2495" w:val="left" w:leader="none"/>
          <w:tab w:pos="4698" w:val="left" w:leader="none"/>
        </w:tabs>
        <w:spacing w:line="240" w:lineRule="auto" w:before="45" w:after="0"/>
        <w:ind w:left="2494" w:right="0" w:hanging="262"/>
        <w:jc w:val="left"/>
        <w:rPr>
          <w:sz w:val="21"/>
        </w:rPr>
      </w:pPr>
      <w:r>
        <w:rPr>
          <w:sz w:val="21"/>
        </w:rPr>
        <w:t>型</w:t>
        <w:tab/>
      </w:r>
      <w:r>
        <w:rPr>
          <w:spacing w:val="-1"/>
          <w:sz w:val="21"/>
        </w:rPr>
        <w:t>弥漫增生型</w:t>
      </w:r>
    </w:p>
    <w:p>
      <w:pPr>
        <w:pStyle w:val="ListParagraph"/>
        <w:numPr>
          <w:ilvl w:val="0"/>
          <w:numId w:val="12"/>
        </w:numPr>
        <w:tabs>
          <w:tab w:pos="2390" w:val="left" w:leader="none"/>
          <w:tab w:pos="4698" w:val="left" w:leader="none"/>
        </w:tabs>
        <w:spacing w:line="240" w:lineRule="auto" w:before="45" w:after="0"/>
        <w:ind w:left="2389" w:right="0" w:hanging="157"/>
        <w:jc w:val="left"/>
        <w:rPr>
          <w:sz w:val="21"/>
        </w:rPr>
      </w:pPr>
      <w:r>
        <w:rPr>
          <w:sz w:val="21"/>
        </w:rPr>
        <w:t>型</w:t>
        <w:tab/>
      </w:r>
      <w:r>
        <w:rPr>
          <w:spacing w:val="-1"/>
          <w:sz w:val="21"/>
        </w:rPr>
        <w:t>膜型</w:t>
      </w:r>
    </w:p>
    <w:p>
      <w:pPr>
        <w:pStyle w:val="ListParagraph"/>
        <w:numPr>
          <w:ilvl w:val="0"/>
          <w:numId w:val="12"/>
        </w:numPr>
        <w:tabs>
          <w:tab w:pos="2495" w:val="left" w:leader="none"/>
          <w:tab w:pos="4698" w:val="left" w:leader="none"/>
        </w:tabs>
        <w:spacing w:line="240" w:lineRule="auto" w:before="43" w:after="0"/>
        <w:ind w:left="2494" w:right="0" w:hanging="262"/>
        <w:jc w:val="left"/>
        <w:rPr>
          <w:sz w:val="21"/>
        </w:rPr>
      </w:pPr>
      <w:r>
        <w:rPr>
          <w:sz w:val="21"/>
        </w:rPr>
        <w:t>型</w:t>
        <w:tab/>
      </w:r>
      <w:r>
        <w:rPr>
          <w:spacing w:val="-1"/>
          <w:sz w:val="21"/>
        </w:rPr>
        <w:t>肾小球硬化型</w:t>
      </w:r>
    </w:p>
    <w:p>
      <w:pPr>
        <w:pStyle w:val="BodyText"/>
        <w:spacing w:before="3"/>
        <w:ind w:left="0"/>
        <w:rPr>
          <w:sz w:val="14"/>
        </w:rPr>
      </w:pPr>
    </w:p>
    <w:p>
      <w:pPr>
        <w:pStyle w:val="BodyText"/>
        <w:ind w:left="2231"/>
      </w:pPr>
      <w:r>
        <w:rPr/>
        <w:t>（三十）植物人状态</w:t>
      </w:r>
    </w:p>
    <w:p>
      <w:pPr>
        <w:pStyle w:val="BodyText"/>
        <w:spacing w:line="280" w:lineRule="auto" w:before="45"/>
        <w:ind w:right="100"/>
      </w:pPr>
      <w:r>
        <w:rPr/>
        <w:t>指经神经科医生确诊，CT、MRI 等证实大脑皮质全面坏死。患者临床表现意识完全丧失，但脑干功能仍保持完好，且此情况持续一个月或一个月以上。</w:t>
      </w:r>
    </w:p>
    <w:p>
      <w:pPr>
        <w:pStyle w:val="BodyText"/>
        <w:spacing w:before="166"/>
        <w:ind w:left="2231"/>
      </w:pPr>
      <w:r>
        <w:rPr/>
        <w:t>上述重大疾病定义中部分术语释义如下：</w:t>
      </w:r>
    </w:p>
    <w:p>
      <w:pPr>
        <w:pStyle w:val="BodyText"/>
        <w:spacing w:before="10"/>
        <w:ind w:left="0"/>
        <w:rPr>
          <w:sz w:val="13"/>
        </w:rPr>
      </w:pPr>
    </w:p>
    <w:p>
      <w:pPr>
        <w:pStyle w:val="BodyText"/>
        <w:ind w:left="2231"/>
      </w:pPr>
      <w:r>
        <w:rPr/>
        <w:t>（一）专科医生</w:t>
      </w:r>
    </w:p>
    <w:p>
      <w:pPr>
        <w:pStyle w:val="BodyText"/>
        <w:spacing w:before="45"/>
        <w:ind w:left="2231"/>
      </w:pPr>
      <w:r>
        <w:rPr/>
        <w:t>专科医生应当同时满足以下四项资格条件：</w:t>
      </w:r>
    </w:p>
    <w:p>
      <w:pPr>
        <w:pStyle w:val="BodyText"/>
        <w:spacing w:before="44"/>
        <w:ind w:left="2231"/>
      </w:pPr>
      <w:r>
        <w:rPr/>
        <w:t>(1)具有有效的中华人民共和国《医师资格证书》；</w:t>
      </w:r>
    </w:p>
    <w:p>
      <w:pPr>
        <w:pStyle w:val="BodyText"/>
        <w:spacing w:line="278" w:lineRule="auto" w:before="45"/>
        <w:ind w:left="2231" w:right="171"/>
      </w:pPr>
      <w:r>
        <w:rPr>
          <w:spacing w:val="-1"/>
        </w:rPr>
        <w:t>(2)</w:t>
      </w:r>
      <w:r>
        <w:rPr>
          <w:spacing w:val="-11"/>
        </w:rPr>
        <w:t>具有有效的中华人民共和国《医师执业证书》，并按期到相关部门登记注册 ；                                                          (3)具有有效的中华人民共和国主治医师或主治医师以上职称的《医师职称</w:t>
      </w:r>
      <w:r>
        <w:rPr>
          <w:spacing w:val="-33"/>
        </w:rPr>
        <w:t>证书》；</w:t>
      </w:r>
    </w:p>
    <w:p>
      <w:pPr>
        <w:pStyle w:val="BodyText"/>
        <w:spacing w:before="11"/>
        <w:ind w:left="2231"/>
      </w:pPr>
      <w:r>
        <w:rPr/>
        <w:t>(4)在二级或二级以上医院的相应科室从事临床工作三年以上。</w:t>
      </w:r>
    </w:p>
    <w:p>
      <w:pPr>
        <w:pStyle w:val="BodyText"/>
        <w:spacing w:before="10"/>
        <w:ind w:left="0"/>
        <w:rPr>
          <w:sz w:val="13"/>
        </w:rPr>
      </w:pPr>
    </w:p>
    <w:p>
      <w:pPr>
        <w:pStyle w:val="BodyText"/>
        <w:ind w:left="2231"/>
      </w:pPr>
      <w:r>
        <w:rPr/>
        <w:t>（二）肢体机能完全丧失</w:t>
      </w:r>
    </w:p>
    <w:p>
      <w:pPr>
        <w:pStyle w:val="BodyText"/>
        <w:spacing w:line="280" w:lineRule="auto" w:before="44"/>
        <w:ind w:left="2231" w:right="99"/>
      </w:pPr>
      <w:r>
        <w:rPr/>
        <w:t>指肢体的三大关节中的两大关节僵硬，或不能随意识活动。肢体是指包括肩关节的整个上肢或包括髋关节的整个下肢。</w:t>
      </w:r>
    </w:p>
    <w:p>
      <w:pPr>
        <w:pStyle w:val="BodyText"/>
        <w:spacing w:before="174"/>
        <w:ind w:left="2231"/>
      </w:pPr>
      <w:r>
        <w:rPr/>
        <w:t>（三）语言能力或咀嚼吞咽能力完全丧失</w:t>
      </w:r>
    </w:p>
    <w:p>
      <w:pPr>
        <w:pStyle w:val="BodyText"/>
        <w:spacing w:line="278" w:lineRule="auto" w:before="45"/>
        <w:ind w:left="2231" w:right="168"/>
        <w:jc w:val="both"/>
      </w:pPr>
      <w:r>
        <w:rPr>
          <w:spacing w:val="-3"/>
        </w:rPr>
        <w:t>语言能力完全丧失，指无法发出四种语音</w:t>
      </w:r>
      <w:r>
        <w:rPr/>
        <w:t>（</w:t>
      </w:r>
      <w:r>
        <w:rPr>
          <w:spacing w:val="-5"/>
        </w:rPr>
        <w:t>包括口唇音、齿舌音、口盖音和喉头音</w:t>
      </w:r>
      <w:r>
        <w:rPr>
          <w:spacing w:val="-23"/>
        </w:rPr>
        <w:t>）</w:t>
      </w:r>
      <w:r>
        <w:rPr>
          <w:spacing w:val="-6"/>
        </w:rPr>
        <w:t>中的任何三种、或声带全部切除，或因大脑语言中枢受伤害而患失语症。</w:t>
      </w:r>
    </w:p>
    <w:p>
      <w:pPr>
        <w:pStyle w:val="BodyText"/>
        <w:spacing w:line="280" w:lineRule="auto" w:before="12"/>
        <w:ind w:left="2231" w:right="99"/>
      </w:pPr>
      <w:r>
        <w:rPr/>
        <w:t>咀嚼吞咽能力完全丧失，指因牙齿以外的原因导致器质障碍或机能障碍，以致不能作咀嚼吞咽运动，除流质食物外不能摄取或吞咽的状态。</w:t>
      </w:r>
    </w:p>
    <w:p>
      <w:pPr>
        <w:pStyle w:val="BodyText"/>
        <w:spacing w:before="2"/>
        <w:ind w:left="0"/>
        <w:rPr>
          <w:sz w:val="14"/>
        </w:rPr>
      </w:pPr>
    </w:p>
    <w:p>
      <w:pPr>
        <w:pStyle w:val="BodyText"/>
        <w:spacing w:line="278" w:lineRule="auto"/>
        <w:ind w:left="2231" w:right="3986" w:hanging="1"/>
      </w:pPr>
      <w:r>
        <w:rPr/>
        <w:t>（四）六项基本日常生活活动  六项基本日常生活活动是指： </w:t>
      </w:r>
      <w:r>
        <w:rPr>
          <w:spacing w:val="-1"/>
        </w:rPr>
        <w:t>(1)穿衣：自己能够穿衣及脱衣；</w:t>
      </w:r>
    </w:p>
    <w:p>
      <w:pPr>
        <w:pStyle w:val="BodyText"/>
        <w:spacing w:line="278" w:lineRule="auto" w:before="12"/>
        <w:ind w:left="2231" w:right="1885"/>
      </w:pPr>
      <w:r>
        <w:rPr/>
        <w:t>(2)移动：自己从一个房间到另一个房间；          (3)行动：自己上下床或上下轮椅；                (4)如厕：自己控制进行大小便；                  </w:t>
      </w:r>
      <w:r>
        <w:rPr>
          <w:spacing w:val="-1"/>
        </w:rPr>
        <w:t>(5)</w:t>
      </w:r>
      <w:r>
        <w:rPr/>
        <w:t>进食：自己从已准备好的碗或碟中取食物放入口中； </w:t>
      </w:r>
      <w:r>
        <w:rPr>
          <w:spacing w:val="-1"/>
        </w:rPr>
        <w:t>(6)洗澡：自己进行淋浴或盆浴。</w:t>
      </w:r>
    </w:p>
    <w:p>
      <w:pPr>
        <w:pStyle w:val="BodyText"/>
        <w:spacing w:before="4"/>
        <w:ind w:left="0"/>
        <w:rPr>
          <w:sz w:val="17"/>
        </w:rPr>
      </w:pPr>
    </w:p>
    <w:p>
      <w:pPr>
        <w:pStyle w:val="BodyText"/>
        <w:ind w:left="2231"/>
      </w:pPr>
      <w:r>
        <w:rPr/>
        <w:t>（五）永久不可逆</w:t>
      </w:r>
    </w:p>
    <w:p>
      <w:pPr>
        <w:pStyle w:val="BodyText"/>
        <w:spacing w:line="280" w:lineRule="auto" w:before="45"/>
        <w:ind w:left="2231" w:right="170"/>
      </w:pPr>
      <w:r>
        <w:rPr>
          <w:spacing w:val="-6"/>
        </w:rPr>
        <w:t>指自疾病确诊或意外伤害发生之日起，经过积极治疗 </w:t>
      </w:r>
      <w:r>
        <w:rPr/>
        <w:t>180</w:t>
      </w:r>
      <w:r>
        <w:rPr>
          <w:spacing w:val="-12"/>
        </w:rPr>
        <w:t> 天后，仍无法通过现有医疗手段恢复。</w:t>
      </w:r>
    </w:p>
    <w:sectPr>
      <w:pgSz w:w="11910" w:h="16840"/>
      <w:pgMar w:top="1420" w:bottom="280" w:left="16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upperRoman"/>
      <w:lvlText w:val="%1"/>
      <w:lvlJc w:val="left"/>
      <w:pPr>
        <w:ind w:left="2441" w:hanging="210"/>
        <w:jc w:val="left"/>
      </w:pPr>
      <w:rPr>
        <w:rFonts w:hint="default" w:ascii="宋体" w:hAnsi="宋体" w:eastAsia="宋体" w:cs="宋体"/>
        <w:w w:val="100"/>
        <w:sz w:val="21"/>
        <w:szCs w:val="21"/>
      </w:rPr>
    </w:lvl>
    <w:lvl w:ilvl="1">
      <w:start w:val="0"/>
      <w:numFmt w:val="bullet"/>
      <w:lvlText w:val="•"/>
      <w:lvlJc w:val="left"/>
      <w:pPr>
        <w:ind w:left="3126" w:hanging="210"/>
      </w:pPr>
      <w:rPr>
        <w:rFonts w:hint="default"/>
      </w:rPr>
    </w:lvl>
    <w:lvl w:ilvl="2">
      <w:start w:val="0"/>
      <w:numFmt w:val="bullet"/>
      <w:lvlText w:val="•"/>
      <w:lvlJc w:val="left"/>
      <w:pPr>
        <w:ind w:left="3812" w:hanging="210"/>
      </w:pPr>
      <w:rPr>
        <w:rFonts w:hint="default"/>
      </w:rPr>
    </w:lvl>
    <w:lvl w:ilvl="3">
      <w:start w:val="0"/>
      <w:numFmt w:val="bullet"/>
      <w:lvlText w:val="•"/>
      <w:lvlJc w:val="left"/>
      <w:pPr>
        <w:ind w:left="4499" w:hanging="210"/>
      </w:pPr>
      <w:rPr>
        <w:rFonts w:hint="default"/>
      </w:rPr>
    </w:lvl>
    <w:lvl w:ilvl="4">
      <w:start w:val="0"/>
      <w:numFmt w:val="bullet"/>
      <w:lvlText w:val="•"/>
      <w:lvlJc w:val="left"/>
      <w:pPr>
        <w:ind w:left="5185" w:hanging="210"/>
      </w:pPr>
      <w:rPr>
        <w:rFonts w:hint="default"/>
      </w:rPr>
    </w:lvl>
    <w:lvl w:ilvl="5">
      <w:start w:val="0"/>
      <w:numFmt w:val="bullet"/>
      <w:lvlText w:val="•"/>
      <w:lvlJc w:val="left"/>
      <w:pPr>
        <w:ind w:left="5872" w:hanging="210"/>
      </w:pPr>
      <w:rPr>
        <w:rFonts w:hint="default"/>
      </w:rPr>
    </w:lvl>
    <w:lvl w:ilvl="6">
      <w:start w:val="0"/>
      <w:numFmt w:val="bullet"/>
      <w:lvlText w:val="•"/>
      <w:lvlJc w:val="left"/>
      <w:pPr>
        <w:ind w:left="6558" w:hanging="210"/>
      </w:pPr>
      <w:rPr>
        <w:rFonts w:hint="default"/>
      </w:rPr>
    </w:lvl>
    <w:lvl w:ilvl="7">
      <w:start w:val="0"/>
      <w:numFmt w:val="bullet"/>
      <w:lvlText w:val="•"/>
      <w:lvlJc w:val="left"/>
      <w:pPr>
        <w:ind w:left="7245" w:hanging="210"/>
      </w:pPr>
      <w:rPr>
        <w:rFonts w:hint="default"/>
      </w:rPr>
    </w:lvl>
    <w:lvl w:ilvl="8">
      <w:start w:val="0"/>
      <w:numFmt w:val="bullet"/>
      <w:lvlText w:val="•"/>
      <w:lvlJc w:val="left"/>
      <w:pPr>
        <w:ind w:left="7931" w:hanging="210"/>
      </w:pPr>
      <w:rPr>
        <w:rFonts w:hint="default"/>
      </w:rPr>
    </w:lvl>
  </w:abstractNum>
  <w:abstractNum w:abstractNumId="10">
    <w:multiLevelType w:val="hybridMultilevel"/>
    <w:lvl w:ilvl="0">
      <w:start w:val="9"/>
      <w:numFmt w:val="decimal"/>
      <w:lvlText w:val="%1"/>
      <w:lvlJc w:val="left"/>
      <w:pPr>
        <w:ind w:left="2992" w:hanging="878"/>
        <w:jc w:val="left"/>
      </w:pPr>
      <w:rPr>
        <w:rFonts w:hint="default"/>
      </w:rPr>
    </w:lvl>
    <w:lvl w:ilvl="1">
      <w:start w:val="1"/>
      <w:numFmt w:val="decimal"/>
      <w:lvlText w:val="%1.%2"/>
      <w:lvlJc w:val="left"/>
      <w:pPr>
        <w:ind w:left="2992" w:hanging="878"/>
        <w:jc w:val="right"/>
      </w:pPr>
      <w:rPr>
        <w:rFonts w:hint="default" w:ascii="黑体" w:hAnsi="黑体" w:eastAsia="黑体" w:cs="黑体"/>
        <w:spacing w:val="-35"/>
        <w:w w:val="100"/>
        <w:sz w:val="21"/>
        <w:szCs w:val="21"/>
      </w:rPr>
    </w:lvl>
    <w:lvl w:ilvl="2">
      <w:start w:val="0"/>
      <w:numFmt w:val="bullet"/>
      <w:lvlText w:val="•"/>
      <w:lvlJc w:val="left"/>
      <w:pPr>
        <w:ind w:left="4412" w:hanging="878"/>
      </w:pPr>
      <w:rPr>
        <w:rFonts w:hint="default"/>
      </w:rPr>
    </w:lvl>
    <w:lvl w:ilvl="3">
      <w:start w:val="0"/>
      <w:numFmt w:val="bullet"/>
      <w:lvlText w:val="•"/>
      <w:lvlJc w:val="left"/>
      <w:pPr>
        <w:ind w:left="5119" w:hanging="878"/>
      </w:pPr>
      <w:rPr>
        <w:rFonts w:hint="default"/>
      </w:rPr>
    </w:lvl>
    <w:lvl w:ilvl="4">
      <w:start w:val="0"/>
      <w:numFmt w:val="bullet"/>
      <w:lvlText w:val="•"/>
      <w:lvlJc w:val="left"/>
      <w:pPr>
        <w:ind w:left="5825" w:hanging="878"/>
      </w:pPr>
      <w:rPr>
        <w:rFonts w:hint="default"/>
      </w:rPr>
    </w:lvl>
    <w:lvl w:ilvl="5">
      <w:start w:val="0"/>
      <w:numFmt w:val="bullet"/>
      <w:lvlText w:val="•"/>
      <w:lvlJc w:val="left"/>
      <w:pPr>
        <w:ind w:left="6532" w:hanging="878"/>
      </w:pPr>
      <w:rPr>
        <w:rFonts w:hint="default"/>
      </w:rPr>
    </w:lvl>
    <w:lvl w:ilvl="6">
      <w:start w:val="0"/>
      <w:numFmt w:val="bullet"/>
      <w:lvlText w:val="•"/>
      <w:lvlJc w:val="left"/>
      <w:pPr>
        <w:ind w:left="7238" w:hanging="878"/>
      </w:pPr>
      <w:rPr>
        <w:rFonts w:hint="default"/>
      </w:rPr>
    </w:lvl>
    <w:lvl w:ilvl="7">
      <w:start w:val="0"/>
      <w:numFmt w:val="bullet"/>
      <w:lvlText w:val="•"/>
      <w:lvlJc w:val="left"/>
      <w:pPr>
        <w:ind w:left="7945" w:hanging="878"/>
      </w:pPr>
      <w:rPr>
        <w:rFonts w:hint="default"/>
      </w:rPr>
    </w:lvl>
    <w:lvl w:ilvl="8">
      <w:start w:val="0"/>
      <w:numFmt w:val="bullet"/>
      <w:lvlText w:val="•"/>
      <w:lvlJc w:val="left"/>
      <w:pPr>
        <w:ind w:left="8651" w:hanging="878"/>
      </w:pPr>
      <w:rPr>
        <w:rFonts w:hint="default"/>
      </w:rPr>
    </w:lvl>
  </w:abstractNum>
  <w:abstractNum w:abstractNumId="9">
    <w:multiLevelType w:val="hybridMultilevel"/>
    <w:lvl w:ilvl="0">
      <w:start w:val="8"/>
      <w:numFmt w:val="decimal"/>
      <w:lvlText w:val="%1"/>
      <w:lvlJc w:val="left"/>
      <w:pPr>
        <w:ind w:left="1091" w:hanging="878"/>
        <w:jc w:val="left"/>
      </w:pPr>
      <w:rPr>
        <w:rFonts w:hint="default"/>
      </w:rPr>
    </w:lvl>
    <w:lvl w:ilvl="1">
      <w:start w:val="1"/>
      <w:numFmt w:val="decimal"/>
      <w:lvlText w:val="%1.%2"/>
      <w:lvlJc w:val="left"/>
      <w:pPr>
        <w:ind w:left="1091" w:hanging="878"/>
        <w:jc w:val="left"/>
      </w:pPr>
      <w:rPr>
        <w:rFonts w:hint="default" w:ascii="黑体" w:hAnsi="黑体" w:eastAsia="黑体" w:cs="黑体"/>
        <w:w w:val="100"/>
        <w:sz w:val="21"/>
        <w:szCs w:val="21"/>
      </w:rPr>
    </w:lvl>
    <w:lvl w:ilvl="2">
      <w:start w:val="0"/>
      <w:numFmt w:val="bullet"/>
      <w:lvlText w:val="•"/>
      <w:lvlJc w:val="left"/>
      <w:pPr>
        <w:ind w:left="1434" w:hanging="878"/>
      </w:pPr>
      <w:rPr>
        <w:rFonts w:hint="default"/>
      </w:rPr>
    </w:lvl>
    <w:lvl w:ilvl="3">
      <w:start w:val="0"/>
      <w:numFmt w:val="bullet"/>
      <w:lvlText w:val="•"/>
      <w:lvlJc w:val="left"/>
      <w:pPr>
        <w:ind w:left="1601" w:hanging="878"/>
      </w:pPr>
      <w:rPr>
        <w:rFonts w:hint="default"/>
      </w:rPr>
    </w:lvl>
    <w:lvl w:ilvl="4">
      <w:start w:val="0"/>
      <w:numFmt w:val="bullet"/>
      <w:lvlText w:val="•"/>
      <w:lvlJc w:val="left"/>
      <w:pPr>
        <w:ind w:left="1768" w:hanging="878"/>
      </w:pPr>
      <w:rPr>
        <w:rFonts w:hint="default"/>
      </w:rPr>
    </w:lvl>
    <w:lvl w:ilvl="5">
      <w:start w:val="0"/>
      <w:numFmt w:val="bullet"/>
      <w:lvlText w:val="•"/>
      <w:lvlJc w:val="left"/>
      <w:pPr>
        <w:ind w:left="1935" w:hanging="878"/>
      </w:pPr>
      <w:rPr>
        <w:rFonts w:hint="default"/>
      </w:rPr>
    </w:lvl>
    <w:lvl w:ilvl="6">
      <w:start w:val="0"/>
      <w:numFmt w:val="bullet"/>
      <w:lvlText w:val="•"/>
      <w:lvlJc w:val="left"/>
      <w:pPr>
        <w:ind w:left="2102" w:hanging="878"/>
      </w:pPr>
      <w:rPr>
        <w:rFonts w:hint="default"/>
      </w:rPr>
    </w:lvl>
    <w:lvl w:ilvl="7">
      <w:start w:val="0"/>
      <w:numFmt w:val="bullet"/>
      <w:lvlText w:val="•"/>
      <w:lvlJc w:val="left"/>
      <w:pPr>
        <w:ind w:left="2269" w:hanging="878"/>
      </w:pPr>
      <w:rPr>
        <w:rFonts w:hint="default"/>
      </w:rPr>
    </w:lvl>
    <w:lvl w:ilvl="8">
      <w:start w:val="0"/>
      <w:numFmt w:val="bullet"/>
      <w:lvlText w:val="•"/>
      <w:lvlJc w:val="left"/>
      <w:pPr>
        <w:ind w:left="2436" w:hanging="878"/>
      </w:pPr>
      <w:rPr>
        <w:rFonts w:hint="default"/>
      </w:rPr>
    </w:lvl>
  </w:abstractNum>
  <w:abstractNum w:abstractNumId="8">
    <w:multiLevelType w:val="hybridMultilevel"/>
    <w:lvl w:ilvl="0">
      <w:start w:val="3"/>
      <w:numFmt w:val="decimal"/>
      <w:lvlText w:val="%1"/>
      <w:lvlJc w:val="left"/>
      <w:pPr>
        <w:ind w:left="2891" w:hanging="878"/>
        <w:jc w:val="left"/>
      </w:pPr>
      <w:rPr>
        <w:rFonts w:hint="default"/>
      </w:rPr>
    </w:lvl>
    <w:lvl w:ilvl="1">
      <w:start w:val="3"/>
      <w:numFmt w:val="decimal"/>
      <w:lvlText w:val="%1.%2"/>
      <w:lvlJc w:val="left"/>
      <w:pPr>
        <w:ind w:left="2891" w:hanging="878"/>
        <w:jc w:val="left"/>
      </w:pPr>
      <w:rPr>
        <w:rFonts w:hint="default" w:ascii="黑体" w:hAnsi="黑体" w:eastAsia="黑体" w:cs="黑体"/>
        <w:w w:val="100"/>
        <w:sz w:val="21"/>
        <w:szCs w:val="21"/>
      </w:rPr>
    </w:lvl>
    <w:lvl w:ilvl="2">
      <w:start w:val="0"/>
      <w:numFmt w:val="bullet"/>
      <w:lvlText w:val="•"/>
      <w:lvlJc w:val="left"/>
      <w:pPr>
        <w:ind w:left="4304" w:hanging="878"/>
      </w:pPr>
      <w:rPr>
        <w:rFonts w:hint="default"/>
      </w:rPr>
    </w:lvl>
    <w:lvl w:ilvl="3">
      <w:start w:val="0"/>
      <w:numFmt w:val="bullet"/>
      <w:lvlText w:val="•"/>
      <w:lvlJc w:val="left"/>
      <w:pPr>
        <w:ind w:left="5007" w:hanging="878"/>
      </w:pPr>
      <w:rPr>
        <w:rFonts w:hint="default"/>
      </w:rPr>
    </w:lvl>
    <w:lvl w:ilvl="4">
      <w:start w:val="0"/>
      <w:numFmt w:val="bullet"/>
      <w:lvlText w:val="•"/>
      <w:lvlJc w:val="left"/>
      <w:pPr>
        <w:ind w:left="5709" w:hanging="878"/>
      </w:pPr>
      <w:rPr>
        <w:rFonts w:hint="default"/>
      </w:rPr>
    </w:lvl>
    <w:lvl w:ilvl="5">
      <w:start w:val="0"/>
      <w:numFmt w:val="bullet"/>
      <w:lvlText w:val="•"/>
      <w:lvlJc w:val="left"/>
      <w:pPr>
        <w:ind w:left="6412" w:hanging="878"/>
      </w:pPr>
      <w:rPr>
        <w:rFonts w:hint="default"/>
      </w:rPr>
    </w:lvl>
    <w:lvl w:ilvl="6">
      <w:start w:val="0"/>
      <w:numFmt w:val="bullet"/>
      <w:lvlText w:val="•"/>
      <w:lvlJc w:val="left"/>
      <w:pPr>
        <w:ind w:left="7114" w:hanging="878"/>
      </w:pPr>
      <w:rPr>
        <w:rFonts w:hint="default"/>
      </w:rPr>
    </w:lvl>
    <w:lvl w:ilvl="7">
      <w:start w:val="0"/>
      <w:numFmt w:val="bullet"/>
      <w:lvlText w:val="•"/>
      <w:lvlJc w:val="left"/>
      <w:pPr>
        <w:ind w:left="7817" w:hanging="878"/>
      </w:pPr>
      <w:rPr>
        <w:rFonts w:hint="default"/>
      </w:rPr>
    </w:lvl>
    <w:lvl w:ilvl="8">
      <w:start w:val="0"/>
      <w:numFmt w:val="bullet"/>
      <w:lvlText w:val="•"/>
      <w:lvlJc w:val="left"/>
      <w:pPr>
        <w:ind w:left="8519" w:hanging="878"/>
      </w:pPr>
      <w:rPr>
        <w:rFonts w:hint="default"/>
      </w:rPr>
    </w:lvl>
  </w:abstractNum>
  <w:abstractNum w:abstractNumId="7">
    <w:multiLevelType w:val="hybridMultilevel"/>
    <w:lvl w:ilvl="0">
      <w:start w:val="9"/>
      <w:numFmt w:val="decimal"/>
      <w:lvlText w:val="%1"/>
      <w:lvlJc w:val="left"/>
      <w:pPr>
        <w:ind w:left="539" w:hanging="294"/>
        <w:jc w:val="left"/>
      </w:pPr>
      <w:rPr>
        <w:rFonts w:hint="default"/>
      </w:rPr>
    </w:lvl>
    <w:lvl w:ilvl="1">
      <w:start w:val="1"/>
      <w:numFmt w:val="decimal"/>
      <w:lvlText w:val="%1.%2"/>
      <w:lvlJc w:val="left"/>
      <w:pPr>
        <w:ind w:left="539" w:hanging="294"/>
        <w:jc w:val="left"/>
      </w:pPr>
      <w:rPr>
        <w:rFonts w:hint="default" w:ascii="宋体" w:hAnsi="宋体" w:eastAsia="宋体" w:cs="宋体"/>
        <w:w w:val="92"/>
        <w:sz w:val="18"/>
        <w:szCs w:val="18"/>
      </w:rPr>
    </w:lvl>
    <w:lvl w:ilvl="2">
      <w:start w:val="0"/>
      <w:numFmt w:val="bullet"/>
      <w:lvlText w:val="•"/>
      <w:lvlJc w:val="left"/>
      <w:pPr>
        <w:ind w:left="1237" w:hanging="294"/>
      </w:pPr>
      <w:rPr>
        <w:rFonts w:hint="default"/>
      </w:rPr>
    </w:lvl>
    <w:lvl w:ilvl="3">
      <w:start w:val="0"/>
      <w:numFmt w:val="bullet"/>
      <w:lvlText w:val="•"/>
      <w:lvlJc w:val="left"/>
      <w:pPr>
        <w:ind w:left="1586" w:hanging="294"/>
      </w:pPr>
      <w:rPr>
        <w:rFonts w:hint="default"/>
      </w:rPr>
    </w:lvl>
    <w:lvl w:ilvl="4">
      <w:start w:val="0"/>
      <w:numFmt w:val="bullet"/>
      <w:lvlText w:val="•"/>
      <w:lvlJc w:val="left"/>
      <w:pPr>
        <w:ind w:left="1934" w:hanging="294"/>
      </w:pPr>
      <w:rPr>
        <w:rFonts w:hint="default"/>
      </w:rPr>
    </w:lvl>
    <w:lvl w:ilvl="5">
      <w:start w:val="0"/>
      <w:numFmt w:val="bullet"/>
      <w:lvlText w:val="•"/>
      <w:lvlJc w:val="left"/>
      <w:pPr>
        <w:ind w:left="2283" w:hanging="294"/>
      </w:pPr>
      <w:rPr>
        <w:rFonts w:hint="default"/>
      </w:rPr>
    </w:lvl>
    <w:lvl w:ilvl="6">
      <w:start w:val="0"/>
      <w:numFmt w:val="bullet"/>
      <w:lvlText w:val="•"/>
      <w:lvlJc w:val="left"/>
      <w:pPr>
        <w:ind w:left="2632" w:hanging="294"/>
      </w:pPr>
      <w:rPr>
        <w:rFonts w:hint="default"/>
      </w:rPr>
    </w:lvl>
    <w:lvl w:ilvl="7">
      <w:start w:val="0"/>
      <w:numFmt w:val="bullet"/>
      <w:lvlText w:val="•"/>
      <w:lvlJc w:val="left"/>
      <w:pPr>
        <w:ind w:left="2980" w:hanging="294"/>
      </w:pPr>
      <w:rPr>
        <w:rFonts w:hint="default"/>
      </w:rPr>
    </w:lvl>
    <w:lvl w:ilvl="8">
      <w:start w:val="0"/>
      <w:numFmt w:val="bullet"/>
      <w:lvlText w:val="•"/>
      <w:lvlJc w:val="left"/>
      <w:pPr>
        <w:ind w:left="3329" w:hanging="294"/>
      </w:pPr>
      <w:rPr>
        <w:rFonts w:hint="default"/>
      </w:rPr>
    </w:lvl>
  </w:abstractNum>
  <w:abstractNum w:abstractNumId="6">
    <w:multiLevelType w:val="hybridMultilevel"/>
    <w:lvl w:ilvl="0">
      <w:start w:val="8"/>
      <w:numFmt w:val="decimal"/>
      <w:lvlText w:val="%1"/>
      <w:lvlJc w:val="left"/>
      <w:pPr>
        <w:ind w:left="660" w:hanging="340"/>
        <w:jc w:val="left"/>
      </w:pPr>
      <w:rPr>
        <w:rFonts w:hint="default"/>
      </w:rPr>
    </w:lvl>
    <w:lvl w:ilvl="1">
      <w:start w:val="1"/>
      <w:numFmt w:val="decimal"/>
      <w:lvlText w:val="%1.%2"/>
      <w:lvlJc w:val="left"/>
      <w:pPr>
        <w:ind w:left="660" w:hanging="340"/>
        <w:jc w:val="right"/>
      </w:pPr>
      <w:rPr>
        <w:rFonts w:hint="default" w:ascii="宋体" w:hAnsi="宋体" w:eastAsia="宋体" w:cs="宋体"/>
        <w:spacing w:val="-1"/>
        <w:w w:val="55"/>
        <w:sz w:val="18"/>
        <w:szCs w:val="18"/>
      </w:rPr>
    </w:lvl>
    <w:lvl w:ilvl="2">
      <w:start w:val="0"/>
      <w:numFmt w:val="bullet"/>
      <w:lvlText w:val="•"/>
      <w:lvlJc w:val="left"/>
      <w:pPr>
        <w:ind w:left="1162" w:hanging="340"/>
      </w:pPr>
      <w:rPr>
        <w:rFonts w:hint="default"/>
      </w:rPr>
    </w:lvl>
    <w:lvl w:ilvl="3">
      <w:start w:val="0"/>
      <w:numFmt w:val="bullet"/>
      <w:lvlText w:val="•"/>
      <w:lvlJc w:val="left"/>
      <w:pPr>
        <w:ind w:left="1413" w:hanging="340"/>
      </w:pPr>
      <w:rPr>
        <w:rFonts w:hint="default"/>
      </w:rPr>
    </w:lvl>
    <w:lvl w:ilvl="4">
      <w:start w:val="0"/>
      <w:numFmt w:val="bullet"/>
      <w:lvlText w:val="•"/>
      <w:lvlJc w:val="left"/>
      <w:pPr>
        <w:ind w:left="1664" w:hanging="340"/>
      </w:pPr>
      <w:rPr>
        <w:rFonts w:hint="default"/>
      </w:rPr>
    </w:lvl>
    <w:lvl w:ilvl="5">
      <w:start w:val="0"/>
      <w:numFmt w:val="bullet"/>
      <w:lvlText w:val="•"/>
      <w:lvlJc w:val="left"/>
      <w:pPr>
        <w:ind w:left="1916" w:hanging="340"/>
      </w:pPr>
      <w:rPr>
        <w:rFonts w:hint="default"/>
      </w:rPr>
    </w:lvl>
    <w:lvl w:ilvl="6">
      <w:start w:val="0"/>
      <w:numFmt w:val="bullet"/>
      <w:lvlText w:val="•"/>
      <w:lvlJc w:val="left"/>
      <w:pPr>
        <w:ind w:left="2167" w:hanging="340"/>
      </w:pPr>
      <w:rPr>
        <w:rFonts w:hint="default"/>
      </w:rPr>
    </w:lvl>
    <w:lvl w:ilvl="7">
      <w:start w:val="0"/>
      <w:numFmt w:val="bullet"/>
      <w:lvlText w:val="•"/>
      <w:lvlJc w:val="left"/>
      <w:pPr>
        <w:ind w:left="2418" w:hanging="340"/>
      </w:pPr>
      <w:rPr>
        <w:rFonts w:hint="default"/>
      </w:rPr>
    </w:lvl>
    <w:lvl w:ilvl="8">
      <w:start w:val="0"/>
      <w:numFmt w:val="bullet"/>
      <w:lvlText w:val="•"/>
      <w:lvlJc w:val="left"/>
      <w:pPr>
        <w:ind w:left="2669" w:hanging="340"/>
      </w:pPr>
      <w:rPr>
        <w:rFonts w:hint="default"/>
      </w:rPr>
    </w:lvl>
  </w:abstractNum>
  <w:abstractNum w:abstractNumId="5">
    <w:multiLevelType w:val="hybridMultilevel"/>
    <w:lvl w:ilvl="0">
      <w:start w:val="5"/>
      <w:numFmt w:val="decimal"/>
      <w:lvlText w:val="%1"/>
      <w:lvlJc w:val="left"/>
      <w:pPr>
        <w:ind w:left="660" w:hanging="340"/>
        <w:jc w:val="left"/>
      </w:pPr>
      <w:rPr>
        <w:rFonts w:hint="default"/>
      </w:rPr>
    </w:lvl>
    <w:lvl w:ilvl="1">
      <w:start w:val="1"/>
      <w:numFmt w:val="decimal"/>
      <w:lvlText w:val="%1.%2"/>
      <w:lvlJc w:val="left"/>
      <w:pPr>
        <w:ind w:left="660" w:hanging="340"/>
        <w:jc w:val="left"/>
      </w:pPr>
      <w:rPr>
        <w:rFonts w:hint="default" w:ascii="宋体" w:hAnsi="宋体" w:eastAsia="宋体" w:cs="宋体"/>
        <w:spacing w:val="-1"/>
        <w:w w:val="55"/>
        <w:sz w:val="18"/>
        <w:szCs w:val="18"/>
      </w:rPr>
    </w:lvl>
    <w:lvl w:ilvl="2">
      <w:start w:val="0"/>
      <w:numFmt w:val="bullet"/>
      <w:lvlText w:val="•"/>
      <w:lvlJc w:val="left"/>
      <w:pPr>
        <w:ind w:left="1162" w:hanging="340"/>
      </w:pPr>
      <w:rPr>
        <w:rFonts w:hint="default"/>
      </w:rPr>
    </w:lvl>
    <w:lvl w:ilvl="3">
      <w:start w:val="0"/>
      <w:numFmt w:val="bullet"/>
      <w:lvlText w:val="•"/>
      <w:lvlJc w:val="left"/>
      <w:pPr>
        <w:ind w:left="1413" w:hanging="340"/>
      </w:pPr>
      <w:rPr>
        <w:rFonts w:hint="default"/>
      </w:rPr>
    </w:lvl>
    <w:lvl w:ilvl="4">
      <w:start w:val="0"/>
      <w:numFmt w:val="bullet"/>
      <w:lvlText w:val="•"/>
      <w:lvlJc w:val="left"/>
      <w:pPr>
        <w:ind w:left="1664" w:hanging="340"/>
      </w:pPr>
      <w:rPr>
        <w:rFonts w:hint="default"/>
      </w:rPr>
    </w:lvl>
    <w:lvl w:ilvl="5">
      <w:start w:val="0"/>
      <w:numFmt w:val="bullet"/>
      <w:lvlText w:val="•"/>
      <w:lvlJc w:val="left"/>
      <w:pPr>
        <w:ind w:left="1916" w:hanging="340"/>
      </w:pPr>
      <w:rPr>
        <w:rFonts w:hint="default"/>
      </w:rPr>
    </w:lvl>
    <w:lvl w:ilvl="6">
      <w:start w:val="0"/>
      <w:numFmt w:val="bullet"/>
      <w:lvlText w:val="•"/>
      <w:lvlJc w:val="left"/>
      <w:pPr>
        <w:ind w:left="2167" w:hanging="340"/>
      </w:pPr>
      <w:rPr>
        <w:rFonts w:hint="default"/>
      </w:rPr>
    </w:lvl>
    <w:lvl w:ilvl="7">
      <w:start w:val="0"/>
      <w:numFmt w:val="bullet"/>
      <w:lvlText w:val="•"/>
      <w:lvlJc w:val="left"/>
      <w:pPr>
        <w:ind w:left="2418" w:hanging="340"/>
      </w:pPr>
      <w:rPr>
        <w:rFonts w:hint="default"/>
      </w:rPr>
    </w:lvl>
    <w:lvl w:ilvl="8">
      <w:start w:val="0"/>
      <w:numFmt w:val="bullet"/>
      <w:lvlText w:val="•"/>
      <w:lvlJc w:val="left"/>
      <w:pPr>
        <w:ind w:left="2669" w:hanging="340"/>
      </w:pPr>
      <w:rPr>
        <w:rFonts w:hint="default"/>
      </w:rPr>
    </w:lvl>
  </w:abstractNum>
  <w:abstractNum w:abstractNumId="4">
    <w:multiLevelType w:val="hybridMultilevel"/>
    <w:lvl w:ilvl="0">
      <w:start w:val="4"/>
      <w:numFmt w:val="decimal"/>
      <w:lvlText w:val="%1"/>
      <w:lvlJc w:val="left"/>
      <w:pPr>
        <w:ind w:left="660" w:hanging="340"/>
        <w:jc w:val="left"/>
      </w:pPr>
      <w:rPr>
        <w:rFonts w:hint="default"/>
      </w:rPr>
    </w:lvl>
    <w:lvl w:ilvl="1">
      <w:start w:val="1"/>
      <w:numFmt w:val="decimal"/>
      <w:lvlText w:val="%1.%2"/>
      <w:lvlJc w:val="left"/>
      <w:pPr>
        <w:ind w:left="660" w:hanging="340"/>
        <w:jc w:val="left"/>
      </w:pPr>
      <w:rPr>
        <w:rFonts w:hint="default" w:ascii="宋体" w:hAnsi="宋体" w:eastAsia="宋体" w:cs="宋体"/>
        <w:spacing w:val="-1"/>
        <w:w w:val="55"/>
        <w:sz w:val="18"/>
        <w:szCs w:val="18"/>
      </w:rPr>
    </w:lvl>
    <w:lvl w:ilvl="2">
      <w:start w:val="0"/>
      <w:numFmt w:val="bullet"/>
      <w:lvlText w:val="•"/>
      <w:lvlJc w:val="left"/>
      <w:pPr>
        <w:ind w:left="1162" w:hanging="340"/>
      </w:pPr>
      <w:rPr>
        <w:rFonts w:hint="default"/>
      </w:rPr>
    </w:lvl>
    <w:lvl w:ilvl="3">
      <w:start w:val="0"/>
      <w:numFmt w:val="bullet"/>
      <w:lvlText w:val="•"/>
      <w:lvlJc w:val="left"/>
      <w:pPr>
        <w:ind w:left="1413" w:hanging="340"/>
      </w:pPr>
      <w:rPr>
        <w:rFonts w:hint="default"/>
      </w:rPr>
    </w:lvl>
    <w:lvl w:ilvl="4">
      <w:start w:val="0"/>
      <w:numFmt w:val="bullet"/>
      <w:lvlText w:val="•"/>
      <w:lvlJc w:val="left"/>
      <w:pPr>
        <w:ind w:left="1664" w:hanging="340"/>
      </w:pPr>
      <w:rPr>
        <w:rFonts w:hint="default"/>
      </w:rPr>
    </w:lvl>
    <w:lvl w:ilvl="5">
      <w:start w:val="0"/>
      <w:numFmt w:val="bullet"/>
      <w:lvlText w:val="•"/>
      <w:lvlJc w:val="left"/>
      <w:pPr>
        <w:ind w:left="1916" w:hanging="340"/>
      </w:pPr>
      <w:rPr>
        <w:rFonts w:hint="default"/>
      </w:rPr>
    </w:lvl>
    <w:lvl w:ilvl="6">
      <w:start w:val="0"/>
      <w:numFmt w:val="bullet"/>
      <w:lvlText w:val="•"/>
      <w:lvlJc w:val="left"/>
      <w:pPr>
        <w:ind w:left="2167" w:hanging="340"/>
      </w:pPr>
      <w:rPr>
        <w:rFonts w:hint="default"/>
      </w:rPr>
    </w:lvl>
    <w:lvl w:ilvl="7">
      <w:start w:val="0"/>
      <w:numFmt w:val="bullet"/>
      <w:lvlText w:val="•"/>
      <w:lvlJc w:val="left"/>
      <w:pPr>
        <w:ind w:left="2418" w:hanging="340"/>
      </w:pPr>
      <w:rPr>
        <w:rFonts w:hint="default"/>
      </w:rPr>
    </w:lvl>
    <w:lvl w:ilvl="8">
      <w:start w:val="0"/>
      <w:numFmt w:val="bullet"/>
      <w:lvlText w:val="•"/>
      <w:lvlJc w:val="left"/>
      <w:pPr>
        <w:ind w:left="2669" w:hanging="340"/>
      </w:pPr>
      <w:rPr>
        <w:rFonts w:hint="default"/>
      </w:rPr>
    </w:lvl>
  </w:abstractNum>
  <w:abstractNum w:abstractNumId="3">
    <w:multiLevelType w:val="hybridMultilevel"/>
    <w:lvl w:ilvl="0">
      <w:start w:val="3"/>
      <w:numFmt w:val="decimal"/>
      <w:lvlText w:val="%1"/>
      <w:lvlJc w:val="left"/>
      <w:pPr>
        <w:ind w:left="851" w:hanging="340"/>
        <w:jc w:val="left"/>
      </w:pPr>
      <w:rPr>
        <w:rFonts w:hint="default"/>
      </w:rPr>
    </w:lvl>
    <w:lvl w:ilvl="1">
      <w:start w:val="1"/>
      <w:numFmt w:val="decimal"/>
      <w:lvlText w:val="%1.%2"/>
      <w:lvlJc w:val="left"/>
      <w:pPr>
        <w:ind w:left="851" w:hanging="340"/>
        <w:jc w:val="left"/>
      </w:pPr>
      <w:rPr>
        <w:rFonts w:hint="default" w:ascii="宋体" w:hAnsi="宋体" w:eastAsia="宋体" w:cs="宋体"/>
        <w:w w:val="92"/>
        <w:sz w:val="18"/>
        <w:szCs w:val="18"/>
      </w:rPr>
    </w:lvl>
    <w:lvl w:ilvl="2">
      <w:start w:val="0"/>
      <w:numFmt w:val="bullet"/>
      <w:lvlText w:val="•"/>
      <w:lvlJc w:val="left"/>
      <w:pPr>
        <w:ind w:left="1289" w:hanging="340"/>
      </w:pPr>
      <w:rPr>
        <w:rFonts w:hint="default"/>
      </w:rPr>
    </w:lvl>
    <w:lvl w:ilvl="3">
      <w:start w:val="0"/>
      <w:numFmt w:val="bullet"/>
      <w:lvlText w:val="•"/>
      <w:lvlJc w:val="left"/>
      <w:pPr>
        <w:ind w:left="1503" w:hanging="340"/>
      </w:pPr>
      <w:rPr>
        <w:rFonts w:hint="default"/>
      </w:rPr>
    </w:lvl>
    <w:lvl w:ilvl="4">
      <w:start w:val="0"/>
      <w:numFmt w:val="bullet"/>
      <w:lvlText w:val="•"/>
      <w:lvlJc w:val="left"/>
      <w:pPr>
        <w:ind w:left="1718" w:hanging="340"/>
      </w:pPr>
      <w:rPr>
        <w:rFonts w:hint="default"/>
      </w:rPr>
    </w:lvl>
    <w:lvl w:ilvl="5">
      <w:start w:val="0"/>
      <w:numFmt w:val="bullet"/>
      <w:lvlText w:val="•"/>
      <w:lvlJc w:val="left"/>
      <w:pPr>
        <w:ind w:left="1932" w:hanging="340"/>
      </w:pPr>
      <w:rPr>
        <w:rFonts w:hint="default"/>
      </w:rPr>
    </w:lvl>
    <w:lvl w:ilvl="6">
      <w:start w:val="0"/>
      <w:numFmt w:val="bullet"/>
      <w:lvlText w:val="•"/>
      <w:lvlJc w:val="left"/>
      <w:pPr>
        <w:ind w:left="2147" w:hanging="340"/>
      </w:pPr>
      <w:rPr>
        <w:rFonts w:hint="default"/>
      </w:rPr>
    </w:lvl>
    <w:lvl w:ilvl="7">
      <w:start w:val="0"/>
      <w:numFmt w:val="bullet"/>
      <w:lvlText w:val="•"/>
      <w:lvlJc w:val="left"/>
      <w:pPr>
        <w:ind w:left="2361" w:hanging="340"/>
      </w:pPr>
      <w:rPr>
        <w:rFonts w:hint="default"/>
      </w:rPr>
    </w:lvl>
    <w:lvl w:ilvl="8">
      <w:start w:val="0"/>
      <w:numFmt w:val="bullet"/>
      <w:lvlText w:val="•"/>
      <w:lvlJc w:val="left"/>
      <w:pPr>
        <w:ind w:left="2576" w:hanging="340"/>
      </w:pPr>
      <w:rPr>
        <w:rFonts w:hint="default"/>
      </w:rPr>
    </w:lvl>
  </w:abstractNum>
  <w:abstractNum w:abstractNumId="2">
    <w:multiLevelType w:val="hybridMultilevel"/>
    <w:lvl w:ilvl="0">
      <w:start w:val="2"/>
      <w:numFmt w:val="decimal"/>
      <w:lvlText w:val="%1"/>
      <w:lvlJc w:val="left"/>
      <w:pPr>
        <w:ind w:left="851" w:hanging="340"/>
        <w:jc w:val="left"/>
      </w:pPr>
      <w:rPr>
        <w:rFonts w:hint="default"/>
      </w:rPr>
    </w:lvl>
    <w:lvl w:ilvl="1">
      <w:start w:val="1"/>
      <w:numFmt w:val="decimal"/>
      <w:lvlText w:val="%1.%2"/>
      <w:lvlJc w:val="left"/>
      <w:pPr>
        <w:ind w:left="851" w:hanging="340"/>
        <w:jc w:val="left"/>
      </w:pPr>
      <w:rPr>
        <w:rFonts w:hint="default" w:ascii="宋体" w:hAnsi="宋体" w:eastAsia="宋体" w:cs="宋体"/>
        <w:w w:val="92"/>
        <w:sz w:val="18"/>
        <w:szCs w:val="18"/>
      </w:rPr>
    </w:lvl>
    <w:lvl w:ilvl="2">
      <w:start w:val="0"/>
      <w:numFmt w:val="bullet"/>
      <w:lvlText w:val="•"/>
      <w:lvlJc w:val="left"/>
      <w:pPr>
        <w:ind w:left="1289" w:hanging="340"/>
      </w:pPr>
      <w:rPr>
        <w:rFonts w:hint="default"/>
      </w:rPr>
    </w:lvl>
    <w:lvl w:ilvl="3">
      <w:start w:val="0"/>
      <w:numFmt w:val="bullet"/>
      <w:lvlText w:val="•"/>
      <w:lvlJc w:val="left"/>
      <w:pPr>
        <w:ind w:left="1503" w:hanging="340"/>
      </w:pPr>
      <w:rPr>
        <w:rFonts w:hint="default"/>
      </w:rPr>
    </w:lvl>
    <w:lvl w:ilvl="4">
      <w:start w:val="0"/>
      <w:numFmt w:val="bullet"/>
      <w:lvlText w:val="•"/>
      <w:lvlJc w:val="left"/>
      <w:pPr>
        <w:ind w:left="1718" w:hanging="340"/>
      </w:pPr>
      <w:rPr>
        <w:rFonts w:hint="default"/>
      </w:rPr>
    </w:lvl>
    <w:lvl w:ilvl="5">
      <w:start w:val="0"/>
      <w:numFmt w:val="bullet"/>
      <w:lvlText w:val="•"/>
      <w:lvlJc w:val="left"/>
      <w:pPr>
        <w:ind w:left="1932" w:hanging="340"/>
      </w:pPr>
      <w:rPr>
        <w:rFonts w:hint="default"/>
      </w:rPr>
    </w:lvl>
    <w:lvl w:ilvl="6">
      <w:start w:val="0"/>
      <w:numFmt w:val="bullet"/>
      <w:lvlText w:val="•"/>
      <w:lvlJc w:val="left"/>
      <w:pPr>
        <w:ind w:left="2147" w:hanging="340"/>
      </w:pPr>
      <w:rPr>
        <w:rFonts w:hint="default"/>
      </w:rPr>
    </w:lvl>
    <w:lvl w:ilvl="7">
      <w:start w:val="0"/>
      <w:numFmt w:val="bullet"/>
      <w:lvlText w:val="•"/>
      <w:lvlJc w:val="left"/>
      <w:pPr>
        <w:ind w:left="2361" w:hanging="340"/>
      </w:pPr>
      <w:rPr>
        <w:rFonts w:hint="default"/>
      </w:rPr>
    </w:lvl>
    <w:lvl w:ilvl="8">
      <w:start w:val="0"/>
      <w:numFmt w:val="bullet"/>
      <w:lvlText w:val="•"/>
      <w:lvlJc w:val="left"/>
      <w:pPr>
        <w:ind w:left="2576" w:hanging="340"/>
      </w:pPr>
      <w:rPr>
        <w:rFonts w:hint="default"/>
      </w:rPr>
    </w:lvl>
  </w:abstractNum>
  <w:abstractNum w:abstractNumId="1">
    <w:multiLevelType w:val="hybridMultilevel"/>
    <w:lvl w:ilvl="0">
      <w:start w:val="1"/>
      <w:numFmt w:val="decimal"/>
      <w:lvlText w:val="%1"/>
      <w:lvlJc w:val="left"/>
      <w:pPr>
        <w:ind w:left="851" w:hanging="340"/>
        <w:jc w:val="left"/>
      </w:pPr>
      <w:rPr>
        <w:rFonts w:hint="default"/>
      </w:rPr>
    </w:lvl>
    <w:lvl w:ilvl="1">
      <w:start w:val="1"/>
      <w:numFmt w:val="decimal"/>
      <w:lvlText w:val="%1.%2"/>
      <w:lvlJc w:val="left"/>
      <w:pPr>
        <w:ind w:left="851" w:hanging="340"/>
        <w:jc w:val="left"/>
      </w:pPr>
      <w:rPr>
        <w:rFonts w:hint="default" w:ascii="宋体" w:hAnsi="宋体" w:eastAsia="宋体" w:cs="宋体"/>
        <w:w w:val="92"/>
        <w:sz w:val="18"/>
        <w:szCs w:val="18"/>
      </w:rPr>
    </w:lvl>
    <w:lvl w:ilvl="2">
      <w:start w:val="0"/>
      <w:numFmt w:val="bullet"/>
      <w:lvlText w:val="•"/>
      <w:lvlJc w:val="left"/>
      <w:pPr>
        <w:ind w:left="1289" w:hanging="340"/>
      </w:pPr>
      <w:rPr>
        <w:rFonts w:hint="default"/>
      </w:rPr>
    </w:lvl>
    <w:lvl w:ilvl="3">
      <w:start w:val="0"/>
      <w:numFmt w:val="bullet"/>
      <w:lvlText w:val="•"/>
      <w:lvlJc w:val="left"/>
      <w:pPr>
        <w:ind w:left="1503" w:hanging="340"/>
      </w:pPr>
      <w:rPr>
        <w:rFonts w:hint="default"/>
      </w:rPr>
    </w:lvl>
    <w:lvl w:ilvl="4">
      <w:start w:val="0"/>
      <w:numFmt w:val="bullet"/>
      <w:lvlText w:val="•"/>
      <w:lvlJc w:val="left"/>
      <w:pPr>
        <w:ind w:left="1718" w:hanging="340"/>
      </w:pPr>
      <w:rPr>
        <w:rFonts w:hint="default"/>
      </w:rPr>
    </w:lvl>
    <w:lvl w:ilvl="5">
      <w:start w:val="0"/>
      <w:numFmt w:val="bullet"/>
      <w:lvlText w:val="•"/>
      <w:lvlJc w:val="left"/>
      <w:pPr>
        <w:ind w:left="1932" w:hanging="340"/>
      </w:pPr>
      <w:rPr>
        <w:rFonts w:hint="default"/>
      </w:rPr>
    </w:lvl>
    <w:lvl w:ilvl="6">
      <w:start w:val="0"/>
      <w:numFmt w:val="bullet"/>
      <w:lvlText w:val="•"/>
      <w:lvlJc w:val="left"/>
      <w:pPr>
        <w:ind w:left="2147" w:hanging="340"/>
      </w:pPr>
      <w:rPr>
        <w:rFonts w:hint="default"/>
      </w:rPr>
    </w:lvl>
    <w:lvl w:ilvl="7">
      <w:start w:val="0"/>
      <w:numFmt w:val="bullet"/>
      <w:lvlText w:val="•"/>
      <w:lvlJc w:val="left"/>
      <w:pPr>
        <w:ind w:left="2361" w:hanging="340"/>
      </w:pPr>
      <w:rPr>
        <w:rFonts w:hint="default"/>
      </w:rPr>
    </w:lvl>
    <w:lvl w:ilvl="8">
      <w:start w:val="0"/>
      <w:numFmt w:val="bullet"/>
      <w:lvlText w:val="•"/>
      <w:lvlJc w:val="left"/>
      <w:pPr>
        <w:ind w:left="2576" w:hanging="340"/>
      </w:pPr>
      <w:rPr>
        <w:rFonts w:hint="default"/>
      </w:rPr>
    </w:lvl>
  </w:abstractNum>
  <w:abstractNum w:abstractNumId="0">
    <w:multiLevelType w:val="hybridMultilevel"/>
    <w:lvl w:ilvl="0">
      <w:start w:val="0"/>
      <w:numFmt w:val="bullet"/>
      <w:lvlText w:val=""/>
      <w:lvlJc w:val="left"/>
      <w:pPr>
        <w:ind w:left="822" w:hanging="360"/>
      </w:pPr>
      <w:rPr>
        <w:rFonts w:hint="default" w:ascii="Wingdings" w:hAnsi="Wingdings" w:eastAsia="Wingdings" w:cs="Wingdings"/>
        <w:w w:val="100"/>
        <w:sz w:val="18"/>
        <w:szCs w:val="18"/>
      </w:rPr>
    </w:lvl>
    <w:lvl w:ilvl="1">
      <w:start w:val="0"/>
      <w:numFmt w:val="bullet"/>
      <w:lvlText w:val="•"/>
      <w:lvlJc w:val="left"/>
      <w:pPr>
        <w:ind w:left="1766" w:hanging="360"/>
      </w:pPr>
      <w:rPr>
        <w:rFonts w:hint="default"/>
      </w:rPr>
    </w:lvl>
    <w:lvl w:ilvl="2">
      <w:start w:val="0"/>
      <w:numFmt w:val="bullet"/>
      <w:lvlText w:val="•"/>
      <w:lvlJc w:val="left"/>
      <w:pPr>
        <w:ind w:left="2712" w:hanging="360"/>
      </w:pPr>
      <w:rPr>
        <w:rFonts w:hint="default"/>
      </w:rPr>
    </w:lvl>
    <w:lvl w:ilvl="3">
      <w:start w:val="0"/>
      <w:numFmt w:val="bullet"/>
      <w:lvlText w:val="•"/>
      <w:lvlJc w:val="left"/>
      <w:pPr>
        <w:ind w:left="3659" w:hanging="360"/>
      </w:pPr>
      <w:rPr>
        <w:rFonts w:hint="default"/>
      </w:rPr>
    </w:lvl>
    <w:lvl w:ilvl="4">
      <w:start w:val="0"/>
      <w:numFmt w:val="bullet"/>
      <w:lvlText w:val="•"/>
      <w:lvlJc w:val="left"/>
      <w:pPr>
        <w:ind w:left="4605" w:hanging="360"/>
      </w:pPr>
      <w:rPr>
        <w:rFonts w:hint="default"/>
      </w:rPr>
    </w:lvl>
    <w:lvl w:ilvl="5">
      <w:start w:val="0"/>
      <w:numFmt w:val="bullet"/>
      <w:lvlText w:val="•"/>
      <w:lvlJc w:val="left"/>
      <w:pPr>
        <w:ind w:left="5552" w:hanging="360"/>
      </w:pPr>
      <w:rPr>
        <w:rFonts w:hint="default"/>
      </w:rPr>
    </w:lvl>
    <w:lvl w:ilvl="6">
      <w:start w:val="0"/>
      <w:numFmt w:val="bullet"/>
      <w:lvlText w:val="•"/>
      <w:lvlJc w:val="left"/>
      <w:pPr>
        <w:ind w:left="6498" w:hanging="360"/>
      </w:pPr>
      <w:rPr>
        <w:rFonts w:hint="default"/>
      </w:rPr>
    </w:lvl>
    <w:lvl w:ilvl="7">
      <w:start w:val="0"/>
      <w:numFmt w:val="bullet"/>
      <w:lvlText w:val="•"/>
      <w:lvlJc w:val="left"/>
      <w:pPr>
        <w:ind w:left="7445" w:hanging="360"/>
      </w:pPr>
      <w:rPr>
        <w:rFonts w:hint="default"/>
      </w:rPr>
    </w:lvl>
    <w:lvl w:ilvl="8">
      <w:start w:val="0"/>
      <w:numFmt w:val="bullet"/>
      <w:lvlText w:val="•"/>
      <w:lvlJc w:val="left"/>
      <w:pPr>
        <w:ind w:left="8391" w:hanging="360"/>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2232"/>
    </w:pPr>
    <w:rPr>
      <w:rFonts w:ascii="宋体" w:hAnsi="宋体" w:eastAsia="宋体" w:cs="宋体"/>
      <w:sz w:val="21"/>
      <w:szCs w:val="21"/>
    </w:rPr>
  </w:style>
  <w:style w:styleId="Heading1" w:type="paragraph">
    <w:name w:val="Heading 1"/>
    <w:basedOn w:val="Normal"/>
    <w:uiPriority w:val="1"/>
    <w:qFormat/>
    <w:pPr>
      <w:spacing w:before="31"/>
      <w:ind w:left="2684" w:right="589" w:hanging="2"/>
      <w:outlineLvl w:val="1"/>
    </w:pPr>
    <w:rPr>
      <w:rFonts w:ascii="黑体" w:hAnsi="黑体" w:eastAsia="黑体" w:cs="黑体"/>
      <w:b/>
      <w:bCs/>
      <w:sz w:val="32"/>
      <w:szCs w:val="32"/>
    </w:rPr>
  </w:style>
  <w:style w:styleId="Heading2" w:type="paragraph">
    <w:name w:val="Heading 2"/>
    <w:basedOn w:val="Normal"/>
    <w:uiPriority w:val="1"/>
    <w:qFormat/>
    <w:pPr>
      <w:spacing w:before="10"/>
      <w:ind w:left="100"/>
      <w:outlineLvl w:val="2"/>
    </w:pPr>
    <w:rPr>
      <w:rFonts w:ascii="黑体" w:hAnsi="黑体" w:eastAsia="黑体" w:cs="黑体"/>
      <w:b/>
      <w:bCs/>
      <w:sz w:val="21"/>
      <w:szCs w:val="21"/>
    </w:rPr>
  </w:style>
  <w:style w:styleId="ListParagraph" w:type="paragraph">
    <w:name w:val="List Paragraph"/>
    <w:basedOn w:val="Normal"/>
    <w:uiPriority w:val="1"/>
    <w:qFormat/>
    <w:pPr>
      <w:spacing w:before="84"/>
      <w:ind w:left="851" w:hanging="34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qintian</dc:creator>
  <dc:title>&lt;4D6963726F736F667420576F7264202D20C0FBB1A3B7A2A3A832303132A3A93831BAC5322DCDC5CCE5D6D5C9EDD6D8B4F3BCB2B2A1B1A3CFD5CCF5BFEE206E6577&gt;</dc:title>
  <dcterms:created xsi:type="dcterms:W3CDTF">2018-10-20T01:26:55Z</dcterms:created>
  <dcterms:modified xsi:type="dcterms:W3CDTF">2018-10-20T01:26:55Z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PScript5.dll Version 5.2.2</vt:lpwstr>
  </property>
  <property fmtid="{D5CDD505-2E9C-101B-9397-08002B2CF9AE}" pid="4" name="LastSaved">
    <vt:filetime>2018-10-19T00:00:00Z</vt:filetime>
  </property>
</Properties>
</file>