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3"/>
        <w:rPr>
          <w:rFonts w:ascii="Times New Roman"/>
        </w:rPr>
      </w:pPr>
    </w:p>
    <w:p>
      <w:pPr>
        <w:spacing w:line="357" w:lineRule="auto" w:before="1"/>
        <w:ind w:left="2843" w:right="2839" w:firstLine="0"/>
        <w:jc w:val="center"/>
        <w:rPr>
          <w:b/>
          <w:sz w:val="32"/>
        </w:rPr>
      </w:pPr>
      <w:r>
        <w:rPr/>
        <w:drawing>
          <wp:anchor distT="0" distB="0" distL="0" distR="0" allowOverlap="1" layoutInCell="1" locked="0" behindDoc="0" simplePos="0" relativeHeight="1048">
            <wp:simplePos x="0" y="0"/>
            <wp:positionH relativeFrom="page">
              <wp:posOffset>5676265</wp:posOffset>
            </wp:positionH>
            <wp:positionV relativeFrom="paragraph">
              <wp:posOffset>-452660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20.799988pt;margin-top:22.157478pt;width:120.05pt;height:39.15pt;mso-position-horizontal-relative:page;mso-position-vertical-relative:paragraph;z-index:-37432" type="#_x0000_t202" filled="false" stroked="true" strokeweight=".75pt" strokecolor="#d7d7d7">
            <v:textbox inset="0,0,0,0">
              <w:txbxContent>
                <w:p>
                  <w:pPr>
                    <w:spacing w:line="386" w:lineRule="auto" w:before="116"/>
                    <w:ind w:left="145" w:right="277" w:firstLine="0"/>
                    <w:jc w:val="left"/>
                    <w:rPr>
                      <w:sz w:val="14"/>
                    </w:rPr>
                  </w:pPr>
                  <w:r>
                    <w:rPr>
                      <w:sz w:val="14"/>
                    </w:rPr>
                    <w:t>安邦人寿</w:t>
                  </w:r>
                  <w:r>
                    <w:rPr>
                      <w:rFonts w:ascii="Times New Roman" w:eastAsia="Times New Roman"/>
                      <w:sz w:val="14"/>
                    </w:rPr>
                    <w:t>[2012]</w:t>
                  </w:r>
                  <w:r>
                    <w:rPr>
                      <w:sz w:val="14"/>
                    </w:rPr>
                    <w:t>疾病保险 </w:t>
                  </w:r>
                  <w:r>
                    <w:rPr>
                      <w:rFonts w:ascii="Times New Roman" w:eastAsia="Times New Roman"/>
                      <w:sz w:val="14"/>
                    </w:rPr>
                    <w:t>042 </w:t>
                  </w:r>
                  <w:r>
                    <w:rPr>
                      <w:sz w:val="14"/>
                    </w:rPr>
                    <w:t>号</w:t>
                  </w:r>
                  <w:r>
                    <w:rPr>
                      <w:w w:val="95"/>
                      <w:sz w:val="14"/>
                    </w:rPr>
                    <w:t>请扫描以查询验证条款</w:t>
                  </w:r>
                </w:p>
              </w:txbxContent>
            </v:textbox>
            <v:stroke dashstyle="solid"/>
            <w10:wrap type="none"/>
          </v:shape>
        </w:pict>
      </w:r>
      <w:r>
        <w:rPr>
          <w:b/>
          <w:w w:val="95"/>
          <w:sz w:val="32"/>
        </w:rPr>
        <w:t>安邦康宁定期重大疾病保险条款</w:t>
      </w:r>
      <w:r>
        <w:rPr>
          <w:b/>
          <w:sz w:val="32"/>
        </w:rPr>
        <w:t>阅 读 指 引</w:t>
      </w:r>
    </w:p>
    <w:p>
      <w:pPr>
        <w:pStyle w:val="BodyText"/>
        <w:spacing w:line="342" w:lineRule="exact"/>
        <w:ind w:left="509" w:right="392"/>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50"/>
          <w:w w:val="100"/>
        </w:rPr>
        <w:t>条</w:t>
      </w:r>
      <w:r>
        <w:rPr>
          <w:spacing w:val="-62"/>
          <w:w w:val="100"/>
          <w:position w:val="-7"/>
        </w:rPr>
        <w:t>．</w:t>
      </w:r>
      <w:r>
        <w:rPr>
          <w:spacing w:val="-152"/>
          <w:w w:val="100"/>
        </w:rPr>
        <w:t>款</w:t>
      </w:r>
      <w:r>
        <w:rPr>
          <w:spacing w:val="-63"/>
          <w:w w:val="100"/>
          <w:position w:val="-7"/>
        </w:rPr>
        <w:t>．</w:t>
      </w:r>
      <w:r>
        <w:rPr>
          <w:spacing w:val="-176"/>
          <w:w w:val="100"/>
        </w:rPr>
        <w:t>，</w:t>
      </w:r>
      <w:r>
        <w:rPr>
          <w:spacing w:val="-89"/>
          <w:w w:val="100"/>
          <w:position w:val="-7"/>
        </w:rPr>
        <w:t>．</w:t>
      </w:r>
      <w:r>
        <w:rPr>
          <w:spacing w:val="-152"/>
          <w:w w:val="100"/>
        </w:rPr>
        <w:t>对</w:t>
      </w:r>
      <w:r>
        <w:rPr>
          <w:spacing w:val="-63"/>
          <w:w w:val="100"/>
          <w:position w:val="-7"/>
        </w:rPr>
        <w:t>．</w:t>
      </w:r>
      <w:r>
        <w:rPr>
          <w:spacing w:val="-149"/>
          <w:w w:val="100"/>
        </w:rPr>
        <w:t>本</w:t>
      </w:r>
      <w:r>
        <w:rPr>
          <w:spacing w:val="-63"/>
          <w:w w:val="100"/>
          <w:position w:val="-7"/>
        </w:rPr>
        <w:t>．</w:t>
      </w:r>
      <w:r>
        <w:rPr>
          <w:spacing w:val="-152"/>
          <w:w w:val="100"/>
        </w:rPr>
        <w:t>主</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52"/>
          <w:w w:val="100"/>
        </w:rPr>
        <w:t>容</w:t>
      </w:r>
      <w:r>
        <w:rPr>
          <w:spacing w:val="-63"/>
          <w:w w:val="100"/>
          <w:position w:val="-7"/>
        </w:rPr>
        <w:t>．</w:t>
      </w:r>
      <w:r>
        <w:rPr>
          <w:spacing w:val="-150"/>
          <w:w w:val="100"/>
        </w:rPr>
        <w:t>的</w:t>
      </w:r>
      <w:r>
        <w:rPr>
          <w:spacing w:val="-63"/>
          <w:w w:val="100"/>
          <w:position w:val="-7"/>
        </w:rPr>
        <w:t>．</w:t>
      </w:r>
      <w:r>
        <w:rPr>
          <w:spacing w:val="-150"/>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52"/>
          <w:w w:val="100"/>
        </w:rPr>
        <w:t>准</w:t>
      </w:r>
      <w:r>
        <w:rPr>
          <w:spacing w:val="-63"/>
          <w:w w:val="100"/>
          <w:position w:val="-7"/>
        </w:rPr>
        <w:t>．</w:t>
      </w:r>
      <w:r>
        <w:rPr>
          <w:spacing w:val="-176"/>
          <w:w w:val="100"/>
        </w:rPr>
        <w:t>。</w:t>
      </w:r>
      <w:r>
        <w:rPr>
          <w:spacing w:val="-89"/>
          <w:w w:val="100"/>
          <w:position w:val="-7"/>
        </w:rPr>
        <w:t>．</w:t>
      </w:r>
      <w:r>
        <w:rPr>
          <w:spacing w:val="-152"/>
          <w:w w:val="100"/>
        </w:rPr>
        <w:t>在</w:t>
      </w:r>
      <w:r>
        <w:rPr>
          <w:spacing w:val="-63"/>
          <w:w w:val="100"/>
          <w:position w:val="-7"/>
        </w:rPr>
        <w:t>．</w:t>
      </w:r>
      <w:r>
        <w:rPr>
          <w:spacing w:val="-152"/>
          <w:w w:val="100"/>
        </w:rPr>
        <w:t>本</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中</w:t>
      </w:r>
      <w:r>
        <w:rPr>
          <w:spacing w:val="-63"/>
          <w:w w:val="100"/>
          <w:position w:val="-7"/>
        </w:rPr>
        <w:t>．</w:t>
      </w:r>
      <w:r>
        <w:rPr>
          <w:spacing w:val="-178"/>
          <w:w w:val="100"/>
        </w:rPr>
        <w:t>，</w:t>
      </w:r>
      <w:r>
        <w:rPr>
          <w:spacing w:val="-89"/>
          <w:w w:val="100"/>
          <w:position w:val="-7"/>
        </w:rPr>
        <w:t>．</w:t>
      </w:r>
      <w:r>
        <w:rPr>
          <w:spacing w:val="-149"/>
          <w:w w:val="100"/>
        </w:rPr>
        <w:t>“</w:t>
      </w:r>
      <w:r>
        <w:rPr>
          <w:spacing w:val="-63"/>
          <w:w w:val="100"/>
          <w:position w:val="-7"/>
        </w:rPr>
        <w:t>．</w:t>
      </w:r>
      <w:r>
        <w:rPr>
          <w:spacing w:val="-152"/>
          <w:w w:val="100"/>
        </w:rPr>
        <w:t>您</w:t>
      </w:r>
      <w:r>
        <w:rPr>
          <w:spacing w:val="-63"/>
          <w:w w:val="100"/>
          <w:position w:val="-7"/>
        </w:rPr>
        <w:t>．</w:t>
      </w:r>
      <w:r>
        <w:rPr>
          <w:spacing w:val="-149"/>
          <w:w w:val="100"/>
        </w:rPr>
        <w:t>”</w:t>
      </w:r>
      <w:r>
        <w:rPr>
          <w:spacing w:val="-63"/>
          <w:w w:val="100"/>
          <w:position w:val="-7"/>
        </w:rPr>
        <w:t>．</w:t>
      </w:r>
      <w:r>
        <w:rPr>
          <w:spacing w:val="-152"/>
          <w:w w:val="100"/>
        </w:rPr>
        <w:t>指</w:t>
      </w:r>
      <w:r>
        <w:rPr>
          <w:spacing w:val="-63"/>
          <w:w w:val="100"/>
          <w:position w:val="-7"/>
        </w:rPr>
        <w:t>．</w:t>
      </w:r>
      <w:r>
        <w:rPr>
          <w:spacing w:val="-149"/>
          <w:w w:val="100"/>
        </w:rPr>
        <w:t>投</w:t>
      </w:r>
      <w:r>
        <w:rPr>
          <w:spacing w:val="-63"/>
          <w:w w:val="100"/>
          <w:position w:val="-7"/>
        </w:rPr>
        <w:t>．</w:t>
      </w:r>
      <w:r>
        <w:rPr>
          <w:spacing w:val="-152"/>
          <w:w w:val="100"/>
        </w:rPr>
        <w:t>保</w:t>
      </w:r>
      <w:r>
        <w:rPr>
          <w:spacing w:val="-63"/>
          <w:w w:val="100"/>
          <w:position w:val="-7"/>
        </w:rPr>
        <w:t>．</w:t>
      </w:r>
      <w:r>
        <w:rPr>
          <w:spacing w:val="-149"/>
          <w:w w:val="100"/>
        </w:rPr>
        <w:t>人</w:t>
      </w:r>
      <w:r>
        <w:rPr>
          <w:spacing w:val="-63"/>
          <w:w w:val="100"/>
          <w:position w:val="-7"/>
        </w:rPr>
        <w:t>．</w:t>
      </w:r>
      <w:r>
        <w:rPr>
          <w:spacing w:val="-205"/>
          <w:w w:val="100"/>
        </w:rPr>
        <w:t>，</w:t>
      </w:r>
      <w:r>
        <w:rPr>
          <w:w w:val="100"/>
          <w:position w:val="-7"/>
        </w:rPr>
        <w:t>．</w:t>
      </w:r>
    </w:p>
    <w:p>
      <w:pPr>
        <w:pStyle w:val="BodyText"/>
        <w:spacing w:before="27"/>
        <w:ind w:left="501"/>
      </w:pPr>
      <w:r>
        <w:rPr/>
        <w:drawing>
          <wp:anchor distT="0" distB="0" distL="0" distR="0" allowOverlap="1" layoutInCell="1" locked="0" behindDoc="1" simplePos="0" relativeHeight="268397975">
            <wp:simplePos x="0" y="0"/>
            <wp:positionH relativeFrom="page">
              <wp:posOffset>609600</wp:posOffset>
            </wp:positionH>
            <wp:positionV relativeFrom="paragraph">
              <wp:posOffset>264333</wp:posOffset>
            </wp:positionV>
            <wp:extent cx="6339585" cy="7804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9585" cy="7804150"/>
                    </a:xfrm>
                    <a:prstGeom prst="rect">
                      <a:avLst/>
                    </a:prstGeom>
                  </pic:spPr>
                </pic:pic>
              </a:graphicData>
            </a:graphic>
          </wp:anchor>
        </w:drawing>
      </w:r>
      <w:r>
        <w:rPr>
          <w:spacing w:val="-149"/>
          <w:w w:val="100"/>
        </w:rPr>
        <w:t>“</w:t>
      </w:r>
      <w:r>
        <w:rPr>
          <w:spacing w:val="-63"/>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49"/>
          <w:w w:val="100"/>
        </w:rPr>
        <w:t>司</w:t>
      </w:r>
      <w:r>
        <w:rPr>
          <w:spacing w:val="-63"/>
          <w:w w:val="100"/>
          <w:position w:val="-7"/>
        </w:rPr>
        <w:t>．</w:t>
      </w:r>
      <w:r>
        <w:rPr>
          <w:spacing w:val="-152"/>
          <w:w w:val="100"/>
        </w:rPr>
        <w:t>”</w:t>
      </w:r>
      <w:r>
        <w:rPr>
          <w:spacing w:val="-63"/>
          <w:w w:val="100"/>
          <w:position w:val="-7"/>
        </w:rPr>
        <w:t>．</w:t>
      </w:r>
      <w:r>
        <w:rPr>
          <w:spacing w:val="-149"/>
          <w:w w:val="100"/>
        </w:rPr>
        <w:t>指</w:t>
      </w:r>
      <w:r>
        <w:rPr>
          <w:spacing w:val="-63"/>
          <w:w w:val="100"/>
          <w:position w:val="-7"/>
        </w:rPr>
        <w:t>．</w:t>
      </w:r>
      <w:r>
        <w:rPr>
          <w:spacing w:val="-152"/>
          <w:w w:val="100"/>
        </w:rPr>
        <w:t>安</w:t>
      </w:r>
      <w:r>
        <w:rPr>
          <w:spacing w:val="-63"/>
          <w:w w:val="100"/>
          <w:position w:val="-7"/>
        </w:rPr>
        <w:t>．</w:t>
      </w:r>
      <w:r>
        <w:rPr>
          <w:spacing w:val="-149"/>
          <w:w w:val="100"/>
        </w:rPr>
        <w:t>邦</w:t>
      </w:r>
      <w:r>
        <w:rPr>
          <w:spacing w:val="-63"/>
          <w:w w:val="100"/>
          <w:position w:val="-7"/>
        </w:rPr>
        <w:t>．</w:t>
      </w:r>
      <w:r>
        <w:rPr>
          <w:spacing w:val="-152"/>
          <w:w w:val="100"/>
        </w:rPr>
        <w:t>人</w:t>
      </w:r>
      <w:r>
        <w:rPr>
          <w:spacing w:val="-63"/>
          <w:w w:val="100"/>
          <w:position w:val="-7"/>
        </w:rPr>
        <w:t>．</w:t>
      </w:r>
      <w:r>
        <w:rPr>
          <w:spacing w:val="-149"/>
          <w:w w:val="100"/>
        </w:rPr>
        <w:t>寿</w:t>
      </w:r>
      <w:r>
        <w:rPr>
          <w:spacing w:val="-63"/>
          <w:w w:val="100"/>
          <w:position w:val="-7"/>
        </w:rPr>
        <w:t>．</w:t>
      </w:r>
      <w:r>
        <w:rPr>
          <w:spacing w:val="-152"/>
          <w:w w:val="100"/>
        </w:rPr>
        <w:t>保</w:t>
      </w:r>
      <w:r>
        <w:rPr>
          <w:spacing w:val="-63"/>
          <w:w w:val="100"/>
          <w:position w:val="-7"/>
        </w:rPr>
        <w:t>．</w:t>
      </w:r>
      <w:r>
        <w:rPr>
          <w:spacing w:val="-149"/>
          <w:w w:val="100"/>
        </w:rPr>
        <w:t>险</w:t>
      </w:r>
      <w:r>
        <w:rPr>
          <w:spacing w:val="-63"/>
          <w:w w:val="100"/>
          <w:position w:val="-7"/>
        </w:rPr>
        <w:t>．</w:t>
      </w:r>
      <w:r>
        <w:rPr>
          <w:spacing w:val="-149"/>
          <w:w w:val="100"/>
        </w:rPr>
        <w:t>股</w:t>
      </w:r>
      <w:r>
        <w:rPr>
          <w:spacing w:val="-63"/>
          <w:w w:val="100"/>
          <w:position w:val="-7"/>
        </w:rPr>
        <w:t>．</w:t>
      </w:r>
      <w:r>
        <w:rPr>
          <w:spacing w:val="-151"/>
          <w:w w:val="100"/>
        </w:rPr>
        <w:t>份</w:t>
      </w:r>
      <w:r>
        <w:rPr>
          <w:spacing w:val="-63"/>
          <w:w w:val="100"/>
          <w:position w:val="-7"/>
        </w:rPr>
        <w:t>．</w:t>
      </w:r>
      <w:r>
        <w:rPr>
          <w:spacing w:val="-149"/>
          <w:w w:val="100"/>
        </w:rPr>
        <w:t>有</w:t>
      </w:r>
      <w:r>
        <w:rPr>
          <w:spacing w:val="-63"/>
          <w:w w:val="100"/>
          <w:position w:val="-7"/>
        </w:rPr>
        <w:t>．</w:t>
      </w:r>
      <w:r>
        <w:rPr>
          <w:spacing w:val="-151"/>
          <w:w w:val="100"/>
        </w:rPr>
        <w:t>限</w:t>
      </w:r>
      <w:r>
        <w:rPr>
          <w:spacing w:val="-63"/>
          <w:w w:val="100"/>
          <w:position w:val="-7"/>
        </w:rPr>
        <w:t>．</w:t>
      </w:r>
      <w:r>
        <w:rPr>
          <w:spacing w:val="-149"/>
          <w:w w:val="100"/>
        </w:rPr>
        <w:t>公</w:t>
      </w:r>
      <w:r>
        <w:rPr>
          <w:spacing w:val="-63"/>
          <w:w w:val="100"/>
          <w:position w:val="-7"/>
        </w:rPr>
        <w:t>．</w:t>
      </w:r>
      <w:r>
        <w:rPr>
          <w:spacing w:val="-151"/>
          <w:w w:val="100"/>
        </w:rPr>
        <w:t>司</w:t>
      </w:r>
      <w:r>
        <w:rPr>
          <w:spacing w:val="-63"/>
          <w:w w:val="100"/>
          <w:position w:val="-7"/>
        </w:rPr>
        <w:t>．</w:t>
      </w:r>
      <w:r>
        <w:rPr>
          <w:spacing w:val="-151"/>
          <w:w w:val="100"/>
        </w:rPr>
        <w:t>。</w:t>
      </w:r>
      <w:r>
        <w:rPr>
          <w:w w:val="100"/>
          <w:position w:val="-7"/>
        </w:rPr>
        <w:t>．</w:t>
      </w:r>
    </w:p>
    <w:p>
      <w:pPr>
        <w:tabs>
          <w:tab w:pos="1249" w:val="left" w:leader="none"/>
        </w:tabs>
        <w:spacing w:before="82"/>
        <w:ind w:left="239"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69" w:val="left" w:leader="none"/>
          <w:tab w:pos="1270" w:val="left" w:leader="none"/>
          <w:tab w:pos="9879" w:val="right" w:leader="dot"/>
        </w:tabs>
        <w:spacing w:line="240" w:lineRule="auto" w:before="26" w:after="0"/>
        <w:ind w:left="1269" w:right="0" w:hanging="399"/>
        <w:jc w:val="left"/>
        <w:rPr>
          <w:sz w:val="21"/>
        </w:rPr>
      </w:pPr>
      <w:r>
        <w:rPr>
          <w:spacing w:val="-3"/>
          <w:sz w:val="21"/>
        </w:rPr>
        <w:t>签</w:t>
      </w:r>
      <w:r>
        <w:rPr>
          <w:sz w:val="21"/>
        </w:rPr>
        <w:t>收</w:t>
      </w:r>
      <w:r>
        <w:rPr>
          <w:spacing w:val="-3"/>
          <w:sz w:val="21"/>
        </w:rPr>
        <w:t>本</w:t>
      </w:r>
      <w:r>
        <w:rPr>
          <w:sz w:val="21"/>
        </w:rPr>
        <w:t>主</w:t>
      </w:r>
      <w:r>
        <w:rPr>
          <w:spacing w:val="-3"/>
          <w:sz w:val="21"/>
        </w:rPr>
        <w:t>险合</w:t>
      </w:r>
      <w:r>
        <w:rPr>
          <w:sz w:val="21"/>
        </w:rPr>
        <w:t>同次</w:t>
      </w:r>
      <w:r>
        <w:rPr>
          <w:spacing w:val="-3"/>
          <w:sz w:val="21"/>
        </w:rPr>
        <w:t>日</w:t>
      </w:r>
      <w:r>
        <w:rPr>
          <w:sz w:val="21"/>
        </w:rPr>
        <w:t>起</w:t>
      </w:r>
      <w:r>
        <w:rPr>
          <w:spacing w:val="-51"/>
          <w:sz w:val="21"/>
        </w:rPr>
        <w:t> </w:t>
      </w:r>
      <w:r>
        <w:rPr>
          <w:sz w:val="21"/>
        </w:rPr>
        <w:t>10</w:t>
      </w:r>
      <w:r>
        <w:rPr>
          <w:spacing w:val="-51"/>
          <w:sz w:val="21"/>
        </w:rPr>
        <w:t> </w:t>
      </w:r>
      <w:r>
        <w:rPr>
          <w:spacing w:val="-3"/>
          <w:sz w:val="21"/>
        </w:rPr>
        <w:t>天</w:t>
      </w:r>
      <w:r>
        <w:rPr>
          <w:sz w:val="21"/>
        </w:rPr>
        <w:t>（</w:t>
      </w:r>
      <w:r>
        <w:rPr>
          <w:spacing w:val="-3"/>
          <w:sz w:val="21"/>
        </w:rPr>
        <w:t>即</w:t>
      </w:r>
      <w:r>
        <w:rPr>
          <w:sz w:val="21"/>
        </w:rPr>
        <w:t>犹</w:t>
      </w:r>
      <w:r>
        <w:rPr>
          <w:spacing w:val="-3"/>
          <w:sz w:val="21"/>
        </w:rPr>
        <w:t>豫期</w:t>
      </w:r>
      <w:r>
        <w:rPr>
          <w:sz w:val="21"/>
        </w:rPr>
        <w:t>）内</w:t>
      </w:r>
      <w:r>
        <w:rPr>
          <w:spacing w:val="-3"/>
          <w:sz w:val="21"/>
        </w:rPr>
        <w:t>您</w:t>
      </w:r>
      <w:r>
        <w:rPr>
          <w:sz w:val="21"/>
        </w:rPr>
        <w:t>若</w:t>
      </w:r>
      <w:r>
        <w:rPr>
          <w:spacing w:val="-3"/>
          <w:sz w:val="21"/>
        </w:rPr>
        <w:t>要</w:t>
      </w:r>
      <w:r>
        <w:rPr>
          <w:sz w:val="21"/>
        </w:rPr>
        <w:t>求</w:t>
      </w:r>
      <w:r>
        <w:rPr>
          <w:spacing w:val="-3"/>
          <w:sz w:val="21"/>
        </w:rPr>
        <w:t>退</w:t>
      </w:r>
      <w:r>
        <w:rPr>
          <w:sz w:val="21"/>
        </w:rPr>
        <w:t>保</w:t>
      </w:r>
      <w:r>
        <w:rPr>
          <w:spacing w:val="-3"/>
          <w:sz w:val="21"/>
        </w:rPr>
        <w:t>，</w:t>
      </w:r>
      <w:r>
        <w:rPr>
          <w:sz w:val="21"/>
        </w:rPr>
        <w:t>本</w:t>
      </w:r>
      <w:r>
        <w:rPr>
          <w:spacing w:val="-3"/>
          <w:sz w:val="21"/>
        </w:rPr>
        <w:t>公</w:t>
      </w:r>
      <w:r>
        <w:rPr>
          <w:sz w:val="21"/>
        </w:rPr>
        <w:t>司仅</w:t>
      </w:r>
      <w:r>
        <w:rPr>
          <w:spacing w:val="-3"/>
          <w:sz w:val="21"/>
        </w:rPr>
        <w:t>扣</w:t>
      </w:r>
      <w:r>
        <w:rPr>
          <w:sz w:val="21"/>
        </w:rPr>
        <w:t>除</w:t>
      </w:r>
      <w:r>
        <w:rPr>
          <w:spacing w:val="-3"/>
          <w:sz w:val="21"/>
        </w:rPr>
        <w:t>工</w:t>
      </w:r>
      <w:r>
        <w:rPr>
          <w:sz w:val="21"/>
        </w:rPr>
        <w:t>本费</w:t>
        <w:tab/>
        <w:t>1.4</w:t>
      </w:r>
    </w:p>
    <w:p>
      <w:pPr>
        <w:pStyle w:val="ListParagraph"/>
        <w:numPr>
          <w:ilvl w:val="0"/>
          <w:numId w:val="1"/>
        </w:numPr>
        <w:tabs>
          <w:tab w:pos="1269" w:val="left" w:leader="none"/>
          <w:tab w:pos="1270" w:val="left" w:leader="none"/>
          <w:tab w:pos="9877" w:val="right" w:leader="dot"/>
        </w:tabs>
        <w:spacing w:line="240" w:lineRule="auto" w:before="22"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69" w:val="left" w:leader="none"/>
          <w:tab w:pos="1270" w:val="left" w:leader="none"/>
          <w:tab w:pos="9881" w:val="right" w:leader="dot"/>
        </w:tabs>
        <w:spacing w:line="240" w:lineRule="auto" w:before="22" w:after="0"/>
        <w:ind w:left="1269" w:right="0" w:hanging="399"/>
        <w:jc w:val="left"/>
        <w:rPr>
          <w:sz w:val="21"/>
        </w:rPr>
      </w:pPr>
      <w:r>
        <w:rPr>
          <w:spacing w:val="-3"/>
          <w:sz w:val="21"/>
        </w:rPr>
        <w:t>本</w:t>
      </w:r>
      <w:r>
        <w:rPr>
          <w:sz w:val="21"/>
        </w:rPr>
        <w:t>主险</w:t>
      </w:r>
      <w:r>
        <w:rPr>
          <w:spacing w:val="-3"/>
          <w:sz w:val="21"/>
        </w:rPr>
        <w:t>合</w:t>
      </w:r>
      <w:r>
        <w:rPr>
          <w:sz w:val="21"/>
        </w:rPr>
        <w:t>同</w:t>
      </w:r>
      <w:r>
        <w:rPr>
          <w:spacing w:val="-3"/>
          <w:sz w:val="21"/>
        </w:rPr>
        <w:t>提</w:t>
      </w:r>
      <w:r>
        <w:rPr>
          <w:sz w:val="21"/>
        </w:rPr>
        <w:t>供</w:t>
      </w:r>
      <w:r>
        <w:rPr>
          <w:spacing w:val="-3"/>
          <w:sz w:val="21"/>
        </w:rPr>
        <w:t>的保</w:t>
      </w:r>
      <w:r>
        <w:rPr>
          <w:sz w:val="21"/>
        </w:rPr>
        <w:t>障在</w:t>
      </w:r>
      <w:r>
        <w:rPr>
          <w:spacing w:val="-3"/>
          <w:sz w:val="21"/>
        </w:rPr>
        <w:t>保</w:t>
      </w:r>
      <w:r>
        <w:rPr>
          <w:sz w:val="21"/>
        </w:rPr>
        <w:t>险</w:t>
      </w:r>
      <w:r>
        <w:rPr>
          <w:spacing w:val="-3"/>
          <w:sz w:val="21"/>
        </w:rPr>
        <w:t>责</w:t>
      </w:r>
      <w:r>
        <w:rPr>
          <w:sz w:val="21"/>
        </w:rPr>
        <w:t>任</w:t>
      </w:r>
      <w:r>
        <w:rPr>
          <w:spacing w:val="-3"/>
          <w:sz w:val="21"/>
        </w:rPr>
        <w:t>条</w:t>
      </w:r>
      <w:r>
        <w:rPr>
          <w:sz w:val="21"/>
        </w:rPr>
        <w:t>款</w:t>
      </w:r>
      <w:r>
        <w:rPr>
          <w:spacing w:val="-3"/>
          <w:sz w:val="21"/>
        </w:rPr>
        <w:t>中</w:t>
      </w:r>
      <w:r>
        <w:rPr>
          <w:sz w:val="21"/>
        </w:rPr>
        <w:t>列明</w:t>
        <w:tab/>
        <w:t>2.5</w:t>
      </w:r>
    </w:p>
    <w:p>
      <w:pPr>
        <w:tabs>
          <w:tab w:pos="1249" w:val="left" w:leader="none"/>
        </w:tabs>
        <w:spacing w:before="23"/>
        <w:ind w:left="23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9" w:val="left" w:leader="none"/>
          <w:tab w:pos="1260" w:val="left" w:leader="none"/>
          <w:tab w:pos="9874" w:val="right" w:leader="dot"/>
        </w:tabs>
        <w:spacing w:line="240" w:lineRule="auto" w:before="26"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59" w:val="left" w:leader="none"/>
          <w:tab w:pos="1260" w:val="left" w:leader="none"/>
          <w:tab w:pos="9874" w:val="right" w:leader="dot"/>
        </w:tabs>
        <w:spacing w:line="240" w:lineRule="auto" w:before="22" w:after="0"/>
        <w:ind w:left="1259" w:right="0" w:hanging="389"/>
        <w:jc w:val="left"/>
        <w:rPr>
          <w:sz w:val="21"/>
        </w:rPr>
      </w:pPr>
      <w:r>
        <w:rPr>
          <w:sz w:val="21"/>
        </w:rPr>
        <w:t>本主</w:t>
      </w:r>
      <w:r>
        <w:rPr>
          <w:spacing w:val="-3"/>
          <w:sz w:val="21"/>
        </w:rPr>
        <w:t>险</w:t>
      </w:r>
      <w:r>
        <w:rPr>
          <w:sz w:val="21"/>
        </w:rPr>
        <w:t>合</w:t>
      </w:r>
      <w:r>
        <w:rPr>
          <w:spacing w:val="-3"/>
          <w:sz w:val="21"/>
        </w:rPr>
        <w:t>同</w:t>
      </w:r>
      <w:r>
        <w:rPr>
          <w:sz w:val="21"/>
        </w:rPr>
        <w:t>有</w:t>
      </w:r>
      <w:r>
        <w:rPr>
          <w:spacing w:val="-53"/>
          <w:sz w:val="21"/>
        </w:rPr>
        <w:t> </w:t>
      </w:r>
      <w:r>
        <w:rPr>
          <w:sz w:val="21"/>
        </w:rPr>
        <w:t>180</w:t>
      </w:r>
      <w:r>
        <w:rPr>
          <w:spacing w:val="-53"/>
          <w:sz w:val="21"/>
        </w:rPr>
        <w:t> </w:t>
      </w:r>
      <w:r>
        <w:rPr>
          <w:spacing w:val="-3"/>
          <w:sz w:val="21"/>
        </w:rPr>
        <w:t>天</w:t>
      </w:r>
      <w:r>
        <w:rPr>
          <w:sz w:val="21"/>
        </w:rPr>
        <w:t>的</w:t>
      </w:r>
      <w:r>
        <w:rPr>
          <w:spacing w:val="-3"/>
          <w:sz w:val="21"/>
        </w:rPr>
        <w:t>等</w:t>
      </w:r>
      <w:r>
        <w:rPr>
          <w:sz w:val="21"/>
        </w:rPr>
        <w:t>待期</w:t>
        <w:tab/>
        <w:t>2.5</w:t>
      </w:r>
    </w:p>
    <w:p>
      <w:pPr>
        <w:pStyle w:val="ListParagraph"/>
        <w:numPr>
          <w:ilvl w:val="0"/>
          <w:numId w:val="1"/>
        </w:numPr>
        <w:tabs>
          <w:tab w:pos="1269" w:val="left" w:leader="none"/>
          <w:tab w:pos="1270" w:val="left" w:leader="none"/>
          <w:tab w:pos="9881" w:val="right" w:leader="dot"/>
        </w:tabs>
        <w:spacing w:line="240" w:lineRule="auto" w:before="22"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本公</w:t>
      </w:r>
      <w:r>
        <w:rPr>
          <w:sz w:val="21"/>
        </w:rPr>
        <w:t>司不</w:t>
      </w:r>
      <w:r>
        <w:rPr>
          <w:spacing w:val="-3"/>
          <w:sz w:val="21"/>
        </w:rPr>
        <w:t>承</w:t>
      </w:r>
      <w:r>
        <w:rPr>
          <w:sz w:val="21"/>
        </w:rPr>
        <w:t>担</w:t>
      </w:r>
      <w:r>
        <w:rPr>
          <w:spacing w:val="-3"/>
          <w:sz w:val="21"/>
        </w:rPr>
        <w:t>保</w:t>
      </w:r>
      <w:r>
        <w:rPr>
          <w:sz w:val="21"/>
        </w:rPr>
        <w:t>险</w:t>
      </w:r>
      <w:r>
        <w:rPr>
          <w:spacing w:val="-3"/>
          <w:sz w:val="21"/>
        </w:rPr>
        <w:t>责</w:t>
      </w:r>
      <w:r>
        <w:rPr>
          <w:sz w:val="21"/>
        </w:rPr>
        <w:t>任</w:t>
        <w:tab/>
        <w:t>2.6</w:t>
      </w:r>
    </w:p>
    <w:p>
      <w:pPr>
        <w:pStyle w:val="ListParagraph"/>
        <w:numPr>
          <w:ilvl w:val="0"/>
          <w:numId w:val="1"/>
        </w:numPr>
        <w:tabs>
          <w:tab w:pos="1269" w:val="left" w:leader="none"/>
          <w:tab w:pos="1270" w:val="left" w:leader="none"/>
          <w:tab w:pos="9874" w:val="right" w:leader="dot"/>
        </w:tabs>
        <w:spacing w:line="240" w:lineRule="auto" w:before="22"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本</w:t>
      </w:r>
      <w:r>
        <w:rPr>
          <w:spacing w:val="-3"/>
          <w:sz w:val="21"/>
        </w:rPr>
        <w:t>公</w:t>
      </w:r>
      <w:r>
        <w:rPr>
          <w:sz w:val="21"/>
        </w:rPr>
        <w:t>司</w:t>
        <w:tab/>
      </w:r>
      <w:r>
        <w:rPr>
          <w:spacing w:val="-3"/>
          <w:sz w:val="21"/>
        </w:rPr>
        <w:t>3.2</w:t>
      </w:r>
    </w:p>
    <w:p>
      <w:pPr>
        <w:pStyle w:val="ListParagraph"/>
        <w:numPr>
          <w:ilvl w:val="0"/>
          <w:numId w:val="1"/>
        </w:numPr>
        <w:tabs>
          <w:tab w:pos="1269" w:val="left" w:leader="none"/>
          <w:tab w:pos="1270" w:val="left" w:leader="none"/>
          <w:tab w:pos="9881" w:val="right" w:leader="dot"/>
        </w:tabs>
        <w:spacing w:line="240" w:lineRule="auto" w:before="22" w:after="0"/>
        <w:ind w:left="1269" w:right="0" w:hanging="399"/>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69" w:val="left" w:leader="none"/>
          <w:tab w:pos="1270" w:val="left" w:leader="none"/>
          <w:tab w:pos="9882" w:val="right" w:leader="dot"/>
        </w:tabs>
        <w:spacing w:line="240" w:lineRule="auto" w:before="22" w:after="0"/>
        <w:ind w:left="1269" w:right="0" w:hanging="399"/>
        <w:jc w:val="left"/>
        <w:rPr>
          <w:sz w:val="21"/>
        </w:rPr>
      </w:pPr>
      <w:r>
        <w:rPr>
          <w:spacing w:val="-3"/>
          <w:sz w:val="21"/>
        </w:rPr>
        <w:t>本</w:t>
      </w:r>
      <w:r>
        <w:rPr>
          <w:sz w:val="21"/>
        </w:rPr>
        <w:t>公司</w:t>
      </w:r>
      <w:r>
        <w:rPr>
          <w:spacing w:val="-3"/>
          <w:sz w:val="21"/>
        </w:rPr>
        <w:t>保</w:t>
      </w:r>
      <w:r>
        <w:rPr>
          <w:sz w:val="21"/>
        </w:rPr>
        <w:t>留</w:t>
      </w:r>
      <w:r>
        <w:rPr>
          <w:spacing w:val="-3"/>
          <w:sz w:val="21"/>
        </w:rPr>
        <w:t>提</w:t>
      </w:r>
      <w:r>
        <w:rPr>
          <w:sz w:val="21"/>
        </w:rPr>
        <w:t>高</w:t>
      </w:r>
      <w:r>
        <w:rPr>
          <w:spacing w:val="-3"/>
          <w:sz w:val="21"/>
        </w:rPr>
        <w:t>或降</w:t>
      </w:r>
      <w:r>
        <w:rPr>
          <w:sz w:val="21"/>
        </w:rPr>
        <w:t>低保</w:t>
      </w:r>
      <w:r>
        <w:rPr>
          <w:spacing w:val="-3"/>
          <w:sz w:val="21"/>
        </w:rPr>
        <w:t>险</w:t>
      </w:r>
      <w:r>
        <w:rPr>
          <w:sz w:val="21"/>
        </w:rPr>
        <w:t>费</w:t>
      </w:r>
      <w:r>
        <w:rPr>
          <w:spacing w:val="-3"/>
          <w:sz w:val="21"/>
        </w:rPr>
        <w:t>率</w:t>
      </w:r>
      <w:r>
        <w:rPr>
          <w:sz w:val="21"/>
        </w:rPr>
        <w:t>的</w:t>
      </w:r>
      <w:r>
        <w:rPr>
          <w:spacing w:val="-3"/>
          <w:sz w:val="21"/>
        </w:rPr>
        <w:t>权</w:t>
      </w:r>
      <w:r>
        <w:rPr>
          <w:sz w:val="21"/>
        </w:rPr>
        <w:t>利</w:t>
      </w:r>
      <w:r>
        <w:rPr>
          <w:spacing w:val="-3"/>
          <w:sz w:val="21"/>
        </w:rPr>
        <w:t>，</w:t>
      </w:r>
      <w:r>
        <w:rPr>
          <w:sz w:val="21"/>
        </w:rPr>
        <w:t>请</w:t>
      </w:r>
      <w:r>
        <w:rPr>
          <w:spacing w:val="-3"/>
          <w:sz w:val="21"/>
        </w:rPr>
        <w:t>您</w:t>
      </w:r>
      <w:r>
        <w:rPr>
          <w:sz w:val="21"/>
        </w:rPr>
        <w:t>注意</w:t>
        <w:tab/>
        <w:t>4.2</w:t>
      </w:r>
    </w:p>
    <w:p>
      <w:pPr>
        <w:pStyle w:val="ListParagraph"/>
        <w:numPr>
          <w:ilvl w:val="0"/>
          <w:numId w:val="1"/>
        </w:numPr>
        <w:tabs>
          <w:tab w:pos="1269" w:val="left" w:leader="none"/>
          <w:tab w:pos="1270" w:val="left" w:leader="none"/>
          <w:tab w:pos="9874" w:val="right" w:leader="dot"/>
        </w:tabs>
        <w:spacing w:line="240" w:lineRule="auto" w:before="22"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r>
      <w:r>
        <w:rPr>
          <w:spacing w:val="-3"/>
          <w:sz w:val="21"/>
        </w:rPr>
        <w:t>5.1</w:t>
      </w:r>
    </w:p>
    <w:p>
      <w:pPr>
        <w:pStyle w:val="ListParagraph"/>
        <w:numPr>
          <w:ilvl w:val="0"/>
          <w:numId w:val="1"/>
        </w:numPr>
        <w:tabs>
          <w:tab w:pos="1269" w:val="left" w:leader="none"/>
          <w:tab w:pos="1270" w:val="left" w:leader="none"/>
          <w:tab w:pos="9670" w:val="right" w:leader="dot"/>
        </w:tabs>
        <w:spacing w:line="240" w:lineRule="auto" w:before="22" w:after="0"/>
        <w:ind w:left="1269" w:right="0" w:hanging="399"/>
        <w:jc w:val="left"/>
        <w:rPr>
          <w:sz w:val="21"/>
        </w:rPr>
      </w:pPr>
      <w:r>
        <w:rPr>
          <w:spacing w:val="-3"/>
          <w:sz w:val="21"/>
        </w:rPr>
        <w:t>本</w:t>
      </w:r>
      <w:r>
        <w:rPr>
          <w:sz w:val="21"/>
        </w:rPr>
        <w:t>公</w:t>
      </w:r>
      <w:r>
        <w:rPr>
          <w:spacing w:val="-3"/>
          <w:sz w:val="21"/>
        </w:rPr>
        <w:t>司</w:t>
      </w:r>
      <w:r>
        <w:rPr>
          <w:sz w:val="21"/>
        </w:rPr>
        <w:t>对</w:t>
      </w:r>
      <w:r>
        <w:rPr>
          <w:spacing w:val="-3"/>
          <w:sz w:val="21"/>
        </w:rPr>
        <w:t>一些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并</w:t>
      </w:r>
      <w:r>
        <w:rPr>
          <w:sz w:val="21"/>
        </w:rPr>
        <w:t>作了</w:t>
      </w:r>
      <w:r>
        <w:rPr>
          <w:spacing w:val="-3"/>
          <w:sz w:val="21"/>
        </w:rPr>
        <w:t>显</w:t>
      </w:r>
      <w:r>
        <w:rPr>
          <w:sz w:val="21"/>
        </w:rPr>
        <w:t>著</w:t>
      </w:r>
      <w:r>
        <w:rPr>
          <w:spacing w:val="-3"/>
          <w:sz w:val="21"/>
        </w:rPr>
        <w:t>标</w:t>
      </w:r>
      <w:r>
        <w:rPr>
          <w:sz w:val="21"/>
        </w:rPr>
        <w:t>识</w:t>
      </w:r>
      <w:r>
        <w:rPr>
          <w:spacing w:val="-3"/>
          <w:sz w:val="21"/>
        </w:rPr>
        <w:t>，</w:t>
      </w:r>
      <w:r>
        <w:rPr>
          <w:sz w:val="21"/>
        </w:rPr>
        <w:t>请</w:t>
      </w:r>
      <w:r>
        <w:rPr>
          <w:spacing w:val="-3"/>
          <w:sz w:val="21"/>
        </w:rPr>
        <w:t>您</w:t>
      </w:r>
      <w:r>
        <w:rPr>
          <w:sz w:val="21"/>
        </w:rPr>
        <w:t>注意</w:t>
        <w:tab/>
        <w:t>6</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49" w:val="left" w:leader="none"/>
        </w:tabs>
        <w:spacing w:before="25"/>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4"/>
        <w:gridCol w:w="3364"/>
        <w:gridCol w:w="3333"/>
      </w:tblGrid>
      <w:tr>
        <w:trPr>
          <w:trHeight w:val="6140" w:hRule="atLeast"/>
        </w:trPr>
        <w:tc>
          <w:tcPr>
            <w:tcW w:w="3244" w:type="dxa"/>
          </w:tcPr>
          <w:p>
            <w:pPr>
              <w:pStyle w:val="TableParagraph"/>
              <w:numPr>
                <w:ilvl w:val="0"/>
                <w:numId w:val="2"/>
              </w:numPr>
              <w:tabs>
                <w:tab w:pos="518" w:val="left" w:leader="none"/>
              </w:tabs>
              <w:spacing w:line="211" w:lineRule="exact" w:before="0" w:after="0"/>
              <w:ind w:left="517" w:right="0" w:hanging="317"/>
              <w:jc w:val="left"/>
              <w:rPr>
                <w:b/>
                <w:sz w:val="21"/>
              </w:rPr>
            </w:pPr>
            <w:r>
              <w:rPr>
                <w:b/>
                <w:spacing w:val="-1"/>
                <w:sz w:val="21"/>
              </w:rPr>
              <w:t>您与本公司的合同</w:t>
            </w:r>
          </w:p>
          <w:p>
            <w:pPr>
              <w:pStyle w:val="TableParagraph"/>
              <w:numPr>
                <w:ilvl w:val="1"/>
                <w:numId w:val="2"/>
              </w:numPr>
              <w:tabs>
                <w:tab w:pos="729" w:val="left" w:leader="none"/>
              </w:tabs>
              <w:spacing w:line="240" w:lineRule="auto" w:before="37" w:after="0"/>
              <w:ind w:left="726" w:right="0" w:hanging="420"/>
              <w:jc w:val="left"/>
              <w:rPr>
                <w:sz w:val="21"/>
              </w:rPr>
            </w:pPr>
            <w:r>
              <w:rPr>
                <w:spacing w:val="-3"/>
                <w:sz w:val="21"/>
              </w:rPr>
              <w:t>合同构成</w:t>
            </w:r>
          </w:p>
          <w:p>
            <w:pPr>
              <w:pStyle w:val="TableParagraph"/>
              <w:numPr>
                <w:ilvl w:val="1"/>
                <w:numId w:val="2"/>
              </w:numPr>
              <w:tabs>
                <w:tab w:pos="729" w:val="left" w:leader="none"/>
              </w:tabs>
              <w:spacing w:line="240" w:lineRule="auto" w:before="37" w:after="0"/>
              <w:ind w:left="726" w:right="0" w:hanging="420"/>
              <w:jc w:val="left"/>
              <w:rPr>
                <w:sz w:val="21"/>
              </w:rPr>
            </w:pPr>
            <w:r>
              <w:rPr>
                <w:spacing w:val="-3"/>
                <w:sz w:val="21"/>
              </w:rPr>
              <w:t>投保范围</w:t>
            </w:r>
          </w:p>
          <w:p>
            <w:pPr>
              <w:pStyle w:val="TableParagraph"/>
              <w:numPr>
                <w:ilvl w:val="1"/>
                <w:numId w:val="2"/>
              </w:numPr>
              <w:tabs>
                <w:tab w:pos="736" w:val="left" w:leader="none"/>
              </w:tabs>
              <w:spacing w:line="273" w:lineRule="auto" w:before="37" w:after="0"/>
              <w:ind w:left="726" w:right="104" w:hanging="420"/>
              <w:jc w:val="left"/>
              <w:rPr>
                <w:sz w:val="21"/>
              </w:rPr>
            </w:pPr>
            <w:r>
              <w:rPr>
                <w:spacing w:val="3"/>
                <w:sz w:val="21"/>
              </w:rPr>
              <w:t>合同成立与生效和保险责任开始</w:t>
            </w:r>
          </w:p>
          <w:p>
            <w:pPr>
              <w:pStyle w:val="TableParagraph"/>
              <w:numPr>
                <w:ilvl w:val="1"/>
                <w:numId w:val="2"/>
              </w:numPr>
              <w:tabs>
                <w:tab w:pos="729" w:val="left" w:leader="none"/>
              </w:tabs>
              <w:spacing w:line="240" w:lineRule="auto" w:before="7" w:after="0"/>
              <w:ind w:left="726" w:right="0" w:hanging="420"/>
              <w:jc w:val="left"/>
              <w:rPr>
                <w:sz w:val="21"/>
              </w:rPr>
            </w:pPr>
            <w:r>
              <w:rPr>
                <w:spacing w:val="-2"/>
                <w:sz w:val="21"/>
              </w:rPr>
              <w:t>犹豫期</w:t>
            </w:r>
          </w:p>
          <w:p>
            <w:pPr>
              <w:pStyle w:val="TableParagraph"/>
              <w:numPr>
                <w:ilvl w:val="1"/>
                <w:numId w:val="2"/>
              </w:numPr>
              <w:tabs>
                <w:tab w:pos="729" w:val="left" w:leader="none"/>
              </w:tabs>
              <w:spacing w:line="240" w:lineRule="auto" w:before="36" w:after="0"/>
              <w:ind w:left="726" w:right="0" w:hanging="420"/>
              <w:jc w:val="left"/>
              <w:rPr>
                <w:sz w:val="21"/>
              </w:rPr>
            </w:pPr>
            <w:r>
              <w:rPr>
                <w:spacing w:val="-3"/>
                <w:sz w:val="21"/>
              </w:rPr>
              <w:t>合同内容变更</w:t>
            </w:r>
          </w:p>
          <w:p>
            <w:pPr>
              <w:pStyle w:val="TableParagraph"/>
              <w:numPr>
                <w:ilvl w:val="1"/>
                <w:numId w:val="2"/>
              </w:numPr>
              <w:tabs>
                <w:tab w:pos="729" w:val="left" w:leader="none"/>
              </w:tabs>
              <w:spacing w:line="240" w:lineRule="auto" w:before="37" w:after="0"/>
              <w:ind w:left="726" w:right="0" w:hanging="420"/>
              <w:jc w:val="left"/>
              <w:rPr>
                <w:sz w:val="21"/>
              </w:rPr>
            </w:pPr>
            <w:r>
              <w:rPr>
                <w:spacing w:val="-3"/>
                <w:sz w:val="21"/>
              </w:rPr>
              <w:t>解除合同的手续及风险</w:t>
            </w:r>
          </w:p>
          <w:p>
            <w:pPr>
              <w:pStyle w:val="TableParagraph"/>
              <w:numPr>
                <w:ilvl w:val="0"/>
                <w:numId w:val="2"/>
              </w:numPr>
              <w:tabs>
                <w:tab w:pos="518" w:val="left" w:leader="none"/>
              </w:tabs>
              <w:spacing w:line="240" w:lineRule="auto" w:before="37" w:after="0"/>
              <w:ind w:left="517" w:right="0" w:hanging="317"/>
              <w:jc w:val="left"/>
              <w:rPr>
                <w:b/>
                <w:sz w:val="21"/>
              </w:rPr>
            </w:pPr>
            <w:r>
              <w:rPr>
                <w:b/>
                <w:spacing w:val="-1"/>
                <w:sz w:val="21"/>
              </w:rPr>
              <w:t>本公司提供的保障</w:t>
            </w:r>
          </w:p>
          <w:p>
            <w:pPr>
              <w:pStyle w:val="TableParagraph"/>
              <w:numPr>
                <w:ilvl w:val="1"/>
                <w:numId w:val="2"/>
              </w:numPr>
              <w:tabs>
                <w:tab w:pos="729" w:val="left" w:leader="none"/>
              </w:tabs>
              <w:spacing w:line="240" w:lineRule="auto" w:before="37" w:after="0"/>
              <w:ind w:left="728" w:right="0" w:hanging="422"/>
              <w:jc w:val="left"/>
              <w:rPr>
                <w:sz w:val="21"/>
              </w:rPr>
            </w:pPr>
            <w:r>
              <w:rPr>
                <w:spacing w:val="-3"/>
                <w:sz w:val="21"/>
              </w:rPr>
              <w:t>保险金额</w:t>
            </w:r>
          </w:p>
          <w:p>
            <w:pPr>
              <w:pStyle w:val="TableParagraph"/>
              <w:numPr>
                <w:ilvl w:val="1"/>
                <w:numId w:val="2"/>
              </w:numPr>
              <w:tabs>
                <w:tab w:pos="729" w:val="left" w:leader="none"/>
              </w:tabs>
              <w:spacing w:line="240" w:lineRule="auto" w:before="37" w:after="0"/>
              <w:ind w:left="728" w:right="0" w:hanging="422"/>
              <w:jc w:val="left"/>
              <w:rPr>
                <w:sz w:val="21"/>
              </w:rPr>
            </w:pPr>
            <w:r>
              <w:rPr>
                <w:spacing w:val="-3"/>
                <w:sz w:val="21"/>
              </w:rPr>
              <w:t>基本保险金额</w:t>
            </w:r>
          </w:p>
          <w:p>
            <w:pPr>
              <w:pStyle w:val="TableParagraph"/>
              <w:numPr>
                <w:ilvl w:val="1"/>
                <w:numId w:val="2"/>
              </w:numPr>
              <w:tabs>
                <w:tab w:pos="729" w:val="left" w:leader="none"/>
              </w:tabs>
              <w:spacing w:line="240" w:lineRule="auto" w:before="37" w:after="0"/>
              <w:ind w:left="728" w:right="0" w:hanging="422"/>
              <w:jc w:val="left"/>
              <w:rPr>
                <w:sz w:val="21"/>
              </w:rPr>
            </w:pPr>
            <w:r>
              <w:rPr>
                <w:spacing w:val="-3"/>
                <w:sz w:val="21"/>
              </w:rPr>
              <w:t>未成年人身故保险金限制</w:t>
            </w:r>
          </w:p>
          <w:p>
            <w:pPr>
              <w:pStyle w:val="TableParagraph"/>
              <w:numPr>
                <w:ilvl w:val="1"/>
                <w:numId w:val="2"/>
              </w:numPr>
              <w:tabs>
                <w:tab w:pos="729" w:val="left" w:leader="none"/>
              </w:tabs>
              <w:spacing w:line="240" w:lineRule="auto" w:before="37" w:after="0"/>
              <w:ind w:left="728" w:right="0" w:hanging="422"/>
              <w:jc w:val="left"/>
              <w:rPr>
                <w:sz w:val="21"/>
              </w:rPr>
            </w:pPr>
            <w:r>
              <w:rPr>
                <w:spacing w:val="-3"/>
                <w:sz w:val="21"/>
              </w:rPr>
              <w:t>保险期间</w:t>
            </w:r>
          </w:p>
          <w:p>
            <w:pPr>
              <w:pStyle w:val="TableParagraph"/>
              <w:numPr>
                <w:ilvl w:val="1"/>
                <w:numId w:val="2"/>
              </w:numPr>
              <w:tabs>
                <w:tab w:pos="729" w:val="left" w:leader="none"/>
              </w:tabs>
              <w:spacing w:line="240" w:lineRule="auto" w:before="37" w:after="0"/>
              <w:ind w:left="728" w:right="0" w:hanging="422"/>
              <w:jc w:val="left"/>
              <w:rPr>
                <w:sz w:val="21"/>
              </w:rPr>
            </w:pPr>
            <w:r>
              <w:rPr>
                <w:spacing w:val="-3"/>
                <w:sz w:val="21"/>
              </w:rPr>
              <w:t>保险责任</w:t>
            </w:r>
          </w:p>
          <w:p>
            <w:pPr>
              <w:pStyle w:val="TableParagraph"/>
              <w:numPr>
                <w:ilvl w:val="1"/>
                <w:numId w:val="2"/>
              </w:numPr>
              <w:tabs>
                <w:tab w:pos="729" w:val="left" w:leader="none"/>
              </w:tabs>
              <w:spacing w:line="240" w:lineRule="auto" w:before="37" w:after="0"/>
              <w:ind w:left="728" w:right="0" w:hanging="422"/>
              <w:jc w:val="left"/>
              <w:rPr>
                <w:sz w:val="21"/>
              </w:rPr>
            </w:pPr>
            <w:r>
              <w:rPr>
                <w:spacing w:val="-3"/>
                <w:sz w:val="21"/>
              </w:rPr>
              <w:t>保险责任的免除</w:t>
            </w:r>
          </w:p>
          <w:p>
            <w:pPr>
              <w:pStyle w:val="TableParagraph"/>
              <w:numPr>
                <w:ilvl w:val="0"/>
                <w:numId w:val="2"/>
              </w:numPr>
              <w:tabs>
                <w:tab w:pos="518" w:val="left" w:leader="none"/>
              </w:tabs>
              <w:spacing w:line="240" w:lineRule="auto" w:before="37" w:after="0"/>
              <w:ind w:left="517" w:right="0" w:hanging="317"/>
              <w:jc w:val="left"/>
              <w:rPr>
                <w:b/>
                <w:sz w:val="21"/>
              </w:rPr>
            </w:pPr>
            <w:r>
              <w:rPr>
                <w:b/>
                <w:sz w:val="21"/>
              </w:rPr>
              <w:t>如何申请领取保险金</w:t>
            </w:r>
          </w:p>
          <w:p>
            <w:pPr>
              <w:pStyle w:val="TableParagraph"/>
              <w:numPr>
                <w:ilvl w:val="1"/>
                <w:numId w:val="2"/>
              </w:numPr>
              <w:tabs>
                <w:tab w:pos="729" w:val="left" w:leader="none"/>
              </w:tabs>
              <w:spacing w:line="240" w:lineRule="auto" w:before="37" w:after="0"/>
              <w:ind w:left="728" w:right="0" w:hanging="422"/>
              <w:jc w:val="left"/>
              <w:rPr>
                <w:sz w:val="21"/>
              </w:rPr>
            </w:pPr>
            <w:r>
              <w:rPr>
                <w:spacing w:val="-3"/>
                <w:sz w:val="21"/>
              </w:rPr>
              <w:t>保险金受益人</w:t>
            </w:r>
          </w:p>
          <w:p>
            <w:pPr>
              <w:pStyle w:val="TableParagraph"/>
              <w:numPr>
                <w:ilvl w:val="1"/>
                <w:numId w:val="2"/>
              </w:numPr>
              <w:tabs>
                <w:tab w:pos="729" w:val="left" w:leader="none"/>
              </w:tabs>
              <w:spacing w:line="240" w:lineRule="auto" w:before="37" w:after="0"/>
              <w:ind w:left="728" w:right="0" w:hanging="422"/>
              <w:jc w:val="left"/>
              <w:rPr>
                <w:sz w:val="21"/>
              </w:rPr>
            </w:pPr>
            <w:r>
              <w:rPr>
                <w:spacing w:val="-3"/>
                <w:sz w:val="21"/>
              </w:rPr>
              <w:t>保险事故通知</w:t>
            </w:r>
          </w:p>
          <w:p>
            <w:pPr>
              <w:pStyle w:val="TableParagraph"/>
              <w:numPr>
                <w:ilvl w:val="1"/>
                <w:numId w:val="2"/>
              </w:numPr>
              <w:tabs>
                <w:tab w:pos="729" w:val="left" w:leader="none"/>
              </w:tabs>
              <w:spacing w:line="240" w:lineRule="auto" w:before="36" w:after="0"/>
              <w:ind w:left="728" w:right="0" w:hanging="422"/>
              <w:jc w:val="left"/>
              <w:rPr>
                <w:sz w:val="21"/>
              </w:rPr>
            </w:pPr>
            <w:r>
              <w:rPr>
                <w:spacing w:val="-3"/>
                <w:sz w:val="21"/>
              </w:rPr>
              <w:t>保险金申请</w:t>
            </w:r>
          </w:p>
          <w:p>
            <w:pPr>
              <w:pStyle w:val="TableParagraph"/>
              <w:numPr>
                <w:ilvl w:val="1"/>
                <w:numId w:val="2"/>
              </w:numPr>
              <w:tabs>
                <w:tab w:pos="729" w:val="left" w:leader="none"/>
              </w:tabs>
              <w:spacing w:line="255" w:lineRule="exact" w:before="36" w:after="0"/>
              <w:ind w:left="728" w:right="0" w:hanging="422"/>
              <w:jc w:val="left"/>
              <w:rPr>
                <w:sz w:val="21"/>
              </w:rPr>
            </w:pPr>
            <w:r>
              <w:rPr>
                <w:spacing w:val="-3"/>
                <w:sz w:val="21"/>
              </w:rPr>
              <w:t>保险金的给付</w:t>
            </w:r>
          </w:p>
        </w:tc>
        <w:tc>
          <w:tcPr>
            <w:tcW w:w="3364" w:type="dxa"/>
          </w:tcPr>
          <w:p>
            <w:pPr>
              <w:pStyle w:val="TableParagraph"/>
              <w:numPr>
                <w:ilvl w:val="1"/>
                <w:numId w:val="3"/>
              </w:numPr>
              <w:tabs>
                <w:tab w:pos="634" w:val="left" w:leader="none"/>
              </w:tabs>
              <w:spacing w:line="211" w:lineRule="exact" w:before="0" w:after="0"/>
              <w:ind w:left="633" w:right="0" w:hanging="422"/>
              <w:jc w:val="left"/>
              <w:rPr>
                <w:sz w:val="21"/>
              </w:rPr>
            </w:pPr>
            <w:r>
              <w:rPr>
                <w:spacing w:val="-3"/>
                <w:sz w:val="21"/>
              </w:rPr>
              <w:t>失踪处理</w:t>
            </w:r>
          </w:p>
          <w:p>
            <w:pPr>
              <w:pStyle w:val="TableParagraph"/>
              <w:numPr>
                <w:ilvl w:val="1"/>
                <w:numId w:val="3"/>
              </w:numPr>
              <w:tabs>
                <w:tab w:pos="634" w:val="left" w:leader="none"/>
              </w:tabs>
              <w:spacing w:line="240" w:lineRule="auto" w:before="37" w:after="0"/>
              <w:ind w:left="633" w:right="0" w:hanging="422"/>
              <w:jc w:val="left"/>
              <w:rPr>
                <w:sz w:val="21"/>
              </w:rPr>
            </w:pPr>
            <w:r>
              <w:rPr>
                <w:spacing w:val="-3"/>
                <w:sz w:val="21"/>
              </w:rPr>
              <w:t>诉讼时效</w:t>
            </w:r>
          </w:p>
          <w:p>
            <w:pPr>
              <w:pStyle w:val="TableParagraph"/>
              <w:numPr>
                <w:ilvl w:val="0"/>
                <w:numId w:val="4"/>
              </w:numPr>
              <w:tabs>
                <w:tab w:pos="423" w:val="left" w:leader="none"/>
              </w:tabs>
              <w:spacing w:line="240" w:lineRule="auto" w:before="37" w:after="0"/>
              <w:ind w:left="422" w:right="0" w:hanging="317"/>
              <w:jc w:val="left"/>
              <w:rPr>
                <w:b/>
                <w:sz w:val="21"/>
              </w:rPr>
            </w:pPr>
            <w:r>
              <w:rPr>
                <w:b/>
                <w:spacing w:val="-1"/>
                <w:sz w:val="21"/>
              </w:rPr>
              <w:t>保险费的支付和现金价值权益</w:t>
            </w:r>
          </w:p>
          <w:p>
            <w:pPr>
              <w:pStyle w:val="TableParagraph"/>
              <w:numPr>
                <w:ilvl w:val="1"/>
                <w:numId w:val="4"/>
              </w:numPr>
              <w:tabs>
                <w:tab w:pos="634" w:val="left" w:leader="none"/>
              </w:tabs>
              <w:spacing w:line="240" w:lineRule="auto" w:before="37" w:after="0"/>
              <w:ind w:left="633" w:right="0" w:hanging="422"/>
              <w:jc w:val="left"/>
              <w:rPr>
                <w:sz w:val="21"/>
              </w:rPr>
            </w:pPr>
            <w:r>
              <w:rPr>
                <w:spacing w:val="-3"/>
                <w:sz w:val="21"/>
              </w:rPr>
              <w:t>保险费的支付</w:t>
            </w:r>
          </w:p>
          <w:p>
            <w:pPr>
              <w:pStyle w:val="TableParagraph"/>
              <w:numPr>
                <w:ilvl w:val="1"/>
                <w:numId w:val="4"/>
              </w:numPr>
              <w:tabs>
                <w:tab w:pos="634" w:val="left" w:leader="none"/>
              </w:tabs>
              <w:spacing w:line="240" w:lineRule="auto" w:before="37" w:after="0"/>
              <w:ind w:left="633" w:right="0" w:hanging="422"/>
              <w:jc w:val="left"/>
              <w:rPr>
                <w:sz w:val="21"/>
              </w:rPr>
            </w:pPr>
            <w:r>
              <w:rPr>
                <w:spacing w:val="-3"/>
                <w:sz w:val="21"/>
              </w:rPr>
              <w:t>保险费率调整</w:t>
            </w:r>
          </w:p>
          <w:p>
            <w:pPr>
              <w:pStyle w:val="TableParagraph"/>
              <w:numPr>
                <w:ilvl w:val="1"/>
                <w:numId w:val="4"/>
              </w:numPr>
              <w:tabs>
                <w:tab w:pos="634" w:val="left" w:leader="none"/>
              </w:tabs>
              <w:spacing w:line="240" w:lineRule="auto" w:before="37" w:after="0"/>
              <w:ind w:left="633" w:right="0" w:hanging="422"/>
              <w:jc w:val="left"/>
              <w:rPr>
                <w:sz w:val="21"/>
              </w:rPr>
            </w:pPr>
            <w:r>
              <w:rPr>
                <w:spacing w:val="-3"/>
                <w:sz w:val="21"/>
              </w:rPr>
              <w:t>保险单的现金价值</w:t>
            </w:r>
          </w:p>
          <w:p>
            <w:pPr>
              <w:pStyle w:val="TableParagraph"/>
              <w:numPr>
                <w:ilvl w:val="1"/>
                <w:numId w:val="4"/>
              </w:numPr>
              <w:tabs>
                <w:tab w:pos="634" w:val="left" w:leader="none"/>
              </w:tabs>
              <w:spacing w:line="240" w:lineRule="auto" w:before="37" w:after="0"/>
              <w:ind w:left="633" w:right="0" w:hanging="422"/>
              <w:jc w:val="left"/>
              <w:rPr>
                <w:sz w:val="21"/>
              </w:rPr>
            </w:pPr>
            <w:r>
              <w:rPr>
                <w:spacing w:val="-2"/>
                <w:sz w:val="21"/>
              </w:rPr>
              <w:t>宽限期</w:t>
            </w:r>
          </w:p>
          <w:p>
            <w:pPr>
              <w:pStyle w:val="TableParagraph"/>
              <w:numPr>
                <w:ilvl w:val="1"/>
                <w:numId w:val="4"/>
              </w:numPr>
              <w:tabs>
                <w:tab w:pos="634" w:val="left" w:leader="none"/>
              </w:tabs>
              <w:spacing w:line="240" w:lineRule="auto" w:before="37" w:after="0"/>
              <w:ind w:left="633" w:right="0" w:hanging="422"/>
              <w:jc w:val="left"/>
              <w:rPr>
                <w:sz w:val="21"/>
              </w:rPr>
            </w:pPr>
            <w:r>
              <w:rPr>
                <w:spacing w:val="-3"/>
                <w:sz w:val="21"/>
              </w:rPr>
              <w:t>合同效力中止</w:t>
            </w:r>
          </w:p>
          <w:p>
            <w:pPr>
              <w:pStyle w:val="TableParagraph"/>
              <w:numPr>
                <w:ilvl w:val="1"/>
                <w:numId w:val="4"/>
              </w:numPr>
              <w:tabs>
                <w:tab w:pos="634" w:val="left" w:leader="none"/>
              </w:tabs>
              <w:spacing w:line="240" w:lineRule="auto" w:before="36" w:after="0"/>
              <w:ind w:left="633" w:right="0" w:hanging="422"/>
              <w:jc w:val="left"/>
              <w:rPr>
                <w:sz w:val="21"/>
              </w:rPr>
            </w:pPr>
            <w:r>
              <w:rPr>
                <w:spacing w:val="-3"/>
                <w:sz w:val="21"/>
              </w:rPr>
              <w:t>合同效力恢复</w:t>
            </w:r>
          </w:p>
          <w:p>
            <w:pPr>
              <w:pStyle w:val="TableParagraph"/>
              <w:numPr>
                <w:ilvl w:val="0"/>
                <w:numId w:val="4"/>
              </w:numPr>
              <w:tabs>
                <w:tab w:pos="423" w:val="left" w:leader="none"/>
              </w:tabs>
              <w:spacing w:line="240" w:lineRule="auto" w:before="36" w:after="0"/>
              <w:ind w:left="422" w:right="0" w:hanging="317"/>
              <w:jc w:val="left"/>
              <w:rPr>
                <w:b/>
                <w:sz w:val="21"/>
              </w:rPr>
            </w:pPr>
            <w:r>
              <w:rPr>
                <w:b/>
                <w:sz w:val="21"/>
              </w:rPr>
              <w:t>其他事项</w:t>
            </w:r>
          </w:p>
          <w:p>
            <w:pPr>
              <w:pStyle w:val="TableParagraph"/>
              <w:numPr>
                <w:ilvl w:val="1"/>
                <w:numId w:val="4"/>
              </w:numPr>
              <w:tabs>
                <w:tab w:pos="634" w:val="left" w:leader="none"/>
              </w:tabs>
              <w:spacing w:line="240" w:lineRule="auto" w:before="36" w:after="0"/>
              <w:ind w:left="633" w:right="0" w:hanging="422"/>
              <w:jc w:val="left"/>
              <w:rPr>
                <w:sz w:val="21"/>
              </w:rPr>
            </w:pPr>
            <w:r>
              <w:rPr>
                <w:spacing w:val="-3"/>
                <w:sz w:val="21"/>
              </w:rPr>
              <w:t>明确说明与如实告知</w:t>
            </w:r>
          </w:p>
          <w:p>
            <w:pPr>
              <w:pStyle w:val="TableParagraph"/>
              <w:numPr>
                <w:ilvl w:val="1"/>
                <w:numId w:val="4"/>
              </w:numPr>
              <w:tabs>
                <w:tab w:pos="634" w:val="left" w:leader="none"/>
              </w:tabs>
              <w:spacing w:line="240" w:lineRule="auto" w:before="36" w:after="0"/>
              <w:ind w:left="633" w:right="0" w:hanging="422"/>
              <w:jc w:val="left"/>
              <w:rPr>
                <w:sz w:val="21"/>
              </w:rPr>
            </w:pPr>
            <w:r>
              <w:rPr>
                <w:spacing w:val="-3"/>
                <w:sz w:val="21"/>
              </w:rPr>
              <w:t>本公司合同解除权的限制</w:t>
            </w:r>
          </w:p>
          <w:p>
            <w:pPr>
              <w:pStyle w:val="TableParagraph"/>
              <w:numPr>
                <w:ilvl w:val="1"/>
                <w:numId w:val="4"/>
              </w:numPr>
              <w:tabs>
                <w:tab w:pos="634" w:val="left" w:leader="none"/>
              </w:tabs>
              <w:spacing w:line="240" w:lineRule="auto" w:before="36" w:after="0"/>
              <w:ind w:left="633" w:right="0" w:hanging="422"/>
              <w:jc w:val="left"/>
              <w:rPr>
                <w:sz w:val="21"/>
              </w:rPr>
            </w:pPr>
            <w:r>
              <w:rPr>
                <w:spacing w:val="-3"/>
                <w:sz w:val="21"/>
              </w:rPr>
              <w:t>年龄性别错误</w:t>
            </w:r>
          </w:p>
          <w:p>
            <w:pPr>
              <w:pStyle w:val="TableParagraph"/>
              <w:numPr>
                <w:ilvl w:val="1"/>
                <w:numId w:val="4"/>
              </w:numPr>
              <w:tabs>
                <w:tab w:pos="634" w:val="left" w:leader="none"/>
              </w:tabs>
              <w:spacing w:line="240" w:lineRule="auto" w:before="36" w:after="0"/>
              <w:ind w:left="633" w:right="0" w:hanging="422"/>
              <w:jc w:val="left"/>
              <w:rPr>
                <w:sz w:val="21"/>
              </w:rPr>
            </w:pPr>
            <w:r>
              <w:rPr>
                <w:spacing w:val="-3"/>
                <w:sz w:val="21"/>
              </w:rPr>
              <w:t>事故鉴定</w:t>
            </w:r>
          </w:p>
          <w:p>
            <w:pPr>
              <w:pStyle w:val="TableParagraph"/>
              <w:numPr>
                <w:ilvl w:val="1"/>
                <w:numId w:val="4"/>
              </w:numPr>
              <w:tabs>
                <w:tab w:pos="634" w:val="left" w:leader="none"/>
              </w:tabs>
              <w:spacing w:line="240" w:lineRule="auto" w:before="36" w:after="0"/>
              <w:ind w:left="633" w:right="0" w:hanging="422"/>
              <w:jc w:val="left"/>
              <w:rPr>
                <w:sz w:val="21"/>
              </w:rPr>
            </w:pPr>
            <w:r>
              <w:rPr>
                <w:spacing w:val="-3"/>
                <w:sz w:val="21"/>
              </w:rPr>
              <w:t>未还款项</w:t>
            </w:r>
          </w:p>
          <w:p>
            <w:pPr>
              <w:pStyle w:val="TableParagraph"/>
              <w:numPr>
                <w:ilvl w:val="1"/>
                <w:numId w:val="4"/>
              </w:numPr>
              <w:tabs>
                <w:tab w:pos="634" w:val="left" w:leader="none"/>
              </w:tabs>
              <w:spacing w:line="240" w:lineRule="auto" w:before="36" w:after="0"/>
              <w:ind w:left="633" w:right="0" w:hanging="422"/>
              <w:jc w:val="left"/>
              <w:rPr>
                <w:sz w:val="21"/>
              </w:rPr>
            </w:pPr>
            <w:r>
              <w:rPr>
                <w:spacing w:val="-3"/>
                <w:sz w:val="21"/>
              </w:rPr>
              <w:t>争议处理</w:t>
            </w:r>
          </w:p>
          <w:p>
            <w:pPr>
              <w:pStyle w:val="TableParagraph"/>
              <w:numPr>
                <w:ilvl w:val="0"/>
                <w:numId w:val="4"/>
              </w:numPr>
              <w:tabs>
                <w:tab w:pos="423" w:val="left" w:leader="none"/>
              </w:tabs>
              <w:spacing w:line="240" w:lineRule="auto" w:before="36" w:after="0"/>
              <w:ind w:left="422" w:right="0" w:hanging="317"/>
              <w:jc w:val="left"/>
              <w:rPr>
                <w:b/>
                <w:sz w:val="21"/>
              </w:rPr>
            </w:pPr>
            <w:r>
              <w:rPr>
                <w:b/>
                <w:sz w:val="21"/>
              </w:rPr>
              <w:t>释义</w:t>
            </w:r>
          </w:p>
          <w:p>
            <w:pPr>
              <w:pStyle w:val="TableParagraph"/>
              <w:numPr>
                <w:ilvl w:val="1"/>
                <w:numId w:val="4"/>
              </w:numPr>
              <w:tabs>
                <w:tab w:pos="634" w:val="left" w:leader="none"/>
              </w:tabs>
              <w:spacing w:line="240" w:lineRule="auto" w:before="37" w:after="0"/>
              <w:ind w:left="633" w:right="0" w:hanging="422"/>
              <w:jc w:val="left"/>
              <w:rPr>
                <w:sz w:val="21"/>
              </w:rPr>
            </w:pPr>
            <w:r>
              <w:rPr>
                <w:spacing w:val="-3"/>
                <w:sz w:val="21"/>
              </w:rPr>
              <w:t>周岁</w:t>
            </w:r>
          </w:p>
          <w:p>
            <w:pPr>
              <w:pStyle w:val="TableParagraph"/>
              <w:numPr>
                <w:ilvl w:val="1"/>
                <w:numId w:val="4"/>
              </w:numPr>
              <w:tabs>
                <w:tab w:pos="634" w:val="left" w:leader="none"/>
              </w:tabs>
              <w:spacing w:line="240" w:lineRule="auto" w:before="37" w:after="0"/>
              <w:ind w:left="633" w:right="0" w:hanging="422"/>
              <w:jc w:val="left"/>
              <w:rPr>
                <w:sz w:val="21"/>
              </w:rPr>
            </w:pPr>
            <w:r>
              <w:rPr>
                <w:spacing w:val="-3"/>
                <w:sz w:val="21"/>
              </w:rPr>
              <w:t>有效身份证件</w:t>
            </w:r>
          </w:p>
          <w:p>
            <w:pPr>
              <w:pStyle w:val="TableParagraph"/>
              <w:numPr>
                <w:ilvl w:val="1"/>
                <w:numId w:val="4"/>
              </w:numPr>
              <w:tabs>
                <w:tab w:pos="634" w:val="left" w:leader="none"/>
              </w:tabs>
              <w:spacing w:line="255" w:lineRule="exact" w:before="37" w:after="0"/>
              <w:ind w:left="633" w:right="0" w:hanging="422"/>
              <w:jc w:val="left"/>
              <w:rPr>
                <w:sz w:val="21"/>
              </w:rPr>
            </w:pPr>
            <w:r>
              <w:rPr>
                <w:spacing w:val="-3"/>
                <w:sz w:val="21"/>
              </w:rPr>
              <w:t>现金价值</w:t>
            </w:r>
          </w:p>
        </w:tc>
        <w:tc>
          <w:tcPr>
            <w:tcW w:w="3333" w:type="dxa"/>
          </w:tcPr>
          <w:p>
            <w:pPr>
              <w:pStyle w:val="TableParagraph"/>
              <w:numPr>
                <w:ilvl w:val="1"/>
                <w:numId w:val="5"/>
              </w:numPr>
              <w:tabs>
                <w:tab w:pos="619" w:val="left" w:leader="none"/>
              </w:tabs>
              <w:spacing w:line="211" w:lineRule="exact" w:before="0" w:after="0"/>
              <w:ind w:left="721" w:right="0" w:hanging="526"/>
              <w:jc w:val="left"/>
              <w:rPr>
                <w:sz w:val="21"/>
              </w:rPr>
            </w:pPr>
            <w:r>
              <w:rPr>
                <w:spacing w:val="-3"/>
                <w:sz w:val="21"/>
              </w:rPr>
              <w:t>重大疾病</w:t>
            </w:r>
          </w:p>
          <w:p>
            <w:pPr>
              <w:pStyle w:val="TableParagraph"/>
              <w:numPr>
                <w:ilvl w:val="1"/>
                <w:numId w:val="5"/>
              </w:numPr>
              <w:tabs>
                <w:tab w:pos="619" w:val="left" w:leader="none"/>
              </w:tabs>
              <w:spacing w:line="240" w:lineRule="auto" w:before="37" w:after="0"/>
              <w:ind w:left="721" w:right="0" w:hanging="526"/>
              <w:jc w:val="left"/>
              <w:rPr>
                <w:sz w:val="21"/>
              </w:rPr>
            </w:pPr>
            <w:r>
              <w:rPr>
                <w:spacing w:val="-3"/>
                <w:sz w:val="21"/>
              </w:rPr>
              <w:t>医院</w:t>
            </w:r>
          </w:p>
          <w:p>
            <w:pPr>
              <w:pStyle w:val="TableParagraph"/>
              <w:numPr>
                <w:ilvl w:val="1"/>
                <w:numId w:val="5"/>
              </w:numPr>
              <w:tabs>
                <w:tab w:pos="619" w:val="left" w:leader="none"/>
              </w:tabs>
              <w:spacing w:line="240" w:lineRule="auto" w:before="37" w:after="0"/>
              <w:ind w:left="721" w:right="0" w:hanging="526"/>
              <w:jc w:val="left"/>
              <w:rPr>
                <w:sz w:val="21"/>
              </w:rPr>
            </w:pPr>
            <w:r>
              <w:rPr>
                <w:spacing w:val="-3"/>
                <w:sz w:val="21"/>
              </w:rPr>
              <w:t>毒品</w:t>
            </w:r>
          </w:p>
          <w:p>
            <w:pPr>
              <w:pStyle w:val="TableParagraph"/>
              <w:numPr>
                <w:ilvl w:val="1"/>
                <w:numId w:val="5"/>
              </w:numPr>
              <w:tabs>
                <w:tab w:pos="619" w:val="left" w:leader="none"/>
              </w:tabs>
              <w:spacing w:line="240" w:lineRule="auto" w:before="37" w:after="0"/>
              <w:ind w:left="721" w:right="0" w:hanging="526"/>
              <w:jc w:val="left"/>
              <w:rPr>
                <w:sz w:val="21"/>
              </w:rPr>
            </w:pPr>
            <w:r>
              <w:rPr>
                <w:spacing w:val="-3"/>
                <w:sz w:val="21"/>
              </w:rPr>
              <w:t>酒后驾驶</w:t>
            </w:r>
          </w:p>
          <w:p>
            <w:pPr>
              <w:pStyle w:val="TableParagraph"/>
              <w:numPr>
                <w:ilvl w:val="1"/>
                <w:numId w:val="5"/>
              </w:numPr>
              <w:tabs>
                <w:tab w:pos="619" w:val="left" w:leader="none"/>
              </w:tabs>
              <w:spacing w:line="240" w:lineRule="auto" w:before="37" w:after="0"/>
              <w:ind w:left="721" w:right="0" w:hanging="526"/>
              <w:jc w:val="left"/>
              <w:rPr>
                <w:sz w:val="21"/>
              </w:rPr>
            </w:pPr>
            <w:r>
              <w:rPr>
                <w:spacing w:val="-3"/>
                <w:sz w:val="21"/>
              </w:rPr>
              <w:t>无合法有效驾驶证驾驶</w:t>
            </w:r>
          </w:p>
          <w:p>
            <w:pPr>
              <w:pStyle w:val="TableParagraph"/>
              <w:numPr>
                <w:ilvl w:val="1"/>
                <w:numId w:val="5"/>
              </w:numPr>
              <w:tabs>
                <w:tab w:pos="619" w:val="left" w:leader="none"/>
              </w:tabs>
              <w:spacing w:line="240" w:lineRule="auto" w:before="37" w:after="0"/>
              <w:ind w:left="721" w:right="0" w:hanging="526"/>
              <w:jc w:val="left"/>
              <w:rPr>
                <w:sz w:val="21"/>
              </w:rPr>
            </w:pPr>
            <w:r>
              <w:rPr>
                <w:spacing w:val="-3"/>
                <w:sz w:val="21"/>
              </w:rPr>
              <w:t>无有效行驶证</w:t>
            </w:r>
          </w:p>
          <w:p>
            <w:pPr>
              <w:pStyle w:val="TableParagraph"/>
              <w:numPr>
                <w:ilvl w:val="1"/>
                <w:numId w:val="5"/>
              </w:numPr>
              <w:tabs>
                <w:tab w:pos="722" w:val="left" w:leader="none"/>
              </w:tabs>
              <w:spacing w:line="240" w:lineRule="auto" w:before="37" w:after="0"/>
              <w:ind w:left="721" w:right="0" w:hanging="526"/>
              <w:jc w:val="left"/>
              <w:rPr>
                <w:sz w:val="21"/>
              </w:rPr>
            </w:pPr>
            <w:r>
              <w:rPr>
                <w:spacing w:val="-3"/>
                <w:sz w:val="21"/>
              </w:rPr>
              <w:t>遗传性疾病</w:t>
            </w:r>
          </w:p>
          <w:p>
            <w:pPr>
              <w:pStyle w:val="TableParagraph"/>
              <w:numPr>
                <w:ilvl w:val="1"/>
                <w:numId w:val="5"/>
              </w:numPr>
              <w:tabs>
                <w:tab w:pos="731" w:val="left" w:leader="none"/>
              </w:tabs>
              <w:spacing w:line="273" w:lineRule="auto" w:before="37" w:after="0"/>
              <w:ind w:left="721" w:right="200" w:hanging="526"/>
              <w:jc w:val="left"/>
              <w:rPr>
                <w:sz w:val="21"/>
              </w:rPr>
            </w:pPr>
            <w:r>
              <w:rPr>
                <w:spacing w:val="3"/>
                <w:sz w:val="21"/>
              </w:rPr>
              <w:t>先天性畸形、变形或染色体异常</w:t>
            </w:r>
          </w:p>
          <w:p>
            <w:pPr>
              <w:pStyle w:val="TableParagraph"/>
              <w:numPr>
                <w:ilvl w:val="1"/>
                <w:numId w:val="5"/>
              </w:numPr>
              <w:tabs>
                <w:tab w:pos="731" w:val="left" w:leader="none"/>
              </w:tabs>
              <w:spacing w:line="273" w:lineRule="auto" w:before="7" w:after="0"/>
              <w:ind w:left="721" w:right="200" w:hanging="526"/>
              <w:jc w:val="left"/>
              <w:rPr>
                <w:sz w:val="21"/>
              </w:rPr>
            </w:pPr>
            <w:r>
              <w:rPr>
                <w:spacing w:val="3"/>
                <w:sz w:val="21"/>
              </w:rPr>
              <w:t>感染艾滋病病毒或患艾滋病</w:t>
            </w:r>
          </w:p>
          <w:p>
            <w:pPr>
              <w:pStyle w:val="TableParagraph"/>
              <w:numPr>
                <w:ilvl w:val="1"/>
                <w:numId w:val="5"/>
              </w:numPr>
              <w:tabs>
                <w:tab w:pos="669" w:val="left" w:leader="none"/>
              </w:tabs>
              <w:spacing w:line="240" w:lineRule="auto" w:before="7" w:after="0"/>
              <w:ind w:left="668" w:right="0" w:hanging="473"/>
              <w:jc w:val="left"/>
              <w:rPr>
                <w:sz w:val="21"/>
              </w:rPr>
            </w:pPr>
            <w:r>
              <w:rPr>
                <w:spacing w:val="-2"/>
                <w:sz w:val="21"/>
              </w:rPr>
              <w:t>专科医生</w:t>
            </w:r>
          </w:p>
          <w:p>
            <w:pPr>
              <w:pStyle w:val="TableParagraph"/>
              <w:numPr>
                <w:ilvl w:val="1"/>
                <w:numId w:val="5"/>
              </w:numPr>
              <w:tabs>
                <w:tab w:pos="669" w:val="left" w:leader="none"/>
              </w:tabs>
              <w:spacing w:line="240" w:lineRule="auto" w:before="36" w:after="0"/>
              <w:ind w:left="668" w:right="0" w:hanging="473"/>
              <w:jc w:val="left"/>
              <w:rPr>
                <w:sz w:val="21"/>
              </w:rPr>
            </w:pPr>
            <w:r>
              <w:rPr>
                <w:spacing w:val="-3"/>
                <w:sz w:val="21"/>
              </w:rPr>
              <w:t>本主险合同约定利率</w:t>
            </w:r>
          </w:p>
          <w:p>
            <w:pPr>
              <w:pStyle w:val="TableParagraph"/>
              <w:numPr>
                <w:ilvl w:val="1"/>
                <w:numId w:val="5"/>
              </w:numPr>
              <w:tabs>
                <w:tab w:pos="722" w:val="left" w:leader="none"/>
              </w:tabs>
              <w:spacing w:line="240" w:lineRule="auto" w:before="36" w:after="0"/>
              <w:ind w:left="721" w:right="0" w:hanging="526"/>
              <w:jc w:val="left"/>
              <w:rPr>
                <w:sz w:val="21"/>
              </w:rPr>
            </w:pPr>
            <w:r>
              <w:rPr>
                <w:spacing w:val="-3"/>
                <w:sz w:val="21"/>
              </w:rPr>
              <w:t>肢体机能完全丧失</w:t>
            </w:r>
          </w:p>
          <w:p>
            <w:pPr>
              <w:pStyle w:val="TableParagraph"/>
              <w:numPr>
                <w:ilvl w:val="1"/>
                <w:numId w:val="5"/>
              </w:numPr>
              <w:tabs>
                <w:tab w:pos="731" w:val="left" w:leader="none"/>
              </w:tabs>
              <w:spacing w:line="273" w:lineRule="auto" w:before="36" w:after="0"/>
              <w:ind w:left="721" w:right="200" w:hanging="526"/>
              <w:jc w:val="left"/>
              <w:rPr>
                <w:sz w:val="21"/>
              </w:rPr>
            </w:pPr>
            <w:r>
              <w:rPr>
                <w:spacing w:val="3"/>
                <w:sz w:val="21"/>
              </w:rPr>
              <w:t>语言能力或咀嚼吞咽能力</w:t>
            </w:r>
            <w:r>
              <w:rPr>
                <w:sz w:val="21"/>
              </w:rPr>
              <w:t>完全丧失</w:t>
            </w:r>
          </w:p>
          <w:p>
            <w:pPr>
              <w:pStyle w:val="TableParagraph"/>
              <w:numPr>
                <w:ilvl w:val="1"/>
                <w:numId w:val="5"/>
              </w:numPr>
              <w:tabs>
                <w:tab w:pos="722" w:val="left" w:leader="none"/>
              </w:tabs>
              <w:spacing w:line="240" w:lineRule="auto" w:before="7" w:after="0"/>
              <w:ind w:left="721" w:right="0" w:hanging="526"/>
              <w:jc w:val="left"/>
              <w:rPr>
                <w:sz w:val="21"/>
              </w:rPr>
            </w:pPr>
            <w:r>
              <w:rPr>
                <w:spacing w:val="-3"/>
                <w:sz w:val="21"/>
              </w:rPr>
              <w:t>六项基本日常生活活动</w:t>
            </w:r>
          </w:p>
          <w:p>
            <w:pPr>
              <w:pStyle w:val="TableParagraph"/>
              <w:numPr>
                <w:ilvl w:val="1"/>
                <w:numId w:val="5"/>
              </w:numPr>
              <w:tabs>
                <w:tab w:pos="722" w:val="left" w:leader="none"/>
              </w:tabs>
              <w:spacing w:line="240" w:lineRule="auto" w:before="37" w:after="0"/>
              <w:ind w:left="721" w:right="0" w:hanging="526"/>
              <w:jc w:val="left"/>
              <w:rPr>
                <w:sz w:val="21"/>
              </w:rPr>
            </w:pPr>
            <w:r>
              <w:rPr>
                <w:spacing w:val="-3"/>
                <w:sz w:val="21"/>
              </w:rPr>
              <w:t>永久不可逆</w:t>
            </w:r>
          </w:p>
        </w:tc>
      </w:tr>
    </w:tbl>
    <w:p>
      <w:pPr>
        <w:spacing w:after="0" w:line="240" w:lineRule="auto"/>
        <w:jc w:val="left"/>
        <w:rPr>
          <w:sz w:val="21"/>
        </w:rPr>
        <w:sectPr>
          <w:type w:val="continuous"/>
          <w:pgSz w:w="11910" w:h="16840"/>
          <w:pgMar w:top="460" w:bottom="280" w:left="860" w:right="860"/>
        </w:sectPr>
      </w:pPr>
    </w:p>
    <w:p>
      <w:pPr>
        <w:spacing w:line="404" w:lineRule="exact" w:before="0"/>
        <w:ind w:left="2603" w:right="0" w:firstLine="0"/>
        <w:jc w:val="left"/>
        <w:rPr>
          <w:b/>
          <w:sz w:val="32"/>
        </w:rPr>
      </w:pPr>
      <w:r>
        <w:rPr>
          <w:b/>
          <w:w w:val="95"/>
          <w:sz w:val="32"/>
        </w:rPr>
        <w:t>安邦康宁定期重大疾病保险条款</w:t>
      </w:r>
    </w:p>
    <w:p>
      <w:pPr>
        <w:pStyle w:val="BodyText"/>
        <w:rPr>
          <w:b/>
          <w:sz w:val="20"/>
        </w:rPr>
      </w:pPr>
    </w:p>
    <w:p>
      <w:pPr>
        <w:pStyle w:val="BodyText"/>
        <w:spacing w:before="5" w:after="1"/>
        <w:rPr>
          <w:b/>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8"/>
        <w:gridCol w:w="1390"/>
        <w:gridCol w:w="7439"/>
      </w:tblGrid>
      <w:tr>
        <w:trPr>
          <w:trHeight w:val="522" w:hRule="atLeast"/>
        </w:trPr>
        <w:tc>
          <w:tcPr>
            <w:tcW w:w="608" w:type="dxa"/>
            <w:tcBorders>
              <w:bottom w:val="single" w:sz="8" w:space="0" w:color="000000"/>
            </w:tcBorders>
          </w:tcPr>
          <w:p>
            <w:pPr>
              <w:pStyle w:val="TableParagraph"/>
              <w:spacing w:line="423" w:lineRule="exact"/>
              <w:ind w:left="0" w:right="31"/>
              <w:jc w:val="center"/>
              <w:rPr>
                <w:rFonts w:ascii="Arial" w:hAnsi="Arial"/>
                <w:b/>
                <w:sz w:val="40"/>
              </w:rPr>
            </w:pPr>
            <w:r>
              <w:rPr>
                <w:rFonts w:ascii="Arial" w:hAnsi="Arial"/>
                <w:b/>
                <w:w w:val="119"/>
                <w:sz w:val="40"/>
              </w:rPr>
              <w:t></w:t>
            </w:r>
          </w:p>
        </w:tc>
        <w:tc>
          <w:tcPr>
            <w:tcW w:w="8829" w:type="dxa"/>
            <w:gridSpan w:val="2"/>
            <w:tcBorders>
              <w:bottom w:val="single" w:sz="8" w:space="0" w:color="000000"/>
            </w:tcBorders>
          </w:tcPr>
          <w:p>
            <w:pPr>
              <w:pStyle w:val="TableParagraph"/>
              <w:spacing w:before="14"/>
              <w:ind w:left="141"/>
              <w:rPr>
                <w:b/>
                <w:sz w:val="24"/>
              </w:rPr>
            </w:pPr>
            <w:r>
              <w:rPr>
                <w:b/>
                <w:w w:val="95"/>
                <w:sz w:val="24"/>
              </w:rPr>
              <w:t>您与本公司的合同</w:t>
            </w:r>
          </w:p>
        </w:tc>
      </w:tr>
      <w:tr>
        <w:trPr>
          <w:trHeight w:val="1715" w:hRule="atLeast"/>
        </w:trPr>
        <w:tc>
          <w:tcPr>
            <w:tcW w:w="608" w:type="dxa"/>
            <w:tcBorders>
              <w:top w:val="single" w:sz="8" w:space="0" w:color="000000"/>
            </w:tcBorders>
          </w:tcPr>
          <w:p>
            <w:pPr>
              <w:pStyle w:val="TableParagraph"/>
              <w:spacing w:before="11"/>
              <w:ind w:left="0"/>
              <w:rPr>
                <w:b/>
                <w:sz w:val="15"/>
              </w:rPr>
            </w:pPr>
          </w:p>
          <w:p>
            <w:pPr>
              <w:pStyle w:val="TableParagraph"/>
              <w:ind w:left="89" w:right="161"/>
              <w:jc w:val="center"/>
              <w:rPr>
                <w:b/>
                <w:sz w:val="21"/>
              </w:rPr>
            </w:pPr>
            <w:r>
              <w:rPr>
                <w:b/>
                <w:sz w:val="21"/>
              </w:rPr>
              <w:t>1.1</w:t>
            </w:r>
          </w:p>
        </w:tc>
        <w:tc>
          <w:tcPr>
            <w:tcW w:w="1390" w:type="dxa"/>
            <w:tcBorders>
              <w:top w:val="single" w:sz="8" w:space="0" w:color="000000"/>
            </w:tcBorders>
          </w:tcPr>
          <w:p>
            <w:pPr>
              <w:pStyle w:val="TableParagraph"/>
              <w:spacing w:before="11"/>
              <w:ind w:left="0"/>
              <w:rPr>
                <w:b/>
                <w:sz w:val="15"/>
              </w:rPr>
            </w:pPr>
          </w:p>
          <w:p>
            <w:pPr>
              <w:pStyle w:val="TableParagraph"/>
              <w:ind w:left="141"/>
              <w:rPr>
                <w:b/>
                <w:sz w:val="21"/>
              </w:rPr>
            </w:pPr>
            <w:r>
              <w:rPr>
                <w:b/>
                <w:sz w:val="21"/>
              </w:rPr>
              <w:t>合同构成</w:t>
            </w:r>
          </w:p>
        </w:tc>
        <w:tc>
          <w:tcPr>
            <w:tcW w:w="7439" w:type="dxa"/>
            <w:tcBorders>
              <w:top w:val="single" w:sz="8" w:space="0" w:color="000000"/>
            </w:tcBorders>
          </w:tcPr>
          <w:p>
            <w:pPr>
              <w:pStyle w:val="TableParagraph"/>
              <w:spacing w:before="11"/>
              <w:ind w:left="0"/>
              <w:rPr>
                <w:b/>
                <w:sz w:val="15"/>
              </w:rPr>
            </w:pPr>
          </w:p>
          <w:p>
            <w:pPr>
              <w:pStyle w:val="TableParagraph"/>
              <w:spacing w:line="300" w:lineRule="auto"/>
              <w:ind w:left="191"/>
              <w:rPr>
                <w:sz w:val="21"/>
              </w:rPr>
            </w:pPr>
            <w:r>
              <w:rPr>
                <w:spacing w:val="-7"/>
                <w:sz w:val="21"/>
              </w:rPr>
              <w:t>安邦康宁定期重大疾病保险合同</w:t>
            </w:r>
            <w:r>
              <w:rPr>
                <w:spacing w:val="-3"/>
                <w:sz w:val="21"/>
              </w:rPr>
              <w:t>（以下简称本主险合同</w:t>
            </w:r>
            <w:r>
              <w:rPr>
                <w:spacing w:val="-53"/>
                <w:sz w:val="21"/>
              </w:rPr>
              <w:t>）</w:t>
            </w:r>
            <w:r>
              <w:rPr>
                <w:spacing w:val="-3"/>
                <w:sz w:val="21"/>
              </w:rPr>
              <w:t>由以下几个部分构成： 本保险条款、保险单或其他保险凭证、投保单（经本公司核实的复印件或电子影像印刷件与正本具有同等效力</w:t>
            </w:r>
            <w:r>
              <w:rPr>
                <w:spacing w:val="-106"/>
                <w:sz w:val="21"/>
              </w:rPr>
              <w:t>）</w:t>
            </w:r>
            <w:r>
              <w:rPr>
                <w:spacing w:val="-3"/>
                <w:sz w:val="21"/>
              </w:rPr>
              <w:t>、合法有效的声明、批注、批单，及投保人 与本公司共同认可的、与本主险合同有关的其它书面文件。</w:t>
            </w:r>
          </w:p>
        </w:tc>
      </w:tr>
      <w:tr>
        <w:trPr>
          <w:trHeight w:val="1302" w:hRule="atLeast"/>
        </w:trPr>
        <w:tc>
          <w:tcPr>
            <w:tcW w:w="608" w:type="dxa"/>
          </w:tcPr>
          <w:p>
            <w:pPr>
              <w:pStyle w:val="TableParagraph"/>
              <w:spacing w:before="139"/>
              <w:ind w:left="89" w:right="161"/>
              <w:jc w:val="center"/>
              <w:rPr>
                <w:b/>
                <w:sz w:val="21"/>
              </w:rPr>
            </w:pPr>
            <w:r>
              <w:rPr>
                <w:b/>
                <w:sz w:val="21"/>
              </w:rPr>
              <w:t>1.2</w:t>
            </w:r>
          </w:p>
        </w:tc>
        <w:tc>
          <w:tcPr>
            <w:tcW w:w="1390" w:type="dxa"/>
          </w:tcPr>
          <w:p>
            <w:pPr>
              <w:pStyle w:val="TableParagraph"/>
              <w:spacing w:before="139"/>
              <w:ind w:left="141"/>
              <w:rPr>
                <w:b/>
                <w:sz w:val="21"/>
              </w:rPr>
            </w:pPr>
            <w:r>
              <w:rPr>
                <w:b/>
                <w:sz w:val="21"/>
              </w:rPr>
              <w:t>投保范围</w:t>
            </w:r>
          </w:p>
        </w:tc>
        <w:tc>
          <w:tcPr>
            <w:tcW w:w="7439" w:type="dxa"/>
          </w:tcPr>
          <w:p>
            <w:pPr>
              <w:pStyle w:val="TableParagraph"/>
              <w:spacing w:line="300" w:lineRule="auto" w:before="139"/>
              <w:ind w:left="191" w:right="152"/>
              <w:rPr>
                <w:sz w:val="21"/>
              </w:rPr>
            </w:pPr>
            <w:r>
              <w:rPr>
                <w:spacing w:val="-2"/>
                <w:w w:val="100"/>
                <w:sz w:val="21"/>
              </w:rPr>
              <w:t>凡年满</w:t>
            </w:r>
            <w:r>
              <w:rPr>
                <w:spacing w:val="-2"/>
                <w:sz w:val="21"/>
              </w:rPr>
              <w:t> </w:t>
            </w:r>
            <w:r>
              <w:rPr>
                <w:w w:val="100"/>
                <w:sz w:val="21"/>
              </w:rPr>
              <w:t>18</w:t>
            </w:r>
            <w:r>
              <w:rPr>
                <w:spacing w:val="-55"/>
                <w:sz w:val="21"/>
              </w:rPr>
              <w:t> </w:t>
            </w:r>
            <w:r>
              <w:rPr>
                <w:b/>
                <w:w w:val="100"/>
                <w:sz w:val="21"/>
              </w:rPr>
              <w:t>周岁</w:t>
            </w:r>
            <w:r>
              <w:rPr>
                <w:spacing w:val="-3"/>
                <w:w w:val="100"/>
                <w:sz w:val="21"/>
              </w:rPr>
              <w:t>（</w:t>
            </w:r>
            <w:r>
              <w:rPr>
                <w:spacing w:val="-2"/>
                <w:w w:val="100"/>
                <w:sz w:val="21"/>
              </w:rPr>
              <w:t>见释义</w:t>
            </w:r>
            <w:r>
              <w:rPr>
                <w:spacing w:val="-53"/>
                <w:sz w:val="21"/>
              </w:rPr>
              <w:t> </w:t>
            </w:r>
            <w:r>
              <w:rPr>
                <w:spacing w:val="-3"/>
                <w:w w:val="100"/>
                <w:sz w:val="21"/>
              </w:rPr>
              <w:t>6</w:t>
            </w:r>
            <w:r>
              <w:rPr>
                <w:w w:val="100"/>
                <w:sz w:val="21"/>
              </w:rPr>
              <w:t>.1</w:t>
            </w:r>
            <w:r>
              <w:rPr>
                <w:spacing w:val="-106"/>
                <w:w w:val="100"/>
                <w:sz w:val="21"/>
              </w:rPr>
              <w:t>）</w:t>
            </w:r>
            <w:r>
              <w:rPr>
                <w:spacing w:val="-3"/>
                <w:w w:val="100"/>
                <w:sz w:val="21"/>
              </w:rPr>
              <w:t>，具有完全民事行为能力且在本主险合同订立时</w:t>
            </w:r>
            <w:r>
              <w:rPr>
                <w:spacing w:val="-3"/>
                <w:sz w:val="21"/>
              </w:rPr>
              <w:t>对被保险人具有保险利益的人，均可以作为投保人。</w:t>
            </w:r>
          </w:p>
          <w:p>
            <w:pPr>
              <w:pStyle w:val="TableParagraph"/>
              <w:spacing w:before="16"/>
              <w:ind w:left="191"/>
              <w:rPr>
                <w:sz w:val="21"/>
              </w:rPr>
            </w:pPr>
            <w:r>
              <w:rPr>
                <w:sz w:val="21"/>
              </w:rPr>
              <w:t>凡出生满 28 日至 50 周岁，符合本公司承保条件的人，均可作为被保险人。</w:t>
            </w:r>
          </w:p>
        </w:tc>
      </w:tr>
      <w:tr>
        <w:trPr>
          <w:trHeight w:val="2673" w:hRule="atLeast"/>
        </w:trPr>
        <w:tc>
          <w:tcPr>
            <w:tcW w:w="608" w:type="dxa"/>
          </w:tcPr>
          <w:p>
            <w:pPr>
              <w:pStyle w:val="TableParagraph"/>
              <w:spacing w:before="138"/>
              <w:ind w:left="89" w:right="161"/>
              <w:jc w:val="center"/>
              <w:rPr>
                <w:b/>
                <w:sz w:val="21"/>
              </w:rPr>
            </w:pPr>
            <w:r>
              <w:rPr>
                <w:b/>
                <w:sz w:val="21"/>
              </w:rPr>
              <w:t>1.3</w:t>
            </w:r>
          </w:p>
        </w:tc>
        <w:tc>
          <w:tcPr>
            <w:tcW w:w="1390" w:type="dxa"/>
          </w:tcPr>
          <w:p>
            <w:pPr>
              <w:pStyle w:val="TableParagraph"/>
              <w:spacing w:line="300" w:lineRule="auto" w:before="138"/>
              <w:ind w:left="141" w:right="190"/>
              <w:jc w:val="both"/>
              <w:rPr>
                <w:b/>
                <w:sz w:val="21"/>
              </w:rPr>
            </w:pPr>
            <w:r>
              <w:rPr>
                <w:b/>
                <w:sz w:val="21"/>
              </w:rPr>
              <w:t>合同成立与生效和保险责任开始</w:t>
            </w:r>
          </w:p>
        </w:tc>
        <w:tc>
          <w:tcPr>
            <w:tcW w:w="7439" w:type="dxa"/>
          </w:tcPr>
          <w:p>
            <w:pPr>
              <w:pStyle w:val="TableParagraph"/>
              <w:spacing w:line="300" w:lineRule="auto" w:before="138"/>
              <w:ind w:left="191" w:right="106"/>
              <w:jc w:val="both"/>
              <w:rPr>
                <w:sz w:val="21"/>
              </w:rPr>
            </w:pPr>
            <w:r>
              <w:rPr>
                <w:sz w:val="21"/>
              </w:rPr>
              <w:t>您提出保险申请、本公司同意承保，本主险合同成立，合同成立日期在保险单上载明。</w:t>
            </w:r>
          </w:p>
          <w:p>
            <w:pPr>
              <w:pStyle w:val="TableParagraph"/>
              <w:spacing w:line="300" w:lineRule="auto" w:before="16"/>
              <w:ind w:left="191" w:right="103"/>
              <w:jc w:val="both"/>
              <w:rPr>
                <w:sz w:val="21"/>
              </w:rPr>
            </w:pPr>
            <w:r>
              <w:rPr>
                <w:sz w:val="21"/>
              </w:rPr>
              <w:t>自本主险合同成立、本公司收取首期保险费并签发保险单的次日零时起本主险合同生效，合同生效日期在保险单上载明。保险合同生效日以后每年的对应日是保单周年日。保单年度、保险费约定支付日均以该日期计算。如果当月无对应的同一日，则以该月最后一日作为对应日。</w:t>
            </w:r>
          </w:p>
          <w:p>
            <w:pPr>
              <w:pStyle w:val="TableParagraph"/>
              <w:spacing w:before="16"/>
              <w:ind w:left="191"/>
              <w:jc w:val="both"/>
              <w:rPr>
                <w:sz w:val="21"/>
              </w:rPr>
            </w:pPr>
            <w:r>
              <w:rPr>
                <w:sz w:val="21"/>
              </w:rPr>
              <w:t>除另有约定外，本主险合同生效的日期为本公司开始承担保险责任的日期。</w:t>
            </w:r>
          </w:p>
        </w:tc>
      </w:tr>
      <w:tr>
        <w:trPr>
          <w:trHeight w:val="2675" w:hRule="atLeast"/>
        </w:trPr>
        <w:tc>
          <w:tcPr>
            <w:tcW w:w="608" w:type="dxa"/>
          </w:tcPr>
          <w:p>
            <w:pPr>
              <w:pStyle w:val="TableParagraph"/>
              <w:spacing w:before="138"/>
              <w:ind w:left="89" w:right="161"/>
              <w:jc w:val="center"/>
              <w:rPr>
                <w:b/>
                <w:sz w:val="21"/>
              </w:rPr>
            </w:pPr>
            <w:r>
              <w:rPr>
                <w:b/>
                <w:sz w:val="21"/>
              </w:rPr>
              <w:t>1.4</w:t>
            </w:r>
          </w:p>
        </w:tc>
        <w:tc>
          <w:tcPr>
            <w:tcW w:w="1390" w:type="dxa"/>
          </w:tcPr>
          <w:p>
            <w:pPr>
              <w:pStyle w:val="TableParagraph"/>
              <w:spacing w:before="138"/>
              <w:ind w:left="141"/>
              <w:rPr>
                <w:b/>
                <w:sz w:val="21"/>
              </w:rPr>
            </w:pPr>
            <w:r>
              <w:rPr>
                <w:b/>
                <w:sz w:val="21"/>
              </w:rPr>
              <w:t>犹豫期</w:t>
            </w:r>
          </w:p>
        </w:tc>
        <w:tc>
          <w:tcPr>
            <w:tcW w:w="7439" w:type="dxa"/>
          </w:tcPr>
          <w:p>
            <w:pPr>
              <w:pStyle w:val="TableParagraph"/>
              <w:spacing w:line="300" w:lineRule="auto" w:before="138"/>
              <w:ind w:left="191" w:right="87"/>
              <w:rPr>
                <w:rFonts w:ascii="黑体" w:eastAsia="黑体" w:hint="eastAsia"/>
                <w:sz w:val="21"/>
              </w:rPr>
            </w:pPr>
            <w:r>
              <w:rPr>
                <w:spacing w:val="-3"/>
                <w:sz w:val="21"/>
              </w:rPr>
              <w:t>为了使您充分了解本主险合同的保障范围，确定选择了合适的保险金额、交费</w:t>
            </w:r>
            <w:r>
              <w:rPr>
                <w:spacing w:val="-5"/>
                <w:sz w:val="21"/>
              </w:rPr>
              <w:t>期限和交费金额，自您签收本主险合同次日起，有 </w:t>
            </w:r>
            <w:r>
              <w:rPr>
                <w:sz w:val="21"/>
              </w:rPr>
              <w:t>10</w:t>
            </w:r>
            <w:r>
              <w:rPr>
                <w:spacing w:val="-8"/>
                <w:sz w:val="21"/>
              </w:rPr>
              <w:t> 天的犹豫期。如果您在</w:t>
            </w:r>
            <w:r>
              <w:rPr>
                <w:spacing w:val="-5"/>
                <w:w w:val="100"/>
                <w:sz w:val="21"/>
              </w:rPr>
              <w:t>此期间提出解除本主险合同</w:t>
            </w:r>
            <w:r>
              <w:rPr>
                <w:w w:val="100"/>
                <w:sz w:val="21"/>
              </w:rPr>
              <w:t>（</w:t>
            </w:r>
            <w:r>
              <w:rPr>
                <w:spacing w:val="-2"/>
                <w:w w:val="100"/>
                <w:sz w:val="21"/>
              </w:rPr>
              <w:t>即</w:t>
            </w:r>
            <w:r>
              <w:rPr>
                <w:b/>
                <w:w w:val="100"/>
                <w:sz w:val="21"/>
              </w:rPr>
              <w:t>退保</w:t>
            </w:r>
            <w:r>
              <w:rPr>
                <w:spacing w:val="-108"/>
                <w:w w:val="100"/>
                <w:sz w:val="21"/>
              </w:rPr>
              <w:t>）</w:t>
            </w:r>
            <w:r>
              <w:rPr>
                <w:spacing w:val="-3"/>
                <w:w w:val="100"/>
                <w:sz w:val="21"/>
              </w:rPr>
              <w:t>，需要填写书面申请书，并提供您的保险合同及</w:t>
            </w:r>
            <w:r>
              <w:rPr>
                <w:b/>
                <w:w w:val="100"/>
                <w:sz w:val="21"/>
              </w:rPr>
              <w:t>有效身份证件</w:t>
            </w:r>
            <w:r>
              <w:rPr>
                <w:spacing w:val="-3"/>
                <w:w w:val="100"/>
                <w:sz w:val="21"/>
              </w:rPr>
              <w:t>（</w:t>
            </w:r>
            <w:r>
              <w:rPr>
                <w:spacing w:val="-2"/>
                <w:w w:val="100"/>
                <w:sz w:val="21"/>
              </w:rPr>
              <w:t>见释义</w:t>
            </w:r>
            <w:r>
              <w:rPr>
                <w:spacing w:val="-2"/>
                <w:sz w:val="21"/>
              </w:rPr>
              <w:t> </w:t>
            </w:r>
            <w:r>
              <w:rPr>
                <w:w w:val="100"/>
                <w:sz w:val="21"/>
              </w:rPr>
              <w:t>6.</w:t>
            </w:r>
            <w:r>
              <w:rPr>
                <w:spacing w:val="-3"/>
                <w:w w:val="100"/>
                <w:sz w:val="21"/>
              </w:rPr>
              <w:t>2</w:t>
            </w:r>
            <w:r>
              <w:rPr>
                <w:spacing w:val="-106"/>
                <w:w w:val="100"/>
                <w:sz w:val="21"/>
              </w:rPr>
              <w:t>）</w:t>
            </w:r>
            <w:r>
              <w:rPr>
                <w:spacing w:val="-3"/>
                <w:w w:val="100"/>
                <w:sz w:val="21"/>
              </w:rPr>
              <w:t>，本公司会在扣除不超过人民币</w:t>
            </w:r>
            <w:r>
              <w:rPr>
                <w:spacing w:val="-3"/>
                <w:sz w:val="21"/>
              </w:rPr>
              <w:t> </w:t>
            </w:r>
            <w:r>
              <w:rPr>
                <w:spacing w:val="-3"/>
                <w:w w:val="100"/>
                <w:sz w:val="21"/>
              </w:rPr>
              <w:t>1</w:t>
            </w:r>
            <w:r>
              <w:rPr>
                <w:w w:val="100"/>
                <w:sz w:val="21"/>
              </w:rPr>
              <w:t>0</w:t>
            </w:r>
            <w:r>
              <w:rPr>
                <w:spacing w:val="-53"/>
                <w:sz w:val="21"/>
              </w:rPr>
              <w:t> </w:t>
            </w:r>
            <w:r>
              <w:rPr>
                <w:spacing w:val="-3"/>
                <w:w w:val="100"/>
                <w:sz w:val="21"/>
              </w:rPr>
              <w:t>元的</w:t>
            </w:r>
            <w:r>
              <w:rPr>
                <w:spacing w:val="-4"/>
                <w:sz w:val="21"/>
              </w:rPr>
              <w:t>保单工本费后无息退还您所交的保险费。自本公司收到您解除合同的书面申请</w:t>
            </w:r>
            <w:r>
              <w:rPr>
                <w:spacing w:val="-3"/>
                <w:sz w:val="21"/>
              </w:rPr>
              <w:t>时起，本主险合同即被解除，</w:t>
            </w:r>
            <w:r>
              <w:rPr>
                <w:rFonts w:ascii="黑体" w:eastAsia="黑体" w:hint="eastAsia"/>
                <w:spacing w:val="-3"/>
                <w:sz w:val="21"/>
              </w:rPr>
              <w:t>对本主险合同解除前发</w:t>
            </w:r>
            <w:r>
              <w:rPr>
                <w:rFonts w:ascii="黑体" w:eastAsia="黑体" w:hint="eastAsia"/>
                <w:sz w:val="21"/>
              </w:rPr>
              <w:t>Th</w:t>
            </w:r>
            <w:r>
              <w:rPr>
                <w:rFonts w:ascii="黑体" w:eastAsia="黑体" w:hint="eastAsia"/>
                <w:spacing w:val="-3"/>
                <w:sz w:val="21"/>
              </w:rPr>
              <w:t>的保险事故本公司不承担保险责任。</w:t>
            </w:r>
          </w:p>
        </w:tc>
      </w:tr>
      <w:tr>
        <w:trPr>
          <w:trHeight w:val="2675" w:hRule="atLeast"/>
        </w:trPr>
        <w:tc>
          <w:tcPr>
            <w:tcW w:w="608" w:type="dxa"/>
          </w:tcPr>
          <w:p>
            <w:pPr>
              <w:pStyle w:val="TableParagraph"/>
              <w:spacing w:before="139"/>
              <w:ind w:left="89" w:right="161"/>
              <w:jc w:val="center"/>
              <w:rPr>
                <w:b/>
                <w:sz w:val="21"/>
              </w:rPr>
            </w:pPr>
            <w:r>
              <w:rPr>
                <w:b/>
                <w:sz w:val="21"/>
              </w:rPr>
              <w:t>1.5</w:t>
            </w:r>
          </w:p>
        </w:tc>
        <w:tc>
          <w:tcPr>
            <w:tcW w:w="1390" w:type="dxa"/>
          </w:tcPr>
          <w:p>
            <w:pPr>
              <w:pStyle w:val="TableParagraph"/>
              <w:spacing w:line="300" w:lineRule="auto" w:before="139"/>
              <w:ind w:left="141" w:right="190"/>
              <w:rPr>
                <w:b/>
                <w:sz w:val="21"/>
              </w:rPr>
            </w:pPr>
            <w:r>
              <w:rPr>
                <w:b/>
                <w:sz w:val="21"/>
              </w:rPr>
              <w:t>合同内容变更</w:t>
            </w:r>
          </w:p>
        </w:tc>
        <w:tc>
          <w:tcPr>
            <w:tcW w:w="7439" w:type="dxa"/>
          </w:tcPr>
          <w:p>
            <w:pPr>
              <w:pStyle w:val="TableParagraph"/>
              <w:spacing w:line="300" w:lineRule="auto" w:before="139"/>
              <w:ind w:left="191" w:right="103"/>
              <w:jc w:val="both"/>
              <w:rPr>
                <w:sz w:val="21"/>
              </w:rPr>
            </w:pPr>
            <w:r>
              <w:rPr>
                <w:sz w:val="21"/>
              </w:rPr>
              <w:t>在本主险合同有效期内，您与本公司可以协商变更本主险合同内容。变更合同内容的，应当由本公司在保险单或其他保险凭证上批注或者附贴批单。</w:t>
            </w:r>
          </w:p>
          <w:p>
            <w:pPr>
              <w:pStyle w:val="TableParagraph"/>
              <w:spacing w:line="300" w:lineRule="auto" w:before="15"/>
              <w:ind w:left="191" w:right="103"/>
              <w:jc w:val="both"/>
              <w:rPr>
                <w:sz w:val="21"/>
              </w:rPr>
            </w:pPr>
            <w:r>
              <w:rPr>
                <w:sz w:val="21"/>
              </w:rPr>
              <w:t>为了保障您的合法权益，在本主险合同有效期内，若您提供给本公司的住所或其他投保信息发生了变更，请及时以书面形式通知本公司，以便于本公司及时为您变更保险合同上的相关信息。</w:t>
            </w:r>
          </w:p>
          <w:p>
            <w:pPr>
              <w:pStyle w:val="TableParagraph"/>
              <w:spacing w:line="300" w:lineRule="auto" w:before="15"/>
              <w:ind w:left="191" w:right="104"/>
              <w:jc w:val="both"/>
              <w:rPr>
                <w:sz w:val="21"/>
              </w:rPr>
            </w:pPr>
            <w:r>
              <w:rPr>
                <w:sz w:val="21"/>
              </w:rPr>
              <w:t>如因您的住所或通讯地址变更后未及时通知本公司，则本公司按本主险合同载明的最后住所或通讯地址发送的有关通知，均视为已送达给您。</w:t>
            </w:r>
          </w:p>
        </w:tc>
      </w:tr>
      <w:tr>
        <w:trPr>
          <w:trHeight w:val="1785" w:hRule="atLeast"/>
        </w:trPr>
        <w:tc>
          <w:tcPr>
            <w:tcW w:w="608" w:type="dxa"/>
          </w:tcPr>
          <w:p>
            <w:pPr>
              <w:pStyle w:val="TableParagraph"/>
              <w:spacing w:before="138"/>
              <w:ind w:left="89" w:right="161"/>
              <w:jc w:val="center"/>
              <w:rPr>
                <w:b/>
                <w:sz w:val="21"/>
              </w:rPr>
            </w:pPr>
            <w:r>
              <w:rPr>
                <w:b/>
                <w:sz w:val="21"/>
              </w:rPr>
              <w:t>1.6</w:t>
            </w:r>
          </w:p>
        </w:tc>
        <w:tc>
          <w:tcPr>
            <w:tcW w:w="1390" w:type="dxa"/>
          </w:tcPr>
          <w:p>
            <w:pPr>
              <w:pStyle w:val="TableParagraph"/>
              <w:spacing w:line="300" w:lineRule="auto" w:before="138"/>
              <w:ind w:left="141" w:right="190"/>
              <w:rPr>
                <w:b/>
                <w:sz w:val="21"/>
              </w:rPr>
            </w:pPr>
            <w:r>
              <w:rPr>
                <w:b/>
                <w:sz w:val="21"/>
              </w:rPr>
              <w:t>解除合同的手续及风险</w:t>
            </w:r>
          </w:p>
        </w:tc>
        <w:tc>
          <w:tcPr>
            <w:tcW w:w="7439" w:type="dxa"/>
          </w:tcPr>
          <w:p>
            <w:pPr>
              <w:pStyle w:val="TableParagraph"/>
              <w:spacing w:line="300" w:lineRule="auto" w:before="138"/>
              <w:ind w:left="191" w:right="106"/>
              <w:rPr>
                <w:sz w:val="21"/>
              </w:rPr>
            </w:pPr>
            <w:r>
              <w:rPr>
                <w:sz w:val="21"/>
              </w:rPr>
              <w:t>如您在犹豫期后申请解除本主险合同，请填写解除合同申请书并向本公司提供下列资料：</w:t>
            </w:r>
          </w:p>
          <w:p>
            <w:pPr>
              <w:pStyle w:val="TableParagraph"/>
              <w:spacing w:before="16"/>
              <w:ind w:left="191"/>
              <w:rPr>
                <w:sz w:val="21"/>
              </w:rPr>
            </w:pPr>
            <w:r>
              <w:rPr>
                <w:sz w:val="21"/>
              </w:rPr>
              <w:t>（1）保险合同；</w:t>
            </w:r>
          </w:p>
          <w:p>
            <w:pPr>
              <w:pStyle w:val="TableParagraph"/>
              <w:spacing w:before="68"/>
              <w:ind w:left="191"/>
              <w:rPr>
                <w:sz w:val="21"/>
              </w:rPr>
            </w:pPr>
            <w:r>
              <w:rPr>
                <w:sz w:val="21"/>
              </w:rPr>
              <w:t>（2）您的有效身份证件。</w:t>
            </w:r>
          </w:p>
          <w:p>
            <w:pPr>
              <w:pStyle w:val="TableParagraph"/>
              <w:spacing w:line="255" w:lineRule="exact" w:before="68"/>
              <w:ind w:left="191"/>
              <w:rPr>
                <w:sz w:val="21"/>
              </w:rPr>
            </w:pPr>
            <w:r>
              <w:rPr>
                <w:sz w:val="21"/>
              </w:rPr>
              <w:t>自本公司收到解除合同申请书时起，本主险合同终止。本公司自收到解除合同</w:t>
            </w:r>
          </w:p>
        </w:tc>
      </w:tr>
    </w:tbl>
    <w:p>
      <w:pPr>
        <w:spacing w:after="0" w:line="255" w:lineRule="exact"/>
        <w:rPr>
          <w:sz w:val="21"/>
        </w:rPr>
        <w:sectPr>
          <w:pgSz w:w="11910" w:h="16840"/>
          <w:pgMar w:top="1180" w:bottom="280" w:left="1100" w:right="11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1442"/>
        <w:gridCol w:w="7354"/>
      </w:tblGrid>
      <w:tr>
        <w:trPr>
          <w:trHeight w:val="777" w:hRule="atLeast"/>
        </w:trPr>
        <w:tc>
          <w:tcPr>
            <w:tcW w:w="640" w:type="dxa"/>
          </w:tcPr>
          <w:p>
            <w:pPr>
              <w:pStyle w:val="TableParagraph"/>
              <w:ind w:left="0"/>
              <w:rPr>
                <w:rFonts w:ascii="Times New Roman"/>
                <w:sz w:val="20"/>
              </w:rPr>
            </w:pPr>
          </w:p>
        </w:tc>
        <w:tc>
          <w:tcPr>
            <w:tcW w:w="1442" w:type="dxa"/>
          </w:tcPr>
          <w:p>
            <w:pPr>
              <w:pStyle w:val="TableParagraph"/>
              <w:ind w:left="0"/>
              <w:rPr>
                <w:rFonts w:ascii="Times New Roman"/>
                <w:sz w:val="20"/>
              </w:rPr>
            </w:pPr>
          </w:p>
        </w:tc>
        <w:tc>
          <w:tcPr>
            <w:tcW w:w="7354" w:type="dxa"/>
          </w:tcPr>
          <w:p>
            <w:pPr>
              <w:pStyle w:val="TableParagraph"/>
              <w:spacing w:line="211" w:lineRule="exact"/>
              <w:rPr>
                <w:sz w:val="21"/>
              </w:rPr>
            </w:pPr>
            <w:r>
              <w:rPr>
                <w:spacing w:val="-2"/>
                <w:w w:val="100"/>
                <w:sz w:val="21"/>
              </w:rPr>
              <w:t>申请书之日起</w:t>
            </w:r>
            <w:r>
              <w:rPr>
                <w:spacing w:val="-52"/>
                <w:sz w:val="21"/>
              </w:rPr>
              <w:t> </w:t>
            </w:r>
            <w:r>
              <w:rPr>
                <w:spacing w:val="-3"/>
                <w:w w:val="100"/>
                <w:sz w:val="21"/>
              </w:rPr>
              <w:t>3</w:t>
            </w:r>
            <w:r>
              <w:rPr>
                <w:w w:val="100"/>
                <w:sz w:val="21"/>
              </w:rPr>
              <w:t>0</w:t>
            </w:r>
            <w:r>
              <w:rPr>
                <w:spacing w:val="-53"/>
                <w:sz w:val="21"/>
              </w:rPr>
              <w:t> </w:t>
            </w:r>
            <w:r>
              <w:rPr>
                <w:spacing w:val="-3"/>
                <w:w w:val="100"/>
                <w:sz w:val="21"/>
              </w:rPr>
              <w:t>日内向您退还保险单的</w:t>
            </w:r>
            <w:r>
              <w:rPr>
                <w:b/>
                <w:w w:val="100"/>
                <w:sz w:val="21"/>
              </w:rPr>
              <w:t>现金价值</w:t>
            </w:r>
            <w:r>
              <w:rPr>
                <w:spacing w:val="-3"/>
                <w:w w:val="100"/>
                <w:sz w:val="21"/>
              </w:rPr>
              <w:t>（</w:t>
            </w:r>
            <w:r>
              <w:rPr>
                <w:spacing w:val="-2"/>
                <w:w w:val="100"/>
                <w:sz w:val="21"/>
              </w:rPr>
              <w:t>见释义</w:t>
            </w:r>
            <w:r>
              <w:rPr>
                <w:spacing w:val="-53"/>
                <w:sz w:val="21"/>
              </w:rPr>
              <w:t> </w:t>
            </w:r>
            <w:r>
              <w:rPr>
                <w:w w:val="100"/>
                <w:sz w:val="21"/>
              </w:rPr>
              <w:t>6.</w:t>
            </w:r>
            <w:r>
              <w:rPr>
                <w:spacing w:val="-3"/>
                <w:w w:val="100"/>
                <w:sz w:val="21"/>
              </w:rPr>
              <w:t>3</w:t>
            </w:r>
            <w:r>
              <w:rPr>
                <w:spacing w:val="-106"/>
                <w:w w:val="100"/>
                <w:sz w:val="21"/>
              </w:rPr>
              <w:t>）。</w:t>
            </w:r>
          </w:p>
          <w:p>
            <w:pPr>
              <w:pStyle w:val="TableParagraph"/>
              <w:spacing w:before="68"/>
              <w:rPr>
                <w:rFonts w:ascii="黑体" w:eastAsia="黑体" w:hint="eastAsia"/>
                <w:sz w:val="21"/>
              </w:rPr>
            </w:pPr>
            <w:r>
              <w:rPr>
                <w:rFonts w:ascii="黑体" w:eastAsia="黑体" w:hint="eastAsia"/>
                <w:sz w:val="21"/>
              </w:rPr>
              <w:t>您在犹豫期后解除合同会遭受一定损失。</w:t>
            </w:r>
          </w:p>
        </w:tc>
      </w:tr>
      <w:tr>
        <w:trPr>
          <w:trHeight w:val="745" w:hRule="atLeast"/>
        </w:trPr>
        <w:tc>
          <w:tcPr>
            <w:tcW w:w="640" w:type="dxa"/>
            <w:tcBorders>
              <w:bottom w:val="single" w:sz="8" w:space="0" w:color="000000"/>
            </w:tcBorders>
          </w:tcPr>
          <w:p>
            <w:pPr>
              <w:pStyle w:val="TableParagraph"/>
              <w:spacing w:before="185"/>
              <w:ind w:left="0" w:right="64"/>
              <w:jc w:val="center"/>
              <w:rPr>
                <w:rFonts w:ascii="Arial" w:hAnsi="Arial"/>
                <w:b/>
                <w:sz w:val="40"/>
              </w:rPr>
            </w:pPr>
            <w:r>
              <w:rPr>
                <w:rFonts w:ascii="Arial" w:hAnsi="Arial"/>
                <w:b/>
                <w:w w:val="119"/>
                <w:sz w:val="40"/>
              </w:rPr>
              <w:t></w:t>
            </w:r>
          </w:p>
        </w:tc>
        <w:tc>
          <w:tcPr>
            <w:tcW w:w="8796" w:type="dxa"/>
            <w:gridSpan w:val="2"/>
            <w:tcBorders>
              <w:bottom w:val="single" w:sz="8" w:space="0" w:color="000000"/>
            </w:tcBorders>
          </w:tcPr>
          <w:p>
            <w:pPr>
              <w:pStyle w:val="TableParagraph"/>
              <w:spacing w:before="4"/>
              <w:ind w:left="0"/>
              <w:rPr>
                <w:b/>
                <w:sz w:val="18"/>
              </w:rPr>
            </w:pPr>
          </w:p>
          <w:p>
            <w:pPr>
              <w:pStyle w:val="TableParagraph"/>
              <w:ind w:left="108"/>
              <w:rPr>
                <w:b/>
                <w:sz w:val="24"/>
              </w:rPr>
            </w:pPr>
            <w:r>
              <w:rPr>
                <w:b/>
                <w:w w:val="95"/>
                <w:sz w:val="24"/>
              </w:rPr>
              <w:t>本公司提供的保障</w:t>
            </w:r>
          </w:p>
        </w:tc>
      </w:tr>
      <w:tr>
        <w:trPr>
          <w:trHeight w:val="1033" w:hRule="atLeast"/>
        </w:trPr>
        <w:tc>
          <w:tcPr>
            <w:tcW w:w="640" w:type="dxa"/>
            <w:tcBorders>
              <w:top w:val="single" w:sz="8" w:space="0" w:color="000000"/>
            </w:tcBorders>
          </w:tcPr>
          <w:p>
            <w:pPr>
              <w:pStyle w:val="TableParagraph"/>
              <w:ind w:left="0"/>
              <w:rPr>
                <w:b/>
                <w:sz w:val="16"/>
              </w:rPr>
            </w:pPr>
          </w:p>
          <w:p>
            <w:pPr>
              <w:pStyle w:val="TableParagraph"/>
              <w:spacing w:before="1"/>
              <w:ind w:left="87" w:right="192"/>
              <w:jc w:val="center"/>
              <w:rPr>
                <w:b/>
                <w:sz w:val="21"/>
              </w:rPr>
            </w:pPr>
            <w:r>
              <w:rPr>
                <w:b/>
                <w:sz w:val="21"/>
              </w:rPr>
              <w:t>2.1</w:t>
            </w:r>
          </w:p>
        </w:tc>
        <w:tc>
          <w:tcPr>
            <w:tcW w:w="1442" w:type="dxa"/>
            <w:tcBorders>
              <w:top w:val="single" w:sz="8" w:space="0" w:color="000000"/>
            </w:tcBorders>
          </w:tcPr>
          <w:p>
            <w:pPr>
              <w:pStyle w:val="TableParagraph"/>
              <w:ind w:left="0"/>
              <w:rPr>
                <w:b/>
                <w:sz w:val="16"/>
              </w:rPr>
            </w:pPr>
          </w:p>
          <w:p>
            <w:pPr>
              <w:pStyle w:val="TableParagraph"/>
              <w:spacing w:before="1"/>
              <w:ind w:left="108"/>
              <w:rPr>
                <w:b/>
                <w:sz w:val="21"/>
              </w:rPr>
            </w:pPr>
            <w:r>
              <w:rPr>
                <w:b/>
                <w:sz w:val="21"/>
              </w:rPr>
              <w:t>保险金额</w:t>
            </w:r>
          </w:p>
        </w:tc>
        <w:tc>
          <w:tcPr>
            <w:tcW w:w="7354" w:type="dxa"/>
            <w:tcBorders>
              <w:top w:val="single" w:sz="8" w:space="0" w:color="000000"/>
            </w:tcBorders>
          </w:tcPr>
          <w:p>
            <w:pPr>
              <w:pStyle w:val="TableParagraph"/>
              <w:ind w:left="0"/>
              <w:rPr>
                <w:b/>
                <w:sz w:val="16"/>
              </w:rPr>
            </w:pPr>
          </w:p>
          <w:p>
            <w:pPr>
              <w:pStyle w:val="TableParagraph"/>
              <w:spacing w:line="300" w:lineRule="auto" w:before="1"/>
              <w:ind w:right="106"/>
              <w:rPr>
                <w:sz w:val="21"/>
              </w:rPr>
            </w:pPr>
            <w:r>
              <w:rPr>
                <w:sz w:val="21"/>
              </w:rPr>
              <w:t>保险金额是本公司承担给付保险金责任的最高限额。本公司将按照本主险合同关于保险责任的约定，确定实际给付的保险金额。</w:t>
            </w:r>
          </w:p>
        </w:tc>
      </w:tr>
      <w:tr>
        <w:trPr>
          <w:trHeight w:val="1648" w:hRule="atLeast"/>
        </w:trPr>
        <w:tc>
          <w:tcPr>
            <w:tcW w:w="640" w:type="dxa"/>
          </w:tcPr>
          <w:p>
            <w:pPr>
              <w:pStyle w:val="TableParagraph"/>
              <w:spacing w:before="141"/>
              <w:ind w:left="87" w:right="88"/>
              <w:jc w:val="center"/>
              <w:rPr>
                <w:b/>
                <w:sz w:val="21"/>
              </w:rPr>
            </w:pPr>
            <w:r>
              <w:rPr>
                <w:b/>
                <w:sz w:val="21"/>
              </w:rPr>
              <w:t>2.2.</w:t>
            </w:r>
          </w:p>
        </w:tc>
        <w:tc>
          <w:tcPr>
            <w:tcW w:w="1442" w:type="dxa"/>
          </w:tcPr>
          <w:p>
            <w:pPr>
              <w:pStyle w:val="TableParagraph"/>
              <w:spacing w:line="300" w:lineRule="auto" w:before="141"/>
              <w:ind w:left="108" w:right="275"/>
              <w:rPr>
                <w:b/>
                <w:sz w:val="21"/>
              </w:rPr>
            </w:pPr>
            <w:r>
              <w:rPr>
                <w:b/>
                <w:sz w:val="21"/>
              </w:rPr>
              <w:t>基本保险金额</w:t>
            </w:r>
          </w:p>
        </w:tc>
        <w:tc>
          <w:tcPr>
            <w:tcW w:w="7354" w:type="dxa"/>
          </w:tcPr>
          <w:p>
            <w:pPr>
              <w:pStyle w:val="TableParagraph"/>
              <w:spacing w:line="300" w:lineRule="auto" w:before="141"/>
              <w:ind w:right="103"/>
              <w:rPr>
                <w:sz w:val="21"/>
              </w:rPr>
            </w:pPr>
            <w:r>
              <w:rPr>
                <w:sz w:val="21"/>
              </w:rPr>
              <w:t>本主险合同的基本保险金额是由您在投保时提出，并经本公司承保时审核并最终确定的。基本保险金额在保险单中载明。</w:t>
            </w:r>
          </w:p>
          <w:p>
            <w:pPr>
              <w:pStyle w:val="TableParagraph"/>
              <w:spacing w:line="300" w:lineRule="auto" w:before="15"/>
              <w:ind w:right="106"/>
              <w:rPr>
                <w:sz w:val="21"/>
              </w:rPr>
            </w:pPr>
            <w:r>
              <w:rPr>
                <w:sz w:val="21"/>
              </w:rPr>
              <w:t>若该基本保险金额发生变更，则以变更后的基本保险金额为准。变更身故基本保险金额的应当得到被保险人书面同意并认可。</w:t>
            </w:r>
          </w:p>
        </w:tc>
      </w:tr>
      <w:tr>
        <w:trPr>
          <w:trHeight w:val="1300" w:hRule="atLeast"/>
        </w:trPr>
        <w:tc>
          <w:tcPr>
            <w:tcW w:w="640" w:type="dxa"/>
          </w:tcPr>
          <w:p>
            <w:pPr>
              <w:pStyle w:val="TableParagraph"/>
              <w:spacing w:before="138"/>
              <w:ind w:left="87" w:right="192"/>
              <w:jc w:val="center"/>
              <w:rPr>
                <w:b/>
                <w:sz w:val="21"/>
              </w:rPr>
            </w:pPr>
            <w:r>
              <w:rPr>
                <w:b/>
                <w:sz w:val="21"/>
              </w:rPr>
              <w:t>2.3</w:t>
            </w:r>
          </w:p>
        </w:tc>
        <w:tc>
          <w:tcPr>
            <w:tcW w:w="1442" w:type="dxa"/>
          </w:tcPr>
          <w:p>
            <w:pPr>
              <w:pStyle w:val="TableParagraph"/>
              <w:spacing w:line="300" w:lineRule="auto" w:before="138"/>
              <w:ind w:left="108" w:right="275"/>
              <w:jc w:val="both"/>
              <w:rPr>
                <w:b/>
                <w:sz w:val="21"/>
              </w:rPr>
            </w:pPr>
            <w:r>
              <w:rPr>
                <w:b/>
                <w:sz w:val="21"/>
              </w:rPr>
              <w:t>未成年人身故保险金限制</w:t>
            </w:r>
          </w:p>
        </w:tc>
        <w:tc>
          <w:tcPr>
            <w:tcW w:w="7354" w:type="dxa"/>
          </w:tcPr>
          <w:p>
            <w:pPr>
              <w:pStyle w:val="TableParagraph"/>
              <w:spacing w:line="300" w:lineRule="auto" w:before="138"/>
              <w:ind w:right="103"/>
              <w:jc w:val="both"/>
              <w:rPr>
                <w:sz w:val="21"/>
              </w:rPr>
            </w:pPr>
            <w:r>
              <w:rPr>
                <w:sz w:val="21"/>
              </w:rPr>
              <w:t>为未成年子女投保的人身保险，因被保险人身故给付的保险金总和不得超过</w:t>
            </w:r>
            <w:r>
              <w:rPr>
                <w:rFonts w:ascii="黑体" w:eastAsia="黑体" w:hint="eastAsia"/>
                <w:sz w:val="21"/>
              </w:rPr>
              <w:t>国务院保险监督管理机构规定的限额</w:t>
            </w:r>
            <w:r>
              <w:rPr>
                <w:sz w:val="21"/>
              </w:rPr>
              <w:t>，身故给付的保险金额总和约定也不得超过前述限额。</w:t>
            </w:r>
          </w:p>
        </w:tc>
      </w:tr>
      <w:tr>
        <w:trPr>
          <w:trHeight w:val="1647" w:hRule="atLeast"/>
        </w:trPr>
        <w:tc>
          <w:tcPr>
            <w:tcW w:w="640" w:type="dxa"/>
          </w:tcPr>
          <w:p>
            <w:pPr>
              <w:pStyle w:val="TableParagraph"/>
              <w:spacing w:before="138"/>
              <w:ind w:left="87" w:right="192"/>
              <w:jc w:val="center"/>
              <w:rPr>
                <w:b/>
                <w:sz w:val="21"/>
              </w:rPr>
            </w:pPr>
            <w:r>
              <w:rPr>
                <w:b/>
                <w:sz w:val="21"/>
              </w:rPr>
              <w:t>2.4</w:t>
            </w:r>
          </w:p>
        </w:tc>
        <w:tc>
          <w:tcPr>
            <w:tcW w:w="1442" w:type="dxa"/>
          </w:tcPr>
          <w:p>
            <w:pPr>
              <w:pStyle w:val="TableParagraph"/>
              <w:spacing w:before="138"/>
              <w:ind w:left="108"/>
              <w:rPr>
                <w:b/>
                <w:sz w:val="21"/>
              </w:rPr>
            </w:pPr>
            <w:r>
              <w:rPr>
                <w:b/>
                <w:sz w:val="21"/>
              </w:rPr>
              <w:t>保险期间</w:t>
            </w:r>
          </w:p>
        </w:tc>
        <w:tc>
          <w:tcPr>
            <w:tcW w:w="7354" w:type="dxa"/>
          </w:tcPr>
          <w:p>
            <w:pPr>
              <w:pStyle w:val="TableParagraph"/>
              <w:spacing w:line="300" w:lineRule="auto" w:before="138"/>
              <w:ind w:right="106"/>
              <w:rPr>
                <w:sz w:val="21"/>
              </w:rPr>
            </w:pPr>
            <w:r>
              <w:rPr>
                <w:spacing w:val="-7"/>
                <w:sz w:val="21"/>
              </w:rPr>
              <w:t>本主险合同的保险期间分为 </w:t>
            </w:r>
            <w:r>
              <w:rPr>
                <w:sz w:val="21"/>
              </w:rPr>
              <w:t>10</w:t>
            </w:r>
            <w:r>
              <w:rPr>
                <w:spacing w:val="-18"/>
                <w:sz w:val="21"/>
              </w:rPr>
              <w:t> 年、</w:t>
            </w:r>
            <w:r>
              <w:rPr>
                <w:sz w:val="21"/>
              </w:rPr>
              <w:t>20</w:t>
            </w:r>
            <w:r>
              <w:rPr>
                <w:spacing w:val="-18"/>
                <w:sz w:val="21"/>
              </w:rPr>
              <w:t> 年、</w:t>
            </w:r>
            <w:r>
              <w:rPr>
                <w:sz w:val="21"/>
              </w:rPr>
              <w:t>30</w:t>
            </w:r>
            <w:r>
              <w:rPr>
                <w:spacing w:val="-13"/>
                <w:sz w:val="21"/>
              </w:rPr>
              <w:t> 年期和至被保险人年满 </w:t>
            </w:r>
            <w:r>
              <w:rPr>
                <w:sz w:val="21"/>
              </w:rPr>
              <w:t>60、</w:t>
            </w:r>
            <w:r>
              <w:rPr>
                <w:spacing w:val="-3"/>
                <w:sz w:val="21"/>
              </w:rPr>
              <w:t>70 </w:t>
            </w:r>
            <w:r>
              <w:rPr>
                <w:spacing w:val="-6"/>
                <w:sz w:val="21"/>
              </w:rPr>
              <w:t>周岁的保单年度末 </w:t>
            </w:r>
            <w:r>
              <w:rPr>
                <w:sz w:val="21"/>
              </w:rPr>
              <w:t>5</w:t>
            </w:r>
            <w:r>
              <w:rPr>
                <w:spacing w:val="-8"/>
                <w:sz w:val="21"/>
              </w:rPr>
              <w:t> 种。您在投保时可选择保险期间并在保险单上载明。本主</w:t>
            </w:r>
            <w:r>
              <w:rPr>
                <w:spacing w:val="-3"/>
                <w:sz w:val="21"/>
              </w:rPr>
              <w:t>险合同的保险期间为自保险单上记载的保险合同生效日零时起至您选择的保 险期间期满之日二十四时止。</w:t>
            </w:r>
          </w:p>
        </w:tc>
      </w:tr>
      <w:tr>
        <w:trPr>
          <w:trHeight w:val="479" w:hRule="atLeast"/>
        </w:trPr>
        <w:tc>
          <w:tcPr>
            <w:tcW w:w="640" w:type="dxa"/>
          </w:tcPr>
          <w:p>
            <w:pPr>
              <w:pStyle w:val="TableParagraph"/>
              <w:spacing w:before="141"/>
              <w:ind w:left="87" w:right="192"/>
              <w:jc w:val="center"/>
              <w:rPr>
                <w:b/>
                <w:sz w:val="21"/>
              </w:rPr>
            </w:pPr>
            <w:r>
              <w:rPr>
                <w:b/>
                <w:sz w:val="21"/>
              </w:rPr>
              <w:t>2.5</w:t>
            </w:r>
          </w:p>
        </w:tc>
        <w:tc>
          <w:tcPr>
            <w:tcW w:w="1442" w:type="dxa"/>
          </w:tcPr>
          <w:p>
            <w:pPr>
              <w:pStyle w:val="TableParagraph"/>
              <w:spacing w:before="141"/>
              <w:ind w:left="108"/>
              <w:rPr>
                <w:b/>
                <w:sz w:val="21"/>
              </w:rPr>
            </w:pPr>
            <w:r>
              <w:rPr>
                <w:b/>
                <w:sz w:val="21"/>
              </w:rPr>
              <w:t>保险责任</w:t>
            </w:r>
          </w:p>
        </w:tc>
        <w:tc>
          <w:tcPr>
            <w:tcW w:w="7354" w:type="dxa"/>
          </w:tcPr>
          <w:p>
            <w:pPr>
              <w:pStyle w:val="TableParagraph"/>
              <w:spacing w:before="141"/>
              <w:rPr>
                <w:sz w:val="21"/>
              </w:rPr>
            </w:pPr>
            <w:r>
              <w:rPr>
                <w:sz w:val="21"/>
              </w:rPr>
              <w:t>在本主险合同保险期间内，本公司承担如下保险责任：</w:t>
            </w:r>
          </w:p>
        </w:tc>
      </w:tr>
      <w:tr>
        <w:trPr>
          <w:trHeight w:val="1372" w:hRule="atLeast"/>
        </w:trPr>
        <w:tc>
          <w:tcPr>
            <w:tcW w:w="640" w:type="dxa"/>
          </w:tcPr>
          <w:p>
            <w:pPr>
              <w:pStyle w:val="TableParagraph"/>
              <w:ind w:left="0"/>
              <w:rPr>
                <w:rFonts w:ascii="Times New Roman"/>
                <w:sz w:val="20"/>
              </w:rPr>
            </w:pPr>
          </w:p>
        </w:tc>
        <w:tc>
          <w:tcPr>
            <w:tcW w:w="1442" w:type="dxa"/>
          </w:tcPr>
          <w:p>
            <w:pPr>
              <w:pStyle w:val="TableParagraph"/>
              <w:spacing w:before="5"/>
              <w:ind w:left="108"/>
              <w:rPr>
                <w:rFonts w:ascii="黑体" w:eastAsia="黑体" w:hint="eastAsia"/>
                <w:b/>
                <w:sz w:val="21"/>
              </w:rPr>
            </w:pPr>
            <w:r>
              <w:rPr>
                <w:rFonts w:ascii="黑体" w:eastAsia="黑体" w:hint="eastAsia"/>
                <w:b/>
                <w:sz w:val="21"/>
              </w:rPr>
              <w:t>等待期</w:t>
            </w:r>
          </w:p>
        </w:tc>
        <w:tc>
          <w:tcPr>
            <w:tcW w:w="7354" w:type="dxa"/>
          </w:tcPr>
          <w:p>
            <w:pPr>
              <w:pStyle w:val="TableParagraph"/>
              <w:spacing w:line="288" w:lineRule="auto" w:before="5"/>
              <w:ind w:right="103"/>
              <w:jc w:val="both"/>
              <w:rPr>
                <w:sz w:val="21"/>
              </w:rPr>
            </w:pPr>
            <w:r>
              <w:rPr>
                <w:spacing w:val="-3"/>
                <w:sz w:val="21"/>
              </w:rPr>
              <w:t>被保险人在本主险合同生效（或最后复效</w:t>
            </w:r>
            <w:r>
              <w:rPr>
                <w:sz w:val="21"/>
              </w:rPr>
              <w:t>）</w:t>
            </w:r>
            <w:r>
              <w:rPr>
                <w:spacing w:val="-12"/>
                <w:sz w:val="21"/>
              </w:rPr>
              <w:t>之日起 </w:t>
            </w:r>
            <w:r>
              <w:rPr>
                <w:rFonts w:ascii="Times New Roman" w:eastAsia="Times New Roman"/>
                <w:sz w:val="21"/>
              </w:rPr>
              <w:t>180 </w:t>
            </w:r>
            <w:r>
              <w:rPr>
                <w:spacing w:val="-3"/>
                <w:sz w:val="21"/>
              </w:rPr>
              <w:t>天内初次发生本主险合</w:t>
            </w:r>
            <w:r>
              <w:rPr>
                <w:spacing w:val="-2"/>
                <w:w w:val="100"/>
                <w:sz w:val="21"/>
              </w:rPr>
              <w:t>同所定义的</w:t>
            </w:r>
            <w:r>
              <w:rPr>
                <w:b/>
                <w:spacing w:val="-8"/>
                <w:w w:val="100"/>
                <w:sz w:val="21"/>
              </w:rPr>
              <w:t>重大疾病</w:t>
            </w:r>
            <w:r>
              <w:rPr>
                <w:spacing w:val="-3"/>
                <w:w w:val="100"/>
                <w:sz w:val="21"/>
              </w:rPr>
              <w:t>（</w:t>
            </w:r>
            <w:r>
              <w:rPr>
                <w:spacing w:val="-2"/>
                <w:w w:val="100"/>
                <w:sz w:val="21"/>
              </w:rPr>
              <w:t>见释义</w:t>
            </w:r>
            <w:r>
              <w:rPr>
                <w:spacing w:val="-53"/>
                <w:sz w:val="21"/>
              </w:rPr>
              <w:t> </w:t>
            </w:r>
            <w:r>
              <w:rPr>
                <w:spacing w:val="-3"/>
                <w:w w:val="100"/>
                <w:sz w:val="21"/>
              </w:rPr>
              <w:t>6</w:t>
            </w:r>
            <w:r>
              <w:rPr>
                <w:w w:val="100"/>
                <w:sz w:val="21"/>
              </w:rPr>
              <w:t>.4</w:t>
            </w:r>
            <w:r>
              <w:rPr>
                <w:spacing w:val="-108"/>
                <w:w w:val="100"/>
                <w:sz w:val="21"/>
              </w:rPr>
              <w:t>）</w:t>
            </w:r>
            <w:r>
              <w:rPr>
                <w:spacing w:val="-7"/>
                <w:w w:val="100"/>
                <w:sz w:val="21"/>
              </w:rPr>
              <w:t>，本公司将无息返还您所交的本主险合同的</w:t>
            </w:r>
            <w:r>
              <w:rPr>
                <w:spacing w:val="-8"/>
                <w:sz w:val="21"/>
              </w:rPr>
              <w:t>保险费，本主险合同终止。这 </w:t>
            </w:r>
            <w:r>
              <w:rPr>
                <w:rFonts w:ascii="Times New Roman" w:eastAsia="Times New Roman"/>
                <w:sz w:val="21"/>
              </w:rPr>
              <w:t>180 </w:t>
            </w:r>
            <w:r>
              <w:rPr>
                <w:spacing w:val="-3"/>
                <w:sz w:val="21"/>
              </w:rPr>
              <w:t>天的时间称为等待期。被保险人因意外伤害导致本主险合同定义的重大疾病，无等待期。</w:t>
            </w:r>
          </w:p>
        </w:tc>
      </w:tr>
      <w:tr>
        <w:trPr>
          <w:trHeight w:val="1373" w:hRule="atLeast"/>
        </w:trPr>
        <w:tc>
          <w:tcPr>
            <w:tcW w:w="640" w:type="dxa"/>
          </w:tcPr>
          <w:p>
            <w:pPr>
              <w:pStyle w:val="TableParagraph"/>
              <w:ind w:left="0"/>
              <w:rPr>
                <w:rFonts w:ascii="Times New Roman"/>
                <w:sz w:val="20"/>
              </w:rPr>
            </w:pPr>
          </w:p>
        </w:tc>
        <w:tc>
          <w:tcPr>
            <w:tcW w:w="1442" w:type="dxa"/>
          </w:tcPr>
          <w:p>
            <w:pPr>
              <w:pStyle w:val="TableParagraph"/>
              <w:spacing w:before="5"/>
              <w:ind w:left="108"/>
              <w:rPr>
                <w:rFonts w:ascii="黑体" w:eastAsia="黑体" w:hint="eastAsia"/>
                <w:b/>
                <w:sz w:val="21"/>
              </w:rPr>
            </w:pPr>
            <w:r>
              <w:rPr>
                <w:rFonts w:ascii="黑体" w:eastAsia="黑体" w:hint="eastAsia"/>
                <w:b/>
                <w:sz w:val="21"/>
              </w:rPr>
              <w:t>身故保险金</w:t>
            </w:r>
          </w:p>
        </w:tc>
        <w:tc>
          <w:tcPr>
            <w:tcW w:w="7354" w:type="dxa"/>
          </w:tcPr>
          <w:p>
            <w:pPr>
              <w:pStyle w:val="TableParagraph"/>
              <w:spacing w:line="283" w:lineRule="auto" w:before="5"/>
              <w:ind w:right="103"/>
              <w:rPr>
                <w:sz w:val="21"/>
              </w:rPr>
            </w:pPr>
            <w:r>
              <w:rPr>
                <w:sz w:val="21"/>
              </w:rPr>
              <w:t>被保险人在年满 </w:t>
            </w:r>
            <w:r>
              <w:rPr>
                <w:rFonts w:ascii="Times New Roman" w:eastAsia="Times New Roman"/>
                <w:sz w:val="21"/>
              </w:rPr>
              <w:t>18 </w:t>
            </w:r>
            <w:r>
              <w:rPr>
                <w:sz w:val="21"/>
              </w:rPr>
              <w:t>周岁之前身故的，本公司无息返还您所交保险费，本主险合同终止。</w:t>
            </w:r>
          </w:p>
          <w:p>
            <w:pPr>
              <w:pStyle w:val="TableParagraph"/>
              <w:spacing w:line="283" w:lineRule="auto" w:before="30"/>
              <w:rPr>
                <w:sz w:val="21"/>
              </w:rPr>
            </w:pPr>
            <w:r>
              <w:rPr>
                <w:spacing w:val="-3"/>
                <w:w w:val="100"/>
                <w:sz w:val="21"/>
              </w:rPr>
              <w:t>被保险人在年满</w:t>
            </w:r>
            <w:r>
              <w:rPr>
                <w:spacing w:val="-52"/>
                <w:sz w:val="21"/>
              </w:rPr>
              <w:t> </w:t>
            </w:r>
            <w:r>
              <w:rPr>
                <w:rFonts w:ascii="Times New Roman" w:hAnsi="Times New Roman" w:eastAsia="Times New Roman"/>
                <w:w w:val="100"/>
                <w:sz w:val="21"/>
              </w:rPr>
              <w:t>18</w:t>
            </w:r>
            <w:r>
              <w:rPr>
                <w:rFonts w:ascii="Times New Roman" w:hAnsi="Times New Roman" w:eastAsia="Times New Roman"/>
                <w:spacing w:val="-3"/>
                <w:sz w:val="21"/>
              </w:rPr>
              <w:t> </w:t>
            </w:r>
            <w:r>
              <w:rPr>
                <w:spacing w:val="-16"/>
                <w:w w:val="100"/>
                <w:sz w:val="21"/>
              </w:rPr>
              <w:t>周岁之后身故，本公司按基本保险金额给付“身故保险金”，</w:t>
            </w:r>
            <w:r>
              <w:rPr>
                <w:spacing w:val="-7"/>
                <w:sz w:val="21"/>
              </w:rPr>
              <w:t>本主险合同终止。</w:t>
            </w:r>
          </w:p>
        </w:tc>
      </w:tr>
      <w:tr>
        <w:trPr>
          <w:trHeight w:val="1372" w:hRule="atLeast"/>
        </w:trPr>
        <w:tc>
          <w:tcPr>
            <w:tcW w:w="640" w:type="dxa"/>
          </w:tcPr>
          <w:p>
            <w:pPr>
              <w:pStyle w:val="TableParagraph"/>
              <w:ind w:left="0"/>
              <w:rPr>
                <w:rFonts w:ascii="Times New Roman"/>
                <w:sz w:val="20"/>
              </w:rPr>
            </w:pPr>
          </w:p>
        </w:tc>
        <w:tc>
          <w:tcPr>
            <w:tcW w:w="1442" w:type="dxa"/>
          </w:tcPr>
          <w:p>
            <w:pPr>
              <w:pStyle w:val="TableParagraph"/>
              <w:spacing w:line="300" w:lineRule="auto" w:before="5"/>
              <w:ind w:left="108" w:right="105"/>
              <w:rPr>
                <w:rFonts w:ascii="黑体" w:eastAsia="黑体" w:hint="eastAsia"/>
                <w:b/>
                <w:sz w:val="21"/>
              </w:rPr>
            </w:pPr>
            <w:r>
              <w:rPr>
                <w:rFonts w:ascii="黑体" w:eastAsia="黑体" w:hint="eastAsia"/>
                <w:b/>
                <w:spacing w:val="-32"/>
                <w:sz w:val="21"/>
              </w:rPr>
              <w:t>少 儿 重 大 疾病保险金</w:t>
            </w:r>
          </w:p>
        </w:tc>
        <w:tc>
          <w:tcPr>
            <w:tcW w:w="7354" w:type="dxa"/>
          </w:tcPr>
          <w:p>
            <w:pPr>
              <w:pStyle w:val="TableParagraph"/>
              <w:spacing w:line="288" w:lineRule="auto" w:before="5"/>
              <w:ind w:right="103"/>
              <w:rPr>
                <w:sz w:val="21"/>
              </w:rPr>
            </w:pPr>
            <w:r>
              <w:rPr>
                <w:spacing w:val="-8"/>
                <w:sz w:val="21"/>
              </w:rPr>
              <w:t>被保险人在年满 </w:t>
            </w:r>
            <w:r>
              <w:rPr>
                <w:rFonts w:ascii="Times New Roman" w:hAnsi="Times New Roman" w:eastAsia="Times New Roman"/>
                <w:sz w:val="21"/>
              </w:rPr>
              <w:t>18 </w:t>
            </w:r>
            <w:r>
              <w:rPr>
                <w:spacing w:val="-3"/>
                <w:sz w:val="21"/>
              </w:rPr>
              <w:t>周岁之前，经</w:t>
            </w:r>
            <w:r>
              <w:rPr>
                <w:b/>
                <w:sz w:val="21"/>
              </w:rPr>
              <w:t>医院</w:t>
            </w:r>
            <w:r>
              <w:rPr>
                <w:spacing w:val="-3"/>
                <w:sz w:val="21"/>
              </w:rPr>
              <w:t>（</w:t>
            </w:r>
            <w:r>
              <w:rPr>
                <w:spacing w:val="-12"/>
                <w:sz w:val="21"/>
              </w:rPr>
              <w:t>见释义 </w:t>
            </w:r>
            <w:r>
              <w:rPr>
                <w:rFonts w:ascii="Times New Roman" w:hAnsi="Times New Roman" w:eastAsia="Times New Roman"/>
                <w:spacing w:val="-3"/>
                <w:sz w:val="21"/>
              </w:rPr>
              <w:t>6.5</w:t>
            </w:r>
            <w:r>
              <w:rPr>
                <w:spacing w:val="-3"/>
                <w:sz w:val="21"/>
              </w:rPr>
              <w:t>）初次确诊因意外伤害或于等待期后经医院初次确诊非因意外伤害导致罹患本主险合同所定义的</w:t>
            </w:r>
            <w:r>
              <w:rPr>
                <w:b/>
                <w:sz w:val="21"/>
              </w:rPr>
              <w:t>少儿重 </w:t>
            </w:r>
            <w:r>
              <w:rPr>
                <w:b/>
                <w:spacing w:val="-23"/>
                <w:sz w:val="21"/>
              </w:rPr>
              <w:t>大疾病</w:t>
            </w:r>
            <w:r>
              <w:rPr>
                <w:sz w:val="21"/>
              </w:rPr>
              <w:t>（</w:t>
            </w:r>
            <w:r>
              <w:rPr>
                <w:spacing w:val="-8"/>
                <w:sz w:val="21"/>
              </w:rPr>
              <w:t>见释义 </w:t>
            </w:r>
            <w:r>
              <w:rPr>
                <w:rFonts w:ascii="Times New Roman" w:hAnsi="Times New Roman" w:eastAsia="Times New Roman"/>
                <w:spacing w:val="-12"/>
                <w:sz w:val="21"/>
              </w:rPr>
              <w:t>6.4.1</w:t>
            </w:r>
            <w:r>
              <w:rPr>
                <w:spacing w:val="-12"/>
                <w:sz w:val="21"/>
              </w:rPr>
              <w:t>）</w:t>
            </w:r>
            <w:r>
              <w:rPr>
                <w:spacing w:val="-13"/>
                <w:sz w:val="21"/>
              </w:rPr>
              <w:t>中任何一种重大疾病的，本公司按基本保险金额给付“少</w:t>
            </w:r>
            <w:r>
              <w:rPr>
                <w:spacing w:val="-13"/>
                <w:w w:val="100"/>
                <w:sz w:val="21"/>
              </w:rPr>
              <w:t>儿重大疾病保险金”，本主险合同终止。</w:t>
            </w:r>
          </w:p>
        </w:tc>
      </w:tr>
      <w:tr>
        <w:trPr>
          <w:trHeight w:val="1515" w:hRule="atLeast"/>
        </w:trPr>
        <w:tc>
          <w:tcPr>
            <w:tcW w:w="640" w:type="dxa"/>
          </w:tcPr>
          <w:p>
            <w:pPr>
              <w:pStyle w:val="TableParagraph"/>
              <w:ind w:left="0"/>
              <w:rPr>
                <w:rFonts w:ascii="Times New Roman"/>
                <w:sz w:val="20"/>
              </w:rPr>
            </w:pPr>
          </w:p>
        </w:tc>
        <w:tc>
          <w:tcPr>
            <w:tcW w:w="1442" w:type="dxa"/>
          </w:tcPr>
          <w:p>
            <w:pPr>
              <w:pStyle w:val="TableParagraph"/>
              <w:spacing w:line="300" w:lineRule="auto" w:before="5"/>
              <w:ind w:left="108" w:right="275"/>
              <w:rPr>
                <w:rFonts w:ascii="黑体" w:eastAsia="黑体" w:hint="eastAsia"/>
                <w:b/>
                <w:sz w:val="21"/>
              </w:rPr>
            </w:pPr>
            <w:r>
              <w:rPr>
                <w:rFonts w:ascii="黑体" w:eastAsia="黑体" w:hint="eastAsia"/>
                <w:b/>
                <w:sz w:val="21"/>
              </w:rPr>
              <w:t>成人重大疾病保险金</w:t>
            </w:r>
          </w:p>
        </w:tc>
        <w:tc>
          <w:tcPr>
            <w:tcW w:w="7354" w:type="dxa"/>
          </w:tcPr>
          <w:p>
            <w:pPr>
              <w:pStyle w:val="TableParagraph"/>
              <w:spacing w:line="283" w:lineRule="auto" w:before="5"/>
              <w:ind w:right="94"/>
              <w:rPr>
                <w:sz w:val="21"/>
              </w:rPr>
            </w:pPr>
            <w:r>
              <w:rPr>
                <w:sz w:val="21"/>
              </w:rPr>
              <w:t>被保险人在年满 </w:t>
            </w:r>
            <w:r>
              <w:rPr>
                <w:rFonts w:ascii="Times New Roman" w:eastAsia="Times New Roman"/>
                <w:sz w:val="21"/>
              </w:rPr>
              <w:t>18 </w:t>
            </w:r>
            <w:r>
              <w:rPr>
                <w:sz w:val="21"/>
              </w:rPr>
              <w:t>周岁之后，经医院初次确诊因意外伤害或于等待期后经医院初次确诊非因意外伤害导致罹患本主险合同所定义的</w:t>
            </w:r>
            <w:r>
              <w:rPr>
                <w:b/>
                <w:sz w:val="21"/>
              </w:rPr>
              <w:t>成人重大疾病</w:t>
            </w:r>
            <w:r>
              <w:rPr>
                <w:sz w:val="21"/>
              </w:rPr>
              <w:t>（见释义</w:t>
            </w:r>
          </w:p>
          <w:p>
            <w:pPr>
              <w:pStyle w:val="TableParagraph"/>
              <w:spacing w:line="283" w:lineRule="auto" w:before="30"/>
              <w:ind w:right="105"/>
              <w:rPr>
                <w:sz w:val="21"/>
              </w:rPr>
            </w:pPr>
            <w:r>
              <w:rPr>
                <w:rFonts w:ascii="Times New Roman" w:hAnsi="Times New Roman" w:eastAsia="Times New Roman"/>
                <w:sz w:val="21"/>
              </w:rPr>
              <w:t>6.4.2</w:t>
            </w:r>
            <w:r>
              <w:rPr>
                <w:sz w:val="21"/>
              </w:rPr>
              <w:t>）中任何一种重大疾病的，本公司按基本保险金额给付“成人重大疾病保</w:t>
            </w:r>
            <w:r>
              <w:rPr>
                <w:w w:val="100"/>
                <w:sz w:val="21"/>
              </w:rPr>
              <w:t>险金”，本主险合同终止。</w:t>
            </w:r>
          </w:p>
        </w:tc>
      </w:tr>
      <w:tr>
        <w:trPr>
          <w:trHeight w:val="759" w:hRule="atLeast"/>
        </w:trPr>
        <w:tc>
          <w:tcPr>
            <w:tcW w:w="640" w:type="dxa"/>
          </w:tcPr>
          <w:p>
            <w:pPr>
              <w:pStyle w:val="TableParagraph"/>
              <w:spacing w:before="141"/>
              <w:ind w:left="87" w:right="192"/>
              <w:jc w:val="center"/>
              <w:rPr>
                <w:b/>
                <w:sz w:val="21"/>
              </w:rPr>
            </w:pPr>
            <w:r>
              <w:rPr>
                <w:b/>
                <w:sz w:val="21"/>
              </w:rPr>
              <w:t>2.6</w:t>
            </w:r>
          </w:p>
        </w:tc>
        <w:tc>
          <w:tcPr>
            <w:tcW w:w="1442" w:type="dxa"/>
          </w:tcPr>
          <w:p>
            <w:pPr>
              <w:pStyle w:val="TableParagraph"/>
              <w:spacing w:line="340" w:lineRule="atLeast" w:before="76"/>
              <w:ind w:left="108" w:right="275"/>
              <w:rPr>
                <w:rFonts w:ascii="黑体" w:eastAsia="黑体" w:hint="eastAsia"/>
                <w:b/>
                <w:sz w:val="21"/>
              </w:rPr>
            </w:pPr>
            <w:r>
              <w:rPr>
                <w:rFonts w:ascii="黑体" w:eastAsia="黑体" w:hint="eastAsia"/>
                <w:b/>
                <w:sz w:val="21"/>
              </w:rPr>
              <w:t>保险责任的免除</w:t>
            </w:r>
          </w:p>
        </w:tc>
        <w:tc>
          <w:tcPr>
            <w:tcW w:w="7354" w:type="dxa"/>
          </w:tcPr>
          <w:p>
            <w:pPr>
              <w:pStyle w:val="TableParagraph"/>
              <w:spacing w:line="340" w:lineRule="atLeast" w:before="76"/>
              <w:ind w:right="103"/>
              <w:rPr>
                <w:rFonts w:ascii="黑体" w:eastAsia="黑体" w:hint="eastAsia"/>
                <w:sz w:val="21"/>
              </w:rPr>
            </w:pPr>
            <w:r>
              <w:rPr>
                <w:rFonts w:ascii="黑体" w:eastAsia="黑体" w:hint="eastAsia"/>
                <w:sz w:val="21"/>
              </w:rPr>
              <w:t>因下列情形之一，导致被保险人发Th本主险合同所定义的重大疾病的，本公司不承担给付重大疾病保险金的责任：</w:t>
            </w:r>
          </w:p>
        </w:tc>
      </w:tr>
    </w:tbl>
    <w:p>
      <w:pPr>
        <w:spacing w:after="0" w:line="340" w:lineRule="atLeast"/>
        <w:rPr>
          <w:rFonts w:ascii="黑体" w:eastAsia="黑体" w:hint="eastAsia"/>
          <w:sz w:val="21"/>
        </w:rPr>
        <w:sectPr>
          <w:pgSz w:w="11910" w:h="16840"/>
          <w:pgMar w:top="1180" w:bottom="280" w:left="1100" w:right="11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8831"/>
      </w:tblGrid>
      <w:tr>
        <w:trPr>
          <w:trHeight w:val="7111" w:hRule="atLeast"/>
        </w:trPr>
        <w:tc>
          <w:tcPr>
            <w:tcW w:w="607" w:type="dxa"/>
          </w:tcPr>
          <w:p>
            <w:pPr>
              <w:pStyle w:val="TableParagraph"/>
              <w:ind w:left="0"/>
              <w:rPr>
                <w:rFonts w:ascii="Times New Roman"/>
                <w:sz w:val="20"/>
              </w:rPr>
            </w:pPr>
          </w:p>
        </w:tc>
        <w:tc>
          <w:tcPr>
            <w:tcW w:w="8831" w:type="dxa"/>
          </w:tcPr>
          <w:p>
            <w:pPr>
              <w:pStyle w:val="TableParagraph"/>
              <w:numPr>
                <w:ilvl w:val="0"/>
                <w:numId w:val="6"/>
              </w:numPr>
              <w:tabs>
                <w:tab w:pos="2303" w:val="left" w:leader="none"/>
              </w:tabs>
              <w:spacing w:line="211" w:lineRule="exact" w:before="0" w:after="0"/>
              <w:ind w:left="2302"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2303" w:val="left" w:leader="none"/>
              </w:tabs>
              <w:spacing w:line="240" w:lineRule="auto" w:before="68" w:after="0"/>
              <w:ind w:left="2302" w:right="0" w:hanging="7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2303" w:val="left" w:leader="none"/>
              </w:tabs>
              <w:spacing w:line="240" w:lineRule="auto" w:before="67" w:after="0"/>
              <w:ind w:left="2302" w:right="0" w:hanging="721"/>
              <w:jc w:val="left"/>
              <w:rPr>
                <w:rFonts w:ascii="黑体" w:eastAsia="黑体" w:hint="eastAsia"/>
                <w:sz w:val="21"/>
              </w:rPr>
            </w:pPr>
            <w:r>
              <w:rPr>
                <w:rFonts w:ascii="黑体" w:eastAsia="黑体" w:hint="eastAsia"/>
                <w:spacing w:val="-3"/>
                <w:w w:val="100"/>
                <w:sz w:val="21"/>
              </w:rPr>
              <w:t>被保险人故意主动吸食或注射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6.6</w:t>
            </w:r>
            <w:r>
              <w:rPr>
                <w:rFonts w:ascii="黑体" w:eastAsia="黑体" w:hint="eastAsia"/>
                <w:spacing w:val="-108"/>
                <w:w w:val="100"/>
                <w:sz w:val="21"/>
              </w:rPr>
              <w:t>）；</w:t>
            </w:r>
          </w:p>
          <w:p>
            <w:pPr>
              <w:pStyle w:val="TableParagraph"/>
              <w:numPr>
                <w:ilvl w:val="0"/>
                <w:numId w:val="6"/>
              </w:numPr>
              <w:tabs>
                <w:tab w:pos="2303" w:val="left" w:leader="none"/>
              </w:tabs>
              <w:spacing w:line="300" w:lineRule="auto" w:before="67" w:after="0"/>
              <w:ind w:left="2302" w:right="14" w:hanging="721"/>
              <w:jc w:val="left"/>
              <w:rPr>
                <w:rFonts w:ascii="黑体" w:eastAsia="黑体" w:hint="eastAsia"/>
                <w:sz w:val="21"/>
              </w:rPr>
            </w:pPr>
            <w:r>
              <w:rPr>
                <w:rFonts w:ascii="黑体" w:eastAsia="黑体" w:hint="eastAsia"/>
                <w:spacing w:val="-5"/>
                <w:sz w:val="21"/>
              </w:rPr>
              <w:t>被保险人自本主险合同成立或合同效力恢复之日起 </w:t>
            </w:r>
            <w:r>
              <w:rPr>
                <w:rFonts w:ascii="黑体" w:eastAsia="黑体" w:hint="eastAsia"/>
                <w:sz w:val="21"/>
              </w:rPr>
              <w:t>2</w:t>
            </w:r>
            <w:r>
              <w:rPr>
                <w:rFonts w:ascii="黑体" w:eastAsia="黑体" w:hint="eastAsia"/>
                <w:spacing w:val="-8"/>
                <w:sz w:val="21"/>
              </w:rPr>
              <w:t> 年内自杀或自伤， </w:t>
            </w:r>
            <w:r>
              <w:rPr>
                <w:rFonts w:ascii="黑体" w:eastAsia="黑体" w:hint="eastAsia"/>
                <w:spacing w:val="-5"/>
                <w:sz w:val="21"/>
              </w:rPr>
              <w:t>但被保险人自杀或自伤时为无民事行为能力人的除外；</w:t>
            </w:r>
          </w:p>
          <w:p>
            <w:pPr>
              <w:pStyle w:val="TableParagraph"/>
              <w:numPr>
                <w:ilvl w:val="0"/>
                <w:numId w:val="6"/>
              </w:numPr>
              <w:tabs>
                <w:tab w:pos="2303" w:val="left" w:leader="none"/>
              </w:tabs>
              <w:spacing w:line="300" w:lineRule="auto" w:before="15" w:after="0"/>
              <w:ind w:left="2302" w:right="-15"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8"/>
                <w:w w:val="100"/>
                <w:sz w:val="21"/>
              </w:rPr>
              <w:t>酒后驾驶</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3"/>
                <w:w w:val="100"/>
                <w:sz w:val="21"/>
              </w:rPr>
              <w:t>7</w:t>
            </w:r>
            <w:r>
              <w:rPr>
                <w:rFonts w:ascii="黑体" w:eastAsia="黑体" w:hint="eastAsia"/>
                <w:spacing w:val="-106"/>
                <w:w w:val="100"/>
                <w:sz w:val="21"/>
              </w:rPr>
              <w:t>）</w:t>
            </w:r>
            <w:r>
              <w:rPr>
                <w:rFonts w:ascii="黑体" w:eastAsia="黑体" w:hint="eastAsia"/>
                <w:spacing w:val="-72"/>
                <w:w w:val="100"/>
                <w:sz w:val="21"/>
              </w:rPr>
              <w:t>，</w:t>
            </w:r>
            <w:r>
              <w:rPr>
                <w:rFonts w:ascii="黑体" w:eastAsia="黑体" w:hint="eastAsia"/>
                <w:b/>
                <w:spacing w:val="-8"/>
                <w:w w:val="100"/>
                <w:sz w:val="21"/>
              </w:rPr>
              <w:t>无合法有效驾驶证驾驶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6.8）</w:t>
            </w:r>
            <w:r>
              <w:rPr>
                <w:rFonts w:ascii="黑体" w:eastAsia="黑体" w:hint="eastAsia"/>
                <w:spacing w:val="-1"/>
                <w:sz w:val="21"/>
              </w:rPr>
              <w:t>或驾驶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12"/>
                <w:sz w:val="21"/>
              </w:rPr>
              <w:t>见释义 </w:t>
            </w:r>
            <w:r>
              <w:rPr>
                <w:rFonts w:ascii="黑体" w:eastAsia="黑体" w:hint="eastAsia"/>
                <w:sz w:val="21"/>
              </w:rPr>
              <w:t>6.9）</w:t>
            </w:r>
            <w:r>
              <w:rPr>
                <w:rFonts w:ascii="黑体" w:eastAsia="黑体" w:hint="eastAsia"/>
                <w:spacing w:val="-3"/>
                <w:sz w:val="21"/>
              </w:rPr>
              <w:t>的机动车；</w:t>
            </w:r>
          </w:p>
          <w:p>
            <w:pPr>
              <w:pStyle w:val="TableParagraph"/>
              <w:numPr>
                <w:ilvl w:val="0"/>
                <w:numId w:val="6"/>
              </w:numPr>
              <w:tabs>
                <w:tab w:pos="2303" w:val="left" w:leader="none"/>
              </w:tabs>
              <w:spacing w:line="240" w:lineRule="auto" w:before="15" w:after="0"/>
              <w:ind w:left="2302"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2303" w:val="left" w:leader="none"/>
              </w:tabs>
              <w:spacing w:line="240" w:lineRule="auto" w:before="67" w:after="0"/>
              <w:ind w:left="2302"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2303" w:val="left" w:leader="none"/>
              </w:tabs>
              <w:spacing w:line="300" w:lineRule="auto" w:before="67" w:after="0"/>
              <w:ind w:left="2302" w:right="105" w:hanging="721"/>
              <w:jc w:val="left"/>
              <w:rPr>
                <w:rFonts w:ascii="黑体" w:eastAsia="黑体" w:hint="eastAsia"/>
                <w:sz w:val="21"/>
              </w:rPr>
            </w:pPr>
            <w:r>
              <w:rPr>
                <w:rFonts w:ascii="黑体" w:eastAsia="黑体" w:hint="eastAsia"/>
                <w:b/>
                <w:spacing w:val="-3"/>
                <w:w w:val="100"/>
                <w:sz w:val="21"/>
              </w:rPr>
              <w:t>遗传性疾病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spacing w:val="-2"/>
                <w:w w:val="100"/>
                <w:sz w:val="21"/>
              </w:rPr>
              <w:t>0</w:t>
            </w:r>
            <w:r>
              <w:rPr>
                <w:rFonts w:ascii="黑体" w:eastAsia="黑体" w:hint="eastAsia"/>
                <w:spacing w:val="-106"/>
                <w:w w:val="100"/>
                <w:sz w:val="21"/>
              </w:rPr>
              <w:t>）</w:t>
            </w:r>
            <w:r>
              <w:rPr>
                <w:rFonts w:ascii="黑体" w:eastAsia="黑体" w:hint="eastAsia"/>
                <w:spacing w:val="-17"/>
                <w:w w:val="100"/>
                <w:sz w:val="21"/>
              </w:rPr>
              <w:t>，</w:t>
            </w:r>
            <w:r>
              <w:rPr>
                <w:rFonts w:ascii="黑体" w:eastAsia="黑体" w:hint="eastAsia"/>
                <w:b/>
                <w:spacing w:val="-4"/>
                <w:w w:val="100"/>
                <w:sz w:val="21"/>
              </w:rPr>
              <w:t>先天性畸形、变形或染色体异常</w:t>
            </w:r>
            <w:r>
              <w:rPr>
                <w:rFonts w:ascii="黑体" w:eastAsia="黑体" w:hint="eastAsia"/>
                <w:w w:val="100"/>
                <w:sz w:val="21"/>
              </w:rPr>
              <w:t>（</w:t>
            </w:r>
            <w:r>
              <w:rPr>
                <w:rFonts w:ascii="黑体" w:eastAsia="黑体" w:hint="eastAsia"/>
                <w:spacing w:val="-2"/>
                <w:w w:val="100"/>
                <w:sz w:val="21"/>
              </w:rPr>
              <w:t>见释义 6.11</w:t>
            </w:r>
            <w:r>
              <w:rPr>
                <w:rFonts w:ascii="黑体" w:eastAsia="黑体" w:hint="eastAsia"/>
                <w:spacing w:val="-108"/>
                <w:w w:val="100"/>
                <w:sz w:val="21"/>
              </w:rPr>
              <w:t>）；</w:t>
            </w:r>
          </w:p>
          <w:p>
            <w:pPr>
              <w:pStyle w:val="TableParagraph"/>
              <w:numPr>
                <w:ilvl w:val="0"/>
                <w:numId w:val="6"/>
              </w:numPr>
              <w:tabs>
                <w:tab w:pos="2303" w:val="left" w:leader="none"/>
              </w:tabs>
              <w:spacing w:line="240" w:lineRule="auto" w:before="15" w:after="0"/>
              <w:ind w:left="2302" w:right="0" w:hanging="721"/>
              <w:jc w:val="left"/>
              <w:rPr>
                <w:rFonts w:ascii="黑体" w:eastAsia="黑体" w:hint="eastAsia"/>
                <w:sz w:val="21"/>
              </w:rPr>
            </w:pPr>
            <w:r>
              <w:rPr>
                <w:rFonts w:ascii="黑体" w:eastAsia="黑体" w:hint="eastAsia"/>
                <w:spacing w:val="-2"/>
                <w:w w:val="100"/>
                <w:sz w:val="21"/>
              </w:rPr>
              <w:t>感染</w:t>
            </w:r>
            <w:r>
              <w:rPr>
                <w:rFonts w:ascii="黑体" w:eastAsia="黑体" w:hint="eastAsia"/>
                <w:b/>
                <w:spacing w:val="-1"/>
                <w:w w:val="100"/>
                <w:sz w:val="21"/>
              </w:rPr>
              <w:t>艾滋病病毒或患艾滋病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.12</w:t>
            </w:r>
            <w:r>
              <w:rPr>
                <w:rFonts w:ascii="黑体" w:eastAsia="黑体" w:hint="eastAsia"/>
                <w:spacing w:val="-108"/>
                <w:w w:val="100"/>
                <w:sz w:val="21"/>
              </w:rPr>
              <w:t>）。</w:t>
            </w:r>
          </w:p>
          <w:p>
            <w:pPr>
              <w:pStyle w:val="TableParagraph"/>
              <w:spacing w:line="300" w:lineRule="auto" w:before="67"/>
              <w:ind w:left="1581" w:right="105"/>
              <w:rPr>
                <w:rFonts w:ascii="黑体" w:eastAsia="黑体" w:hint="eastAsia"/>
                <w:sz w:val="21"/>
              </w:rPr>
            </w:pPr>
            <w:r>
              <w:rPr>
                <w:rFonts w:ascii="黑体" w:eastAsia="黑体" w:hint="eastAsia"/>
                <w:sz w:val="21"/>
              </w:rPr>
              <w:t>发Th</w:t>
            </w:r>
            <w:r>
              <w:rPr>
                <w:rFonts w:ascii="黑体" w:eastAsia="黑体" w:hint="eastAsia"/>
                <w:spacing w:val="-3"/>
                <w:sz w:val="21"/>
              </w:rPr>
              <w:t>上述第</w:t>
            </w:r>
            <w:r>
              <w:rPr>
                <w:rFonts w:ascii="黑体" w:eastAsia="黑体" w:hint="eastAsia"/>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本主险合同所定义的重大疾病的， </w:t>
            </w:r>
            <w:r>
              <w:rPr>
                <w:rFonts w:ascii="黑体" w:eastAsia="黑体" w:hint="eastAsia"/>
                <w:spacing w:val="-6"/>
                <w:sz w:val="21"/>
              </w:rPr>
              <w:t>本主险合同终止，您已交足 </w:t>
            </w:r>
            <w:r>
              <w:rPr>
                <w:rFonts w:ascii="黑体" w:eastAsia="黑体" w:hint="eastAsia"/>
                <w:sz w:val="21"/>
              </w:rPr>
              <w:t>2</w:t>
            </w:r>
            <w:r>
              <w:rPr>
                <w:rFonts w:ascii="黑体" w:eastAsia="黑体" w:hint="eastAsia"/>
                <w:spacing w:val="-8"/>
                <w:sz w:val="21"/>
              </w:rPr>
              <w:t> 年以上保险费的，本公司向其他权利人退还保险</w:t>
            </w:r>
            <w:r>
              <w:rPr>
                <w:rFonts w:ascii="黑体" w:eastAsia="黑体" w:hint="eastAsia"/>
                <w:spacing w:val="-5"/>
                <w:sz w:val="21"/>
              </w:rPr>
              <w:t>单的现金价值。</w:t>
            </w:r>
          </w:p>
          <w:p>
            <w:pPr>
              <w:pStyle w:val="TableParagraph"/>
              <w:spacing w:line="300" w:lineRule="auto" w:before="15"/>
              <w:ind w:left="1581" w:right="105"/>
              <w:rPr>
                <w:rFonts w:ascii="黑体" w:eastAsia="黑体" w:hint="eastAsia"/>
                <w:sz w:val="21"/>
              </w:rPr>
            </w:pPr>
            <w:r>
              <w:rPr>
                <w:rFonts w:ascii="黑体" w:eastAsia="黑体" w:hint="eastAsia"/>
                <w:sz w:val="21"/>
              </w:rPr>
              <w:t>发Th</w:t>
            </w:r>
            <w:r>
              <w:rPr>
                <w:rFonts w:ascii="黑体" w:eastAsia="黑体" w:hint="eastAsia"/>
                <w:spacing w:val="-3"/>
                <w:sz w:val="21"/>
              </w:rPr>
              <w:t>上述第</w:t>
            </w:r>
            <w:r>
              <w:rPr>
                <w:rFonts w:ascii="黑体" w:eastAsia="黑体" w:hint="eastAsia"/>
                <w:sz w:val="21"/>
              </w:rPr>
              <w:t>（2）</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本主险合同所定义的重大疾病的， </w:t>
            </w:r>
            <w:r>
              <w:rPr>
                <w:rFonts w:ascii="黑体" w:eastAsia="黑体" w:hint="eastAsia"/>
                <w:spacing w:val="-6"/>
                <w:sz w:val="21"/>
              </w:rPr>
              <w:t>本主险合同终止，您已交足 </w:t>
            </w:r>
            <w:r>
              <w:rPr>
                <w:rFonts w:ascii="黑体" w:eastAsia="黑体" w:hint="eastAsia"/>
                <w:sz w:val="21"/>
              </w:rPr>
              <w:t>2</w:t>
            </w:r>
            <w:r>
              <w:rPr>
                <w:rFonts w:ascii="黑体" w:eastAsia="黑体" w:hint="eastAsia"/>
                <w:spacing w:val="-8"/>
                <w:sz w:val="21"/>
              </w:rPr>
              <w:t> 年以上保险费的，本公司向您退还保险单的现金价值。</w:t>
            </w:r>
          </w:p>
          <w:p>
            <w:pPr>
              <w:pStyle w:val="TableParagraph"/>
              <w:spacing w:line="300" w:lineRule="auto" w:before="15"/>
              <w:ind w:left="1581" w:right="105"/>
              <w:rPr>
                <w:rFonts w:ascii="黑体" w:eastAsia="黑体" w:hint="eastAsia"/>
                <w:sz w:val="21"/>
              </w:rPr>
            </w:pPr>
            <w:r>
              <w:rPr>
                <w:rFonts w:ascii="黑体" w:eastAsia="黑体" w:hint="eastAsia"/>
                <w:sz w:val="21"/>
              </w:rPr>
              <w:t>发Th上述其他项情形导致被保险人发Th本主险合同所定义的重大疾病的，本主险合同终止，本公司向您退还保险单的现金价值。</w:t>
            </w:r>
          </w:p>
        </w:tc>
      </w:tr>
      <w:tr>
        <w:trPr>
          <w:trHeight w:val="6114" w:hRule="atLeast"/>
        </w:trPr>
        <w:tc>
          <w:tcPr>
            <w:tcW w:w="607" w:type="dxa"/>
          </w:tcPr>
          <w:p>
            <w:pPr>
              <w:pStyle w:val="TableParagraph"/>
              <w:ind w:left="0"/>
              <w:rPr>
                <w:rFonts w:ascii="Times New Roman"/>
                <w:sz w:val="20"/>
              </w:rPr>
            </w:pPr>
          </w:p>
        </w:tc>
        <w:tc>
          <w:tcPr>
            <w:tcW w:w="8831" w:type="dxa"/>
          </w:tcPr>
          <w:p>
            <w:pPr>
              <w:pStyle w:val="TableParagraph"/>
              <w:ind w:left="0"/>
              <w:rPr>
                <w:b/>
                <w:sz w:val="24"/>
              </w:rPr>
            </w:pPr>
          </w:p>
          <w:p>
            <w:pPr>
              <w:pStyle w:val="TableParagraph"/>
              <w:ind w:left="1581"/>
              <w:rPr>
                <w:rFonts w:ascii="黑体" w:eastAsia="黑体" w:hint="eastAsia"/>
                <w:sz w:val="21"/>
              </w:rPr>
            </w:pPr>
            <w:r>
              <w:rPr>
                <w:rFonts w:ascii="黑体" w:eastAsia="黑体" w:hint="eastAsia"/>
                <w:spacing w:val="-12"/>
                <w:sz w:val="21"/>
              </w:rPr>
              <w:t>因下列情形之一，导致被保险人身故的，本公司不承担给付身故保险金的责任：</w:t>
            </w:r>
          </w:p>
          <w:p>
            <w:pPr>
              <w:pStyle w:val="TableParagraph"/>
              <w:spacing w:before="1"/>
              <w:ind w:left="0"/>
              <w:rPr>
                <w:b/>
                <w:sz w:val="17"/>
              </w:rPr>
            </w:pPr>
          </w:p>
          <w:p>
            <w:pPr>
              <w:pStyle w:val="TableParagraph"/>
              <w:numPr>
                <w:ilvl w:val="0"/>
                <w:numId w:val="7"/>
              </w:numPr>
              <w:tabs>
                <w:tab w:pos="2303" w:val="left" w:leader="none"/>
              </w:tabs>
              <w:spacing w:line="240" w:lineRule="auto" w:before="0" w:after="0"/>
              <w:ind w:left="2302"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7"/>
              </w:numPr>
              <w:tabs>
                <w:tab w:pos="2303" w:val="left" w:leader="none"/>
              </w:tabs>
              <w:spacing w:line="240" w:lineRule="auto" w:before="68" w:after="0"/>
              <w:ind w:left="2302" w:right="0" w:hanging="7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7"/>
              </w:numPr>
              <w:tabs>
                <w:tab w:pos="2303" w:val="left" w:leader="none"/>
              </w:tabs>
              <w:spacing w:line="240" w:lineRule="auto" w:before="68" w:after="0"/>
              <w:ind w:left="2302" w:right="0" w:hanging="721"/>
              <w:jc w:val="left"/>
              <w:rPr>
                <w:rFonts w:ascii="黑体" w:eastAsia="黑体" w:hint="eastAsia"/>
                <w:sz w:val="21"/>
              </w:rPr>
            </w:pPr>
            <w:r>
              <w:rPr>
                <w:rFonts w:ascii="黑体" w:eastAsia="黑体" w:hint="eastAsia"/>
                <w:spacing w:val="-3"/>
                <w:sz w:val="21"/>
              </w:rPr>
              <w:t>被保险人主动吸食或注射毒品；</w:t>
            </w:r>
          </w:p>
          <w:p>
            <w:pPr>
              <w:pStyle w:val="TableParagraph"/>
              <w:numPr>
                <w:ilvl w:val="0"/>
                <w:numId w:val="7"/>
              </w:numPr>
              <w:tabs>
                <w:tab w:pos="2303" w:val="left" w:leader="none"/>
              </w:tabs>
              <w:spacing w:line="300" w:lineRule="auto" w:before="68" w:after="0"/>
              <w:ind w:left="2302" w:right="103" w:hanging="721"/>
              <w:jc w:val="left"/>
              <w:rPr>
                <w:rFonts w:ascii="黑体" w:eastAsia="黑体" w:hint="eastAsia"/>
                <w:sz w:val="21"/>
              </w:rPr>
            </w:pPr>
            <w:r>
              <w:rPr>
                <w:rFonts w:ascii="黑体" w:eastAsia="黑体" w:hint="eastAsia"/>
                <w:spacing w:val="-11"/>
                <w:sz w:val="21"/>
              </w:rPr>
              <w:t>被保险人酒后驾驶，无合法有效驾驶证驾驶或驾驶无有效行驶证的机动车；</w:t>
            </w:r>
          </w:p>
          <w:p>
            <w:pPr>
              <w:pStyle w:val="TableParagraph"/>
              <w:numPr>
                <w:ilvl w:val="0"/>
                <w:numId w:val="7"/>
              </w:numPr>
              <w:tabs>
                <w:tab w:pos="2303" w:val="left" w:leader="none"/>
              </w:tabs>
              <w:spacing w:line="240" w:lineRule="auto" w:before="16" w:after="0"/>
              <w:ind w:left="2302"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7"/>
              </w:numPr>
              <w:tabs>
                <w:tab w:pos="2303" w:val="left" w:leader="none"/>
              </w:tabs>
              <w:spacing w:line="240" w:lineRule="auto" w:before="69" w:after="0"/>
              <w:ind w:left="2302"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7"/>
              </w:numPr>
              <w:tabs>
                <w:tab w:pos="2303" w:val="left" w:leader="none"/>
              </w:tabs>
              <w:spacing w:line="300" w:lineRule="auto" w:before="68" w:after="0"/>
              <w:ind w:left="2302" w:right="103" w:hanging="721"/>
              <w:jc w:val="left"/>
              <w:rPr>
                <w:rFonts w:ascii="黑体" w:eastAsia="黑体" w:hint="eastAsia"/>
                <w:sz w:val="21"/>
              </w:rPr>
            </w:pPr>
            <w:r>
              <w:rPr>
                <w:rFonts w:ascii="黑体" w:eastAsia="黑体" w:hint="eastAsia"/>
                <w:spacing w:val="-3"/>
                <w:sz w:val="21"/>
              </w:rPr>
              <w:t>被保险人自本主险合同成立或者合同效力恢复之日起 </w:t>
            </w:r>
            <w:r>
              <w:rPr>
                <w:rFonts w:ascii="黑体" w:eastAsia="黑体" w:hint="eastAsia"/>
                <w:sz w:val="21"/>
              </w:rPr>
              <w:t>2 年内自杀或自</w:t>
            </w:r>
            <w:r>
              <w:rPr>
                <w:rFonts w:ascii="黑体" w:eastAsia="黑体" w:hint="eastAsia"/>
                <w:spacing w:val="-3"/>
                <w:sz w:val="21"/>
              </w:rPr>
              <w:t>伤，但被保险人自杀或自伤时为无民事行为能力人的除外。</w:t>
            </w:r>
          </w:p>
          <w:p>
            <w:pPr>
              <w:pStyle w:val="TableParagraph"/>
              <w:spacing w:line="300" w:lineRule="auto" w:before="15"/>
              <w:ind w:left="1581" w:right="103"/>
              <w:rPr>
                <w:rFonts w:ascii="黑体" w:eastAsia="黑体" w:hint="eastAsia"/>
                <w:sz w:val="21"/>
              </w:rPr>
            </w:pPr>
            <w:r>
              <w:rPr>
                <w:rFonts w:ascii="黑体" w:eastAsia="黑体" w:hint="eastAsia"/>
                <w:sz w:val="21"/>
              </w:rPr>
              <w:t>发Th上述第（1）项情形导致被保险人身故的，本主险合同终止，您已交足 2 年以上保险费的，本公司向其他权利人退还保险单的现金价值。</w:t>
            </w:r>
          </w:p>
          <w:p>
            <w:pPr>
              <w:pStyle w:val="TableParagraph"/>
              <w:spacing w:line="300" w:lineRule="auto" w:before="15"/>
              <w:ind w:left="1581" w:right="196"/>
              <w:rPr>
                <w:rFonts w:ascii="黑体" w:eastAsia="黑体" w:hint="eastAsia"/>
                <w:sz w:val="21"/>
              </w:rPr>
            </w:pPr>
            <w:r>
              <w:rPr>
                <w:rFonts w:ascii="黑体" w:eastAsia="黑体" w:hint="eastAsia"/>
                <w:sz w:val="21"/>
              </w:rPr>
              <w:t>发Th上述第（2）项情形导致被保险人身故的，本主险合同终止，您已交足 2 年以上保险费的，本公司向您退还保险单的现金价值。</w:t>
            </w:r>
          </w:p>
          <w:p>
            <w:pPr>
              <w:pStyle w:val="TableParagraph"/>
              <w:spacing w:line="300" w:lineRule="auto" w:before="15"/>
              <w:ind w:left="1581" w:right="105"/>
              <w:rPr>
                <w:rFonts w:ascii="黑体" w:eastAsia="黑体" w:hint="eastAsia"/>
                <w:sz w:val="21"/>
              </w:rPr>
            </w:pPr>
            <w:r>
              <w:rPr>
                <w:rFonts w:ascii="黑体" w:eastAsia="黑体" w:hint="eastAsia"/>
                <w:sz w:val="21"/>
              </w:rPr>
              <w:t>发Th上述其他项情形导致被保险人身故的，本主险合同终止，本公司向您退还保险单的现金价值。</w:t>
            </w:r>
          </w:p>
        </w:tc>
      </w:tr>
      <w:tr>
        <w:trPr>
          <w:trHeight w:val="743" w:hRule="atLeast"/>
        </w:trPr>
        <w:tc>
          <w:tcPr>
            <w:tcW w:w="607" w:type="dxa"/>
            <w:tcBorders>
              <w:bottom w:val="single" w:sz="8" w:space="0" w:color="000000"/>
            </w:tcBorders>
          </w:tcPr>
          <w:p>
            <w:pPr>
              <w:pStyle w:val="TableParagraph"/>
              <w:spacing w:before="183"/>
              <w:ind w:left="107"/>
              <w:rPr>
                <w:rFonts w:ascii="Arial" w:hAnsi="Arial"/>
                <w:b/>
                <w:sz w:val="40"/>
              </w:rPr>
            </w:pPr>
            <w:r>
              <w:rPr>
                <w:rFonts w:ascii="Arial" w:hAnsi="Arial"/>
                <w:b/>
                <w:w w:val="119"/>
                <w:sz w:val="40"/>
              </w:rPr>
              <w:t></w:t>
            </w:r>
          </w:p>
        </w:tc>
        <w:tc>
          <w:tcPr>
            <w:tcW w:w="8831" w:type="dxa"/>
            <w:tcBorders>
              <w:bottom w:val="single" w:sz="8" w:space="0" w:color="000000"/>
            </w:tcBorders>
          </w:tcPr>
          <w:p>
            <w:pPr>
              <w:pStyle w:val="TableParagraph"/>
              <w:spacing w:before="12"/>
              <w:ind w:left="0"/>
              <w:rPr>
                <w:b/>
                <w:sz w:val="17"/>
              </w:rPr>
            </w:pPr>
          </w:p>
          <w:p>
            <w:pPr>
              <w:pStyle w:val="TableParagraph"/>
              <w:ind w:left="141"/>
              <w:rPr>
                <w:b/>
                <w:sz w:val="24"/>
              </w:rPr>
            </w:pPr>
            <w:r>
              <w:rPr>
                <w:b/>
                <w:w w:val="95"/>
                <w:sz w:val="24"/>
              </w:rPr>
              <w:t>如何申请领取保险金</w:t>
            </w:r>
          </w:p>
        </w:tc>
      </w:tr>
    </w:tbl>
    <w:p>
      <w:pPr>
        <w:spacing w:after="0"/>
        <w:rPr>
          <w:sz w:val="24"/>
        </w:rPr>
        <w:sectPr>
          <w:pgSz w:w="11910" w:h="16840"/>
          <w:pgMar w:top="1180" w:bottom="280" w:left="1100" w:right="114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410"/>
        <w:gridCol w:w="7639"/>
      </w:tblGrid>
      <w:tr>
        <w:trPr>
          <w:trHeight w:val="620" w:hRule="atLeast"/>
        </w:trPr>
        <w:tc>
          <w:tcPr>
            <w:tcW w:w="679" w:type="dxa"/>
          </w:tcPr>
          <w:p>
            <w:pPr>
              <w:pStyle w:val="TableParagraph"/>
              <w:spacing w:line="211" w:lineRule="exact"/>
              <w:ind w:left="0" w:right="160"/>
              <w:jc w:val="right"/>
              <w:rPr>
                <w:b/>
                <w:sz w:val="21"/>
              </w:rPr>
            </w:pPr>
            <w:r>
              <w:rPr>
                <w:b/>
                <w:sz w:val="21"/>
              </w:rPr>
              <w:t>3.1</w:t>
            </w:r>
          </w:p>
        </w:tc>
        <w:tc>
          <w:tcPr>
            <w:tcW w:w="1410" w:type="dxa"/>
          </w:tcPr>
          <w:p>
            <w:pPr>
              <w:pStyle w:val="TableParagraph"/>
              <w:spacing w:line="211" w:lineRule="exact"/>
              <w:ind w:left="161"/>
              <w:rPr>
                <w:b/>
                <w:sz w:val="21"/>
              </w:rPr>
            </w:pPr>
            <w:r>
              <w:rPr>
                <w:b/>
                <w:sz w:val="21"/>
              </w:rPr>
              <w:t>保险金受益</w:t>
            </w:r>
          </w:p>
          <w:p>
            <w:pPr>
              <w:pStyle w:val="TableParagraph"/>
              <w:spacing w:before="68"/>
              <w:ind w:left="161"/>
              <w:rPr>
                <w:b/>
                <w:sz w:val="21"/>
              </w:rPr>
            </w:pPr>
            <w:r>
              <w:rPr>
                <w:b/>
                <w:w w:val="100"/>
                <w:sz w:val="21"/>
              </w:rPr>
              <w:t>人</w:t>
            </w:r>
          </w:p>
        </w:tc>
        <w:tc>
          <w:tcPr>
            <w:tcW w:w="7639" w:type="dxa"/>
          </w:tcPr>
          <w:p>
            <w:pPr>
              <w:pStyle w:val="TableParagraph"/>
              <w:ind w:left="0"/>
              <w:rPr>
                <w:rFonts w:ascii="Times New Roman"/>
                <w:sz w:val="20"/>
              </w:rPr>
            </w:pPr>
          </w:p>
        </w:tc>
      </w:tr>
      <w:tr>
        <w:trPr>
          <w:trHeight w:val="686" w:hRule="atLeast"/>
        </w:trPr>
        <w:tc>
          <w:tcPr>
            <w:tcW w:w="679" w:type="dxa"/>
          </w:tcPr>
          <w:p>
            <w:pPr>
              <w:pStyle w:val="TableParagraph"/>
              <w:ind w:left="0"/>
              <w:rPr>
                <w:rFonts w:ascii="Times New Roman"/>
                <w:sz w:val="20"/>
              </w:rPr>
            </w:pPr>
          </w:p>
        </w:tc>
        <w:tc>
          <w:tcPr>
            <w:tcW w:w="1410" w:type="dxa"/>
          </w:tcPr>
          <w:p>
            <w:pPr>
              <w:pStyle w:val="TableParagraph"/>
              <w:spacing w:before="2"/>
              <w:ind w:left="161"/>
              <w:rPr>
                <w:b/>
                <w:sz w:val="21"/>
              </w:rPr>
            </w:pPr>
            <w:r>
              <w:rPr>
                <w:b/>
                <w:sz w:val="21"/>
              </w:rPr>
              <w:t>重大疾病保</w:t>
            </w:r>
          </w:p>
          <w:p>
            <w:pPr>
              <w:pStyle w:val="TableParagraph"/>
              <w:spacing w:before="68"/>
              <w:ind w:left="161"/>
              <w:rPr>
                <w:b/>
                <w:sz w:val="21"/>
              </w:rPr>
            </w:pPr>
            <w:r>
              <w:rPr>
                <w:b/>
                <w:sz w:val="21"/>
              </w:rPr>
              <w:t>险金受益人</w:t>
            </w:r>
          </w:p>
        </w:tc>
        <w:tc>
          <w:tcPr>
            <w:tcW w:w="7639" w:type="dxa"/>
          </w:tcPr>
          <w:p>
            <w:pPr>
              <w:pStyle w:val="TableParagraph"/>
              <w:spacing w:before="2"/>
              <w:ind w:left="191"/>
              <w:rPr>
                <w:rFonts w:ascii="黑体" w:eastAsia="黑体" w:hint="eastAsia"/>
                <w:sz w:val="21"/>
              </w:rPr>
            </w:pPr>
            <w:r>
              <w:rPr>
                <w:sz w:val="21"/>
              </w:rPr>
              <w:t>除另有约定外，</w:t>
            </w:r>
            <w:r>
              <w:rPr>
                <w:rFonts w:ascii="黑体" w:eastAsia="黑体" w:hint="eastAsia"/>
                <w:sz w:val="21"/>
              </w:rPr>
              <w:t>本主险合同重大疾病保险金（包括少儿重大疾病保险金、成人</w:t>
            </w:r>
          </w:p>
          <w:p>
            <w:pPr>
              <w:pStyle w:val="TableParagraph"/>
              <w:spacing w:before="68"/>
              <w:ind w:left="191"/>
              <w:rPr>
                <w:sz w:val="21"/>
              </w:rPr>
            </w:pPr>
            <w:r>
              <w:rPr>
                <w:rFonts w:ascii="黑体" w:eastAsia="黑体" w:hint="eastAsia"/>
                <w:sz w:val="21"/>
              </w:rPr>
              <w:t>重大疾病保险金）的受益人均为被保险人</w:t>
            </w:r>
            <w:r>
              <w:rPr>
                <w:sz w:val="21"/>
              </w:rPr>
              <w:t>。</w:t>
            </w:r>
          </w:p>
        </w:tc>
      </w:tr>
      <w:tr>
        <w:trPr>
          <w:trHeight w:val="6310" w:hRule="atLeast"/>
        </w:trPr>
        <w:tc>
          <w:tcPr>
            <w:tcW w:w="679" w:type="dxa"/>
          </w:tcPr>
          <w:p>
            <w:pPr>
              <w:pStyle w:val="TableParagraph"/>
              <w:ind w:left="0"/>
              <w:rPr>
                <w:rFonts w:ascii="Times New Roman"/>
                <w:sz w:val="20"/>
              </w:rPr>
            </w:pPr>
          </w:p>
        </w:tc>
        <w:tc>
          <w:tcPr>
            <w:tcW w:w="1410" w:type="dxa"/>
          </w:tcPr>
          <w:p>
            <w:pPr>
              <w:pStyle w:val="TableParagraph"/>
              <w:spacing w:line="300" w:lineRule="auto" w:before="2"/>
              <w:ind w:left="161" w:right="190"/>
              <w:rPr>
                <w:b/>
                <w:sz w:val="21"/>
              </w:rPr>
            </w:pPr>
            <w:r>
              <w:rPr>
                <w:b/>
                <w:sz w:val="21"/>
              </w:rPr>
              <w:t>身故保险金受益人</w:t>
            </w:r>
          </w:p>
        </w:tc>
        <w:tc>
          <w:tcPr>
            <w:tcW w:w="7639" w:type="dxa"/>
          </w:tcPr>
          <w:p>
            <w:pPr>
              <w:pStyle w:val="TableParagraph"/>
              <w:spacing w:before="2"/>
              <w:ind w:left="191"/>
              <w:rPr>
                <w:sz w:val="21"/>
              </w:rPr>
            </w:pPr>
            <w:r>
              <w:rPr>
                <w:sz w:val="21"/>
              </w:rPr>
              <w:t>您或被保险人可以指定一人或多人为身故保险金受益人。</w:t>
            </w:r>
          </w:p>
          <w:p>
            <w:pPr>
              <w:pStyle w:val="TableParagraph"/>
              <w:spacing w:line="300" w:lineRule="auto" w:before="68"/>
              <w:ind w:left="191" w:right="304"/>
              <w:rPr>
                <w:sz w:val="21"/>
              </w:rPr>
            </w:pPr>
            <w:r>
              <w:rPr>
                <w:sz w:val="21"/>
              </w:rPr>
              <w:t>被保险人为无民事行为能力人或限制民事行为能力人的，可以由其监护人指定受益人。</w:t>
            </w:r>
          </w:p>
          <w:p>
            <w:pPr>
              <w:pStyle w:val="TableParagraph"/>
              <w:spacing w:line="300" w:lineRule="auto" w:before="15"/>
              <w:ind w:left="191" w:right="303"/>
              <w:rPr>
                <w:sz w:val="21"/>
              </w:rPr>
            </w:pPr>
            <w:r>
              <w:rPr>
                <w:sz w:val="21"/>
              </w:rPr>
              <w:t>身故保险金受益人为多人时，可以确定受益顺序和受益份额；如果没有确定份额，各身故保险金受益人按照相等份额享有受益权。</w:t>
            </w:r>
          </w:p>
          <w:p>
            <w:pPr>
              <w:pStyle w:val="TableParagraph"/>
              <w:spacing w:line="300" w:lineRule="auto" w:before="15"/>
              <w:ind w:left="191" w:right="303"/>
              <w:jc w:val="both"/>
              <w:rPr>
                <w:sz w:val="21"/>
              </w:rPr>
            </w:pPr>
            <w:r>
              <w:rPr>
                <w:sz w:val="21"/>
              </w:rPr>
              <w:t>您或被保险人可以变更身故保险金受益人并书面通知本公司。本公司收到变更身故保险金受益人的书面通知后，将及时在保险单或者其他保险凭证上批注或者附贴批单。</w:t>
            </w:r>
          </w:p>
          <w:p>
            <w:pPr>
              <w:pStyle w:val="TableParagraph"/>
              <w:spacing w:before="15"/>
              <w:ind w:left="191"/>
              <w:rPr>
                <w:sz w:val="21"/>
              </w:rPr>
            </w:pPr>
            <w:r>
              <w:rPr>
                <w:sz w:val="21"/>
              </w:rPr>
              <w:t>您在指定和变更身故保险金受益人时，必须经被保险人同意。</w:t>
            </w:r>
          </w:p>
          <w:p>
            <w:pPr>
              <w:pStyle w:val="TableParagraph"/>
              <w:spacing w:line="300" w:lineRule="auto" w:before="67"/>
              <w:ind w:left="191" w:right="267"/>
              <w:rPr>
                <w:sz w:val="21"/>
              </w:rPr>
            </w:pPr>
            <w:r>
              <w:rPr>
                <w:sz w:val="21"/>
              </w:rPr>
              <w:t>被保险人身故后，遇有下列情形之一的，保险金作为被保险人的遗产，由本公司依照《中华人民共和国继承法》的规定履行给付保险金的义务：</w:t>
            </w:r>
          </w:p>
          <w:p>
            <w:pPr>
              <w:pStyle w:val="TableParagraph"/>
              <w:spacing w:before="15"/>
              <w:ind w:left="191"/>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52"/>
              <w:ind w:left="191"/>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52"/>
              <w:ind w:left="191"/>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300" w:lineRule="auto" w:before="52"/>
              <w:ind w:left="191" w:right="303"/>
              <w:rPr>
                <w:sz w:val="21"/>
              </w:rPr>
            </w:pPr>
            <w:r>
              <w:rPr>
                <w:sz w:val="21"/>
              </w:rPr>
              <w:t>受益人与被保险人在同一事件中身故，且不能确定身故先后顺序的，推定受益人身故在先。</w:t>
            </w:r>
          </w:p>
          <w:p>
            <w:pPr>
              <w:pStyle w:val="TableParagraph"/>
              <w:spacing w:line="300" w:lineRule="auto" w:before="16"/>
              <w:ind w:left="191" w:right="198"/>
              <w:rPr>
                <w:sz w:val="21"/>
              </w:rPr>
            </w:pPr>
            <w:r>
              <w:rPr>
                <w:spacing w:val="-10"/>
                <w:sz w:val="21"/>
              </w:rPr>
              <w:t>受益人故意造成被保险人身故、伤残、疾病的，或者故意杀害被保险人未遂的， </w:t>
            </w:r>
            <w:r>
              <w:rPr>
                <w:spacing w:val="-5"/>
                <w:sz w:val="21"/>
              </w:rPr>
              <w:t>该受益人丧失受益权。</w:t>
            </w:r>
          </w:p>
        </w:tc>
      </w:tr>
      <w:tr>
        <w:trPr>
          <w:trHeight w:val="1996" w:hRule="atLeast"/>
        </w:trPr>
        <w:tc>
          <w:tcPr>
            <w:tcW w:w="679" w:type="dxa"/>
          </w:tcPr>
          <w:p>
            <w:pPr>
              <w:pStyle w:val="TableParagraph"/>
              <w:spacing w:before="144"/>
              <w:ind w:left="0" w:right="160"/>
              <w:jc w:val="right"/>
              <w:rPr>
                <w:b/>
                <w:sz w:val="21"/>
              </w:rPr>
            </w:pPr>
            <w:r>
              <w:rPr>
                <w:b/>
                <w:sz w:val="21"/>
              </w:rPr>
              <w:t>3.2</w:t>
            </w:r>
          </w:p>
        </w:tc>
        <w:tc>
          <w:tcPr>
            <w:tcW w:w="1410" w:type="dxa"/>
          </w:tcPr>
          <w:p>
            <w:pPr>
              <w:pStyle w:val="TableParagraph"/>
              <w:spacing w:line="300" w:lineRule="auto" w:before="144"/>
              <w:ind w:left="161" w:right="190"/>
              <w:rPr>
                <w:b/>
                <w:sz w:val="21"/>
              </w:rPr>
            </w:pPr>
            <w:r>
              <w:rPr>
                <w:b/>
                <w:sz w:val="21"/>
              </w:rPr>
              <w:t>保险事故通知</w:t>
            </w:r>
          </w:p>
        </w:tc>
        <w:tc>
          <w:tcPr>
            <w:tcW w:w="7639" w:type="dxa"/>
          </w:tcPr>
          <w:p>
            <w:pPr>
              <w:pStyle w:val="TableParagraph"/>
              <w:spacing w:before="132"/>
              <w:ind w:left="191"/>
              <w:rPr>
                <w:i/>
                <w:sz w:val="22"/>
              </w:rPr>
            </w:pPr>
            <w:r>
              <w:rPr>
                <w:sz w:val="21"/>
              </w:rPr>
              <w:t>您或受益人应当在知道保险事故发生后 10 日内通知本公司</w:t>
            </w:r>
            <w:r>
              <w:rPr>
                <w:i/>
                <w:sz w:val="22"/>
              </w:rPr>
              <w:t>。</w:t>
            </w:r>
          </w:p>
          <w:p>
            <w:pPr>
              <w:pStyle w:val="TableParagraph"/>
              <w:spacing w:line="300" w:lineRule="auto" w:before="66"/>
              <w:ind w:left="191" w:right="198"/>
              <w:rPr>
                <w:sz w:val="21"/>
              </w:rPr>
            </w:pPr>
            <w:r>
              <w:rPr>
                <w:rFonts w:ascii="黑体" w:eastAsia="黑体" w:hint="eastAsia"/>
                <w:spacing w:val="-8"/>
                <w:sz w:val="21"/>
              </w:rPr>
              <w:t>如果您或受益人故意或者因重大过失未及时通知，致使保险事故的性质、原因、</w:t>
            </w:r>
            <w:r>
              <w:rPr>
                <w:rFonts w:ascii="黑体" w:eastAsia="黑体" w:hint="eastAsia"/>
                <w:spacing w:val="-12"/>
                <w:sz w:val="21"/>
              </w:rPr>
              <w:t>损失程度等难以确定的，本公司对无法确定的部分，不承担给付保险金的责任</w:t>
            </w:r>
            <w:r>
              <w:rPr>
                <w:sz w:val="21"/>
              </w:rPr>
              <w:t>， </w:t>
            </w:r>
            <w:r>
              <w:rPr>
                <w:spacing w:val="-3"/>
                <w:sz w:val="21"/>
              </w:rPr>
              <w:t>但本公司通过其他途径已经及时知道或者应当及时知道保险事故发生或者虽  未及时通知但不影响本公司确定保险事故的性质、原因、损失程度的除外。</w:t>
            </w:r>
          </w:p>
        </w:tc>
      </w:tr>
      <w:tr>
        <w:trPr>
          <w:trHeight w:val="482" w:hRule="atLeast"/>
        </w:trPr>
        <w:tc>
          <w:tcPr>
            <w:tcW w:w="679" w:type="dxa"/>
          </w:tcPr>
          <w:p>
            <w:pPr>
              <w:pStyle w:val="TableParagraph"/>
              <w:spacing w:before="141"/>
              <w:ind w:left="0" w:right="160"/>
              <w:jc w:val="right"/>
              <w:rPr>
                <w:b/>
                <w:sz w:val="21"/>
              </w:rPr>
            </w:pPr>
            <w:r>
              <w:rPr>
                <w:b/>
                <w:sz w:val="21"/>
              </w:rPr>
              <w:t>3.3</w:t>
            </w:r>
          </w:p>
        </w:tc>
        <w:tc>
          <w:tcPr>
            <w:tcW w:w="1410" w:type="dxa"/>
          </w:tcPr>
          <w:p>
            <w:pPr>
              <w:pStyle w:val="TableParagraph"/>
              <w:spacing w:before="141"/>
              <w:ind w:left="143" w:right="171"/>
              <w:jc w:val="center"/>
              <w:rPr>
                <w:b/>
                <w:sz w:val="21"/>
              </w:rPr>
            </w:pPr>
            <w:r>
              <w:rPr>
                <w:b/>
                <w:sz w:val="21"/>
              </w:rPr>
              <w:t>保险金申请</w:t>
            </w:r>
          </w:p>
        </w:tc>
        <w:tc>
          <w:tcPr>
            <w:tcW w:w="7639" w:type="dxa"/>
          </w:tcPr>
          <w:p>
            <w:pPr>
              <w:pStyle w:val="TableParagraph"/>
              <w:spacing w:before="141"/>
              <w:ind w:left="191"/>
              <w:rPr>
                <w:sz w:val="21"/>
              </w:rPr>
            </w:pPr>
            <w:r>
              <w:rPr>
                <w:sz w:val="21"/>
              </w:rPr>
              <w:t>在申请保险金时，请按照下列方式办理：</w:t>
            </w:r>
          </w:p>
        </w:tc>
      </w:tr>
      <w:tr>
        <w:trPr>
          <w:trHeight w:val="3432" w:hRule="atLeast"/>
        </w:trPr>
        <w:tc>
          <w:tcPr>
            <w:tcW w:w="679" w:type="dxa"/>
          </w:tcPr>
          <w:p>
            <w:pPr>
              <w:pStyle w:val="TableParagraph"/>
              <w:ind w:left="0"/>
              <w:rPr>
                <w:rFonts w:ascii="Times New Roman"/>
                <w:sz w:val="20"/>
              </w:rPr>
            </w:pPr>
          </w:p>
        </w:tc>
        <w:tc>
          <w:tcPr>
            <w:tcW w:w="1410" w:type="dxa"/>
          </w:tcPr>
          <w:p>
            <w:pPr>
              <w:pStyle w:val="TableParagraph"/>
              <w:spacing w:line="300" w:lineRule="auto" w:before="2"/>
              <w:ind w:left="161" w:right="190"/>
              <w:rPr>
                <w:rFonts w:ascii="黑体" w:eastAsia="黑体" w:hint="eastAsia"/>
                <w:b/>
                <w:sz w:val="21"/>
              </w:rPr>
            </w:pPr>
            <w:r>
              <w:rPr>
                <w:rFonts w:ascii="黑体" w:eastAsia="黑体" w:hint="eastAsia"/>
                <w:b/>
                <w:sz w:val="21"/>
              </w:rPr>
              <w:t>重大疾病保险金申请</w:t>
            </w:r>
          </w:p>
        </w:tc>
        <w:tc>
          <w:tcPr>
            <w:tcW w:w="7639" w:type="dxa"/>
          </w:tcPr>
          <w:p>
            <w:pPr>
              <w:pStyle w:val="TableParagraph"/>
              <w:spacing w:before="2"/>
              <w:ind w:left="191"/>
              <w:rPr>
                <w:sz w:val="21"/>
              </w:rPr>
            </w:pPr>
            <w:r>
              <w:rPr>
                <w:sz w:val="21"/>
              </w:rPr>
              <w:t>申请人须填写保险金给付申请书，并须提供下列证明和资料：</w:t>
            </w:r>
          </w:p>
          <w:p>
            <w:pPr>
              <w:pStyle w:val="TableParagraph"/>
              <w:spacing w:before="68"/>
              <w:ind w:left="194"/>
              <w:rPr>
                <w:sz w:val="21"/>
              </w:rPr>
            </w:pPr>
            <w:r>
              <w:rPr>
                <w:sz w:val="21"/>
              </w:rPr>
              <w:t>（1）保险合同；</w:t>
            </w:r>
          </w:p>
          <w:p>
            <w:pPr>
              <w:pStyle w:val="TableParagraph"/>
              <w:spacing w:before="68"/>
              <w:ind w:left="191"/>
              <w:rPr>
                <w:sz w:val="21"/>
              </w:rPr>
            </w:pPr>
            <w:r>
              <w:rPr>
                <w:sz w:val="21"/>
              </w:rPr>
              <w:t>（2）受益人的有效身份证件；</w:t>
            </w:r>
          </w:p>
          <w:p>
            <w:pPr>
              <w:pStyle w:val="TableParagraph"/>
              <w:spacing w:line="300" w:lineRule="auto" w:before="68"/>
              <w:ind w:left="191" w:right="243"/>
              <w:jc w:val="both"/>
              <w:rPr>
                <w:sz w:val="21"/>
              </w:rPr>
            </w:pPr>
            <w:r>
              <w:rPr>
                <w:sz w:val="21"/>
              </w:rPr>
              <w:t>（3）</w:t>
            </w:r>
            <w:r>
              <w:rPr>
                <w:b/>
                <w:sz w:val="21"/>
              </w:rPr>
              <w:t>专科医生</w:t>
            </w:r>
            <w:r>
              <w:rPr>
                <w:spacing w:val="-3"/>
                <w:sz w:val="21"/>
              </w:rPr>
              <w:t>（</w:t>
            </w:r>
            <w:r>
              <w:rPr>
                <w:spacing w:val="-10"/>
                <w:sz w:val="21"/>
              </w:rPr>
              <w:t>释义 </w:t>
            </w:r>
            <w:r>
              <w:rPr>
                <w:sz w:val="21"/>
              </w:rPr>
              <w:t>6.13）</w:t>
            </w:r>
            <w:r>
              <w:rPr>
                <w:spacing w:val="-3"/>
                <w:sz w:val="21"/>
              </w:rPr>
              <w:t>出具的诊断证明书(包括：完整病历、出院小结、病理组织检查报告、血液检查、其他科学方法检验报告的病史资料及疾病诊断</w:t>
            </w:r>
            <w:r>
              <w:rPr>
                <w:spacing w:val="-1"/>
                <w:sz w:val="21"/>
              </w:rPr>
              <w:t>报告书)；</w:t>
            </w:r>
          </w:p>
          <w:p>
            <w:pPr>
              <w:pStyle w:val="TableParagraph"/>
              <w:spacing w:line="300" w:lineRule="auto" w:before="16"/>
              <w:ind w:left="191" w:right="303"/>
              <w:rPr>
                <w:sz w:val="21"/>
              </w:rPr>
            </w:pPr>
            <w:r>
              <w:rPr>
                <w:sz w:val="21"/>
              </w:rPr>
              <w:t>（4）</w:t>
            </w:r>
            <w:r>
              <w:rPr>
                <w:spacing w:val="-3"/>
                <w:sz w:val="21"/>
              </w:rPr>
              <w:t>所能提供的与确认保险事故的性质、原因等有关的其他证明和资料。  如委托他人代为申请，应提供受托人的有效身份证件。以上证明和资料不完整的，本公司将及时一次性通知申请人补充提供有关证明和资料。</w:t>
            </w:r>
          </w:p>
        </w:tc>
      </w:tr>
      <w:tr>
        <w:trPr>
          <w:trHeight w:val="620" w:hRule="atLeast"/>
        </w:trPr>
        <w:tc>
          <w:tcPr>
            <w:tcW w:w="679" w:type="dxa"/>
          </w:tcPr>
          <w:p>
            <w:pPr>
              <w:pStyle w:val="TableParagraph"/>
              <w:ind w:left="0"/>
              <w:rPr>
                <w:rFonts w:ascii="Times New Roman"/>
                <w:sz w:val="20"/>
              </w:rPr>
            </w:pPr>
          </w:p>
        </w:tc>
        <w:tc>
          <w:tcPr>
            <w:tcW w:w="1410" w:type="dxa"/>
          </w:tcPr>
          <w:p>
            <w:pPr>
              <w:pStyle w:val="TableParagraph"/>
              <w:spacing w:before="5"/>
              <w:ind w:left="0"/>
              <w:rPr>
                <w:b/>
                <w:sz w:val="26"/>
              </w:rPr>
            </w:pPr>
          </w:p>
          <w:p>
            <w:pPr>
              <w:pStyle w:val="TableParagraph"/>
              <w:spacing w:line="255" w:lineRule="exact"/>
              <w:ind w:left="143" w:right="171"/>
              <w:jc w:val="center"/>
              <w:rPr>
                <w:rFonts w:ascii="黑体" w:eastAsia="黑体" w:hint="eastAsia"/>
                <w:b/>
                <w:sz w:val="21"/>
              </w:rPr>
            </w:pPr>
            <w:r>
              <w:rPr>
                <w:rFonts w:ascii="黑体" w:eastAsia="黑体" w:hint="eastAsia"/>
                <w:b/>
                <w:sz w:val="21"/>
              </w:rPr>
              <w:t>身故保险金</w:t>
            </w:r>
          </w:p>
        </w:tc>
        <w:tc>
          <w:tcPr>
            <w:tcW w:w="7639" w:type="dxa"/>
          </w:tcPr>
          <w:p>
            <w:pPr>
              <w:pStyle w:val="TableParagraph"/>
              <w:spacing w:before="5"/>
              <w:ind w:left="0"/>
              <w:rPr>
                <w:b/>
                <w:sz w:val="26"/>
              </w:rPr>
            </w:pPr>
          </w:p>
          <w:p>
            <w:pPr>
              <w:pStyle w:val="TableParagraph"/>
              <w:spacing w:line="255" w:lineRule="exact"/>
              <w:ind w:left="191"/>
              <w:rPr>
                <w:sz w:val="21"/>
              </w:rPr>
            </w:pPr>
            <w:r>
              <w:rPr>
                <w:sz w:val="21"/>
              </w:rPr>
              <w:t>申请人须填写保险金给付申请书，并须提供下列证明和资料：</w:t>
            </w:r>
          </w:p>
        </w:tc>
      </w:tr>
    </w:tbl>
    <w:p>
      <w:pPr>
        <w:spacing w:after="0" w:line="255" w:lineRule="exact"/>
        <w:rPr>
          <w:sz w:val="21"/>
        </w:rPr>
        <w:sectPr>
          <w:pgSz w:w="11910" w:h="16840"/>
          <w:pgMar w:top="1180" w:bottom="280" w:left="1020" w:right="9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390"/>
        <w:gridCol w:w="7440"/>
      </w:tblGrid>
      <w:tr>
        <w:trPr>
          <w:trHeight w:val="2988" w:hRule="atLeast"/>
        </w:trPr>
        <w:tc>
          <w:tcPr>
            <w:tcW w:w="607" w:type="dxa"/>
          </w:tcPr>
          <w:p>
            <w:pPr>
              <w:pStyle w:val="TableParagraph"/>
              <w:ind w:left="0"/>
              <w:rPr>
                <w:rFonts w:ascii="Times New Roman"/>
                <w:sz w:val="20"/>
              </w:rPr>
            </w:pPr>
          </w:p>
        </w:tc>
        <w:tc>
          <w:tcPr>
            <w:tcW w:w="1390" w:type="dxa"/>
          </w:tcPr>
          <w:p>
            <w:pPr>
              <w:pStyle w:val="TableParagraph"/>
              <w:spacing w:line="211" w:lineRule="exact"/>
              <w:ind w:left="141"/>
              <w:rPr>
                <w:rFonts w:ascii="黑体" w:eastAsia="黑体" w:hint="eastAsia"/>
                <w:b/>
                <w:sz w:val="21"/>
              </w:rPr>
            </w:pPr>
            <w:r>
              <w:rPr>
                <w:rFonts w:ascii="黑体" w:eastAsia="黑体" w:hint="eastAsia"/>
                <w:b/>
                <w:sz w:val="21"/>
              </w:rPr>
              <w:t>申请</w:t>
            </w:r>
          </w:p>
        </w:tc>
        <w:tc>
          <w:tcPr>
            <w:tcW w:w="7440" w:type="dxa"/>
          </w:tcPr>
          <w:p>
            <w:pPr>
              <w:pStyle w:val="TableParagraph"/>
              <w:spacing w:line="211" w:lineRule="exact"/>
              <w:ind w:left="194"/>
              <w:rPr>
                <w:sz w:val="21"/>
              </w:rPr>
            </w:pPr>
            <w:r>
              <w:rPr>
                <w:sz w:val="21"/>
              </w:rPr>
              <w:t>（1）保险合同；</w:t>
            </w:r>
          </w:p>
          <w:p>
            <w:pPr>
              <w:pStyle w:val="TableParagraph"/>
              <w:spacing w:before="68"/>
              <w:ind w:left="194"/>
              <w:rPr>
                <w:sz w:val="21"/>
              </w:rPr>
            </w:pPr>
            <w:r>
              <w:rPr>
                <w:sz w:val="21"/>
              </w:rPr>
              <w:t>（2）受益人的有效身份证件；</w:t>
            </w:r>
          </w:p>
          <w:p>
            <w:pPr>
              <w:pStyle w:val="TableParagraph"/>
              <w:spacing w:line="300" w:lineRule="auto" w:before="67"/>
              <w:ind w:left="191" w:right="205"/>
              <w:rPr>
                <w:sz w:val="21"/>
              </w:rPr>
            </w:pPr>
            <w:r>
              <w:rPr>
                <w:sz w:val="21"/>
              </w:rPr>
              <w:t>（3）国务院卫生行政部门认定的医疗机构、公安部门或其他相关机构出具的被保险人的死亡证明；</w:t>
            </w:r>
          </w:p>
          <w:p>
            <w:pPr>
              <w:pStyle w:val="TableParagraph"/>
              <w:spacing w:line="300" w:lineRule="auto" w:before="15"/>
              <w:ind w:left="191" w:right="104"/>
              <w:rPr>
                <w:sz w:val="21"/>
              </w:rPr>
            </w:pPr>
            <w:r>
              <w:rPr>
                <w:sz w:val="21"/>
              </w:rPr>
              <w:t>（4）</w:t>
            </w:r>
            <w:r>
              <w:rPr>
                <w:spacing w:val="-3"/>
                <w:sz w:val="21"/>
              </w:rPr>
              <w:t>所能提供的与确认保险事故的性质、原因等有关的其他证明和资料。  保险金作为被保险人遗产时，必须提供可证明合法继承权的相关权利文件。 如委托他人代为申请，应提供受托人的有效身份证件。以上证明和资料不完整的，本公司将及时一次性通知申请人补充提供有关证明和资料。</w:t>
            </w:r>
          </w:p>
        </w:tc>
      </w:tr>
      <w:tr>
        <w:trPr>
          <w:trHeight w:val="4220" w:hRule="atLeast"/>
        </w:trPr>
        <w:tc>
          <w:tcPr>
            <w:tcW w:w="607" w:type="dxa"/>
          </w:tcPr>
          <w:p>
            <w:pPr>
              <w:pStyle w:val="TableParagraph"/>
              <w:spacing w:before="9"/>
              <w:ind w:left="0"/>
              <w:rPr>
                <w:b/>
                <w:sz w:val="23"/>
              </w:rPr>
            </w:pPr>
          </w:p>
          <w:p>
            <w:pPr>
              <w:pStyle w:val="TableParagraph"/>
              <w:ind w:left="88" w:right="160"/>
              <w:jc w:val="center"/>
              <w:rPr>
                <w:b/>
                <w:sz w:val="21"/>
              </w:rPr>
            </w:pPr>
            <w:r>
              <w:rPr>
                <w:b/>
                <w:sz w:val="21"/>
              </w:rPr>
              <w:t>3.4</w:t>
            </w:r>
          </w:p>
        </w:tc>
        <w:tc>
          <w:tcPr>
            <w:tcW w:w="1390" w:type="dxa"/>
          </w:tcPr>
          <w:p>
            <w:pPr>
              <w:pStyle w:val="TableParagraph"/>
              <w:spacing w:before="9"/>
              <w:ind w:left="0"/>
              <w:rPr>
                <w:b/>
                <w:sz w:val="23"/>
              </w:rPr>
            </w:pPr>
          </w:p>
          <w:p>
            <w:pPr>
              <w:pStyle w:val="TableParagraph"/>
              <w:spacing w:line="300" w:lineRule="auto"/>
              <w:ind w:left="141" w:right="190"/>
              <w:rPr>
                <w:b/>
                <w:sz w:val="21"/>
              </w:rPr>
            </w:pPr>
            <w:r>
              <w:rPr>
                <w:b/>
                <w:sz w:val="21"/>
              </w:rPr>
              <w:t>保险金的给付</w:t>
            </w:r>
          </w:p>
        </w:tc>
        <w:tc>
          <w:tcPr>
            <w:tcW w:w="7440" w:type="dxa"/>
          </w:tcPr>
          <w:p>
            <w:pPr>
              <w:pStyle w:val="TableParagraph"/>
              <w:spacing w:before="9"/>
              <w:ind w:left="0"/>
              <w:rPr>
                <w:b/>
                <w:sz w:val="23"/>
              </w:rPr>
            </w:pPr>
          </w:p>
          <w:p>
            <w:pPr>
              <w:pStyle w:val="TableParagraph"/>
              <w:ind w:left="191"/>
              <w:rPr>
                <w:sz w:val="21"/>
              </w:rPr>
            </w:pPr>
            <w:r>
              <w:rPr>
                <w:sz w:val="21"/>
              </w:rPr>
              <w:t>本公司在收到保险金给付申请书及合同约定的证明和资料后，将在 5 日内作出</w:t>
            </w:r>
          </w:p>
          <w:p>
            <w:pPr>
              <w:pStyle w:val="TableParagraph"/>
              <w:spacing w:before="68"/>
              <w:ind w:left="191"/>
              <w:rPr>
                <w:sz w:val="21"/>
              </w:rPr>
            </w:pPr>
            <w:r>
              <w:rPr>
                <w:sz w:val="21"/>
              </w:rPr>
              <w:t>核定；情形复杂的，在 30 日内作出核定。本主险合同另有约定的除外。</w:t>
            </w:r>
          </w:p>
          <w:p>
            <w:pPr>
              <w:pStyle w:val="TableParagraph"/>
              <w:spacing w:line="300" w:lineRule="auto" w:before="68"/>
              <w:ind w:left="191" w:right="107"/>
              <w:rPr>
                <w:sz w:val="21"/>
              </w:rPr>
            </w:pPr>
            <w:r>
              <w:rPr>
                <w:sz w:val="21"/>
              </w:rPr>
              <w:t>对属于保险责任的，本公司在与受益人达成给付保险金的协议后 10 日内，履行给付保险金义务。</w:t>
            </w:r>
          </w:p>
          <w:p>
            <w:pPr>
              <w:pStyle w:val="TableParagraph"/>
              <w:spacing w:line="300" w:lineRule="auto" w:before="16"/>
              <w:ind w:left="191" w:right="104"/>
              <w:rPr>
                <w:sz w:val="21"/>
              </w:rPr>
            </w:pPr>
            <w:r>
              <w:rPr>
                <w:sz w:val="21"/>
              </w:rPr>
              <w:t>本公司未及时履行前款规定义务的，除支付保险金外，应当赔偿受益人因此受到的损失。</w:t>
            </w:r>
          </w:p>
          <w:p>
            <w:pPr>
              <w:pStyle w:val="TableParagraph"/>
              <w:spacing w:line="300" w:lineRule="auto" w:before="16"/>
              <w:ind w:left="191" w:right="104"/>
              <w:rPr>
                <w:sz w:val="21"/>
              </w:rPr>
            </w:pPr>
            <w:r>
              <w:rPr>
                <w:spacing w:val="-5"/>
                <w:sz w:val="21"/>
              </w:rPr>
              <w:t>对不属于保险责任的，本公司自作出核定之日起 </w:t>
            </w:r>
            <w:r>
              <w:rPr>
                <w:sz w:val="21"/>
              </w:rPr>
              <w:t>3</w:t>
            </w:r>
            <w:r>
              <w:rPr>
                <w:spacing w:val="-7"/>
                <w:sz w:val="21"/>
              </w:rPr>
              <w:t> 日内向受益人发出拒绝给付</w:t>
            </w:r>
            <w:r>
              <w:rPr>
                <w:spacing w:val="-3"/>
                <w:sz w:val="21"/>
              </w:rPr>
              <w:t>保险金通知书并说明理由。</w:t>
            </w:r>
          </w:p>
          <w:p>
            <w:pPr>
              <w:pStyle w:val="TableParagraph"/>
              <w:spacing w:line="300" w:lineRule="auto" w:before="16"/>
              <w:ind w:left="191" w:right="104"/>
              <w:rPr>
                <w:sz w:val="21"/>
              </w:rPr>
            </w:pPr>
            <w:r>
              <w:rPr>
                <w:sz w:val="21"/>
              </w:rPr>
              <w:t>本公司在收到保险金给付申请书及有关证明和资料之日起 60 日内，对给付保险金的数额不能确定的，根据已有证明和资料可以确定的数额先予支付；本公司最终确定给付保险金的数额后，将支付相应的差额。</w:t>
            </w:r>
          </w:p>
        </w:tc>
      </w:tr>
      <w:tr>
        <w:trPr>
          <w:trHeight w:val="1995" w:hRule="atLeast"/>
        </w:trPr>
        <w:tc>
          <w:tcPr>
            <w:tcW w:w="607" w:type="dxa"/>
          </w:tcPr>
          <w:p>
            <w:pPr>
              <w:pStyle w:val="TableParagraph"/>
              <w:spacing w:before="138"/>
              <w:ind w:left="88" w:right="160"/>
              <w:jc w:val="center"/>
              <w:rPr>
                <w:b/>
                <w:sz w:val="21"/>
              </w:rPr>
            </w:pPr>
            <w:r>
              <w:rPr>
                <w:b/>
                <w:sz w:val="21"/>
              </w:rPr>
              <w:t>3.5</w:t>
            </w:r>
          </w:p>
        </w:tc>
        <w:tc>
          <w:tcPr>
            <w:tcW w:w="1390" w:type="dxa"/>
          </w:tcPr>
          <w:p>
            <w:pPr>
              <w:pStyle w:val="TableParagraph"/>
              <w:spacing w:before="138"/>
              <w:ind w:left="141"/>
              <w:rPr>
                <w:b/>
                <w:sz w:val="21"/>
              </w:rPr>
            </w:pPr>
            <w:r>
              <w:rPr>
                <w:b/>
                <w:sz w:val="21"/>
              </w:rPr>
              <w:t>失踪处理</w:t>
            </w:r>
          </w:p>
        </w:tc>
        <w:tc>
          <w:tcPr>
            <w:tcW w:w="7440" w:type="dxa"/>
          </w:tcPr>
          <w:p>
            <w:pPr>
              <w:pStyle w:val="TableParagraph"/>
              <w:spacing w:line="300" w:lineRule="auto" w:before="138"/>
              <w:ind w:left="191" w:right="104"/>
              <w:jc w:val="both"/>
              <w:rPr>
                <w:sz w:val="21"/>
              </w:rPr>
            </w:pPr>
            <w:r>
              <w:rPr>
                <w:sz w:val="21"/>
              </w:rPr>
              <w:t>如果被保险人在本主险合同有效期内失踪，而且被法院宣告死亡，本公司以法院判决宣告死亡之日作为被保险人的身故时间，按本主险合同的约定给付身故保险金，本主险合同终止。</w:t>
            </w:r>
          </w:p>
          <w:p>
            <w:pPr>
              <w:pStyle w:val="TableParagraph"/>
              <w:spacing w:line="300" w:lineRule="auto" w:before="16"/>
              <w:ind w:left="191" w:right="104"/>
              <w:jc w:val="both"/>
              <w:rPr>
                <w:sz w:val="21"/>
              </w:rPr>
            </w:pPr>
            <w:r>
              <w:rPr>
                <w:sz w:val="21"/>
              </w:rPr>
              <w:t>如果被保险人在宣告死亡后重新出现或确知其没有死亡，身故保险金受益人应于知道后 </w:t>
            </w:r>
            <w:r>
              <w:rPr>
                <w:rFonts w:ascii="Times New Roman" w:eastAsia="Times New Roman"/>
                <w:sz w:val="21"/>
              </w:rPr>
              <w:t>30 </w:t>
            </w:r>
            <w:r>
              <w:rPr>
                <w:sz w:val="21"/>
              </w:rPr>
              <w:t>日内向本公司退还已给付的保险金。</w:t>
            </w:r>
          </w:p>
        </w:tc>
      </w:tr>
      <w:tr>
        <w:trPr>
          <w:trHeight w:val="961" w:hRule="atLeast"/>
        </w:trPr>
        <w:tc>
          <w:tcPr>
            <w:tcW w:w="607" w:type="dxa"/>
          </w:tcPr>
          <w:p>
            <w:pPr>
              <w:pStyle w:val="TableParagraph"/>
              <w:spacing w:before="130"/>
              <w:ind w:left="88" w:right="160"/>
              <w:jc w:val="center"/>
              <w:rPr>
                <w:b/>
                <w:sz w:val="21"/>
              </w:rPr>
            </w:pPr>
            <w:r>
              <w:rPr>
                <w:b/>
                <w:sz w:val="21"/>
              </w:rPr>
              <w:t>3.6</w:t>
            </w:r>
          </w:p>
        </w:tc>
        <w:tc>
          <w:tcPr>
            <w:tcW w:w="1390" w:type="dxa"/>
          </w:tcPr>
          <w:p>
            <w:pPr>
              <w:pStyle w:val="TableParagraph"/>
              <w:spacing w:before="130"/>
              <w:ind w:left="141"/>
              <w:rPr>
                <w:b/>
                <w:sz w:val="21"/>
              </w:rPr>
            </w:pPr>
            <w:r>
              <w:rPr>
                <w:b/>
                <w:sz w:val="21"/>
              </w:rPr>
              <w:t>诉讼时效</w:t>
            </w:r>
          </w:p>
        </w:tc>
        <w:tc>
          <w:tcPr>
            <w:tcW w:w="7440" w:type="dxa"/>
          </w:tcPr>
          <w:p>
            <w:pPr>
              <w:pStyle w:val="TableParagraph"/>
              <w:spacing w:line="300" w:lineRule="auto" w:before="130"/>
              <w:ind w:left="191" w:right="105"/>
              <w:rPr>
                <w:sz w:val="21"/>
              </w:rPr>
            </w:pPr>
            <w:r>
              <w:rPr>
                <w:spacing w:val="-5"/>
                <w:sz w:val="21"/>
              </w:rPr>
              <w:t>受益人向本公司请求给付保险金的诉讼时效期间为 </w:t>
            </w:r>
            <w:r>
              <w:rPr>
                <w:sz w:val="21"/>
              </w:rPr>
              <w:t>2</w:t>
            </w:r>
            <w:r>
              <w:rPr>
                <w:spacing w:val="-8"/>
                <w:sz w:val="21"/>
              </w:rPr>
              <w:t> 年，自其知道或应当知道</w:t>
            </w:r>
            <w:r>
              <w:rPr>
                <w:spacing w:val="-5"/>
                <w:sz w:val="21"/>
              </w:rPr>
              <w:t>保险事故发生之日起计算。</w:t>
            </w:r>
          </w:p>
        </w:tc>
      </w:tr>
      <w:tr>
        <w:trPr>
          <w:trHeight w:val="736" w:hRule="atLeast"/>
        </w:trPr>
        <w:tc>
          <w:tcPr>
            <w:tcW w:w="607" w:type="dxa"/>
            <w:tcBorders>
              <w:bottom w:val="single" w:sz="8" w:space="0" w:color="000000"/>
            </w:tcBorders>
          </w:tcPr>
          <w:p>
            <w:pPr>
              <w:pStyle w:val="TableParagraph"/>
              <w:spacing w:before="176"/>
              <w:ind w:left="0" w:right="31"/>
              <w:jc w:val="center"/>
              <w:rPr>
                <w:rFonts w:ascii="Arial" w:hAnsi="Arial"/>
                <w:b/>
                <w:sz w:val="40"/>
              </w:rPr>
            </w:pPr>
            <w:r>
              <w:rPr>
                <w:rFonts w:ascii="Arial" w:hAnsi="Arial"/>
                <w:b/>
                <w:w w:val="119"/>
                <w:sz w:val="40"/>
              </w:rPr>
              <w:t></w:t>
            </w:r>
          </w:p>
        </w:tc>
        <w:tc>
          <w:tcPr>
            <w:tcW w:w="8830" w:type="dxa"/>
            <w:gridSpan w:val="2"/>
            <w:tcBorders>
              <w:bottom w:val="single" w:sz="8" w:space="0" w:color="000000"/>
            </w:tcBorders>
          </w:tcPr>
          <w:p>
            <w:pPr>
              <w:pStyle w:val="TableParagraph"/>
              <w:spacing w:before="8"/>
              <w:ind w:left="0"/>
              <w:rPr>
                <w:b/>
                <w:sz w:val="17"/>
              </w:rPr>
            </w:pPr>
          </w:p>
          <w:p>
            <w:pPr>
              <w:pStyle w:val="TableParagraph"/>
              <w:ind w:left="141"/>
              <w:rPr>
                <w:b/>
                <w:sz w:val="24"/>
              </w:rPr>
            </w:pPr>
            <w:r>
              <w:rPr>
                <w:b/>
                <w:w w:val="95"/>
                <w:sz w:val="24"/>
              </w:rPr>
              <w:t>保险费的支付和现金价值权益</w:t>
            </w:r>
          </w:p>
        </w:tc>
      </w:tr>
      <w:tr>
        <w:trPr>
          <w:trHeight w:val="1376" w:hRule="atLeast"/>
        </w:trPr>
        <w:tc>
          <w:tcPr>
            <w:tcW w:w="607" w:type="dxa"/>
            <w:tcBorders>
              <w:top w:val="single" w:sz="8" w:space="0" w:color="000000"/>
            </w:tcBorders>
          </w:tcPr>
          <w:p>
            <w:pPr>
              <w:pStyle w:val="TableParagraph"/>
              <w:ind w:left="0"/>
              <w:rPr>
                <w:b/>
                <w:sz w:val="16"/>
              </w:rPr>
            </w:pPr>
          </w:p>
          <w:p>
            <w:pPr>
              <w:pStyle w:val="TableParagraph"/>
              <w:spacing w:before="1"/>
              <w:ind w:left="88" w:right="160"/>
              <w:jc w:val="center"/>
              <w:rPr>
                <w:b/>
                <w:sz w:val="21"/>
              </w:rPr>
            </w:pPr>
            <w:r>
              <w:rPr>
                <w:b/>
                <w:sz w:val="21"/>
              </w:rPr>
              <w:t>4.1</w:t>
            </w:r>
          </w:p>
        </w:tc>
        <w:tc>
          <w:tcPr>
            <w:tcW w:w="1390" w:type="dxa"/>
            <w:tcBorders>
              <w:top w:val="single" w:sz="8" w:space="0" w:color="000000"/>
            </w:tcBorders>
          </w:tcPr>
          <w:p>
            <w:pPr>
              <w:pStyle w:val="TableParagraph"/>
              <w:ind w:left="0"/>
              <w:rPr>
                <w:b/>
                <w:sz w:val="16"/>
              </w:rPr>
            </w:pPr>
          </w:p>
          <w:p>
            <w:pPr>
              <w:pStyle w:val="TableParagraph"/>
              <w:spacing w:line="300" w:lineRule="auto" w:before="1"/>
              <w:ind w:left="141" w:right="190"/>
              <w:rPr>
                <w:b/>
                <w:sz w:val="21"/>
              </w:rPr>
            </w:pPr>
            <w:r>
              <w:rPr>
                <w:b/>
                <w:sz w:val="21"/>
              </w:rPr>
              <w:t>保险费的支付</w:t>
            </w:r>
          </w:p>
        </w:tc>
        <w:tc>
          <w:tcPr>
            <w:tcW w:w="7440" w:type="dxa"/>
            <w:tcBorders>
              <w:top w:val="single" w:sz="8" w:space="0" w:color="000000"/>
            </w:tcBorders>
          </w:tcPr>
          <w:p>
            <w:pPr>
              <w:pStyle w:val="TableParagraph"/>
              <w:ind w:left="0"/>
              <w:rPr>
                <w:b/>
                <w:sz w:val="16"/>
              </w:rPr>
            </w:pPr>
          </w:p>
          <w:p>
            <w:pPr>
              <w:pStyle w:val="TableParagraph"/>
              <w:spacing w:line="300" w:lineRule="auto" w:before="1"/>
              <w:ind w:left="191" w:right="104"/>
              <w:jc w:val="both"/>
              <w:rPr>
                <w:sz w:val="21"/>
              </w:rPr>
            </w:pPr>
            <w:r>
              <w:rPr>
                <w:sz w:val="21"/>
              </w:rPr>
              <w:t>本主险合同的交费方式和交费期限由您和本公司约定并在保险单上载明。本主险合同采用分期支付的交费方式，在支付首期保险费后，您应当按约定的交费日期支付其余各期的保险费。</w:t>
            </w:r>
          </w:p>
        </w:tc>
      </w:tr>
      <w:tr>
        <w:trPr>
          <w:trHeight w:val="2132" w:hRule="atLeast"/>
        </w:trPr>
        <w:tc>
          <w:tcPr>
            <w:tcW w:w="607" w:type="dxa"/>
          </w:tcPr>
          <w:p>
            <w:pPr>
              <w:pStyle w:val="TableParagraph"/>
              <w:spacing w:before="141"/>
              <w:ind w:left="88" w:right="160"/>
              <w:jc w:val="center"/>
              <w:rPr>
                <w:b/>
                <w:sz w:val="21"/>
              </w:rPr>
            </w:pPr>
            <w:r>
              <w:rPr>
                <w:b/>
                <w:sz w:val="21"/>
              </w:rPr>
              <w:t>4.2</w:t>
            </w:r>
          </w:p>
        </w:tc>
        <w:tc>
          <w:tcPr>
            <w:tcW w:w="1390" w:type="dxa"/>
          </w:tcPr>
          <w:p>
            <w:pPr>
              <w:pStyle w:val="TableParagraph"/>
              <w:spacing w:line="300" w:lineRule="auto" w:before="141"/>
              <w:ind w:left="141" w:right="190"/>
              <w:rPr>
                <w:b/>
                <w:sz w:val="21"/>
              </w:rPr>
            </w:pPr>
            <w:r>
              <w:rPr>
                <w:b/>
                <w:sz w:val="21"/>
              </w:rPr>
              <w:t>保险费率调整</w:t>
            </w:r>
          </w:p>
        </w:tc>
        <w:tc>
          <w:tcPr>
            <w:tcW w:w="7440" w:type="dxa"/>
          </w:tcPr>
          <w:p>
            <w:pPr>
              <w:pStyle w:val="TableParagraph"/>
              <w:spacing w:line="300" w:lineRule="auto" w:before="141"/>
              <w:ind w:left="191" w:right="308"/>
              <w:rPr>
                <w:sz w:val="21"/>
              </w:rPr>
            </w:pPr>
            <w:r>
              <w:rPr>
                <w:sz w:val="21"/>
              </w:rPr>
              <w:t>因为确定本主险合同保险费率所使用的重大疾病发生率等定价基础将可能在未来发生变化，因此本公司保留对保险费率进行调整的权利。</w:t>
            </w:r>
          </w:p>
          <w:p>
            <w:pPr>
              <w:pStyle w:val="TableParagraph"/>
              <w:spacing w:line="300" w:lineRule="auto" w:before="15"/>
              <w:ind w:left="191"/>
              <w:rPr>
                <w:sz w:val="21"/>
              </w:rPr>
            </w:pPr>
            <w:r>
              <w:rPr>
                <w:spacing w:val="-4"/>
                <w:sz w:val="21"/>
              </w:rPr>
              <w:t>假若需要进行费率调整，本公司将在开始调整费率六个月前向国务院保险监督</w:t>
            </w:r>
            <w:r>
              <w:rPr>
                <w:spacing w:val="-11"/>
                <w:sz w:val="21"/>
              </w:rPr>
              <w:t>管理机构上报费率调整方案。调整方案获批后，本公司会向您发放客户通知书， 告知您开始执行新费率标准的时间、方式以及调整费率的原因。为保持公平性，</w:t>
            </w:r>
          </w:p>
          <w:p>
            <w:pPr>
              <w:pStyle w:val="TableParagraph"/>
              <w:spacing w:line="255" w:lineRule="exact" w:before="15"/>
              <w:ind w:left="191"/>
              <w:rPr>
                <w:sz w:val="21"/>
              </w:rPr>
            </w:pPr>
            <w:r>
              <w:rPr>
                <w:sz w:val="21"/>
              </w:rPr>
              <w:t>保险费率的调整将针对所有被保险人或同一投保年龄的所有被保险人。</w:t>
            </w:r>
          </w:p>
        </w:tc>
      </w:tr>
    </w:tbl>
    <w:p>
      <w:pPr>
        <w:spacing w:after="0" w:line="255" w:lineRule="exact"/>
        <w:rPr>
          <w:sz w:val="21"/>
        </w:rPr>
        <w:sectPr>
          <w:pgSz w:w="11910" w:h="16840"/>
          <w:pgMar w:top="1180" w:bottom="280" w:left="1100" w:right="11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390"/>
        <w:gridCol w:w="7439"/>
      </w:tblGrid>
      <w:tr>
        <w:trPr>
          <w:trHeight w:val="760" w:hRule="atLeast"/>
        </w:trPr>
        <w:tc>
          <w:tcPr>
            <w:tcW w:w="607" w:type="dxa"/>
          </w:tcPr>
          <w:p>
            <w:pPr>
              <w:pStyle w:val="TableParagraph"/>
              <w:ind w:left="0"/>
              <w:rPr>
                <w:rFonts w:ascii="Times New Roman"/>
                <w:sz w:val="20"/>
              </w:rPr>
            </w:pPr>
          </w:p>
        </w:tc>
        <w:tc>
          <w:tcPr>
            <w:tcW w:w="1390" w:type="dxa"/>
          </w:tcPr>
          <w:p>
            <w:pPr>
              <w:pStyle w:val="TableParagraph"/>
              <w:ind w:left="0"/>
              <w:rPr>
                <w:rFonts w:ascii="Times New Roman"/>
                <w:sz w:val="20"/>
              </w:rPr>
            </w:pPr>
          </w:p>
        </w:tc>
        <w:tc>
          <w:tcPr>
            <w:tcW w:w="7439" w:type="dxa"/>
          </w:tcPr>
          <w:p>
            <w:pPr>
              <w:pStyle w:val="TableParagraph"/>
              <w:spacing w:line="211" w:lineRule="exact"/>
              <w:ind w:left="191"/>
              <w:rPr>
                <w:sz w:val="21"/>
              </w:rPr>
            </w:pPr>
            <w:r>
              <w:rPr>
                <w:sz w:val="21"/>
              </w:rPr>
              <w:t>本公司进行保险费率调整后，您剩余保险期间的基本保险金额将相应变更，保</w:t>
            </w:r>
          </w:p>
          <w:p>
            <w:pPr>
              <w:pStyle w:val="TableParagraph"/>
              <w:spacing w:before="68"/>
              <w:ind w:left="191"/>
              <w:rPr>
                <w:sz w:val="21"/>
              </w:rPr>
            </w:pPr>
            <w:r>
              <w:rPr>
                <w:sz w:val="21"/>
              </w:rPr>
              <w:t>险费率调整前您已经交纳保险费所对应的基本保险金额不受影响。</w:t>
            </w:r>
          </w:p>
        </w:tc>
      </w:tr>
      <w:tr>
        <w:trPr>
          <w:trHeight w:val="1307" w:hRule="atLeast"/>
        </w:trPr>
        <w:tc>
          <w:tcPr>
            <w:tcW w:w="607" w:type="dxa"/>
          </w:tcPr>
          <w:p>
            <w:pPr>
              <w:pStyle w:val="TableParagraph"/>
              <w:spacing w:before="141"/>
              <w:ind w:left="88" w:right="160"/>
              <w:jc w:val="center"/>
              <w:rPr>
                <w:b/>
                <w:sz w:val="21"/>
              </w:rPr>
            </w:pPr>
            <w:r>
              <w:rPr>
                <w:b/>
                <w:sz w:val="21"/>
              </w:rPr>
              <w:t>4.3</w:t>
            </w:r>
          </w:p>
        </w:tc>
        <w:tc>
          <w:tcPr>
            <w:tcW w:w="1390" w:type="dxa"/>
          </w:tcPr>
          <w:p>
            <w:pPr>
              <w:pStyle w:val="TableParagraph"/>
              <w:spacing w:line="300" w:lineRule="auto" w:before="141"/>
              <w:ind w:left="141" w:right="190"/>
              <w:rPr>
                <w:b/>
                <w:sz w:val="21"/>
              </w:rPr>
            </w:pPr>
            <w:r>
              <w:rPr>
                <w:b/>
                <w:sz w:val="21"/>
              </w:rPr>
              <w:t>保险单的现金价值</w:t>
            </w:r>
          </w:p>
        </w:tc>
        <w:tc>
          <w:tcPr>
            <w:tcW w:w="7439" w:type="dxa"/>
          </w:tcPr>
          <w:p>
            <w:pPr>
              <w:pStyle w:val="TableParagraph"/>
              <w:spacing w:line="300" w:lineRule="auto" w:before="141"/>
              <w:ind w:left="191" w:right="105"/>
              <w:rPr>
                <w:sz w:val="21"/>
              </w:rPr>
            </w:pPr>
            <w:r>
              <w:rPr>
                <w:spacing w:val="-3"/>
                <w:sz w:val="21"/>
              </w:rPr>
              <w:t>本主险合同保单年度末的现金价值会在保险单上载明。保单年度内的现金价 值，您可以向本公司咨询。在本主险合同有效期内，如保险费率发生调整，则现金价值金额也会发生相应调整。</w:t>
            </w:r>
          </w:p>
        </w:tc>
      </w:tr>
      <w:tr>
        <w:trPr>
          <w:trHeight w:val="2338" w:hRule="atLeast"/>
        </w:trPr>
        <w:tc>
          <w:tcPr>
            <w:tcW w:w="607" w:type="dxa"/>
          </w:tcPr>
          <w:p>
            <w:pPr>
              <w:pStyle w:val="TableParagraph"/>
              <w:spacing w:before="141"/>
              <w:ind w:left="88" w:right="160"/>
              <w:jc w:val="center"/>
              <w:rPr>
                <w:b/>
                <w:sz w:val="21"/>
              </w:rPr>
            </w:pPr>
            <w:r>
              <w:rPr>
                <w:b/>
                <w:sz w:val="21"/>
              </w:rPr>
              <w:t>4.4</w:t>
            </w:r>
          </w:p>
        </w:tc>
        <w:tc>
          <w:tcPr>
            <w:tcW w:w="1390" w:type="dxa"/>
          </w:tcPr>
          <w:p>
            <w:pPr>
              <w:pStyle w:val="TableParagraph"/>
              <w:spacing w:before="141"/>
              <w:ind w:left="141"/>
              <w:rPr>
                <w:b/>
                <w:sz w:val="21"/>
              </w:rPr>
            </w:pPr>
            <w:r>
              <w:rPr>
                <w:b/>
                <w:sz w:val="21"/>
              </w:rPr>
              <w:t>宽限期</w:t>
            </w:r>
          </w:p>
        </w:tc>
        <w:tc>
          <w:tcPr>
            <w:tcW w:w="7439" w:type="dxa"/>
          </w:tcPr>
          <w:p>
            <w:pPr>
              <w:pStyle w:val="TableParagraph"/>
              <w:spacing w:line="300" w:lineRule="auto" w:before="141"/>
              <w:ind w:left="191" w:right="103"/>
              <w:rPr>
                <w:sz w:val="21"/>
              </w:rPr>
            </w:pPr>
            <w:r>
              <w:rPr>
                <w:sz w:val="21"/>
              </w:rPr>
              <w:t>分期支付保险费的，您支付首期保险费后，除本主险合同另有约定外，如果您到期未支付保险费，自保险费约定支付日的次日零时起 60 日为宽限期。宽限期内发生的保险事故，本公司仍会承担保险责任，但在给付保险金时会扣减您欠交的保险费。</w:t>
            </w:r>
          </w:p>
          <w:p>
            <w:pPr>
              <w:pStyle w:val="TableParagraph"/>
              <w:spacing w:line="300" w:lineRule="auto" w:before="16"/>
              <w:ind w:left="191" w:right="103"/>
              <w:rPr>
                <w:sz w:val="21"/>
              </w:rPr>
            </w:pPr>
            <w:r>
              <w:rPr>
                <w:sz w:val="21"/>
              </w:rPr>
              <w:t>如果您宽限期结束之后仍未支付保险费，则本主险合同自宽限期满的次日零时起效力中止。</w:t>
            </w:r>
          </w:p>
        </w:tc>
      </w:tr>
      <w:tr>
        <w:trPr>
          <w:trHeight w:val="964" w:hRule="atLeast"/>
        </w:trPr>
        <w:tc>
          <w:tcPr>
            <w:tcW w:w="607" w:type="dxa"/>
          </w:tcPr>
          <w:p>
            <w:pPr>
              <w:pStyle w:val="TableParagraph"/>
              <w:spacing w:before="141"/>
              <w:ind w:left="88" w:right="160"/>
              <w:jc w:val="center"/>
              <w:rPr>
                <w:b/>
                <w:sz w:val="21"/>
              </w:rPr>
            </w:pPr>
            <w:r>
              <w:rPr>
                <w:b/>
                <w:sz w:val="21"/>
              </w:rPr>
              <w:t>4.5</w:t>
            </w:r>
          </w:p>
        </w:tc>
        <w:tc>
          <w:tcPr>
            <w:tcW w:w="1390" w:type="dxa"/>
          </w:tcPr>
          <w:p>
            <w:pPr>
              <w:pStyle w:val="TableParagraph"/>
              <w:spacing w:line="300" w:lineRule="auto" w:before="141"/>
              <w:ind w:left="141" w:right="190"/>
              <w:rPr>
                <w:b/>
                <w:sz w:val="21"/>
              </w:rPr>
            </w:pPr>
            <w:r>
              <w:rPr>
                <w:b/>
                <w:sz w:val="21"/>
              </w:rPr>
              <w:t>合同效力中止</w:t>
            </w:r>
          </w:p>
        </w:tc>
        <w:tc>
          <w:tcPr>
            <w:tcW w:w="7439" w:type="dxa"/>
          </w:tcPr>
          <w:p>
            <w:pPr>
              <w:pStyle w:val="TableParagraph"/>
              <w:spacing w:line="300" w:lineRule="auto" w:before="141"/>
              <w:ind w:left="191" w:right="106"/>
              <w:rPr>
                <w:sz w:val="21"/>
              </w:rPr>
            </w:pPr>
            <w:r>
              <w:rPr>
                <w:sz w:val="21"/>
              </w:rPr>
              <w:t>当出现本主险合同约定的效力中止情形时，本主险合同效力即行中止。</w:t>
            </w:r>
            <w:r>
              <w:rPr>
                <w:rFonts w:ascii="黑体" w:eastAsia="黑体" w:hint="eastAsia"/>
                <w:sz w:val="21"/>
              </w:rPr>
              <w:t>本主险合同效力中止期间，本公司不承担保险责任</w:t>
            </w:r>
            <w:r>
              <w:rPr>
                <w:sz w:val="21"/>
              </w:rPr>
              <w:t>。</w:t>
            </w:r>
          </w:p>
        </w:tc>
      </w:tr>
      <w:tr>
        <w:trPr>
          <w:trHeight w:val="2355" w:hRule="atLeast"/>
        </w:trPr>
        <w:tc>
          <w:tcPr>
            <w:tcW w:w="607" w:type="dxa"/>
          </w:tcPr>
          <w:p>
            <w:pPr>
              <w:pStyle w:val="TableParagraph"/>
              <w:spacing w:before="141"/>
              <w:ind w:left="88" w:right="160"/>
              <w:jc w:val="center"/>
              <w:rPr>
                <w:b/>
                <w:sz w:val="21"/>
              </w:rPr>
            </w:pPr>
            <w:r>
              <w:rPr>
                <w:b/>
                <w:sz w:val="21"/>
              </w:rPr>
              <w:t>4.6</w:t>
            </w:r>
          </w:p>
        </w:tc>
        <w:tc>
          <w:tcPr>
            <w:tcW w:w="1390" w:type="dxa"/>
          </w:tcPr>
          <w:p>
            <w:pPr>
              <w:pStyle w:val="TableParagraph"/>
              <w:spacing w:line="300" w:lineRule="auto" w:before="141"/>
              <w:ind w:left="141" w:right="190"/>
              <w:rPr>
                <w:b/>
                <w:sz w:val="21"/>
              </w:rPr>
            </w:pPr>
            <w:r>
              <w:rPr>
                <w:b/>
                <w:sz w:val="21"/>
              </w:rPr>
              <w:t>合同效力恢复</w:t>
            </w:r>
          </w:p>
        </w:tc>
        <w:tc>
          <w:tcPr>
            <w:tcW w:w="7439" w:type="dxa"/>
          </w:tcPr>
          <w:p>
            <w:pPr>
              <w:pStyle w:val="TableParagraph"/>
              <w:spacing w:line="300" w:lineRule="auto" w:before="141"/>
              <w:ind w:left="191" w:right="100"/>
              <w:jc w:val="both"/>
              <w:rPr>
                <w:sz w:val="21"/>
              </w:rPr>
            </w:pPr>
            <w:r>
              <w:rPr>
                <w:spacing w:val="-6"/>
                <w:sz w:val="21"/>
              </w:rPr>
              <w:t>本主险合同效力中止后 </w:t>
            </w:r>
            <w:r>
              <w:rPr>
                <w:sz w:val="21"/>
              </w:rPr>
              <w:t>2</w:t>
            </w:r>
            <w:r>
              <w:rPr>
                <w:spacing w:val="-8"/>
                <w:sz w:val="21"/>
              </w:rPr>
              <w:t> 年内，您可以申请恢复合同效力。经本公司与您协商</w:t>
            </w:r>
            <w:r>
              <w:rPr>
                <w:spacing w:val="-5"/>
                <w:sz w:val="21"/>
              </w:rPr>
              <w:t>并达成协议，在您补交保险费及其他未还款项之日起，本主险合同效力恢复。利息按</w:t>
            </w:r>
            <w:r>
              <w:rPr>
                <w:b/>
                <w:spacing w:val="-5"/>
                <w:sz w:val="21"/>
              </w:rPr>
              <w:t>本主险合同约定利率</w:t>
            </w:r>
            <w:r>
              <w:rPr>
                <w:spacing w:val="-10"/>
                <w:sz w:val="21"/>
              </w:rPr>
              <w:t>(见释义 </w:t>
            </w:r>
            <w:r>
              <w:rPr>
                <w:sz w:val="21"/>
              </w:rPr>
              <w:t>6.14</w:t>
            </w:r>
            <w:r>
              <w:rPr>
                <w:spacing w:val="-2"/>
                <w:sz w:val="21"/>
              </w:rPr>
              <w:t>)按日复利计算。</w:t>
            </w:r>
          </w:p>
          <w:p>
            <w:pPr>
              <w:pStyle w:val="TableParagraph"/>
              <w:spacing w:line="300" w:lineRule="auto" w:before="15"/>
              <w:ind w:left="191" w:right="103"/>
              <w:jc w:val="both"/>
              <w:rPr>
                <w:sz w:val="21"/>
              </w:rPr>
            </w:pPr>
            <w:r>
              <w:rPr>
                <w:rFonts w:ascii="黑体" w:eastAsia="黑体" w:hint="eastAsia"/>
                <w:spacing w:val="-6"/>
                <w:sz w:val="21"/>
              </w:rPr>
              <w:t>自本主险合同效力中止之日起满 </w:t>
            </w:r>
            <w:r>
              <w:rPr>
                <w:rFonts w:ascii="黑体" w:eastAsia="黑体" w:hint="eastAsia"/>
                <w:sz w:val="21"/>
              </w:rPr>
              <w:t>2</w:t>
            </w:r>
            <w:r>
              <w:rPr>
                <w:rFonts w:ascii="黑体" w:eastAsia="黑体" w:hint="eastAsia"/>
                <w:spacing w:val="-8"/>
                <w:sz w:val="21"/>
              </w:rPr>
              <w:t> 年您和本公司未达成协议的，本公司有权解</w:t>
            </w:r>
            <w:r>
              <w:rPr>
                <w:rFonts w:ascii="黑体" w:eastAsia="黑体" w:hint="eastAsia"/>
                <w:spacing w:val="-6"/>
                <w:sz w:val="21"/>
              </w:rPr>
              <w:t>除合同。</w:t>
            </w:r>
            <w:r>
              <w:rPr>
                <w:spacing w:val="-3"/>
                <w:sz w:val="21"/>
              </w:rPr>
              <w:t>本公司解除合同的，向您退还本主险合同效力中止时保险单的现金价值。</w:t>
            </w:r>
          </w:p>
        </w:tc>
      </w:tr>
      <w:tr>
        <w:trPr>
          <w:trHeight w:val="745" w:hRule="atLeast"/>
        </w:trPr>
        <w:tc>
          <w:tcPr>
            <w:tcW w:w="607" w:type="dxa"/>
            <w:tcBorders>
              <w:bottom w:val="single" w:sz="8" w:space="0" w:color="000000"/>
            </w:tcBorders>
          </w:tcPr>
          <w:p>
            <w:pPr>
              <w:pStyle w:val="TableParagraph"/>
              <w:spacing w:before="185"/>
              <w:ind w:left="0" w:right="31"/>
              <w:jc w:val="center"/>
              <w:rPr>
                <w:rFonts w:ascii="Arial" w:hAnsi="Arial"/>
                <w:b/>
                <w:sz w:val="40"/>
              </w:rPr>
            </w:pPr>
            <w:r>
              <w:rPr>
                <w:rFonts w:ascii="Arial" w:hAnsi="Arial"/>
                <w:b/>
                <w:w w:val="119"/>
                <w:sz w:val="40"/>
              </w:rPr>
              <w:t></w:t>
            </w:r>
          </w:p>
        </w:tc>
        <w:tc>
          <w:tcPr>
            <w:tcW w:w="1390" w:type="dxa"/>
            <w:tcBorders>
              <w:bottom w:val="single" w:sz="8" w:space="0" w:color="000000"/>
            </w:tcBorders>
          </w:tcPr>
          <w:p>
            <w:pPr>
              <w:pStyle w:val="TableParagraph"/>
              <w:spacing w:before="1"/>
              <w:ind w:left="0"/>
              <w:rPr>
                <w:b/>
                <w:sz w:val="18"/>
              </w:rPr>
            </w:pPr>
          </w:p>
          <w:p>
            <w:pPr>
              <w:pStyle w:val="TableParagraph"/>
              <w:spacing w:before="1"/>
              <w:ind w:left="141"/>
              <w:rPr>
                <w:b/>
                <w:sz w:val="24"/>
              </w:rPr>
            </w:pPr>
            <w:r>
              <w:rPr>
                <w:b/>
                <w:sz w:val="24"/>
              </w:rPr>
              <w:t>其他事项</w:t>
            </w:r>
          </w:p>
        </w:tc>
        <w:tc>
          <w:tcPr>
            <w:tcW w:w="7439" w:type="dxa"/>
            <w:tcBorders>
              <w:bottom w:val="single" w:sz="8" w:space="0" w:color="000000"/>
            </w:tcBorders>
          </w:tcPr>
          <w:p>
            <w:pPr>
              <w:pStyle w:val="TableParagraph"/>
              <w:ind w:left="0"/>
              <w:rPr>
                <w:rFonts w:ascii="Times New Roman"/>
                <w:sz w:val="20"/>
              </w:rPr>
            </w:pPr>
          </w:p>
        </w:tc>
      </w:tr>
      <w:tr>
        <w:trPr>
          <w:trHeight w:val="5288" w:hRule="atLeast"/>
        </w:trPr>
        <w:tc>
          <w:tcPr>
            <w:tcW w:w="607" w:type="dxa"/>
            <w:tcBorders>
              <w:top w:val="single" w:sz="8" w:space="0" w:color="000000"/>
            </w:tcBorders>
          </w:tcPr>
          <w:p>
            <w:pPr>
              <w:pStyle w:val="TableParagraph"/>
              <w:spacing w:before="11"/>
              <w:ind w:left="0"/>
              <w:rPr>
                <w:b/>
                <w:sz w:val="15"/>
              </w:rPr>
            </w:pPr>
          </w:p>
          <w:p>
            <w:pPr>
              <w:pStyle w:val="TableParagraph"/>
              <w:ind w:left="88" w:right="160"/>
              <w:jc w:val="center"/>
              <w:rPr>
                <w:b/>
                <w:sz w:val="21"/>
              </w:rPr>
            </w:pPr>
            <w:r>
              <w:rPr>
                <w:b/>
                <w:sz w:val="21"/>
              </w:rPr>
              <w:t>5.1</w:t>
            </w:r>
          </w:p>
        </w:tc>
        <w:tc>
          <w:tcPr>
            <w:tcW w:w="1390" w:type="dxa"/>
            <w:tcBorders>
              <w:top w:val="single" w:sz="8" w:space="0" w:color="000000"/>
            </w:tcBorders>
          </w:tcPr>
          <w:p>
            <w:pPr>
              <w:pStyle w:val="TableParagraph"/>
              <w:spacing w:before="11"/>
              <w:ind w:left="0"/>
              <w:rPr>
                <w:b/>
                <w:sz w:val="15"/>
              </w:rPr>
            </w:pPr>
          </w:p>
          <w:p>
            <w:pPr>
              <w:pStyle w:val="TableParagraph"/>
              <w:spacing w:line="300" w:lineRule="auto"/>
              <w:ind w:left="141" w:right="190"/>
              <w:rPr>
                <w:b/>
                <w:sz w:val="21"/>
              </w:rPr>
            </w:pPr>
            <w:r>
              <w:rPr>
                <w:b/>
                <w:sz w:val="21"/>
              </w:rPr>
              <w:t>明确说明与如实告知</w:t>
            </w:r>
          </w:p>
        </w:tc>
        <w:tc>
          <w:tcPr>
            <w:tcW w:w="7439" w:type="dxa"/>
            <w:tcBorders>
              <w:top w:val="single" w:sz="8" w:space="0" w:color="000000"/>
            </w:tcBorders>
          </w:tcPr>
          <w:p>
            <w:pPr>
              <w:pStyle w:val="TableParagraph"/>
              <w:spacing w:before="11"/>
              <w:ind w:left="0"/>
              <w:rPr>
                <w:b/>
                <w:sz w:val="15"/>
              </w:rPr>
            </w:pPr>
          </w:p>
          <w:p>
            <w:pPr>
              <w:pStyle w:val="TableParagraph"/>
              <w:ind w:left="191"/>
              <w:rPr>
                <w:sz w:val="21"/>
              </w:rPr>
            </w:pPr>
            <w:r>
              <w:rPr>
                <w:sz w:val="21"/>
              </w:rPr>
              <w:t>订立本主险合同时，本公司应向您说明本主险合同的内容。</w:t>
            </w:r>
          </w:p>
          <w:p>
            <w:pPr>
              <w:pStyle w:val="TableParagraph"/>
              <w:spacing w:line="300" w:lineRule="auto" w:before="67"/>
              <w:ind w:left="191" w:right="103"/>
              <w:jc w:val="both"/>
              <w:rPr>
                <w:sz w:val="21"/>
              </w:rPr>
            </w:pPr>
            <w:r>
              <w:rPr>
                <w:sz w:val="21"/>
              </w:rPr>
              <w:t>对保险条款中免除本公司责任的条款，本公司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15"/>
              <w:ind w:left="191"/>
              <w:rPr>
                <w:sz w:val="21"/>
              </w:rPr>
            </w:pPr>
            <w:r>
              <w:rPr>
                <w:sz w:val="21"/>
              </w:rPr>
              <w:t>本公司就您和被保险人的有关情况提出询问，您应当如实告知。</w:t>
            </w:r>
          </w:p>
          <w:p>
            <w:pPr>
              <w:pStyle w:val="TableParagraph"/>
              <w:spacing w:line="300" w:lineRule="auto" w:before="68"/>
              <w:ind w:left="191" w:right="104"/>
              <w:jc w:val="both"/>
              <w:rPr>
                <w:rFonts w:ascii="黑体" w:eastAsia="黑体" w:hint="eastAsia"/>
                <w:sz w:val="21"/>
              </w:rPr>
            </w:pPr>
            <w:r>
              <w:rPr>
                <w:rFonts w:ascii="黑体" w:eastAsia="黑体" w:hint="eastAsia"/>
                <w:sz w:val="21"/>
              </w:rPr>
              <w:t>如果您故意或者因重大过失未履行前款规定的如实告知义务，足以影响本公司决定是否同意承保或者提高保险费率的，本公司有权解除本主险合同。</w:t>
            </w:r>
          </w:p>
          <w:p>
            <w:pPr>
              <w:pStyle w:val="TableParagraph"/>
              <w:spacing w:line="300" w:lineRule="auto" w:before="15"/>
              <w:ind w:left="191" w:right="103"/>
              <w:jc w:val="both"/>
              <w:rPr>
                <w:rFonts w:ascii="黑体" w:eastAsia="黑体" w:hint="eastAsia"/>
                <w:sz w:val="21"/>
              </w:rPr>
            </w:pPr>
            <w:r>
              <w:rPr>
                <w:rFonts w:ascii="黑体" w:eastAsia="黑体" w:hint="eastAsia"/>
                <w:sz w:val="21"/>
              </w:rPr>
              <w:t>如果您故意不履行如实告知义务，对于本主险合同解除前发Th的保险事故，本公司不承担给付保险金的责任，并不退还保险费。</w:t>
            </w:r>
          </w:p>
          <w:p>
            <w:pPr>
              <w:pStyle w:val="TableParagraph"/>
              <w:spacing w:line="300" w:lineRule="auto" w:before="15"/>
              <w:ind w:left="191" w:right="103"/>
              <w:jc w:val="both"/>
              <w:rPr>
                <w:rFonts w:ascii="黑体" w:eastAsia="黑体" w:hint="eastAsia"/>
                <w:sz w:val="21"/>
              </w:rPr>
            </w:pPr>
            <w:r>
              <w:rPr>
                <w:rFonts w:ascii="黑体" w:eastAsia="黑体" w:hint="eastAsia"/>
                <w:sz w:val="21"/>
              </w:rPr>
              <w:t>如果您因重大过失未履行如实告知义务，对保险事故的发Th有严重影响的，对于本主险合同解除前发Th的保险事故，本公司不承担给付保险金的责任，但应当退还保险费。</w:t>
            </w:r>
          </w:p>
          <w:p>
            <w:pPr>
              <w:pStyle w:val="TableParagraph"/>
              <w:spacing w:before="15"/>
              <w:ind w:left="191"/>
              <w:jc w:val="both"/>
              <w:rPr>
                <w:sz w:val="21"/>
              </w:rPr>
            </w:pPr>
            <w:r>
              <w:rPr>
                <w:sz w:val="21"/>
              </w:rPr>
              <w:t>本公司在合同订立时已经知道您未如实告知的情况的，本公司不得解除合同；</w:t>
            </w:r>
          </w:p>
          <w:p>
            <w:pPr>
              <w:pStyle w:val="TableParagraph"/>
              <w:spacing w:line="255" w:lineRule="exact" w:before="68"/>
              <w:ind w:left="191"/>
              <w:jc w:val="both"/>
              <w:rPr>
                <w:sz w:val="21"/>
              </w:rPr>
            </w:pPr>
            <w:r>
              <w:rPr>
                <w:sz w:val="21"/>
              </w:rPr>
              <w:t>发生保险事故的，本公司承担给付保险金的责任。</w:t>
            </w:r>
          </w:p>
        </w:tc>
      </w:tr>
    </w:tbl>
    <w:p>
      <w:pPr>
        <w:spacing w:after="0" w:line="255" w:lineRule="exact"/>
        <w:jc w:val="both"/>
        <w:rPr>
          <w:sz w:val="21"/>
        </w:rPr>
        <w:sectPr>
          <w:pgSz w:w="11910" w:h="16840"/>
          <w:pgMar w:top="1180" w:bottom="280" w:left="1100" w:right="11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475"/>
        <w:gridCol w:w="7354"/>
      </w:tblGrid>
      <w:tr>
        <w:trPr>
          <w:trHeight w:val="1130" w:hRule="atLeast"/>
        </w:trPr>
        <w:tc>
          <w:tcPr>
            <w:tcW w:w="607" w:type="dxa"/>
          </w:tcPr>
          <w:p>
            <w:pPr>
              <w:pStyle w:val="TableParagraph"/>
              <w:spacing w:line="211" w:lineRule="exact"/>
              <w:ind w:left="88" w:right="160"/>
              <w:jc w:val="center"/>
              <w:rPr>
                <w:b/>
                <w:sz w:val="21"/>
              </w:rPr>
            </w:pPr>
            <w:r>
              <w:rPr>
                <w:b/>
                <w:sz w:val="21"/>
              </w:rPr>
              <w:t>5.2</w:t>
            </w:r>
          </w:p>
        </w:tc>
        <w:tc>
          <w:tcPr>
            <w:tcW w:w="1475" w:type="dxa"/>
          </w:tcPr>
          <w:p>
            <w:pPr>
              <w:pStyle w:val="TableParagraph"/>
              <w:spacing w:line="211" w:lineRule="exact"/>
              <w:ind w:left="141"/>
              <w:rPr>
                <w:b/>
                <w:sz w:val="21"/>
              </w:rPr>
            </w:pPr>
            <w:r>
              <w:rPr>
                <w:b/>
                <w:sz w:val="21"/>
              </w:rPr>
              <w:t>本公司合同</w:t>
            </w:r>
          </w:p>
          <w:p>
            <w:pPr>
              <w:pStyle w:val="TableParagraph"/>
              <w:spacing w:line="300" w:lineRule="auto" w:before="68"/>
              <w:ind w:left="141" w:right="275"/>
              <w:rPr>
                <w:b/>
                <w:sz w:val="21"/>
              </w:rPr>
            </w:pPr>
            <w:r>
              <w:rPr>
                <w:b/>
                <w:sz w:val="21"/>
              </w:rPr>
              <w:t>解除权的限制</w:t>
            </w:r>
          </w:p>
        </w:tc>
        <w:tc>
          <w:tcPr>
            <w:tcW w:w="7354" w:type="dxa"/>
          </w:tcPr>
          <w:p>
            <w:pPr>
              <w:pStyle w:val="TableParagraph"/>
              <w:spacing w:line="211" w:lineRule="exact"/>
              <w:rPr>
                <w:sz w:val="21"/>
              </w:rPr>
            </w:pPr>
            <w:r>
              <w:rPr>
                <w:sz w:val="21"/>
              </w:rPr>
              <w:t>前款规定的合同解除权，自本公司知道有解除事由之日起，超过 30 日不行使</w:t>
            </w:r>
          </w:p>
          <w:p>
            <w:pPr>
              <w:pStyle w:val="TableParagraph"/>
              <w:spacing w:line="300" w:lineRule="auto" w:before="68"/>
              <w:ind w:right="105"/>
              <w:rPr>
                <w:sz w:val="21"/>
              </w:rPr>
            </w:pPr>
            <w:r>
              <w:rPr>
                <w:spacing w:val="-5"/>
                <w:sz w:val="21"/>
              </w:rPr>
              <w:t>而消灭。自本主险合同成立之日起超过 </w:t>
            </w:r>
            <w:r>
              <w:rPr>
                <w:sz w:val="21"/>
              </w:rPr>
              <w:t>2</w:t>
            </w:r>
            <w:r>
              <w:rPr>
                <w:spacing w:val="-8"/>
                <w:sz w:val="21"/>
              </w:rPr>
              <w:t> 年的，本公司不得解除合同；发生保</w:t>
            </w:r>
            <w:r>
              <w:rPr>
                <w:spacing w:val="-5"/>
                <w:sz w:val="21"/>
              </w:rPr>
              <w:t>险事故的，本公司承担给付保险金的责任。</w:t>
            </w:r>
          </w:p>
        </w:tc>
      </w:tr>
      <w:tr>
        <w:trPr>
          <w:trHeight w:val="4078" w:hRule="atLeast"/>
        </w:trPr>
        <w:tc>
          <w:tcPr>
            <w:tcW w:w="607" w:type="dxa"/>
          </w:tcPr>
          <w:p>
            <w:pPr>
              <w:pStyle w:val="TableParagraph"/>
              <w:spacing w:before="169"/>
              <w:ind w:left="88" w:right="160"/>
              <w:jc w:val="center"/>
              <w:rPr>
                <w:b/>
                <w:sz w:val="21"/>
              </w:rPr>
            </w:pPr>
            <w:r>
              <w:rPr>
                <w:b/>
                <w:sz w:val="21"/>
              </w:rPr>
              <w:t>5.3</w:t>
            </w:r>
          </w:p>
        </w:tc>
        <w:tc>
          <w:tcPr>
            <w:tcW w:w="1475" w:type="dxa"/>
          </w:tcPr>
          <w:p>
            <w:pPr>
              <w:pStyle w:val="TableParagraph"/>
              <w:spacing w:line="300" w:lineRule="auto" w:before="169"/>
              <w:ind w:left="141" w:right="275"/>
              <w:rPr>
                <w:b/>
                <w:sz w:val="21"/>
              </w:rPr>
            </w:pPr>
            <w:r>
              <w:rPr>
                <w:b/>
                <w:sz w:val="21"/>
              </w:rPr>
              <w:t>年龄性别错误</w:t>
            </w:r>
          </w:p>
        </w:tc>
        <w:tc>
          <w:tcPr>
            <w:tcW w:w="7354" w:type="dxa"/>
          </w:tcPr>
          <w:p>
            <w:pPr>
              <w:pStyle w:val="TableParagraph"/>
              <w:spacing w:line="300" w:lineRule="auto" w:before="169"/>
              <w:ind w:right="106"/>
              <w:rPr>
                <w:sz w:val="21"/>
              </w:rPr>
            </w:pPr>
            <w:r>
              <w:rPr>
                <w:sz w:val="21"/>
              </w:rPr>
              <w:t>您在申请投保时，应将与有效身份证件相符的被保险人出生日期和性别在投保单上填明，如果发生错误按照下列方式办理：</w:t>
            </w:r>
          </w:p>
          <w:p>
            <w:pPr>
              <w:pStyle w:val="TableParagraph"/>
              <w:spacing w:line="300" w:lineRule="auto" w:before="16"/>
              <w:ind w:left="611" w:right="101" w:hanging="505"/>
              <w:rPr>
                <w:sz w:val="21"/>
              </w:rPr>
            </w:pPr>
            <w:r>
              <w:rPr>
                <w:sz w:val="21"/>
              </w:rPr>
              <w:t>（1）</w:t>
            </w:r>
            <w:r>
              <w:rPr>
                <w:rFonts w:ascii="黑体" w:hAnsi="黑体" w:eastAsia="黑体" w:hint="eastAsia"/>
                <w:spacing w:val="-3"/>
                <w:sz w:val="21"/>
              </w:rPr>
              <w:t>您申报的被保险人年龄性别不真实，并且其真实年龄性别不符合本主险合同约定投保年龄性别限制的，在保险事故发</w:t>
            </w:r>
            <w:r>
              <w:rPr>
                <w:rFonts w:ascii="黑体" w:hAnsi="黑体" w:eastAsia="黑体" w:hint="eastAsia"/>
                <w:sz w:val="21"/>
              </w:rPr>
              <w:t>Th</w:t>
            </w:r>
            <w:r>
              <w:rPr>
                <w:rFonts w:ascii="黑体" w:hAnsi="黑体" w:eastAsia="黑体" w:hint="eastAsia"/>
                <w:spacing w:val="-3"/>
                <w:sz w:val="21"/>
              </w:rPr>
              <w:t>之前本公司有权解除合</w:t>
            </w:r>
            <w:r>
              <w:rPr>
                <w:rFonts w:ascii="黑体" w:hAnsi="黑体" w:eastAsia="黑体" w:hint="eastAsia"/>
                <w:spacing w:val="-9"/>
                <w:sz w:val="21"/>
              </w:rPr>
              <w:t>同，并向您退还保险单的现金价值。</w:t>
            </w:r>
            <w:r>
              <w:rPr>
                <w:spacing w:val="-6"/>
                <w:sz w:val="21"/>
              </w:rPr>
              <w:t>本公司行使合同解除权适用“本公司</w:t>
            </w:r>
            <w:r>
              <w:rPr>
                <w:spacing w:val="-4"/>
                <w:sz w:val="21"/>
              </w:rPr>
              <w:t>合同解除权的限制”的规定。</w:t>
            </w:r>
          </w:p>
          <w:p>
            <w:pPr>
              <w:pStyle w:val="TableParagraph"/>
              <w:spacing w:line="300" w:lineRule="auto" w:before="16"/>
              <w:ind w:left="611" w:right="101" w:hanging="505"/>
              <w:rPr>
                <w:sz w:val="21"/>
              </w:rPr>
            </w:pPr>
            <w:r>
              <w:rPr>
                <w:sz w:val="21"/>
              </w:rPr>
              <w:t>（2）</w:t>
            </w:r>
            <w:r>
              <w:rPr>
                <w:spacing w:val="-3"/>
                <w:sz w:val="21"/>
              </w:rPr>
              <w:t>您申报的被保险人年龄性别不真实，致使您实付保险费少于应付保险费</w:t>
            </w:r>
            <w:r>
              <w:rPr>
                <w:spacing w:val="-10"/>
                <w:sz w:val="21"/>
              </w:rPr>
              <w:t>的，本公司有权更正并要求您补交保险费。若已经发生保险事故，在给付</w:t>
            </w:r>
            <w:r>
              <w:rPr>
                <w:spacing w:val="-3"/>
                <w:sz w:val="21"/>
              </w:rPr>
              <w:t>保险金时按实付保险费和应付保险费的比例给付。</w:t>
            </w:r>
          </w:p>
          <w:p>
            <w:pPr>
              <w:pStyle w:val="TableParagraph"/>
              <w:spacing w:line="300" w:lineRule="auto" w:before="16"/>
              <w:ind w:left="599" w:right="202" w:hanging="491"/>
              <w:rPr>
                <w:sz w:val="21"/>
              </w:rPr>
            </w:pPr>
            <w:r>
              <w:rPr>
                <w:sz w:val="21"/>
              </w:rPr>
              <w:t>（3）您申报的被保险人年龄性别不真实，致使您实付保险费多于应付保险费的，本公司会将多收的保险费退还给您。</w:t>
            </w:r>
          </w:p>
        </w:tc>
      </w:tr>
      <w:tr>
        <w:trPr>
          <w:trHeight w:val="958" w:hRule="atLeast"/>
        </w:trPr>
        <w:tc>
          <w:tcPr>
            <w:tcW w:w="607" w:type="dxa"/>
          </w:tcPr>
          <w:p>
            <w:pPr>
              <w:pStyle w:val="TableParagraph"/>
              <w:spacing w:before="138"/>
              <w:ind w:left="88" w:right="160"/>
              <w:jc w:val="center"/>
              <w:rPr>
                <w:b/>
                <w:sz w:val="21"/>
              </w:rPr>
            </w:pPr>
            <w:r>
              <w:rPr>
                <w:b/>
                <w:sz w:val="21"/>
              </w:rPr>
              <w:t>5.4</w:t>
            </w:r>
          </w:p>
        </w:tc>
        <w:tc>
          <w:tcPr>
            <w:tcW w:w="1475" w:type="dxa"/>
          </w:tcPr>
          <w:p>
            <w:pPr>
              <w:pStyle w:val="TableParagraph"/>
              <w:spacing w:before="138"/>
              <w:ind w:left="141"/>
              <w:rPr>
                <w:b/>
                <w:sz w:val="21"/>
              </w:rPr>
            </w:pPr>
            <w:r>
              <w:rPr>
                <w:b/>
                <w:sz w:val="21"/>
              </w:rPr>
              <w:t>事故鉴定</w:t>
            </w:r>
          </w:p>
        </w:tc>
        <w:tc>
          <w:tcPr>
            <w:tcW w:w="7354" w:type="dxa"/>
          </w:tcPr>
          <w:p>
            <w:pPr>
              <w:pStyle w:val="TableParagraph"/>
              <w:spacing w:line="300" w:lineRule="auto" w:before="138"/>
              <w:ind w:right="103"/>
              <w:rPr>
                <w:sz w:val="21"/>
              </w:rPr>
            </w:pPr>
            <w:r>
              <w:rPr>
                <w:sz w:val="21"/>
              </w:rPr>
              <w:t>如果您申请保险金的给付，本公司有权要求被保险人在医院进行身体检查或到具有相应鉴定资格的专业鉴定机构进行残疾鉴定。</w:t>
            </w:r>
          </w:p>
        </w:tc>
      </w:tr>
      <w:tr>
        <w:trPr>
          <w:trHeight w:val="1304" w:hRule="atLeast"/>
        </w:trPr>
        <w:tc>
          <w:tcPr>
            <w:tcW w:w="607" w:type="dxa"/>
          </w:tcPr>
          <w:p>
            <w:pPr>
              <w:pStyle w:val="TableParagraph"/>
              <w:spacing w:before="139"/>
              <w:ind w:left="88" w:right="160"/>
              <w:jc w:val="center"/>
              <w:rPr>
                <w:b/>
                <w:sz w:val="21"/>
              </w:rPr>
            </w:pPr>
            <w:r>
              <w:rPr>
                <w:b/>
                <w:sz w:val="21"/>
              </w:rPr>
              <w:t>5.5</w:t>
            </w:r>
          </w:p>
        </w:tc>
        <w:tc>
          <w:tcPr>
            <w:tcW w:w="1475" w:type="dxa"/>
          </w:tcPr>
          <w:p>
            <w:pPr>
              <w:pStyle w:val="TableParagraph"/>
              <w:spacing w:before="139"/>
              <w:ind w:left="141"/>
              <w:rPr>
                <w:b/>
                <w:sz w:val="21"/>
              </w:rPr>
            </w:pPr>
            <w:r>
              <w:rPr>
                <w:b/>
                <w:sz w:val="21"/>
              </w:rPr>
              <w:t>未还款项</w:t>
            </w:r>
          </w:p>
        </w:tc>
        <w:tc>
          <w:tcPr>
            <w:tcW w:w="7354" w:type="dxa"/>
          </w:tcPr>
          <w:p>
            <w:pPr>
              <w:pStyle w:val="TableParagraph"/>
              <w:spacing w:line="300" w:lineRule="auto" w:before="139"/>
              <w:ind w:right="103"/>
              <w:jc w:val="both"/>
              <w:rPr>
                <w:sz w:val="21"/>
              </w:rPr>
            </w:pPr>
            <w:r>
              <w:rPr>
                <w:sz w:val="21"/>
              </w:rPr>
              <w:t>本公司在给付各项保险金、退还现金价值或返还保险费时，如果您有欠交的保险费或其他未还清款项，本公司会在扣除上述欠款及应付利息后给付。应付利息按本主险合同约定利率按日复利计算，但本主险合同另有约定的除外。</w:t>
            </w:r>
          </w:p>
        </w:tc>
      </w:tr>
      <w:tr>
        <w:trPr>
          <w:trHeight w:val="2354" w:hRule="atLeast"/>
        </w:trPr>
        <w:tc>
          <w:tcPr>
            <w:tcW w:w="607" w:type="dxa"/>
          </w:tcPr>
          <w:p>
            <w:pPr>
              <w:pStyle w:val="TableParagraph"/>
              <w:spacing w:before="140"/>
              <w:ind w:left="88" w:right="160"/>
              <w:jc w:val="center"/>
              <w:rPr>
                <w:b/>
                <w:sz w:val="21"/>
              </w:rPr>
            </w:pPr>
            <w:r>
              <w:rPr>
                <w:b/>
                <w:sz w:val="21"/>
              </w:rPr>
              <w:t>5.6</w:t>
            </w:r>
          </w:p>
        </w:tc>
        <w:tc>
          <w:tcPr>
            <w:tcW w:w="1475" w:type="dxa"/>
          </w:tcPr>
          <w:p>
            <w:pPr>
              <w:pStyle w:val="TableParagraph"/>
              <w:spacing w:before="140"/>
              <w:ind w:left="141"/>
              <w:rPr>
                <w:b/>
                <w:sz w:val="21"/>
              </w:rPr>
            </w:pPr>
            <w:r>
              <w:rPr>
                <w:b/>
                <w:sz w:val="21"/>
              </w:rPr>
              <w:t>争议处理</w:t>
            </w:r>
          </w:p>
        </w:tc>
        <w:tc>
          <w:tcPr>
            <w:tcW w:w="7354" w:type="dxa"/>
          </w:tcPr>
          <w:p>
            <w:pPr>
              <w:pStyle w:val="TableParagraph"/>
              <w:tabs>
                <w:tab w:pos="3575" w:val="left" w:leader="none"/>
              </w:tabs>
              <w:spacing w:line="300" w:lineRule="auto" w:before="140"/>
              <w:ind w:right="204"/>
              <w:rPr>
                <w:sz w:val="21"/>
              </w:rPr>
            </w:pPr>
            <w:r>
              <w:rPr>
                <w:sz w:val="21"/>
              </w:rPr>
              <w:t>您和</w:t>
            </w:r>
            <w:r>
              <w:rPr>
                <w:spacing w:val="-3"/>
                <w:sz w:val="21"/>
              </w:rPr>
              <w:t>本</w:t>
            </w:r>
            <w:r>
              <w:rPr>
                <w:sz w:val="21"/>
              </w:rPr>
              <w:t>公</w:t>
            </w:r>
            <w:r>
              <w:rPr>
                <w:spacing w:val="-3"/>
                <w:sz w:val="21"/>
              </w:rPr>
              <w:t>司</w:t>
            </w:r>
            <w:r>
              <w:rPr>
                <w:sz w:val="21"/>
              </w:rPr>
              <w:t>协</w:t>
            </w:r>
            <w:r>
              <w:rPr>
                <w:spacing w:val="-3"/>
                <w:sz w:val="21"/>
              </w:rPr>
              <w:t>商</w:t>
            </w:r>
            <w:r>
              <w:rPr>
                <w:sz w:val="21"/>
              </w:rPr>
              <w:t>一</w:t>
            </w:r>
            <w:r>
              <w:rPr>
                <w:spacing w:val="-3"/>
                <w:sz w:val="21"/>
              </w:rPr>
              <w:t>致</w:t>
            </w:r>
            <w:r>
              <w:rPr>
                <w:sz w:val="21"/>
              </w:rPr>
              <w:t>选</w:t>
            </w:r>
            <w:r>
              <w:rPr>
                <w:spacing w:val="-3"/>
                <w:sz w:val="21"/>
              </w:rPr>
              <w:t>择</w:t>
            </w:r>
            <w:r>
              <w:rPr>
                <w:sz w:val="21"/>
              </w:rPr>
              <w:t>下列</w:t>
            </w:r>
            <w:r>
              <w:rPr>
                <w:spacing w:val="-3"/>
                <w:sz w:val="21"/>
              </w:rPr>
              <w:t>第</w:t>
            </w:r>
            <w:r>
              <w:rPr>
                <w:sz w:val="21"/>
              </w:rPr>
              <w:t>（</w:t>
              <w:tab/>
            </w:r>
            <w:r>
              <w:rPr>
                <w:spacing w:val="-3"/>
                <w:sz w:val="21"/>
              </w:rPr>
              <w:t>）</w:t>
            </w:r>
            <w:r>
              <w:rPr>
                <w:spacing w:val="-1"/>
                <w:sz w:val="21"/>
              </w:rPr>
              <w:t>种</w:t>
            </w:r>
            <w:r>
              <w:rPr>
                <w:spacing w:val="-3"/>
                <w:sz w:val="21"/>
              </w:rPr>
              <w:t>方</w:t>
            </w:r>
            <w:r>
              <w:rPr>
                <w:sz w:val="21"/>
              </w:rPr>
              <w:t>式</w:t>
            </w:r>
            <w:r>
              <w:rPr>
                <w:spacing w:val="-3"/>
                <w:sz w:val="21"/>
              </w:rPr>
              <w:t>为本</w:t>
            </w:r>
            <w:r>
              <w:rPr>
                <w:sz w:val="21"/>
              </w:rPr>
              <w:t>主险</w:t>
            </w:r>
            <w:r>
              <w:rPr>
                <w:spacing w:val="-3"/>
                <w:sz w:val="21"/>
              </w:rPr>
              <w:t>合</w:t>
            </w:r>
            <w:r>
              <w:rPr>
                <w:sz w:val="21"/>
              </w:rPr>
              <w:t>同</w:t>
            </w:r>
            <w:r>
              <w:rPr>
                <w:spacing w:val="-3"/>
                <w:sz w:val="21"/>
              </w:rPr>
              <w:t>项</w:t>
            </w:r>
            <w:r>
              <w:rPr>
                <w:sz w:val="21"/>
              </w:rPr>
              <w:t>下</w:t>
            </w:r>
            <w:r>
              <w:rPr>
                <w:spacing w:val="-3"/>
                <w:sz w:val="21"/>
              </w:rPr>
              <w:t>的</w:t>
            </w:r>
            <w:r>
              <w:rPr>
                <w:sz w:val="21"/>
              </w:rPr>
              <w:t>争</w:t>
            </w:r>
            <w:r>
              <w:rPr>
                <w:spacing w:val="-3"/>
                <w:sz w:val="21"/>
              </w:rPr>
              <w:t>议</w:t>
            </w:r>
            <w:r>
              <w:rPr>
                <w:sz w:val="21"/>
              </w:rPr>
              <w:t>解决 方式：</w:t>
            </w:r>
          </w:p>
          <w:p>
            <w:pPr>
              <w:pStyle w:val="TableParagraph"/>
              <w:tabs>
                <w:tab w:pos="2418" w:val="left" w:leader="none"/>
              </w:tabs>
              <w:spacing w:line="300" w:lineRule="auto" w:before="15"/>
              <w:ind w:right="204"/>
              <w:rPr>
                <w:sz w:val="21"/>
              </w:rPr>
            </w:pPr>
            <w:r>
              <w:rPr>
                <w:sz w:val="21"/>
              </w:rPr>
              <w:t>（1）因</w:t>
            </w:r>
            <w:r>
              <w:rPr>
                <w:spacing w:val="-3"/>
                <w:sz w:val="21"/>
              </w:rPr>
              <w:t>履</w:t>
            </w:r>
            <w:r>
              <w:rPr>
                <w:sz w:val="21"/>
              </w:rPr>
              <w:t>行</w:t>
            </w:r>
            <w:r>
              <w:rPr>
                <w:spacing w:val="-3"/>
                <w:sz w:val="21"/>
              </w:rPr>
              <w:t>本</w:t>
            </w:r>
            <w:r>
              <w:rPr>
                <w:sz w:val="21"/>
              </w:rPr>
              <w:t>主</w:t>
            </w:r>
            <w:r>
              <w:rPr>
                <w:spacing w:val="-3"/>
                <w:sz w:val="21"/>
              </w:rPr>
              <w:t>险</w:t>
            </w:r>
            <w:r>
              <w:rPr>
                <w:sz w:val="21"/>
              </w:rPr>
              <w:t>合</w:t>
            </w:r>
            <w:r>
              <w:rPr>
                <w:spacing w:val="-3"/>
                <w:sz w:val="21"/>
              </w:rPr>
              <w:t>同发</w:t>
            </w:r>
            <w:r>
              <w:rPr>
                <w:sz w:val="21"/>
              </w:rPr>
              <w:t>生的</w:t>
            </w:r>
            <w:r>
              <w:rPr>
                <w:spacing w:val="-3"/>
                <w:sz w:val="21"/>
              </w:rPr>
              <w:t>争</w:t>
            </w:r>
            <w:r>
              <w:rPr>
                <w:sz w:val="21"/>
              </w:rPr>
              <w:t>议</w:t>
            </w:r>
            <w:r>
              <w:rPr>
                <w:spacing w:val="-3"/>
                <w:sz w:val="21"/>
              </w:rPr>
              <w:t>，</w:t>
            </w:r>
            <w:r>
              <w:rPr>
                <w:sz w:val="21"/>
              </w:rPr>
              <w:t>由</w:t>
            </w:r>
            <w:r>
              <w:rPr>
                <w:spacing w:val="-3"/>
                <w:sz w:val="21"/>
              </w:rPr>
              <w:t>您</w:t>
            </w:r>
            <w:r>
              <w:rPr>
                <w:sz w:val="21"/>
              </w:rPr>
              <w:t>和</w:t>
            </w:r>
            <w:r>
              <w:rPr>
                <w:spacing w:val="-3"/>
                <w:sz w:val="21"/>
              </w:rPr>
              <w:t>本</w:t>
            </w:r>
            <w:r>
              <w:rPr>
                <w:sz w:val="21"/>
              </w:rPr>
              <w:t>公</w:t>
            </w:r>
            <w:r>
              <w:rPr>
                <w:spacing w:val="-3"/>
                <w:sz w:val="21"/>
              </w:rPr>
              <w:t>司</w:t>
            </w:r>
            <w:r>
              <w:rPr>
                <w:sz w:val="21"/>
              </w:rPr>
              <w:t>协商</w:t>
            </w:r>
            <w:r>
              <w:rPr>
                <w:spacing w:val="-3"/>
                <w:sz w:val="21"/>
              </w:rPr>
              <w:t>解</w:t>
            </w:r>
            <w:r>
              <w:rPr>
                <w:sz w:val="21"/>
              </w:rPr>
              <w:t>决</w:t>
            </w:r>
            <w:r>
              <w:rPr>
                <w:spacing w:val="-3"/>
                <w:sz w:val="21"/>
              </w:rPr>
              <w:t>，</w:t>
            </w:r>
            <w:r>
              <w:rPr>
                <w:sz w:val="21"/>
              </w:rPr>
              <w:t>协</w:t>
            </w:r>
            <w:r>
              <w:rPr>
                <w:spacing w:val="-3"/>
                <w:sz w:val="21"/>
              </w:rPr>
              <w:t>商</w:t>
            </w:r>
            <w:r>
              <w:rPr>
                <w:sz w:val="21"/>
              </w:rPr>
              <w:t>不</w:t>
            </w:r>
            <w:r>
              <w:rPr>
                <w:spacing w:val="-3"/>
                <w:sz w:val="21"/>
              </w:rPr>
              <w:t>成</w:t>
            </w:r>
            <w:r>
              <w:rPr>
                <w:sz w:val="21"/>
              </w:rPr>
              <w:t>的， 任何</w:t>
            </w:r>
            <w:r>
              <w:rPr>
                <w:spacing w:val="-3"/>
                <w:sz w:val="21"/>
              </w:rPr>
              <w:t>一</w:t>
            </w:r>
            <w:r>
              <w:rPr>
                <w:sz w:val="21"/>
              </w:rPr>
              <w:t>方</w:t>
            </w:r>
            <w:r>
              <w:rPr>
                <w:spacing w:val="-3"/>
                <w:sz w:val="21"/>
              </w:rPr>
              <w:t>均</w:t>
            </w:r>
            <w:r>
              <w:rPr>
                <w:sz w:val="21"/>
              </w:rPr>
              <w:t>可</w:t>
            </w:r>
            <w:r>
              <w:rPr>
                <w:spacing w:val="-3"/>
                <w:sz w:val="21"/>
              </w:rPr>
              <w:t>提</w:t>
            </w:r>
            <w:r>
              <w:rPr>
                <w:sz w:val="21"/>
              </w:rPr>
              <w:t>交</w:t>
            </w:r>
            <w:r>
              <w:rPr>
                <w:sz w:val="21"/>
                <w:u w:val="single"/>
              </w:rPr>
              <w:t> </w:t>
              <w:tab/>
            </w:r>
            <w:r>
              <w:rPr>
                <w:sz w:val="21"/>
              </w:rPr>
              <w:t>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spacing w:line="300" w:lineRule="auto" w:before="15"/>
              <w:ind w:right="204"/>
              <w:rPr>
                <w:sz w:val="21"/>
              </w:rPr>
            </w:pPr>
            <w:r>
              <w:rPr>
                <w:sz w:val="21"/>
              </w:rPr>
              <w:t>（2）因履行本主险合同发生的争议，由您和本公司协商解决，协商不成的， 任何一方均有权依法向有管辖权的人民法院起诉。</w:t>
            </w:r>
          </w:p>
        </w:tc>
      </w:tr>
      <w:tr>
        <w:trPr>
          <w:trHeight w:val="745" w:hRule="atLeast"/>
        </w:trPr>
        <w:tc>
          <w:tcPr>
            <w:tcW w:w="607" w:type="dxa"/>
            <w:tcBorders>
              <w:bottom w:val="single" w:sz="8" w:space="0" w:color="000000"/>
            </w:tcBorders>
          </w:tcPr>
          <w:p>
            <w:pPr>
              <w:pStyle w:val="TableParagraph"/>
              <w:spacing w:before="186"/>
              <w:ind w:left="0" w:right="31"/>
              <w:jc w:val="center"/>
              <w:rPr>
                <w:rFonts w:ascii="Arial" w:hAnsi="Arial"/>
                <w:b/>
                <w:sz w:val="40"/>
              </w:rPr>
            </w:pPr>
            <w:r>
              <w:rPr>
                <w:rFonts w:ascii="Arial" w:hAnsi="Arial"/>
                <w:b/>
                <w:w w:val="119"/>
                <w:sz w:val="40"/>
              </w:rPr>
              <w:t></w:t>
            </w:r>
          </w:p>
        </w:tc>
        <w:tc>
          <w:tcPr>
            <w:tcW w:w="1475" w:type="dxa"/>
            <w:tcBorders>
              <w:bottom w:val="single" w:sz="8" w:space="0" w:color="000000"/>
            </w:tcBorders>
          </w:tcPr>
          <w:p>
            <w:pPr>
              <w:pStyle w:val="TableParagraph"/>
              <w:spacing w:before="4"/>
              <w:ind w:left="0"/>
              <w:rPr>
                <w:b/>
                <w:sz w:val="18"/>
              </w:rPr>
            </w:pPr>
          </w:p>
          <w:p>
            <w:pPr>
              <w:pStyle w:val="TableParagraph"/>
              <w:ind w:left="141"/>
              <w:rPr>
                <w:b/>
                <w:sz w:val="24"/>
              </w:rPr>
            </w:pPr>
            <w:r>
              <w:rPr>
                <w:b/>
                <w:sz w:val="24"/>
              </w:rPr>
              <w:t>释义</w:t>
            </w:r>
          </w:p>
        </w:tc>
        <w:tc>
          <w:tcPr>
            <w:tcW w:w="7354" w:type="dxa"/>
            <w:tcBorders>
              <w:bottom w:val="single" w:sz="8" w:space="0" w:color="000000"/>
            </w:tcBorders>
          </w:tcPr>
          <w:p>
            <w:pPr>
              <w:pStyle w:val="TableParagraph"/>
              <w:ind w:left="0"/>
              <w:rPr>
                <w:rFonts w:ascii="Times New Roman"/>
                <w:sz w:val="20"/>
              </w:rPr>
            </w:pPr>
          </w:p>
        </w:tc>
      </w:tr>
      <w:tr>
        <w:trPr>
          <w:trHeight w:val="1066" w:hRule="atLeast"/>
        </w:trPr>
        <w:tc>
          <w:tcPr>
            <w:tcW w:w="607" w:type="dxa"/>
            <w:tcBorders>
              <w:top w:val="single" w:sz="8" w:space="0" w:color="000000"/>
            </w:tcBorders>
          </w:tcPr>
          <w:p>
            <w:pPr>
              <w:pStyle w:val="TableParagraph"/>
              <w:ind w:left="0"/>
              <w:rPr>
                <w:b/>
                <w:sz w:val="16"/>
              </w:rPr>
            </w:pPr>
          </w:p>
          <w:p>
            <w:pPr>
              <w:pStyle w:val="TableParagraph"/>
              <w:spacing w:before="1"/>
              <w:ind w:left="88" w:right="160"/>
              <w:jc w:val="center"/>
              <w:rPr>
                <w:b/>
                <w:sz w:val="21"/>
              </w:rPr>
            </w:pPr>
            <w:r>
              <w:rPr>
                <w:b/>
                <w:sz w:val="21"/>
              </w:rPr>
              <w:t>6.1</w:t>
            </w:r>
          </w:p>
        </w:tc>
        <w:tc>
          <w:tcPr>
            <w:tcW w:w="1475" w:type="dxa"/>
            <w:tcBorders>
              <w:top w:val="single" w:sz="8" w:space="0" w:color="000000"/>
            </w:tcBorders>
          </w:tcPr>
          <w:p>
            <w:pPr>
              <w:pStyle w:val="TableParagraph"/>
              <w:ind w:left="0"/>
              <w:rPr>
                <w:b/>
                <w:sz w:val="16"/>
              </w:rPr>
            </w:pPr>
          </w:p>
          <w:p>
            <w:pPr>
              <w:pStyle w:val="TableParagraph"/>
              <w:spacing w:before="1"/>
              <w:ind w:left="141"/>
              <w:rPr>
                <w:b/>
                <w:sz w:val="21"/>
              </w:rPr>
            </w:pPr>
            <w:r>
              <w:rPr>
                <w:b/>
                <w:sz w:val="21"/>
              </w:rPr>
              <w:t>周岁</w:t>
            </w:r>
          </w:p>
        </w:tc>
        <w:tc>
          <w:tcPr>
            <w:tcW w:w="7354" w:type="dxa"/>
            <w:tcBorders>
              <w:top w:val="single" w:sz="8" w:space="0" w:color="000000"/>
            </w:tcBorders>
          </w:tcPr>
          <w:p>
            <w:pPr>
              <w:pStyle w:val="TableParagraph"/>
              <w:ind w:left="0"/>
              <w:rPr>
                <w:b/>
                <w:sz w:val="16"/>
              </w:rPr>
            </w:pPr>
          </w:p>
          <w:p>
            <w:pPr>
              <w:pStyle w:val="TableParagraph"/>
              <w:spacing w:line="300" w:lineRule="auto" w:before="1"/>
              <w:ind w:right="103"/>
              <w:rPr>
                <w:sz w:val="21"/>
              </w:rPr>
            </w:pPr>
            <w:r>
              <w:rPr>
                <w:sz w:val="21"/>
              </w:rPr>
              <w:t>周岁是指按法定有效身份证件文件中记载的出生日期计算的年龄，自出生之日起为零周岁，每经过一年增加一岁，不足一年的不计。</w:t>
            </w:r>
          </w:p>
        </w:tc>
      </w:tr>
      <w:tr>
        <w:trPr>
          <w:trHeight w:val="993" w:hRule="atLeast"/>
        </w:trPr>
        <w:tc>
          <w:tcPr>
            <w:tcW w:w="607" w:type="dxa"/>
          </w:tcPr>
          <w:p>
            <w:pPr>
              <w:pStyle w:val="TableParagraph"/>
              <w:spacing w:before="174"/>
              <w:ind w:left="88" w:right="160"/>
              <w:jc w:val="center"/>
              <w:rPr>
                <w:b/>
                <w:sz w:val="21"/>
              </w:rPr>
            </w:pPr>
            <w:r>
              <w:rPr>
                <w:b/>
                <w:sz w:val="21"/>
              </w:rPr>
              <w:t>6.2</w:t>
            </w:r>
          </w:p>
        </w:tc>
        <w:tc>
          <w:tcPr>
            <w:tcW w:w="1475" w:type="dxa"/>
          </w:tcPr>
          <w:p>
            <w:pPr>
              <w:pStyle w:val="TableParagraph"/>
              <w:spacing w:line="300" w:lineRule="auto" w:before="174"/>
              <w:ind w:left="141" w:right="105"/>
              <w:rPr>
                <w:b/>
                <w:sz w:val="21"/>
              </w:rPr>
            </w:pPr>
            <w:r>
              <w:rPr>
                <w:b/>
                <w:spacing w:val="-32"/>
                <w:sz w:val="21"/>
              </w:rPr>
              <w:t>有 效 身 份 证件</w:t>
            </w:r>
          </w:p>
        </w:tc>
        <w:tc>
          <w:tcPr>
            <w:tcW w:w="7354" w:type="dxa"/>
          </w:tcPr>
          <w:p>
            <w:pPr>
              <w:pStyle w:val="TableParagraph"/>
              <w:spacing w:line="300" w:lineRule="auto" w:before="174"/>
              <w:ind w:right="103"/>
              <w:rPr>
                <w:sz w:val="21"/>
              </w:rPr>
            </w:pPr>
            <w:r>
              <w:rPr>
                <w:sz w:val="21"/>
              </w:rPr>
              <w:t>指依据法律规定，由有权机构制作颁发的证明身份的证件、文件等，如：居民身份证、户口簿、护照、军人证等。</w:t>
            </w:r>
          </w:p>
        </w:tc>
      </w:tr>
      <w:tr>
        <w:trPr>
          <w:trHeight w:val="958" w:hRule="atLeast"/>
        </w:trPr>
        <w:tc>
          <w:tcPr>
            <w:tcW w:w="607" w:type="dxa"/>
          </w:tcPr>
          <w:p>
            <w:pPr>
              <w:pStyle w:val="TableParagraph"/>
              <w:spacing w:before="138"/>
              <w:ind w:left="88" w:right="160"/>
              <w:jc w:val="center"/>
              <w:rPr>
                <w:b/>
                <w:sz w:val="21"/>
              </w:rPr>
            </w:pPr>
            <w:r>
              <w:rPr>
                <w:b/>
                <w:sz w:val="21"/>
              </w:rPr>
              <w:t>6.3</w:t>
            </w:r>
          </w:p>
        </w:tc>
        <w:tc>
          <w:tcPr>
            <w:tcW w:w="1475" w:type="dxa"/>
          </w:tcPr>
          <w:p>
            <w:pPr>
              <w:pStyle w:val="TableParagraph"/>
              <w:spacing w:before="138"/>
              <w:ind w:left="141"/>
              <w:rPr>
                <w:b/>
                <w:sz w:val="21"/>
              </w:rPr>
            </w:pPr>
            <w:r>
              <w:rPr>
                <w:b/>
                <w:sz w:val="21"/>
              </w:rPr>
              <w:t>现金价值</w:t>
            </w:r>
          </w:p>
        </w:tc>
        <w:tc>
          <w:tcPr>
            <w:tcW w:w="7354" w:type="dxa"/>
          </w:tcPr>
          <w:p>
            <w:pPr>
              <w:pStyle w:val="TableParagraph"/>
              <w:spacing w:line="300" w:lineRule="auto" w:before="138"/>
              <w:ind w:right="105"/>
              <w:rPr>
                <w:sz w:val="21"/>
              </w:rPr>
            </w:pPr>
            <w:r>
              <w:rPr>
                <w:sz w:val="21"/>
              </w:rPr>
              <w:t>指保险单所具有的价值，通常体现为解除合同时，根据精算原理计算的，由本公司退还的那部分金额。</w:t>
            </w:r>
          </w:p>
        </w:tc>
      </w:tr>
      <w:tr>
        <w:trPr>
          <w:trHeight w:val="414" w:hRule="atLeast"/>
        </w:trPr>
        <w:tc>
          <w:tcPr>
            <w:tcW w:w="607" w:type="dxa"/>
          </w:tcPr>
          <w:p>
            <w:pPr>
              <w:pStyle w:val="TableParagraph"/>
              <w:spacing w:line="255" w:lineRule="exact" w:before="139"/>
              <w:ind w:left="88" w:right="160"/>
              <w:jc w:val="center"/>
              <w:rPr>
                <w:b/>
                <w:sz w:val="21"/>
              </w:rPr>
            </w:pPr>
            <w:r>
              <w:rPr>
                <w:b/>
                <w:sz w:val="21"/>
              </w:rPr>
              <w:t>6.4</w:t>
            </w:r>
          </w:p>
        </w:tc>
        <w:tc>
          <w:tcPr>
            <w:tcW w:w="1475" w:type="dxa"/>
          </w:tcPr>
          <w:p>
            <w:pPr>
              <w:pStyle w:val="TableParagraph"/>
              <w:spacing w:line="255" w:lineRule="exact" w:before="139"/>
              <w:ind w:left="141"/>
              <w:rPr>
                <w:b/>
                <w:sz w:val="21"/>
              </w:rPr>
            </w:pPr>
            <w:r>
              <w:rPr>
                <w:b/>
                <w:sz w:val="21"/>
              </w:rPr>
              <w:t>重大疾病</w:t>
            </w:r>
          </w:p>
        </w:tc>
        <w:tc>
          <w:tcPr>
            <w:tcW w:w="7354" w:type="dxa"/>
          </w:tcPr>
          <w:p>
            <w:pPr>
              <w:pStyle w:val="TableParagraph"/>
              <w:spacing w:line="255" w:lineRule="exact" w:before="139"/>
              <w:rPr>
                <w:sz w:val="21"/>
              </w:rPr>
            </w:pPr>
            <w:r>
              <w:rPr>
                <w:sz w:val="21"/>
              </w:rPr>
              <w:t>指符合以下疾病定义所述条件的疾病，应当由专科医生明确诊断：</w:t>
            </w:r>
          </w:p>
        </w:tc>
      </w:tr>
    </w:tbl>
    <w:p>
      <w:pPr>
        <w:spacing w:after="0" w:line="255" w:lineRule="exact"/>
        <w:rPr>
          <w:sz w:val="21"/>
        </w:rPr>
        <w:sectPr>
          <w:pgSz w:w="11910" w:h="16840"/>
          <w:pgMar w:top="1180" w:bottom="280" w:left="110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7448"/>
      </w:tblGrid>
      <w:tr>
        <w:trPr>
          <w:trHeight w:val="414" w:hRule="atLeast"/>
        </w:trPr>
        <w:tc>
          <w:tcPr>
            <w:tcW w:w="8981" w:type="dxa"/>
            <w:gridSpan w:val="2"/>
          </w:tcPr>
          <w:p>
            <w:pPr>
              <w:pStyle w:val="TableParagraph"/>
              <w:spacing w:line="211" w:lineRule="exact"/>
              <w:ind w:left="200"/>
              <w:rPr>
                <w:b/>
                <w:sz w:val="21"/>
              </w:rPr>
            </w:pPr>
            <w:r>
              <w:rPr>
                <w:b/>
                <w:sz w:val="21"/>
              </w:rPr>
              <w:t>6.4.1 少儿重大疾病</w:t>
            </w:r>
          </w:p>
        </w:tc>
      </w:tr>
      <w:tr>
        <w:trPr>
          <w:trHeight w:val="4005" w:hRule="atLeast"/>
        </w:trPr>
        <w:tc>
          <w:tcPr>
            <w:tcW w:w="1533" w:type="dxa"/>
          </w:tcPr>
          <w:p>
            <w:pPr>
              <w:pStyle w:val="TableParagraph"/>
              <w:spacing w:before="139"/>
              <w:ind w:left="200"/>
              <w:rPr>
                <w:b/>
                <w:sz w:val="21"/>
              </w:rPr>
            </w:pPr>
            <w:r>
              <w:rPr>
                <w:b/>
                <w:sz w:val="21"/>
              </w:rPr>
              <w:t>1.恶性肿瘤</w:t>
            </w:r>
          </w:p>
        </w:tc>
        <w:tc>
          <w:tcPr>
            <w:tcW w:w="7448" w:type="dxa"/>
          </w:tcPr>
          <w:p>
            <w:pPr>
              <w:pStyle w:val="TableParagraph"/>
              <w:spacing w:line="300" w:lineRule="auto" w:before="139"/>
              <w:ind w:right="197"/>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300" w:lineRule="auto" w:before="15"/>
              <w:ind w:right="4604"/>
              <w:rPr>
                <w:sz w:val="21"/>
              </w:rPr>
            </w:pPr>
            <w:r>
              <w:rPr>
                <w:sz w:val="21"/>
              </w:rPr>
              <w:t>（ICD-10）的恶性肿瘤范畴。下列疾病不在保障范围内：</w:t>
            </w:r>
          </w:p>
          <w:p>
            <w:pPr>
              <w:pStyle w:val="TableParagraph"/>
              <w:spacing w:before="15"/>
              <w:jc w:val="both"/>
              <w:rPr>
                <w:sz w:val="21"/>
              </w:rPr>
            </w:pPr>
            <w:r>
              <w:rPr>
                <w:sz w:val="21"/>
              </w:rPr>
              <w:t>（1）原位癌；</w:t>
            </w:r>
          </w:p>
          <w:p>
            <w:pPr>
              <w:pStyle w:val="TableParagraph"/>
              <w:spacing w:before="68"/>
              <w:jc w:val="both"/>
              <w:rPr>
                <w:sz w:val="21"/>
              </w:rPr>
            </w:pPr>
            <w:r>
              <w:rPr>
                <w:sz w:val="21"/>
              </w:rPr>
              <w:t>（2）相当于 Binet 分期方案 A 期程度的慢性淋巴细胞白血病；</w:t>
            </w:r>
          </w:p>
          <w:p>
            <w:pPr>
              <w:pStyle w:val="TableParagraph"/>
              <w:spacing w:before="68"/>
              <w:jc w:val="both"/>
              <w:rPr>
                <w:sz w:val="21"/>
              </w:rPr>
            </w:pPr>
            <w:r>
              <w:rPr>
                <w:sz w:val="21"/>
              </w:rPr>
              <w:t>（3）相当于 Ann Arbor 分期方案 I 期程度的何杰金氏病；</w:t>
            </w:r>
          </w:p>
          <w:p>
            <w:pPr>
              <w:pStyle w:val="TableParagraph"/>
              <w:spacing w:before="68"/>
              <w:jc w:val="both"/>
              <w:rPr>
                <w:sz w:val="21"/>
              </w:rPr>
            </w:pPr>
            <w:r>
              <w:rPr>
                <w:sz w:val="21"/>
              </w:rPr>
              <w:t>（4）皮肤癌（不包括恶性黑色素瘤及已发生转移的皮肤癌）；</w:t>
            </w:r>
          </w:p>
          <w:p>
            <w:pPr>
              <w:pStyle w:val="TableParagraph"/>
              <w:spacing w:before="32"/>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61"/>
              <w:jc w:val="both"/>
              <w:rPr>
                <w:sz w:val="21"/>
              </w:rPr>
            </w:pPr>
            <w:r>
              <w:rPr>
                <w:sz w:val="21"/>
              </w:rPr>
              <w:t>（6）感染艾滋病病毒或患艾滋病期间所患恶性肿瘤。</w:t>
            </w:r>
          </w:p>
        </w:tc>
      </w:tr>
      <w:tr>
        <w:trPr>
          <w:trHeight w:val="1987" w:hRule="atLeast"/>
        </w:trPr>
        <w:tc>
          <w:tcPr>
            <w:tcW w:w="1533" w:type="dxa"/>
          </w:tcPr>
          <w:p>
            <w:pPr>
              <w:pStyle w:val="TableParagraph"/>
              <w:spacing w:line="300" w:lineRule="auto" w:before="138"/>
              <w:ind w:left="200" w:right="105"/>
              <w:jc w:val="both"/>
              <w:rPr>
                <w:b/>
                <w:sz w:val="21"/>
              </w:rPr>
            </w:pPr>
            <w:r>
              <w:rPr>
                <w:b/>
                <w:sz w:val="21"/>
              </w:rPr>
              <w:t>2.</w:t>
            </w:r>
            <w:r>
              <w:rPr>
                <w:b/>
                <w:spacing w:val="-35"/>
                <w:sz w:val="21"/>
              </w:rPr>
              <w:t> 重 大 器 官</w:t>
            </w:r>
            <w:r>
              <w:rPr>
                <w:b/>
                <w:spacing w:val="-34"/>
                <w:sz w:val="21"/>
              </w:rPr>
              <w:t>移 植 术 或 造血 干 细 胞 移植术</w:t>
            </w:r>
          </w:p>
        </w:tc>
        <w:tc>
          <w:tcPr>
            <w:tcW w:w="7448" w:type="dxa"/>
          </w:tcPr>
          <w:p>
            <w:pPr>
              <w:pStyle w:val="TableParagraph"/>
              <w:spacing w:line="300" w:lineRule="auto" w:before="138"/>
              <w:ind w:right="200"/>
              <w:jc w:val="both"/>
              <w:rPr>
                <w:sz w:val="21"/>
              </w:rPr>
            </w:pPr>
            <w:r>
              <w:rPr>
                <w:sz w:val="21"/>
              </w:rPr>
              <w:t>重大器官移植术，指因相应器官功能衰竭，已经实施了肾脏、肝脏、心脏或肺脏的异体移植手术。</w:t>
            </w:r>
          </w:p>
          <w:p>
            <w:pPr>
              <w:pStyle w:val="TableParagraph"/>
              <w:spacing w:line="300" w:lineRule="auto" w:before="16"/>
              <w:ind w:right="19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645" w:hRule="atLeast"/>
        </w:trPr>
        <w:tc>
          <w:tcPr>
            <w:tcW w:w="1533" w:type="dxa"/>
          </w:tcPr>
          <w:p>
            <w:pPr>
              <w:pStyle w:val="TableParagraph"/>
              <w:spacing w:line="300" w:lineRule="auto" w:before="138"/>
              <w:ind w:left="200" w:right="104"/>
              <w:jc w:val="both"/>
              <w:rPr>
                <w:b/>
                <w:sz w:val="21"/>
              </w:rPr>
            </w:pPr>
            <w:r>
              <w:rPr>
                <w:b/>
                <w:sz w:val="21"/>
              </w:rPr>
              <w:t>3.</w:t>
            </w:r>
            <w:r>
              <w:rPr>
                <w:b/>
                <w:spacing w:val="-35"/>
                <w:sz w:val="21"/>
              </w:rPr>
              <w:t> 终 末 期 肾</w:t>
            </w:r>
            <w:r>
              <w:rPr>
                <w:b/>
                <w:spacing w:val="-41"/>
                <w:sz w:val="21"/>
              </w:rPr>
              <w:t>病</w:t>
            </w:r>
            <w:r>
              <w:rPr>
                <w:b/>
                <w:sz w:val="21"/>
              </w:rPr>
              <w:t>（或称慢性</w:t>
            </w:r>
            <w:r>
              <w:rPr>
                <w:b/>
                <w:spacing w:val="-32"/>
                <w:sz w:val="21"/>
              </w:rPr>
              <w:t>肾 功 能 衰 竭尿毒症期）</w:t>
            </w:r>
          </w:p>
        </w:tc>
        <w:tc>
          <w:tcPr>
            <w:tcW w:w="7448" w:type="dxa"/>
          </w:tcPr>
          <w:p>
            <w:pPr>
              <w:pStyle w:val="TableParagraph"/>
              <w:spacing w:line="300" w:lineRule="auto" w:before="138"/>
              <w:ind w:right="197"/>
              <w:rPr>
                <w:sz w:val="21"/>
              </w:rPr>
            </w:pPr>
            <w:r>
              <w:rPr>
                <w:sz w:val="21"/>
              </w:rPr>
              <w:t>指双肾功能慢性不可逆性衰竭，达到尿毒症期，经诊断后已经进行了至少 90 天的规律性透析治疗或实施了肾脏移植手术。</w:t>
            </w:r>
          </w:p>
        </w:tc>
      </w:tr>
      <w:tr>
        <w:trPr>
          <w:trHeight w:val="958" w:hRule="atLeast"/>
        </w:trPr>
        <w:tc>
          <w:tcPr>
            <w:tcW w:w="1533" w:type="dxa"/>
          </w:tcPr>
          <w:p>
            <w:pPr>
              <w:pStyle w:val="TableParagraph"/>
              <w:spacing w:line="300" w:lineRule="auto" w:before="139"/>
              <w:ind w:left="200" w:right="105"/>
              <w:rPr>
                <w:b/>
                <w:sz w:val="21"/>
              </w:rPr>
            </w:pPr>
            <w:r>
              <w:rPr>
                <w:b/>
                <w:sz w:val="21"/>
              </w:rPr>
              <w:t>4.</w:t>
            </w:r>
            <w:r>
              <w:rPr>
                <w:b/>
                <w:spacing w:val="-35"/>
                <w:sz w:val="21"/>
              </w:rPr>
              <w:t> 多 个 肢 体缺失</w:t>
            </w:r>
          </w:p>
        </w:tc>
        <w:tc>
          <w:tcPr>
            <w:tcW w:w="7448" w:type="dxa"/>
          </w:tcPr>
          <w:p>
            <w:pPr>
              <w:pStyle w:val="TableParagraph"/>
              <w:spacing w:line="300" w:lineRule="auto" w:before="139"/>
              <w:ind w:right="197"/>
              <w:rPr>
                <w:sz w:val="21"/>
              </w:rPr>
            </w:pPr>
            <w:r>
              <w:rPr>
                <w:sz w:val="21"/>
              </w:rPr>
              <w:t>指因疾病或意外伤害导致两个或两个以上肢体自腕关节或踝关节近端（靠近躯干端）以上完全性断离。</w:t>
            </w:r>
          </w:p>
        </w:tc>
      </w:tr>
      <w:tr>
        <w:trPr>
          <w:trHeight w:val="2331" w:hRule="atLeast"/>
        </w:trPr>
        <w:tc>
          <w:tcPr>
            <w:tcW w:w="1533" w:type="dxa"/>
          </w:tcPr>
          <w:p>
            <w:pPr>
              <w:pStyle w:val="TableParagraph"/>
              <w:spacing w:line="300" w:lineRule="auto" w:before="138"/>
              <w:ind w:left="200" w:right="105"/>
              <w:jc w:val="both"/>
              <w:rPr>
                <w:b/>
                <w:sz w:val="21"/>
              </w:rPr>
            </w:pPr>
            <w:r>
              <w:rPr>
                <w:b/>
                <w:sz w:val="21"/>
              </w:rPr>
              <w:t>5.</w:t>
            </w:r>
            <w:r>
              <w:rPr>
                <w:b/>
                <w:spacing w:val="-35"/>
                <w:sz w:val="21"/>
              </w:rPr>
              <w:t> 急 性 或 亚</w:t>
            </w:r>
            <w:r>
              <w:rPr>
                <w:b/>
                <w:spacing w:val="-34"/>
                <w:sz w:val="21"/>
              </w:rPr>
              <w:t>急 性 重 症 肝炎</w:t>
            </w:r>
          </w:p>
        </w:tc>
        <w:tc>
          <w:tcPr>
            <w:tcW w:w="7448" w:type="dxa"/>
          </w:tcPr>
          <w:p>
            <w:pPr>
              <w:pStyle w:val="TableParagraph"/>
              <w:spacing w:line="300" w:lineRule="auto" w:before="138"/>
              <w:ind w:right="197"/>
              <w:rPr>
                <w:sz w:val="21"/>
              </w:rPr>
            </w:pPr>
            <w:r>
              <w:rPr>
                <w:sz w:val="21"/>
              </w:rPr>
              <w:t>指因肝炎病毒感染引起肝脏组织弥漫性坏死，导致急性肝功能衰竭，且经血清学或病毒学检查证实，并须满足下列全部条件：</w:t>
            </w:r>
          </w:p>
          <w:p>
            <w:pPr>
              <w:pStyle w:val="TableParagraph"/>
              <w:spacing w:before="16"/>
              <w:rPr>
                <w:sz w:val="21"/>
              </w:rPr>
            </w:pPr>
            <w:r>
              <w:rPr>
                <w:sz w:val="21"/>
              </w:rPr>
              <w:t>（1）重度黄疸或黄疸迅速加重；</w:t>
            </w:r>
          </w:p>
          <w:p>
            <w:pPr>
              <w:pStyle w:val="TableParagraph"/>
              <w:spacing w:before="69"/>
              <w:rPr>
                <w:sz w:val="21"/>
              </w:rPr>
            </w:pPr>
            <w:r>
              <w:rPr>
                <w:sz w:val="21"/>
              </w:rPr>
              <w:t>（2）肝性脑病；</w:t>
            </w:r>
          </w:p>
          <w:p>
            <w:pPr>
              <w:pStyle w:val="TableParagraph"/>
              <w:spacing w:before="68"/>
              <w:rPr>
                <w:sz w:val="21"/>
              </w:rPr>
            </w:pPr>
            <w:r>
              <w:rPr>
                <w:sz w:val="21"/>
              </w:rPr>
              <w:t>（3）B 超或其他影像学检查显示肝脏体积急速萎缩；</w:t>
            </w:r>
          </w:p>
          <w:p>
            <w:pPr>
              <w:pStyle w:val="TableParagraph"/>
              <w:spacing w:before="68"/>
              <w:rPr>
                <w:sz w:val="21"/>
              </w:rPr>
            </w:pPr>
            <w:r>
              <w:rPr>
                <w:sz w:val="21"/>
              </w:rPr>
              <w:t>（4）肝功能指标进行性恶化。</w:t>
            </w:r>
          </w:p>
        </w:tc>
      </w:tr>
      <w:tr>
        <w:trPr>
          <w:trHeight w:val="2675" w:hRule="atLeast"/>
        </w:trPr>
        <w:tc>
          <w:tcPr>
            <w:tcW w:w="1533" w:type="dxa"/>
          </w:tcPr>
          <w:p>
            <w:pPr>
              <w:pStyle w:val="TableParagraph"/>
              <w:spacing w:line="300" w:lineRule="auto" w:before="138"/>
              <w:ind w:left="200" w:right="105"/>
              <w:rPr>
                <w:b/>
                <w:sz w:val="21"/>
              </w:rPr>
            </w:pPr>
            <w:r>
              <w:rPr>
                <w:b/>
                <w:sz w:val="21"/>
              </w:rPr>
              <w:t>6.</w:t>
            </w:r>
            <w:r>
              <w:rPr>
                <w:b/>
                <w:spacing w:val="-35"/>
                <w:sz w:val="21"/>
              </w:rPr>
              <w:t> 良 性 脑 肿瘤</w:t>
            </w:r>
          </w:p>
        </w:tc>
        <w:tc>
          <w:tcPr>
            <w:tcW w:w="7448" w:type="dxa"/>
          </w:tcPr>
          <w:p>
            <w:pPr>
              <w:pStyle w:val="TableParagraph"/>
              <w:spacing w:line="300" w:lineRule="auto" w:before="138"/>
              <w:ind w:right="197"/>
              <w:jc w:val="both"/>
              <w:rPr>
                <w:sz w:val="21"/>
              </w:rPr>
            </w:pPr>
            <w:r>
              <w:rPr>
                <w:sz w:val="21"/>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spacing w:before="16"/>
              <w:jc w:val="both"/>
              <w:rPr>
                <w:sz w:val="21"/>
              </w:rPr>
            </w:pPr>
            <w:r>
              <w:rPr>
                <w:sz w:val="21"/>
              </w:rPr>
              <w:t>（1）实际实施了开颅进行的脑肿瘤完全切除或部分切除的手术；</w:t>
            </w:r>
          </w:p>
          <w:p>
            <w:pPr>
              <w:pStyle w:val="TableParagraph"/>
              <w:spacing w:before="68"/>
              <w:jc w:val="both"/>
              <w:rPr>
                <w:sz w:val="21"/>
              </w:rPr>
            </w:pPr>
            <w:r>
              <w:rPr>
                <w:sz w:val="21"/>
              </w:rPr>
              <w:t>（2）实际实施了对脑肿瘤进行的放射治疗。</w:t>
            </w:r>
          </w:p>
          <w:p>
            <w:pPr>
              <w:pStyle w:val="TableParagraph"/>
              <w:spacing w:before="68"/>
              <w:jc w:val="both"/>
              <w:rPr>
                <w:sz w:val="21"/>
              </w:rPr>
            </w:pPr>
            <w:r>
              <w:rPr>
                <w:sz w:val="21"/>
              </w:rPr>
              <w:t>脑垂体瘤、脑囊肿、脑血管性疾病不在保障范围内。</w:t>
            </w:r>
          </w:p>
        </w:tc>
      </w:tr>
      <w:tr>
        <w:trPr>
          <w:trHeight w:val="414" w:hRule="atLeast"/>
        </w:trPr>
        <w:tc>
          <w:tcPr>
            <w:tcW w:w="1533" w:type="dxa"/>
          </w:tcPr>
          <w:p>
            <w:pPr>
              <w:pStyle w:val="TableParagraph"/>
              <w:spacing w:line="255" w:lineRule="exact" w:before="139"/>
              <w:ind w:left="200"/>
              <w:rPr>
                <w:b/>
                <w:sz w:val="21"/>
              </w:rPr>
            </w:pPr>
            <w:r>
              <w:rPr>
                <w:b/>
                <w:sz w:val="21"/>
              </w:rPr>
              <w:t>7.</w:t>
            </w:r>
            <w:r>
              <w:rPr>
                <w:b/>
                <w:spacing w:val="-35"/>
                <w:sz w:val="21"/>
              </w:rPr>
              <w:t> 慢 性 肝 功</w:t>
            </w:r>
          </w:p>
        </w:tc>
        <w:tc>
          <w:tcPr>
            <w:tcW w:w="7448" w:type="dxa"/>
          </w:tcPr>
          <w:p>
            <w:pPr>
              <w:pStyle w:val="TableParagraph"/>
              <w:spacing w:line="255" w:lineRule="exact" w:before="139"/>
              <w:rPr>
                <w:sz w:val="21"/>
              </w:rPr>
            </w:pPr>
            <w:r>
              <w:rPr>
                <w:sz w:val="21"/>
              </w:rPr>
              <w:t>指因慢性肝脏疾病导致肝功能衰竭,须满足下列全部条件：</w:t>
            </w:r>
          </w:p>
        </w:tc>
      </w:tr>
    </w:tbl>
    <w:p>
      <w:pPr>
        <w:spacing w:after="0" w:line="255" w:lineRule="exact"/>
        <w:rPr>
          <w:sz w:val="21"/>
        </w:rPr>
        <w:sectPr>
          <w:pgSz w:w="11910" w:h="16840"/>
          <w:pgMar w:top="1180" w:bottom="280" w:left="1660" w:right="10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0"/>
        <w:gridCol w:w="7528"/>
      </w:tblGrid>
      <w:tr>
        <w:trPr>
          <w:trHeight w:val="1787" w:hRule="atLeast"/>
        </w:trPr>
        <w:tc>
          <w:tcPr>
            <w:tcW w:w="1560" w:type="dxa"/>
          </w:tcPr>
          <w:p>
            <w:pPr>
              <w:pStyle w:val="TableParagraph"/>
              <w:spacing w:line="211" w:lineRule="exact"/>
              <w:ind w:left="200"/>
              <w:rPr>
                <w:b/>
                <w:sz w:val="21"/>
              </w:rPr>
            </w:pPr>
            <w:r>
              <w:rPr>
                <w:b/>
                <w:spacing w:val="-32"/>
                <w:sz w:val="21"/>
              </w:rPr>
              <w:t>能 衰 竭 失 代</w:t>
            </w:r>
          </w:p>
          <w:p>
            <w:pPr>
              <w:pStyle w:val="TableParagraph"/>
              <w:spacing w:before="68"/>
              <w:ind w:left="200"/>
              <w:rPr>
                <w:b/>
                <w:sz w:val="21"/>
              </w:rPr>
            </w:pPr>
            <w:r>
              <w:rPr>
                <w:b/>
                <w:sz w:val="21"/>
              </w:rPr>
              <w:t>偿期</w:t>
            </w:r>
          </w:p>
        </w:tc>
        <w:tc>
          <w:tcPr>
            <w:tcW w:w="7528" w:type="dxa"/>
          </w:tcPr>
          <w:p>
            <w:pPr>
              <w:pStyle w:val="TableParagraph"/>
              <w:spacing w:line="211" w:lineRule="exact"/>
              <w:ind w:left="79"/>
              <w:rPr>
                <w:sz w:val="21"/>
              </w:rPr>
            </w:pPr>
            <w:r>
              <w:rPr>
                <w:sz w:val="21"/>
              </w:rPr>
              <w:t>（1）持续性黄疸；</w:t>
            </w:r>
          </w:p>
          <w:p>
            <w:pPr>
              <w:pStyle w:val="TableParagraph"/>
              <w:spacing w:before="68"/>
              <w:ind w:left="79"/>
              <w:rPr>
                <w:sz w:val="21"/>
              </w:rPr>
            </w:pPr>
            <w:r>
              <w:rPr>
                <w:sz w:val="21"/>
              </w:rPr>
              <w:t>（2）腹水；</w:t>
            </w:r>
          </w:p>
          <w:p>
            <w:pPr>
              <w:pStyle w:val="TableParagraph"/>
              <w:spacing w:before="67"/>
              <w:ind w:left="79"/>
              <w:rPr>
                <w:sz w:val="21"/>
              </w:rPr>
            </w:pPr>
            <w:r>
              <w:rPr>
                <w:sz w:val="21"/>
              </w:rPr>
              <w:t>（3）肝性脑病；</w:t>
            </w:r>
          </w:p>
          <w:p>
            <w:pPr>
              <w:pStyle w:val="TableParagraph"/>
              <w:spacing w:line="300" w:lineRule="auto" w:before="67"/>
              <w:ind w:left="79" w:right="2400"/>
              <w:rPr>
                <w:sz w:val="21"/>
              </w:rPr>
            </w:pPr>
            <w:r>
              <w:rPr>
                <w:sz w:val="21"/>
              </w:rPr>
              <w:t>（4）充血性脾大伴脾功能亢进或食管胃底静脉曲张。因酗酒或药物滥用导致的肝功能衰竭不在保障范围内。</w:t>
            </w:r>
          </w:p>
        </w:tc>
      </w:tr>
      <w:tr>
        <w:trPr>
          <w:trHeight w:val="2332" w:hRule="atLeast"/>
        </w:trPr>
        <w:tc>
          <w:tcPr>
            <w:tcW w:w="1560" w:type="dxa"/>
          </w:tcPr>
          <w:p>
            <w:pPr>
              <w:pStyle w:val="TableParagraph"/>
              <w:spacing w:line="300" w:lineRule="auto" w:before="139"/>
              <w:ind w:left="200" w:right="132"/>
              <w:jc w:val="both"/>
              <w:rPr>
                <w:b/>
                <w:sz w:val="21"/>
              </w:rPr>
            </w:pPr>
            <w:r>
              <w:rPr>
                <w:b/>
                <w:sz w:val="21"/>
              </w:rPr>
              <w:t>8.</w:t>
            </w:r>
            <w:r>
              <w:rPr>
                <w:b/>
                <w:spacing w:val="-35"/>
                <w:sz w:val="21"/>
              </w:rPr>
              <w:t> 脑 炎 后 遗</w:t>
            </w:r>
            <w:r>
              <w:rPr>
                <w:b/>
                <w:spacing w:val="-34"/>
                <w:sz w:val="21"/>
              </w:rPr>
              <w:t>症 或 脑 膜 炎后遗症</w:t>
            </w:r>
          </w:p>
        </w:tc>
        <w:tc>
          <w:tcPr>
            <w:tcW w:w="7528" w:type="dxa"/>
          </w:tcPr>
          <w:p>
            <w:pPr>
              <w:pStyle w:val="TableParagraph"/>
              <w:spacing w:line="300" w:lineRule="auto" w:before="139"/>
              <w:ind w:left="79" w:right="304"/>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16"/>
              <w:ind w:left="79"/>
              <w:rPr>
                <w:sz w:val="21"/>
              </w:rPr>
            </w:pPr>
            <w:r>
              <w:rPr>
                <w:w w:val="100"/>
                <w:sz w:val="21"/>
              </w:rPr>
              <w:t>（1</w:t>
            </w:r>
            <w:r>
              <w:rPr>
                <w:spacing w:val="-2"/>
                <w:w w:val="100"/>
                <w:sz w:val="21"/>
              </w:rPr>
              <w:t>）</w:t>
            </w:r>
            <w:r>
              <w:rPr>
                <w:spacing w:val="-3"/>
                <w:w w:val="100"/>
                <w:sz w:val="21"/>
              </w:rPr>
              <w:t>一肢或一肢以上</w:t>
            </w:r>
            <w:r>
              <w:rPr>
                <w:b/>
                <w:w w:val="100"/>
                <w:sz w:val="21"/>
              </w:rPr>
              <w:t>肢体机能完全丧失</w:t>
            </w:r>
            <w:r>
              <w:rPr>
                <w:spacing w:val="-3"/>
                <w:w w:val="100"/>
                <w:sz w:val="21"/>
              </w:rPr>
              <w:t>（</w:t>
            </w:r>
            <w:r>
              <w:rPr>
                <w:spacing w:val="-2"/>
                <w:w w:val="100"/>
                <w:sz w:val="21"/>
              </w:rPr>
              <w:t>见释义</w:t>
            </w:r>
            <w:r>
              <w:rPr>
                <w:spacing w:val="-53"/>
                <w:sz w:val="21"/>
              </w:rPr>
              <w:t> </w:t>
            </w:r>
            <w:r>
              <w:rPr>
                <w:w w:val="100"/>
                <w:sz w:val="21"/>
              </w:rPr>
              <w:t>6</w:t>
            </w:r>
            <w:r>
              <w:rPr>
                <w:spacing w:val="-3"/>
                <w:w w:val="100"/>
                <w:sz w:val="21"/>
              </w:rPr>
              <w:t>.</w:t>
            </w:r>
            <w:r>
              <w:rPr>
                <w:spacing w:val="-1"/>
                <w:w w:val="100"/>
                <w:sz w:val="21"/>
              </w:rPr>
              <w:t>1</w:t>
            </w:r>
            <w:r>
              <w:rPr>
                <w:w w:val="100"/>
                <w:sz w:val="21"/>
              </w:rPr>
              <w:t>5</w:t>
            </w:r>
            <w:r>
              <w:rPr>
                <w:spacing w:val="-106"/>
                <w:w w:val="100"/>
                <w:sz w:val="21"/>
              </w:rPr>
              <w:t>）</w:t>
            </w:r>
            <w:r>
              <w:rPr>
                <w:w w:val="100"/>
                <w:sz w:val="21"/>
              </w:rPr>
              <w:t>；</w:t>
            </w:r>
          </w:p>
          <w:p>
            <w:pPr>
              <w:pStyle w:val="TableParagraph"/>
              <w:spacing w:before="68"/>
              <w:ind w:left="79"/>
              <w:rPr>
                <w:sz w:val="21"/>
              </w:rPr>
            </w:pPr>
            <w:r>
              <w:rPr>
                <w:w w:val="100"/>
                <w:sz w:val="21"/>
              </w:rPr>
              <w:t>（2</w:t>
            </w:r>
            <w:r>
              <w:rPr>
                <w:spacing w:val="-2"/>
                <w:w w:val="100"/>
                <w:sz w:val="21"/>
              </w:rPr>
              <w:t>）</w:t>
            </w:r>
            <w:r>
              <w:rPr>
                <w:b/>
                <w:spacing w:val="-2"/>
                <w:w w:val="100"/>
                <w:sz w:val="21"/>
              </w:rPr>
              <w:t>语言能力或咀嚼吞咽能力完全丧失</w:t>
            </w:r>
            <w:r>
              <w:rPr>
                <w:spacing w:val="-3"/>
                <w:w w:val="100"/>
                <w:sz w:val="21"/>
              </w:rPr>
              <w:t>（</w:t>
            </w:r>
            <w:r>
              <w:rPr>
                <w:spacing w:val="-2"/>
                <w:w w:val="100"/>
                <w:sz w:val="21"/>
              </w:rPr>
              <w:t>见释义</w:t>
            </w:r>
            <w:r>
              <w:rPr>
                <w:spacing w:val="-53"/>
                <w:sz w:val="21"/>
              </w:rPr>
              <w:t> </w:t>
            </w:r>
            <w:r>
              <w:rPr>
                <w:w w:val="100"/>
                <w:sz w:val="21"/>
              </w:rPr>
              <w:t>6</w:t>
            </w:r>
            <w:r>
              <w:rPr>
                <w:spacing w:val="-3"/>
                <w:w w:val="100"/>
                <w:sz w:val="21"/>
              </w:rPr>
              <w:t>.</w:t>
            </w:r>
            <w:r>
              <w:rPr>
                <w:spacing w:val="-1"/>
                <w:w w:val="100"/>
                <w:sz w:val="21"/>
              </w:rPr>
              <w:t>1</w:t>
            </w:r>
            <w:r>
              <w:rPr>
                <w:w w:val="100"/>
                <w:sz w:val="21"/>
              </w:rPr>
              <w:t>6</w:t>
            </w:r>
            <w:r>
              <w:rPr>
                <w:spacing w:val="-106"/>
                <w:w w:val="100"/>
                <w:sz w:val="21"/>
              </w:rPr>
              <w:t>）</w:t>
            </w:r>
            <w:r>
              <w:rPr>
                <w:w w:val="100"/>
                <w:sz w:val="21"/>
              </w:rPr>
              <w:t>；</w:t>
            </w:r>
          </w:p>
          <w:p>
            <w:pPr>
              <w:pStyle w:val="TableParagraph"/>
              <w:spacing w:before="68"/>
              <w:ind w:left="79"/>
              <w:rPr>
                <w:sz w:val="21"/>
              </w:rPr>
            </w:pPr>
            <w:r>
              <w:rPr>
                <w:sz w:val="21"/>
              </w:rPr>
              <w:t>（3）自主生活能力完全丧失，无法独立完成</w:t>
            </w:r>
            <w:r>
              <w:rPr>
                <w:b/>
                <w:sz w:val="21"/>
              </w:rPr>
              <w:t>六项基本日常生活活动</w:t>
            </w:r>
            <w:r>
              <w:rPr>
                <w:sz w:val="21"/>
              </w:rPr>
              <w:t>（见释义</w:t>
            </w:r>
          </w:p>
          <w:p>
            <w:pPr>
              <w:pStyle w:val="TableParagraph"/>
              <w:spacing w:before="69"/>
              <w:ind w:left="79"/>
              <w:rPr>
                <w:sz w:val="21"/>
              </w:rPr>
            </w:pPr>
            <w:r>
              <w:rPr>
                <w:sz w:val="21"/>
              </w:rPr>
              <w:t>6.17）中的三项或三项以上。</w:t>
            </w:r>
          </w:p>
        </w:tc>
      </w:tr>
      <w:tr>
        <w:trPr>
          <w:trHeight w:val="1644" w:hRule="atLeast"/>
        </w:trPr>
        <w:tc>
          <w:tcPr>
            <w:tcW w:w="1560" w:type="dxa"/>
          </w:tcPr>
          <w:p>
            <w:pPr>
              <w:pStyle w:val="TableParagraph"/>
              <w:spacing w:before="138"/>
              <w:ind w:left="200"/>
              <w:rPr>
                <w:b/>
                <w:sz w:val="21"/>
              </w:rPr>
            </w:pPr>
            <w:r>
              <w:rPr>
                <w:b/>
                <w:sz w:val="21"/>
              </w:rPr>
              <w:t>9.深度昏迷</w:t>
            </w:r>
          </w:p>
        </w:tc>
        <w:tc>
          <w:tcPr>
            <w:tcW w:w="7528" w:type="dxa"/>
          </w:tcPr>
          <w:p>
            <w:pPr>
              <w:pStyle w:val="TableParagraph"/>
              <w:spacing w:line="300" w:lineRule="auto" w:before="138"/>
              <w:ind w:left="79" w:right="299"/>
              <w:jc w:val="both"/>
              <w:rPr>
                <w:sz w:val="21"/>
              </w:rPr>
            </w:pPr>
            <w:r>
              <w:rPr>
                <w:spacing w:val="2"/>
                <w:sz w:val="21"/>
              </w:rPr>
              <w:t>指因疾病或意外伤害导致意识丧失,对外界刺激和体内需求均无反应,昏迷程</w:t>
            </w:r>
            <w:r>
              <w:rPr>
                <w:spacing w:val="-3"/>
                <w:sz w:val="21"/>
              </w:rPr>
              <w:t>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1"/>
                <w:sz w:val="21"/>
              </w:rPr>
              <w:t> 分以下，且</w:t>
            </w:r>
            <w:r>
              <w:rPr>
                <w:spacing w:val="-8"/>
                <w:sz w:val="21"/>
              </w:rPr>
              <w:t>已经持续使用呼吸机及其它生命维持系统 </w:t>
            </w:r>
            <w:r>
              <w:rPr>
                <w:sz w:val="21"/>
              </w:rPr>
              <w:t>96</w:t>
            </w:r>
            <w:r>
              <w:rPr>
                <w:spacing w:val="-9"/>
                <w:sz w:val="21"/>
              </w:rPr>
              <w:t> 小时以上。</w:t>
            </w:r>
          </w:p>
          <w:p>
            <w:pPr>
              <w:pStyle w:val="TableParagraph"/>
              <w:spacing w:before="16"/>
              <w:ind w:left="79"/>
              <w:jc w:val="both"/>
              <w:rPr>
                <w:sz w:val="21"/>
              </w:rPr>
            </w:pPr>
            <w:r>
              <w:rPr>
                <w:sz w:val="21"/>
              </w:rPr>
              <w:t>因酗酒或药物滥用导致的深度昏迷不在保障范围内。</w:t>
            </w:r>
          </w:p>
        </w:tc>
      </w:tr>
      <w:tr>
        <w:trPr>
          <w:trHeight w:val="1302" w:hRule="atLeast"/>
        </w:trPr>
        <w:tc>
          <w:tcPr>
            <w:tcW w:w="1560" w:type="dxa"/>
          </w:tcPr>
          <w:p>
            <w:pPr>
              <w:pStyle w:val="TableParagraph"/>
              <w:spacing w:before="138"/>
              <w:ind w:left="200"/>
              <w:rPr>
                <w:b/>
                <w:sz w:val="21"/>
              </w:rPr>
            </w:pPr>
            <w:r>
              <w:rPr>
                <w:b/>
                <w:sz w:val="21"/>
              </w:rPr>
              <w:t>10.双耳失聪</w:t>
            </w:r>
          </w:p>
        </w:tc>
        <w:tc>
          <w:tcPr>
            <w:tcW w:w="7528" w:type="dxa"/>
          </w:tcPr>
          <w:p>
            <w:pPr>
              <w:pStyle w:val="TableParagraph"/>
              <w:spacing w:before="138"/>
              <w:ind w:left="79"/>
              <w:rPr>
                <w:sz w:val="21"/>
              </w:rPr>
            </w:pPr>
            <w:r>
              <w:rPr>
                <w:sz w:val="21"/>
              </w:rPr>
              <w:t>指因疾病或意外伤害导致双耳听力</w:t>
            </w:r>
            <w:r>
              <w:rPr>
                <w:b/>
                <w:sz w:val="21"/>
              </w:rPr>
              <w:t>永久不可逆</w:t>
            </w:r>
            <w:r>
              <w:rPr>
                <w:sz w:val="21"/>
              </w:rPr>
              <w:t>（见释义 6.18）性丧失，在 500</w:t>
            </w:r>
          </w:p>
          <w:p>
            <w:pPr>
              <w:pStyle w:val="TableParagraph"/>
              <w:spacing w:line="300" w:lineRule="auto" w:before="68"/>
              <w:ind w:left="79" w:right="301"/>
              <w:rPr>
                <w:sz w:val="21"/>
              </w:rPr>
            </w:pPr>
            <w:r>
              <w:rPr>
                <w:spacing w:val="-7"/>
                <w:sz w:val="21"/>
              </w:rPr>
              <w:t>赫兹、</w:t>
            </w:r>
            <w:r>
              <w:rPr>
                <w:sz w:val="21"/>
              </w:rPr>
              <w:t>1000</w:t>
            </w:r>
            <w:r>
              <w:rPr>
                <w:spacing w:val="-21"/>
                <w:sz w:val="21"/>
              </w:rPr>
              <w:t> 赫兹和 </w:t>
            </w:r>
            <w:r>
              <w:rPr>
                <w:sz w:val="21"/>
              </w:rPr>
              <w:t>2000</w:t>
            </w:r>
            <w:r>
              <w:rPr>
                <w:spacing w:val="-12"/>
                <w:sz w:val="21"/>
              </w:rPr>
              <w:t> 赫兹语音频率下，平均听阈大于 </w:t>
            </w:r>
            <w:r>
              <w:rPr>
                <w:sz w:val="21"/>
              </w:rPr>
              <w:t>90</w:t>
            </w:r>
            <w:r>
              <w:rPr>
                <w:spacing w:val="-10"/>
                <w:sz w:val="21"/>
              </w:rPr>
              <w:t> 分贝，且经纯音听</w:t>
            </w:r>
            <w:r>
              <w:rPr>
                <w:spacing w:val="-5"/>
                <w:sz w:val="21"/>
              </w:rPr>
              <w:t>力测试、声导抗检测或听觉诱发电位检测等证实。</w:t>
            </w:r>
          </w:p>
        </w:tc>
      </w:tr>
      <w:tr>
        <w:trPr>
          <w:trHeight w:val="2331" w:hRule="atLeast"/>
        </w:trPr>
        <w:tc>
          <w:tcPr>
            <w:tcW w:w="1560" w:type="dxa"/>
          </w:tcPr>
          <w:p>
            <w:pPr>
              <w:pStyle w:val="TableParagraph"/>
              <w:spacing w:before="139"/>
              <w:ind w:left="200"/>
              <w:rPr>
                <w:b/>
                <w:sz w:val="21"/>
              </w:rPr>
            </w:pPr>
            <w:r>
              <w:rPr>
                <w:b/>
                <w:sz w:val="21"/>
              </w:rPr>
              <w:t>11.双目失明</w:t>
            </w:r>
          </w:p>
        </w:tc>
        <w:tc>
          <w:tcPr>
            <w:tcW w:w="7528" w:type="dxa"/>
          </w:tcPr>
          <w:p>
            <w:pPr>
              <w:pStyle w:val="TableParagraph"/>
              <w:spacing w:line="300" w:lineRule="auto" w:before="139"/>
              <w:ind w:left="79" w:right="304"/>
              <w:rPr>
                <w:sz w:val="21"/>
              </w:rPr>
            </w:pPr>
            <w:r>
              <w:rPr>
                <w:sz w:val="21"/>
              </w:rPr>
              <w:t>指因疾病或意外伤害导致双目视力永久不可逆性丧失，双眼中较好眼须满足下列至少一项条件：</w:t>
            </w:r>
          </w:p>
          <w:p>
            <w:pPr>
              <w:pStyle w:val="TableParagraph"/>
              <w:spacing w:before="15"/>
              <w:ind w:left="79"/>
              <w:rPr>
                <w:sz w:val="21"/>
              </w:rPr>
            </w:pPr>
            <w:r>
              <w:rPr>
                <w:sz w:val="21"/>
              </w:rPr>
              <w:t>（1）眼球缺失或摘除；</w:t>
            </w:r>
          </w:p>
          <w:p>
            <w:pPr>
              <w:pStyle w:val="TableParagraph"/>
              <w:spacing w:line="300" w:lineRule="auto" w:before="67"/>
              <w:ind w:left="79" w:right="262"/>
              <w:rPr>
                <w:sz w:val="21"/>
              </w:rPr>
            </w:pPr>
            <w:r>
              <w:rPr>
                <w:sz w:val="21"/>
              </w:rPr>
              <w:t>（2）矫正视力低于 0.02（采用国际标准视力表，如果使用其他视力表应进行换算）；</w:t>
            </w:r>
          </w:p>
          <w:p>
            <w:pPr>
              <w:pStyle w:val="TableParagraph"/>
              <w:spacing w:before="15"/>
              <w:ind w:left="79"/>
              <w:rPr>
                <w:sz w:val="21"/>
              </w:rPr>
            </w:pPr>
            <w:r>
              <w:rPr>
                <w:sz w:val="21"/>
              </w:rPr>
              <w:t>（3）视野半径小于 5 度。</w:t>
            </w:r>
          </w:p>
        </w:tc>
      </w:tr>
      <w:tr>
        <w:trPr>
          <w:trHeight w:val="1301" w:hRule="atLeast"/>
        </w:trPr>
        <w:tc>
          <w:tcPr>
            <w:tcW w:w="1560" w:type="dxa"/>
          </w:tcPr>
          <w:p>
            <w:pPr>
              <w:pStyle w:val="TableParagraph"/>
              <w:spacing w:before="138"/>
              <w:ind w:left="200"/>
              <w:rPr>
                <w:b/>
                <w:sz w:val="21"/>
              </w:rPr>
            </w:pPr>
            <w:r>
              <w:rPr>
                <w:b/>
                <w:sz w:val="21"/>
              </w:rPr>
              <w:t>12.瘫痪</w:t>
            </w:r>
          </w:p>
        </w:tc>
        <w:tc>
          <w:tcPr>
            <w:tcW w:w="7528" w:type="dxa"/>
          </w:tcPr>
          <w:p>
            <w:pPr>
              <w:pStyle w:val="TableParagraph"/>
              <w:spacing w:line="300" w:lineRule="auto" w:before="138"/>
              <w:ind w:left="79" w:right="304"/>
              <w:jc w:val="both"/>
              <w:rPr>
                <w:sz w:val="21"/>
              </w:rPr>
            </w:pPr>
            <w:r>
              <w:rPr>
                <w:spacing w:val="-3"/>
                <w:sz w:val="21"/>
              </w:rPr>
              <w:t>指因疾病或意外伤害导致两肢或两肢以上的肢体机能永久完全丧失。肢体机能</w:t>
            </w:r>
            <w:r>
              <w:rPr>
                <w:spacing w:val="-7"/>
                <w:sz w:val="21"/>
              </w:rPr>
              <w:t>永久完全丧失，指疾病确诊 </w:t>
            </w:r>
            <w:r>
              <w:rPr>
                <w:sz w:val="21"/>
              </w:rPr>
              <w:t>180</w:t>
            </w:r>
            <w:r>
              <w:rPr>
                <w:spacing w:val="-12"/>
                <w:sz w:val="21"/>
              </w:rPr>
              <w:t> 天后或意外伤害发生 </w:t>
            </w:r>
            <w:r>
              <w:rPr>
                <w:sz w:val="21"/>
              </w:rPr>
              <w:t>180</w:t>
            </w:r>
            <w:r>
              <w:rPr>
                <w:spacing w:val="-9"/>
                <w:sz w:val="21"/>
              </w:rPr>
              <w:t> 天后，每肢三大关节</w:t>
            </w:r>
            <w:r>
              <w:rPr>
                <w:spacing w:val="-5"/>
                <w:sz w:val="21"/>
              </w:rPr>
              <w:t>中的两大关节仍然完全僵硬，或不能随意识活动。</w:t>
            </w:r>
          </w:p>
        </w:tc>
      </w:tr>
      <w:tr>
        <w:trPr>
          <w:trHeight w:val="958" w:hRule="atLeast"/>
        </w:trPr>
        <w:tc>
          <w:tcPr>
            <w:tcW w:w="1560" w:type="dxa"/>
          </w:tcPr>
          <w:p>
            <w:pPr>
              <w:pStyle w:val="TableParagraph"/>
              <w:spacing w:line="300" w:lineRule="auto" w:before="138"/>
              <w:ind w:left="200" w:right="132"/>
              <w:rPr>
                <w:b/>
                <w:sz w:val="21"/>
              </w:rPr>
            </w:pPr>
            <w:r>
              <w:rPr>
                <w:b/>
                <w:sz w:val="21"/>
              </w:rPr>
              <w:t>13.心脏瓣膜手术</w:t>
            </w:r>
          </w:p>
        </w:tc>
        <w:tc>
          <w:tcPr>
            <w:tcW w:w="7528" w:type="dxa"/>
          </w:tcPr>
          <w:p>
            <w:pPr>
              <w:pStyle w:val="TableParagraph"/>
              <w:spacing w:before="138"/>
              <w:ind w:left="79"/>
              <w:rPr>
                <w:sz w:val="21"/>
              </w:rPr>
            </w:pPr>
            <w:r>
              <w:rPr>
                <w:sz w:val="21"/>
              </w:rPr>
              <w:t>指为治疗心脏瓣膜疾病，实际实施了开胸进行的心脏瓣膜置换或修复的手术。</w:t>
            </w:r>
          </w:p>
        </w:tc>
      </w:tr>
      <w:tr>
        <w:trPr>
          <w:trHeight w:val="2473" w:hRule="atLeast"/>
        </w:trPr>
        <w:tc>
          <w:tcPr>
            <w:tcW w:w="1560" w:type="dxa"/>
          </w:tcPr>
          <w:p>
            <w:pPr>
              <w:pStyle w:val="TableParagraph"/>
              <w:spacing w:line="300" w:lineRule="auto" w:before="139"/>
              <w:ind w:left="200" w:right="78"/>
              <w:rPr>
                <w:b/>
                <w:sz w:val="21"/>
              </w:rPr>
            </w:pPr>
            <w:r>
              <w:rPr>
                <w:b/>
                <w:sz w:val="21"/>
              </w:rPr>
              <w:t>14. 严重脑损伤</w:t>
            </w:r>
          </w:p>
        </w:tc>
        <w:tc>
          <w:tcPr>
            <w:tcW w:w="7528" w:type="dxa"/>
          </w:tcPr>
          <w:p>
            <w:pPr>
              <w:pStyle w:val="TableParagraph"/>
              <w:spacing w:line="300" w:lineRule="auto" w:before="139"/>
              <w:ind w:left="79" w:right="198"/>
              <w:rPr>
                <w:sz w:val="21"/>
              </w:rPr>
            </w:pPr>
            <w:r>
              <w:rPr>
                <w:spacing w:val="-3"/>
                <w:sz w:val="21"/>
              </w:rPr>
              <w:t>指因头部遭受机械性外力，引起脑重要部位损伤，导致神经系统永久性的功能</w:t>
            </w:r>
            <w:r>
              <w:rPr>
                <w:spacing w:val="-12"/>
                <w:sz w:val="21"/>
              </w:rPr>
              <w:t>障碍。须由头颅断层扫描</w:t>
            </w:r>
            <w:r>
              <w:rPr>
                <w:spacing w:val="-13"/>
                <w:sz w:val="21"/>
              </w:rPr>
              <w:t>（CT）</w:t>
            </w:r>
            <w:r>
              <w:rPr>
                <w:spacing w:val="-20"/>
                <w:sz w:val="21"/>
              </w:rPr>
              <w:t>、核磁共振</w:t>
            </w:r>
            <w:r>
              <w:rPr>
                <w:spacing w:val="-10"/>
                <w:sz w:val="21"/>
              </w:rPr>
              <w:t>（MRI）</w:t>
            </w:r>
            <w:r>
              <w:rPr>
                <w:spacing w:val="-8"/>
                <w:sz w:val="21"/>
              </w:rPr>
              <w:t>或正电子发射断层扫描</w:t>
            </w:r>
            <w:r>
              <w:rPr>
                <w:sz w:val="21"/>
              </w:rPr>
              <w:t>（PET） </w:t>
            </w:r>
            <w:r>
              <w:rPr>
                <w:spacing w:val="-5"/>
                <w:sz w:val="21"/>
              </w:rPr>
              <w:t>等影像学检查证实。神经系统永久性的功能障碍，指脑损伤 </w:t>
            </w:r>
            <w:r>
              <w:rPr>
                <w:sz w:val="21"/>
              </w:rPr>
              <w:t>180</w:t>
            </w:r>
            <w:r>
              <w:rPr>
                <w:spacing w:val="-9"/>
                <w:sz w:val="21"/>
              </w:rPr>
              <w:t> 天后，仍遗留</w:t>
            </w:r>
            <w:r>
              <w:rPr>
                <w:spacing w:val="-5"/>
                <w:sz w:val="21"/>
              </w:rPr>
              <w:t>下列一种或一种以上障碍：</w:t>
            </w:r>
          </w:p>
          <w:p>
            <w:pPr>
              <w:pStyle w:val="TableParagraph"/>
              <w:spacing w:before="16"/>
              <w:ind w:left="79"/>
              <w:rPr>
                <w:sz w:val="21"/>
              </w:rPr>
            </w:pPr>
            <w:r>
              <w:rPr>
                <w:sz w:val="21"/>
              </w:rPr>
              <w:t>（1）一肢或一肢以上肢体机能完全丧失；</w:t>
            </w:r>
          </w:p>
          <w:p>
            <w:pPr>
              <w:pStyle w:val="TableParagraph"/>
              <w:spacing w:before="69"/>
              <w:ind w:left="79"/>
              <w:rPr>
                <w:sz w:val="21"/>
              </w:rPr>
            </w:pPr>
            <w:r>
              <w:rPr>
                <w:sz w:val="21"/>
              </w:rPr>
              <w:t>（2）语言能力或咀嚼吞咽能力完全丧失；</w:t>
            </w:r>
          </w:p>
          <w:p>
            <w:pPr>
              <w:pStyle w:val="TableParagraph"/>
              <w:spacing w:line="255" w:lineRule="exact" w:before="68"/>
              <w:ind w:left="79"/>
              <w:rPr>
                <w:sz w:val="21"/>
              </w:rPr>
            </w:pPr>
            <w:r>
              <w:rPr>
                <w:sz w:val="21"/>
              </w:rPr>
              <w:t>（3）自主生活能力完全丧失，无法独立完成六项基本日常生活活动中的三项</w:t>
            </w:r>
          </w:p>
        </w:tc>
      </w:tr>
    </w:tbl>
    <w:p>
      <w:pPr>
        <w:spacing w:after="0" w:line="255" w:lineRule="exact"/>
        <w:rPr>
          <w:sz w:val="21"/>
        </w:rPr>
        <w:sectPr>
          <w:pgSz w:w="11910" w:h="16840"/>
          <w:pgMar w:top="1180" w:bottom="280" w:left="1660" w:right="9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8"/>
        <w:gridCol w:w="7510"/>
      </w:tblGrid>
      <w:tr>
        <w:trPr>
          <w:trHeight w:val="414" w:hRule="atLeast"/>
        </w:trPr>
        <w:tc>
          <w:tcPr>
            <w:tcW w:w="1578" w:type="dxa"/>
          </w:tcPr>
          <w:p>
            <w:pPr>
              <w:pStyle w:val="TableParagraph"/>
              <w:ind w:left="0"/>
              <w:rPr>
                <w:rFonts w:ascii="Times New Roman"/>
                <w:sz w:val="20"/>
              </w:rPr>
            </w:pPr>
          </w:p>
        </w:tc>
        <w:tc>
          <w:tcPr>
            <w:tcW w:w="7510" w:type="dxa"/>
          </w:tcPr>
          <w:p>
            <w:pPr>
              <w:pStyle w:val="TableParagraph"/>
              <w:spacing w:line="211" w:lineRule="exact"/>
              <w:ind w:left="61"/>
              <w:rPr>
                <w:sz w:val="21"/>
              </w:rPr>
            </w:pPr>
            <w:r>
              <w:rPr>
                <w:sz w:val="21"/>
              </w:rPr>
              <w:t>或三项以上。</w:t>
            </w:r>
          </w:p>
        </w:tc>
      </w:tr>
      <w:tr>
        <w:trPr>
          <w:trHeight w:val="958" w:hRule="atLeast"/>
        </w:trPr>
        <w:tc>
          <w:tcPr>
            <w:tcW w:w="1578" w:type="dxa"/>
          </w:tcPr>
          <w:p>
            <w:pPr>
              <w:pStyle w:val="TableParagraph"/>
              <w:spacing w:line="300" w:lineRule="auto" w:before="139"/>
              <w:ind w:left="200" w:right="150"/>
              <w:rPr>
                <w:b/>
                <w:sz w:val="21"/>
              </w:rPr>
            </w:pPr>
            <w:r>
              <w:rPr>
                <w:b/>
                <w:sz w:val="21"/>
              </w:rPr>
              <w:t>15.严重Ⅲ度烧伤</w:t>
            </w:r>
          </w:p>
        </w:tc>
        <w:tc>
          <w:tcPr>
            <w:tcW w:w="7510" w:type="dxa"/>
          </w:tcPr>
          <w:p>
            <w:pPr>
              <w:pStyle w:val="TableParagraph"/>
              <w:spacing w:line="300" w:lineRule="auto" w:before="139"/>
              <w:ind w:left="61" w:right="198"/>
              <w:rPr>
                <w:sz w:val="21"/>
              </w:rPr>
            </w:pPr>
            <w:r>
              <w:rPr>
                <w:spacing w:val="-6"/>
                <w:sz w:val="21"/>
              </w:rPr>
              <w:t>指烧伤程度为Ⅲ度，且Ⅲ度烧伤的面积达到全身体表面积的 </w:t>
            </w:r>
            <w:r>
              <w:rPr>
                <w:sz w:val="21"/>
              </w:rPr>
              <w:t>20</w:t>
            </w:r>
            <w:r>
              <w:rPr>
                <w:spacing w:val="-14"/>
                <w:sz w:val="21"/>
              </w:rPr>
              <w:t>％或 </w:t>
            </w:r>
            <w:r>
              <w:rPr>
                <w:sz w:val="21"/>
              </w:rPr>
              <w:t>20</w:t>
            </w:r>
            <w:r>
              <w:rPr>
                <w:spacing w:val="-3"/>
                <w:sz w:val="21"/>
              </w:rPr>
              <w:t>％以上。体表面积根据 《中国新九分法》计算。</w:t>
            </w:r>
          </w:p>
        </w:tc>
      </w:tr>
      <w:tr>
        <w:trPr>
          <w:trHeight w:val="2677" w:hRule="atLeast"/>
        </w:trPr>
        <w:tc>
          <w:tcPr>
            <w:tcW w:w="1578" w:type="dxa"/>
          </w:tcPr>
          <w:p>
            <w:pPr>
              <w:pStyle w:val="TableParagraph"/>
              <w:spacing w:line="300" w:lineRule="auto" w:before="138"/>
              <w:ind w:left="200" w:right="150"/>
              <w:rPr>
                <w:b/>
                <w:sz w:val="21"/>
              </w:rPr>
            </w:pPr>
            <w:r>
              <w:rPr>
                <w:b/>
                <w:sz w:val="21"/>
              </w:rPr>
              <w:t>16.重型再生障碍性贫血</w:t>
            </w:r>
          </w:p>
        </w:tc>
        <w:tc>
          <w:tcPr>
            <w:tcW w:w="7510" w:type="dxa"/>
          </w:tcPr>
          <w:p>
            <w:pPr>
              <w:pStyle w:val="TableParagraph"/>
              <w:spacing w:line="300" w:lineRule="auto" w:before="138"/>
              <w:ind w:left="61" w:right="311"/>
              <w:rPr>
                <w:sz w:val="21"/>
              </w:rPr>
            </w:pPr>
            <w:r>
              <w:rPr>
                <w:sz w:val="21"/>
              </w:rPr>
              <w:t>指因骨髓造血功能慢性持续性衰竭导致的贫血、中性粒细胞减少及血小板减少。须满足以下全部条件：</w:t>
            </w:r>
          </w:p>
          <w:p>
            <w:pPr>
              <w:pStyle w:val="TableParagraph"/>
              <w:spacing w:before="16"/>
              <w:ind w:left="61"/>
              <w:rPr>
                <w:sz w:val="21"/>
              </w:rPr>
            </w:pPr>
            <w:r>
              <w:rPr>
                <w:sz w:val="21"/>
              </w:rPr>
              <w:t>（1）骨髓穿刺检查或骨髓活检结果支持诊断；</w:t>
            </w:r>
          </w:p>
          <w:p>
            <w:pPr>
              <w:pStyle w:val="TableParagraph"/>
              <w:spacing w:before="68"/>
              <w:ind w:left="61"/>
              <w:rPr>
                <w:sz w:val="21"/>
              </w:rPr>
            </w:pPr>
            <w:r>
              <w:rPr>
                <w:sz w:val="21"/>
              </w:rPr>
              <w:t>（2）外周血象必须具备以下三项条件：</w:t>
            </w:r>
          </w:p>
          <w:p>
            <w:pPr>
              <w:pStyle w:val="TableParagraph"/>
              <w:spacing w:before="68"/>
              <w:ind w:left="588"/>
              <w:rPr>
                <w:sz w:val="21"/>
              </w:rPr>
            </w:pPr>
            <w:r>
              <w:rPr>
                <w:sz w:val="21"/>
              </w:rPr>
              <w:t>① 中性粒细胞绝对值≤0.5×10</w:t>
            </w:r>
            <w:r>
              <w:rPr>
                <w:position w:val="11"/>
                <w:sz w:val="11"/>
              </w:rPr>
              <w:t>9</w:t>
            </w:r>
            <w:r>
              <w:rPr>
                <w:sz w:val="21"/>
              </w:rPr>
              <w:t>/L ；</w:t>
            </w:r>
          </w:p>
          <w:p>
            <w:pPr>
              <w:pStyle w:val="TableParagraph"/>
              <w:spacing w:before="68"/>
              <w:ind w:left="588"/>
              <w:rPr>
                <w:sz w:val="21"/>
              </w:rPr>
            </w:pPr>
            <w:r>
              <w:rPr>
                <w:sz w:val="21"/>
              </w:rPr>
              <w:t>② 网织红细胞＜1%；</w:t>
            </w:r>
          </w:p>
          <w:p>
            <w:pPr>
              <w:pStyle w:val="TableParagraph"/>
              <w:spacing w:before="68"/>
              <w:ind w:left="588"/>
              <w:rPr>
                <w:sz w:val="21"/>
              </w:rPr>
            </w:pPr>
            <w:r>
              <w:rPr>
                <w:sz w:val="21"/>
              </w:rPr>
              <w:t>③ 血小板绝对值≤20×10</w:t>
            </w:r>
            <w:r>
              <w:rPr>
                <w:position w:val="11"/>
                <w:sz w:val="11"/>
              </w:rPr>
              <w:t>9</w:t>
            </w:r>
            <w:r>
              <w:rPr>
                <w:sz w:val="21"/>
              </w:rPr>
              <w:t>/L。</w:t>
            </w:r>
          </w:p>
        </w:tc>
      </w:tr>
      <w:tr>
        <w:trPr>
          <w:trHeight w:val="1629" w:hRule="atLeast"/>
        </w:trPr>
        <w:tc>
          <w:tcPr>
            <w:tcW w:w="1578" w:type="dxa"/>
          </w:tcPr>
          <w:p>
            <w:pPr>
              <w:pStyle w:val="TableParagraph"/>
              <w:spacing w:line="300" w:lineRule="auto" w:before="141"/>
              <w:ind w:left="200" w:right="150"/>
              <w:rPr>
                <w:b/>
                <w:sz w:val="21"/>
              </w:rPr>
            </w:pPr>
            <w:r>
              <w:rPr>
                <w:b/>
                <w:sz w:val="21"/>
              </w:rPr>
              <w:t>17.主动脉手术</w:t>
            </w:r>
          </w:p>
        </w:tc>
        <w:tc>
          <w:tcPr>
            <w:tcW w:w="7510" w:type="dxa"/>
          </w:tcPr>
          <w:p>
            <w:pPr>
              <w:pStyle w:val="TableParagraph"/>
              <w:spacing w:line="300" w:lineRule="auto" w:before="141"/>
              <w:ind w:left="61" w:right="304"/>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5"/>
              <w:ind w:left="61"/>
              <w:jc w:val="both"/>
              <w:rPr>
                <w:sz w:val="21"/>
              </w:rPr>
            </w:pPr>
            <w:r>
              <w:rPr>
                <w:sz w:val="21"/>
              </w:rPr>
              <w:t>动脉内血管成形术不在保障范围内。</w:t>
            </w:r>
          </w:p>
        </w:tc>
      </w:tr>
      <w:tr>
        <w:trPr>
          <w:trHeight w:val="2091" w:hRule="atLeast"/>
        </w:trPr>
        <w:tc>
          <w:tcPr>
            <w:tcW w:w="1578" w:type="dxa"/>
          </w:tcPr>
          <w:p>
            <w:pPr>
              <w:pStyle w:val="TableParagraph"/>
              <w:spacing w:before="156"/>
              <w:ind w:left="200"/>
              <w:rPr>
                <w:b/>
                <w:sz w:val="21"/>
              </w:rPr>
            </w:pPr>
            <w:r>
              <w:rPr>
                <w:b/>
                <w:sz w:val="21"/>
              </w:rPr>
              <w:t>18. 川崎病 </w:t>
            </w:r>
          </w:p>
          <w:p>
            <w:pPr>
              <w:pStyle w:val="TableParagraph"/>
              <w:spacing w:line="300" w:lineRule="auto" w:before="68"/>
              <w:ind w:left="200" w:right="140"/>
              <w:rPr>
                <w:b/>
                <w:sz w:val="21"/>
              </w:rPr>
            </w:pPr>
            <w:r>
              <w:rPr>
                <w:b/>
                <w:sz w:val="21"/>
              </w:rPr>
              <w:t>(伴有冠状动脉瘤形成)</w:t>
            </w:r>
          </w:p>
        </w:tc>
        <w:tc>
          <w:tcPr>
            <w:tcW w:w="7510" w:type="dxa"/>
          </w:tcPr>
          <w:p>
            <w:pPr>
              <w:pStyle w:val="TableParagraph"/>
              <w:spacing w:line="261" w:lineRule="auto" w:before="120"/>
              <w:ind w:left="61" w:right="304"/>
              <w:rPr>
                <w:sz w:val="21"/>
              </w:rPr>
            </w:pPr>
            <w:r>
              <w:rPr>
                <w:sz w:val="21"/>
              </w:rPr>
              <w:t>指一种以全身血管炎变为主要病理改变的急性发热性出疹性小儿疾病。必须由本公司认可的儿科医生确诊并且同时满足下列指标：</w:t>
            </w:r>
          </w:p>
          <w:p>
            <w:pPr>
              <w:pStyle w:val="TableParagraph"/>
              <w:spacing w:line="261" w:lineRule="auto" w:before="6"/>
              <w:ind w:left="61" w:right="405"/>
              <w:rPr>
                <w:sz w:val="21"/>
              </w:rPr>
            </w:pPr>
            <w:r>
              <w:rPr>
                <w:sz w:val="21"/>
              </w:rPr>
              <w:t>（1）血液化验显示：不成熟型白细胞增多和明显的血小板增多，贫血，血沉升高；</w:t>
            </w:r>
          </w:p>
          <w:p>
            <w:pPr>
              <w:pStyle w:val="TableParagraph"/>
              <w:spacing w:line="259" w:lineRule="auto" w:before="6"/>
              <w:ind w:left="61" w:right="405"/>
              <w:rPr>
                <w:sz w:val="21"/>
              </w:rPr>
            </w:pPr>
            <w:r>
              <w:rPr>
                <w:sz w:val="21"/>
              </w:rPr>
              <w:t>（2）</w:t>
            </w:r>
            <w:r>
              <w:rPr>
                <w:spacing w:val="-3"/>
                <w:sz w:val="21"/>
              </w:rPr>
              <w:t>因严重心脏并发症确已接受开胸手术以矫正冠状动脉狭窄或阻塞手术治疗；或确已接受心脏瓣膜置换手术（瓣膜包括生物瓣膜和机械瓣膜</w:t>
            </w:r>
            <w:r>
              <w:rPr>
                <w:spacing w:val="-106"/>
                <w:sz w:val="21"/>
              </w:rPr>
              <w:t>）</w:t>
            </w:r>
            <w:r>
              <w:rPr>
                <w:sz w:val="21"/>
              </w:rPr>
              <w:t>。</w:t>
            </w:r>
          </w:p>
        </w:tc>
      </w:tr>
      <w:tr>
        <w:trPr>
          <w:trHeight w:val="2671" w:hRule="atLeast"/>
        </w:trPr>
        <w:tc>
          <w:tcPr>
            <w:tcW w:w="1578" w:type="dxa"/>
          </w:tcPr>
          <w:p>
            <w:pPr>
              <w:pStyle w:val="TableParagraph"/>
              <w:spacing w:line="300" w:lineRule="auto" w:before="135"/>
              <w:ind w:left="200" w:right="150"/>
              <w:rPr>
                <w:b/>
                <w:sz w:val="21"/>
              </w:rPr>
            </w:pPr>
            <w:r>
              <w:rPr>
                <w:b/>
                <w:sz w:val="21"/>
              </w:rPr>
              <w:t>19.Ｉ型糖尿病</w:t>
            </w:r>
          </w:p>
        </w:tc>
        <w:tc>
          <w:tcPr>
            <w:tcW w:w="7510" w:type="dxa"/>
          </w:tcPr>
          <w:p>
            <w:pPr>
              <w:pStyle w:val="TableParagraph"/>
              <w:spacing w:line="300" w:lineRule="auto" w:before="135"/>
              <w:ind w:left="61" w:right="198"/>
              <w:rPr>
                <w:sz w:val="21"/>
              </w:rPr>
            </w:pPr>
            <w:r>
              <w:rPr>
                <w:spacing w:val="-4"/>
                <w:sz w:val="21"/>
              </w:rPr>
              <w:t>Ｉ型糖尿病为由于胰岛素分泌绝对不足引起的慢性血糖升高，并需持续性地依</w:t>
            </w:r>
            <w:r>
              <w:rPr>
                <w:spacing w:val="-5"/>
                <w:sz w:val="21"/>
              </w:rPr>
              <w:t>赖外源性胰岛素维持一百八十天以上。须经血胰岛素测定和血</w:t>
            </w:r>
            <w:r>
              <w:rPr>
                <w:sz w:val="21"/>
              </w:rPr>
              <w:t>（尿</w:t>
            </w:r>
            <w:r>
              <w:rPr>
                <w:spacing w:val="-10"/>
                <w:sz w:val="21"/>
              </w:rPr>
              <w:t>）C</w:t>
            </w:r>
            <w:r>
              <w:rPr>
                <w:spacing w:val="-7"/>
                <w:sz w:val="21"/>
              </w:rPr>
              <w:t> 肽测定， </w:t>
            </w:r>
            <w:r>
              <w:rPr>
                <w:spacing w:val="-5"/>
                <w:sz w:val="21"/>
              </w:rPr>
              <w:t>结果异常，须经本公司认可的内分泌专科医生确诊，并须在本主险合同保险责</w:t>
            </w:r>
            <w:r>
              <w:rPr>
                <w:spacing w:val="-4"/>
                <w:sz w:val="21"/>
              </w:rPr>
              <w:t>任有效期内，满足下述至少一个条件：</w:t>
            </w:r>
          </w:p>
          <w:p>
            <w:pPr>
              <w:pStyle w:val="TableParagraph"/>
              <w:spacing w:before="15"/>
              <w:ind w:left="61"/>
              <w:rPr>
                <w:sz w:val="21"/>
              </w:rPr>
            </w:pPr>
            <w:r>
              <w:rPr>
                <w:sz w:val="21"/>
              </w:rPr>
              <w:t>（1） 已出现增殖性视网膜病变；</w:t>
            </w:r>
          </w:p>
          <w:p>
            <w:pPr>
              <w:pStyle w:val="TableParagraph"/>
              <w:spacing w:before="68"/>
              <w:ind w:left="61"/>
              <w:rPr>
                <w:sz w:val="21"/>
              </w:rPr>
            </w:pPr>
            <w:r>
              <w:rPr>
                <w:sz w:val="21"/>
              </w:rPr>
              <w:t>（2）须植入心脏起搏器治疗心脏病；</w:t>
            </w:r>
          </w:p>
          <w:p>
            <w:pPr>
              <w:pStyle w:val="TableParagraph"/>
              <w:spacing w:before="69"/>
              <w:ind w:left="61"/>
              <w:rPr>
                <w:sz w:val="21"/>
              </w:rPr>
            </w:pPr>
            <w:r>
              <w:rPr>
                <w:sz w:val="21"/>
              </w:rPr>
              <w:t>（3）因坏疽需切除一只或以上脚趾。</w:t>
            </w:r>
          </w:p>
        </w:tc>
      </w:tr>
      <w:tr>
        <w:trPr>
          <w:trHeight w:val="1987" w:hRule="atLeast"/>
        </w:trPr>
        <w:tc>
          <w:tcPr>
            <w:tcW w:w="1578" w:type="dxa"/>
          </w:tcPr>
          <w:p>
            <w:pPr>
              <w:pStyle w:val="TableParagraph"/>
              <w:spacing w:line="300" w:lineRule="auto" w:before="138"/>
              <w:ind w:left="200" w:right="150"/>
              <w:rPr>
                <w:b/>
                <w:sz w:val="21"/>
              </w:rPr>
            </w:pPr>
            <w:r>
              <w:rPr>
                <w:b/>
                <w:sz w:val="21"/>
              </w:rPr>
              <w:t>20.植物人状态</w:t>
            </w:r>
          </w:p>
        </w:tc>
        <w:tc>
          <w:tcPr>
            <w:tcW w:w="7510" w:type="dxa"/>
          </w:tcPr>
          <w:p>
            <w:pPr>
              <w:pStyle w:val="TableParagraph"/>
              <w:spacing w:line="300" w:lineRule="auto" w:before="138"/>
              <w:ind w:left="61" w:right="304"/>
              <w:jc w:val="both"/>
              <w:rPr>
                <w:sz w:val="21"/>
              </w:rPr>
            </w:pPr>
            <w:r>
              <w:rPr>
                <w:sz w:val="21"/>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申请理赔需被保险人因植物人状态住院三十天以上并且必须有本公司认可的神经专科医生的医学诊断证明。</w:t>
            </w:r>
          </w:p>
        </w:tc>
      </w:tr>
      <w:tr>
        <w:trPr>
          <w:trHeight w:val="1442" w:hRule="atLeast"/>
        </w:trPr>
        <w:tc>
          <w:tcPr>
            <w:tcW w:w="1578" w:type="dxa"/>
          </w:tcPr>
          <w:p>
            <w:pPr>
              <w:pStyle w:val="TableParagraph"/>
              <w:spacing w:line="300" w:lineRule="auto" w:before="138"/>
              <w:ind w:left="200" w:right="214"/>
              <w:rPr>
                <w:sz w:val="21"/>
              </w:rPr>
            </w:pPr>
            <w:r>
              <w:rPr>
                <w:b/>
                <w:sz w:val="21"/>
              </w:rPr>
              <w:t>21.全身型幼年类风湿性关节炎</w:t>
            </w:r>
            <w:r>
              <w:rPr>
                <w:sz w:val="21"/>
              </w:rPr>
              <w:t>：</w:t>
            </w:r>
          </w:p>
        </w:tc>
        <w:tc>
          <w:tcPr>
            <w:tcW w:w="7510" w:type="dxa"/>
          </w:tcPr>
          <w:p>
            <w:pPr>
              <w:pStyle w:val="TableParagraph"/>
              <w:spacing w:line="300" w:lineRule="auto" w:before="138"/>
              <w:ind w:left="61" w:right="199"/>
              <w:rPr>
                <w:sz w:val="21"/>
              </w:rPr>
            </w:pPr>
            <w:r>
              <w:rPr>
                <w:spacing w:val="-3"/>
                <w:sz w:val="21"/>
              </w:rPr>
              <w:t>因非传染的慢性关节滑膜炎引起多处关节呈现的慢性关节炎症，并导致自身免</w:t>
            </w:r>
            <w:r>
              <w:rPr>
                <w:spacing w:val="-12"/>
                <w:sz w:val="21"/>
              </w:rPr>
              <w:t>疫失调。本病须经本公司认可的类风湿科医生出具医学诊断证明，因病情严重， </w:t>
            </w:r>
            <w:r>
              <w:rPr>
                <w:spacing w:val="-6"/>
                <w:sz w:val="21"/>
              </w:rPr>
              <w:t>在医生的建议下已接受以治疗为目的的膝或髋关节的置换手术，其他类型的儿</w:t>
            </w:r>
          </w:p>
          <w:p>
            <w:pPr>
              <w:pStyle w:val="TableParagraph"/>
              <w:spacing w:line="255" w:lineRule="exact" w:before="16"/>
              <w:ind w:left="61"/>
              <w:rPr>
                <w:sz w:val="21"/>
              </w:rPr>
            </w:pPr>
            <w:r>
              <w:rPr>
                <w:sz w:val="21"/>
              </w:rPr>
              <w:t>童类风湿性关节炎除外。</w:t>
            </w:r>
          </w:p>
        </w:tc>
      </w:tr>
    </w:tbl>
    <w:p>
      <w:pPr>
        <w:spacing w:after="0" w:line="255" w:lineRule="exact"/>
        <w:rPr>
          <w:sz w:val="21"/>
        </w:rPr>
        <w:sectPr>
          <w:pgSz w:w="11910" w:h="16840"/>
          <w:pgMar w:top="1180" w:bottom="280" w:left="1660" w:right="9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7526"/>
      </w:tblGrid>
      <w:tr>
        <w:trPr>
          <w:trHeight w:val="1100" w:hRule="atLeast"/>
        </w:trPr>
        <w:tc>
          <w:tcPr>
            <w:tcW w:w="1533" w:type="dxa"/>
          </w:tcPr>
          <w:p>
            <w:pPr>
              <w:pStyle w:val="TableParagraph"/>
              <w:spacing w:line="211" w:lineRule="exact"/>
              <w:ind w:left="200"/>
              <w:rPr>
                <w:b/>
                <w:sz w:val="21"/>
              </w:rPr>
            </w:pPr>
            <w:r>
              <w:rPr>
                <w:b/>
                <w:sz w:val="21"/>
              </w:rPr>
              <w:t>22.严重心肌</w:t>
            </w:r>
          </w:p>
          <w:p>
            <w:pPr>
              <w:pStyle w:val="TableParagraph"/>
              <w:spacing w:before="68"/>
              <w:ind w:left="200"/>
              <w:rPr>
                <w:b/>
                <w:sz w:val="21"/>
              </w:rPr>
            </w:pPr>
            <w:r>
              <w:rPr>
                <w:b/>
                <w:w w:val="100"/>
                <w:sz w:val="21"/>
              </w:rPr>
              <w:t>炎</w:t>
            </w:r>
          </w:p>
        </w:tc>
        <w:tc>
          <w:tcPr>
            <w:tcW w:w="7526" w:type="dxa"/>
          </w:tcPr>
          <w:p>
            <w:pPr>
              <w:pStyle w:val="TableParagraph"/>
              <w:spacing w:line="211" w:lineRule="exact"/>
              <w:rPr>
                <w:sz w:val="21"/>
              </w:rPr>
            </w:pPr>
            <w:r>
              <w:rPr>
                <w:sz w:val="21"/>
              </w:rPr>
              <w:t>心肌的严重感染而导致至少持续一百八十天的心功能损害。严重的心功能损害</w:t>
            </w:r>
          </w:p>
          <w:p>
            <w:pPr>
              <w:pStyle w:val="TableParagraph"/>
              <w:spacing w:line="300" w:lineRule="auto" w:before="68"/>
              <w:ind w:right="275"/>
              <w:rPr>
                <w:sz w:val="21"/>
              </w:rPr>
            </w:pPr>
            <w:r>
              <w:rPr>
                <w:spacing w:val="-7"/>
                <w:sz w:val="21"/>
              </w:rPr>
              <w:t>必须具备以下条件：左心室腔扩大至少达到正常值上限的 120</w:t>
            </w:r>
            <w:r>
              <w:rPr>
                <w:spacing w:val="-4"/>
                <w:sz w:val="21"/>
              </w:rPr>
              <w:t>%，且左心室射血</w:t>
            </w:r>
            <w:r>
              <w:rPr>
                <w:spacing w:val="-10"/>
                <w:sz w:val="21"/>
              </w:rPr>
              <w:t>分数持续低于 </w:t>
            </w:r>
            <w:r>
              <w:rPr>
                <w:sz w:val="21"/>
              </w:rPr>
              <w:t>40%。</w:t>
            </w:r>
          </w:p>
        </w:tc>
      </w:tr>
      <w:tr>
        <w:trPr>
          <w:trHeight w:val="1645" w:hRule="atLeast"/>
        </w:trPr>
        <w:tc>
          <w:tcPr>
            <w:tcW w:w="1533" w:type="dxa"/>
          </w:tcPr>
          <w:p>
            <w:pPr>
              <w:pStyle w:val="TableParagraph"/>
              <w:spacing w:line="300" w:lineRule="auto" w:before="139"/>
              <w:ind w:left="200" w:right="276"/>
              <w:jc w:val="both"/>
              <w:rPr>
                <w:b/>
                <w:sz w:val="21"/>
              </w:rPr>
            </w:pPr>
            <w:r>
              <w:rPr>
                <w:b/>
                <w:sz w:val="21"/>
              </w:rPr>
              <w:t>23. 永久丧失日常生活能力</w:t>
            </w:r>
          </w:p>
        </w:tc>
        <w:tc>
          <w:tcPr>
            <w:tcW w:w="7526" w:type="dxa"/>
          </w:tcPr>
          <w:p>
            <w:pPr>
              <w:pStyle w:val="TableParagraph"/>
              <w:spacing w:line="300" w:lineRule="auto" w:before="139"/>
              <w:ind w:right="275"/>
              <w:rPr>
                <w:sz w:val="21"/>
              </w:rPr>
            </w:pPr>
            <w:r>
              <w:rPr>
                <w:spacing w:val="-4"/>
                <w:sz w:val="21"/>
              </w:rPr>
              <w:t>是指由医院的专科医师确认被保险人已经永久完全地丧失了独立生活能力，在</w:t>
            </w:r>
            <w:r>
              <w:rPr>
                <w:spacing w:val="-3"/>
                <w:sz w:val="21"/>
              </w:rPr>
              <w:t>无他人协助下无法独立进行六项基本日常生活活动中的其中三项或三项以上 或者被保险人患有认知功能障碍，并且因此需要他人永久的实质性监护。如因认知功能障碍申请理赔，必须提供相关的认知功能状态测试结果。</w:t>
            </w:r>
          </w:p>
        </w:tc>
      </w:tr>
      <w:tr>
        <w:trPr>
          <w:trHeight w:val="957" w:hRule="atLeast"/>
        </w:trPr>
        <w:tc>
          <w:tcPr>
            <w:tcW w:w="1533" w:type="dxa"/>
          </w:tcPr>
          <w:p>
            <w:pPr>
              <w:pStyle w:val="TableParagraph"/>
              <w:spacing w:line="300" w:lineRule="auto" w:before="138"/>
              <w:ind w:left="200" w:right="105"/>
              <w:rPr>
                <w:b/>
                <w:sz w:val="21"/>
              </w:rPr>
            </w:pPr>
            <w:r>
              <w:rPr>
                <w:b/>
                <w:sz w:val="21"/>
              </w:rPr>
              <w:t>24.严重肠胃炎</w:t>
            </w:r>
          </w:p>
        </w:tc>
        <w:tc>
          <w:tcPr>
            <w:tcW w:w="7526" w:type="dxa"/>
          </w:tcPr>
          <w:p>
            <w:pPr>
              <w:pStyle w:val="TableParagraph"/>
              <w:spacing w:line="300" w:lineRule="auto" w:before="138"/>
              <w:ind w:right="275"/>
              <w:rPr>
                <w:sz w:val="21"/>
              </w:rPr>
            </w:pPr>
            <w:r>
              <w:rPr>
                <w:sz w:val="21"/>
              </w:rPr>
              <w:t>以严重的腹泻、便血和肠段坏死为特征的胃肠道严重感染。大肠或小肠的一处或多处需手术切除，且经病理检查证实存在严重感染和坏死。</w:t>
            </w:r>
          </w:p>
        </w:tc>
      </w:tr>
      <w:tr>
        <w:trPr>
          <w:trHeight w:val="1988" w:hRule="atLeast"/>
        </w:trPr>
        <w:tc>
          <w:tcPr>
            <w:tcW w:w="1533" w:type="dxa"/>
          </w:tcPr>
          <w:p>
            <w:pPr>
              <w:pStyle w:val="TableParagraph"/>
              <w:spacing w:line="300" w:lineRule="auto" w:before="138"/>
              <w:ind w:left="200" w:right="105"/>
              <w:rPr>
                <w:b/>
                <w:sz w:val="21"/>
              </w:rPr>
            </w:pPr>
            <w:r>
              <w:rPr>
                <w:b/>
                <w:sz w:val="21"/>
              </w:rPr>
              <w:t>25.急性脊髓灰质炎</w:t>
            </w:r>
          </w:p>
        </w:tc>
        <w:tc>
          <w:tcPr>
            <w:tcW w:w="7526" w:type="dxa"/>
          </w:tcPr>
          <w:p>
            <w:pPr>
              <w:pStyle w:val="TableParagraph"/>
              <w:spacing w:line="300" w:lineRule="auto" w:before="138"/>
              <w:ind w:right="275"/>
              <w:rPr>
                <w:sz w:val="21"/>
              </w:rPr>
            </w:pPr>
            <w:r>
              <w:rPr>
                <w:spacing w:val="-3"/>
                <w:sz w:val="21"/>
              </w:rPr>
              <w:t>是指由于急性脊髓灰质炎病毒感染所导致的运动功能障碍或呼吸功能减弱的 瘫痪性疾病。诊断必须由本公司认可的神经科专科医生确诊并提供相关的脊髓灰质炎病毒感染的证据（例如：脑脊液检查或血清学抗体检查报告</w:t>
            </w:r>
            <w:r>
              <w:rPr>
                <w:spacing w:val="-106"/>
                <w:sz w:val="21"/>
              </w:rPr>
              <w:t>）</w:t>
            </w:r>
            <w:r>
              <w:rPr>
                <w:spacing w:val="-2"/>
                <w:sz w:val="21"/>
              </w:rPr>
              <w:t>。未导致</w:t>
            </w:r>
            <w:r>
              <w:rPr>
                <w:spacing w:val="-3"/>
                <w:sz w:val="21"/>
              </w:rPr>
              <w:t>肢体瘫痪及其它病因所致的瘫痪，例如格林一巴利综合症(急性感染性多神经炎)则不在此保障范围以内。</w:t>
            </w:r>
          </w:p>
        </w:tc>
      </w:tr>
      <w:tr>
        <w:trPr>
          <w:trHeight w:val="619" w:hRule="atLeast"/>
        </w:trPr>
        <w:tc>
          <w:tcPr>
            <w:tcW w:w="9059" w:type="dxa"/>
            <w:gridSpan w:val="2"/>
          </w:tcPr>
          <w:p>
            <w:pPr>
              <w:pStyle w:val="TableParagraph"/>
              <w:spacing w:before="139"/>
              <w:ind w:left="200"/>
              <w:rPr>
                <w:b/>
                <w:sz w:val="21"/>
              </w:rPr>
            </w:pPr>
            <w:r>
              <w:rPr>
                <w:b/>
                <w:sz w:val="21"/>
              </w:rPr>
              <w:t>6.4.2 成人重大疾病</w:t>
            </w:r>
          </w:p>
        </w:tc>
      </w:tr>
      <w:tr>
        <w:trPr>
          <w:trHeight w:val="3969" w:hRule="atLeast"/>
        </w:trPr>
        <w:tc>
          <w:tcPr>
            <w:tcW w:w="1533" w:type="dxa"/>
          </w:tcPr>
          <w:p>
            <w:pPr>
              <w:pStyle w:val="TableParagraph"/>
              <w:spacing w:before="141"/>
              <w:ind w:left="200"/>
              <w:rPr>
                <w:b/>
                <w:sz w:val="21"/>
              </w:rPr>
            </w:pPr>
            <w:r>
              <w:rPr>
                <w:b/>
                <w:sz w:val="21"/>
              </w:rPr>
              <w:t>1.恶性肿瘤</w:t>
            </w:r>
          </w:p>
        </w:tc>
        <w:tc>
          <w:tcPr>
            <w:tcW w:w="7526" w:type="dxa"/>
          </w:tcPr>
          <w:p>
            <w:pPr>
              <w:pStyle w:val="TableParagraph"/>
              <w:spacing w:line="300" w:lineRule="auto" w:before="141"/>
              <w:ind w:right="275"/>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300" w:lineRule="auto" w:before="15"/>
              <w:ind w:right="4682"/>
              <w:rPr>
                <w:sz w:val="21"/>
              </w:rPr>
            </w:pPr>
            <w:r>
              <w:rPr>
                <w:sz w:val="21"/>
              </w:rPr>
              <w:t>（ICD-10）的恶性肿瘤范畴。下列疾病不在保障范围内：</w:t>
            </w:r>
          </w:p>
          <w:p>
            <w:pPr>
              <w:pStyle w:val="TableParagraph"/>
              <w:spacing w:before="15"/>
              <w:jc w:val="both"/>
              <w:rPr>
                <w:sz w:val="21"/>
              </w:rPr>
            </w:pPr>
            <w:r>
              <w:rPr>
                <w:sz w:val="21"/>
              </w:rPr>
              <w:t>（1）原位癌；</w:t>
            </w:r>
          </w:p>
          <w:p>
            <w:pPr>
              <w:pStyle w:val="TableParagraph"/>
              <w:spacing w:before="68"/>
              <w:jc w:val="both"/>
              <w:rPr>
                <w:sz w:val="21"/>
              </w:rPr>
            </w:pPr>
            <w:r>
              <w:rPr>
                <w:sz w:val="21"/>
              </w:rPr>
              <w:t>（2）相当于 Binet 分期方案 A 期程度的慢性淋巴细胞白血病；</w:t>
            </w:r>
          </w:p>
          <w:p>
            <w:pPr>
              <w:pStyle w:val="TableParagraph"/>
              <w:spacing w:before="68"/>
              <w:jc w:val="both"/>
              <w:rPr>
                <w:sz w:val="21"/>
              </w:rPr>
            </w:pPr>
            <w:r>
              <w:rPr>
                <w:sz w:val="21"/>
              </w:rPr>
              <w:t>（3）相当于 Ann Arbor 分期方案 I 期程度的何杰金氏病；</w:t>
            </w:r>
          </w:p>
          <w:p>
            <w:pPr>
              <w:pStyle w:val="TableParagraph"/>
              <w:spacing w:before="68"/>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2"/>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23"/>
              <w:jc w:val="both"/>
              <w:rPr>
                <w:sz w:val="21"/>
              </w:rPr>
            </w:pPr>
            <w:r>
              <w:rPr>
                <w:sz w:val="21"/>
              </w:rPr>
              <w:t>（6）感染艾滋病病毒或患艾滋病期间所患恶性肿瘤。</w:t>
            </w:r>
          </w:p>
        </w:tc>
      </w:tr>
      <w:tr>
        <w:trPr>
          <w:trHeight w:val="2637" w:hRule="atLeast"/>
        </w:trPr>
        <w:tc>
          <w:tcPr>
            <w:tcW w:w="1533" w:type="dxa"/>
          </w:tcPr>
          <w:p>
            <w:pPr>
              <w:pStyle w:val="TableParagraph"/>
              <w:spacing w:line="300" w:lineRule="auto" w:before="138"/>
              <w:ind w:left="200" w:right="105"/>
              <w:rPr>
                <w:b/>
                <w:sz w:val="21"/>
              </w:rPr>
            </w:pPr>
            <w:r>
              <w:rPr>
                <w:b/>
                <w:sz w:val="21"/>
              </w:rPr>
              <w:t>2.</w:t>
            </w:r>
            <w:r>
              <w:rPr>
                <w:b/>
                <w:spacing w:val="-35"/>
                <w:sz w:val="21"/>
              </w:rPr>
              <w:t> 急 性 心 肌梗塞</w:t>
            </w:r>
          </w:p>
        </w:tc>
        <w:tc>
          <w:tcPr>
            <w:tcW w:w="7526" w:type="dxa"/>
          </w:tcPr>
          <w:p>
            <w:pPr>
              <w:pStyle w:val="TableParagraph"/>
              <w:spacing w:line="300" w:lineRule="auto" w:before="138"/>
              <w:ind w:right="275"/>
              <w:rPr>
                <w:sz w:val="21"/>
              </w:rPr>
            </w:pPr>
            <w:r>
              <w:rPr>
                <w:sz w:val="21"/>
              </w:rPr>
              <w:t>指因冠状动脉阻塞导致的相应区域供血不足造成部分心肌坏死。须满足下列至少三项条件：</w:t>
            </w:r>
          </w:p>
          <w:p>
            <w:pPr>
              <w:pStyle w:val="TableParagraph"/>
              <w:spacing w:before="15"/>
              <w:rPr>
                <w:sz w:val="21"/>
              </w:rPr>
            </w:pPr>
            <w:r>
              <w:rPr>
                <w:sz w:val="21"/>
              </w:rPr>
              <w:t>（1）典型临床表现，例如急性胸痛等；</w:t>
            </w:r>
          </w:p>
          <w:p>
            <w:pPr>
              <w:pStyle w:val="TableParagraph"/>
              <w:spacing w:before="67"/>
              <w:rPr>
                <w:sz w:val="21"/>
              </w:rPr>
            </w:pPr>
            <w:r>
              <w:rPr>
                <w:sz w:val="21"/>
              </w:rPr>
              <w:t>（2）新近的心电图改变提示急性心肌梗塞；</w:t>
            </w:r>
          </w:p>
          <w:p>
            <w:pPr>
              <w:pStyle w:val="TableParagraph"/>
              <w:spacing w:line="300" w:lineRule="auto" w:before="67"/>
              <w:ind w:left="527" w:right="277" w:hanging="421"/>
              <w:rPr>
                <w:sz w:val="21"/>
              </w:rPr>
            </w:pPr>
            <w:r>
              <w:rPr>
                <w:sz w:val="21"/>
              </w:rPr>
              <w:t>（3）心肌酶或肌钙蛋白有诊断意义的升高，或呈符合急性心肌梗塞的动态性变化；</w:t>
            </w:r>
          </w:p>
          <w:p>
            <w:pPr>
              <w:pStyle w:val="TableParagraph"/>
              <w:spacing w:line="255" w:lineRule="exact"/>
              <w:rPr>
                <w:sz w:val="21"/>
              </w:rPr>
            </w:pPr>
            <w:r>
              <w:rPr>
                <w:spacing w:val="-10"/>
                <w:sz w:val="21"/>
              </w:rPr>
              <w:t>（4）</w:t>
            </w:r>
            <w:r>
              <w:rPr>
                <w:spacing w:val="-15"/>
                <w:sz w:val="21"/>
              </w:rPr>
              <w:t>发病 </w:t>
            </w:r>
            <w:r>
              <w:rPr>
                <w:sz w:val="21"/>
              </w:rPr>
              <w:t>90</w:t>
            </w:r>
            <w:r>
              <w:rPr>
                <w:spacing w:val="-13"/>
                <w:sz w:val="21"/>
              </w:rPr>
              <w:t> 天后，经检查证实左心室功能降低，如左心室射血分数低于 </w:t>
            </w:r>
            <w:r>
              <w:rPr>
                <w:sz w:val="21"/>
              </w:rPr>
              <w:t>50%。</w:t>
            </w:r>
          </w:p>
        </w:tc>
      </w:tr>
      <w:tr>
        <w:trPr>
          <w:trHeight w:val="1442" w:hRule="atLeast"/>
        </w:trPr>
        <w:tc>
          <w:tcPr>
            <w:tcW w:w="1533" w:type="dxa"/>
          </w:tcPr>
          <w:p>
            <w:pPr>
              <w:pStyle w:val="TableParagraph"/>
              <w:spacing w:line="300" w:lineRule="auto" w:before="138"/>
              <w:ind w:left="200" w:right="105"/>
              <w:rPr>
                <w:b/>
                <w:sz w:val="21"/>
              </w:rPr>
            </w:pPr>
            <w:r>
              <w:rPr>
                <w:b/>
                <w:sz w:val="21"/>
              </w:rPr>
              <w:t>3.</w:t>
            </w:r>
            <w:r>
              <w:rPr>
                <w:b/>
                <w:spacing w:val="-35"/>
                <w:sz w:val="21"/>
              </w:rPr>
              <w:t> 脑 中 风 后遗症</w:t>
            </w:r>
          </w:p>
        </w:tc>
        <w:tc>
          <w:tcPr>
            <w:tcW w:w="7526" w:type="dxa"/>
          </w:tcPr>
          <w:p>
            <w:pPr>
              <w:pStyle w:val="TableParagraph"/>
              <w:spacing w:line="300" w:lineRule="auto" w:before="138"/>
              <w:ind w:right="275"/>
              <w:jc w:val="both"/>
              <w:rPr>
                <w:sz w:val="21"/>
              </w:rPr>
            </w:pPr>
            <w:r>
              <w:rPr>
                <w:spacing w:val="-3"/>
                <w:sz w:val="21"/>
              </w:rPr>
              <w:t>指因脑血管的突发病变引起脑血管出血、栓塞或梗塞，并导致神经系统永久性</w:t>
            </w:r>
            <w:r>
              <w:rPr>
                <w:spacing w:val="-5"/>
                <w:sz w:val="21"/>
              </w:rPr>
              <w:t>功能障碍。神经系统永久性的功能障碍，指疾病确诊 </w:t>
            </w:r>
            <w:r>
              <w:rPr>
                <w:sz w:val="21"/>
              </w:rPr>
              <w:t>180</w:t>
            </w:r>
            <w:r>
              <w:rPr>
                <w:spacing w:val="-8"/>
                <w:sz w:val="21"/>
              </w:rPr>
              <w:t> 天后，仍遗留下列一</w:t>
            </w:r>
            <w:r>
              <w:rPr>
                <w:spacing w:val="-5"/>
                <w:sz w:val="21"/>
              </w:rPr>
              <w:t>种或一种以上障碍：</w:t>
            </w:r>
          </w:p>
          <w:p>
            <w:pPr>
              <w:pStyle w:val="TableParagraph"/>
              <w:spacing w:line="255" w:lineRule="exact" w:before="16"/>
              <w:jc w:val="both"/>
              <w:rPr>
                <w:sz w:val="21"/>
              </w:rPr>
            </w:pPr>
            <w:r>
              <w:rPr>
                <w:sz w:val="21"/>
              </w:rPr>
              <w:t>（1）一肢或一肢以上肢体机能完全丧失；</w:t>
            </w:r>
          </w:p>
        </w:tc>
      </w:tr>
    </w:tbl>
    <w:p>
      <w:pPr>
        <w:spacing w:after="0" w:line="255" w:lineRule="exact"/>
        <w:jc w:val="both"/>
        <w:rPr>
          <w:sz w:val="21"/>
        </w:rPr>
        <w:sectPr>
          <w:pgSz w:w="11910" w:h="16840"/>
          <w:pgMar w:top="1180" w:bottom="280" w:left="1660" w:right="9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8"/>
        <w:gridCol w:w="7448"/>
      </w:tblGrid>
      <w:tr>
        <w:trPr>
          <w:trHeight w:val="1100" w:hRule="atLeast"/>
        </w:trPr>
        <w:tc>
          <w:tcPr>
            <w:tcW w:w="1538" w:type="dxa"/>
          </w:tcPr>
          <w:p>
            <w:pPr>
              <w:pStyle w:val="TableParagraph"/>
              <w:ind w:left="0"/>
              <w:rPr>
                <w:rFonts w:ascii="Times New Roman"/>
                <w:sz w:val="20"/>
              </w:rPr>
            </w:pPr>
          </w:p>
        </w:tc>
        <w:tc>
          <w:tcPr>
            <w:tcW w:w="7448" w:type="dxa"/>
          </w:tcPr>
          <w:p>
            <w:pPr>
              <w:pStyle w:val="TableParagraph"/>
              <w:spacing w:line="211" w:lineRule="exact"/>
              <w:ind w:left="101"/>
              <w:rPr>
                <w:sz w:val="21"/>
              </w:rPr>
            </w:pPr>
            <w:r>
              <w:rPr>
                <w:sz w:val="21"/>
              </w:rPr>
              <w:t>（2）语言能力或咀嚼吞咽能力完全丧失；</w:t>
            </w:r>
          </w:p>
          <w:p>
            <w:pPr>
              <w:pStyle w:val="TableParagraph"/>
              <w:spacing w:line="300" w:lineRule="auto" w:before="68"/>
              <w:ind w:left="101" w:right="197"/>
              <w:rPr>
                <w:sz w:val="21"/>
              </w:rPr>
            </w:pPr>
            <w:r>
              <w:rPr>
                <w:sz w:val="21"/>
              </w:rPr>
              <w:t>（3）自主生活能力完全丧失，无法独立完成六项基本日常生活活动中的三项或三项以上。</w:t>
            </w:r>
          </w:p>
        </w:tc>
      </w:tr>
      <w:tr>
        <w:trPr>
          <w:trHeight w:val="2066" w:hRule="atLeast"/>
        </w:trPr>
        <w:tc>
          <w:tcPr>
            <w:tcW w:w="1538" w:type="dxa"/>
          </w:tcPr>
          <w:p>
            <w:pPr>
              <w:pStyle w:val="TableParagraph"/>
              <w:spacing w:line="300" w:lineRule="auto" w:before="139"/>
              <w:ind w:left="200" w:right="100"/>
              <w:jc w:val="both"/>
              <w:rPr>
                <w:b/>
                <w:sz w:val="21"/>
              </w:rPr>
            </w:pPr>
            <w:r>
              <w:rPr>
                <w:b/>
                <w:sz w:val="21"/>
              </w:rPr>
              <w:t>4.</w:t>
            </w:r>
            <w:r>
              <w:rPr>
                <w:b/>
                <w:spacing w:val="-35"/>
                <w:sz w:val="21"/>
              </w:rPr>
              <w:t> 重 大 器 官</w:t>
            </w:r>
            <w:r>
              <w:rPr>
                <w:b/>
                <w:spacing w:val="10"/>
                <w:sz w:val="21"/>
              </w:rPr>
              <w:t>移植术/造血</w:t>
            </w:r>
            <w:r>
              <w:rPr>
                <w:b/>
                <w:spacing w:val="-32"/>
                <w:sz w:val="21"/>
              </w:rPr>
              <w:t>干 细 胞 移 植术</w:t>
            </w:r>
          </w:p>
        </w:tc>
        <w:tc>
          <w:tcPr>
            <w:tcW w:w="7448" w:type="dxa"/>
          </w:tcPr>
          <w:p>
            <w:pPr>
              <w:pStyle w:val="TableParagraph"/>
              <w:spacing w:line="300" w:lineRule="auto" w:before="139"/>
              <w:ind w:left="101" w:right="205"/>
              <w:jc w:val="both"/>
              <w:rPr>
                <w:sz w:val="21"/>
              </w:rPr>
            </w:pPr>
            <w:r>
              <w:rPr>
                <w:sz w:val="21"/>
              </w:rPr>
              <w:t>重大器官移植术，指因相应器官功能衰竭，已经实施了肾脏、肝脏、心脏或肺脏的异体移植手术。</w:t>
            </w:r>
          </w:p>
          <w:p>
            <w:pPr>
              <w:pStyle w:val="TableParagraph"/>
              <w:spacing w:line="300" w:lineRule="auto" w:before="16"/>
              <w:ind w:left="101" w:right="20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722" w:hRule="atLeast"/>
        </w:trPr>
        <w:tc>
          <w:tcPr>
            <w:tcW w:w="1538" w:type="dxa"/>
          </w:tcPr>
          <w:p>
            <w:pPr>
              <w:pStyle w:val="TableParagraph"/>
              <w:spacing w:before="6"/>
              <w:ind w:left="0"/>
              <w:rPr>
                <w:b/>
                <w:sz w:val="16"/>
              </w:rPr>
            </w:pPr>
          </w:p>
          <w:p>
            <w:pPr>
              <w:pStyle w:val="TableParagraph"/>
              <w:spacing w:line="300" w:lineRule="auto"/>
              <w:ind w:left="200" w:right="110"/>
              <w:rPr>
                <w:b/>
                <w:sz w:val="21"/>
              </w:rPr>
            </w:pPr>
            <w:r>
              <w:rPr>
                <w:b/>
                <w:sz w:val="21"/>
              </w:rPr>
              <w:t>5.</w:t>
            </w:r>
            <w:r>
              <w:rPr>
                <w:b/>
                <w:spacing w:val="-35"/>
                <w:sz w:val="21"/>
              </w:rPr>
              <w:t> 冠 状 动 脉搭桥术</w:t>
            </w:r>
          </w:p>
        </w:tc>
        <w:tc>
          <w:tcPr>
            <w:tcW w:w="7448" w:type="dxa"/>
          </w:tcPr>
          <w:p>
            <w:pPr>
              <w:pStyle w:val="TableParagraph"/>
              <w:spacing w:before="6"/>
              <w:ind w:left="0"/>
              <w:rPr>
                <w:b/>
                <w:sz w:val="16"/>
              </w:rPr>
            </w:pPr>
          </w:p>
          <w:p>
            <w:pPr>
              <w:pStyle w:val="TableParagraph"/>
              <w:spacing w:line="300" w:lineRule="auto"/>
              <w:ind w:left="101" w:right="209"/>
              <w:rPr>
                <w:sz w:val="21"/>
              </w:rPr>
            </w:pPr>
            <w:r>
              <w:rPr>
                <w:sz w:val="21"/>
              </w:rPr>
              <w:t>指为治疗严重的冠心病，实际实施了开胸进行的冠状动脉血管旁路移植的手术。</w:t>
            </w:r>
          </w:p>
          <w:p>
            <w:pPr>
              <w:pStyle w:val="TableParagraph"/>
              <w:spacing w:line="300" w:lineRule="auto" w:before="15"/>
              <w:ind w:left="101" w:right="202"/>
              <w:rPr>
                <w:sz w:val="21"/>
              </w:rPr>
            </w:pPr>
            <w:r>
              <w:rPr>
                <w:sz w:val="21"/>
              </w:rPr>
              <w:t>冠状动脉支架植入术、心导管球囊扩张术、激光射频技术及其它非开胸的介入手术、腔镜手术不在保障范围内。</w:t>
            </w:r>
          </w:p>
        </w:tc>
      </w:tr>
      <w:tr>
        <w:trPr>
          <w:trHeight w:val="958" w:hRule="atLeast"/>
        </w:trPr>
        <w:tc>
          <w:tcPr>
            <w:tcW w:w="1538" w:type="dxa"/>
          </w:tcPr>
          <w:p>
            <w:pPr>
              <w:pStyle w:val="TableParagraph"/>
              <w:spacing w:line="300" w:lineRule="auto" w:before="138"/>
              <w:ind w:left="200" w:right="110"/>
              <w:rPr>
                <w:b/>
                <w:sz w:val="21"/>
              </w:rPr>
            </w:pPr>
            <w:r>
              <w:rPr>
                <w:b/>
                <w:sz w:val="21"/>
              </w:rPr>
              <w:t>6.</w:t>
            </w:r>
            <w:r>
              <w:rPr>
                <w:b/>
                <w:spacing w:val="-35"/>
                <w:sz w:val="21"/>
              </w:rPr>
              <w:t> 终 末 期 肾病</w:t>
            </w:r>
          </w:p>
        </w:tc>
        <w:tc>
          <w:tcPr>
            <w:tcW w:w="7448" w:type="dxa"/>
          </w:tcPr>
          <w:p>
            <w:pPr>
              <w:pStyle w:val="TableParagraph"/>
              <w:spacing w:line="300" w:lineRule="auto" w:before="138"/>
              <w:ind w:left="101" w:right="202"/>
              <w:rPr>
                <w:sz w:val="21"/>
              </w:rPr>
            </w:pPr>
            <w:r>
              <w:rPr>
                <w:sz w:val="21"/>
              </w:rPr>
              <w:t>指双肾功能慢性不可逆性衰竭，达到尿毒症期，经诊断后已经进行了至少 90 天的规律性透析治疗或实施了肾脏移植手术。</w:t>
            </w:r>
          </w:p>
        </w:tc>
      </w:tr>
      <w:tr>
        <w:trPr>
          <w:trHeight w:val="958" w:hRule="atLeast"/>
        </w:trPr>
        <w:tc>
          <w:tcPr>
            <w:tcW w:w="1538" w:type="dxa"/>
          </w:tcPr>
          <w:p>
            <w:pPr>
              <w:pStyle w:val="TableParagraph"/>
              <w:spacing w:line="300" w:lineRule="auto" w:before="139"/>
              <w:ind w:left="200" w:right="110"/>
              <w:rPr>
                <w:b/>
                <w:sz w:val="21"/>
              </w:rPr>
            </w:pPr>
            <w:r>
              <w:rPr>
                <w:b/>
                <w:sz w:val="21"/>
              </w:rPr>
              <w:t>7.</w:t>
            </w:r>
            <w:r>
              <w:rPr>
                <w:b/>
                <w:spacing w:val="-35"/>
                <w:sz w:val="21"/>
              </w:rPr>
              <w:t> 多 个 肢 体缺失</w:t>
            </w:r>
          </w:p>
        </w:tc>
        <w:tc>
          <w:tcPr>
            <w:tcW w:w="7448" w:type="dxa"/>
          </w:tcPr>
          <w:p>
            <w:pPr>
              <w:pStyle w:val="TableParagraph"/>
              <w:spacing w:line="300" w:lineRule="auto" w:before="139"/>
              <w:ind w:left="101" w:right="202"/>
              <w:rPr>
                <w:sz w:val="21"/>
              </w:rPr>
            </w:pPr>
            <w:r>
              <w:rPr>
                <w:sz w:val="21"/>
              </w:rPr>
              <w:t>指因疾病或意外伤害导致两个或两个以上肢体自腕关节或踝关节近端（靠近躯干端）以上完全性断离。</w:t>
            </w:r>
          </w:p>
        </w:tc>
      </w:tr>
      <w:tr>
        <w:trPr>
          <w:trHeight w:val="2291" w:hRule="atLeast"/>
        </w:trPr>
        <w:tc>
          <w:tcPr>
            <w:tcW w:w="1538" w:type="dxa"/>
          </w:tcPr>
          <w:p>
            <w:pPr>
              <w:pStyle w:val="TableParagraph"/>
              <w:spacing w:line="300" w:lineRule="auto" w:before="138"/>
              <w:ind w:left="200" w:right="110"/>
              <w:jc w:val="both"/>
              <w:rPr>
                <w:b/>
                <w:sz w:val="21"/>
              </w:rPr>
            </w:pPr>
            <w:r>
              <w:rPr>
                <w:b/>
                <w:sz w:val="21"/>
              </w:rPr>
              <w:t>8.</w:t>
            </w:r>
            <w:r>
              <w:rPr>
                <w:b/>
                <w:spacing w:val="-35"/>
                <w:sz w:val="21"/>
              </w:rPr>
              <w:t> 急 性 或 亚</w:t>
            </w:r>
            <w:r>
              <w:rPr>
                <w:b/>
                <w:spacing w:val="-34"/>
                <w:sz w:val="21"/>
              </w:rPr>
              <w:t>急 性 重 症 肝炎</w:t>
            </w:r>
          </w:p>
        </w:tc>
        <w:tc>
          <w:tcPr>
            <w:tcW w:w="7448" w:type="dxa"/>
          </w:tcPr>
          <w:p>
            <w:pPr>
              <w:pStyle w:val="TableParagraph"/>
              <w:spacing w:line="300" w:lineRule="auto" w:before="138"/>
              <w:ind w:left="101" w:right="202"/>
              <w:rPr>
                <w:sz w:val="21"/>
              </w:rPr>
            </w:pPr>
            <w:r>
              <w:rPr>
                <w:sz w:val="21"/>
              </w:rPr>
              <w:t>指因肝炎病毒感染引起肝组织弥漫性坏死，导致急性肝功能衰竭，且经血清学或病毒学检查证实，并须满足下列全部条件：</w:t>
            </w:r>
          </w:p>
          <w:p>
            <w:pPr>
              <w:pStyle w:val="TableParagraph"/>
              <w:spacing w:before="16"/>
              <w:ind w:left="101"/>
              <w:rPr>
                <w:sz w:val="21"/>
              </w:rPr>
            </w:pPr>
            <w:r>
              <w:rPr>
                <w:sz w:val="21"/>
              </w:rPr>
              <w:t>（1）重度黄疸或黄疸迅速加重；</w:t>
            </w:r>
          </w:p>
          <w:p>
            <w:pPr>
              <w:pStyle w:val="TableParagraph"/>
              <w:spacing w:before="68"/>
              <w:ind w:left="101"/>
              <w:rPr>
                <w:sz w:val="21"/>
              </w:rPr>
            </w:pPr>
            <w:r>
              <w:rPr>
                <w:sz w:val="21"/>
              </w:rPr>
              <w:t>（2）肝性脑病；</w:t>
            </w:r>
          </w:p>
          <w:p>
            <w:pPr>
              <w:pStyle w:val="TableParagraph"/>
              <w:spacing w:before="68"/>
              <w:ind w:left="101"/>
              <w:rPr>
                <w:sz w:val="21"/>
              </w:rPr>
            </w:pPr>
            <w:r>
              <w:rPr>
                <w:sz w:val="21"/>
              </w:rPr>
              <w:t>（3）B 超或其他影像学检查显示肝脏体积急速萎缩；</w:t>
            </w:r>
          </w:p>
          <w:p>
            <w:pPr>
              <w:pStyle w:val="TableParagraph"/>
              <w:spacing w:before="32"/>
              <w:ind w:left="101"/>
              <w:rPr>
                <w:sz w:val="21"/>
              </w:rPr>
            </w:pPr>
            <w:r>
              <w:rPr>
                <w:sz w:val="21"/>
              </w:rPr>
              <w:t>（4）肝功能指标进行性恶化。</w:t>
            </w:r>
          </w:p>
        </w:tc>
      </w:tr>
      <w:tr>
        <w:trPr>
          <w:trHeight w:val="2671" w:hRule="atLeast"/>
        </w:trPr>
        <w:tc>
          <w:tcPr>
            <w:tcW w:w="1538" w:type="dxa"/>
          </w:tcPr>
          <w:p>
            <w:pPr>
              <w:pStyle w:val="TableParagraph"/>
              <w:spacing w:line="300" w:lineRule="auto" w:before="134"/>
              <w:ind w:left="200" w:right="110"/>
              <w:rPr>
                <w:b/>
                <w:sz w:val="21"/>
              </w:rPr>
            </w:pPr>
            <w:r>
              <w:rPr>
                <w:b/>
                <w:sz w:val="21"/>
              </w:rPr>
              <w:t>9.</w:t>
            </w:r>
            <w:r>
              <w:rPr>
                <w:b/>
                <w:spacing w:val="-35"/>
                <w:sz w:val="21"/>
              </w:rPr>
              <w:t> 良 性 脑 肿瘤</w:t>
            </w:r>
          </w:p>
        </w:tc>
        <w:tc>
          <w:tcPr>
            <w:tcW w:w="7448" w:type="dxa"/>
          </w:tcPr>
          <w:p>
            <w:pPr>
              <w:pStyle w:val="TableParagraph"/>
              <w:spacing w:line="300" w:lineRule="auto" w:before="134"/>
              <w:ind w:left="101" w:right="200"/>
              <w:jc w:val="both"/>
              <w:rPr>
                <w:sz w:val="21"/>
              </w:rPr>
            </w:pPr>
            <w:r>
              <w:rPr>
                <w:spacing w:val="-3"/>
                <w:sz w:val="21"/>
              </w:rPr>
              <w:t>指脑的良性肿瘤，已经引起颅内压增高，临床表现为视神经乳头水肿、精神症</w:t>
            </w:r>
            <w:r>
              <w:rPr>
                <w:w w:val="100"/>
                <w:sz w:val="21"/>
              </w:rPr>
              <w:t>状、癫痫及运动感觉障碍等，并危及生命。须由头颅断层扫描</w:t>
            </w:r>
            <w:r>
              <w:rPr>
                <w:spacing w:val="10"/>
                <w:w w:val="100"/>
                <w:sz w:val="21"/>
              </w:rPr>
              <w:t>（</w:t>
            </w:r>
            <w:r>
              <w:rPr>
                <w:w w:val="100"/>
                <w:sz w:val="21"/>
              </w:rPr>
              <w:t>CT</w:t>
            </w:r>
            <w:r>
              <w:rPr>
                <w:spacing w:val="-101"/>
                <w:w w:val="100"/>
                <w:sz w:val="21"/>
              </w:rPr>
              <w:t>）</w:t>
            </w:r>
            <w:r>
              <w:rPr>
                <w:w w:val="100"/>
                <w:sz w:val="21"/>
              </w:rPr>
              <w:t>、核磁共</w:t>
            </w:r>
            <w:r>
              <w:rPr>
                <w:spacing w:val="-2"/>
                <w:sz w:val="21"/>
              </w:rPr>
              <w:t>振检查</w:t>
            </w:r>
            <w:r>
              <w:rPr>
                <w:sz w:val="21"/>
              </w:rPr>
              <w:t>（MRI）</w:t>
            </w:r>
            <w:r>
              <w:rPr>
                <w:spacing w:val="-3"/>
                <w:sz w:val="21"/>
              </w:rPr>
              <w:t>或正电子发射断层扫描</w:t>
            </w:r>
            <w:r>
              <w:rPr>
                <w:sz w:val="21"/>
              </w:rPr>
              <w:t>（PET）</w:t>
            </w:r>
            <w:r>
              <w:rPr>
                <w:spacing w:val="-3"/>
                <w:sz w:val="21"/>
              </w:rPr>
              <w:t>等影像学检查证实，并须满足下列至少一项条件：</w:t>
            </w:r>
          </w:p>
          <w:p>
            <w:pPr>
              <w:pStyle w:val="TableParagraph"/>
              <w:spacing w:before="15"/>
              <w:ind w:left="101"/>
              <w:jc w:val="both"/>
              <w:rPr>
                <w:sz w:val="21"/>
              </w:rPr>
            </w:pPr>
            <w:r>
              <w:rPr>
                <w:sz w:val="21"/>
              </w:rPr>
              <w:t>（1）实际实施了开颅进行的脑肿瘤完全切除或部分切除的手术；</w:t>
            </w:r>
          </w:p>
          <w:p>
            <w:pPr>
              <w:pStyle w:val="TableParagraph"/>
              <w:spacing w:before="67"/>
              <w:ind w:left="101"/>
              <w:jc w:val="both"/>
              <w:rPr>
                <w:sz w:val="21"/>
              </w:rPr>
            </w:pPr>
            <w:r>
              <w:rPr>
                <w:sz w:val="21"/>
              </w:rPr>
              <w:t>（2）实际实施了对脑肿瘤进行的放射治疗。</w:t>
            </w:r>
          </w:p>
          <w:p>
            <w:pPr>
              <w:pStyle w:val="TableParagraph"/>
              <w:spacing w:before="67"/>
              <w:ind w:left="101"/>
              <w:jc w:val="both"/>
              <w:rPr>
                <w:sz w:val="21"/>
              </w:rPr>
            </w:pPr>
            <w:r>
              <w:rPr>
                <w:sz w:val="21"/>
              </w:rPr>
              <w:t>脑垂体瘤、脑囊肿、脑血管性疾病不在保障范围内。</w:t>
            </w:r>
          </w:p>
        </w:tc>
      </w:tr>
      <w:tr>
        <w:trPr>
          <w:trHeight w:val="2130" w:hRule="atLeast"/>
        </w:trPr>
        <w:tc>
          <w:tcPr>
            <w:tcW w:w="1538" w:type="dxa"/>
          </w:tcPr>
          <w:p>
            <w:pPr>
              <w:pStyle w:val="TableParagraph"/>
              <w:spacing w:line="300" w:lineRule="auto" w:before="139"/>
              <w:ind w:left="200" w:right="110"/>
              <w:jc w:val="both"/>
              <w:rPr>
                <w:b/>
                <w:sz w:val="21"/>
              </w:rPr>
            </w:pPr>
            <w:r>
              <w:rPr>
                <w:b/>
                <w:spacing w:val="5"/>
                <w:sz w:val="21"/>
              </w:rPr>
              <w:t>10</w:t>
            </w:r>
            <w:r>
              <w:rPr>
                <w:b/>
                <w:spacing w:val="7"/>
                <w:sz w:val="21"/>
              </w:rPr>
              <w:t>.慢性肝功</w:t>
            </w:r>
            <w:r>
              <w:rPr>
                <w:b/>
                <w:spacing w:val="-29"/>
                <w:sz w:val="21"/>
              </w:rPr>
              <w:t>能 衰 竭 失 代偿期</w:t>
            </w:r>
          </w:p>
        </w:tc>
        <w:tc>
          <w:tcPr>
            <w:tcW w:w="7448" w:type="dxa"/>
          </w:tcPr>
          <w:p>
            <w:pPr>
              <w:pStyle w:val="TableParagraph"/>
              <w:spacing w:before="139"/>
              <w:ind w:left="101"/>
              <w:rPr>
                <w:sz w:val="21"/>
              </w:rPr>
            </w:pPr>
            <w:r>
              <w:rPr>
                <w:sz w:val="21"/>
              </w:rPr>
              <w:t>指因慢性肝脏疾病导致肝功能衰竭。须满足下列全部条件：</w:t>
            </w:r>
          </w:p>
          <w:p>
            <w:pPr>
              <w:pStyle w:val="TableParagraph"/>
              <w:spacing w:before="68"/>
              <w:ind w:left="101"/>
              <w:rPr>
                <w:sz w:val="21"/>
              </w:rPr>
            </w:pPr>
            <w:r>
              <w:rPr>
                <w:sz w:val="21"/>
              </w:rPr>
              <w:t>（1）持续性黄疸；</w:t>
            </w:r>
          </w:p>
          <w:p>
            <w:pPr>
              <w:pStyle w:val="TableParagraph"/>
              <w:spacing w:before="68"/>
              <w:ind w:left="101"/>
              <w:rPr>
                <w:sz w:val="21"/>
              </w:rPr>
            </w:pPr>
            <w:r>
              <w:rPr>
                <w:sz w:val="21"/>
              </w:rPr>
              <w:t>（2）腹水；</w:t>
            </w:r>
          </w:p>
          <w:p>
            <w:pPr>
              <w:pStyle w:val="TableParagraph"/>
              <w:spacing w:before="68"/>
              <w:ind w:left="101"/>
              <w:rPr>
                <w:sz w:val="21"/>
              </w:rPr>
            </w:pPr>
            <w:r>
              <w:rPr>
                <w:sz w:val="21"/>
              </w:rPr>
              <w:t>（3）肝性脑病；</w:t>
            </w:r>
          </w:p>
          <w:p>
            <w:pPr>
              <w:pStyle w:val="TableParagraph"/>
              <w:spacing w:line="340" w:lineRule="atLeast" w:before="3"/>
              <w:ind w:left="101" w:right="2298"/>
              <w:rPr>
                <w:sz w:val="21"/>
              </w:rPr>
            </w:pPr>
            <w:r>
              <w:rPr>
                <w:sz w:val="21"/>
              </w:rPr>
              <w:t>（4）充血性脾大伴脾功能亢进或食管胃底静脉曲张。因酗酒或药物滥用导致的肝功能衰竭不在保障范围内。</w:t>
            </w:r>
          </w:p>
        </w:tc>
      </w:tr>
    </w:tbl>
    <w:p>
      <w:pPr>
        <w:spacing w:after="0" w:line="340" w:lineRule="atLeast"/>
        <w:rPr>
          <w:sz w:val="21"/>
        </w:rPr>
        <w:sectPr>
          <w:pgSz w:w="11910" w:h="16840"/>
          <w:pgMar w:top="1180" w:bottom="280" w:left="1660" w:right="10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7554"/>
      </w:tblGrid>
      <w:tr>
        <w:trPr>
          <w:trHeight w:val="2046" w:hRule="atLeast"/>
        </w:trPr>
        <w:tc>
          <w:tcPr>
            <w:tcW w:w="1533" w:type="dxa"/>
          </w:tcPr>
          <w:p>
            <w:pPr>
              <w:pStyle w:val="TableParagraph"/>
              <w:spacing w:line="211" w:lineRule="exact"/>
              <w:ind w:left="200"/>
              <w:rPr>
                <w:b/>
                <w:sz w:val="21"/>
              </w:rPr>
            </w:pPr>
            <w:r>
              <w:rPr>
                <w:b/>
                <w:sz w:val="21"/>
              </w:rPr>
              <w:t>11.脑炎后遗</w:t>
            </w:r>
          </w:p>
          <w:p>
            <w:pPr>
              <w:pStyle w:val="TableParagraph"/>
              <w:spacing w:line="300" w:lineRule="auto" w:before="68"/>
              <w:ind w:left="200" w:right="105"/>
              <w:rPr>
                <w:b/>
                <w:sz w:val="21"/>
              </w:rPr>
            </w:pPr>
            <w:r>
              <w:rPr>
                <w:b/>
                <w:spacing w:val="-32"/>
                <w:sz w:val="21"/>
              </w:rPr>
              <w:t>症 或 脑 膜 炎后遗症</w:t>
            </w:r>
          </w:p>
        </w:tc>
        <w:tc>
          <w:tcPr>
            <w:tcW w:w="7554" w:type="dxa"/>
          </w:tcPr>
          <w:p>
            <w:pPr>
              <w:pStyle w:val="TableParagraph"/>
              <w:spacing w:line="211" w:lineRule="exact"/>
              <w:rPr>
                <w:sz w:val="21"/>
              </w:rPr>
            </w:pPr>
            <w:r>
              <w:rPr>
                <w:sz w:val="21"/>
              </w:rPr>
              <w:t>指因患脑炎或脑膜炎导致的神经系统永久性的功能障碍。神经系统永久性的功</w:t>
            </w:r>
          </w:p>
          <w:p>
            <w:pPr>
              <w:pStyle w:val="TableParagraph"/>
              <w:spacing w:before="68"/>
              <w:rPr>
                <w:sz w:val="21"/>
              </w:rPr>
            </w:pPr>
            <w:r>
              <w:rPr>
                <w:sz w:val="21"/>
              </w:rPr>
              <w:t>能障碍，指疾病确诊 180 天后，仍遗留下列一种或一种以上障碍：</w:t>
            </w:r>
          </w:p>
          <w:p>
            <w:pPr>
              <w:pStyle w:val="TableParagraph"/>
              <w:spacing w:before="67"/>
              <w:rPr>
                <w:sz w:val="21"/>
              </w:rPr>
            </w:pPr>
            <w:r>
              <w:rPr>
                <w:sz w:val="21"/>
              </w:rPr>
              <w:t>（1）一肢或一肢以上肢体机能完全丧失；</w:t>
            </w:r>
          </w:p>
          <w:p>
            <w:pPr>
              <w:pStyle w:val="TableParagraph"/>
              <w:spacing w:before="67"/>
              <w:rPr>
                <w:sz w:val="21"/>
              </w:rPr>
            </w:pPr>
            <w:r>
              <w:rPr>
                <w:sz w:val="21"/>
              </w:rPr>
              <w:t>（2）语言能力或咀嚼吞咽能力完全丧失；</w:t>
            </w:r>
          </w:p>
          <w:p>
            <w:pPr>
              <w:pStyle w:val="TableParagraph"/>
              <w:spacing w:line="261" w:lineRule="auto" w:before="31"/>
              <w:ind w:left="527" w:right="335" w:hanging="421"/>
              <w:rPr>
                <w:sz w:val="21"/>
              </w:rPr>
            </w:pPr>
            <w:r>
              <w:rPr>
                <w:sz w:val="21"/>
              </w:rPr>
              <w:t>（3）自主生活能力完全丧失，无法独立完成六项基本日常生活活动中的三项或三项以上。</w:t>
            </w:r>
          </w:p>
        </w:tc>
      </w:tr>
      <w:tr>
        <w:trPr>
          <w:trHeight w:val="1602" w:hRule="atLeast"/>
        </w:trPr>
        <w:tc>
          <w:tcPr>
            <w:tcW w:w="1533" w:type="dxa"/>
          </w:tcPr>
          <w:p>
            <w:pPr>
              <w:pStyle w:val="TableParagraph"/>
              <w:spacing w:before="134"/>
              <w:ind w:left="200"/>
              <w:rPr>
                <w:b/>
                <w:sz w:val="21"/>
              </w:rPr>
            </w:pPr>
            <w:r>
              <w:rPr>
                <w:b/>
                <w:sz w:val="21"/>
              </w:rPr>
              <w:t>12.深度昏迷</w:t>
            </w:r>
          </w:p>
        </w:tc>
        <w:tc>
          <w:tcPr>
            <w:tcW w:w="7554" w:type="dxa"/>
          </w:tcPr>
          <w:p>
            <w:pPr>
              <w:pStyle w:val="TableParagraph"/>
              <w:spacing w:line="300" w:lineRule="auto" w:before="134"/>
              <w:ind w:right="303"/>
              <w:rPr>
                <w:sz w:val="21"/>
              </w:rPr>
            </w:pPr>
            <w:r>
              <w:rPr>
                <w:spacing w:val="-3"/>
                <w:sz w:val="21"/>
              </w:rPr>
              <w:t>指因疾病或意外伤害导致意识丧失,对外界刺激和体内需求均无反应,昏迷程 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1"/>
                <w:sz w:val="21"/>
              </w:rPr>
              <w:t> 分以下，且</w:t>
            </w:r>
            <w:r>
              <w:rPr>
                <w:spacing w:val="-8"/>
                <w:sz w:val="21"/>
              </w:rPr>
              <w:t>已经持续使用呼吸机及其它生命维持系统 </w:t>
            </w:r>
            <w:r>
              <w:rPr>
                <w:sz w:val="21"/>
              </w:rPr>
              <w:t>96</w:t>
            </w:r>
            <w:r>
              <w:rPr>
                <w:spacing w:val="-9"/>
                <w:sz w:val="21"/>
              </w:rPr>
              <w:t> 小时以上。</w:t>
            </w:r>
          </w:p>
          <w:p>
            <w:pPr>
              <w:pStyle w:val="TableParagraph"/>
              <w:spacing w:line="255" w:lineRule="exact"/>
              <w:rPr>
                <w:sz w:val="21"/>
              </w:rPr>
            </w:pPr>
            <w:r>
              <w:rPr>
                <w:sz w:val="21"/>
              </w:rPr>
              <w:t>因酗酒或药物滥用导致的深度昏迷不在保障范围内。</w:t>
            </w:r>
          </w:p>
        </w:tc>
      </w:tr>
      <w:tr>
        <w:trPr>
          <w:trHeight w:val="1298" w:hRule="atLeast"/>
        </w:trPr>
        <w:tc>
          <w:tcPr>
            <w:tcW w:w="1533" w:type="dxa"/>
          </w:tcPr>
          <w:p>
            <w:pPr>
              <w:pStyle w:val="TableParagraph"/>
              <w:spacing w:before="135"/>
              <w:ind w:left="200"/>
              <w:rPr>
                <w:b/>
                <w:sz w:val="21"/>
              </w:rPr>
            </w:pPr>
            <w:r>
              <w:rPr>
                <w:b/>
                <w:sz w:val="21"/>
              </w:rPr>
              <w:t>13.双耳失聪</w:t>
            </w:r>
          </w:p>
        </w:tc>
        <w:tc>
          <w:tcPr>
            <w:tcW w:w="7554" w:type="dxa"/>
          </w:tcPr>
          <w:p>
            <w:pPr>
              <w:pStyle w:val="TableParagraph"/>
              <w:spacing w:line="300" w:lineRule="auto" w:before="135"/>
              <w:ind w:right="303"/>
              <w:jc w:val="both"/>
              <w:rPr>
                <w:sz w:val="21"/>
              </w:rPr>
            </w:pPr>
            <w:r>
              <w:rPr>
                <w:spacing w:val="-7"/>
                <w:sz w:val="21"/>
              </w:rPr>
              <w:t>指因疾病或意外伤害导致双耳听力永久不可逆性丧失，在 </w:t>
            </w:r>
            <w:r>
              <w:rPr>
                <w:sz w:val="21"/>
              </w:rPr>
              <w:t>500</w:t>
            </w:r>
            <w:r>
              <w:rPr>
                <w:spacing w:val="-20"/>
                <w:sz w:val="21"/>
              </w:rPr>
              <w:t> 赫兹、</w:t>
            </w:r>
            <w:r>
              <w:rPr>
                <w:sz w:val="21"/>
              </w:rPr>
              <w:t>1000</w:t>
            </w:r>
            <w:r>
              <w:rPr>
                <w:spacing w:val="-18"/>
                <w:sz w:val="21"/>
              </w:rPr>
              <w:t> 赫兹</w:t>
            </w:r>
            <w:r>
              <w:rPr>
                <w:spacing w:val="-23"/>
                <w:sz w:val="21"/>
              </w:rPr>
              <w:t>和 </w:t>
            </w:r>
            <w:r>
              <w:rPr>
                <w:sz w:val="21"/>
              </w:rPr>
              <w:t>2000</w:t>
            </w:r>
            <w:r>
              <w:rPr>
                <w:spacing w:val="-12"/>
                <w:sz w:val="21"/>
              </w:rPr>
              <w:t> 赫兹语音频率下，平均听阈大于 </w:t>
            </w:r>
            <w:r>
              <w:rPr>
                <w:sz w:val="21"/>
              </w:rPr>
              <w:t>90</w:t>
            </w:r>
            <w:r>
              <w:rPr>
                <w:spacing w:val="-8"/>
                <w:sz w:val="21"/>
              </w:rPr>
              <w:t> 分贝，且经纯音听力测试、声导抗</w:t>
            </w:r>
            <w:r>
              <w:rPr>
                <w:spacing w:val="-5"/>
                <w:sz w:val="21"/>
              </w:rPr>
              <w:t>检测或听觉诱发电位检测等证实。</w:t>
            </w:r>
          </w:p>
        </w:tc>
      </w:tr>
      <w:tr>
        <w:trPr>
          <w:trHeight w:val="2330" w:hRule="atLeast"/>
        </w:trPr>
        <w:tc>
          <w:tcPr>
            <w:tcW w:w="1533" w:type="dxa"/>
          </w:tcPr>
          <w:p>
            <w:pPr>
              <w:pStyle w:val="TableParagraph"/>
              <w:spacing w:before="138"/>
              <w:ind w:left="200"/>
              <w:rPr>
                <w:b/>
                <w:sz w:val="21"/>
              </w:rPr>
            </w:pPr>
            <w:r>
              <w:rPr>
                <w:b/>
                <w:sz w:val="21"/>
              </w:rPr>
              <w:t>14.双目失明</w:t>
            </w:r>
          </w:p>
        </w:tc>
        <w:tc>
          <w:tcPr>
            <w:tcW w:w="7554" w:type="dxa"/>
          </w:tcPr>
          <w:p>
            <w:pPr>
              <w:pStyle w:val="TableParagraph"/>
              <w:spacing w:line="300" w:lineRule="auto" w:before="138"/>
              <w:ind w:right="303"/>
              <w:rPr>
                <w:sz w:val="21"/>
              </w:rPr>
            </w:pPr>
            <w:r>
              <w:rPr>
                <w:sz w:val="21"/>
              </w:rPr>
              <w:t>指因疾病或意外伤害导致双眼视力永久不可逆性丧失，双眼中较好眼须满足下列至少一项条件：</w:t>
            </w:r>
          </w:p>
          <w:p>
            <w:pPr>
              <w:pStyle w:val="TableParagraph"/>
              <w:spacing w:before="16"/>
              <w:rPr>
                <w:sz w:val="21"/>
              </w:rPr>
            </w:pPr>
            <w:r>
              <w:rPr>
                <w:sz w:val="21"/>
              </w:rPr>
              <w:t>（1）眼球缺失或摘除；</w:t>
            </w:r>
          </w:p>
          <w:p>
            <w:pPr>
              <w:pStyle w:val="TableParagraph"/>
              <w:spacing w:line="300" w:lineRule="auto" w:before="68"/>
              <w:ind w:right="351"/>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16"/>
              <w:rPr>
                <w:sz w:val="21"/>
              </w:rPr>
            </w:pPr>
            <w:r>
              <w:rPr>
                <w:sz w:val="21"/>
              </w:rPr>
              <w:t>（3）视野半径小于 5 度。</w:t>
            </w:r>
          </w:p>
        </w:tc>
      </w:tr>
      <w:tr>
        <w:trPr>
          <w:trHeight w:val="1301" w:hRule="atLeast"/>
        </w:trPr>
        <w:tc>
          <w:tcPr>
            <w:tcW w:w="1533" w:type="dxa"/>
          </w:tcPr>
          <w:p>
            <w:pPr>
              <w:pStyle w:val="TableParagraph"/>
              <w:spacing w:before="138"/>
              <w:ind w:left="200"/>
              <w:rPr>
                <w:b/>
                <w:sz w:val="21"/>
              </w:rPr>
            </w:pPr>
            <w:r>
              <w:rPr>
                <w:b/>
                <w:sz w:val="21"/>
              </w:rPr>
              <w:t>15.瘫痪</w:t>
            </w:r>
          </w:p>
        </w:tc>
        <w:tc>
          <w:tcPr>
            <w:tcW w:w="7554" w:type="dxa"/>
          </w:tcPr>
          <w:p>
            <w:pPr>
              <w:pStyle w:val="TableParagraph"/>
              <w:spacing w:line="300" w:lineRule="auto" w:before="138"/>
              <w:ind w:right="303"/>
              <w:jc w:val="both"/>
              <w:rPr>
                <w:sz w:val="21"/>
              </w:rPr>
            </w:pPr>
            <w:r>
              <w:rPr>
                <w:spacing w:val="-4"/>
                <w:sz w:val="21"/>
              </w:rPr>
              <w:t>指因疾病或意外伤害导致两肢或两肢以上肢体机能永久完全丧失。肢体机能永</w:t>
            </w:r>
            <w:r>
              <w:rPr>
                <w:spacing w:val="-7"/>
                <w:sz w:val="21"/>
              </w:rPr>
              <w:t>久完全丧失，指疾病确诊 </w:t>
            </w:r>
            <w:r>
              <w:rPr>
                <w:sz w:val="21"/>
              </w:rPr>
              <w:t>180</w:t>
            </w:r>
            <w:r>
              <w:rPr>
                <w:spacing w:val="-12"/>
                <w:sz w:val="21"/>
              </w:rPr>
              <w:t> 天后或意外伤害发生 </w:t>
            </w:r>
            <w:r>
              <w:rPr>
                <w:sz w:val="21"/>
              </w:rPr>
              <w:t>180</w:t>
            </w:r>
            <w:r>
              <w:rPr>
                <w:spacing w:val="-8"/>
                <w:sz w:val="21"/>
              </w:rPr>
              <w:t> 天后，每肢三大关节中</w:t>
            </w:r>
            <w:r>
              <w:rPr>
                <w:spacing w:val="-5"/>
                <w:sz w:val="21"/>
              </w:rPr>
              <w:t>的两大关节仍然完全僵硬，或不能随意识活动。</w:t>
            </w:r>
          </w:p>
        </w:tc>
      </w:tr>
      <w:tr>
        <w:trPr>
          <w:trHeight w:val="958" w:hRule="atLeast"/>
        </w:trPr>
        <w:tc>
          <w:tcPr>
            <w:tcW w:w="1533" w:type="dxa"/>
          </w:tcPr>
          <w:p>
            <w:pPr>
              <w:pStyle w:val="TableParagraph"/>
              <w:spacing w:line="300" w:lineRule="auto" w:before="139"/>
              <w:ind w:left="200" w:right="105"/>
              <w:rPr>
                <w:b/>
                <w:sz w:val="21"/>
              </w:rPr>
            </w:pPr>
            <w:r>
              <w:rPr>
                <w:b/>
                <w:sz w:val="21"/>
              </w:rPr>
              <w:t>16.心脏瓣膜手术</w:t>
            </w:r>
          </w:p>
        </w:tc>
        <w:tc>
          <w:tcPr>
            <w:tcW w:w="7554" w:type="dxa"/>
          </w:tcPr>
          <w:p>
            <w:pPr>
              <w:pStyle w:val="TableParagraph"/>
              <w:spacing w:before="139"/>
              <w:rPr>
                <w:sz w:val="21"/>
              </w:rPr>
            </w:pPr>
            <w:r>
              <w:rPr>
                <w:sz w:val="21"/>
              </w:rPr>
              <w:t>指为治疗心脏瓣膜疾病，实际实施了开胸进行的心脏瓣膜置换或修复的手术。</w:t>
            </w:r>
          </w:p>
        </w:tc>
      </w:tr>
      <w:tr>
        <w:trPr>
          <w:trHeight w:val="1987" w:hRule="atLeast"/>
        </w:trPr>
        <w:tc>
          <w:tcPr>
            <w:tcW w:w="1533" w:type="dxa"/>
          </w:tcPr>
          <w:p>
            <w:pPr>
              <w:pStyle w:val="TableParagraph"/>
              <w:spacing w:line="300" w:lineRule="auto" w:before="138"/>
              <w:ind w:left="200" w:right="105"/>
              <w:rPr>
                <w:b/>
                <w:sz w:val="21"/>
              </w:rPr>
            </w:pPr>
            <w:r>
              <w:rPr>
                <w:b/>
                <w:sz w:val="21"/>
              </w:rPr>
              <w:t>17.严重阿尔茨海默病</w:t>
            </w:r>
          </w:p>
        </w:tc>
        <w:tc>
          <w:tcPr>
            <w:tcW w:w="7554" w:type="dxa"/>
          </w:tcPr>
          <w:p>
            <w:pPr>
              <w:pStyle w:val="TableParagraph"/>
              <w:spacing w:line="300" w:lineRule="auto" w:before="138"/>
              <w:ind w:right="197"/>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w:t>
            </w:r>
            <w:r>
              <w:rPr>
                <w:spacing w:val="-6"/>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I）或正电子发射断层扫描</w:t>
            </w:r>
            <w:r>
              <w:rPr>
                <w:w w:val="100"/>
                <w:sz w:val="21"/>
              </w:rPr>
              <w:t>（PE</w:t>
            </w:r>
            <w:r>
              <w:rPr>
                <w:spacing w:val="-3"/>
                <w:w w:val="100"/>
                <w:sz w:val="21"/>
              </w:rPr>
              <w:t>T</w:t>
            </w:r>
            <w:r>
              <w:rPr>
                <w:w w:val="100"/>
                <w:sz w:val="21"/>
              </w:rPr>
              <w:t>）</w:t>
            </w:r>
            <w:r>
              <w:rPr>
                <w:spacing w:val="-3"/>
                <w:sz w:val="21"/>
              </w:rPr>
              <w:t>等影像学检查证实，且自主生活能力完全丧失，无法独立完成六项基本日常生活活动中的三项或三项以上。 神经官能症和精神疾病不在保障范围内。</w:t>
            </w:r>
          </w:p>
        </w:tc>
      </w:tr>
      <w:tr>
        <w:trPr>
          <w:trHeight w:val="2815" w:hRule="atLeast"/>
        </w:trPr>
        <w:tc>
          <w:tcPr>
            <w:tcW w:w="1533" w:type="dxa"/>
          </w:tcPr>
          <w:p>
            <w:pPr>
              <w:pStyle w:val="TableParagraph"/>
              <w:spacing w:line="300" w:lineRule="auto" w:before="138"/>
              <w:ind w:left="200" w:right="105"/>
              <w:rPr>
                <w:b/>
                <w:sz w:val="21"/>
              </w:rPr>
            </w:pPr>
            <w:r>
              <w:rPr>
                <w:b/>
                <w:sz w:val="21"/>
              </w:rPr>
              <w:t>18.严重脑损伤</w:t>
            </w:r>
          </w:p>
        </w:tc>
        <w:tc>
          <w:tcPr>
            <w:tcW w:w="7554" w:type="dxa"/>
          </w:tcPr>
          <w:p>
            <w:pPr>
              <w:pStyle w:val="TableParagraph"/>
              <w:spacing w:line="300" w:lineRule="auto" w:before="138"/>
              <w:ind w:right="303"/>
              <w:rPr>
                <w:sz w:val="21"/>
              </w:rPr>
            </w:pPr>
            <w:r>
              <w:rPr>
                <w:spacing w:val="-3"/>
                <w:sz w:val="21"/>
              </w:rPr>
              <w:t>指因头部遭受机械性外力，引起脑重要部位损伤，导致神经系统永久性的功能</w:t>
            </w:r>
            <w:r>
              <w:rPr>
                <w:spacing w:val="-3"/>
                <w:w w:val="100"/>
                <w:sz w:val="21"/>
              </w:rPr>
              <w:t>障碍。须由头颅断层扫描</w:t>
            </w:r>
            <w:r>
              <w:rPr>
                <w:w w:val="100"/>
                <w:sz w:val="21"/>
              </w:rPr>
              <w:t>（CT</w:t>
            </w:r>
            <w:r>
              <w:rPr>
                <w:spacing w:val="-108"/>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w w:val="100"/>
                <w:sz w:val="21"/>
              </w:rPr>
              <w:t>）</w:t>
            </w:r>
            <w:r>
              <w:rPr>
                <w:spacing w:val="-3"/>
                <w:w w:val="100"/>
                <w:sz w:val="21"/>
              </w:rPr>
              <w:t>或正电子发射断层扫描</w:t>
            </w:r>
          </w:p>
          <w:p>
            <w:pPr>
              <w:pStyle w:val="TableParagraph"/>
              <w:spacing w:line="300" w:lineRule="auto" w:before="16"/>
              <w:ind w:right="197"/>
              <w:rPr>
                <w:sz w:val="21"/>
              </w:rPr>
            </w:pPr>
            <w:r>
              <w:rPr>
                <w:sz w:val="21"/>
              </w:rPr>
              <w:t>（PET）</w:t>
            </w:r>
            <w:r>
              <w:rPr>
                <w:spacing w:val="-5"/>
                <w:sz w:val="21"/>
              </w:rPr>
              <w:t>等影像学检查证实。神经系统永久性的功能障碍，指脑损伤 </w:t>
            </w:r>
            <w:r>
              <w:rPr>
                <w:sz w:val="21"/>
              </w:rPr>
              <w:t>180</w:t>
            </w:r>
            <w:r>
              <w:rPr>
                <w:spacing w:val="-11"/>
                <w:sz w:val="21"/>
              </w:rPr>
              <w:t> 天后， </w:t>
            </w:r>
            <w:r>
              <w:rPr>
                <w:spacing w:val="-3"/>
                <w:sz w:val="21"/>
              </w:rPr>
              <w:t>仍遗留下列一种或一种以上障碍：</w:t>
            </w:r>
          </w:p>
          <w:p>
            <w:pPr>
              <w:pStyle w:val="TableParagraph"/>
              <w:spacing w:before="16"/>
              <w:rPr>
                <w:sz w:val="21"/>
              </w:rPr>
            </w:pPr>
            <w:r>
              <w:rPr>
                <w:sz w:val="21"/>
              </w:rPr>
              <w:t>（1）一肢或一肢以上肢体机能完全丧失；</w:t>
            </w:r>
          </w:p>
          <w:p>
            <w:pPr>
              <w:pStyle w:val="TableParagraph"/>
              <w:spacing w:before="69"/>
              <w:rPr>
                <w:sz w:val="21"/>
              </w:rPr>
            </w:pPr>
            <w:r>
              <w:rPr>
                <w:sz w:val="21"/>
              </w:rPr>
              <w:t>（2）语言能力或咀嚼吞咽能力完全丧失；</w:t>
            </w:r>
          </w:p>
          <w:p>
            <w:pPr>
              <w:pStyle w:val="TableParagraph"/>
              <w:spacing w:line="340" w:lineRule="atLeast" w:before="3"/>
              <w:ind w:right="404"/>
              <w:rPr>
                <w:sz w:val="21"/>
              </w:rPr>
            </w:pPr>
            <w:r>
              <w:rPr>
                <w:sz w:val="21"/>
              </w:rPr>
              <w:t>（3）自主生活能力完全丧失，无法独立完成六项基本日常生活活动中的三项或三项以上。</w:t>
            </w:r>
          </w:p>
        </w:tc>
      </w:tr>
    </w:tbl>
    <w:p>
      <w:pPr>
        <w:spacing w:after="0" w:line="340" w:lineRule="atLeast"/>
        <w:rPr>
          <w:sz w:val="21"/>
        </w:rPr>
        <w:sectPr>
          <w:pgSz w:w="11910" w:h="16840"/>
          <w:pgMar w:top="1180" w:bottom="280" w:left="1660" w:right="9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2"/>
        <w:gridCol w:w="7443"/>
      </w:tblGrid>
      <w:tr>
        <w:trPr>
          <w:trHeight w:val="2128" w:hRule="atLeast"/>
        </w:trPr>
        <w:tc>
          <w:tcPr>
            <w:tcW w:w="1542" w:type="dxa"/>
          </w:tcPr>
          <w:p>
            <w:pPr>
              <w:pStyle w:val="TableParagraph"/>
              <w:spacing w:line="205" w:lineRule="exact"/>
              <w:ind w:left="200"/>
              <w:rPr>
                <w:b/>
                <w:sz w:val="21"/>
              </w:rPr>
            </w:pPr>
            <w:r>
              <w:rPr>
                <w:b/>
                <w:sz w:val="21"/>
              </w:rPr>
              <w:t>19.严重帕金</w:t>
            </w:r>
          </w:p>
          <w:p>
            <w:pPr>
              <w:pStyle w:val="TableParagraph"/>
              <w:spacing w:before="68"/>
              <w:ind w:left="200"/>
              <w:rPr>
                <w:b/>
                <w:sz w:val="21"/>
              </w:rPr>
            </w:pPr>
            <w:r>
              <w:rPr>
                <w:b/>
                <w:sz w:val="21"/>
              </w:rPr>
              <w:t>森病</w:t>
            </w:r>
          </w:p>
        </w:tc>
        <w:tc>
          <w:tcPr>
            <w:tcW w:w="7443" w:type="dxa"/>
          </w:tcPr>
          <w:p>
            <w:pPr>
              <w:pStyle w:val="TableParagraph"/>
              <w:spacing w:line="205" w:lineRule="exact"/>
              <w:ind w:left="97"/>
              <w:rPr>
                <w:sz w:val="21"/>
              </w:rPr>
            </w:pPr>
            <w:r>
              <w:rPr>
                <w:sz w:val="21"/>
              </w:rPr>
              <w:t>是一种中枢神经系统的退行性疾病，临床表现为震颤麻痹、共济失调等。须满</w:t>
            </w:r>
          </w:p>
          <w:p>
            <w:pPr>
              <w:pStyle w:val="TableParagraph"/>
              <w:spacing w:before="68"/>
              <w:ind w:left="97"/>
              <w:rPr>
                <w:sz w:val="21"/>
              </w:rPr>
            </w:pPr>
            <w:r>
              <w:rPr>
                <w:sz w:val="21"/>
              </w:rPr>
              <w:t>足下列全部条件：</w:t>
            </w:r>
          </w:p>
          <w:p>
            <w:pPr>
              <w:pStyle w:val="TableParagraph"/>
              <w:spacing w:before="68"/>
              <w:ind w:left="97"/>
              <w:rPr>
                <w:sz w:val="21"/>
              </w:rPr>
            </w:pPr>
            <w:r>
              <w:rPr>
                <w:sz w:val="21"/>
              </w:rPr>
              <w:t>（1）药物治疗无法控制病情；</w:t>
            </w:r>
          </w:p>
          <w:p>
            <w:pPr>
              <w:pStyle w:val="TableParagraph"/>
              <w:spacing w:line="300" w:lineRule="auto" w:before="68"/>
              <w:ind w:left="518" w:right="302" w:hanging="421"/>
              <w:rPr>
                <w:sz w:val="21"/>
              </w:rPr>
            </w:pPr>
            <w:r>
              <w:rPr>
                <w:sz w:val="21"/>
              </w:rPr>
              <w:t>（2）自主生活能力完全丧失，无法独立完成六项基本日常生活活动中的三项或三项以上。</w:t>
            </w:r>
          </w:p>
          <w:p>
            <w:pPr>
              <w:pStyle w:val="TableParagraph"/>
              <w:spacing w:before="15"/>
              <w:ind w:left="97"/>
              <w:rPr>
                <w:sz w:val="21"/>
              </w:rPr>
            </w:pPr>
            <w:r>
              <w:rPr>
                <w:sz w:val="21"/>
              </w:rPr>
              <w:t>继发性帕金森综合征不在保障范围内。</w:t>
            </w:r>
          </w:p>
        </w:tc>
      </w:tr>
      <w:tr>
        <w:trPr>
          <w:trHeight w:val="957" w:hRule="atLeast"/>
        </w:trPr>
        <w:tc>
          <w:tcPr>
            <w:tcW w:w="1542" w:type="dxa"/>
          </w:tcPr>
          <w:p>
            <w:pPr>
              <w:pStyle w:val="TableParagraph"/>
              <w:spacing w:line="300" w:lineRule="auto" w:before="132"/>
              <w:ind w:left="200" w:right="114"/>
              <w:rPr>
                <w:b/>
                <w:sz w:val="21"/>
              </w:rPr>
            </w:pPr>
            <w:r>
              <w:rPr>
                <w:b/>
                <w:sz w:val="21"/>
              </w:rPr>
              <w:t>20.严重Ⅲ度烧伤</w:t>
            </w:r>
          </w:p>
        </w:tc>
        <w:tc>
          <w:tcPr>
            <w:tcW w:w="7443" w:type="dxa"/>
          </w:tcPr>
          <w:p>
            <w:pPr>
              <w:pStyle w:val="TableParagraph"/>
              <w:spacing w:line="300" w:lineRule="auto" w:before="132"/>
              <w:ind w:left="97" w:right="302"/>
              <w:rPr>
                <w:sz w:val="21"/>
              </w:rPr>
            </w:pPr>
            <w:r>
              <w:rPr>
                <w:spacing w:val="-5"/>
                <w:sz w:val="21"/>
              </w:rPr>
              <w:t>指烧伤程度为Ⅲ度，且Ⅲ度烧伤面积达到全身体表面积的 </w:t>
            </w:r>
            <w:r>
              <w:rPr>
                <w:sz w:val="21"/>
              </w:rPr>
              <w:t>20</w:t>
            </w:r>
            <w:r>
              <w:rPr>
                <w:spacing w:val="-14"/>
                <w:sz w:val="21"/>
              </w:rPr>
              <w:t>％或 </w:t>
            </w:r>
            <w:r>
              <w:rPr>
                <w:sz w:val="21"/>
              </w:rPr>
              <w:t>20</w:t>
            </w:r>
            <w:r>
              <w:rPr>
                <w:spacing w:val="-1"/>
                <w:sz w:val="21"/>
              </w:rPr>
              <w:t>％以上。</w:t>
            </w:r>
            <w:r>
              <w:rPr>
                <w:spacing w:val="-3"/>
                <w:sz w:val="21"/>
              </w:rPr>
              <w:t>体表面积根据 《中国新九分法》计算。</w:t>
            </w:r>
          </w:p>
        </w:tc>
      </w:tr>
      <w:tr>
        <w:trPr>
          <w:trHeight w:val="1302" w:hRule="atLeast"/>
        </w:trPr>
        <w:tc>
          <w:tcPr>
            <w:tcW w:w="1542" w:type="dxa"/>
          </w:tcPr>
          <w:p>
            <w:pPr>
              <w:pStyle w:val="TableParagraph"/>
              <w:spacing w:line="300" w:lineRule="auto" w:before="132"/>
              <w:ind w:left="200" w:right="96"/>
              <w:jc w:val="both"/>
              <w:rPr>
                <w:b/>
                <w:sz w:val="21"/>
              </w:rPr>
            </w:pPr>
            <w:r>
              <w:rPr>
                <w:b/>
                <w:spacing w:val="5"/>
                <w:sz w:val="21"/>
              </w:rPr>
              <w:t>21</w:t>
            </w:r>
            <w:r>
              <w:rPr>
                <w:b/>
                <w:spacing w:val="10"/>
                <w:sz w:val="21"/>
              </w:rPr>
              <w:t>.严重原发</w:t>
            </w:r>
            <w:r>
              <w:rPr>
                <w:b/>
                <w:spacing w:val="-32"/>
                <w:sz w:val="21"/>
              </w:rPr>
              <w:t>性 肺 动 脉 高压</w:t>
            </w:r>
          </w:p>
        </w:tc>
        <w:tc>
          <w:tcPr>
            <w:tcW w:w="7443" w:type="dxa"/>
          </w:tcPr>
          <w:p>
            <w:pPr>
              <w:pStyle w:val="TableParagraph"/>
              <w:spacing w:line="300" w:lineRule="auto" w:before="132"/>
              <w:ind w:left="97" w:right="201"/>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645" w:hRule="atLeast"/>
        </w:trPr>
        <w:tc>
          <w:tcPr>
            <w:tcW w:w="1542" w:type="dxa"/>
          </w:tcPr>
          <w:p>
            <w:pPr>
              <w:pStyle w:val="TableParagraph"/>
              <w:spacing w:line="300" w:lineRule="auto" w:before="133"/>
              <w:ind w:left="200" w:right="114"/>
              <w:rPr>
                <w:b/>
                <w:sz w:val="21"/>
              </w:rPr>
            </w:pPr>
            <w:r>
              <w:rPr>
                <w:b/>
                <w:sz w:val="21"/>
              </w:rPr>
              <w:t>22.严重运动神经元病</w:t>
            </w:r>
          </w:p>
        </w:tc>
        <w:tc>
          <w:tcPr>
            <w:tcW w:w="7443" w:type="dxa"/>
          </w:tcPr>
          <w:p>
            <w:pPr>
              <w:pStyle w:val="TableParagraph"/>
              <w:spacing w:line="300" w:lineRule="auto" w:before="133"/>
              <w:ind w:left="97" w:right="19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301" w:hRule="atLeast"/>
        </w:trPr>
        <w:tc>
          <w:tcPr>
            <w:tcW w:w="1542" w:type="dxa"/>
          </w:tcPr>
          <w:p>
            <w:pPr>
              <w:pStyle w:val="TableParagraph"/>
              <w:spacing w:line="300" w:lineRule="auto" w:before="132"/>
              <w:ind w:left="200" w:right="114"/>
              <w:rPr>
                <w:b/>
                <w:sz w:val="21"/>
              </w:rPr>
            </w:pPr>
            <w:r>
              <w:rPr>
                <w:b/>
                <w:sz w:val="21"/>
              </w:rPr>
              <w:t>23.语言能力丧失</w:t>
            </w:r>
          </w:p>
        </w:tc>
        <w:tc>
          <w:tcPr>
            <w:tcW w:w="7443" w:type="dxa"/>
          </w:tcPr>
          <w:p>
            <w:pPr>
              <w:pStyle w:val="TableParagraph"/>
              <w:spacing w:line="300" w:lineRule="auto" w:before="132"/>
              <w:ind w:left="97" w:right="302"/>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16"/>
              <w:ind w:left="97"/>
              <w:rPr>
                <w:sz w:val="21"/>
              </w:rPr>
            </w:pPr>
            <w:r>
              <w:rPr>
                <w:sz w:val="21"/>
              </w:rPr>
              <w:t>精神心理因素所致的语言能力丧失不在保障范围内。</w:t>
            </w:r>
          </w:p>
        </w:tc>
      </w:tr>
      <w:tr>
        <w:trPr>
          <w:trHeight w:val="2635" w:hRule="atLeast"/>
        </w:trPr>
        <w:tc>
          <w:tcPr>
            <w:tcW w:w="1542" w:type="dxa"/>
          </w:tcPr>
          <w:p>
            <w:pPr>
              <w:pStyle w:val="TableParagraph"/>
              <w:spacing w:line="300" w:lineRule="auto" w:before="132"/>
              <w:ind w:left="200" w:right="114"/>
              <w:rPr>
                <w:b/>
                <w:sz w:val="21"/>
              </w:rPr>
            </w:pPr>
            <w:r>
              <w:rPr>
                <w:b/>
                <w:sz w:val="21"/>
              </w:rPr>
              <w:t>24.重型再生障碍性贫血</w:t>
            </w:r>
          </w:p>
        </w:tc>
        <w:tc>
          <w:tcPr>
            <w:tcW w:w="7443" w:type="dxa"/>
          </w:tcPr>
          <w:p>
            <w:pPr>
              <w:pStyle w:val="TableParagraph"/>
              <w:spacing w:line="300" w:lineRule="auto" w:before="132"/>
              <w:ind w:left="97" w:right="208"/>
              <w:rPr>
                <w:sz w:val="21"/>
              </w:rPr>
            </w:pPr>
            <w:r>
              <w:rPr>
                <w:sz w:val="21"/>
              </w:rPr>
              <w:t>指因骨髓造血功能慢性持续性衰竭导致的贫血、中性粒细胞减少及血小板减少，须满足以下全部条件：</w:t>
            </w:r>
          </w:p>
          <w:p>
            <w:pPr>
              <w:pStyle w:val="TableParagraph"/>
              <w:spacing w:before="16"/>
              <w:ind w:left="97"/>
              <w:rPr>
                <w:sz w:val="21"/>
              </w:rPr>
            </w:pPr>
            <w:r>
              <w:rPr>
                <w:sz w:val="21"/>
              </w:rPr>
              <w:t>（1）骨髓穿刺检查或骨髓活检结果支持诊断；</w:t>
            </w:r>
          </w:p>
          <w:p>
            <w:pPr>
              <w:pStyle w:val="TableParagraph"/>
              <w:spacing w:before="68"/>
              <w:ind w:left="97"/>
              <w:rPr>
                <w:sz w:val="21"/>
              </w:rPr>
            </w:pPr>
            <w:r>
              <w:rPr>
                <w:sz w:val="21"/>
              </w:rPr>
              <w:t>（2）外周血象必须具备以下三项条件：</w:t>
            </w:r>
          </w:p>
          <w:p>
            <w:pPr>
              <w:pStyle w:val="TableParagraph"/>
              <w:spacing w:before="68"/>
              <w:ind w:left="518"/>
              <w:rPr>
                <w:sz w:val="21"/>
              </w:rPr>
            </w:pPr>
            <w:r>
              <w:rPr>
                <w:sz w:val="21"/>
              </w:rPr>
              <w:t>① 中性粒细胞绝对值≤0.5×10</w:t>
            </w:r>
            <w:r>
              <w:rPr>
                <w:b/>
                <w:position w:val="11"/>
                <w:sz w:val="11"/>
              </w:rPr>
              <w:t>9</w:t>
            </w:r>
            <w:r>
              <w:rPr>
                <w:sz w:val="21"/>
              </w:rPr>
              <w:t>/L ；</w:t>
            </w:r>
          </w:p>
          <w:p>
            <w:pPr>
              <w:pStyle w:val="TableParagraph"/>
              <w:spacing w:before="68"/>
              <w:ind w:left="518"/>
              <w:rPr>
                <w:sz w:val="21"/>
              </w:rPr>
            </w:pPr>
            <w:r>
              <w:rPr>
                <w:sz w:val="21"/>
              </w:rPr>
              <w:t>② 网织红细胞＜1%；</w:t>
            </w:r>
          </w:p>
          <w:p>
            <w:pPr>
              <w:pStyle w:val="TableParagraph"/>
              <w:spacing w:before="32"/>
              <w:ind w:left="518"/>
              <w:rPr>
                <w:sz w:val="21"/>
              </w:rPr>
            </w:pPr>
            <w:r>
              <w:rPr>
                <w:sz w:val="21"/>
              </w:rPr>
              <w:t>③ 血小板绝对值≤20×10</w:t>
            </w:r>
            <w:r>
              <w:rPr>
                <w:b/>
                <w:position w:val="11"/>
                <w:sz w:val="11"/>
              </w:rPr>
              <w:t>9</w:t>
            </w:r>
            <w:r>
              <w:rPr>
                <w:sz w:val="21"/>
              </w:rPr>
              <w:t>/L。</w:t>
            </w:r>
          </w:p>
        </w:tc>
      </w:tr>
      <w:tr>
        <w:trPr>
          <w:trHeight w:val="1641" w:hRule="atLeast"/>
        </w:trPr>
        <w:tc>
          <w:tcPr>
            <w:tcW w:w="1542" w:type="dxa"/>
          </w:tcPr>
          <w:p>
            <w:pPr>
              <w:pStyle w:val="TableParagraph"/>
              <w:spacing w:line="300" w:lineRule="auto" w:before="130"/>
              <w:ind w:left="200" w:right="114"/>
              <w:rPr>
                <w:b/>
                <w:sz w:val="21"/>
              </w:rPr>
            </w:pPr>
            <w:r>
              <w:rPr>
                <w:b/>
                <w:sz w:val="21"/>
              </w:rPr>
              <w:t>25.主动脉手术</w:t>
            </w:r>
          </w:p>
        </w:tc>
        <w:tc>
          <w:tcPr>
            <w:tcW w:w="7443" w:type="dxa"/>
          </w:tcPr>
          <w:p>
            <w:pPr>
              <w:pStyle w:val="TableParagraph"/>
              <w:spacing w:line="300" w:lineRule="auto" w:before="130"/>
              <w:ind w:left="97" w:right="201"/>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6"/>
              <w:ind w:left="97"/>
              <w:jc w:val="both"/>
              <w:rPr>
                <w:sz w:val="21"/>
              </w:rPr>
            </w:pPr>
            <w:r>
              <w:rPr>
                <w:sz w:val="21"/>
              </w:rPr>
              <w:t>动脉内血管成形术不在保障范围内。</w:t>
            </w:r>
          </w:p>
        </w:tc>
      </w:tr>
      <w:tr>
        <w:trPr>
          <w:trHeight w:val="1300" w:hRule="atLeast"/>
        </w:trPr>
        <w:tc>
          <w:tcPr>
            <w:tcW w:w="1542" w:type="dxa"/>
          </w:tcPr>
          <w:p>
            <w:pPr>
              <w:pStyle w:val="TableParagraph"/>
              <w:spacing w:line="300" w:lineRule="auto" w:before="132"/>
              <w:ind w:left="200" w:right="114"/>
              <w:rPr>
                <w:b/>
                <w:sz w:val="21"/>
              </w:rPr>
            </w:pPr>
            <w:r>
              <w:rPr>
                <w:b/>
                <w:sz w:val="21"/>
              </w:rPr>
              <w:t>26.严重克隆病</w:t>
            </w:r>
          </w:p>
        </w:tc>
        <w:tc>
          <w:tcPr>
            <w:tcW w:w="7443" w:type="dxa"/>
          </w:tcPr>
          <w:p>
            <w:pPr>
              <w:pStyle w:val="TableParagraph"/>
              <w:spacing w:line="300" w:lineRule="auto" w:before="132"/>
              <w:ind w:left="97" w:right="201"/>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099" w:hRule="atLeast"/>
        </w:trPr>
        <w:tc>
          <w:tcPr>
            <w:tcW w:w="1542" w:type="dxa"/>
          </w:tcPr>
          <w:p>
            <w:pPr>
              <w:pStyle w:val="TableParagraph"/>
              <w:spacing w:line="300" w:lineRule="auto" w:before="132"/>
              <w:ind w:left="200" w:right="114"/>
              <w:rPr>
                <w:b/>
                <w:sz w:val="21"/>
              </w:rPr>
            </w:pPr>
            <w:r>
              <w:rPr>
                <w:b/>
                <w:sz w:val="21"/>
              </w:rPr>
              <w:t>27.多发性硬化</w:t>
            </w:r>
          </w:p>
        </w:tc>
        <w:tc>
          <w:tcPr>
            <w:tcW w:w="7443" w:type="dxa"/>
          </w:tcPr>
          <w:p>
            <w:pPr>
              <w:pStyle w:val="TableParagraph"/>
              <w:spacing w:before="132"/>
              <w:ind w:left="97"/>
              <w:rPr>
                <w:sz w:val="21"/>
              </w:rPr>
            </w:pPr>
            <w:r>
              <w:rPr>
                <w:sz w:val="21"/>
              </w:rPr>
              <w:t>被保险人因脑及脊髓内的脱髓鞘病变而出现神经系统多灶性（多发性）多时相</w:t>
            </w:r>
          </w:p>
          <w:p>
            <w:pPr>
              <w:pStyle w:val="TableParagraph"/>
              <w:spacing w:line="340" w:lineRule="atLeast" w:before="3"/>
              <w:ind w:left="97" w:right="201"/>
              <w:rPr>
                <w:sz w:val="21"/>
              </w:rPr>
            </w:pPr>
            <w:r>
              <w:rPr>
                <w:sz w:val="21"/>
              </w:rPr>
              <w:t>（至少6个月以内有一次以上（不包含一次）的发作）的病变，须由计算机断</w:t>
            </w:r>
            <w:r>
              <w:rPr>
                <w:spacing w:val="1"/>
                <w:w w:val="100"/>
                <w:sz w:val="21"/>
              </w:rPr>
              <w:t>层扫描</w:t>
            </w:r>
            <w:r>
              <w:rPr>
                <w:spacing w:val="2"/>
                <w:w w:val="100"/>
                <w:sz w:val="21"/>
              </w:rPr>
              <w:t>（</w:t>
            </w:r>
            <w:r>
              <w:rPr>
                <w:w w:val="100"/>
                <w:sz w:val="21"/>
              </w:rPr>
              <w:t>CT</w:t>
            </w:r>
            <w:r>
              <w:rPr>
                <w:spacing w:val="-101"/>
                <w:w w:val="100"/>
                <w:sz w:val="21"/>
              </w:rPr>
              <w:t>）</w:t>
            </w:r>
            <w:r>
              <w:rPr>
                <w:w w:val="100"/>
                <w:sz w:val="21"/>
              </w:rPr>
              <w:t>、核磁共振检查</w:t>
            </w:r>
            <w:r>
              <w:rPr>
                <w:spacing w:val="2"/>
                <w:w w:val="100"/>
                <w:sz w:val="21"/>
              </w:rPr>
              <w:t>（</w:t>
            </w:r>
            <w:r>
              <w:rPr>
                <w:w w:val="100"/>
                <w:sz w:val="21"/>
              </w:rPr>
              <w:t>MR</w:t>
            </w:r>
            <w:r>
              <w:rPr>
                <w:spacing w:val="1"/>
                <w:w w:val="100"/>
                <w:sz w:val="21"/>
              </w:rPr>
              <w:t>I）</w:t>
            </w:r>
            <w:r>
              <w:rPr>
                <w:w w:val="100"/>
                <w:sz w:val="21"/>
              </w:rPr>
              <w:t>或正电子发射断层扫描</w:t>
            </w:r>
            <w:r>
              <w:rPr>
                <w:spacing w:val="5"/>
                <w:w w:val="100"/>
                <w:sz w:val="21"/>
              </w:rPr>
              <w:t>（</w:t>
            </w:r>
            <w:r>
              <w:rPr>
                <w:w w:val="100"/>
                <w:sz w:val="21"/>
              </w:rPr>
              <w:t>PE</w:t>
            </w:r>
            <w:r>
              <w:rPr>
                <w:spacing w:val="1"/>
                <w:w w:val="100"/>
                <w:sz w:val="21"/>
              </w:rPr>
              <w:t>T）</w:t>
            </w:r>
            <w:r>
              <w:rPr>
                <w:w w:val="100"/>
                <w:sz w:val="21"/>
              </w:rPr>
              <w:t>等影像学</w:t>
            </w:r>
          </w:p>
        </w:tc>
      </w:tr>
    </w:tbl>
    <w:p>
      <w:pPr>
        <w:spacing w:after="0" w:line="340" w:lineRule="atLeast"/>
        <w:rPr>
          <w:sz w:val="21"/>
        </w:rPr>
        <w:sectPr>
          <w:pgSz w:w="11910" w:h="16840"/>
          <w:pgMar w:top="1460" w:bottom="280" w:left="1660" w:right="10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7554"/>
      </w:tblGrid>
      <w:tr>
        <w:trPr>
          <w:trHeight w:val="757" w:hRule="atLeast"/>
        </w:trPr>
        <w:tc>
          <w:tcPr>
            <w:tcW w:w="1533" w:type="dxa"/>
          </w:tcPr>
          <w:p>
            <w:pPr>
              <w:pStyle w:val="TableParagraph"/>
              <w:ind w:left="0"/>
              <w:rPr>
                <w:rFonts w:ascii="Times New Roman"/>
                <w:sz w:val="20"/>
              </w:rPr>
            </w:pPr>
          </w:p>
        </w:tc>
        <w:tc>
          <w:tcPr>
            <w:tcW w:w="7554" w:type="dxa"/>
          </w:tcPr>
          <w:p>
            <w:pPr>
              <w:pStyle w:val="TableParagraph"/>
              <w:spacing w:line="211" w:lineRule="exact"/>
              <w:rPr>
                <w:sz w:val="21"/>
              </w:rPr>
            </w:pPr>
            <w:r>
              <w:rPr>
                <w:sz w:val="21"/>
              </w:rPr>
              <w:t>检查证实，且已经造成自主生活能力完全丧失，无法独立完成六项基本日常生</w:t>
            </w:r>
          </w:p>
          <w:p>
            <w:pPr>
              <w:pStyle w:val="TableParagraph"/>
              <w:spacing w:before="68"/>
              <w:rPr>
                <w:sz w:val="21"/>
              </w:rPr>
            </w:pPr>
            <w:r>
              <w:rPr>
                <w:sz w:val="21"/>
              </w:rPr>
              <w:t>活活动中的三项或三项以上，持续至少180天。</w:t>
            </w:r>
          </w:p>
        </w:tc>
      </w:tr>
      <w:tr>
        <w:trPr>
          <w:trHeight w:val="3361" w:hRule="atLeast"/>
        </w:trPr>
        <w:tc>
          <w:tcPr>
            <w:tcW w:w="1533" w:type="dxa"/>
          </w:tcPr>
          <w:p>
            <w:pPr>
              <w:pStyle w:val="TableParagraph"/>
              <w:spacing w:line="300" w:lineRule="auto" w:before="139"/>
              <w:ind w:left="200" w:right="105"/>
              <w:rPr>
                <w:b/>
                <w:sz w:val="21"/>
              </w:rPr>
            </w:pPr>
            <w:r>
              <w:rPr>
                <w:b/>
                <w:sz w:val="21"/>
              </w:rPr>
              <w:t>28.重症肌无力</w:t>
            </w:r>
          </w:p>
        </w:tc>
        <w:tc>
          <w:tcPr>
            <w:tcW w:w="7554" w:type="dxa"/>
          </w:tcPr>
          <w:p>
            <w:pPr>
              <w:pStyle w:val="TableParagraph"/>
              <w:spacing w:line="300" w:lineRule="auto" w:before="139"/>
              <w:ind w:right="198"/>
              <w:rPr>
                <w:sz w:val="21"/>
              </w:rPr>
            </w:pPr>
            <w:r>
              <w:rPr>
                <w:spacing w:val="-3"/>
                <w:sz w:val="21"/>
              </w:rPr>
              <w:t>是指一种神经与肌肉接头部位传递障碍的自身免疫性疾病，临床特征是局部或</w:t>
            </w:r>
            <w:r>
              <w:rPr>
                <w:spacing w:val="-9"/>
                <w:sz w:val="21"/>
              </w:rPr>
              <w:t>全身横纹肌于活动时易于疲劳无力，颅神经眼外肌最易累及，也可涉及呼吸肌、</w:t>
            </w:r>
            <w:r>
              <w:rPr>
                <w:spacing w:val="-5"/>
                <w:sz w:val="21"/>
              </w:rPr>
              <w:t>下肢近端肌群以至全身肌肉，须经本公司认可的神经科医师确诊。其诊断必须</w:t>
            </w:r>
            <w:r>
              <w:rPr>
                <w:spacing w:val="-4"/>
                <w:sz w:val="21"/>
              </w:rPr>
              <w:t>同时具有下列情况：</w:t>
            </w:r>
          </w:p>
          <w:p>
            <w:pPr>
              <w:pStyle w:val="TableParagraph"/>
              <w:spacing w:before="16"/>
              <w:rPr>
                <w:sz w:val="21"/>
              </w:rPr>
            </w:pPr>
            <w:r>
              <w:rPr>
                <w:sz w:val="21"/>
              </w:rPr>
              <w:t>（1）经药物、胸腺手术治疗一年以上无法控制病情，丧失正常工作能力；</w:t>
            </w:r>
          </w:p>
          <w:p>
            <w:pPr>
              <w:pStyle w:val="TableParagraph"/>
              <w:spacing w:line="300" w:lineRule="auto" w:before="68"/>
              <w:ind w:right="300"/>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300" w:lineRule="auto" w:before="15"/>
              <w:ind w:right="310"/>
              <w:rPr>
                <w:sz w:val="21"/>
              </w:rPr>
            </w:pPr>
            <w:r>
              <w:rPr>
                <w:sz w:val="21"/>
              </w:rPr>
              <w:t>（3）症状缓解、复发及恶化交替出现，临床接受新斯的明等抗胆碱酯酶药物治疗的病史。</w:t>
            </w:r>
          </w:p>
        </w:tc>
      </w:tr>
      <w:tr>
        <w:trPr>
          <w:trHeight w:val="2330" w:hRule="atLeast"/>
        </w:trPr>
        <w:tc>
          <w:tcPr>
            <w:tcW w:w="1533" w:type="dxa"/>
          </w:tcPr>
          <w:p>
            <w:pPr>
              <w:pStyle w:val="TableParagraph"/>
              <w:spacing w:line="300" w:lineRule="auto" w:before="138"/>
              <w:ind w:left="200" w:right="105"/>
              <w:rPr>
                <w:b/>
                <w:sz w:val="21"/>
              </w:rPr>
            </w:pPr>
            <w:r>
              <w:rPr>
                <w:b/>
                <w:sz w:val="21"/>
              </w:rPr>
              <w:t>29.严重心肌病</w:t>
            </w:r>
          </w:p>
        </w:tc>
        <w:tc>
          <w:tcPr>
            <w:tcW w:w="7554" w:type="dxa"/>
          </w:tcPr>
          <w:p>
            <w:pPr>
              <w:pStyle w:val="TableParagraph"/>
              <w:spacing w:line="300" w:lineRule="auto" w:before="138"/>
              <w:ind w:right="303"/>
              <w:jc w:val="both"/>
              <w:rPr>
                <w:sz w:val="21"/>
              </w:rPr>
            </w:pPr>
            <w:r>
              <w:rPr>
                <w:sz w:val="21"/>
              </w:rPr>
              <w:t>是指不明原因引起的一类心肌病变，包括原发性扩张型心肌病、原发性肥厚型心肌病及原发性限制型心肌病三种，病变必须已造成事实上心室功能障碍而出现明显的心功能衰竭，达到美国纽约心脏病协会心功能状态分级IV级，且有相关住院医疗记录显示IV级心功能状态持续至少180天。该疾病索赔时须要经专科医师做出明确诊断。继发性心肌病、酗酒或滥用药物引起的心肌病均不在本保障范围内。</w:t>
            </w:r>
          </w:p>
        </w:tc>
      </w:tr>
      <w:tr>
        <w:trPr>
          <w:trHeight w:val="1302" w:hRule="atLeast"/>
        </w:trPr>
        <w:tc>
          <w:tcPr>
            <w:tcW w:w="1533" w:type="dxa"/>
          </w:tcPr>
          <w:p>
            <w:pPr>
              <w:pStyle w:val="TableParagraph"/>
              <w:spacing w:line="300" w:lineRule="auto" w:before="138"/>
              <w:ind w:left="200" w:right="105"/>
              <w:jc w:val="both"/>
              <w:rPr>
                <w:b/>
                <w:sz w:val="21"/>
              </w:rPr>
            </w:pPr>
            <w:r>
              <w:rPr>
                <w:b/>
                <w:spacing w:val="5"/>
                <w:sz w:val="21"/>
              </w:rPr>
              <w:t>30</w:t>
            </w:r>
            <w:r>
              <w:rPr>
                <w:b/>
                <w:spacing w:val="7"/>
                <w:sz w:val="21"/>
              </w:rPr>
              <w:t>.急性出血</w:t>
            </w:r>
            <w:r>
              <w:rPr>
                <w:b/>
                <w:spacing w:val="-29"/>
                <w:sz w:val="21"/>
              </w:rPr>
              <w:t>坏 死 性 胰 腺炎</w:t>
            </w:r>
          </w:p>
        </w:tc>
        <w:tc>
          <w:tcPr>
            <w:tcW w:w="7554" w:type="dxa"/>
          </w:tcPr>
          <w:p>
            <w:pPr>
              <w:pStyle w:val="TableParagraph"/>
              <w:spacing w:line="300" w:lineRule="auto" w:before="138"/>
              <w:ind w:right="303"/>
              <w:jc w:val="both"/>
              <w:rPr>
                <w:sz w:val="21"/>
              </w:rPr>
            </w:pPr>
            <w:r>
              <w:rPr>
                <w:sz w:val="21"/>
              </w:rPr>
              <w:t>指被保险人因为急性出血坏死性胰腺炎已经接受了外科开腹手术治疗，以进行坏死组织清除、坏死病灶切除或胰腺切除。因饮酒所致的急性出血坏死性胰腺炎或经腹腔镜手术进行的治疗不在保障范围内。</w:t>
            </w:r>
          </w:p>
        </w:tc>
      </w:tr>
      <w:tr>
        <w:trPr>
          <w:trHeight w:val="3361" w:hRule="atLeast"/>
        </w:trPr>
        <w:tc>
          <w:tcPr>
            <w:tcW w:w="1533" w:type="dxa"/>
          </w:tcPr>
          <w:p>
            <w:pPr>
              <w:pStyle w:val="TableParagraph"/>
              <w:spacing w:line="300" w:lineRule="auto" w:before="139"/>
              <w:ind w:left="200" w:right="105"/>
              <w:jc w:val="both"/>
              <w:rPr>
                <w:b/>
                <w:sz w:val="21"/>
              </w:rPr>
            </w:pPr>
            <w:r>
              <w:rPr>
                <w:b/>
                <w:spacing w:val="5"/>
                <w:sz w:val="21"/>
              </w:rPr>
              <w:t>31</w:t>
            </w:r>
            <w:r>
              <w:rPr>
                <w:b/>
                <w:spacing w:val="7"/>
                <w:sz w:val="21"/>
              </w:rPr>
              <w:t>.经输血导</w:t>
            </w:r>
            <w:r>
              <w:rPr>
                <w:b/>
                <w:spacing w:val="-29"/>
                <w:sz w:val="21"/>
              </w:rPr>
              <w:t>致 的 艾 滋 病病毒感染</w:t>
            </w:r>
          </w:p>
        </w:tc>
        <w:tc>
          <w:tcPr>
            <w:tcW w:w="7554" w:type="dxa"/>
          </w:tcPr>
          <w:p>
            <w:pPr>
              <w:pStyle w:val="TableParagraph"/>
              <w:spacing w:before="139"/>
              <w:rPr>
                <w:sz w:val="21"/>
              </w:rPr>
            </w:pPr>
            <w:r>
              <w:rPr>
                <w:sz w:val="21"/>
              </w:rPr>
              <w:t>被保险人感染上人类免疫缺陷病毒（HIV）并且符合下列所有条件：</w:t>
            </w:r>
          </w:p>
          <w:p>
            <w:pPr>
              <w:pStyle w:val="TableParagraph"/>
              <w:spacing w:line="300" w:lineRule="auto" w:before="68"/>
              <w:ind w:right="309"/>
              <w:rPr>
                <w:sz w:val="21"/>
              </w:rPr>
            </w:pPr>
            <w:r>
              <w:rPr>
                <w:sz w:val="21"/>
              </w:rPr>
              <w:t>（1）在保障起始日或复效日之后，被保险人因治疗必需而接受输血，并且因输血而感染HIV；</w:t>
            </w:r>
          </w:p>
          <w:p>
            <w:pPr>
              <w:pStyle w:val="TableParagraph"/>
              <w:spacing w:line="300" w:lineRule="auto" w:before="15"/>
              <w:ind w:right="309"/>
              <w:rPr>
                <w:sz w:val="21"/>
              </w:rPr>
            </w:pPr>
            <w:r>
              <w:rPr>
                <w:sz w:val="21"/>
              </w:rPr>
              <w:t>（2）提供输血治疗的输血中心或医院出具该项输血感染属医疗责任事故的报告，或者法院终审判决为医疗责任；</w:t>
            </w:r>
          </w:p>
          <w:p>
            <w:pPr>
              <w:pStyle w:val="TableParagraph"/>
              <w:spacing w:before="15"/>
              <w:rPr>
                <w:sz w:val="21"/>
              </w:rPr>
            </w:pPr>
            <w:r>
              <w:rPr>
                <w:sz w:val="21"/>
              </w:rPr>
              <w:t>（3）提供输血治疗的输血中心或医院必须拥有合法经营执照；</w:t>
            </w:r>
          </w:p>
          <w:p>
            <w:pPr>
              <w:pStyle w:val="TableParagraph"/>
              <w:spacing w:before="68"/>
              <w:rPr>
                <w:sz w:val="21"/>
              </w:rPr>
            </w:pPr>
            <w:r>
              <w:rPr>
                <w:sz w:val="21"/>
              </w:rPr>
              <w:t>（4）受感染的被保险人不是血友病患者；</w:t>
            </w:r>
          </w:p>
          <w:p>
            <w:pPr>
              <w:pStyle w:val="TableParagraph"/>
              <w:spacing w:line="300" w:lineRule="auto" w:before="67"/>
              <w:ind w:right="304"/>
              <w:rPr>
                <w:sz w:val="21"/>
              </w:rPr>
            </w:pPr>
            <w:r>
              <w:rPr>
                <w:sz w:val="21"/>
              </w:rPr>
              <w:t>任何因其他传播方式（包括：性传播或静脉注射毒品）导致的HIV感染不在本保单保障范围内。</w:t>
            </w:r>
          </w:p>
        </w:tc>
      </w:tr>
      <w:tr>
        <w:trPr>
          <w:trHeight w:val="957" w:hRule="atLeast"/>
        </w:trPr>
        <w:tc>
          <w:tcPr>
            <w:tcW w:w="1533" w:type="dxa"/>
          </w:tcPr>
          <w:p>
            <w:pPr>
              <w:pStyle w:val="TableParagraph"/>
              <w:spacing w:line="300" w:lineRule="auto" w:before="138"/>
              <w:ind w:left="200" w:right="105"/>
              <w:rPr>
                <w:b/>
                <w:sz w:val="21"/>
              </w:rPr>
            </w:pPr>
            <w:r>
              <w:rPr>
                <w:b/>
                <w:sz w:val="21"/>
              </w:rPr>
              <w:t>32.植物人状态</w:t>
            </w:r>
          </w:p>
        </w:tc>
        <w:tc>
          <w:tcPr>
            <w:tcW w:w="7554" w:type="dxa"/>
          </w:tcPr>
          <w:p>
            <w:pPr>
              <w:pStyle w:val="TableParagraph"/>
              <w:spacing w:line="300" w:lineRule="auto" w:before="138"/>
              <w:ind w:right="309"/>
              <w:rPr>
                <w:sz w:val="21"/>
              </w:rPr>
            </w:pPr>
            <w:r>
              <w:rPr>
                <w:sz w:val="21"/>
              </w:rPr>
              <w:t>指经神经科医生确诊，CT、MRI等证实大脑皮质全面坏死。患者临床表现意识完全丧失，但脑干功能仍保持完好，且此情况持续一个月或一个月以上。</w:t>
            </w:r>
          </w:p>
        </w:tc>
      </w:tr>
      <w:tr>
        <w:trPr>
          <w:trHeight w:val="2129" w:hRule="atLeast"/>
        </w:trPr>
        <w:tc>
          <w:tcPr>
            <w:tcW w:w="1533" w:type="dxa"/>
          </w:tcPr>
          <w:p>
            <w:pPr>
              <w:pStyle w:val="TableParagraph"/>
              <w:spacing w:line="300" w:lineRule="auto" w:before="138"/>
              <w:ind w:left="200" w:right="105"/>
              <w:rPr>
                <w:b/>
                <w:sz w:val="21"/>
              </w:rPr>
            </w:pPr>
            <w:r>
              <w:rPr>
                <w:b/>
                <w:sz w:val="21"/>
              </w:rPr>
              <w:t>33.终末期肺病</w:t>
            </w:r>
          </w:p>
        </w:tc>
        <w:tc>
          <w:tcPr>
            <w:tcW w:w="7554" w:type="dxa"/>
          </w:tcPr>
          <w:p>
            <w:pPr>
              <w:pStyle w:val="TableParagraph"/>
              <w:spacing w:line="300" w:lineRule="auto" w:before="138"/>
              <w:ind w:right="309"/>
              <w:rPr>
                <w:sz w:val="21"/>
              </w:rPr>
            </w:pPr>
            <w:r>
              <w:rPr>
                <w:sz w:val="21"/>
              </w:rPr>
              <w:t>是指被保险人必须经医院的呼吸科专科医师确诊患有慢性肺部疾病而出现慢性呼吸功能衰竭，其诊断标准包括以下各项：</w:t>
            </w:r>
          </w:p>
          <w:p>
            <w:pPr>
              <w:pStyle w:val="TableParagraph"/>
              <w:spacing w:before="16"/>
              <w:rPr>
                <w:sz w:val="21"/>
              </w:rPr>
            </w:pPr>
            <w:r>
              <w:rPr>
                <w:sz w:val="21"/>
              </w:rPr>
              <w:t>（1）肺功能测试其FEV1持续低于1升；</w:t>
            </w:r>
          </w:p>
          <w:p>
            <w:pPr>
              <w:pStyle w:val="TableParagraph"/>
              <w:spacing w:before="68"/>
              <w:rPr>
                <w:sz w:val="21"/>
              </w:rPr>
            </w:pPr>
            <w:r>
              <w:rPr>
                <w:sz w:val="21"/>
              </w:rPr>
              <w:t>（2）病人血氧不足必须持续地进行输氧治疗；</w:t>
            </w:r>
          </w:p>
          <w:p>
            <w:pPr>
              <w:pStyle w:val="TableParagraph"/>
              <w:spacing w:before="67"/>
              <w:rPr>
                <w:sz w:val="21"/>
              </w:rPr>
            </w:pPr>
            <w:r>
              <w:rPr>
                <w:sz w:val="21"/>
              </w:rPr>
              <w:t>（3）动脉血气分析氧分压等于或低于55mmHg；</w:t>
            </w:r>
          </w:p>
          <w:p>
            <w:pPr>
              <w:pStyle w:val="TableParagraph"/>
              <w:spacing w:line="255" w:lineRule="exact" w:before="67"/>
              <w:rPr>
                <w:sz w:val="21"/>
              </w:rPr>
            </w:pPr>
            <w:r>
              <w:rPr>
                <w:sz w:val="21"/>
              </w:rPr>
              <w:t>（4）休息时出现呼吸困难。</w:t>
            </w:r>
          </w:p>
        </w:tc>
      </w:tr>
    </w:tbl>
    <w:p>
      <w:pPr>
        <w:spacing w:after="0" w:line="255" w:lineRule="exact"/>
        <w:rPr>
          <w:sz w:val="21"/>
        </w:rPr>
        <w:sectPr>
          <w:pgSz w:w="11910" w:h="16840"/>
          <w:pgMar w:top="1180" w:bottom="280" w:left="1660" w:right="9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7448"/>
      </w:tblGrid>
      <w:tr>
        <w:trPr>
          <w:trHeight w:val="2815" w:hRule="atLeast"/>
        </w:trPr>
        <w:tc>
          <w:tcPr>
            <w:tcW w:w="1533" w:type="dxa"/>
          </w:tcPr>
          <w:p>
            <w:pPr>
              <w:pStyle w:val="TableParagraph"/>
              <w:spacing w:line="205" w:lineRule="exact"/>
              <w:ind w:left="200"/>
              <w:rPr>
                <w:b/>
                <w:sz w:val="21"/>
              </w:rPr>
            </w:pPr>
            <w:r>
              <w:rPr>
                <w:b/>
                <w:sz w:val="21"/>
              </w:rPr>
              <w:t>34.肌营养不</w:t>
            </w:r>
          </w:p>
          <w:p>
            <w:pPr>
              <w:pStyle w:val="TableParagraph"/>
              <w:spacing w:before="68"/>
              <w:ind w:left="200"/>
              <w:rPr>
                <w:b/>
                <w:sz w:val="21"/>
              </w:rPr>
            </w:pPr>
            <w:r>
              <w:rPr>
                <w:b/>
                <w:sz w:val="21"/>
              </w:rPr>
              <w:t>良症</w:t>
            </w:r>
          </w:p>
        </w:tc>
        <w:tc>
          <w:tcPr>
            <w:tcW w:w="7448" w:type="dxa"/>
          </w:tcPr>
          <w:p>
            <w:pPr>
              <w:pStyle w:val="TableParagraph"/>
              <w:spacing w:line="205" w:lineRule="exact"/>
              <w:rPr>
                <w:sz w:val="21"/>
              </w:rPr>
            </w:pPr>
            <w:r>
              <w:rPr>
                <w:sz w:val="21"/>
              </w:rPr>
              <w:t>肌营养不良症是一组遗传性肌肉变性坏死性病变，临床特征为与神经系统无关</w:t>
            </w:r>
          </w:p>
          <w:p>
            <w:pPr>
              <w:pStyle w:val="TableParagraph"/>
              <w:spacing w:before="68"/>
              <w:rPr>
                <w:sz w:val="21"/>
              </w:rPr>
            </w:pPr>
            <w:r>
              <w:rPr>
                <w:sz w:val="21"/>
              </w:rPr>
              <w:t>的骨骼肌对称地进行性无力和萎缩，其诊断需同时符合以下条件：</w:t>
            </w:r>
          </w:p>
          <w:p>
            <w:pPr>
              <w:pStyle w:val="TableParagraph"/>
              <w:spacing w:before="68"/>
              <w:rPr>
                <w:sz w:val="21"/>
              </w:rPr>
            </w:pPr>
            <w:r>
              <w:rPr>
                <w:sz w:val="21"/>
              </w:rPr>
              <w:t>（1）肌电图显示典型肌营养不良症的阳性改变；</w:t>
            </w:r>
          </w:p>
          <w:p>
            <w:pPr>
              <w:pStyle w:val="TableParagraph"/>
              <w:spacing w:before="68"/>
              <w:rPr>
                <w:sz w:val="21"/>
              </w:rPr>
            </w:pPr>
            <w:r>
              <w:rPr>
                <w:sz w:val="21"/>
              </w:rPr>
              <w:t>（2）血清肌酸磷酸激酶（CPK）升高；</w:t>
            </w:r>
          </w:p>
          <w:p>
            <w:pPr>
              <w:pStyle w:val="TableParagraph"/>
              <w:spacing w:line="300" w:lineRule="auto" w:before="68"/>
              <w:ind w:right="204"/>
              <w:rPr>
                <w:sz w:val="21"/>
              </w:rPr>
            </w:pPr>
            <w:r>
              <w:rPr>
                <w:sz w:val="21"/>
              </w:rPr>
              <w:t>（3）肌肉活检的病理学诊断符合肌营养不良症的肌肉细胞变性、坏死等阳性改变；</w:t>
            </w:r>
          </w:p>
          <w:p>
            <w:pPr>
              <w:pStyle w:val="TableParagraph"/>
              <w:spacing w:line="300" w:lineRule="auto" w:before="16"/>
              <w:ind w:right="199"/>
              <w:rPr>
                <w:sz w:val="21"/>
              </w:rPr>
            </w:pPr>
            <w:r>
              <w:rPr>
                <w:sz w:val="21"/>
              </w:rPr>
              <w:t>（4）疾病确诊180天以后，被保险人仍完全丧失独立生活能力，无法独立完成六项基本日常生活活动中的三项或三项以上。</w:t>
            </w:r>
          </w:p>
        </w:tc>
      </w:tr>
      <w:tr>
        <w:trPr>
          <w:trHeight w:val="1987" w:hRule="atLeast"/>
        </w:trPr>
        <w:tc>
          <w:tcPr>
            <w:tcW w:w="1533" w:type="dxa"/>
          </w:tcPr>
          <w:p>
            <w:pPr>
              <w:pStyle w:val="TableParagraph"/>
              <w:spacing w:line="300" w:lineRule="auto" w:before="132"/>
              <w:ind w:left="200" w:right="105"/>
              <w:rPr>
                <w:b/>
                <w:sz w:val="21"/>
              </w:rPr>
            </w:pPr>
            <w:r>
              <w:rPr>
                <w:b/>
                <w:sz w:val="21"/>
              </w:rPr>
              <w:t>35.急性脊髓灰质炎</w:t>
            </w:r>
          </w:p>
        </w:tc>
        <w:tc>
          <w:tcPr>
            <w:tcW w:w="7448" w:type="dxa"/>
          </w:tcPr>
          <w:p>
            <w:pPr>
              <w:pStyle w:val="TableParagraph"/>
              <w:spacing w:line="300" w:lineRule="auto" w:before="132"/>
              <w:ind w:right="197"/>
              <w:jc w:val="both"/>
              <w:rPr>
                <w:sz w:val="21"/>
              </w:rPr>
            </w:pPr>
            <w:r>
              <w:rPr>
                <w:spacing w:val="1"/>
                <w:sz w:val="21"/>
              </w:rPr>
              <w:t>是指由于急性脊髓灰质炎病毒感染所导致的运动功能障碍或呼吸功能减弱的</w:t>
            </w:r>
            <w:r>
              <w:rPr>
                <w:spacing w:val="-3"/>
                <w:sz w:val="21"/>
              </w:rPr>
              <w:t>瘫痪性疾病。诊断必须由本公司认可的神经科专科医生确诊并提供相关的脊髓灰质炎病毒感染的证据（例如：脑脊液检查或血清学抗体检查报告</w:t>
            </w:r>
            <w:r>
              <w:rPr>
                <w:spacing w:val="-101"/>
                <w:sz w:val="21"/>
              </w:rPr>
              <w:t>）</w:t>
            </w:r>
            <w:r>
              <w:rPr>
                <w:sz w:val="21"/>
              </w:rPr>
              <w:t>。未导致肢体瘫痪及其它病因所致的瘫痪，例如格林一巴利综合症(急性感染性多神经</w:t>
            </w:r>
            <w:r>
              <w:rPr>
                <w:spacing w:val="-3"/>
                <w:sz w:val="21"/>
              </w:rPr>
              <w:t>炎)则不在此保障范围以内。</w:t>
            </w:r>
          </w:p>
        </w:tc>
      </w:tr>
      <w:tr>
        <w:trPr>
          <w:trHeight w:val="4391" w:hRule="atLeast"/>
        </w:trPr>
        <w:tc>
          <w:tcPr>
            <w:tcW w:w="1533" w:type="dxa"/>
          </w:tcPr>
          <w:p>
            <w:pPr>
              <w:pStyle w:val="TableParagraph"/>
              <w:spacing w:line="300" w:lineRule="auto" w:before="132"/>
              <w:ind w:left="200" w:right="104"/>
              <w:jc w:val="both"/>
              <w:rPr>
                <w:b/>
                <w:sz w:val="21"/>
              </w:rPr>
            </w:pPr>
            <w:r>
              <w:rPr>
                <w:b/>
                <w:spacing w:val="5"/>
                <w:sz w:val="21"/>
              </w:rPr>
              <w:t>36</w:t>
            </w:r>
            <w:r>
              <w:rPr>
                <w:b/>
                <w:spacing w:val="7"/>
                <w:sz w:val="21"/>
              </w:rPr>
              <w:t>.系统性红</w:t>
            </w:r>
            <w:r>
              <w:rPr>
                <w:b/>
                <w:spacing w:val="-9"/>
                <w:sz w:val="21"/>
              </w:rPr>
              <w:t>斑狼疮</w:t>
            </w:r>
            <w:r>
              <w:rPr>
                <w:b/>
                <w:sz w:val="21"/>
              </w:rPr>
              <w:t>（严重</w:t>
            </w:r>
            <w:r>
              <w:rPr>
                <w:b/>
                <w:spacing w:val="-32"/>
                <w:sz w:val="21"/>
              </w:rPr>
              <w:t>的 狼 疮 性 肾炎）</w:t>
            </w:r>
          </w:p>
        </w:tc>
        <w:tc>
          <w:tcPr>
            <w:tcW w:w="7448" w:type="dxa"/>
          </w:tcPr>
          <w:p>
            <w:pPr>
              <w:pStyle w:val="TableParagraph"/>
              <w:spacing w:line="300" w:lineRule="auto" w:before="132"/>
              <w:ind w:right="197"/>
              <w:jc w:val="both"/>
              <w:rPr>
                <w:sz w:val="21"/>
              </w:rPr>
            </w:pPr>
            <w:r>
              <w:rPr>
                <w:sz w:val="21"/>
              </w:rPr>
              <w:t>红斑狼疮是指由于自身抗体和免疫复合物的沉积破坏了血管和细胞而导致的累及多系统损害的一种自体免疫性疾病。本保障仅限于被保险人因系统性红斑狼疮并发狼疮性肾炎并引起肾功能损害，且肾脏病理诊断符合以下列明的世界卫生组织（WHO）对狼疮性肾炎所分类中的第III、IV、V、VI型。诊断须由有资格的风湿和免疫病专科医生确认。</w:t>
            </w:r>
          </w:p>
          <w:p>
            <w:pPr>
              <w:pStyle w:val="TableParagraph"/>
              <w:spacing w:before="16"/>
              <w:jc w:val="both"/>
              <w:rPr>
                <w:sz w:val="21"/>
              </w:rPr>
            </w:pPr>
            <w:r>
              <w:rPr>
                <w:sz w:val="21"/>
              </w:rPr>
              <w:t>世界卫生组织（WHO）对狼疮性肾炎的分类标准：</w:t>
            </w:r>
          </w:p>
          <w:p>
            <w:pPr>
              <w:pStyle w:val="TableParagraph"/>
              <w:spacing w:before="68"/>
              <w:jc w:val="both"/>
              <w:rPr>
                <w:sz w:val="21"/>
              </w:rPr>
            </w:pPr>
            <w:r>
              <w:rPr>
                <w:sz w:val="21"/>
              </w:rPr>
              <w:t>I 型–正常肾小球型；</w:t>
            </w:r>
          </w:p>
          <w:p>
            <w:pPr>
              <w:pStyle w:val="TableParagraph"/>
              <w:spacing w:before="68"/>
              <w:jc w:val="both"/>
              <w:rPr>
                <w:sz w:val="21"/>
              </w:rPr>
            </w:pPr>
            <w:r>
              <w:rPr>
                <w:sz w:val="21"/>
              </w:rPr>
              <w:t>II型–系膜增生型；</w:t>
            </w:r>
          </w:p>
          <w:p>
            <w:pPr>
              <w:pStyle w:val="TableParagraph"/>
              <w:spacing w:before="68"/>
              <w:jc w:val="both"/>
              <w:rPr>
                <w:sz w:val="21"/>
              </w:rPr>
            </w:pPr>
            <w:r>
              <w:rPr>
                <w:sz w:val="21"/>
              </w:rPr>
              <w:t>III型–局灶及节段增生型；</w:t>
            </w:r>
          </w:p>
          <w:p>
            <w:pPr>
              <w:pStyle w:val="TableParagraph"/>
              <w:spacing w:before="68"/>
              <w:jc w:val="both"/>
              <w:rPr>
                <w:sz w:val="21"/>
              </w:rPr>
            </w:pPr>
            <w:r>
              <w:rPr>
                <w:sz w:val="21"/>
              </w:rPr>
              <w:t>IV型–弥漫增生型；</w:t>
            </w:r>
          </w:p>
          <w:p>
            <w:pPr>
              <w:pStyle w:val="TableParagraph"/>
              <w:spacing w:before="68"/>
              <w:jc w:val="both"/>
              <w:rPr>
                <w:sz w:val="21"/>
              </w:rPr>
            </w:pPr>
            <w:r>
              <w:rPr>
                <w:sz w:val="21"/>
              </w:rPr>
              <w:t>V型–膜型；</w:t>
            </w:r>
          </w:p>
          <w:p>
            <w:pPr>
              <w:pStyle w:val="TableParagraph"/>
              <w:spacing w:before="68"/>
              <w:jc w:val="both"/>
              <w:rPr>
                <w:sz w:val="21"/>
              </w:rPr>
            </w:pPr>
            <w:r>
              <w:rPr>
                <w:sz w:val="21"/>
              </w:rPr>
              <w:t>VI型–肾小球硬化型。</w:t>
            </w:r>
          </w:p>
        </w:tc>
      </w:tr>
      <w:tr>
        <w:trPr>
          <w:trHeight w:val="1645" w:hRule="atLeast"/>
        </w:trPr>
        <w:tc>
          <w:tcPr>
            <w:tcW w:w="1533" w:type="dxa"/>
          </w:tcPr>
          <w:p>
            <w:pPr>
              <w:pStyle w:val="TableParagraph"/>
              <w:spacing w:line="300" w:lineRule="auto" w:before="133"/>
              <w:ind w:left="200" w:right="105"/>
              <w:rPr>
                <w:b/>
                <w:sz w:val="21"/>
              </w:rPr>
            </w:pPr>
            <w:r>
              <w:rPr>
                <w:b/>
                <w:sz w:val="21"/>
              </w:rPr>
              <w:t>37.肾髓质囊性病</w:t>
            </w:r>
          </w:p>
        </w:tc>
        <w:tc>
          <w:tcPr>
            <w:tcW w:w="7448" w:type="dxa"/>
          </w:tcPr>
          <w:p>
            <w:pPr>
              <w:pStyle w:val="TableParagraph"/>
              <w:spacing w:before="133"/>
              <w:rPr>
                <w:sz w:val="21"/>
              </w:rPr>
            </w:pPr>
            <w:r>
              <w:rPr>
                <w:sz w:val="21"/>
              </w:rPr>
              <w:t>肾髓质囊性病的诊断必须同时符合下列要求：</w:t>
            </w:r>
          </w:p>
          <w:p>
            <w:pPr>
              <w:pStyle w:val="TableParagraph"/>
              <w:spacing w:before="69"/>
              <w:rPr>
                <w:sz w:val="21"/>
              </w:rPr>
            </w:pPr>
            <w:r>
              <w:rPr>
                <w:sz w:val="21"/>
              </w:rPr>
              <w:t>（1）肾髓质有囊肿、肾小管萎缩及间质纤维化等病理改变；</w:t>
            </w:r>
          </w:p>
          <w:p>
            <w:pPr>
              <w:pStyle w:val="TableParagraph"/>
              <w:spacing w:before="68"/>
              <w:rPr>
                <w:sz w:val="21"/>
              </w:rPr>
            </w:pPr>
            <w:r>
              <w:rPr>
                <w:sz w:val="21"/>
              </w:rPr>
              <w:t>（2）贫血、多尿及肾功能衰竭等临床表现；</w:t>
            </w:r>
          </w:p>
          <w:p>
            <w:pPr>
              <w:pStyle w:val="TableParagraph"/>
              <w:spacing w:before="68"/>
              <w:rPr>
                <w:sz w:val="21"/>
              </w:rPr>
            </w:pPr>
            <w:r>
              <w:rPr>
                <w:sz w:val="21"/>
              </w:rPr>
              <w:t>（3）诊断须由肾组织活检确定。</w:t>
            </w:r>
          </w:p>
        </w:tc>
      </w:tr>
      <w:tr>
        <w:trPr>
          <w:trHeight w:val="3158" w:hRule="atLeast"/>
        </w:trPr>
        <w:tc>
          <w:tcPr>
            <w:tcW w:w="1533" w:type="dxa"/>
          </w:tcPr>
          <w:p>
            <w:pPr>
              <w:pStyle w:val="TableParagraph"/>
              <w:spacing w:line="300" w:lineRule="auto" w:before="132"/>
              <w:ind w:left="200" w:right="104"/>
              <w:jc w:val="both"/>
              <w:rPr>
                <w:b/>
                <w:sz w:val="21"/>
              </w:rPr>
            </w:pPr>
            <w:r>
              <w:rPr>
                <w:b/>
                <w:sz w:val="21"/>
              </w:rPr>
              <w:t>38.进行性系统性硬化（硬皮病）</w:t>
            </w:r>
          </w:p>
        </w:tc>
        <w:tc>
          <w:tcPr>
            <w:tcW w:w="7448" w:type="dxa"/>
          </w:tcPr>
          <w:p>
            <w:pPr>
              <w:pStyle w:val="TableParagraph"/>
              <w:spacing w:line="300" w:lineRule="auto" w:before="132"/>
              <w:ind w:right="197"/>
              <w:jc w:val="both"/>
              <w:rPr>
                <w:sz w:val="21"/>
              </w:rPr>
            </w:pPr>
            <w:r>
              <w:rPr>
                <w:sz w:val="21"/>
              </w:rPr>
              <w:t>是一种以皮肤、血管和内脏器官的进行性、弥漫性纤维化为特点的系统性结缔组织病。须经专科医生根据组织活检和血清学检查结果作出明确诊断并提供下列一项或一项以上内脏器官受累的检查报告及诊疗记录：</w:t>
            </w:r>
          </w:p>
          <w:p>
            <w:pPr>
              <w:pStyle w:val="TableParagraph"/>
              <w:spacing w:before="16"/>
              <w:rPr>
                <w:sz w:val="21"/>
              </w:rPr>
            </w:pPr>
            <w:r>
              <w:rPr>
                <w:sz w:val="21"/>
              </w:rPr>
              <w:t>肺脏：肺纤维化，已经发展为肺动脉高压、肺心病；</w:t>
            </w:r>
          </w:p>
          <w:p>
            <w:pPr>
              <w:pStyle w:val="TableParagraph"/>
              <w:spacing w:line="300" w:lineRule="auto" w:before="68"/>
              <w:ind w:right="402"/>
              <w:rPr>
                <w:sz w:val="21"/>
              </w:rPr>
            </w:pPr>
            <w:r>
              <w:rPr>
                <w:sz w:val="21"/>
              </w:rPr>
              <w:t>心脏：心室功能受损，至少达到美国纽约心脏病学会心功能状态分级Ⅲ级； 肾脏：肾脏受损，已经出现肾功能不全。</w:t>
            </w:r>
          </w:p>
          <w:p>
            <w:pPr>
              <w:pStyle w:val="TableParagraph"/>
              <w:spacing w:before="16"/>
              <w:jc w:val="both"/>
              <w:rPr>
                <w:sz w:val="21"/>
              </w:rPr>
            </w:pPr>
            <w:r>
              <w:rPr>
                <w:sz w:val="21"/>
              </w:rPr>
              <w:t>下列疾病不在保障范围内：</w:t>
            </w:r>
          </w:p>
          <w:p>
            <w:pPr>
              <w:pStyle w:val="TableParagraph"/>
              <w:spacing w:before="68"/>
              <w:ind w:left="529"/>
              <w:rPr>
                <w:sz w:val="21"/>
              </w:rPr>
            </w:pPr>
            <w:r>
              <w:rPr>
                <w:spacing w:val="-3"/>
                <w:w w:val="100"/>
                <w:sz w:val="21"/>
              </w:rPr>
              <w:t>（</w:t>
            </w:r>
            <w:r>
              <w:rPr>
                <w:w w:val="100"/>
                <w:sz w:val="21"/>
              </w:rPr>
              <w:t>1</w:t>
            </w:r>
            <w:r>
              <w:rPr>
                <w:spacing w:val="-3"/>
                <w:w w:val="100"/>
                <w:sz w:val="21"/>
              </w:rPr>
              <w:t>）局部性硬皮病（如：带状硬皮病、硬斑病</w:t>
            </w:r>
            <w:r>
              <w:rPr>
                <w:spacing w:val="-108"/>
                <w:w w:val="100"/>
                <w:sz w:val="21"/>
              </w:rPr>
              <w:t>）</w:t>
            </w:r>
            <w:r>
              <w:rPr>
                <w:w w:val="100"/>
                <w:sz w:val="21"/>
              </w:rPr>
              <w:t>；</w:t>
            </w:r>
          </w:p>
          <w:p>
            <w:pPr>
              <w:pStyle w:val="TableParagraph"/>
              <w:spacing w:line="261" w:lineRule="exact" w:before="68"/>
              <w:ind w:left="529"/>
              <w:rPr>
                <w:sz w:val="21"/>
              </w:rPr>
            </w:pPr>
            <w:r>
              <w:rPr>
                <w:sz w:val="21"/>
              </w:rPr>
              <w:t>（2）嗜酸性粒细胞性筋膜炎；</w:t>
            </w:r>
          </w:p>
        </w:tc>
      </w:tr>
    </w:tbl>
    <w:p>
      <w:pPr>
        <w:spacing w:after="0" w:line="261" w:lineRule="exact"/>
        <w:rPr>
          <w:sz w:val="21"/>
        </w:rPr>
        <w:sectPr>
          <w:pgSz w:w="11910" w:h="16840"/>
          <w:pgMar w:top="1460" w:bottom="280" w:left="1660" w:right="104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495"/>
        <w:gridCol w:w="7554"/>
      </w:tblGrid>
      <w:tr>
        <w:trPr>
          <w:trHeight w:val="414" w:hRule="atLeast"/>
        </w:trPr>
        <w:tc>
          <w:tcPr>
            <w:tcW w:w="679" w:type="dxa"/>
          </w:tcPr>
          <w:p>
            <w:pPr>
              <w:pStyle w:val="TableParagraph"/>
              <w:ind w:left="0"/>
              <w:rPr>
                <w:rFonts w:ascii="Times New Roman"/>
                <w:sz w:val="20"/>
              </w:rPr>
            </w:pPr>
          </w:p>
        </w:tc>
        <w:tc>
          <w:tcPr>
            <w:tcW w:w="1495" w:type="dxa"/>
          </w:tcPr>
          <w:p>
            <w:pPr>
              <w:pStyle w:val="TableParagraph"/>
              <w:ind w:left="0"/>
              <w:rPr>
                <w:rFonts w:ascii="Times New Roman"/>
                <w:sz w:val="20"/>
              </w:rPr>
            </w:pPr>
          </w:p>
        </w:tc>
        <w:tc>
          <w:tcPr>
            <w:tcW w:w="7554" w:type="dxa"/>
          </w:tcPr>
          <w:p>
            <w:pPr>
              <w:pStyle w:val="TableParagraph"/>
              <w:spacing w:line="211" w:lineRule="exact"/>
              <w:ind w:left="529"/>
              <w:rPr>
                <w:sz w:val="21"/>
              </w:rPr>
            </w:pPr>
            <w:r>
              <w:rPr>
                <w:sz w:val="21"/>
              </w:rPr>
              <w:t>（3）CREST综合征。</w:t>
            </w:r>
          </w:p>
        </w:tc>
      </w:tr>
      <w:tr>
        <w:trPr>
          <w:trHeight w:val="1988" w:hRule="atLeast"/>
        </w:trPr>
        <w:tc>
          <w:tcPr>
            <w:tcW w:w="679" w:type="dxa"/>
          </w:tcPr>
          <w:p>
            <w:pPr>
              <w:pStyle w:val="TableParagraph"/>
              <w:ind w:left="0"/>
              <w:rPr>
                <w:rFonts w:ascii="Times New Roman"/>
                <w:sz w:val="20"/>
              </w:rPr>
            </w:pPr>
          </w:p>
        </w:tc>
        <w:tc>
          <w:tcPr>
            <w:tcW w:w="1495" w:type="dxa"/>
          </w:tcPr>
          <w:p>
            <w:pPr>
              <w:pStyle w:val="TableParagraph"/>
              <w:spacing w:line="300" w:lineRule="auto" w:before="139"/>
              <w:ind w:left="161" w:right="105"/>
              <w:rPr>
                <w:b/>
                <w:sz w:val="21"/>
              </w:rPr>
            </w:pPr>
            <w:r>
              <w:rPr>
                <w:b/>
                <w:sz w:val="21"/>
              </w:rPr>
              <w:t>39.慢性复发性胰腺炎</w:t>
            </w:r>
          </w:p>
        </w:tc>
        <w:tc>
          <w:tcPr>
            <w:tcW w:w="7554" w:type="dxa"/>
          </w:tcPr>
          <w:p>
            <w:pPr>
              <w:pStyle w:val="TableParagraph"/>
              <w:spacing w:line="300" w:lineRule="auto" w:before="139"/>
              <w:ind w:right="198"/>
              <w:rPr>
                <w:sz w:val="21"/>
              </w:rPr>
            </w:pPr>
            <w:r>
              <w:rPr>
                <w:spacing w:val="-3"/>
                <w:sz w:val="21"/>
              </w:rPr>
              <w:t>有腹痛等典型症状的胰腺炎反复发作，导致胰腺进行性破坏，并导致胰腺功能</w:t>
            </w:r>
            <w:r>
              <w:rPr>
                <w:spacing w:val="-10"/>
                <w:sz w:val="21"/>
              </w:rPr>
              <w:t>紊乱而导致严重糖尿病以及营养不良、恶液质。</w:t>
            </w:r>
            <w:r>
              <w:rPr>
                <w:sz w:val="21"/>
              </w:rPr>
              <w:t>CT</w:t>
            </w:r>
            <w:r>
              <w:rPr>
                <w:spacing w:val="-3"/>
                <w:sz w:val="21"/>
              </w:rPr>
              <w:t>检查证实胰腺存在广泛钙化， 且必须接受酶替代以及胰岛素替代治疗</w:t>
            </w:r>
            <w:r>
              <w:rPr>
                <w:sz w:val="21"/>
              </w:rPr>
              <w:t>6个月以上。诊断必须由消化科专科医</w:t>
            </w:r>
            <w:r>
              <w:rPr>
                <w:spacing w:val="-1"/>
                <w:sz w:val="21"/>
              </w:rPr>
              <w:t>生确诊。</w:t>
            </w:r>
          </w:p>
          <w:p>
            <w:pPr>
              <w:pStyle w:val="TableParagraph"/>
              <w:spacing w:before="15"/>
              <w:rPr>
                <w:sz w:val="21"/>
              </w:rPr>
            </w:pPr>
            <w:r>
              <w:rPr>
                <w:sz w:val="21"/>
              </w:rPr>
              <w:t>酒精导致的慢性复发性胰腺炎除外。</w:t>
            </w:r>
          </w:p>
        </w:tc>
      </w:tr>
      <w:tr>
        <w:trPr>
          <w:trHeight w:val="2330" w:hRule="atLeast"/>
        </w:trPr>
        <w:tc>
          <w:tcPr>
            <w:tcW w:w="679" w:type="dxa"/>
          </w:tcPr>
          <w:p>
            <w:pPr>
              <w:pStyle w:val="TableParagraph"/>
              <w:ind w:left="0"/>
              <w:rPr>
                <w:rFonts w:ascii="Times New Roman"/>
                <w:sz w:val="20"/>
              </w:rPr>
            </w:pPr>
          </w:p>
        </w:tc>
        <w:tc>
          <w:tcPr>
            <w:tcW w:w="1495" w:type="dxa"/>
          </w:tcPr>
          <w:p>
            <w:pPr>
              <w:pStyle w:val="TableParagraph"/>
              <w:spacing w:line="300" w:lineRule="auto" w:before="138"/>
              <w:ind w:left="161" w:right="105"/>
              <w:jc w:val="both"/>
              <w:rPr>
                <w:b/>
                <w:sz w:val="21"/>
              </w:rPr>
            </w:pPr>
            <w:r>
              <w:rPr>
                <w:b/>
                <w:spacing w:val="5"/>
                <w:sz w:val="21"/>
              </w:rPr>
              <w:t>40</w:t>
            </w:r>
            <w:r>
              <w:rPr>
                <w:b/>
                <w:spacing w:val="7"/>
                <w:sz w:val="21"/>
              </w:rPr>
              <w:t>.严重的类</w:t>
            </w:r>
            <w:r>
              <w:rPr>
                <w:b/>
                <w:spacing w:val="-29"/>
                <w:sz w:val="21"/>
              </w:rPr>
              <w:t>风 湿 性 关 节炎</w:t>
            </w:r>
          </w:p>
        </w:tc>
        <w:tc>
          <w:tcPr>
            <w:tcW w:w="7554" w:type="dxa"/>
          </w:tcPr>
          <w:p>
            <w:pPr>
              <w:pStyle w:val="TableParagraph"/>
              <w:spacing w:line="300" w:lineRule="auto" w:before="138"/>
              <w:ind w:right="303"/>
              <w:jc w:val="both"/>
              <w:rPr>
                <w:sz w:val="21"/>
              </w:rPr>
            </w:pPr>
            <w:r>
              <w:rPr>
                <w:spacing w:val="-3"/>
                <w:sz w:val="21"/>
              </w:rPr>
              <w:t>是指广泛的慢性渐进性的关节损害，伴有明显的关节畸形，至少累及三个或三个以上关节（如：手，腕，肘，髋，膝，踝关节</w:t>
            </w:r>
            <w:r>
              <w:rPr>
                <w:spacing w:val="-101"/>
                <w:sz w:val="21"/>
              </w:rPr>
              <w:t>）</w:t>
            </w:r>
            <w:r>
              <w:rPr>
                <w:sz w:val="21"/>
              </w:rPr>
              <w:t>。此疾病必须已经导致了自</w:t>
            </w:r>
            <w:r>
              <w:rPr>
                <w:spacing w:val="-3"/>
                <w:sz w:val="21"/>
              </w:rPr>
              <w:t>主生活能力完全丧失，不能独立完成六项基本日常生活活动中的三项或三项以上的情形。</w:t>
            </w:r>
          </w:p>
          <w:p>
            <w:pPr>
              <w:pStyle w:val="TableParagraph"/>
              <w:spacing w:line="300" w:lineRule="auto" w:before="16"/>
              <w:ind w:right="303"/>
              <w:jc w:val="both"/>
              <w:rPr>
                <w:sz w:val="21"/>
              </w:rPr>
            </w:pPr>
            <w:r>
              <w:rPr>
                <w:sz w:val="21"/>
              </w:rPr>
              <w:t>上述疾病需由专科医生确诊，并提供相应医疗记录以证实上述病情已经存在至少3个月。</w:t>
            </w:r>
          </w:p>
        </w:tc>
      </w:tr>
      <w:tr>
        <w:trPr>
          <w:trHeight w:val="1988" w:hRule="atLeast"/>
        </w:trPr>
        <w:tc>
          <w:tcPr>
            <w:tcW w:w="679" w:type="dxa"/>
          </w:tcPr>
          <w:p>
            <w:pPr>
              <w:pStyle w:val="TableParagraph"/>
              <w:ind w:left="0"/>
              <w:rPr>
                <w:rFonts w:ascii="Times New Roman"/>
                <w:sz w:val="20"/>
              </w:rPr>
            </w:pPr>
          </w:p>
        </w:tc>
        <w:tc>
          <w:tcPr>
            <w:tcW w:w="1495" w:type="dxa"/>
          </w:tcPr>
          <w:p>
            <w:pPr>
              <w:pStyle w:val="TableParagraph"/>
              <w:spacing w:line="300" w:lineRule="auto" w:before="138"/>
              <w:ind w:left="161" w:right="105"/>
              <w:jc w:val="both"/>
              <w:rPr>
                <w:b/>
                <w:sz w:val="21"/>
              </w:rPr>
            </w:pPr>
            <w:r>
              <w:rPr>
                <w:b/>
                <w:spacing w:val="5"/>
                <w:sz w:val="21"/>
              </w:rPr>
              <w:t>41</w:t>
            </w:r>
            <w:r>
              <w:rPr>
                <w:b/>
                <w:spacing w:val="7"/>
                <w:sz w:val="21"/>
              </w:rPr>
              <w:t>.冠状动脉</w:t>
            </w:r>
            <w:r>
              <w:rPr>
                <w:b/>
                <w:spacing w:val="-29"/>
                <w:sz w:val="21"/>
              </w:rPr>
              <w:t>粥 样 斑 块 切除术</w:t>
            </w:r>
          </w:p>
        </w:tc>
        <w:tc>
          <w:tcPr>
            <w:tcW w:w="7554" w:type="dxa"/>
          </w:tcPr>
          <w:p>
            <w:pPr>
              <w:pStyle w:val="TableParagraph"/>
              <w:spacing w:line="300" w:lineRule="auto" w:before="138"/>
              <w:ind w:right="301"/>
              <w:jc w:val="both"/>
              <w:rPr>
                <w:sz w:val="21"/>
              </w:rPr>
            </w:pPr>
            <w:r>
              <w:rPr>
                <w:sz w:val="21"/>
              </w:rPr>
              <w:t>是指有心绞痛等心脏不适症状，经过血管造影技术检查证实同时存在两支(其中一支为左冠状动脉主干、左前降支或左回旋支)或更多支的冠状动脉血管发</w:t>
            </w:r>
            <w:r>
              <w:rPr>
                <w:spacing w:val="1"/>
                <w:w w:val="100"/>
                <w:sz w:val="21"/>
              </w:rPr>
              <w:t>生严重的狭窄</w:t>
            </w:r>
            <w:r>
              <w:rPr>
                <w:w w:val="100"/>
                <w:sz w:val="21"/>
              </w:rPr>
              <w:t>（</w:t>
            </w:r>
            <w:r>
              <w:rPr>
                <w:spacing w:val="0"/>
                <w:w w:val="100"/>
                <w:sz w:val="21"/>
              </w:rPr>
              <w:t>狭窄程度在</w:t>
            </w:r>
            <w:r>
              <w:rPr>
                <w:w w:val="100"/>
                <w:sz w:val="21"/>
              </w:rPr>
              <w:t>7</w:t>
            </w:r>
            <w:r>
              <w:rPr>
                <w:spacing w:val="1"/>
                <w:w w:val="100"/>
                <w:sz w:val="21"/>
              </w:rPr>
              <w:t>0％</w:t>
            </w:r>
            <w:r>
              <w:rPr>
                <w:w w:val="100"/>
                <w:sz w:val="21"/>
              </w:rPr>
              <w:t>以上</w:t>
            </w:r>
            <w:r>
              <w:rPr>
                <w:spacing w:val="-101"/>
                <w:w w:val="100"/>
                <w:sz w:val="21"/>
              </w:rPr>
              <w:t>）</w:t>
            </w:r>
            <w:r>
              <w:rPr>
                <w:w w:val="100"/>
                <w:sz w:val="21"/>
              </w:rPr>
              <w:t>，需要并且已实施冠状动脉粥样斑块切</w:t>
            </w:r>
            <w:r>
              <w:rPr>
                <w:spacing w:val="-3"/>
                <w:sz w:val="21"/>
              </w:rPr>
              <w:t>除术以改善血管的血流状况。索赔时必须提供血管造影的影像资料、报告、手术记录和病历。</w:t>
            </w:r>
          </w:p>
        </w:tc>
      </w:tr>
      <w:tr>
        <w:trPr>
          <w:trHeight w:val="1981" w:hRule="atLeast"/>
        </w:trPr>
        <w:tc>
          <w:tcPr>
            <w:tcW w:w="679" w:type="dxa"/>
          </w:tcPr>
          <w:p>
            <w:pPr>
              <w:pStyle w:val="TableParagraph"/>
              <w:ind w:left="0"/>
              <w:rPr>
                <w:rFonts w:ascii="Times New Roman"/>
                <w:sz w:val="20"/>
              </w:rPr>
            </w:pPr>
          </w:p>
        </w:tc>
        <w:tc>
          <w:tcPr>
            <w:tcW w:w="1495" w:type="dxa"/>
          </w:tcPr>
          <w:p>
            <w:pPr>
              <w:pStyle w:val="TableParagraph"/>
              <w:spacing w:line="300" w:lineRule="auto" w:before="139"/>
              <w:ind w:left="161" w:right="105"/>
              <w:rPr>
                <w:b/>
                <w:sz w:val="21"/>
              </w:rPr>
            </w:pPr>
            <w:r>
              <w:rPr>
                <w:b/>
                <w:sz w:val="21"/>
              </w:rPr>
              <w:t>42.冠状动脉激光治疗</w:t>
            </w:r>
          </w:p>
        </w:tc>
        <w:tc>
          <w:tcPr>
            <w:tcW w:w="7554" w:type="dxa"/>
          </w:tcPr>
          <w:p>
            <w:pPr>
              <w:pStyle w:val="TableParagraph"/>
              <w:spacing w:line="300" w:lineRule="auto" w:before="139"/>
              <w:ind w:right="301"/>
              <w:jc w:val="both"/>
              <w:rPr>
                <w:sz w:val="21"/>
              </w:rPr>
            </w:pPr>
            <w:r>
              <w:rPr>
                <w:sz w:val="21"/>
              </w:rPr>
              <w:t>是指有心绞痛等心脏不适症状，经过血管造影技术检查证实同时存在两支(其中一支为左冠状动脉主干、左前降支或左回旋支)或更多支的冠状动脉血管发</w:t>
            </w:r>
            <w:r>
              <w:rPr>
                <w:spacing w:val="1"/>
                <w:w w:val="100"/>
                <w:sz w:val="21"/>
              </w:rPr>
              <w:t>生严重的狭窄</w:t>
            </w:r>
            <w:r>
              <w:rPr>
                <w:w w:val="100"/>
                <w:sz w:val="21"/>
              </w:rPr>
              <w:t>（</w:t>
            </w:r>
            <w:r>
              <w:rPr>
                <w:spacing w:val="0"/>
                <w:w w:val="100"/>
                <w:sz w:val="21"/>
              </w:rPr>
              <w:t>狭窄程度在</w:t>
            </w:r>
            <w:r>
              <w:rPr>
                <w:w w:val="100"/>
                <w:sz w:val="21"/>
              </w:rPr>
              <w:t>7</w:t>
            </w:r>
            <w:r>
              <w:rPr>
                <w:spacing w:val="1"/>
                <w:w w:val="100"/>
                <w:sz w:val="21"/>
              </w:rPr>
              <w:t>0％</w:t>
            </w:r>
            <w:r>
              <w:rPr>
                <w:w w:val="100"/>
                <w:sz w:val="21"/>
              </w:rPr>
              <w:t>以上</w:t>
            </w:r>
            <w:r>
              <w:rPr>
                <w:spacing w:val="-101"/>
                <w:w w:val="100"/>
                <w:sz w:val="21"/>
              </w:rPr>
              <w:t>）</w:t>
            </w:r>
            <w:r>
              <w:rPr>
                <w:w w:val="100"/>
                <w:sz w:val="21"/>
              </w:rPr>
              <w:t>，需要并且已实施冠状动脉内激光治疗</w:t>
            </w:r>
            <w:r>
              <w:rPr>
                <w:spacing w:val="-3"/>
                <w:sz w:val="21"/>
              </w:rPr>
              <w:t>手术以改善血管的血流状况。索赔时必须提供血管造影的影像资料、报告、手术记录和病历。</w:t>
            </w:r>
          </w:p>
        </w:tc>
      </w:tr>
      <w:tr>
        <w:trPr>
          <w:trHeight w:val="1883" w:hRule="atLeast"/>
        </w:trPr>
        <w:tc>
          <w:tcPr>
            <w:tcW w:w="679" w:type="dxa"/>
          </w:tcPr>
          <w:p>
            <w:pPr>
              <w:pStyle w:val="TableParagraph"/>
              <w:spacing w:before="145"/>
              <w:ind w:left="0" w:right="160"/>
              <w:jc w:val="right"/>
              <w:rPr>
                <w:b/>
                <w:sz w:val="21"/>
              </w:rPr>
            </w:pPr>
            <w:r>
              <w:rPr>
                <w:b/>
                <w:sz w:val="21"/>
              </w:rPr>
              <w:t>6.5</w:t>
            </w:r>
          </w:p>
        </w:tc>
        <w:tc>
          <w:tcPr>
            <w:tcW w:w="1495" w:type="dxa"/>
          </w:tcPr>
          <w:p>
            <w:pPr>
              <w:pStyle w:val="TableParagraph"/>
              <w:spacing w:before="145"/>
              <w:ind w:left="161"/>
              <w:rPr>
                <w:b/>
                <w:sz w:val="21"/>
              </w:rPr>
            </w:pPr>
            <w:r>
              <w:rPr>
                <w:b/>
                <w:sz w:val="21"/>
              </w:rPr>
              <w:t>医院</w:t>
            </w:r>
          </w:p>
        </w:tc>
        <w:tc>
          <w:tcPr>
            <w:tcW w:w="7554" w:type="dxa"/>
          </w:tcPr>
          <w:p>
            <w:pPr>
              <w:pStyle w:val="TableParagraph"/>
              <w:spacing w:line="273" w:lineRule="auto" w:before="130"/>
              <w:ind w:right="301"/>
              <w:jc w:val="both"/>
              <w:rPr>
                <w:sz w:val="21"/>
              </w:rPr>
            </w:pPr>
            <w:r>
              <w:rPr>
                <w:sz w:val="21"/>
              </w:rPr>
              <w:t>指拥有合法经营执照的，有合格医生和护士提供二十四小时医疗护理服务的， 具有系统性诊疗程序、手术设备和住院诊疗设施的符合中华人民共和国卫生部规格标准的二级或二级以上医院，但不包括民办医院、疗养院、护理院、康复中心、戒酒或戒毒中心、精神心理治疗中心以及无相应医护人员或设备的二级或三级医院的联合医院或联合病房。</w:t>
            </w:r>
          </w:p>
        </w:tc>
      </w:tr>
      <w:tr>
        <w:trPr>
          <w:trHeight w:val="1671" w:hRule="atLeast"/>
        </w:trPr>
        <w:tc>
          <w:tcPr>
            <w:tcW w:w="679" w:type="dxa"/>
          </w:tcPr>
          <w:p>
            <w:pPr>
              <w:pStyle w:val="TableParagraph"/>
              <w:spacing w:before="165"/>
              <w:ind w:left="0" w:right="160"/>
              <w:jc w:val="right"/>
              <w:rPr>
                <w:b/>
                <w:sz w:val="21"/>
              </w:rPr>
            </w:pPr>
            <w:r>
              <w:rPr>
                <w:b/>
                <w:sz w:val="21"/>
              </w:rPr>
              <w:t>6.6</w:t>
            </w:r>
          </w:p>
        </w:tc>
        <w:tc>
          <w:tcPr>
            <w:tcW w:w="1495" w:type="dxa"/>
          </w:tcPr>
          <w:p>
            <w:pPr>
              <w:pStyle w:val="TableParagraph"/>
              <w:spacing w:before="165"/>
              <w:ind w:left="161"/>
              <w:rPr>
                <w:b/>
                <w:sz w:val="21"/>
              </w:rPr>
            </w:pPr>
            <w:r>
              <w:rPr>
                <w:b/>
                <w:sz w:val="21"/>
              </w:rPr>
              <w:t>毒品</w:t>
            </w:r>
          </w:p>
        </w:tc>
        <w:tc>
          <w:tcPr>
            <w:tcW w:w="7554" w:type="dxa"/>
          </w:tcPr>
          <w:p>
            <w:pPr>
              <w:pStyle w:val="TableParagraph"/>
              <w:spacing w:line="300" w:lineRule="auto" w:before="165"/>
              <w:ind w:right="200"/>
              <w:rPr>
                <w:sz w:val="21"/>
              </w:rPr>
            </w:pPr>
            <w:r>
              <w:rPr>
                <w:spacing w:val="-3"/>
                <w:sz w:val="21"/>
              </w:rPr>
              <w:t>指《中华人民共和国刑法》规定的鸦片、海洛因、甲基苯丙胺（</w:t>
            </w:r>
            <w:r>
              <w:rPr>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302" w:hRule="atLeast"/>
        </w:trPr>
        <w:tc>
          <w:tcPr>
            <w:tcW w:w="679" w:type="dxa"/>
          </w:tcPr>
          <w:p>
            <w:pPr>
              <w:pStyle w:val="TableParagraph"/>
              <w:spacing w:before="138"/>
              <w:ind w:left="0" w:right="160"/>
              <w:jc w:val="right"/>
              <w:rPr>
                <w:b/>
                <w:sz w:val="21"/>
              </w:rPr>
            </w:pPr>
            <w:r>
              <w:rPr>
                <w:b/>
                <w:sz w:val="21"/>
              </w:rPr>
              <w:t>6.7</w:t>
            </w:r>
          </w:p>
        </w:tc>
        <w:tc>
          <w:tcPr>
            <w:tcW w:w="1495" w:type="dxa"/>
          </w:tcPr>
          <w:p>
            <w:pPr>
              <w:pStyle w:val="TableParagraph"/>
              <w:spacing w:before="138"/>
              <w:ind w:left="161"/>
              <w:rPr>
                <w:b/>
                <w:sz w:val="21"/>
              </w:rPr>
            </w:pPr>
            <w:r>
              <w:rPr>
                <w:b/>
                <w:sz w:val="21"/>
              </w:rPr>
              <w:t>酒后驾驶</w:t>
            </w:r>
          </w:p>
        </w:tc>
        <w:tc>
          <w:tcPr>
            <w:tcW w:w="7554" w:type="dxa"/>
          </w:tcPr>
          <w:p>
            <w:pPr>
              <w:pStyle w:val="TableParagraph"/>
              <w:spacing w:line="300" w:lineRule="auto" w:before="138"/>
              <w:ind w:right="303"/>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757" w:hRule="atLeast"/>
        </w:trPr>
        <w:tc>
          <w:tcPr>
            <w:tcW w:w="679" w:type="dxa"/>
          </w:tcPr>
          <w:p>
            <w:pPr>
              <w:pStyle w:val="TableParagraph"/>
              <w:spacing w:before="139"/>
              <w:ind w:left="0" w:right="160"/>
              <w:jc w:val="right"/>
              <w:rPr>
                <w:b/>
                <w:sz w:val="21"/>
              </w:rPr>
            </w:pPr>
            <w:r>
              <w:rPr>
                <w:b/>
                <w:sz w:val="21"/>
              </w:rPr>
              <w:t>6.8</w:t>
            </w:r>
          </w:p>
        </w:tc>
        <w:tc>
          <w:tcPr>
            <w:tcW w:w="1495" w:type="dxa"/>
          </w:tcPr>
          <w:p>
            <w:pPr>
              <w:pStyle w:val="TableParagraph"/>
              <w:spacing w:line="340" w:lineRule="atLeast" w:before="74"/>
              <w:ind w:left="161" w:right="275"/>
              <w:rPr>
                <w:b/>
                <w:sz w:val="21"/>
              </w:rPr>
            </w:pPr>
            <w:r>
              <w:rPr>
                <w:b/>
                <w:sz w:val="21"/>
              </w:rPr>
              <w:t>无合法有效驾驶证驾驶</w:t>
            </w:r>
          </w:p>
        </w:tc>
        <w:tc>
          <w:tcPr>
            <w:tcW w:w="7554" w:type="dxa"/>
          </w:tcPr>
          <w:p>
            <w:pPr>
              <w:pStyle w:val="TableParagraph"/>
              <w:spacing w:before="139"/>
              <w:rPr>
                <w:sz w:val="21"/>
              </w:rPr>
            </w:pPr>
            <w:r>
              <w:rPr>
                <w:sz w:val="21"/>
              </w:rPr>
              <w:t>指下列情形之一：</w:t>
            </w:r>
          </w:p>
          <w:p>
            <w:pPr>
              <w:pStyle w:val="TableParagraph"/>
              <w:spacing w:line="255" w:lineRule="exact" w:before="68"/>
              <w:rPr>
                <w:sz w:val="21"/>
              </w:rPr>
            </w:pPr>
            <w:r>
              <w:rPr>
                <w:sz w:val="21"/>
              </w:rPr>
              <w:t>（1）没有取得驾驶资格；</w:t>
            </w:r>
          </w:p>
        </w:tc>
      </w:tr>
    </w:tbl>
    <w:p>
      <w:pPr>
        <w:spacing w:after="0" w:line="255" w:lineRule="exact"/>
        <w:rPr>
          <w:sz w:val="21"/>
        </w:rPr>
        <w:sectPr>
          <w:pgSz w:w="11910" w:h="16840"/>
          <w:pgMar w:top="1180" w:bottom="280" w:left="1020" w:right="94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415"/>
        <w:gridCol w:w="7582"/>
      </w:tblGrid>
      <w:tr>
        <w:trPr>
          <w:trHeight w:val="1443" w:hRule="atLeast"/>
        </w:trPr>
        <w:tc>
          <w:tcPr>
            <w:tcW w:w="732" w:type="dxa"/>
          </w:tcPr>
          <w:p>
            <w:pPr>
              <w:pStyle w:val="TableParagraph"/>
              <w:ind w:left="0"/>
              <w:rPr>
                <w:rFonts w:ascii="Times New Roman"/>
                <w:sz w:val="20"/>
              </w:rPr>
            </w:pPr>
          </w:p>
        </w:tc>
        <w:tc>
          <w:tcPr>
            <w:tcW w:w="1415" w:type="dxa"/>
          </w:tcPr>
          <w:p>
            <w:pPr>
              <w:pStyle w:val="TableParagraph"/>
              <w:ind w:left="0"/>
              <w:rPr>
                <w:rFonts w:ascii="Times New Roman"/>
                <w:sz w:val="20"/>
              </w:rPr>
            </w:pPr>
          </w:p>
        </w:tc>
        <w:tc>
          <w:tcPr>
            <w:tcW w:w="7582" w:type="dxa"/>
          </w:tcPr>
          <w:p>
            <w:pPr>
              <w:pStyle w:val="TableParagraph"/>
              <w:spacing w:line="211" w:lineRule="exact"/>
              <w:ind w:left="133"/>
              <w:rPr>
                <w:sz w:val="21"/>
              </w:rPr>
            </w:pPr>
            <w:r>
              <w:rPr>
                <w:sz w:val="21"/>
              </w:rPr>
              <w:t>（2）驾驶与驾驶证准驾车型不相符合的车辆；</w:t>
            </w:r>
          </w:p>
          <w:p>
            <w:pPr>
              <w:pStyle w:val="TableParagraph"/>
              <w:spacing w:before="68"/>
              <w:ind w:left="133"/>
              <w:rPr>
                <w:sz w:val="21"/>
              </w:rPr>
            </w:pPr>
            <w:r>
              <w:rPr>
                <w:sz w:val="21"/>
              </w:rPr>
              <w:t>（3）持审验不合格的驾驶证驾驶；</w:t>
            </w:r>
          </w:p>
          <w:p>
            <w:pPr>
              <w:pStyle w:val="TableParagraph"/>
              <w:spacing w:line="300" w:lineRule="auto" w:before="67"/>
              <w:ind w:left="133" w:right="405"/>
              <w:rPr>
                <w:sz w:val="21"/>
              </w:rPr>
            </w:pPr>
            <w:r>
              <w:rPr>
                <w:sz w:val="21"/>
              </w:rPr>
              <w:t>（4）持学习驾驶证学习驾车时，无教练员随车指导，或不按指定时间、路线学习驾车。</w:t>
            </w:r>
          </w:p>
        </w:tc>
      </w:tr>
      <w:tr>
        <w:trPr>
          <w:trHeight w:val="1305" w:hRule="atLeast"/>
        </w:trPr>
        <w:tc>
          <w:tcPr>
            <w:tcW w:w="732" w:type="dxa"/>
          </w:tcPr>
          <w:p>
            <w:pPr>
              <w:pStyle w:val="TableParagraph"/>
              <w:spacing w:before="139"/>
              <w:ind w:left="200"/>
              <w:rPr>
                <w:b/>
                <w:sz w:val="21"/>
              </w:rPr>
            </w:pPr>
            <w:r>
              <w:rPr>
                <w:b/>
                <w:sz w:val="21"/>
              </w:rPr>
              <w:t>6.9</w:t>
            </w:r>
          </w:p>
        </w:tc>
        <w:tc>
          <w:tcPr>
            <w:tcW w:w="1415" w:type="dxa"/>
          </w:tcPr>
          <w:p>
            <w:pPr>
              <w:pStyle w:val="TableParagraph"/>
              <w:spacing w:line="300" w:lineRule="auto" w:before="139"/>
              <w:ind w:left="108" w:right="248"/>
              <w:rPr>
                <w:b/>
                <w:sz w:val="21"/>
              </w:rPr>
            </w:pPr>
            <w:r>
              <w:rPr>
                <w:b/>
                <w:sz w:val="21"/>
              </w:rPr>
              <w:t>无有效行驶证</w:t>
            </w:r>
          </w:p>
        </w:tc>
        <w:tc>
          <w:tcPr>
            <w:tcW w:w="7582" w:type="dxa"/>
          </w:tcPr>
          <w:p>
            <w:pPr>
              <w:pStyle w:val="TableParagraph"/>
              <w:spacing w:before="139"/>
              <w:ind w:left="133"/>
              <w:rPr>
                <w:sz w:val="21"/>
              </w:rPr>
            </w:pPr>
            <w:r>
              <w:rPr>
                <w:sz w:val="21"/>
              </w:rPr>
              <w:t>指下列情形之一：</w:t>
            </w:r>
          </w:p>
          <w:p>
            <w:pPr>
              <w:pStyle w:val="TableParagraph"/>
              <w:spacing w:before="68"/>
              <w:ind w:left="133"/>
              <w:rPr>
                <w:sz w:val="21"/>
              </w:rPr>
            </w:pPr>
            <w:r>
              <w:rPr>
                <w:sz w:val="21"/>
              </w:rPr>
              <w:t>（1）机动车被依法注销登记的；</w:t>
            </w:r>
          </w:p>
          <w:p>
            <w:pPr>
              <w:pStyle w:val="TableParagraph"/>
              <w:spacing w:before="68"/>
              <w:ind w:left="133"/>
              <w:rPr>
                <w:sz w:val="21"/>
              </w:rPr>
            </w:pPr>
            <w:r>
              <w:rPr>
                <w:sz w:val="21"/>
              </w:rPr>
              <w:t>（2）未依法按时进行或通过机动车安全技术检验。</w:t>
            </w:r>
          </w:p>
        </w:tc>
      </w:tr>
      <w:tr>
        <w:trPr>
          <w:trHeight w:val="963" w:hRule="atLeast"/>
        </w:trPr>
        <w:tc>
          <w:tcPr>
            <w:tcW w:w="732" w:type="dxa"/>
          </w:tcPr>
          <w:p>
            <w:pPr>
              <w:pStyle w:val="TableParagraph"/>
              <w:spacing w:before="141"/>
              <w:ind w:left="200"/>
              <w:rPr>
                <w:b/>
                <w:sz w:val="21"/>
              </w:rPr>
            </w:pPr>
            <w:r>
              <w:rPr>
                <w:b/>
                <w:sz w:val="21"/>
              </w:rPr>
              <w:t>6.10</w:t>
            </w:r>
          </w:p>
        </w:tc>
        <w:tc>
          <w:tcPr>
            <w:tcW w:w="1415" w:type="dxa"/>
          </w:tcPr>
          <w:p>
            <w:pPr>
              <w:pStyle w:val="TableParagraph"/>
              <w:spacing w:before="141"/>
              <w:ind w:left="108"/>
              <w:rPr>
                <w:b/>
                <w:sz w:val="21"/>
              </w:rPr>
            </w:pPr>
            <w:r>
              <w:rPr>
                <w:b/>
                <w:sz w:val="21"/>
              </w:rPr>
              <w:t>遗传性疾病</w:t>
            </w:r>
          </w:p>
        </w:tc>
        <w:tc>
          <w:tcPr>
            <w:tcW w:w="7582" w:type="dxa"/>
          </w:tcPr>
          <w:p>
            <w:pPr>
              <w:pStyle w:val="TableParagraph"/>
              <w:spacing w:line="300" w:lineRule="auto" w:before="141"/>
              <w:ind w:left="133" w:right="304"/>
              <w:rPr>
                <w:sz w:val="21"/>
              </w:rPr>
            </w:pPr>
            <w:r>
              <w:rPr>
                <w:sz w:val="21"/>
              </w:rPr>
              <w:t>指生殖细胞或受精卵的遗传物质（染色体和基因）发生突变或畸变所引起的疾病，通常具有由亲代传至后代的垂直传递的特征。</w:t>
            </w:r>
          </w:p>
        </w:tc>
      </w:tr>
      <w:tr>
        <w:trPr>
          <w:trHeight w:val="1304" w:hRule="atLeast"/>
        </w:trPr>
        <w:tc>
          <w:tcPr>
            <w:tcW w:w="732" w:type="dxa"/>
          </w:tcPr>
          <w:p>
            <w:pPr>
              <w:pStyle w:val="TableParagraph"/>
              <w:spacing w:before="140"/>
              <w:ind w:left="200"/>
              <w:rPr>
                <w:b/>
                <w:sz w:val="21"/>
              </w:rPr>
            </w:pPr>
            <w:r>
              <w:rPr>
                <w:b/>
                <w:sz w:val="21"/>
              </w:rPr>
              <w:t>6.11</w:t>
            </w:r>
          </w:p>
        </w:tc>
        <w:tc>
          <w:tcPr>
            <w:tcW w:w="1415" w:type="dxa"/>
          </w:tcPr>
          <w:p>
            <w:pPr>
              <w:pStyle w:val="TableParagraph"/>
              <w:spacing w:line="300" w:lineRule="auto" w:before="140"/>
              <w:ind w:left="108" w:right="38"/>
              <w:rPr>
                <w:b/>
                <w:sz w:val="21"/>
              </w:rPr>
            </w:pPr>
            <w:r>
              <w:rPr>
                <w:b/>
                <w:sz w:val="21"/>
              </w:rPr>
              <w:t>先天性畸形、变形或染色 体异常</w:t>
            </w:r>
          </w:p>
        </w:tc>
        <w:tc>
          <w:tcPr>
            <w:tcW w:w="7582" w:type="dxa"/>
          </w:tcPr>
          <w:p>
            <w:pPr>
              <w:pStyle w:val="TableParagraph"/>
              <w:spacing w:line="300" w:lineRule="auto" w:before="140"/>
              <w:ind w:left="133" w:right="199"/>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（ICD-10） 确定。</w:t>
            </w:r>
          </w:p>
        </w:tc>
      </w:tr>
      <w:tr>
        <w:trPr>
          <w:trHeight w:val="2024" w:hRule="atLeast"/>
        </w:trPr>
        <w:tc>
          <w:tcPr>
            <w:tcW w:w="732" w:type="dxa"/>
          </w:tcPr>
          <w:p>
            <w:pPr>
              <w:pStyle w:val="TableParagraph"/>
              <w:spacing w:before="139"/>
              <w:ind w:left="200"/>
              <w:rPr>
                <w:b/>
                <w:sz w:val="21"/>
              </w:rPr>
            </w:pPr>
            <w:r>
              <w:rPr>
                <w:b/>
                <w:sz w:val="21"/>
              </w:rPr>
              <w:t>6.12</w:t>
            </w:r>
          </w:p>
        </w:tc>
        <w:tc>
          <w:tcPr>
            <w:tcW w:w="1415" w:type="dxa"/>
          </w:tcPr>
          <w:p>
            <w:pPr>
              <w:pStyle w:val="TableParagraph"/>
              <w:spacing w:line="300" w:lineRule="auto" w:before="139"/>
              <w:ind w:left="108" w:right="248"/>
              <w:jc w:val="both"/>
              <w:rPr>
                <w:b/>
                <w:sz w:val="21"/>
              </w:rPr>
            </w:pPr>
            <w:r>
              <w:rPr>
                <w:b/>
                <w:sz w:val="21"/>
              </w:rPr>
              <w:t>感染艾滋病病毒或患艾滋病</w:t>
            </w:r>
          </w:p>
        </w:tc>
        <w:tc>
          <w:tcPr>
            <w:tcW w:w="7582" w:type="dxa"/>
          </w:tcPr>
          <w:p>
            <w:pPr>
              <w:pStyle w:val="TableParagraph"/>
              <w:spacing w:line="300" w:lineRule="auto" w:before="139"/>
              <w:ind w:left="133" w:right="352"/>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毒引起的获得性免疫缺陷综合征，英文缩写为 </w:t>
            </w:r>
            <w:r>
              <w:rPr>
                <w:sz w:val="21"/>
              </w:rPr>
              <w:t>AIDS。</w:t>
            </w:r>
          </w:p>
          <w:p>
            <w:pPr>
              <w:pStyle w:val="TableParagraph"/>
              <w:spacing w:line="300" w:lineRule="auto" w:before="16"/>
              <w:ind w:left="133" w:right="305"/>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2746" w:hRule="atLeast"/>
        </w:trPr>
        <w:tc>
          <w:tcPr>
            <w:tcW w:w="732" w:type="dxa"/>
          </w:tcPr>
          <w:p>
            <w:pPr>
              <w:pStyle w:val="TableParagraph"/>
              <w:spacing w:before="174"/>
              <w:ind w:left="200"/>
              <w:rPr>
                <w:b/>
                <w:sz w:val="21"/>
              </w:rPr>
            </w:pPr>
            <w:r>
              <w:rPr>
                <w:b/>
                <w:sz w:val="21"/>
              </w:rPr>
              <w:t>6.13</w:t>
            </w:r>
          </w:p>
        </w:tc>
        <w:tc>
          <w:tcPr>
            <w:tcW w:w="1415" w:type="dxa"/>
          </w:tcPr>
          <w:p>
            <w:pPr>
              <w:pStyle w:val="TableParagraph"/>
              <w:spacing w:before="174"/>
              <w:ind w:left="108"/>
              <w:rPr>
                <w:b/>
                <w:sz w:val="21"/>
              </w:rPr>
            </w:pPr>
            <w:r>
              <w:rPr>
                <w:b/>
                <w:sz w:val="21"/>
              </w:rPr>
              <w:t>专科医生</w:t>
            </w:r>
          </w:p>
        </w:tc>
        <w:tc>
          <w:tcPr>
            <w:tcW w:w="7582" w:type="dxa"/>
          </w:tcPr>
          <w:p>
            <w:pPr>
              <w:pStyle w:val="TableParagraph"/>
              <w:spacing w:before="174"/>
              <w:ind w:left="37"/>
              <w:rPr>
                <w:sz w:val="21"/>
              </w:rPr>
            </w:pPr>
            <w:r>
              <w:rPr>
                <w:sz w:val="21"/>
              </w:rPr>
              <w:t>专科医生应当同时满足以下四项资格条件：</w:t>
            </w:r>
          </w:p>
          <w:p>
            <w:pPr>
              <w:pStyle w:val="TableParagraph"/>
              <w:spacing w:before="68"/>
              <w:ind w:left="37"/>
              <w:rPr>
                <w:sz w:val="21"/>
              </w:rPr>
            </w:pPr>
            <w:r>
              <w:rPr>
                <w:sz w:val="21"/>
              </w:rPr>
              <w:t>（1）具有有效的中华人民共和国《医师资格证书》；</w:t>
            </w:r>
          </w:p>
          <w:p>
            <w:pPr>
              <w:pStyle w:val="TableParagraph"/>
              <w:spacing w:line="300" w:lineRule="auto" w:before="68"/>
              <w:ind w:left="575" w:right="278" w:hanging="539"/>
              <w:rPr>
                <w:sz w:val="21"/>
              </w:rPr>
            </w:pPr>
            <w:r>
              <w:rPr>
                <w:sz w:val="21"/>
              </w:rPr>
              <w:t>（2）具有有效的中华人民共和国《医师执业证书》，并按期到相关部门登记注册；</w:t>
            </w:r>
          </w:p>
          <w:p>
            <w:pPr>
              <w:pStyle w:val="TableParagraph"/>
              <w:spacing w:line="300" w:lineRule="auto" w:before="16"/>
              <w:ind w:left="575" w:right="265" w:hanging="539"/>
              <w:rPr>
                <w:sz w:val="21"/>
              </w:rPr>
            </w:pPr>
            <w:r>
              <w:rPr>
                <w:sz w:val="21"/>
              </w:rPr>
              <w:t>（3）具有有效的中华人民共和国主治医师或主治医师以上职称的《医师职称证书》；</w:t>
            </w:r>
          </w:p>
          <w:p>
            <w:pPr>
              <w:pStyle w:val="TableParagraph"/>
              <w:spacing w:before="16"/>
              <w:ind w:left="37"/>
              <w:rPr>
                <w:sz w:val="21"/>
              </w:rPr>
            </w:pPr>
            <w:r>
              <w:rPr>
                <w:sz w:val="21"/>
              </w:rPr>
              <w:t>（4）在二级或二级以上医院的相应科室从事临床工作三年以上。</w:t>
            </w:r>
          </w:p>
        </w:tc>
      </w:tr>
      <w:tr>
        <w:trPr>
          <w:trHeight w:val="1340" w:hRule="atLeast"/>
        </w:trPr>
        <w:tc>
          <w:tcPr>
            <w:tcW w:w="732" w:type="dxa"/>
          </w:tcPr>
          <w:p>
            <w:pPr>
              <w:pStyle w:val="TableParagraph"/>
              <w:spacing w:before="174"/>
              <w:ind w:left="200"/>
              <w:rPr>
                <w:b/>
                <w:sz w:val="21"/>
              </w:rPr>
            </w:pPr>
            <w:r>
              <w:rPr>
                <w:b/>
                <w:sz w:val="21"/>
              </w:rPr>
              <w:t>6.14</w:t>
            </w:r>
          </w:p>
        </w:tc>
        <w:tc>
          <w:tcPr>
            <w:tcW w:w="1415" w:type="dxa"/>
          </w:tcPr>
          <w:p>
            <w:pPr>
              <w:pStyle w:val="TableParagraph"/>
              <w:spacing w:line="300" w:lineRule="auto" w:before="174"/>
              <w:ind w:left="108" w:right="248"/>
              <w:rPr>
                <w:b/>
                <w:sz w:val="21"/>
              </w:rPr>
            </w:pPr>
            <w:r>
              <w:rPr>
                <w:b/>
                <w:sz w:val="21"/>
              </w:rPr>
              <w:t>本主险合同约定利率</w:t>
            </w:r>
          </w:p>
        </w:tc>
        <w:tc>
          <w:tcPr>
            <w:tcW w:w="7582" w:type="dxa"/>
          </w:tcPr>
          <w:p>
            <w:pPr>
              <w:pStyle w:val="TableParagraph"/>
              <w:spacing w:line="300" w:lineRule="auto" w:before="174"/>
              <w:ind w:left="133" w:right="305"/>
              <w:rPr>
                <w:sz w:val="21"/>
              </w:rPr>
            </w:pPr>
            <w:r>
              <w:rPr>
                <w:sz w:val="21"/>
              </w:rPr>
              <w:t>由本公司参照中国人民银行六个月同期贷款利率确定并宣布，宣布时间分别为每年的一月一日和七月一日。该利率以中国人民银行六个月同期贷款利率＋</w:t>
            </w:r>
          </w:p>
          <w:p>
            <w:pPr>
              <w:pStyle w:val="TableParagraph"/>
              <w:spacing w:before="15"/>
              <w:ind w:left="133"/>
              <w:rPr>
                <w:sz w:val="21"/>
              </w:rPr>
            </w:pPr>
            <w:r>
              <w:rPr>
                <w:sz w:val="21"/>
              </w:rPr>
              <w:t>0.5%为上限。</w:t>
            </w:r>
          </w:p>
        </w:tc>
      </w:tr>
      <w:tr>
        <w:trPr>
          <w:trHeight w:val="963" w:hRule="atLeast"/>
        </w:trPr>
        <w:tc>
          <w:tcPr>
            <w:tcW w:w="732" w:type="dxa"/>
          </w:tcPr>
          <w:p>
            <w:pPr>
              <w:pStyle w:val="TableParagraph"/>
              <w:spacing w:before="141"/>
              <w:ind w:left="200"/>
              <w:rPr>
                <w:b/>
                <w:sz w:val="21"/>
              </w:rPr>
            </w:pPr>
            <w:r>
              <w:rPr>
                <w:b/>
                <w:sz w:val="21"/>
              </w:rPr>
              <w:t>6.15</w:t>
            </w:r>
          </w:p>
        </w:tc>
        <w:tc>
          <w:tcPr>
            <w:tcW w:w="1415" w:type="dxa"/>
          </w:tcPr>
          <w:p>
            <w:pPr>
              <w:pStyle w:val="TableParagraph"/>
              <w:spacing w:line="300" w:lineRule="auto" w:before="141"/>
              <w:ind w:left="108" w:right="248"/>
              <w:rPr>
                <w:b/>
                <w:sz w:val="21"/>
              </w:rPr>
            </w:pPr>
            <w:r>
              <w:rPr>
                <w:b/>
                <w:sz w:val="21"/>
              </w:rPr>
              <w:t>肢体机能完全丧失</w:t>
            </w:r>
          </w:p>
        </w:tc>
        <w:tc>
          <w:tcPr>
            <w:tcW w:w="7582" w:type="dxa"/>
          </w:tcPr>
          <w:p>
            <w:pPr>
              <w:pStyle w:val="TableParagraph"/>
              <w:spacing w:line="300" w:lineRule="auto" w:before="141"/>
              <w:ind w:left="133" w:right="304"/>
              <w:rPr>
                <w:sz w:val="21"/>
              </w:rPr>
            </w:pPr>
            <w:r>
              <w:rPr>
                <w:sz w:val="21"/>
              </w:rPr>
              <w:t>指肢体的三大关节中的两大关节僵硬，或不能随意识活动。肢体是指包括肩关节的整个上肢或包括髋关节的整个下肢。</w:t>
            </w:r>
          </w:p>
        </w:tc>
      </w:tr>
      <w:tr>
        <w:trPr>
          <w:trHeight w:val="1647" w:hRule="atLeast"/>
        </w:trPr>
        <w:tc>
          <w:tcPr>
            <w:tcW w:w="732" w:type="dxa"/>
          </w:tcPr>
          <w:p>
            <w:pPr>
              <w:pStyle w:val="TableParagraph"/>
              <w:spacing w:before="140"/>
              <w:ind w:left="200"/>
              <w:rPr>
                <w:b/>
                <w:sz w:val="21"/>
              </w:rPr>
            </w:pPr>
            <w:r>
              <w:rPr>
                <w:b/>
                <w:sz w:val="21"/>
              </w:rPr>
              <w:t>6.16</w:t>
            </w:r>
          </w:p>
        </w:tc>
        <w:tc>
          <w:tcPr>
            <w:tcW w:w="1415" w:type="dxa"/>
          </w:tcPr>
          <w:p>
            <w:pPr>
              <w:pStyle w:val="TableParagraph"/>
              <w:spacing w:line="300" w:lineRule="auto" w:before="140"/>
              <w:ind w:left="108" w:right="248"/>
              <w:jc w:val="both"/>
              <w:rPr>
                <w:b/>
                <w:sz w:val="21"/>
              </w:rPr>
            </w:pPr>
            <w:r>
              <w:rPr>
                <w:b/>
                <w:sz w:val="21"/>
              </w:rPr>
              <w:t>语言能力或咀嚼吞咽能力完全丧失</w:t>
            </w:r>
          </w:p>
        </w:tc>
        <w:tc>
          <w:tcPr>
            <w:tcW w:w="7582" w:type="dxa"/>
          </w:tcPr>
          <w:p>
            <w:pPr>
              <w:pStyle w:val="TableParagraph"/>
              <w:spacing w:line="300" w:lineRule="auto" w:before="140"/>
              <w:ind w:left="133" w:right="199"/>
              <w:rPr>
                <w:sz w:val="21"/>
              </w:rPr>
            </w:pPr>
            <w:r>
              <w:rPr>
                <w:spacing w:val="-3"/>
                <w:sz w:val="21"/>
              </w:rPr>
              <w:t>语言能力完全丧失，指无法发出四种语音（包括口唇音、齿舌音、口盖音和喉头音</w:t>
            </w:r>
            <w:r>
              <w:rPr>
                <w:spacing w:val="-39"/>
                <w:sz w:val="21"/>
              </w:rPr>
              <w:t>）</w:t>
            </w:r>
            <w:r>
              <w:rPr>
                <w:spacing w:val="-10"/>
                <w:sz w:val="21"/>
              </w:rPr>
              <w:t>中的任何三种、或声带全部切除，或因大脑语言中枢受伤害而患失语症。</w:t>
            </w:r>
            <w:r>
              <w:rPr>
                <w:spacing w:val="-5"/>
                <w:sz w:val="21"/>
              </w:rPr>
              <w:t>咀嚼吞咽能力完全丧失，指因牙齿以外的原因导致器质障碍或机能障碍，以致</w:t>
            </w:r>
            <w:r>
              <w:rPr>
                <w:spacing w:val="-4"/>
                <w:sz w:val="21"/>
              </w:rPr>
              <w:t>不能作咀嚼吞咽运动，除流质食物外不能摄取或吞咽的状态。</w:t>
            </w:r>
          </w:p>
        </w:tc>
      </w:tr>
      <w:tr>
        <w:trPr>
          <w:trHeight w:val="414" w:hRule="atLeast"/>
        </w:trPr>
        <w:tc>
          <w:tcPr>
            <w:tcW w:w="732" w:type="dxa"/>
          </w:tcPr>
          <w:p>
            <w:pPr>
              <w:pStyle w:val="TableParagraph"/>
              <w:spacing w:line="255" w:lineRule="exact" w:before="139"/>
              <w:ind w:left="200"/>
              <w:rPr>
                <w:b/>
                <w:sz w:val="21"/>
              </w:rPr>
            </w:pPr>
            <w:r>
              <w:rPr>
                <w:b/>
                <w:sz w:val="21"/>
              </w:rPr>
              <w:t>6.17</w:t>
            </w:r>
          </w:p>
        </w:tc>
        <w:tc>
          <w:tcPr>
            <w:tcW w:w="1415" w:type="dxa"/>
          </w:tcPr>
          <w:p>
            <w:pPr>
              <w:pStyle w:val="TableParagraph"/>
              <w:spacing w:line="255" w:lineRule="exact" w:before="139"/>
              <w:ind w:left="108"/>
              <w:rPr>
                <w:b/>
                <w:sz w:val="21"/>
              </w:rPr>
            </w:pPr>
            <w:r>
              <w:rPr>
                <w:b/>
                <w:sz w:val="21"/>
              </w:rPr>
              <w:t>六项基本日</w:t>
            </w:r>
          </w:p>
        </w:tc>
        <w:tc>
          <w:tcPr>
            <w:tcW w:w="7582" w:type="dxa"/>
          </w:tcPr>
          <w:p>
            <w:pPr>
              <w:pStyle w:val="TableParagraph"/>
              <w:spacing w:line="255" w:lineRule="exact" w:before="139"/>
              <w:ind w:left="133"/>
              <w:rPr>
                <w:sz w:val="21"/>
              </w:rPr>
            </w:pPr>
            <w:r>
              <w:rPr>
                <w:sz w:val="21"/>
              </w:rPr>
              <w:t>六项基本日常生活活动是指：</w:t>
            </w:r>
          </w:p>
        </w:tc>
      </w:tr>
    </w:tbl>
    <w:p>
      <w:pPr>
        <w:spacing w:after="0" w:line="255" w:lineRule="exact"/>
        <w:rPr>
          <w:sz w:val="21"/>
        </w:rPr>
        <w:sectPr>
          <w:pgSz w:w="11910" w:h="16840"/>
          <w:pgMar w:top="1180" w:bottom="280" w:left="1020" w:right="94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358"/>
        <w:gridCol w:w="7534"/>
      </w:tblGrid>
      <w:tr>
        <w:trPr>
          <w:trHeight w:val="2138" w:hRule="atLeast"/>
        </w:trPr>
        <w:tc>
          <w:tcPr>
            <w:tcW w:w="732" w:type="dxa"/>
          </w:tcPr>
          <w:p>
            <w:pPr>
              <w:pStyle w:val="TableParagraph"/>
              <w:ind w:left="0"/>
              <w:rPr>
                <w:rFonts w:ascii="Times New Roman"/>
                <w:sz w:val="20"/>
              </w:rPr>
            </w:pPr>
          </w:p>
        </w:tc>
        <w:tc>
          <w:tcPr>
            <w:tcW w:w="1358" w:type="dxa"/>
          </w:tcPr>
          <w:p>
            <w:pPr>
              <w:pStyle w:val="TableParagraph"/>
              <w:spacing w:line="211" w:lineRule="exact"/>
              <w:ind w:left="90" w:right="172"/>
              <w:jc w:val="center"/>
              <w:rPr>
                <w:b/>
                <w:sz w:val="21"/>
              </w:rPr>
            </w:pPr>
            <w:r>
              <w:rPr>
                <w:b/>
                <w:sz w:val="21"/>
              </w:rPr>
              <w:t>常生活活动</w:t>
            </w:r>
          </w:p>
        </w:tc>
        <w:tc>
          <w:tcPr>
            <w:tcW w:w="7534" w:type="dxa"/>
          </w:tcPr>
          <w:p>
            <w:pPr>
              <w:pStyle w:val="TableParagraph"/>
              <w:spacing w:line="211" w:lineRule="exact"/>
              <w:ind w:left="190"/>
              <w:rPr>
                <w:sz w:val="21"/>
              </w:rPr>
            </w:pPr>
            <w:r>
              <w:rPr>
                <w:sz w:val="21"/>
              </w:rPr>
              <w:t>（1）穿衣：自己能够穿衣及脱衣；</w:t>
            </w:r>
          </w:p>
          <w:p>
            <w:pPr>
              <w:pStyle w:val="TableParagraph"/>
              <w:spacing w:before="68"/>
              <w:ind w:left="190"/>
              <w:rPr>
                <w:sz w:val="21"/>
              </w:rPr>
            </w:pPr>
            <w:r>
              <w:rPr>
                <w:sz w:val="21"/>
              </w:rPr>
              <w:t>（2）移动：自己从一个房间到另一个房间；</w:t>
            </w:r>
          </w:p>
          <w:p>
            <w:pPr>
              <w:pStyle w:val="TableParagraph"/>
              <w:spacing w:before="67"/>
              <w:ind w:left="190"/>
              <w:rPr>
                <w:sz w:val="21"/>
              </w:rPr>
            </w:pPr>
            <w:r>
              <w:rPr>
                <w:sz w:val="21"/>
              </w:rPr>
              <w:t>（3）行动：自己上下床或上下轮椅；</w:t>
            </w:r>
          </w:p>
          <w:p>
            <w:pPr>
              <w:pStyle w:val="TableParagraph"/>
              <w:spacing w:before="67"/>
              <w:ind w:left="190"/>
              <w:rPr>
                <w:sz w:val="21"/>
              </w:rPr>
            </w:pPr>
            <w:r>
              <w:rPr>
                <w:sz w:val="21"/>
              </w:rPr>
              <w:t>（4）如厕：自己控制进行大小便；</w:t>
            </w:r>
          </w:p>
          <w:p>
            <w:pPr>
              <w:pStyle w:val="TableParagraph"/>
              <w:spacing w:before="67"/>
              <w:ind w:left="190"/>
              <w:rPr>
                <w:sz w:val="21"/>
              </w:rPr>
            </w:pPr>
            <w:r>
              <w:rPr>
                <w:sz w:val="21"/>
              </w:rPr>
              <w:t>（5）进食：自己从已准备好的碗或碟中取食物放入口中；</w:t>
            </w:r>
          </w:p>
          <w:p>
            <w:pPr>
              <w:pStyle w:val="TableParagraph"/>
              <w:spacing w:before="67"/>
              <w:ind w:left="190"/>
              <w:rPr>
                <w:sz w:val="21"/>
              </w:rPr>
            </w:pPr>
            <w:r>
              <w:rPr>
                <w:sz w:val="21"/>
              </w:rPr>
              <w:t>（</w:t>
            </w:r>
            <w:r>
              <w:rPr>
                <w:rFonts w:ascii="Times New Roman" w:eastAsia="Times New Roman"/>
                <w:sz w:val="21"/>
              </w:rPr>
              <w:t>6</w:t>
            </w:r>
            <w:r>
              <w:rPr>
                <w:sz w:val="21"/>
              </w:rPr>
              <w:t>）洗澡：自己进行淋浴或盆浴。</w:t>
            </w:r>
          </w:p>
        </w:tc>
      </w:tr>
      <w:tr>
        <w:trPr>
          <w:trHeight w:val="749" w:hRule="atLeast"/>
        </w:trPr>
        <w:tc>
          <w:tcPr>
            <w:tcW w:w="732" w:type="dxa"/>
          </w:tcPr>
          <w:p>
            <w:pPr>
              <w:pStyle w:val="TableParagraph"/>
              <w:spacing w:before="131"/>
              <w:ind w:left="200"/>
              <w:rPr>
                <w:b/>
                <w:sz w:val="21"/>
              </w:rPr>
            </w:pPr>
            <w:r>
              <w:rPr>
                <w:b/>
                <w:sz w:val="21"/>
              </w:rPr>
              <w:t>6.18</w:t>
            </w:r>
          </w:p>
        </w:tc>
        <w:tc>
          <w:tcPr>
            <w:tcW w:w="1358" w:type="dxa"/>
          </w:tcPr>
          <w:p>
            <w:pPr>
              <w:pStyle w:val="TableParagraph"/>
              <w:spacing w:before="131"/>
              <w:ind w:left="90" w:right="172"/>
              <w:jc w:val="center"/>
              <w:rPr>
                <w:b/>
                <w:sz w:val="21"/>
              </w:rPr>
            </w:pPr>
            <w:r>
              <w:rPr>
                <w:b/>
                <w:sz w:val="21"/>
              </w:rPr>
              <w:t>永久不可逆</w:t>
            </w:r>
          </w:p>
        </w:tc>
        <w:tc>
          <w:tcPr>
            <w:tcW w:w="7534" w:type="dxa"/>
          </w:tcPr>
          <w:p>
            <w:pPr>
              <w:pStyle w:val="TableParagraph"/>
              <w:spacing w:line="340" w:lineRule="atLeast" w:before="66"/>
              <w:ind w:left="190" w:right="199"/>
              <w:rPr>
                <w:sz w:val="21"/>
              </w:rPr>
            </w:pPr>
            <w:r>
              <w:rPr>
                <w:spacing w:val="-5"/>
                <w:sz w:val="21"/>
              </w:rPr>
              <w:t>指自疾病确诊或意外伤害发生之日起，经过积极治疗 </w:t>
            </w:r>
            <w:r>
              <w:rPr>
                <w:sz w:val="21"/>
              </w:rPr>
              <w:t>180</w:t>
            </w:r>
            <w:r>
              <w:rPr>
                <w:spacing w:val="-8"/>
                <w:sz w:val="21"/>
              </w:rPr>
              <w:t> 天后，仍无法通过现</w:t>
            </w:r>
            <w:r>
              <w:rPr>
                <w:spacing w:val="-5"/>
                <w:sz w:val="21"/>
              </w:rPr>
              <w:t>有医疗手段恢复。</w:t>
            </w:r>
          </w:p>
        </w:tc>
      </w:tr>
    </w:tbl>
    <w:sectPr>
      <w:pgSz w:w="11910" w:h="16840"/>
      <w:pgMar w:top="1180" w:bottom="280" w:left="102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2302" w:hanging="721"/>
        <w:jc w:val="left"/>
      </w:pPr>
      <w:rPr>
        <w:rFonts w:hint="default" w:ascii="黑体" w:hAnsi="黑体" w:eastAsia="黑体" w:cs="黑体"/>
        <w:w w:val="100"/>
        <w:sz w:val="21"/>
        <w:szCs w:val="21"/>
      </w:rPr>
    </w:lvl>
    <w:lvl w:ilvl="1">
      <w:start w:val="0"/>
      <w:numFmt w:val="bullet"/>
      <w:lvlText w:val="•"/>
      <w:lvlJc w:val="left"/>
      <w:pPr>
        <w:ind w:left="2953" w:hanging="721"/>
      </w:pPr>
      <w:rPr>
        <w:rFonts w:hint="default"/>
      </w:rPr>
    </w:lvl>
    <w:lvl w:ilvl="2">
      <w:start w:val="0"/>
      <w:numFmt w:val="bullet"/>
      <w:lvlText w:val="•"/>
      <w:lvlJc w:val="left"/>
      <w:pPr>
        <w:ind w:left="3606" w:hanging="721"/>
      </w:pPr>
      <w:rPr>
        <w:rFonts w:hint="default"/>
      </w:rPr>
    </w:lvl>
    <w:lvl w:ilvl="3">
      <w:start w:val="0"/>
      <w:numFmt w:val="bullet"/>
      <w:lvlText w:val="•"/>
      <w:lvlJc w:val="left"/>
      <w:pPr>
        <w:ind w:left="4259" w:hanging="721"/>
      </w:pPr>
      <w:rPr>
        <w:rFonts w:hint="default"/>
      </w:rPr>
    </w:lvl>
    <w:lvl w:ilvl="4">
      <w:start w:val="0"/>
      <w:numFmt w:val="bullet"/>
      <w:lvlText w:val="•"/>
      <w:lvlJc w:val="left"/>
      <w:pPr>
        <w:ind w:left="4912" w:hanging="721"/>
      </w:pPr>
      <w:rPr>
        <w:rFonts w:hint="default"/>
      </w:rPr>
    </w:lvl>
    <w:lvl w:ilvl="5">
      <w:start w:val="0"/>
      <w:numFmt w:val="bullet"/>
      <w:lvlText w:val="•"/>
      <w:lvlJc w:val="left"/>
      <w:pPr>
        <w:ind w:left="5565" w:hanging="721"/>
      </w:pPr>
      <w:rPr>
        <w:rFonts w:hint="default"/>
      </w:rPr>
    </w:lvl>
    <w:lvl w:ilvl="6">
      <w:start w:val="0"/>
      <w:numFmt w:val="bullet"/>
      <w:lvlText w:val="•"/>
      <w:lvlJc w:val="left"/>
      <w:pPr>
        <w:ind w:left="6218" w:hanging="721"/>
      </w:pPr>
      <w:rPr>
        <w:rFonts w:hint="default"/>
      </w:rPr>
    </w:lvl>
    <w:lvl w:ilvl="7">
      <w:start w:val="0"/>
      <w:numFmt w:val="bullet"/>
      <w:lvlText w:val="•"/>
      <w:lvlJc w:val="left"/>
      <w:pPr>
        <w:ind w:left="6871" w:hanging="721"/>
      </w:pPr>
      <w:rPr>
        <w:rFonts w:hint="default"/>
      </w:rPr>
    </w:lvl>
    <w:lvl w:ilvl="8">
      <w:start w:val="0"/>
      <w:numFmt w:val="bullet"/>
      <w:lvlText w:val="•"/>
      <w:lvlJc w:val="left"/>
      <w:pPr>
        <w:ind w:left="7524" w:hanging="721"/>
      </w:pPr>
      <w:rPr>
        <w:rFonts w:hint="default"/>
      </w:rPr>
    </w:lvl>
  </w:abstractNum>
  <w:abstractNum w:abstractNumId="5">
    <w:multiLevelType w:val="hybridMultilevel"/>
    <w:lvl w:ilvl="0">
      <w:start w:val="1"/>
      <w:numFmt w:val="decimal"/>
      <w:lvlText w:val="（%1）"/>
      <w:lvlJc w:val="left"/>
      <w:pPr>
        <w:ind w:left="2302" w:hanging="721"/>
        <w:jc w:val="left"/>
      </w:pPr>
      <w:rPr>
        <w:rFonts w:hint="default" w:ascii="黑体" w:hAnsi="黑体" w:eastAsia="黑体" w:cs="黑体"/>
        <w:w w:val="100"/>
        <w:sz w:val="21"/>
        <w:szCs w:val="21"/>
      </w:rPr>
    </w:lvl>
    <w:lvl w:ilvl="1">
      <w:start w:val="0"/>
      <w:numFmt w:val="bullet"/>
      <w:lvlText w:val="•"/>
      <w:lvlJc w:val="left"/>
      <w:pPr>
        <w:ind w:left="2953" w:hanging="721"/>
      </w:pPr>
      <w:rPr>
        <w:rFonts w:hint="default"/>
      </w:rPr>
    </w:lvl>
    <w:lvl w:ilvl="2">
      <w:start w:val="0"/>
      <w:numFmt w:val="bullet"/>
      <w:lvlText w:val="•"/>
      <w:lvlJc w:val="left"/>
      <w:pPr>
        <w:ind w:left="3606" w:hanging="721"/>
      </w:pPr>
      <w:rPr>
        <w:rFonts w:hint="default"/>
      </w:rPr>
    </w:lvl>
    <w:lvl w:ilvl="3">
      <w:start w:val="0"/>
      <w:numFmt w:val="bullet"/>
      <w:lvlText w:val="•"/>
      <w:lvlJc w:val="left"/>
      <w:pPr>
        <w:ind w:left="4259" w:hanging="721"/>
      </w:pPr>
      <w:rPr>
        <w:rFonts w:hint="default"/>
      </w:rPr>
    </w:lvl>
    <w:lvl w:ilvl="4">
      <w:start w:val="0"/>
      <w:numFmt w:val="bullet"/>
      <w:lvlText w:val="•"/>
      <w:lvlJc w:val="left"/>
      <w:pPr>
        <w:ind w:left="4912" w:hanging="721"/>
      </w:pPr>
      <w:rPr>
        <w:rFonts w:hint="default"/>
      </w:rPr>
    </w:lvl>
    <w:lvl w:ilvl="5">
      <w:start w:val="0"/>
      <w:numFmt w:val="bullet"/>
      <w:lvlText w:val="•"/>
      <w:lvlJc w:val="left"/>
      <w:pPr>
        <w:ind w:left="5565" w:hanging="721"/>
      </w:pPr>
      <w:rPr>
        <w:rFonts w:hint="default"/>
      </w:rPr>
    </w:lvl>
    <w:lvl w:ilvl="6">
      <w:start w:val="0"/>
      <w:numFmt w:val="bullet"/>
      <w:lvlText w:val="•"/>
      <w:lvlJc w:val="left"/>
      <w:pPr>
        <w:ind w:left="6218" w:hanging="721"/>
      </w:pPr>
      <w:rPr>
        <w:rFonts w:hint="default"/>
      </w:rPr>
    </w:lvl>
    <w:lvl w:ilvl="7">
      <w:start w:val="0"/>
      <w:numFmt w:val="bullet"/>
      <w:lvlText w:val="•"/>
      <w:lvlJc w:val="left"/>
      <w:pPr>
        <w:ind w:left="6871" w:hanging="721"/>
      </w:pPr>
      <w:rPr>
        <w:rFonts w:hint="default"/>
      </w:rPr>
    </w:lvl>
    <w:lvl w:ilvl="8">
      <w:start w:val="0"/>
      <w:numFmt w:val="bullet"/>
      <w:lvlText w:val="•"/>
      <w:lvlJc w:val="left"/>
      <w:pPr>
        <w:ind w:left="7524" w:hanging="721"/>
      </w:pPr>
      <w:rPr>
        <w:rFonts w:hint="default"/>
      </w:rPr>
    </w:lvl>
  </w:abstractNum>
  <w:abstractNum w:abstractNumId="4">
    <w:multiLevelType w:val="hybridMultilevel"/>
    <w:lvl w:ilvl="0">
      <w:start w:val="6"/>
      <w:numFmt w:val="decimal"/>
      <w:lvlText w:val="%1"/>
      <w:lvlJc w:val="left"/>
      <w:pPr>
        <w:ind w:left="618" w:hanging="423"/>
        <w:jc w:val="left"/>
      </w:pPr>
      <w:rPr>
        <w:rFonts w:hint="default"/>
      </w:rPr>
    </w:lvl>
    <w:lvl w:ilvl="1">
      <w:start w:val="4"/>
      <w:numFmt w:val="decimal"/>
      <w:lvlText w:val="%1.%2"/>
      <w:lvlJc w:val="left"/>
      <w:pPr>
        <w:ind w:left="721" w:hanging="423"/>
        <w:jc w:val="left"/>
      </w:pPr>
      <w:rPr>
        <w:rFonts w:hint="default" w:ascii="宋体" w:hAnsi="宋体" w:eastAsia="宋体" w:cs="宋体"/>
        <w:w w:val="100"/>
        <w:sz w:val="21"/>
        <w:szCs w:val="21"/>
      </w:rPr>
    </w:lvl>
    <w:lvl w:ilvl="2">
      <w:start w:val="0"/>
      <w:numFmt w:val="bullet"/>
      <w:lvlText w:val="•"/>
      <w:lvlJc w:val="left"/>
      <w:pPr>
        <w:ind w:left="1010" w:hanging="423"/>
      </w:pPr>
      <w:rPr>
        <w:rFonts w:hint="default"/>
      </w:rPr>
    </w:lvl>
    <w:lvl w:ilvl="3">
      <w:start w:val="0"/>
      <w:numFmt w:val="bullet"/>
      <w:lvlText w:val="•"/>
      <w:lvlJc w:val="left"/>
      <w:pPr>
        <w:ind w:left="1300" w:hanging="423"/>
      </w:pPr>
      <w:rPr>
        <w:rFonts w:hint="default"/>
      </w:rPr>
    </w:lvl>
    <w:lvl w:ilvl="4">
      <w:start w:val="0"/>
      <w:numFmt w:val="bullet"/>
      <w:lvlText w:val="•"/>
      <w:lvlJc w:val="left"/>
      <w:pPr>
        <w:ind w:left="1591" w:hanging="423"/>
      </w:pPr>
      <w:rPr>
        <w:rFonts w:hint="default"/>
      </w:rPr>
    </w:lvl>
    <w:lvl w:ilvl="5">
      <w:start w:val="0"/>
      <w:numFmt w:val="bullet"/>
      <w:lvlText w:val="•"/>
      <w:lvlJc w:val="left"/>
      <w:pPr>
        <w:ind w:left="1881" w:hanging="423"/>
      </w:pPr>
      <w:rPr>
        <w:rFonts w:hint="default"/>
      </w:rPr>
    </w:lvl>
    <w:lvl w:ilvl="6">
      <w:start w:val="0"/>
      <w:numFmt w:val="bullet"/>
      <w:lvlText w:val="•"/>
      <w:lvlJc w:val="left"/>
      <w:pPr>
        <w:ind w:left="2171" w:hanging="423"/>
      </w:pPr>
      <w:rPr>
        <w:rFonts w:hint="default"/>
      </w:rPr>
    </w:lvl>
    <w:lvl w:ilvl="7">
      <w:start w:val="0"/>
      <w:numFmt w:val="bullet"/>
      <w:lvlText w:val="•"/>
      <w:lvlJc w:val="left"/>
      <w:pPr>
        <w:ind w:left="2462" w:hanging="423"/>
      </w:pPr>
      <w:rPr>
        <w:rFonts w:hint="default"/>
      </w:rPr>
    </w:lvl>
    <w:lvl w:ilvl="8">
      <w:start w:val="0"/>
      <w:numFmt w:val="bullet"/>
      <w:lvlText w:val="•"/>
      <w:lvlJc w:val="left"/>
      <w:pPr>
        <w:ind w:left="2752" w:hanging="423"/>
      </w:pPr>
      <w:rPr>
        <w:rFonts w:hint="default"/>
      </w:rPr>
    </w:lvl>
  </w:abstractNum>
  <w:abstractNum w:abstractNumId="3">
    <w:multiLevelType w:val="hybridMultilevel"/>
    <w:lvl w:ilvl="0">
      <w:start w:val="4"/>
      <w:numFmt w:val="decimal"/>
      <w:lvlText w:val="%1."/>
      <w:lvlJc w:val="left"/>
      <w:pPr>
        <w:ind w:left="422" w:hanging="317"/>
        <w:jc w:val="left"/>
      </w:pPr>
      <w:rPr>
        <w:rFonts w:hint="default" w:ascii="宋体" w:hAnsi="宋体" w:eastAsia="宋体" w:cs="宋体"/>
        <w:b/>
        <w:bCs/>
        <w:w w:val="99"/>
        <w:sz w:val="21"/>
        <w:szCs w:val="21"/>
      </w:rPr>
    </w:lvl>
    <w:lvl w:ilvl="1">
      <w:start w:val="1"/>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942" w:hanging="423"/>
      </w:pPr>
      <w:rPr>
        <w:rFonts w:hint="default"/>
      </w:rPr>
    </w:lvl>
    <w:lvl w:ilvl="3">
      <w:start w:val="0"/>
      <w:numFmt w:val="bullet"/>
      <w:lvlText w:val="•"/>
      <w:lvlJc w:val="left"/>
      <w:pPr>
        <w:ind w:left="1245" w:hanging="423"/>
      </w:pPr>
      <w:rPr>
        <w:rFonts w:hint="default"/>
      </w:rPr>
    </w:lvl>
    <w:lvl w:ilvl="4">
      <w:start w:val="0"/>
      <w:numFmt w:val="bullet"/>
      <w:lvlText w:val="•"/>
      <w:lvlJc w:val="left"/>
      <w:pPr>
        <w:ind w:left="1548" w:hanging="423"/>
      </w:pPr>
      <w:rPr>
        <w:rFonts w:hint="default"/>
      </w:rPr>
    </w:lvl>
    <w:lvl w:ilvl="5">
      <w:start w:val="0"/>
      <w:numFmt w:val="bullet"/>
      <w:lvlText w:val="•"/>
      <w:lvlJc w:val="left"/>
      <w:pPr>
        <w:ind w:left="1850" w:hanging="423"/>
      </w:pPr>
      <w:rPr>
        <w:rFonts w:hint="default"/>
      </w:rPr>
    </w:lvl>
    <w:lvl w:ilvl="6">
      <w:start w:val="0"/>
      <w:numFmt w:val="bullet"/>
      <w:lvlText w:val="•"/>
      <w:lvlJc w:val="left"/>
      <w:pPr>
        <w:ind w:left="2153" w:hanging="423"/>
      </w:pPr>
      <w:rPr>
        <w:rFonts w:hint="default"/>
      </w:rPr>
    </w:lvl>
    <w:lvl w:ilvl="7">
      <w:start w:val="0"/>
      <w:numFmt w:val="bullet"/>
      <w:lvlText w:val="•"/>
      <w:lvlJc w:val="left"/>
      <w:pPr>
        <w:ind w:left="2456" w:hanging="423"/>
      </w:pPr>
      <w:rPr>
        <w:rFonts w:hint="default"/>
      </w:rPr>
    </w:lvl>
    <w:lvl w:ilvl="8">
      <w:start w:val="0"/>
      <w:numFmt w:val="bullet"/>
      <w:lvlText w:val="•"/>
      <w:lvlJc w:val="left"/>
      <w:pPr>
        <w:ind w:left="2758" w:hanging="423"/>
      </w:pPr>
      <w:rPr>
        <w:rFonts w:hint="default"/>
      </w:rPr>
    </w:lvl>
  </w:abstractNum>
  <w:abstractNum w:abstractNumId="2">
    <w:multiLevelType w:val="hybridMultilevel"/>
    <w:lvl w:ilvl="0">
      <w:start w:val="3"/>
      <w:numFmt w:val="decimal"/>
      <w:lvlText w:val="%1"/>
      <w:lvlJc w:val="left"/>
      <w:pPr>
        <w:ind w:left="633" w:hanging="423"/>
        <w:jc w:val="left"/>
      </w:pPr>
      <w:rPr>
        <w:rFonts w:hint="default"/>
      </w:rPr>
    </w:lvl>
    <w:lvl w:ilvl="1">
      <w:start w:val="5"/>
      <w:numFmt w:val="decimal"/>
      <w:lvlText w:val="%1.%2"/>
      <w:lvlJc w:val="left"/>
      <w:pPr>
        <w:ind w:left="633" w:hanging="423"/>
        <w:jc w:val="left"/>
      </w:pPr>
      <w:rPr>
        <w:rFonts w:hint="default" w:ascii="宋体" w:hAnsi="宋体" w:eastAsia="宋体" w:cs="宋体"/>
        <w:w w:val="100"/>
        <w:sz w:val="21"/>
        <w:szCs w:val="21"/>
      </w:rPr>
    </w:lvl>
    <w:lvl w:ilvl="2">
      <w:start w:val="0"/>
      <w:numFmt w:val="bullet"/>
      <w:lvlText w:val="•"/>
      <w:lvlJc w:val="left"/>
      <w:pPr>
        <w:ind w:left="1184" w:hanging="423"/>
      </w:pPr>
      <w:rPr>
        <w:rFonts w:hint="default"/>
      </w:rPr>
    </w:lvl>
    <w:lvl w:ilvl="3">
      <w:start w:val="0"/>
      <w:numFmt w:val="bullet"/>
      <w:lvlText w:val="•"/>
      <w:lvlJc w:val="left"/>
      <w:pPr>
        <w:ind w:left="1457" w:hanging="423"/>
      </w:pPr>
      <w:rPr>
        <w:rFonts w:hint="default"/>
      </w:rPr>
    </w:lvl>
    <w:lvl w:ilvl="4">
      <w:start w:val="0"/>
      <w:numFmt w:val="bullet"/>
      <w:lvlText w:val="•"/>
      <w:lvlJc w:val="left"/>
      <w:pPr>
        <w:ind w:left="1729" w:hanging="423"/>
      </w:pPr>
      <w:rPr>
        <w:rFonts w:hint="default"/>
      </w:rPr>
    </w:lvl>
    <w:lvl w:ilvl="5">
      <w:start w:val="0"/>
      <w:numFmt w:val="bullet"/>
      <w:lvlText w:val="•"/>
      <w:lvlJc w:val="left"/>
      <w:pPr>
        <w:ind w:left="2002" w:hanging="423"/>
      </w:pPr>
      <w:rPr>
        <w:rFonts w:hint="default"/>
      </w:rPr>
    </w:lvl>
    <w:lvl w:ilvl="6">
      <w:start w:val="0"/>
      <w:numFmt w:val="bullet"/>
      <w:lvlText w:val="•"/>
      <w:lvlJc w:val="left"/>
      <w:pPr>
        <w:ind w:left="2274" w:hanging="423"/>
      </w:pPr>
      <w:rPr>
        <w:rFonts w:hint="default"/>
      </w:rPr>
    </w:lvl>
    <w:lvl w:ilvl="7">
      <w:start w:val="0"/>
      <w:numFmt w:val="bullet"/>
      <w:lvlText w:val="•"/>
      <w:lvlJc w:val="left"/>
      <w:pPr>
        <w:ind w:left="2546" w:hanging="423"/>
      </w:pPr>
      <w:rPr>
        <w:rFonts w:hint="default"/>
      </w:rPr>
    </w:lvl>
    <w:lvl w:ilvl="8">
      <w:start w:val="0"/>
      <w:numFmt w:val="bullet"/>
      <w:lvlText w:val="•"/>
      <w:lvlJc w:val="left"/>
      <w:pPr>
        <w:ind w:left="2819" w:hanging="423"/>
      </w:pPr>
      <w:rPr>
        <w:rFonts w:hint="default"/>
      </w:rPr>
    </w:lvl>
  </w:abstractNum>
  <w:abstractNum w:abstractNumId="1">
    <w:multiLevelType w:val="hybridMultilevel"/>
    <w:lvl w:ilvl="0">
      <w:start w:val="1"/>
      <w:numFmt w:val="decimal"/>
      <w:lvlText w:val="%1."/>
      <w:lvlJc w:val="left"/>
      <w:pPr>
        <w:ind w:left="517" w:hanging="318"/>
        <w:jc w:val="left"/>
      </w:pPr>
      <w:rPr>
        <w:rFonts w:hint="default" w:ascii="宋体" w:hAnsi="宋体" w:eastAsia="宋体" w:cs="宋体"/>
        <w:b/>
        <w:bCs/>
        <w:w w:val="99"/>
        <w:sz w:val="21"/>
        <w:szCs w:val="21"/>
      </w:rPr>
    </w:lvl>
    <w:lvl w:ilvl="1">
      <w:start w:val="1"/>
      <w:numFmt w:val="decimal"/>
      <w:lvlText w:val="%1.%2"/>
      <w:lvlJc w:val="left"/>
      <w:pPr>
        <w:ind w:left="726" w:hanging="423"/>
        <w:jc w:val="left"/>
      </w:pPr>
      <w:rPr>
        <w:rFonts w:hint="default" w:ascii="宋体" w:hAnsi="宋体" w:eastAsia="宋体" w:cs="宋体"/>
        <w:w w:val="100"/>
        <w:sz w:val="21"/>
        <w:szCs w:val="21"/>
      </w:rPr>
    </w:lvl>
    <w:lvl w:ilvl="2">
      <w:start w:val="0"/>
      <w:numFmt w:val="bullet"/>
      <w:lvlText w:val="•"/>
      <w:lvlJc w:val="left"/>
      <w:pPr>
        <w:ind w:left="1000" w:hanging="423"/>
      </w:pPr>
      <w:rPr>
        <w:rFonts w:hint="default"/>
      </w:rPr>
    </w:lvl>
    <w:lvl w:ilvl="3">
      <w:start w:val="0"/>
      <w:numFmt w:val="bullet"/>
      <w:lvlText w:val="•"/>
      <w:lvlJc w:val="left"/>
      <w:pPr>
        <w:ind w:left="1280" w:hanging="423"/>
      </w:pPr>
      <w:rPr>
        <w:rFonts w:hint="default"/>
      </w:rPr>
    </w:lvl>
    <w:lvl w:ilvl="4">
      <w:start w:val="0"/>
      <w:numFmt w:val="bullet"/>
      <w:lvlText w:val="•"/>
      <w:lvlJc w:val="left"/>
      <w:pPr>
        <w:ind w:left="1561" w:hanging="423"/>
      </w:pPr>
      <w:rPr>
        <w:rFonts w:hint="default"/>
      </w:rPr>
    </w:lvl>
    <w:lvl w:ilvl="5">
      <w:start w:val="0"/>
      <w:numFmt w:val="bullet"/>
      <w:lvlText w:val="•"/>
      <w:lvlJc w:val="left"/>
      <w:pPr>
        <w:ind w:left="1841" w:hanging="423"/>
      </w:pPr>
      <w:rPr>
        <w:rFonts w:hint="default"/>
      </w:rPr>
    </w:lvl>
    <w:lvl w:ilvl="6">
      <w:start w:val="0"/>
      <w:numFmt w:val="bullet"/>
      <w:lvlText w:val="•"/>
      <w:lvlJc w:val="left"/>
      <w:pPr>
        <w:ind w:left="2122" w:hanging="423"/>
      </w:pPr>
      <w:rPr>
        <w:rFonts w:hint="default"/>
      </w:rPr>
    </w:lvl>
    <w:lvl w:ilvl="7">
      <w:start w:val="0"/>
      <w:numFmt w:val="bullet"/>
      <w:lvlText w:val="•"/>
      <w:lvlJc w:val="left"/>
      <w:pPr>
        <w:ind w:left="2402" w:hanging="423"/>
      </w:pPr>
      <w:rPr>
        <w:rFonts w:hint="default"/>
      </w:rPr>
    </w:lvl>
    <w:lvl w:ilvl="8">
      <w:start w:val="0"/>
      <w:numFmt w:val="bullet"/>
      <w:lvlText w:val="•"/>
      <w:lvlJc w:val="left"/>
      <w:pPr>
        <w:ind w:left="2683"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152" w:hanging="399"/>
      </w:pPr>
      <w:rPr>
        <w:rFonts w:hint="default"/>
      </w:rPr>
    </w:lvl>
    <w:lvl w:ilvl="2">
      <w:start w:val="0"/>
      <w:numFmt w:val="bullet"/>
      <w:lvlText w:val="•"/>
      <w:lvlJc w:val="left"/>
      <w:pPr>
        <w:ind w:left="3045" w:hanging="399"/>
      </w:pPr>
      <w:rPr>
        <w:rFonts w:hint="default"/>
      </w:rPr>
    </w:lvl>
    <w:lvl w:ilvl="3">
      <w:start w:val="0"/>
      <w:numFmt w:val="bullet"/>
      <w:lvlText w:val="•"/>
      <w:lvlJc w:val="left"/>
      <w:pPr>
        <w:ind w:left="3937" w:hanging="399"/>
      </w:pPr>
      <w:rPr>
        <w:rFonts w:hint="default"/>
      </w:rPr>
    </w:lvl>
    <w:lvl w:ilvl="4">
      <w:start w:val="0"/>
      <w:numFmt w:val="bullet"/>
      <w:lvlText w:val="•"/>
      <w:lvlJc w:val="left"/>
      <w:pPr>
        <w:ind w:left="4830" w:hanging="399"/>
      </w:pPr>
      <w:rPr>
        <w:rFonts w:hint="default"/>
      </w:rPr>
    </w:lvl>
    <w:lvl w:ilvl="5">
      <w:start w:val="0"/>
      <w:numFmt w:val="bullet"/>
      <w:lvlText w:val="•"/>
      <w:lvlJc w:val="left"/>
      <w:pPr>
        <w:ind w:left="5723" w:hanging="399"/>
      </w:pPr>
      <w:rPr>
        <w:rFonts w:hint="default"/>
      </w:rPr>
    </w:lvl>
    <w:lvl w:ilvl="6">
      <w:start w:val="0"/>
      <w:numFmt w:val="bullet"/>
      <w:lvlText w:val="•"/>
      <w:lvlJc w:val="left"/>
      <w:pPr>
        <w:ind w:left="6615" w:hanging="399"/>
      </w:pPr>
      <w:rPr>
        <w:rFonts w:hint="default"/>
      </w:rPr>
    </w:lvl>
    <w:lvl w:ilvl="7">
      <w:start w:val="0"/>
      <w:numFmt w:val="bullet"/>
      <w:lvlText w:val="•"/>
      <w:lvlJc w:val="left"/>
      <w:pPr>
        <w:ind w:left="7508" w:hanging="399"/>
      </w:pPr>
      <w:rPr>
        <w:rFonts w:hint="default"/>
      </w:rPr>
    </w:lvl>
    <w:lvl w:ilvl="8">
      <w:start w:val="0"/>
      <w:numFmt w:val="bullet"/>
      <w:lvlText w:val="•"/>
      <w:lvlJc w:val="left"/>
      <w:pPr>
        <w:ind w:left="8401"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dc:subject>附件17</dc:subject>
  <dc:title>安邦人寿个险报备材料</dc:title>
  <dcterms:created xsi:type="dcterms:W3CDTF">2018-10-20T01:27:29Z</dcterms:created>
  <dcterms:modified xsi:type="dcterms:W3CDTF">2018-10-20T01:27:29Z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Microsoft® Office Word 2007</vt:lpwstr>
  </property>
  <property fmtid="{D5CDD505-2E9C-101B-9397-08002B2CF9AE}" pid="4" name="LastSaved">
    <vt:filetime>2018-10-19T00:00:00Z</vt:filetime>
  </property>
</Properties>
</file>