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22"/>
        <w:ind w:right="216"/>
        <w:jc w:val="right"/>
      </w:pPr>
      <w:r>
        <w:rPr/>
        <w:drawing>
          <wp:anchor distT="0" distB="0" distL="0" distR="0" allowOverlap="1" layoutInCell="1" locked="0" behindDoc="0" simplePos="0" relativeHeight="0">
            <wp:simplePos x="0" y="0"/>
            <wp:positionH relativeFrom="page">
              <wp:posOffset>5299075</wp:posOffset>
            </wp:positionH>
            <wp:positionV relativeFrom="paragraph">
              <wp:posOffset>220137</wp:posOffset>
            </wp:positionV>
            <wp:extent cx="723900" cy="72390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anchor>
        </w:drawing>
      </w:r>
      <w:r>
        <w:rPr/>
        <w:t>阳光人寿[2014]疾病保险 075 号</w:t>
      </w:r>
    </w:p>
    <w:p>
      <w:pPr>
        <w:pStyle w:val="BodyText"/>
        <w:ind w:right="636"/>
        <w:jc w:val="right"/>
      </w:pPr>
      <w:r>
        <w:rPr/>
        <w:t>请扫描以查询验证条款</w:t>
      </w:r>
    </w:p>
    <w:p>
      <w:pPr>
        <w:pStyle w:val="BodyText"/>
        <w:rPr>
          <w:sz w:val="20"/>
        </w:rPr>
      </w:pPr>
    </w:p>
    <w:p>
      <w:pPr>
        <w:pStyle w:val="Heading1"/>
        <w:spacing w:before="140"/>
      </w:pPr>
      <w:r>
        <w:rPr/>
        <w:t>阳光人寿保险股份有限公司</w:t>
      </w:r>
    </w:p>
    <w:p>
      <w:pPr>
        <w:spacing w:before="306"/>
        <w:ind w:left="295" w:right="194" w:firstLine="0"/>
        <w:jc w:val="center"/>
        <w:rPr>
          <w:rFonts w:ascii="微软雅黑" w:eastAsia="微软雅黑" w:hint="eastAsia"/>
          <w:b/>
          <w:sz w:val="32"/>
        </w:rPr>
      </w:pPr>
      <w:r>
        <w:rPr>
          <w:rFonts w:ascii="微软雅黑" w:eastAsia="微软雅黑" w:hint="eastAsia"/>
          <w:b/>
          <w:sz w:val="32"/>
        </w:rPr>
        <w:t>阳光人寿关爱 e 生重大疾病保险 C 款条款</w:t>
      </w:r>
    </w:p>
    <w:p>
      <w:pPr>
        <w:pStyle w:val="BodyText"/>
        <w:rPr>
          <w:rFonts w:ascii="微软雅黑"/>
          <w:b/>
          <w:sz w:val="20"/>
        </w:rPr>
      </w:pPr>
    </w:p>
    <w:p>
      <w:pPr>
        <w:pStyle w:val="BodyText"/>
        <w:spacing w:before="8"/>
        <w:rPr>
          <w:rFonts w:ascii="微软雅黑"/>
          <w:b/>
          <w:sz w:val="15"/>
        </w:rPr>
      </w:pPr>
      <w:r>
        <w:rPr/>
        <w:pict>
          <v:line style="position:absolute;mso-position-horizontal-relative:page;mso-position-vertical-relative:paragraph;z-index:1048;mso-wrap-distance-left:0;mso-wrap-distance-right:0" from="61.549999pt,15.746338pt" to="523.549999pt,15.746338pt" stroked="true" strokeweight=".75pt" strokecolor="#000000">
            <v:stroke dashstyle="solid"/>
            <w10:wrap type="topAndBottom"/>
          </v:line>
        </w:pict>
      </w:r>
    </w:p>
    <w:p>
      <w:pPr>
        <w:pStyle w:val="BodyText"/>
        <w:spacing w:before="1"/>
        <w:rPr>
          <w:rFonts w:ascii="微软雅黑"/>
          <w:b/>
          <w:sz w:val="54"/>
        </w:rPr>
      </w:pPr>
    </w:p>
    <w:p>
      <w:pPr>
        <w:spacing w:before="0"/>
        <w:ind w:left="293" w:right="194" w:firstLine="0"/>
        <w:jc w:val="center"/>
        <w:rPr>
          <w:rFonts w:ascii="微软雅黑" w:eastAsia="微软雅黑" w:hint="eastAsia"/>
          <w:b/>
          <w:sz w:val="32"/>
        </w:rPr>
      </w:pPr>
      <w:r>
        <w:rPr>
          <w:rFonts w:ascii="微软雅黑" w:eastAsia="微软雅黑" w:hint="eastAsia"/>
          <w:b/>
          <w:sz w:val="32"/>
        </w:rPr>
        <w:t>阅  读  指 引</w:t>
      </w:r>
    </w:p>
    <w:p>
      <w:pPr>
        <w:pStyle w:val="Heading3"/>
        <w:spacing w:before="96"/>
        <w:ind w:left="293" w:right="194" w:firstLine="0"/>
        <w:jc w:val="center"/>
        <w:rPr>
          <w:rFonts w:ascii="Times New Roman"/>
        </w:rPr>
      </w:pPr>
      <w:r>
        <w:rPr>
          <w:rFonts w:ascii="Times New Roman"/>
        </w:rPr>
        <w:t>WDDB03-1</w:t>
      </w:r>
    </w:p>
    <w:p>
      <w:pPr>
        <w:pStyle w:val="BodyText"/>
        <w:spacing w:line="261" w:lineRule="auto" w:before="83"/>
        <w:ind w:left="1791" w:right="993" w:hanging="219"/>
      </w:pPr>
      <w:r>
        <w:rPr>
          <w:spacing w:val="-149"/>
          <w:w w:val="100"/>
        </w:rPr>
        <w:t>条</w:t>
      </w:r>
      <w:r>
        <w:rPr>
          <w:spacing w:val="-63"/>
          <w:w w:val="100"/>
          <w:position w:val="-7"/>
        </w:rPr>
        <w:t>．</w:t>
      </w:r>
      <w:r>
        <w:rPr>
          <w:spacing w:val="-149"/>
          <w:w w:val="100"/>
        </w:rPr>
        <w:t>款</w:t>
      </w:r>
      <w:r>
        <w:rPr>
          <w:spacing w:val="-63"/>
          <w:w w:val="100"/>
          <w:position w:val="-7"/>
        </w:rPr>
        <w:t>．</w:t>
      </w:r>
      <w:r>
        <w:rPr>
          <w:spacing w:val="-152"/>
          <w:w w:val="100"/>
        </w:rPr>
        <w:t>是</w:t>
      </w:r>
      <w:r>
        <w:rPr>
          <w:spacing w:val="-63"/>
          <w:w w:val="100"/>
          <w:position w:val="-7"/>
        </w:rPr>
        <w:t>．</w:t>
      </w:r>
      <w:r>
        <w:rPr>
          <w:spacing w:val="-149"/>
          <w:w w:val="100"/>
        </w:rPr>
        <w:t>保</w:t>
      </w:r>
      <w:r>
        <w:rPr>
          <w:spacing w:val="-63"/>
          <w:w w:val="100"/>
          <w:position w:val="-7"/>
        </w:rPr>
        <w:t>．</w:t>
      </w:r>
      <w:r>
        <w:rPr>
          <w:spacing w:val="-152"/>
          <w:w w:val="100"/>
        </w:rPr>
        <w:t>险</w:t>
      </w:r>
      <w:r>
        <w:rPr>
          <w:spacing w:val="-63"/>
          <w:w w:val="100"/>
          <w:position w:val="-7"/>
        </w:rPr>
        <w:t>．</w:t>
      </w:r>
      <w:r>
        <w:rPr>
          <w:spacing w:val="-149"/>
          <w:w w:val="100"/>
        </w:rPr>
        <w:t>合</w:t>
      </w:r>
      <w:r>
        <w:rPr>
          <w:spacing w:val="-63"/>
          <w:w w:val="100"/>
          <w:position w:val="-7"/>
        </w:rPr>
        <w:t>．</w:t>
      </w:r>
      <w:r>
        <w:rPr>
          <w:spacing w:val="-151"/>
          <w:w w:val="100"/>
        </w:rPr>
        <w:t>同</w:t>
      </w:r>
      <w:r>
        <w:rPr>
          <w:spacing w:val="-63"/>
          <w:w w:val="100"/>
          <w:position w:val="-7"/>
        </w:rPr>
        <w:t>．</w:t>
      </w:r>
      <w:r>
        <w:rPr>
          <w:spacing w:val="-149"/>
          <w:w w:val="100"/>
        </w:rPr>
        <w:t>的</w:t>
      </w:r>
      <w:r>
        <w:rPr>
          <w:spacing w:val="-63"/>
          <w:w w:val="100"/>
          <w:position w:val="-7"/>
        </w:rPr>
        <w:t>．</w:t>
      </w:r>
      <w:r>
        <w:rPr>
          <w:spacing w:val="-151"/>
          <w:w w:val="100"/>
        </w:rPr>
        <w:t>重</w:t>
      </w:r>
      <w:r>
        <w:rPr>
          <w:spacing w:val="-63"/>
          <w:w w:val="100"/>
          <w:position w:val="-7"/>
        </w:rPr>
        <w:t>．</w:t>
      </w:r>
      <w:r>
        <w:rPr>
          <w:spacing w:val="-149"/>
          <w:w w:val="100"/>
        </w:rPr>
        <w:t>要</w:t>
      </w:r>
      <w:r>
        <w:rPr>
          <w:spacing w:val="-63"/>
          <w:w w:val="100"/>
          <w:position w:val="-7"/>
        </w:rPr>
        <w:t>．</w:t>
      </w:r>
      <w:r>
        <w:rPr>
          <w:spacing w:val="-151"/>
          <w:w w:val="100"/>
        </w:rPr>
        <w:t>内</w:t>
      </w:r>
      <w:r>
        <w:rPr>
          <w:spacing w:val="-63"/>
          <w:w w:val="100"/>
          <w:position w:val="-7"/>
        </w:rPr>
        <w:t>．</w:t>
      </w:r>
      <w:r>
        <w:rPr>
          <w:spacing w:val="-149"/>
          <w:w w:val="100"/>
        </w:rPr>
        <w:t>容</w:t>
      </w:r>
      <w:r>
        <w:rPr>
          <w:spacing w:val="-63"/>
          <w:w w:val="100"/>
          <w:position w:val="-7"/>
        </w:rPr>
        <w:t>．</w:t>
      </w:r>
      <w:r>
        <w:rPr>
          <w:spacing w:val="-149"/>
          <w:w w:val="100"/>
        </w:rPr>
        <w:t>，</w:t>
      </w:r>
      <w:r>
        <w:rPr>
          <w:spacing w:val="-63"/>
          <w:w w:val="100"/>
          <w:position w:val="-7"/>
        </w:rPr>
        <w:t>．</w:t>
      </w:r>
      <w:r>
        <w:rPr>
          <w:spacing w:val="-151"/>
          <w:w w:val="100"/>
        </w:rPr>
        <w:t>为</w:t>
      </w:r>
      <w:r>
        <w:rPr>
          <w:spacing w:val="-63"/>
          <w:w w:val="100"/>
          <w:position w:val="-7"/>
        </w:rPr>
        <w:t>．</w:t>
      </w:r>
      <w:r>
        <w:rPr>
          <w:spacing w:val="-149"/>
          <w:w w:val="100"/>
        </w:rPr>
        <w:t>充</w:t>
      </w:r>
      <w:r>
        <w:rPr>
          <w:spacing w:val="-63"/>
          <w:w w:val="100"/>
          <w:position w:val="-7"/>
        </w:rPr>
        <w:t>．</w:t>
      </w:r>
      <w:r>
        <w:rPr>
          <w:spacing w:val="-152"/>
          <w:w w:val="100"/>
        </w:rPr>
        <w:t>分</w:t>
      </w:r>
      <w:r>
        <w:rPr>
          <w:spacing w:val="-63"/>
          <w:w w:val="100"/>
          <w:position w:val="-7"/>
        </w:rPr>
        <w:t>．</w:t>
      </w:r>
      <w:r>
        <w:rPr>
          <w:spacing w:val="-149"/>
          <w:w w:val="100"/>
        </w:rPr>
        <w:t>保</w:t>
      </w:r>
      <w:r>
        <w:rPr>
          <w:spacing w:val="-63"/>
          <w:w w:val="100"/>
          <w:position w:val="-7"/>
        </w:rPr>
        <w:t>．</w:t>
      </w:r>
      <w:r>
        <w:rPr>
          <w:spacing w:val="-152"/>
          <w:w w:val="100"/>
        </w:rPr>
        <w:t>障</w:t>
      </w:r>
      <w:r>
        <w:rPr>
          <w:spacing w:val="-63"/>
          <w:w w:val="100"/>
          <w:position w:val="-7"/>
        </w:rPr>
        <w:t>．</w:t>
      </w:r>
      <w:r>
        <w:rPr>
          <w:spacing w:val="-149"/>
          <w:w w:val="100"/>
        </w:rPr>
        <w:t>您</w:t>
      </w:r>
      <w:r>
        <w:rPr>
          <w:spacing w:val="-63"/>
          <w:w w:val="100"/>
          <w:position w:val="-7"/>
        </w:rPr>
        <w:t>．</w:t>
      </w:r>
      <w:r>
        <w:rPr>
          <w:spacing w:val="-151"/>
          <w:w w:val="100"/>
        </w:rPr>
        <w:t>的</w:t>
      </w:r>
      <w:r>
        <w:rPr>
          <w:spacing w:val="-63"/>
          <w:w w:val="100"/>
          <w:position w:val="-7"/>
        </w:rPr>
        <w:t>．</w:t>
      </w:r>
      <w:r>
        <w:rPr>
          <w:spacing w:val="-149"/>
          <w:w w:val="100"/>
        </w:rPr>
        <w:t>权</w:t>
      </w:r>
      <w:r>
        <w:rPr>
          <w:spacing w:val="-63"/>
          <w:w w:val="100"/>
          <w:position w:val="-7"/>
        </w:rPr>
        <w:t>．</w:t>
      </w:r>
      <w:r>
        <w:rPr>
          <w:spacing w:val="-151"/>
          <w:w w:val="100"/>
        </w:rPr>
        <w:t>益</w:t>
      </w:r>
      <w:r>
        <w:rPr>
          <w:spacing w:val="-63"/>
          <w:w w:val="100"/>
          <w:position w:val="-7"/>
        </w:rPr>
        <w:t>．</w:t>
      </w:r>
      <w:r>
        <w:rPr>
          <w:spacing w:val="-149"/>
          <w:w w:val="100"/>
        </w:rPr>
        <w:t>，</w:t>
      </w:r>
      <w:r>
        <w:rPr>
          <w:spacing w:val="-63"/>
          <w:w w:val="100"/>
          <w:position w:val="-7"/>
        </w:rPr>
        <w:t>．</w:t>
      </w:r>
      <w:r>
        <w:rPr>
          <w:spacing w:val="-149"/>
          <w:w w:val="100"/>
        </w:rPr>
        <w:t>请</w:t>
      </w:r>
      <w:r>
        <w:rPr>
          <w:spacing w:val="-63"/>
          <w:w w:val="100"/>
          <w:position w:val="-7"/>
        </w:rPr>
        <w:t>．</w:t>
      </w:r>
      <w:r>
        <w:rPr>
          <w:spacing w:val="-151"/>
          <w:w w:val="100"/>
        </w:rPr>
        <w:t>您</w:t>
      </w:r>
      <w:r>
        <w:rPr>
          <w:spacing w:val="-63"/>
          <w:w w:val="100"/>
          <w:position w:val="-7"/>
        </w:rPr>
        <w:t>．</w:t>
      </w:r>
      <w:r>
        <w:rPr>
          <w:spacing w:val="-149"/>
          <w:w w:val="100"/>
        </w:rPr>
        <w:t>仔</w:t>
      </w:r>
      <w:r>
        <w:rPr>
          <w:spacing w:val="-63"/>
          <w:w w:val="100"/>
          <w:position w:val="-7"/>
        </w:rPr>
        <w:t>．</w:t>
      </w:r>
      <w:r>
        <w:rPr>
          <w:spacing w:val="-152"/>
          <w:w w:val="100"/>
        </w:rPr>
        <w:t>细</w:t>
      </w:r>
      <w:r>
        <w:rPr>
          <w:spacing w:val="-63"/>
          <w:w w:val="100"/>
          <w:position w:val="-7"/>
        </w:rPr>
        <w:t>．</w:t>
      </w:r>
      <w:r>
        <w:rPr>
          <w:spacing w:val="-149"/>
          <w:w w:val="100"/>
        </w:rPr>
        <w:t>阅</w:t>
      </w:r>
      <w:r>
        <w:rPr>
          <w:spacing w:val="-63"/>
          <w:w w:val="100"/>
          <w:position w:val="-7"/>
        </w:rPr>
        <w:t>．</w:t>
      </w:r>
      <w:r>
        <w:rPr>
          <w:spacing w:val="-152"/>
          <w:w w:val="100"/>
        </w:rPr>
        <w:t>读</w:t>
      </w:r>
      <w:r>
        <w:rPr>
          <w:spacing w:val="-63"/>
          <w:w w:val="100"/>
          <w:position w:val="-7"/>
        </w:rPr>
        <w:t>．</w:t>
      </w:r>
      <w:r>
        <w:rPr>
          <w:spacing w:val="-149"/>
          <w:w w:val="100"/>
        </w:rPr>
        <w:t>本</w:t>
      </w:r>
      <w:r>
        <w:rPr>
          <w:spacing w:val="-63"/>
          <w:w w:val="100"/>
          <w:position w:val="-7"/>
        </w:rPr>
        <w:t>．</w:t>
      </w:r>
      <w:r>
        <w:rPr>
          <w:spacing w:val="-152"/>
          <w:w w:val="100"/>
        </w:rPr>
        <w:t>条</w:t>
      </w:r>
      <w:r>
        <w:rPr>
          <w:spacing w:val="-63"/>
          <w:w w:val="100"/>
          <w:position w:val="-7"/>
        </w:rPr>
        <w:t>．</w:t>
      </w:r>
      <w:r>
        <w:rPr>
          <w:spacing w:val="-149"/>
          <w:w w:val="100"/>
        </w:rPr>
        <w:t>款</w:t>
      </w:r>
      <w:r>
        <w:rPr>
          <w:spacing w:val="-63"/>
          <w:w w:val="100"/>
          <w:position w:val="-7"/>
        </w:rPr>
        <w:t>．</w:t>
      </w:r>
      <w:r>
        <w:rPr>
          <w:spacing w:val="-151"/>
          <w:w w:val="100"/>
        </w:rPr>
        <w:t>。</w:t>
      </w:r>
      <w:r>
        <w:rPr>
          <w:w w:val="100"/>
          <w:position w:val="-7"/>
        </w:rPr>
        <w:t>．</w:t>
      </w:r>
      <w:r>
        <w:rPr>
          <w:spacing w:val="-149"/>
          <w:w w:val="100"/>
        </w:rPr>
        <w:t>本</w:t>
      </w:r>
      <w:r>
        <w:rPr>
          <w:spacing w:val="-63"/>
          <w:w w:val="100"/>
          <w:position w:val="-7"/>
        </w:rPr>
        <w:t>．</w:t>
      </w:r>
      <w:r>
        <w:rPr>
          <w:spacing w:val="-149"/>
          <w:w w:val="100"/>
        </w:rPr>
        <w:t>阅</w:t>
      </w:r>
      <w:r>
        <w:rPr>
          <w:spacing w:val="-63"/>
          <w:w w:val="100"/>
          <w:position w:val="-7"/>
        </w:rPr>
        <w:t>．</w:t>
      </w:r>
      <w:r>
        <w:rPr>
          <w:spacing w:val="-152"/>
          <w:w w:val="100"/>
        </w:rPr>
        <w:t>读</w:t>
      </w:r>
      <w:r>
        <w:rPr>
          <w:spacing w:val="-63"/>
          <w:w w:val="100"/>
          <w:position w:val="-7"/>
        </w:rPr>
        <w:t>．</w:t>
      </w:r>
      <w:r>
        <w:rPr>
          <w:spacing w:val="-149"/>
          <w:w w:val="100"/>
        </w:rPr>
        <w:t>指</w:t>
      </w:r>
      <w:r>
        <w:rPr>
          <w:spacing w:val="-63"/>
          <w:w w:val="100"/>
          <w:position w:val="-7"/>
        </w:rPr>
        <w:t>．</w:t>
      </w:r>
      <w:r>
        <w:rPr>
          <w:spacing w:val="-152"/>
          <w:w w:val="100"/>
        </w:rPr>
        <w:t>引</w:t>
      </w:r>
      <w:r>
        <w:rPr>
          <w:spacing w:val="-63"/>
          <w:w w:val="100"/>
          <w:position w:val="-7"/>
        </w:rPr>
        <w:t>．</w:t>
      </w:r>
      <w:r>
        <w:rPr>
          <w:spacing w:val="-149"/>
          <w:w w:val="100"/>
        </w:rPr>
        <w:t>有</w:t>
      </w:r>
      <w:r>
        <w:rPr>
          <w:spacing w:val="-63"/>
          <w:w w:val="100"/>
          <w:position w:val="-7"/>
        </w:rPr>
        <w:t>．</w:t>
      </w:r>
      <w:r>
        <w:rPr>
          <w:spacing w:val="-151"/>
          <w:w w:val="100"/>
        </w:rPr>
        <w:t>助</w:t>
      </w:r>
      <w:r>
        <w:rPr>
          <w:spacing w:val="-63"/>
          <w:w w:val="100"/>
          <w:position w:val="-7"/>
        </w:rPr>
        <w:t>．</w:t>
      </w:r>
      <w:r>
        <w:rPr>
          <w:spacing w:val="-149"/>
          <w:w w:val="100"/>
        </w:rPr>
        <w:t>于</w:t>
      </w:r>
      <w:r>
        <w:rPr>
          <w:spacing w:val="-63"/>
          <w:w w:val="100"/>
          <w:position w:val="-7"/>
        </w:rPr>
        <w:t>．</w:t>
      </w:r>
      <w:r>
        <w:rPr>
          <w:spacing w:val="-151"/>
          <w:w w:val="100"/>
        </w:rPr>
        <w:t>您</w:t>
      </w:r>
      <w:r>
        <w:rPr>
          <w:spacing w:val="-63"/>
          <w:w w:val="100"/>
          <w:position w:val="-7"/>
        </w:rPr>
        <w:t>．</w:t>
      </w:r>
      <w:r>
        <w:rPr>
          <w:spacing w:val="-149"/>
          <w:w w:val="100"/>
        </w:rPr>
        <w:t>理</w:t>
      </w:r>
      <w:r>
        <w:rPr>
          <w:spacing w:val="-63"/>
          <w:w w:val="100"/>
          <w:position w:val="-7"/>
        </w:rPr>
        <w:t>．</w:t>
      </w:r>
      <w:r>
        <w:rPr>
          <w:spacing w:val="-151"/>
          <w:w w:val="100"/>
        </w:rPr>
        <w:t>解</w:t>
      </w:r>
      <w:r>
        <w:rPr>
          <w:spacing w:val="-63"/>
          <w:w w:val="100"/>
          <w:position w:val="-7"/>
        </w:rPr>
        <w:t>．</w:t>
      </w:r>
      <w:r>
        <w:rPr>
          <w:spacing w:val="-149"/>
          <w:w w:val="100"/>
        </w:rPr>
        <w:t>条</w:t>
      </w:r>
      <w:r>
        <w:rPr>
          <w:spacing w:val="-63"/>
          <w:w w:val="100"/>
          <w:position w:val="-7"/>
        </w:rPr>
        <w:t>．</w:t>
      </w:r>
      <w:r>
        <w:rPr>
          <w:spacing w:val="-149"/>
          <w:w w:val="100"/>
        </w:rPr>
        <w:t>款</w:t>
      </w:r>
      <w:r>
        <w:rPr>
          <w:spacing w:val="-63"/>
          <w:w w:val="100"/>
          <w:position w:val="-7"/>
        </w:rPr>
        <w:t>．</w:t>
      </w:r>
      <w:r>
        <w:rPr>
          <w:spacing w:val="-151"/>
          <w:w w:val="100"/>
        </w:rPr>
        <w:t>，</w:t>
      </w:r>
      <w:r>
        <w:rPr>
          <w:spacing w:val="-63"/>
          <w:w w:val="100"/>
          <w:position w:val="-7"/>
        </w:rPr>
        <w:t>．</w:t>
      </w:r>
      <w:r>
        <w:rPr>
          <w:spacing w:val="-149"/>
          <w:w w:val="100"/>
        </w:rPr>
        <w:t>对</w:t>
      </w:r>
      <w:r>
        <w:rPr>
          <w:spacing w:val="-63"/>
          <w:w w:val="100"/>
          <w:position w:val="-7"/>
        </w:rPr>
        <w:t>．</w:t>
      </w:r>
      <w:r>
        <w:rPr>
          <w:spacing w:val="-152"/>
          <w:w w:val="100"/>
        </w:rPr>
        <w:t>本</w:t>
      </w:r>
      <w:r>
        <w:rPr>
          <w:spacing w:val="-63"/>
          <w:w w:val="100"/>
          <w:position w:val="-7"/>
        </w:rPr>
        <w:t>．</w:t>
      </w:r>
      <w:r>
        <w:rPr>
          <w:spacing w:val="-149"/>
          <w:w w:val="100"/>
        </w:rPr>
        <w:t>合</w:t>
      </w:r>
      <w:r>
        <w:rPr>
          <w:spacing w:val="-63"/>
          <w:w w:val="100"/>
          <w:position w:val="-7"/>
        </w:rPr>
        <w:t>．</w:t>
      </w:r>
      <w:r>
        <w:rPr>
          <w:spacing w:val="-152"/>
          <w:w w:val="100"/>
        </w:rPr>
        <w:t>同</w:t>
      </w:r>
      <w:r>
        <w:rPr>
          <w:spacing w:val="-63"/>
          <w:w w:val="100"/>
          <w:position w:val="-7"/>
        </w:rPr>
        <w:t>．</w:t>
      </w:r>
      <w:r>
        <w:rPr>
          <w:spacing w:val="-149"/>
          <w:w w:val="100"/>
        </w:rPr>
        <w:t>内</w:t>
      </w:r>
      <w:r>
        <w:rPr>
          <w:spacing w:val="-63"/>
          <w:w w:val="100"/>
          <w:position w:val="-7"/>
        </w:rPr>
        <w:t>．</w:t>
      </w:r>
      <w:r>
        <w:rPr>
          <w:spacing w:val="-151"/>
          <w:w w:val="100"/>
        </w:rPr>
        <w:t>容</w:t>
      </w:r>
      <w:r>
        <w:rPr>
          <w:spacing w:val="-63"/>
          <w:w w:val="100"/>
          <w:position w:val="-7"/>
        </w:rPr>
        <w:t>．</w:t>
      </w:r>
      <w:r>
        <w:rPr>
          <w:spacing w:val="-149"/>
          <w:w w:val="100"/>
        </w:rPr>
        <w:t>的</w:t>
      </w:r>
      <w:r>
        <w:rPr>
          <w:spacing w:val="-63"/>
          <w:w w:val="100"/>
          <w:position w:val="-7"/>
        </w:rPr>
        <w:t>．</w:t>
      </w:r>
      <w:r>
        <w:rPr>
          <w:spacing w:val="-151"/>
          <w:w w:val="100"/>
        </w:rPr>
        <w:t>解</w:t>
      </w:r>
      <w:r>
        <w:rPr>
          <w:spacing w:val="-63"/>
          <w:w w:val="100"/>
          <w:position w:val="-7"/>
        </w:rPr>
        <w:t>．</w:t>
      </w:r>
      <w:r>
        <w:rPr>
          <w:spacing w:val="-149"/>
          <w:w w:val="100"/>
        </w:rPr>
        <w:t>释</w:t>
      </w:r>
      <w:r>
        <w:rPr>
          <w:spacing w:val="-63"/>
          <w:w w:val="100"/>
          <w:position w:val="-7"/>
        </w:rPr>
        <w:t>．</w:t>
      </w:r>
      <w:r>
        <w:rPr>
          <w:spacing w:val="-149"/>
          <w:w w:val="100"/>
        </w:rPr>
        <w:t>以</w:t>
      </w:r>
      <w:r>
        <w:rPr>
          <w:spacing w:val="-63"/>
          <w:w w:val="100"/>
          <w:position w:val="-7"/>
        </w:rPr>
        <w:t>．</w:t>
      </w:r>
      <w:r>
        <w:rPr>
          <w:spacing w:val="-151"/>
          <w:w w:val="100"/>
        </w:rPr>
        <w:t>条</w:t>
      </w:r>
      <w:r>
        <w:rPr>
          <w:spacing w:val="-63"/>
          <w:w w:val="100"/>
          <w:position w:val="-7"/>
        </w:rPr>
        <w:t>．</w:t>
      </w:r>
      <w:r>
        <w:rPr>
          <w:spacing w:val="-149"/>
          <w:w w:val="100"/>
        </w:rPr>
        <w:t>款</w:t>
      </w:r>
      <w:r>
        <w:rPr>
          <w:spacing w:val="-63"/>
          <w:w w:val="100"/>
          <w:position w:val="-7"/>
        </w:rPr>
        <w:t>．</w:t>
      </w:r>
      <w:r>
        <w:rPr>
          <w:spacing w:val="-152"/>
          <w:w w:val="100"/>
        </w:rPr>
        <w:t>为</w:t>
      </w:r>
      <w:r>
        <w:rPr>
          <w:spacing w:val="-63"/>
          <w:w w:val="100"/>
          <w:position w:val="-7"/>
        </w:rPr>
        <w:t>．</w:t>
      </w:r>
      <w:r>
        <w:rPr>
          <w:spacing w:val="-149"/>
          <w:w w:val="100"/>
        </w:rPr>
        <w:t>准</w:t>
      </w:r>
      <w:r>
        <w:rPr>
          <w:spacing w:val="-63"/>
          <w:w w:val="100"/>
          <w:position w:val="-7"/>
        </w:rPr>
        <w:t>．</w:t>
      </w:r>
      <w:r>
        <w:rPr>
          <w:spacing w:val="-152"/>
          <w:w w:val="100"/>
        </w:rPr>
        <w:t>。</w:t>
      </w:r>
      <w:r>
        <w:rPr>
          <w:w w:val="100"/>
          <w:position w:val="-7"/>
        </w:rPr>
        <w:t>．</w:t>
      </w:r>
    </w:p>
    <w:p>
      <w:pPr>
        <w:pStyle w:val="BodyText"/>
        <w:rPr>
          <w:sz w:val="28"/>
        </w:rPr>
      </w:pPr>
    </w:p>
    <w:p>
      <w:pPr>
        <w:pStyle w:val="BodyText"/>
        <w:spacing w:before="7"/>
        <w:rPr>
          <w:sz w:val="19"/>
        </w:rPr>
      </w:pPr>
    </w:p>
    <w:p>
      <w:pPr>
        <w:pStyle w:val="Heading3"/>
        <w:spacing w:before="0"/>
        <w:ind w:left="37" w:right="194" w:firstLine="0"/>
        <w:jc w:val="center"/>
      </w:pPr>
      <w:r>
        <w:rPr/>
        <w:t>您拥有的重要权益</w:t>
      </w:r>
    </w:p>
    <w:p>
      <w:pPr>
        <w:pStyle w:val="BodyText"/>
        <w:tabs>
          <w:tab w:pos="9355" w:val="right" w:leader="dot"/>
        </w:tabs>
        <w:spacing w:before="348"/>
        <w:ind w:left="5"/>
        <w:jc w:val="center"/>
      </w:pPr>
      <w:r>
        <w:rPr/>
        <w:t>签收</w:t>
      </w:r>
      <w:r>
        <w:rPr>
          <w:spacing w:val="-3"/>
        </w:rPr>
        <w:t>本</w:t>
      </w:r>
      <w:r>
        <w:rPr/>
        <w:t>合</w:t>
      </w:r>
      <w:r>
        <w:rPr>
          <w:spacing w:val="-3"/>
        </w:rPr>
        <w:t>同</w:t>
      </w:r>
      <w:r>
        <w:rPr/>
        <w:t>次</w:t>
      </w:r>
      <w:r>
        <w:rPr>
          <w:spacing w:val="-3"/>
        </w:rPr>
        <w:t>日</w:t>
      </w:r>
      <w:r>
        <w:rPr/>
        <w:t>起</w:t>
      </w:r>
      <w:r>
        <w:rPr>
          <w:spacing w:val="-53"/>
        </w:rPr>
        <w:t> </w:t>
      </w:r>
      <w:r>
        <w:rPr/>
        <w:t>10</w:t>
      </w:r>
      <w:r>
        <w:rPr>
          <w:spacing w:val="-53"/>
        </w:rPr>
        <w:t> </w:t>
      </w:r>
      <w:r>
        <w:rPr>
          <w:spacing w:val="-3"/>
        </w:rPr>
        <w:t>日内</w:t>
      </w:r>
      <w:r>
        <w:rPr/>
        <w:t>您可</w:t>
      </w:r>
      <w:r>
        <w:rPr>
          <w:spacing w:val="-3"/>
        </w:rPr>
        <w:t>以</w:t>
      </w:r>
      <w:r>
        <w:rPr/>
        <w:t>要</w:t>
      </w:r>
      <w:r>
        <w:rPr>
          <w:spacing w:val="-3"/>
        </w:rPr>
        <w:t>求</w:t>
      </w:r>
      <w:r>
        <w:rPr/>
        <w:t>退</w:t>
      </w:r>
      <w:r>
        <w:rPr>
          <w:spacing w:val="-3"/>
        </w:rPr>
        <w:t>还</w:t>
      </w:r>
      <w:r>
        <w:rPr/>
        <w:t>所</w:t>
      </w:r>
      <w:r>
        <w:rPr>
          <w:spacing w:val="-3"/>
        </w:rPr>
        <w:t>交</w:t>
      </w:r>
      <w:r>
        <w:rPr/>
        <w:t>纳</w:t>
      </w:r>
      <w:r>
        <w:rPr>
          <w:spacing w:val="-3"/>
        </w:rPr>
        <w:t>的</w:t>
      </w:r>
      <w:r>
        <w:rPr/>
        <w:t>保险费</w:t>
        <w:tab/>
        <w:t>1.3</w:t>
      </w:r>
    </w:p>
    <w:p>
      <w:pPr>
        <w:pStyle w:val="BodyText"/>
        <w:tabs>
          <w:tab w:pos="9355" w:val="right" w:leader="dot"/>
        </w:tabs>
        <w:spacing w:before="36"/>
        <w:ind w:left="5"/>
        <w:jc w:val="center"/>
      </w:pPr>
      <w:r>
        <w:rPr/>
        <w:t>被保</w:t>
      </w:r>
      <w:r>
        <w:rPr>
          <w:spacing w:val="-3"/>
        </w:rPr>
        <w:t>险</w:t>
      </w:r>
      <w:r>
        <w:rPr/>
        <w:t>人</w:t>
      </w:r>
      <w:r>
        <w:rPr>
          <w:spacing w:val="-3"/>
        </w:rPr>
        <w:t>可</w:t>
      </w:r>
      <w:r>
        <w:rPr/>
        <w:t>以</w:t>
      </w:r>
      <w:r>
        <w:rPr>
          <w:spacing w:val="-3"/>
        </w:rPr>
        <w:t>享</w:t>
      </w:r>
      <w:r>
        <w:rPr/>
        <w:t>受</w:t>
      </w:r>
      <w:r>
        <w:rPr>
          <w:spacing w:val="-3"/>
        </w:rPr>
        <w:t>本</w:t>
      </w:r>
      <w:r>
        <w:rPr/>
        <w:t>合</w:t>
      </w:r>
      <w:r>
        <w:rPr>
          <w:spacing w:val="-3"/>
        </w:rPr>
        <w:t>同</w:t>
      </w:r>
      <w:r>
        <w:rPr/>
        <w:t>提供</w:t>
      </w:r>
      <w:r>
        <w:rPr>
          <w:spacing w:val="-3"/>
        </w:rPr>
        <w:t>的</w:t>
      </w:r>
      <w:r>
        <w:rPr/>
        <w:t>保障</w:t>
        <w:tab/>
        <w:t>2.3</w:t>
      </w:r>
    </w:p>
    <w:p>
      <w:pPr>
        <w:pStyle w:val="BodyText"/>
        <w:tabs>
          <w:tab w:pos="9351" w:val="right" w:leader="dot"/>
        </w:tabs>
        <w:spacing w:before="36"/>
        <w:ind w:left="3"/>
        <w:jc w:val="center"/>
      </w:pPr>
      <w:r>
        <w:rPr/>
        <w:t>您有</w:t>
      </w:r>
      <w:r>
        <w:rPr>
          <w:spacing w:val="-3"/>
        </w:rPr>
        <w:t>退</w:t>
      </w:r>
      <w:r>
        <w:rPr/>
        <w:t>保</w:t>
      </w:r>
      <w:r>
        <w:rPr>
          <w:spacing w:val="-3"/>
        </w:rPr>
        <w:t>的</w:t>
      </w:r>
      <w:r>
        <w:rPr/>
        <w:t>权利</w:t>
        <w:tab/>
        <w:t>8.1</w:t>
      </w:r>
    </w:p>
    <w:p>
      <w:pPr>
        <w:pStyle w:val="BodyText"/>
        <w:rPr>
          <w:sz w:val="20"/>
        </w:rPr>
      </w:pPr>
    </w:p>
    <w:p>
      <w:pPr>
        <w:pStyle w:val="BodyText"/>
        <w:rPr>
          <w:sz w:val="20"/>
        </w:rPr>
      </w:pPr>
    </w:p>
    <w:p>
      <w:pPr>
        <w:spacing w:before="137"/>
        <w:ind w:left="11" w:right="194" w:firstLine="0"/>
        <w:jc w:val="center"/>
        <w:rPr>
          <w:b/>
          <w:sz w:val="21"/>
        </w:rPr>
      </w:pPr>
      <w:r>
        <w:rPr>
          <w:b/>
          <w:sz w:val="21"/>
        </w:rPr>
        <w:t>您应当特别注意的事项</w:t>
      </w:r>
    </w:p>
    <w:p>
      <w:pPr>
        <w:pStyle w:val="BodyText"/>
        <w:spacing w:before="9"/>
        <w:rPr>
          <w:b/>
          <w:sz w:val="26"/>
        </w:rPr>
      </w:pPr>
    </w:p>
    <w:p>
      <w:pPr>
        <w:pStyle w:val="BodyText"/>
        <w:ind w:left="111"/>
      </w:pPr>
      <w:r>
        <w:rPr/>
        <w:t>我们对免除本公司责任的条款作了特别提示，详见条款正文中背景突出显示的部分</w:t>
      </w:r>
    </w:p>
    <w:p>
      <w:pPr>
        <w:pStyle w:val="BodyText"/>
        <w:spacing w:before="37"/>
        <w:ind w:left="5" w:right="104"/>
        <w:jc w:val="center"/>
      </w:pPr>
      <w:r>
        <w:rPr/>
        <w:t>.....................................................2.3、2.4、3.2、4.2、7.1、10.2、11.6</w:t>
      </w:r>
    </w:p>
    <w:p>
      <w:pPr>
        <w:pStyle w:val="BodyText"/>
        <w:tabs>
          <w:tab w:pos="8929" w:val="left" w:leader="dot"/>
        </w:tabs>
        <w:spacing w:before="37"/>
        <w:ind w:right="97"/>
        <w:jc w:val="center"/>
      </w:pPr>
      <w:r>
        <w:rPr/>
        <w:t>被保</w:t>
      </w:r>
      <w:r>
        <w:rPr>
          <w:spacing w:val="-3"/>
        </w:rPr>
        <w:t>险</w:t>
      </w:r>
      <w:r>
        <w:rPr/>
        <w:t>人</w:t>
      </w:r>
      <w:r>
        <w:rPr>
          <w:spacing w:val="-3"/>
        </w:rPr>
        <w:t>应</w:t>
      </w:r>
      <w:r>
        <w:rPr/>
        <w:t>到</w:t>
      </w:r>
      <w:r>
        <w:rPr>
          <w:spacing w:val="-3"/>
        </w:rPr>
        <w:t>我</w:t>
      </w:r>
      <w:r>
        <w:rPr/>
        <w:t>们</w:t>
      </w:r>
      <w:r>
        <w:rPr>
          <w:spacing w:val="-3"/>
        </w:rPr>
        <w:t>认</w:t>
      </w:r>
      <w:r>
        <w:rPr/>
        <w:t>可</w:t>
      </w:r>
      <w:r>
        <w:rPr>
          <w:spacing w:val="-3"/>
        </w:rPr>
        <w:t>的</w:t>
      </w:r>
      <w:r>
        <w:rPr/>
        <w:t>医院</w:t>
      </w:r>
      <w:r>
        <w:rPr>
          <w:spacing w:val="-3"/>
        </w:rPr>
        <w:t>就</w:t>
      </w:r>
      <w:r>
        <w:rPr/>
        <w:t>诊</w:t>
        <w:tab/>
        <w:t>2.3</w:t>
      </w:r>
    </w:p>
    <w:p>
      <w:pPr>
        <w:pStyle w:val="BodyText"/>
        <w:tabs>
          <w:tab w:pos="8929" w:val="left" w:leader="dot"/>
        </w:tabs>
        <w:spacing w:before="37"/>
        <w:ind w:right="97"/>
        <w:jc w:val="center"/>
      </w:pPr>
      <w:r>
        <w:rPr/>
        <w:t>请您</w:t>
      </w:r>
      <w:r>
        <w:rPr>
          <w:spacing w:val="-3"/>
        </w:rPr>
        <w:t>留</w:t>
      </w:r>
      <w:r>
        <w:rPr/>
        <w:t>意</w:t>
      </w:r>
      <w:r>
        <w:rPr>
          <w:spacing w:val="-3"/>
        </w:rPr>
        <w:t>保</w:t>
      </w:r>
      <w:r>
        <w:rPr/>
        <w:t>险</w:t>
      </w:r>
      <w:r>
        <w:rPr>
          <w:spacing w:val="-3"/>
        </w:rPr>
        <w:t>条</w:t>
      </w:r>
      <w:r>
        <w:rPr/>
        <w:t>款</w:t>
      </w:r>
      <w:r>
        <w:rPr>
          <w:spacing w:val="-3"/>
        </w:rPr>
        <w:t>中</w:t>
      </w:r>
      <w:r>
        <w:rPr/>
        <w:t>关</w:t>
      </w:r>
      <w:r>
        <w:rPr>
          <w:spacing w:val="-3"/>
        </w:rPr>
        <w:t>于</w:t>
      </w:r>
      <w:r>
        <w:rPr/>
        <w:t>重大</w:t>
      </w:r>
      <w:r>
        <w:rPr>
          <w:spacing w:val="-3"/>
        </w:rPr>
        <w:t>疾</w:t>
      </w:r>
      <w:r>
        <w:rPr/>
        <w:t>病</w:t>
      </w:r>
      <w:r>
        <w:rPr>
          <w:spacing w:val="-3"/>
        </w:rPr>
        <w:t>的</w:t>
      </w:r>
      <w:r>
        <w:rPr/>
        <w:t>释义</w:t>
        <w:tab/>
        <w:t>3.2</w:t>
      </w:r>
    </w:p>
    <w:p>
      <w:pPr>
        <w:pStyle w:val="BodyText"/>
        <w:tabs>
          <w:tab w:pos="8929" w:val="left" w:leader="dot"/>
        </w:tabs>
        <w:spacing w:before="37"/>
        <w:ind w:right="97"/>
        <w:jc w:val="center"/>
      </w:pPr>
      <w:r>
        <w:rPr/>
        <w:t>保险</w:t>
      </w:r>
      <w:r>
        <w:rPr>
          <w:spacing w:val="-3"/>
        </w:rPr>
        <w:t>事</w:t>
      </w:r>
      <w:r>
        <w:rPr/>
        <w:t>故</w:t>
      </w:r>
      <w:r>
        <w:rPr>
          <w:spacing w:val="-3"/>
        </w:rPr>
        <w:t>发</w:t>
      </w:r>
      <w:r>
        <w:rPr/>
        <w:t>生</w:t>
      </w:r>
      <w:r>
        <w:rPr>
          <w:spacing w:val="-3"/>
        </w:rPr>
        <w:t>后</w:t>
      </w:r>
      <w:r>
        <w:rPr/>
        <w:t>，</w:t>
      </w:r>
      <w:r>
        <w:rPr>
          <w:spacing w:val="-3"/>
        </w:rPr>
        <w:t>您</w:t>
      </w:r>
      <w:r>
        <w:rPr/>
        <w:t>有</w:t>
      </w:r>
      <w:r>
        <w:rPr>
          <w:spacing w:val="-3"/>
        </w:rPr>
        <w:t>及</w:t>
      </w:r>
      <w:r>
        <w:rPr/>
        <w:t>时通</w:t>
      </w:r>
      <w:r>
        <w:rPr>
          <w:spacing w:val="-3"/>
        </w:rPr>
        <w:t>知</w:t>
      </w:r>
      <w:r>
        <w:rPr/>
        <w:t>我们的</w:t>
      </w:r>
      <w:r>
        <w:rPr>
          <w:spacing w:val="-3"/>
        </w:rPr>
        <w:t>义</w:t>
      </w:r>
      <w:r>
        <w:rPr/>
        <w:t>务</w:t>
        <w:tab/>
        <w:t>4.2</w:t>
      </w:r>
    </w:p>
    <w:p>
      <w:pPr>
        <w:pStyle w:val="BodyText"/>
        <w:tabs>
          <w:tab w:pos="9038" w:val="left" w:leader="dot"/>
        </w:tabs>
        <w:spacing w:before="37"/>
        <w:ind w:left="111"/>
      </w:pPr>
      <w:r>
        <w:rPr/>
        <w:t>您应</w:t>
      </w:r>
      <w:r>
        <w:rPr>
          <w:spacing w:val="-3"/>
        </w:rPr>
        <w:t>当</w:t>
      </w:r>
      <w:r>
        <w:rPr/>
        <w:t>按</w:t>
      </w:r>
      <w:r>
        <w:rPr>
          <w:spacing w:val="-3"/>
        </w:rPr>
        <w:t>时</w:t>
      </w:r>
      <w:r>
        <w:rPr/>
        <w:t>交</w:t>
      </w:r>
      <w:r>
        <w:rPr>
          <w:spacing w:val="-3"/>
        </w:rPr>
        <w:t>纳</w:t>
      </w:r>
      <w:r>
        <w:rPr/>
        <w:t>保</w:t>
      </w:r>
      <w:r>
        <w:rPr>
          <w:spacing w:val="-3"/>
        </w:rPr>
        <w:t>险</w:t>
      </w:r>
      <w:r>
        <w:rPr/>
        <w:t>费</w:t>
        <w:tab/>
        <w:t>5.1</w:t>
      </w:r>
    </w:p>
    <w:p>
      <w:pPr>
        <w:pStyle w:val="BodyText"/>
        <w:tabs>
          <w:tab w:pos="8929" w:val="left" w:leader="dot"/>
        </w:tabs>
        <w:spacing w:before="37"/>
        <w:ind w:right="97"/>
        <w:jc w:val="center"/>
      </w:pPr>
      <w:r>
        <w:rPr/>
        <w:t>退保</w:t>
      </w:r>
      <w:r>
        <w:rPr>
          <w:spacing w:val="-3"/>
        </w:rPr>
        <w:t>会</w:t>
      </w:r>
      <w:r>
        <w:rPr/>
        <w:t>给</w:t>
      </w:r>
      <w:r>
        <w:rPr>
          <w:spacing w:val="-3"/>
        </w:rPr>
        <w:t>您</w:t>
      </w:r>
      <w:r>
        <w:rPr/>
        <w:t>造</w:t>
      </w:r>
      <w:r>
        <w:rPr>
          <w:spacing w:val="-3"/>
        </w:rPr>
        <w:t>成</w:t>
      </w:r>
      <w:r>
        <w:rPr/>
        <w:t>一</w:t>
      </w:r>
      <w:r>
        <w:rPr>
          <w:spacing w:val="-3"/>
        </w:rPr>
        <w:t>定</w:t>
      </w:r>
      <w:r>
        <w:rPr/>
        <w:t>的</w:t>
      </w:r>
      <w:r>
        <w:rPr>
          <w:spacing w:val="-3"/>
        </w:rPr>
        <w:t>损</w:t>
      </w:r>
      <w:r>
        <w:rPr/>
        <w:t>失，</w:t>
      </w:r>
      <w:r>
        <w:rPr>
          <w:spacing w:val="-3"/>
        </w:rPr>
        <w:t>请</w:t>
      </w:r>
      <w:r>
        <w:rPr/>
        <w:t>您</w:t>
      </w:r>
      <w:r>
        <w:rPr>
          <w:spacing w:val="-3"/>
        </w:rPr>
        <w:t>慎</w:t>
      </w:r>
      <w:r>
        <w:rPr/>
        <w:t>重</w:t>
      </w:r>
      <w:r>
        <w:rPr>
          <w:spacing w:val="-3"/>
        </w:rPr>
        <w:t>决</w:t>
      </w:r>
      <w:r>
        <w:rPr/>
        <w:t>策</w:t>
        <w:tab/>
        <w:t>8.1</w:t>
      </w:r>
    </w:p>
    <w:p>
      <w:pPr>
        <w:pStyle w:val="BodyText"/>
        <w:tabs>
          <w:tab w:pos="8927" w:val="left" w:leader="dot"/>
        </w:tabs>
        <w:spacing w:before="37"/>
        <w:ind w:right="99"/>
        <w:jc w:val="center"/>
      </w:pPr>
      <w:r>
        <w:rPr/>
        <w:t>您有</w:t>
      </w:r>
      <w:r>
        <w:rPr>
          <w:spacing w:val="-3"/>
        </w:rPr>
        <w:t>如</w:t>
      </w:r>
      <w:r>
        <w:rPr/>
        <w:t>实</w:t>
      </w:r>
      <w:r>
        <w:rPr>
          <w:spacing w:val="-3"/>
        </w:rPr>
        <w:t>告</w:t>
      </w:r>
      <w:r>
        <w:rPr/>
        <w:t>知</w:t>
      </w:r>
      <w:r>
        <w:rPr>
          <w:spacing w:val="-3"/>
        </w:rPr>
        <w:t>的</w:t>
      </w:r>
      <w:r>
        <w:rPr/>
        <w:t>义务</w:t>
        <w:tab/>
        <w:t>9.1</w:t>
      </w:r>
    </w:p>
    <w:p>
      <w:pPr>
        <w:pStyle w:val="BodyText"/>
        <w:tabs>
          <w:tab w:pos="9041" w:val="left" w:leader="dot"/>
        </w:tabs>
        <w:spacing w:before="37"/>
        <w:ind w:left="111"/>
      </w:pPr>
      <w:r>
        <w:rPr/>
        <w:t>我们</w:t>
      </w:r>
      <w:r>
        <w:rPr>
          <w:spacing w:val="-3"/>
        </w:rPr>
        <w:t>对</w:t>
      </w:r>
      <w:r>
        <w:rPr/>
        <w:t>一</w:t>
      </w:r>
      <w:r>
        <w:rPr>
          <w:spacing w:val="-3"/>
        </w:rPr>
        <w:t>些</w:t>
      </w:r>
      <w:r>
        <w:rPr/>
        <w:t>重</w:t>
      </w:r>
      <w:r>
        <w:rPr>
          <w:spacing w:val="-3"/>
        </w:rPr>
        <w:t>要</w:t>
      </w:r>
      <w:r>
        <w:rPr/>
        <w:t>术</w:t>
      </w:r>
      <w:r>
        <w:rPr>
          <w:spacing w:val="-3"/>
        </w:rPr>
        <w:t>语</w:t>
      </w:r>
      <w:r>
        <w:rPr/>
        <w:t>进</w:t>
      </w:r>
      <w:r>
        <w:rPr>
          <w:spacing w:val="-3"/>
        </w:rPr>
        <w:t>行</w:t>
      </w:r>
      <w:r>
        <w:rPr/>
        <w:t>了解</w:t>
      </w:r>
      <w:r>
        <w:rPr>
          <w:spacing w:val="-3"/>
        </w:rPr>
        <w:t>释</w:t>
      </w:r>
      <w:r>
        <w:rPr/>
        <w:t>，</w:t>
      </w:r>
      <w:r>
        <w:rPr>
          <w:spacing w:val="-3"/>
        </w:rPr>
        <w:t>并</w:t>
      </w:r>
      <w:r>
        <w:rPr/>
        <w:t>作</w:t>
      </w:r>
      <w:r>
        <w:rPr>
          <w:spacing w:val="-3"/>
        </w:rPr>
        <w:t>了</w:t>
      </w:r>
      <w:r>
        <w:rPr/>
        <w:t>显</w:t>
      </w:r>
      <w:r>
        <w:rPr>
          <w:spacing w:val="-3"/>
        </w:rPr>
        <w:t>著</w:t>
      </w:r>
      <w:r>
        <w:rPr/>
        <w:t>标</w:t>
      </w:r>
      <w:r>
        <w:rPr>
          <w:spacing w:val="-3"/>
        </w:rPr>
        <w:t>注</w:t>
      </w:r>
      <w:r>
        <w:rPr/>
        <w:t>，请</w:t>
      </w:r>
      <w:r>
        <w:rPr>
          <w:spacing w:val="-3"/>
        </w:rPr>
        <w:t>您</w:t>
      </w:r>
      <w:r>
        <w:rPr/>
        <w:t>注意</w:t>
        <w:tab/>
        <w:t>11</w:t>
      </w:r>
    </w:p>
    <w:p>
      <w:pPr>
        <w:spacing w:after="0"/>
        <w:sectPr>
          <w:type w:val="continuous"/>
          <w:pgSz w:w="11910" w:h="16840"/>
          <w:pgMar w:top="1080" w:bottom="280" w:left="1120" w:right="1220"/>
        </w:sectPr>
      </w:pPr>
    </w:p>
    <w:p>
      <w:pPr>
        <w:pStyle w:val="Heading1"/>
        <w:spacing w:before="110"/>
        <w:ind w:left="4356" w:right="4914"/>
      </w:pPr>
      <w:r>
        <w:rPr/>
        <w:t>条款目录</w:t>
      </w:r>
    </w:p>
    <w:p>
      <w:pPr>
        <w:pStyle w:val="BodyText"/>
        <w:rPr>
          <w:rFonts w:ascii="微软雅黑"/>
          <w:b/>
          <w:sz w:val="20"/>
        </w:rPr>
      </w:pPr>
    </w:p>
    <w:p>
      <w:pPr>
        <w:pStyle w:val="BodyText"/>
        <w:spacing w:before="1"/>
        <w:rPr>
          <w:rFonts w:ascii="微软雅黑"/>
          <w:b/>
          <w:sz w:val="23"/>
        </w:r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39"/>
        <w:gridCol w:w="3769"/>
        <w:gridCol w:w="3465"/>
      </w:tblGrid>
      <w:tr>
        <w:trPr>
          <w:trHeight w:val="354" w:hRule="atLeast"/>
        </w:trPr>
        <w:tc>
          <w:tcPr>
            <w:tcW w:w="3139" w:type="dxa"/>
            <w:tcBorders>
              <w:right w:val="dotted" w:sz="4" w:space="0" w:color="000000"/>
            </w:tcBorders>
          </w:tcPr>
          <w:p>
            <w:pPr>
              <w:pStyle w:val="TableParagraph"/>
              <w:spacing w:line="262" w:lineRule="exact"/>
              <w:ind w:left="200"/>
              <w:rPr>
                <w:b/>
                <w:sz w:val="21"/>
              </w:rPr>
            </w:pPr>
            <w:r>
              <w:rPr>
                <w:b/>
                <w:sz w:val="21"/>
              </w:rPr>
              <w:t>1 您与我们订立的合同</w:t>
            </w:r>
          </w:p>
        </w:tc>
        <w:tc>
          <w:tcPr>
            <w:tcW w:w="3769" w:type="dxa"/>
            <w:tcBorders>
              <w:left w:val="dotted" w:sz="4" w:space="0" w:color="000000"/>
              <w:right w:val="dotted" w:sz="4" w:space="0" w:color="000000"/>
            </w:tcBorders>
          </w:tcPr>
          <w:p>
            <w:pPr>
              <w:pStyle w:val="TableParagraph"/>
              <w:spacing w:line="262" w:lineRule="exact"/>
              <w:ind w:left="102"/>
              <w:rPr>
                <w:b/>
                <w:sz w:val="21"/>
              </w:rPr>
            </w:pPr>
            <w:r>
              <w:rPr>
                <w:b/>
                <w:sz w:val="21"/>
              </w:rPr>
              <w:t>6 现金价值权益</w:t>
            </w:r>
          </w:p>
        </w:tc>
        <w:tc>
          <w:tcPr>
            <w:tcW w:w="3465" w:type="dxa"/>
            <w:tcBorders>
              <w:left w:val="dotted" w:sz="4" w:space="0" w:color="000000"/>
            </w:tcBorders>
          </w:tcPr>
          <w:p>
            <w:pPr>
              <w:pStyle w:val="TableParagraph"/>
              <w:spacing w:line="262" w:lineRule="exact"/>
              <w:ind w:left="102"/>
              <w:rPr>
                <w:b/>
                <w:sz w:val="21"/>
              </w:rPr>
            </w:pPr>
            <w:r>
              <w:rPr>
                <w:b/>
                <w:sz w:val="21"/>
              </w:rPr>
              <w:t>11 释义</w:t>
            </w:r>
          </w:p>
        </w:tc>
      </w:tr>
      <w:tr>
        <w:trPr>
          <w:trHeight w:val="367" w:hRule="atLeast"/>
        </w:trPr>
        <w:tc>
          <w:tcPr>
            <w:tcW w:w="3139" w:type="dxa"/>
            <w:tcBorders>
              <w:right w:val="dotted" w:sz="4" w:space="0" w:color="000000"/>
            </w:tcBorders>
          </w:tcPr>
          <w:p>
            <w:pPr>
              <w:pStyle w:val="TableParagraph"/>
              <w:spacing w:before="28"/>
              <w:ind w:left="411"/>
              <w:rPr>
                <w:sz w:val="21"/>
              </w:rPr>
            </w:pPr>
            <w:r>
              <w:rPr>
                <w:sz w:val="21"/>
              </w:rPr>
              <w:t>1.1 合同构成</w:t>
            </w:r>
          </w:p>
        </w:tc>
        <w:tc>
          <w:tcPr>
            <w:tcW w:w="3769" w:type="dxa"/>
            <w:tcBorders>
              <w:left w:val="dotted" w:sz="4" w:space="0" w:color="000000"/>
              <w:right w:val="dotted" w:sz="4" w:space="0" w:color="000000"/>
            </w:tcBorders>
          </w:tcPr>
          <w:p>
            <w:pPr>
              <w:pStyle w:val="TableParagraph"/>
              <w:spacing w:before="28"/>
              <w:ind w:left="313"/>
              <w:rPr>
                <w:sz w:val="21"/>
              </w:rPr>
            </w:pPr>
            <w:r>
              <w:rPr>
                <w:sz w:val="21"/>
              </w:rPr>
              <w:t>6.1 现金价值</w:t>
            </w:r>
          </w:p>
        </w:tc>
        <w:tc>
          <w:tcPr>
            <w:tcW w:w="3465" w:type="dxa"/>
            <w:tcBorders>
              <w:left w:val="dotted" w:sz="4" w:space="0" w:color="000000"/>
            </w:tcBorders>
          </w:tcPr>
          <w:p>
            <w:pPr>
              <w:pStyle w:val="TableParagraph"/>
              <w:spacing w:before="28"/>
              <w:ind w:left="313"/>
              <w:rPr>
                <w:sz w:val="21"/>
              </w:rPr>
            </w:pPr>
            <w:r>
              <w:rPr>
                <w:sz w:val="21"/>
              </w:rPr>
              <w:t>11.1 保单周年日</w:t>
            </w:r>
          </w:p>
        </w:tc>
      </w:tr>
      <w:tr>
        <w:trPr>
          <w:trHeight w:val="339" w:hRule="atLeast"/>
        </w:trPr>
        <w:tc>
          <w:tcPr>
            <w:tcW w:w="3139" w:type="dxa"/>
            <w:tcBorders>
              <w:right w:val="dotted" w:sz="4" w:space="0" w:color="000000"/>
            </w:tcBorders>
          </w:tcPr>
          <w:p>
            <w:pPr>
              <w:pStyle w:val="TableParagraph"/>
              <w:ind w:right="826"/>
              <w:jc w:val="right"/>
              <w:rPr>
                <w:sz w:val="21"/>
              </w:rPr>
            </w:pPr>
            <w:r>
              <w:rPr>
                <w:sz w:val="21"/>
              </w:rPr>
              <w:t>1.2 合同成立与生效</w:t>
            </w:r>
          </w:p>
        </w:tc>
        <w:tc>
          <w:tcPr>
            <w:tcW w:w="3769" w:type="dxa"/>
            <w:tcBorders>
              <w:left w:val="dotted" w:sz="4" w:space="0" w:color="000000"/>
              <w:right w:val="dotted" w:sz="4" w:space="0" w:color="000000"/>
            </w:tcBorders>
          </w:tcPr>
          <w:p>
            <w:pPr>
              <w:pStyle w:val="TableParagraph"/>
              <w:rPr>
                <w:rFonts w:ascii="Times New Roman"/>
                <w:sz w:val="20"/>
              </w:rPr>
            </w:pPr>
          </w:p>
        </w:tc>
        <w:tc>
          <w:tcPr>
            <w:tcW w:w="3465" w:type="dxa"/>
            <w:tcBorders>
              <w:left w:val="dotted" w:sz="4" w:space="0" w:color="000000"/>
            </w:tcBorders>
          </w:tcPr>
          <w:p>
            <w:pPr>
              <w:pStyle w:val="TableParagraph"/>
              <w:ind w:left="313"/>
              <w:rPr>
                <w:sz w:val="21"/>
              </w:rPr>
            </w:pPr>
            <w:r>
              <w:rPr>
                <w:sz w:val="21"/>
              </w:rPr>
              <w:t>11.2 保单年度</w:t>
            </w:r>
          </w:p>
        </w:tc>
      </w:tr>
      <w:tr>
        <w:trPr>
          <w:trHeight w:val="340" w:hRule="atLeast"/>
        </w:trPr>
        <w:tc>
          <w:tcPr>
            <w:tcW w:w="3139" w:type="dxa"/>
            <w:tcBorders>
              <w:right w:val="dotted" w:sz="4" w:space="0" w:color="000000"/>
            </w:tcBorders>
          </w:tcPr>
          <w:p>
            <w:pPr>
              <w:pStyle w:val="TableParagraph"/>
              <w:spacing w:before="1"/>
              <w:ind w:left="411"/>
              <w:rPr>
                <w:sz w:val="21"/>
              </w:rPr>
            </w:pPr>
            <w:r>
              <w:rPr>
                <w:sz w:val="21"/>
              </w:rPr>
              <w:t>1.3 犹豫期</w:t>
            </w:r>
          </w:p>
        </w:tc>
        <w:tc>
          <w:tcPr>
            <w:tcW w:w="3769" w:type="dxa"/>
            <w:tcBorders>
              <w:left w:val="dotted" w:sz="4" w:space="0" w:color="000000"/>
              <w:right w:val="dotted" w:sz="4" w:space="0" w:color="000000"/>
            </w:tcBorders>
          </w:tcPr>
          <w:p>
            <w:pPr>
              <w:pStyle w:val="TableParagraph"/>
              <w:rPr>
                <w:rFonts w:ascii="Times New Roman"/>
                <w:sz w:val="20"/>
              </w:rPr>
            </w:pPr>
          </w:p>
        </w:tc>
        <w:tc>
          <w:tcPr>
            <w:tcW w:w="3465" w:type="dxa"/>
            <w:tcBorders>
              <w:left w:val="dotted" w:sz="4" w:space="0" w:color="000000"/>
            </w:tcBorders>
          </w:tcPr>
          <w:p>
            <w:pPr>
              <w:pStyle w:val="TableParagraph"/>
              <w:spacing w:before="1"/>
              <w:ind w:left="313"/>
              <w:rPr>
                <w:sz w:val="21"/>
              </w:rPr>
            </w:pPr>
            <w:r>
              <w:rPr>
                <w:sz w:val="21"/>
              </w:rPr>
              <w:t>11.3 保险费约定交纳日</w:t>
            </w:r>
          </w:p>
        </w:tc>
      </w:tr>
      <w:tr>
        <w:trPr>
          <w:trHeight w:val="339" w:hRule="atLeast"/>
        </w:trPr>
        <w:tc>
          <w:tcPr>
            <w:tcW w:w="3139" w:type="dxa"/>
            <w:tcBorders>
              <w:right w:val="dotted" w:sz="4" w:space="0" w:color="000000"/>
            </w:tcBorders>
          </w:tcPr>
          <w:p>
            <w:pPr>
              <w:pStyle w:val="TableParagraph"/>
              <w:rPr>
                <w:rFonts w:ascii="Times New Roman"/>
                <w:sz w:val="20"/>
              </w:rPr>
            </w:pPr>
          </w:p>
        </w:tc>
        <w:tc>
          <w:tcPr>
            <w:tcW w:w="3769" w:type="dxa"/>
            <w:tcBorders>
              <w:left w:val="dotted" w:sz="4" w:space="0" w:color="000000"/>
              <w:right w:val="dotted" w:sz="4" w:space="0" w:color="000000"/>
            </w:tcBorders>
          </w:tcPr>
          <w:p>
            <w:pPr>
              <w:pStyle w:val="TableParagraph"/>
              <w:rPr>
                <w:rFonts w:ascii="Times New Roman"/>
                <w:sz w:val="20"/>
              </w:rPr>
            </w:pPr>
          </w:p>
        </w:tc>
        <w:tc>
          <w:tcPr>
            <w:tcW w:w="3465" w:type="dxa"/>
            <w:tcBorders>
              <w:left w:val="dotted" w:sz="4" w:space="0" w:color="000000"/>
            </w:tcBorders>
          </w:tcPr>
          <w:p>
            <w:pPr>
              <w:pStyle w:val="TableParagraph"/>
              <w:spacing w:before="1"/>
              <w:ind w:left="313"/>
              <w:rPr>
                <w:sz w:val="21"/>
              </w:rPr>
            </w:pPr>
            <w:r>
              <w:rPr>
                <w:sz w:val="21"/>
              </w:rPr>
              <w:t>11.4 有效身份证件</w:t>
            </w:r>
          </w:p>
        </w:tc>
      </w:tr>
      <w:tr>
        <w:trPr>
          <w:trHeight w:val="339" w:hRule="atLeast"/>
        </w:trPr>
        <w:tc>
          <w:tcPr>
            <w:tcW w:w="3139" w:type="dxa"/>
            <w:tcBorders>
              <w:right w:val="dotted" w:sz="4" w:space="0" w:color="000000"/>
            </w:tcBorders>
          </w:tcPr>
          <w:p>
            <w:pPr>
              <w:pStyle w:val="TableParagraph"/>
              <w:rPr>
                <w:rFonts w:ascii="Times New Roman"/>
                <w:sz w:val="20"/>
              </w:rPr>
            </w:pPr>
          </w:p>
        </w:tc>
        <w:tc>
          <w:tcPr>
            <w:tcW w:w="3769" w:type="dxa"/>
            <w:tcBorders>
              <w:left w:val="dotted" w:sz="4" w:space="0" w:color="000000"/>
              <w:right w:val="dotted" w:sz="4" w:space="0" w:color="000000"/>
            </w:tcBorders>
          </w:tcPr>
          <w:p>
            <w:pPr>
              <w:pStyle w:val="TableParagraph"/>
              <w:rPr>
                <w:rFonts w:ascii="Times New Roman"/>
                <w:sz w:val="20"/>
              </w:rPr>
            </w:pPr>
          </w:p>
        </w:tc>
        <w:tc>
          <w:tcPr>
            <w:tcW w:w="3465" w:type="dxa"/>
            <w:tcBorders>
              <w:left w:val="dotted" w:sz="4" w:space="0" w:color="000000"/>
            </w:tcBorders>
          </w:tcPr>
          <w:p>
            <w:pPr>
              <w:pStyle w:val="TableParagraph"/>
              <w:ind w:left="313"/>
              <w:rPr>
                <w:sz w:val="21"/>
              </w:rPr>
            </w:pPr>
            <w:r>
              <w:rPr>
                <w:sz w:val="21"/>
              </w:rPr>
              <w:t>11.5 意外伤害</w:t>
            </w:r>
          </w:p>
        </w:tc>
      </w:tr>
      <w:tr>
        <w:trPr>
          <w:trHeight w:val="340" w:hRule="atLeast"/>
        </w:trPr>
        <w:tc>
          <w:tcPr>
            <w:tcW w:w="3139" w:type="dxa"/>
            <w:tcBorders>
              <w:right w:val="dotted" w:sz="4" w:space="0" w:color="000000"/>
            </w:tcBorders>
          </w:tcPr>
          <w:p>
            <w:pPr>
              <w:pStyle w:val="TableParagraph"/>
              <w:spacing w:before="1"/>
              <w:ind w:left="200"/>
              <w:rPr>
                <w:b/>
                <w:sz w:val="21"/>
              </w:rPr>
            </w:pPr>
            <w:r>
              <w:rPr>
                <w:b/>
                <w:sz w:val="21"/>
              </w:rPr>
              <w:t>2 我们提供的保障</w:t>
            </w:r>
          </w:p>
        </w:tc>
        <w:tc>
          <w:tcPr>
            <w:tcW w:w="3769" w:type="dxa"/>
            <w:tcBorders>
              <w:left w:val="dotted" w:sz="4" w:space="0" w:color="000000"/>
              <w:right w:val="dotted" w:sz="4" w:space="0" w:color="000000"/>
            </w:tcBorders>
          </w:tcPr>
          <w:p>
            <w:pPr>
              <w:pStyle w:val="TableParagraph"/>
              <w:spacing w:before="1"/>
              <w:ind w:left="102"/>
              <w:rPr>
                <w:b/>
                <w:sz w:val="21"/>
              </w:rPr>
            </w:pPr>
            <w:r>
              <w:rPr>
                <w:b/>
                <w:sz w:val="21"/>
              </w:rPr>
              <w:t>7 合同效力的中止与恢复</w:t>
            </w:r>
          </w:p>
        </w:tc>
        <w:tc>
          <w:tcPr>
            <w:tcW w:w="3465" w:type="dxa"/>
            <w:tcBorders>
              <w:left w:val="dotted" w:sz="4" w:space="0" w:color="000000"/>
            </w:tcBorders>
          </w:tcPr>
          <w:p>
            <w:pPr>
              <w:pStyle w:val="TableParagraph"/>
              <w:spacing w:before="1"/>
              <w:ind w:left="313"/>
              <w:rPr>
                <w:sz w:val="21"/>
              </w:rPr>
            </w:pPr>
            <w:r>
              <w:rPr>
                <w:sz w:val="21"/>
              </w:rPr>
              <w:t>11.6 我们认可的医院</w:t>
            </w:r>
          </w:p>
        </w:tc>
      </w:tr>
      <w:tr>
        <w:trPr>
          <w:trHeight w:val="339" w:hRule="atLeast"/>
        </w:trPr>
        <w:tc>
          <w:tcPr>
            <w:tcW w:w="3139" w:type="dxa"/>
            <w:tcBorders>
              <w:right w:val="dotted" w:sz="4" w:space="0" w:color="000000"/>
            </w:tcBorders>
          </w:tcPr>
          <w:p>
            <w:pPr>
              <w:pStyle w:val="TableParagraph"/>
              <w:spacing w:before="1"/>
              <w:ind w:left="411"/>
              <w:rPr>
                <w:sz w:val="21"/>
              </w:rPr>
            </w:pPr>
            <w:r>
              <w:rPr>
                <w:sz w:val="21"/>
              </w:rPr>
              <w:t>2.1 保险期间</w:t>
            </w:r>
          </w:p>
        </w:tc>
        <w:tc>
          <w:tcPr>
            <w:tcW w:w="3769" w:type="dxa"/>
            <w:tcBorders>
              <w:left w:val="dotted" w:sz="4" w:space="0" w:color="000000"/>
              <w:right w:val="dotted" w:sz="4" w:space="0" w:color="000000"/>
            </w:tcBorders>
          </w:tcPr>
          <w:p>
            <w:pPr>
              <w:pStyle w:val="TableParagraph"/>
              <w:spacing w:before="1"/>
              <w:ind w:left="313"/>
              <w:rPr>
                <w:sz w:val="21"/>
              </w:rPr>
            </w:pPr>
            <w:r>
              <w:rPr>
                <w:sz w:val="21"/>
              </w:rPr>
              <w:t>7.1 合同效力中止</w:t>
            </w:r>
          </w:p>
        </w:tc>
        <w:tc>
          <w:tcPr>
            <w:tcW w:w="3465" w:type="dxa"/>
            <w:tcBorders>
              <w:left w:val="dotted" w:sz="4" w:space="0" w:color="000000"/>
            </w:tcBorders>
          </w:tcPr>
          <w:p>
            <w:pPr>
              <w:pStyle w:val="TableParagraph"/>
              <w:spacing w:before="1"/>
              <w:ind w:left="313"/>
              <w:rPr>
                <w:sz w:val="21"/>
              </w:rPr>
            </w:pPr>
            <w:r>
              <w:rPr>
                <w:sz w:val="21"/>
              </w:rPr>
              <w:t>11.7 专科医生</w:t>
            </w:r>
          </w:p>
        </w:tc>
      </w:tr>
      <w:tr>
        <w:trPr>
          <w:trHeight w:val="327" w:hRule="atLeast"/>
        </w:trPr>
        <w:tc>
          <w:tcPr>
            <w:tcW w:w="3139" w:type="dxa"/>
            <w:tcBorders>
              <w:right w:val="dotted" w:sz="4" w:space="0" w:color="000000"/>
            </w:tcBorders>
          </w:tcPr>
          <w:p>
            <w:pPr>
              <w:pStyle w:val="TableParagraph"/>
              <w:ind w:left="411"/>
              <w:rPr>
                <w:sz w:val="21"/>
              </w:rPr>
            </w:pPr>
            <w:r>
              <w:rPr>
                <w:sz w:val="21"/>
              </w:rPr>
              <w:t>2.2 基本保险金额</w:t>
            </w:r>
          </w:p>
        </w:tc>
        <w:tc>
          <w:tcPr>
            <w:tcW w:w="3769" w:type="dxa"/>
            <w:tcBorders>
              <w:left w:val="dotted" w:sz="4" w:space="0" w:color="000000"/>
              <w:right w:val="dotted" w:sz="4" w:space="0" w:color="000000"/>
            </w:tcBorders>
          </w:tcPr>
          <w:p>
            <w:pPr>
              <w:pStyle w:val="TableParagraph"/>
              <w:ind w:left="313"/>
              <w:rPr>
                <w:sz w:val="21"/>
              </w:rPr>
            </w:pPr>
            <w:r>
              <w:rPr>
                <w:sz w:val="21"/>
              </w:rPr>
              <w:t>7.2 合同效力恢复（复效）</w:t>
            </w:r>
          </w:p>
        </w:tc>
        <w:tc>
          <w:tcPr>
            <w:tcW w:w="3465" w:type="dxa"/>
            <w:tcBorders>
              <w:left w:val="dotted" w:sz="4" w:space="0" w:color="000000"/>
            </w:tcBorders>
          </w:tcPr>
          <w:p>
            <w:pPr>
              <w:pStyle w:val="TableParagraph"/>
              <w:ind w:left="313"/>
              <w:rPr>
                <w:sz w:val="21"/>
              </w:rPr>
            </w:pPr>
            <w:r>
              <w:rPr>
                <w:sz w:val="21"/>
              </w:rPr>
              <w:t>11.8 毒品</w:t>
            </w:r>
          </w:p>
        </w:tc>
      </w:tr>
      <w:tr>
        <w:trPr>
          <w:trHeight w:val="327" w:hRule="atLeast"/>
        </w:trPr>
        <w:tc>
          <w:tcPr>
            <w:tcW w:w="3139" w:type="dxa"/>
            <w:tcBorders>
              <w:right w:val="dotted" w:sz="4" w:space="0" w:color="000000"/>
            </w:tcBorders>
          </w:tcPr>
          <w:p>
            <w:pPr>
              <w:pStyle w:val="TableParagraph"/>
              <w:spacing w:line="264" w:lineRule="exact"/>
              <w:ind w:left="411"/>
              <w:rPr>
                <w:sz w:val="21"/>
              </w:rPr>
            </w:pPr>
            <w:r>
              <w:rPr>
                <w:sz w:val="21"/>
              </w:rPr>
              <w:t>2.3 保险责任</w:t>
            </w:r>
          </w:p>
        </w:tc>
        <w:tc>
          <w:tcPr>
            <w:tcW w:w="3769" w:type="dxa"/>
            <w:tcBorders>
              <w:left w:val="dotted" w:sz="4" w:space="0" w:color="000000"/>
              <w:right w:val="dotted" w:sz="4" w:space="0" w:color="000000"/>
            </w:tcBorders>
          </w:tcPr>
          <w:p>
            <w:pPr>
              <w:pStyle w:val="TableParagraph"/>
              <w:rPr>
                <w:rFonts w:ascii="Times New Roman"/>
                <w:sz w:val="20"/>
              </w:rPr>
            </w:pPr>
          </w:p>
        </w:tc>
        <w:tc>
          <w:tcPr>
            <w:tcW w:w="3465" w:type="dxa"/>
            <w:tcBorders>
              <w:left w:val="dotted" w:sz="4" w:space="0" w:color="000000"/>
            </w:tcBorders>
          </w:tcPr>
          <w:p>
            <w:pPr>
              <w:pStyle w:val="TableParagraph"/>
              <w:spacing w:line="264" w:lineRule="exact"/>
              <w:ind w:left="313"/>
              <w:rPr>
                <w:sz w:val="21"/>
              </w:rPr>
            </w:pPr>
            <w:r>
              <w:rPr>
                <w:sz w:val="21"/>
              </w:rPr>
              <w:t>11.9 酒后驾驶</w:t>
            </w:r>
          </w:p>
        </w:tc>
      </w:tr>
      <w:tr>
        <w:trPr>
          <w:trHeight w:val="339" w:hRule="atLeast"/>
        </w:trPr>
        <w:tc>
          <w:tcPr>
            <w:tcW w:w="3139" w:type="dxa"/>
            <w:tcBorders>
              <w:right w:val="dotted" w:sz="4" w:space="0" w:color="000000"/>
            </w:tcBorders>
          </w:tcPr>
          <w:p>
            <w:pPr>
              <w:pStyle w:val="TableParagraph"/>
              <w:ind w:left="411"/>
              <w:rPr>
                <w:sz w:val="21"/>
              </w:rPr>
            </w:pPr>
            <w:r>
              <w:rPr>
                <w:sz w:val="21"/>
              </w:rPr>
              <w:t>2.4 责任免除</w:t>
            </w:r>
          </w:p>
        </w:tc>
        <w:tc>
          <w:tcPr>
            <w:tcW w:w="3769" w:type="dxa"/>
            <w:tcBorders>
              <w:left w:val="dotted" w:sz="4" w:space="0" w:color="000000"/>
              <w:right w:val="dotted" w:sz="4" w:space="0" w:color="000000"/>
            </w:tcBorders>
          </w:tcPr>
          <w:p>
            <w:pPr>
              <w:pStyle w:val="TableParagraph"/>
              <w:rPr>
                <w:rFonts w:ascii="Times New Roman"/>
                <w:sz w:val="20"/>
              </w:rPr>
            </w:pPr>
          </w:p>
        </w:tc>
        <w:tc>
          <w:tcPr>
            <w:tcW w:w="3465" w:type="dxa"/>
            <w:tcBorders>
              <w:left w:val="dotted" w:sz="4" w:space="0" w:color="000000"/>
            </w:tcBorders>
          </w:tcPr>
          <w:p>
            <w:pPr>
              <w:pStyle w:val="TableParagraph"/>
              <w:ind w:left="313"/>
              <w:rPr>
                <w:sz w:val="21"/>
              </w:rPr>
            </w:pPr>
            <w:r>
              <w:rPr>
                <w:sz w:val="21"/>
              </w:rPr>
              <w:t>11.10 无合法有效驾驶证驾驶</w:t>
            </w:r>
          </w:p>
        </w:tc>
      </w:tr>
      <w:tr>
        <w:trPr>
          <w:trHeight w:val="326" w:hRule="atLeast"/>
        </w:trPr>
        <w:tc>
          <w:tcPr>
            <w:tcW w:w="3139" w:type="dxa"/>
            <w:tcBorders>
              <w:right w:val="dotted" w:sz="4" w:space="0" w:color="000000"/>
            </w:tcBorders>
          </w:tcPr>
          <w:p>
            <w:pPr>
              <w:pStyle w:val="TableParagraph"/>
              <w:rPr>
                <w:rFonts w:ascii="Times New Roman"/>
                <w:sz w:val="20"/>
              </w:rPr>
            </w:pPr>
          </w:p>
        </w:tc>
        <w:tc>
          <w:tcPr>
            <w:tcW w:w="3769" w:type="dxa"/>
            <w:tcBorders>
              <w:left w:val="dotted" w:sz="4" w:space="0" w:color="000000"/>
              <w:right w:val="dotted" w:sz="4" w:space="0" w:color="000000"/>
            </w:tcBorders>
          </w:tcPr>
          <w:p>
            <w:pPr>
              <w:pStyle w:val="TableParagraph"/>
              <w:rPr>
                <w:rFonts w:ascii="Times New Roman"/>
                <w:sz w:val="20"/>
              </w:rPr>
            </w:pPr>
          </w:p>
        </w:tc>
        <w:tc>
          <w:tcPr>
            <w:tcW w:w="3465" w:type="dxa"/>
            <w:tcBorders>
              <w:left w:val="dotted" w:sz="4" w:space="0" w:color="000000"/>
            </w:tcBorders>
          </w:tcPr>
          <w:p>
            <w:pPr>
              <w:pStyle w:val="TableParagraph"/>
              <w:spacing w:before="1"/>
              <w:ind w:left="313"/>
              <w:rPr>
                <w:sz w:val="21"/>
              </w:rPr>
            </w:pPr>
            <w:r>
              <w:rPr>
                <w:sz w:val="21"/>
              </w:rPr>
              <w:t>11.11 无有效行驶证</w:t>
            </w:r>
          </w:p>
        </w:tc>
      </w:tr>
      <w:tr>
        <w:trPr>
          <w:trHeight w:val="312" w:hRule="atLeast"/>
        </w:trPr>
        <w:tc>
          <w:tcPr>
            <w:tcW w:w="3139" w:type="dxa"/>
            <w:tcBorders>
              <w:right w:val="dotted" w:sz="4" w:space="0" w:color="000000"/>
            </w:tcBorders>
          </w:tcPr>
          <w:p>
            <w:pPr>
              <w:pStyle w:val="TableParagraph"/>
              <w:rPr>
                <w:rFonts w:ascii="Times New Roman"/>
                <w:sz w:val="20"/>
              </w:rPr>
            </w:pPr>
          </w:p>
        </w:tc>
        <w:tc>
          <w:tcPr>
            <w:tcW w:w="3769" w:type="dxa"/>
            <w:tcBorders>
              <w:left w:val="dotted" w:sz="4" w:space="0" w:color="000000"/>
              <w:right w:val="dotted" w:sz="4" w:space="0" w:color="000000"/>
            </w:tcBorders>
          </w:tcPr>
          <w:p>
            <w:pPr>
              <w:pStyle w:val="TableParagraph"/>
              <w:rPr>
                <w:rFonts w:ascii="Times New Roman"/>
                <w:sz w:val="20"/>
              </w:rPr>
            </w:pPr>
          </w:p>
        </w:tc>
        <w:tc>
          <w:tcPr>
            <w:tcW w:w="3465" w:type="dxa"/>
            <w:tcBorders>
              <w:left w:val="dotted" w:sz="4" w:space="0" w:color="000000"/>
            </w:tcBorders>
          </w:tcPr>
          <w:p>
            <w:pPr>
              <w:pStyle w:val="TableParagraph"/>
              <w:spacing w:line="261" w:lineRule="exact"/>
              <w:ind w:left="313"/>
              <w:rPr>
                <w:sz w:val="21"/>
              </w:rPr>
            </w:pPr>
            <w:r>
              <w:rPr>
                <w:sz w:val="21"/>
              </w:rPr>
              <w:t>11.12 机动车</w:t>
            </w:r>
          </w:p>
        </w:tc>
      </w:tr>
      <w:tr>
        <w:trPr>
          <w:trHeight w:val="326" w:hRule="atLeast"/>
        </w:trPr>
        <w:tc>
          <w:tcPr>
            <w:tcW w:w="3139" w:type="dxa"/>
            <w:tcBorders>
              <w:right w:val="dotted" w:sz="4" w:space="0" w:color="000000"/>
            </w:tcBorders>
          </w:tcPr>
          <w:p>
            <w:pPr>
              <w:pStyle w:val="TableParagraph"/>
              <w:spacing w:line="261" w:lineRule="exact"/>
              <w:ind w:left="200"/>
              <w:rPr>
                <w:b/>
                <w:sz w:val="21"/>
              </w:rPr>
            </w:pPr>
            <w:r>
              <w:rPr>
                <w:b/>
                <w:sz w:val="21"/>
              </w:rPr>
              <w:t>3 重大疾病</w:t>
            </w:r>
          </w:p>
        </w:tc>
        <w:tc>
          <w:tcPr>
            <w:tcW w:w="3769" w:type="dxa"/>
            <w:tcBorders>
              <w:left w:val="dotted" w:sz="4" w:space="0" w:color="000000"/>
              <w:right w:val="dotted" w:sz="4" w:space="0" w:color="000000"/>
            </w:tcBorders>
          </w:tcPr>
          <w:p>
            <w:pPr>
              <w:pStyle w:val="TableParagraph"/>
              <w:spacing w:line="261" w:lineRule="exact"/>
              <w:ind w:left="102"/>
              <w:rPr>
                <w:b/>
                <w:sz w:val="21"/>
              </w:rPr>
            </w:pPr>
            <w:r>
              <w:rPr>
                <w:b/>
                <w:sz w:val="21"/>
              </w:rPr>
              <w:t>8 合同解除</w:t>
            </w:r>
          </w:p>
        </w:tc>
        <w:tc>
          <w:tcPr>
            <w:tcW w:w="3465" w:type="dxa"/>
            <w:tcBorders>
              <w:left w:val="dotted" w:sz="4" w:space="0" w:color="000000"/>
            </w:tcBorders>
          </w:tcPr>
          <w:p>
            <w:pPr>
              <w:pStyle w:val="TableParagraph"/>
              <w:spacing w:line="261" w:lineRule="exact"/>
              <w:ind w:left="313"/>
              <w:rPr>
                <w:sz w:val="21"/>
              </w:rPr>
            </w:pPr>
            <w:r>
              <w:rPr>
                <w:sz w:val="21"/>
              </w:rPr>
              <w:t>11.13 现金价值</w:t>
            </w:r>
          </w:p>
        </w:tc>
      </w:tr>
      <w:tr>
        <w:trPr>
          <w:trHeight w:val="339" w:hRule="atLeast"/>
        </w:trPr>
        <w:tc>
          <w:tcPr>
            <w:tcW w:w="3139" w:type="dxa"/>
            <w:tcBorders>
              <w:right w:val="dotted" w:sz="4" w:space="0" w:color="000000"/>
            </w:tcBorders>
          </w:tcPr>
          <w:p>
            <w:pPr>
              <w:pStyle w:val="TableParagraph"/>
              <w:spacing w:before="1"/>
              <w:ind w:right="879"/>
              <w:jc w:val="right"/>
              <w:rPr>
                <w:sz w:val="21"/>
              </w:rPr>
            </w:pPr>
            <w:r>
              <w:rPr>
                <w:sz w:val="21"/>
              </w:rPr>
              <w:t>3.1 重大疾病的范围</w:t>
            </w:r>
          </w:p>
        </w:tc>
        <w:tc>
          <w:tcPr>
            <w:tcW w:w="3769" w:type="dxa"/>
            <w:tcBorders>
              <w:left w:val="dotted" w:sz="4" w:space="0" w:color="000000"/>
              <w:right w:val="dotted" w:sz="4" w:space="0" w:color="000000"/>
            </w:tcBorders>
          </w:tcPr>
          <w:p>
            <w:pPr>
              <w:pStyle w:val="TableParagraph"/>
              <w:spacing w:before="1"/>
              <w:ind w:left="313"/>
              <w:rPr>
                <w:sz w:val="21"/>
              </w:rPr>
            </w:pPr>
            <w:r>
              <w:rPr>
                <w:sz w:val="21"/>
              </w:rPr>
              <w:t>8.1 犹豫期后解除合同（退保）的</w:t>
            </w:r>
          </w:p>
        </w:tc>
        <w:tc>
          <w:tcPr>
            <w:tcW w:w="3465" w:type="dxa"/>
            <w:tcBorders>
              <w:left w:val="dotted" w:sz="4" w:space="0" w:color="000000"/>
            </w:tcBorders>
          </w:tcPr>
          <w:p>
            <w:pPr>
              <w:pStyle w:val="TableParagraph"/>
              <w:spacing w:before="1"/>
              <w:ind w:left="313"/>
              <w:rPr>
                <w:sz w:val="21"/>
              </w:rPr>
            </w:pPr>
            <w:r>
              <w:rPr>
                <w:sz w:val="21"/>
              </w:rPr>
              <w:t>11.14 肢体机能完全丧失</w:t>
            </w:r>
          </w:p>
        </w:tc>
      </w:tr>
      <w:tr>
        <w:trPr>
          <w:trHeight w:val="339" w:hRule="atLeast"/>
        </w:trPr>
        <w:tc>
          <w:tcPr>
            <w:tcW w:w="3139" w:type="dxa"/>
            <w:tcBorders>
              <w:right w:val="dotted" w:sz="4" w:space="0" w:color="000000"/>
            </w:tcBorders>
          </w:tcPr>
          <w:p>
            <w:pPr>
              <w:pStyle w:val="TableParagraph"/>
              <w:ind w:right="879"/>
              <w:jc w:val="right"/>
              <w:rPr>
                <w:sz w:val="21"/>
              </w:rPr>
            </w:pPr>
            <w:r>
              <w:rPr>
                <w:sz w:val="21"/>
              </w:rPr>
              <w:t>3.2 重大疾病的定义</w:t>
            </w:r>
          </w:p>
        </w:tc>
        <w:tc>
          <w:tcPr>
            <w:tcW w:w="3769" w:type="dxa"/>
            <w:tcBorders>
              <w:left w:val="dotted" w:sz="4" w:space="0" w:color="000000"/>
              <w:right w:val="dotted" w:sz="4" w:space="0" w:color="000000"/>
            </w:tcBorders>
          </w:tcPr>
          <w:p>
            <w:pPr>
              <w:pStyle w:val="TableParagraph"/>
              <w:ind w:left="313"/>
              <w:rPr>
                <w:sz w:val="21"/>
              </w:rPr>
            </w:pPr>
            <w:r>
              <w:rPr>
                <w:sz w:val="21"/>
              </w:rPr>
              <w:t>手续及风险</w:t>
            </w:r>
          </w:p>
        </w:tc>
        <w:tc>
          <w:tcPr>
            <w:tcW w:w="3465" w:type="dxa"/>
            <w:tcBorders>
              <w:left w:val="dotted" w:sz="4" w:space="0" w:color="000000"/>
            </w:tcBorders>
          </w:tcPr>
          <w:p>
            <w:pPr>
              <w:pStyle w:val="TableParagraph"/>
              <w:ind w:left="313"/>
              <w:rPr>
                <w:sz w:val="21"/>
              </w:rPr>
            </w:pPr>
            <w:r>
              <w:rPr>
                <w:sz w:val="21"/>
              </w:rPr>
              <w:t>11.15 语言能力或咀嚼吞咽能力</w:t>
            </w:r>
          </w:p>
        </w:tc>
      </w:tr>
      <w:tr>
        <w:trPr>
          <w:trHeight w:val="340" w:hRule="atLeast"/>
        </w:trPr>
        <w:tc>
          <w:tcPr>
            <w:tcW w:w="3139" w:type="dxa"/>
            <w:tcBorders>
              <w:right w:val="dotted" w:sz="4" w:space="0" w:color="000000"/>
            </w:tcBorders>
          </w:tcPr>
          <w:p>
            <w:pPr>
              <w:pStyle w:val="TableParagraph"/>
              <w:rPr>
                <w:rFonts w:ascii="Times New Roman"/>
                <w:sz w:val="20"/>
              </w:rPr>
            </w:pPr>
          </w:p>
        </w:tc>
        <w:tc>
          <w:tcPr>
            <w:tcW w:w="3769" w:type="dxa"/>
            <w:tcBorders>
              <w:left w:val="dotted" w:sz="4" w:space="0" w:color="000000"/>
              <w:right w:val="dotted" w:sz="4" w:space="0" w:color="000000"/>
            </w:tcBorders>
          </w:tcPr>
          <w:p>
            <w:pPr>
              <w:pStyle w:val="TableParagraph"/>
              <w:rPr>
                <w:rFonts w:ascii="Times New Roman"/>
                <w:sz w:val="20"/>
              </w:rPr>
            </w:pPr>
          </w:p>
        </w:tc>
        <w:tc>
          <w:tcPr>
            <w:tcW w:w="3465" w:type="dxa"/>
            <w:tcBorders>
              <w:left w:val="dotted" w:sz="4" w:space="0" w:color="000000"/>
            </w:tcBorders>
          </w:tcPr>
          <w:p>
            <w:pPr>
              <w:pStyle w:val="TableParagraph"/>
              <w:spacing w:before="1"/>
              <w:ind w:left="942"/>
              <w:rPr>
                <w:sz w:val="21"/>
              </w:rPr>
            </w:pPr>
            <w:r>
              <w:rPr>
                <w:sz w:val="21"/>
              </w:rPr>
              <w:t>完全丧失</w:t>
            </w:r>
          </w:p>
        </w:tc>
      </w:tr>
      <w:tr>
        <w:trPr>
          <w:trHeight w:val="339" w:hRule="atLeast"/>
        </w:trPr>
        <w:tc>
          <w:tcPr>
            <w:tcW w:w="3139" w:type="dxa"/>
            <w:tcBorders>
              <w:right w:val="dotted" w:sz="4" w:space="0" w:color="000000"/>
            </w:tcBorders>
          </w:tcPr>
          <w:p>
            <w:pPr>
              <w:pStyle w:val="TableParagraph"/>
              <w:rPr>
                <w:rFonts w:ascii="Times New Roman"/>
                <w:sz w:val="20"/>
              </w:rPr>
            </w:pPr>
          </w:p>
        </w:tc>
        <w:tc>
          <w:tcPr>
            <w:tcW w:w="3769" w:type="dxa"/>
            <w:tcBorders>
              <w:left w:val="dotted" w:sz="4" w:space="0" w:color="000000"/>
              <w:right w:val="dotted" w:sz="4" w:space="0" w:color="000000"/>
            </w:tcBorders>
          </w:tcPr>
          <w:p>
            <w:pPr>
              <w:pStyle w:val="TableParagraph"/>
              <w:rPr>
                <w:rFonts w:ascii="Times New Roman"/>
                <w:sz w:val="20"/>
              </w:rPr>
            </w:pPr>
          </w:p>
        </w:tc>
        <w:tc>
          <w:tcPr>
            <w:tcW w:w="3465" w:type="dxa"/>
            <w:tcBorders>
              <w:left w:val="dotted" w:sz="4" w:space="0" w:color="000000"/>
            </w:tcBorders>
          </w:tcPr>
          <w:p>
            <w:pPr>
              <w:pStyle w:val="TableParagraph"/>
              <w:spacing w:before="1"/>
              <w:ind w:left="313"/>
              <w:rPr>
                <w:sz w:val="21"/>
              </w:rPr>
            </w:pPr>
            <w:r>
              <w:rPr>
                <w:sz w:val="21"/>
              </w:rPr>
              <w:t>11.16 六项基本日常生活活动</w:t>
            </w:r>
          </w:p>
        </w:tc>
      </w:tr>
      <w:tr>
        <w:trPr>
          <w:trHeight w:val="339" w:hRule="atLeast"/>
        </w:trPr>
        <w:tc>
          <w:tcPr>
            <w:tcW w:w="3139" w:type="dxa"/>
            <w:tcBorders>
              <w:right w:val="dotted" w:sz="4" w:space="0" w:color="000000"/>
            </w:tcBorders>
          </w:tcPr>
          <w:p>
            <w:pPr>
              <w:pStyle w:val="TableParagraph"/>
              <w:ind w:left="200"/>
              <w:rPr>
                <w:b/>
                <w:sz w:val="21"/>
              </w:rPr>
            </w:pPr>
            <w:r>
              <w:rPr>
                <w:b/>
                <w:sz w:val="21"/>
              </w:rPr>
              <w:t>4 保险金的申请</w:t>
            </w:r>
          </w:p>
        </w:tc>
        <w:tc>
          <w:tcPr>
            <w:tcW w:w="3769" w:type="dxa"/>
            <w:tcBorders>
              <w:left w:val="dotted" w:sz="4" w:space="0" w:color="000000"/>
              <w:right w:val="dotted" w:sz="4" w:space="0" w:color="000000"/>
            </w:tcBorders>
          </w:tcPr>
          <w:p>
            <w:pPr>
              <w:pStyle w:val="TableParagraph"/>
              <w:ind w:left="102"/>
              <w:rPr>
                <w:b/>
                <w:sz w:val="21"/>
              </w:rPr>
            </w:pPr>
            <w:r>
              <w:rPr>
                <w:b/>
                <w:sz w:val="21"/>
              </w:rPr>
              <w:t>9 如实告知</w:t>
            </w:r>
          </w:p>
        </w:tc>
        <w:tc>
          <w:tcPr>
            <w:tcW w:w="3465" w:type="dxa"/>
            <w:tcBorders>
              <w:left w:val="dotted" w:sz="4" w:space="0" w:color="000000"/>
            </w:tcBorders>
          </w:tcPr>
          <w:p>
            <w:pPr>
              <w:pStyle w:val="TableParagraph"/>
              <w:ind w:left="313"/>
              <w:rPr>
                <w:sz w:val="21"/>
              </w:rPr>
            </w:pPr>
            <w:r>
              <w:rPr>
                <w:sz w:val="21"/>
              </w:rPr>
              <w:t>11.17 永久不可逆</w:t>
            </w:r>
          </w:p>
        </w:tc>
      </w:tr>
      <w:tr>
        <w:trPr>
          <w:trHeight w:val="340" w:hRule="atLeast"/>
        </w:trPr>
        <w:tc>
          <w:tcPr>
            <w:tcW w:w="3139" w:type="dxa"/>
            <w:tcBorders>
              <w:right w:val="dotted" w:sz="4" w:space="0" w:color="000000"/>
            </w:tcBorders>
          </w:tcPr>
          <w:p>
            <w:pPr>
              <w:pStyle w:val="TableParagraph"/>
              <w:spacing w:before="1"/>
              <w:ind w:left="411"/>
              <w:rPr>
                <w:sz w:val="21"/>
              </w:rPr>
            </w:pPr>
            <w:r>
              <w:rPr>
                <w:sz w:val="21"/>
              </w:rPr>
              <w:t>4.1 受益人</w:t>
            </w:r>
          </w:p>
        </w:tc>
        <w:tc>
          <w:tcPr>
            <w:tcW w:w="3769" w:type="dxa"/>
            <w:tcBorders>
              <w:left w:val="dotted" w:sz="4" w:space="0" w:color="000000"/>
              <w:right w:val="dotted" w:sz="4" w:space="0" w:color="000000"/>
            </w:tcBorders>
          </w:tcPr>
          <w:p>
            <w:pPr>
              <w:pStyle w:val="TableParagraph"/>
              <w:spacing w:before="1"/>
              <w:ind w:left="313"/>
              <w:rPr>
                <w:sz w:val="21"/>
              </w:rPr>
            </w:pPr>
            <w:r>
              <w:rPr>
                <w:sz w:val="21"/>
              </w:rPr>
              <w:t>9.1 明确说明与如实告知</w:t>
            </w:r>
          </w:p>
        </w:tc>
        <w:tc>
          <w:tcPr>
            <w:tcW w:w="3465" w:type="dxa"/>
            <w:tcBorders>
              <w:left w:val="dotted" w:sz="4" w:space="0" w:color="000000"/>
            </w:tcBorders>
          </w:tcPr>
          <w:p>
            <w:pPr>
              <w:pStyle w:val="TableParagraph"/>
              <w:spacing w:before="1"/>
              <w:ind w:left="313"/>
              <w:rPr>
                <w:sz w:val="21"/>
              </w:rPr>
            </w:pPr>
            <w:r>
              <w:rPr>
                <w:sz w:val="21"/>
              </w:rPr>
              <w:t>11.18 周岁</w:t>
            </w:r>
          </w:p>
        </w:tc>
      </w:tr>
      <w:tr>
        <w:trPr>
          <w:trHeight w:val="339" w:hRule="atLeast"/>
        </w:trPr>
        <w:tc>
          <w:tcPr>
            <w:tcW w:w="3139" w:type="dxa"/>
            <w:tcBorders>
              <w:right w:val="dotted" w:sz="4" w:space="0" w:color="000000"/>
            </w:tcBorders>
          </w:tcPr>
          <w:p>
            <w:pPr>
              <w:pStyle w:val="TableParagraph"/>
              <w:spacing w:before="1"/>
              <w:ind w:left="411"/>
              <w:rPr>
                <w:sz w:val="21"/>
              </w:rPr>
            </w:pPr>
            <w:r>
              <w:rPr>
                <w:sz w:val="21"/>
              </w:rPr>
              <w:t>4.2 保险事故通知</w:t>
            </w:r>
          </w:p>
        </w:tc>
        <w:tc>
          <w:tcPr>
            <w:tcW w:w="3769" w:type="dxa"/>
            <w:tcBorders>
              <w:left w:val="dotted" w:sz="4" w:space="0" w:color="000000"/>
              <w:right w:val="dotted" w:sz="4" w:space="0" w:color="000000"/>
            </w:tcBorders>
          </w:tcPr>
          <w:p>
            <w:pPr>
              <w:pStyle w:val="TableParagraph"/>
              <w:spacing w:before="1"/>
              <w:ind w:left="313"/>
              <w:rPr>
                <w:sz w:val="21"/>
              </w:rPr>
            </w:pPr>
            <w:r>
              <w:rPr>
                <w:sz w:val="21"/>
              </w:rPr>
              <w:t>9.2 本公司合同解除权的限制</w:t>
            </w:r>
          </w:p>
        </w:tc>
        <w:tc>
          <w:tcPr>
            <w:tcW w:w="3465" w:type="dxa"/>
            <w:tcBorders>
              <w:left w:val="dotted" w:sz="4" w:space="0" w:color="000000"/>
            </w:tcBorders>
          </w:tcPr>
          <w:p>
            <w:pPr>
              <w:pStyle w:val="TableParagraph"/>
              <w:spacing w:before="1"/>
              <w:ind w:left="313"/>
              <w:rPr>
                <w:sz w:val="21"/>
              </w:rPr>
            </w:pPr>
            <w:r>
              <w:rPr>
                <w:sz w:val="21"/>
              </w:rPr>
              <w:t>11.19 条款约定利率</w:t>
            </w:r>
          </w:p>
        </w:tc>
      </w:tr>
      <w:tr>
        <w:trPr>
          <w:trHeight w:val="339" w:hRule="atLeast"/>
        </w:trPr>
        <w:tc>
          <w:tcPr>
            <w:tcW w:w="3139" w:type="dxa"/>
            <w:tcBorders>
              <w:right w:val="dotted" w:sz="4" w:space="0" w:color="000000"/>
            </w:tcBorders>
          </w:tcPr>
          <w:p>
            <w:pPr>
              <w:pStyle w:val="TableParagraph"/>
              <w:ind w:left="411"/>
              <w:rPr>
                <w:sz w:val="21"/>
              </w:rPr>
            </w:pPr>
            <w:r>
              <w:rPr>
                <w:sz w:val="21"/>
              </w:rPr>
              <w:t>4.3 保险金申请</w:t>
            </w:r>
          </w:p>
        </w:tc>
        <w:tc>
          <w:tcPr>
            <w:tcW w:w="3769" w:type="dxa"/>
            <w:tcBorders>
              <w:left w:val="dotted" w:sz="4" w:space="0" w:color="000000"/>
              <w:right w:val="dotted" w:sz="4" w:space="0" w:color="000000"/>
            </w:tcBorders>
          </w:tcPr>
          <w:p>
            <w:pPr>
              <w:pStyle w:val="TableParagraph"/>
              <w:rPr>
                <w:rFonts w:ascii="Times New Roman"/>
                <w:sz w:val="20"/>
              </w:rPr>
            </w:pPr>
          </w:p>
        </w:tc>
        <w:tc>
          <w:tcPr>
            <w:tcW w:w="3465" w:type="dxa"/>
            <w:tcBorders>
              <w:left w:val="dotted" w:sz="4" w:space="0" w:color="000000"/>
            </w:tcBorders>
          </w:tcPr>
          <w:p>
            <w:pPr>
              <w:pStyle w:val="TableParagraph"/>
              <w:rPr>
                <w:rFonts w:ascii="Times New Roman"/>
                <w:sz w:val="20"/>
              </w:rPr>
            </w:pPr>
          </w:p>
        </w:tc>
      </w:tr>
      <w:tr>
        <w:trPr>
          <w:trHeight w:val="340" w:hRule="atLeast"/>
        </w:trPr>
        <w:tc>
          <w:tcPr>
            <w:tcW w:w="3139" w:type="dxa"/>
            <w:tcBorders>
              <w:right w:val="dotted" w:sz="4" w:space="0" w:color="000000"/>
            </w:tcBorders>
          </w:tcPr>
          <w:p>
            <w:pPr>
              <w:pStyle w:val="TableParagraph"/>
              <w:spacing w:before="1"/>
              <w:ind w:left="411"/>
              <w:rPr>
                <w:sz w:val="21"/>
              </w:rPr>
            </w:pPr>
            <w:r>
              <w:rPr>
                <w:sz w:val="21"/>
              </w:rPr>
              <w:t>4.4 保险金给付</w:t>
            </w:r>
          </w:p>
        </w:tc>
        <w:tc>
          <w:tcPr>
            <w:tcW w:w="3769" w:type="dxa"/>
            <w:tcBorders>
              <w:left w:val="dotted" w:sz="4" w:space="0" w:color="000000"/>
              <w:right w:val="dotted" w:sz="4" w:space="0" w:color="000000"/>
            </w:tcBorders>
          </w:tcPr>
          <w:p>
            <w:pPr>
              <w:pStyle w:val="TableParagraph"/>
              <w:rPr>
                <w:rFonts w:ascii="Times New Roman"/>
                <w:sz w:val="20"/>
              </w:rPr>
            </w:pPr>
          </w:p>
        </w:tc>
        <w:tc>
          <w:tcPr>
            <w:tcW w:w="3465" w:type="dxa"/>
            <w:tcBorders>
              <w:left w:val="dotted" w:sz="4" w:space="0" w:color="000000"/>
            </w:tcBorders>
          </w:tcPr>
          <w:p>
            <w:pPr>
              <w:pStyle w:val="TableParagraph"/>
              <w:rPr>
                <w:rFonts w:ascii="Times New Roman"/>
                <w:sz w:val="20"/>
              </w:rPr>
            </w:pPr>
          </w:p>
        </w:tc>
      </w:tr>
      <w:tr>
        <w:trPr>
          <w:trHeight w:val="339" w:hRule="atLeast"/>
        </w:trPr>
        <w:tc>
          <w:tcPr>
            <w:tcW w:w="3139" w:type="dxa"/>
            <w:tcBorders>
              <w:right w:val="dotted" w:sz="4" w:space="0" w:color="000000"/>
            </w:tcBorders>
          </w:tcPr>
          <w:p>
            <w:pPr>
              <w:pStyle w:val="TableParagraph"/>
              <w:spacing w:before="1"/>
              <w:ind w:left="411"/>
              <w:rPr>
                <w:sz w:val="21"/>
              </w:rPr>
            </w:pPr>
            <w:r>
              <w:rPr>
                <w:sz w:val="21"/>
              </w:rPr>
              <w:t>4.5 宣告死亡处理</w:t>
            </w:r>
          </w:p>
        </w:tc>
        <w:tc>
          <w:tcPr>
            <w:tcW w:w="3769" w:type="dxa"/>
            <w:tcBorders>
              <w:left w:val="dotted" w:sz="4" w:space="0" w:color="000000"/>
              <w:right w:val="dotted" w:sz="4" w:space="0" w:color="000000"/>
            </w:tcBorders>
          </w:tcPr>
          <w:p>
            <w:pPr>
              <w:pStyle w:val="TableParagraph"/>
              <w:rPr>
                <w:rFonts w:ascii="Times New Roman"/>
                <w:sz w:val="20"/>
              </w:rPr>
            </w:pPr>
          </w:p>
        </w:tc>
        <w:tc>
          <w:tcPr>
            <w:tcW w:w="3465" w:type="dxa"/>
            <w:tcBorders>
              <w:left w:val="dotted" w:sz="4" w:space="0" w:color="000000"/>
            </w:tcBorders>
          </w:tcPr>
          <w:p>
            <w:pPr>
              <w:pStyle w:val="TableParagraph"/>
              <w:rPr>
                <w:rFonts w:ascii="Times New Roman"/>
                <w:sz w:val="20"/>
              </w:rPr>
            </w:pPr>
          </w:p>
        </w:tc>
      </w:tr>
      <w:tr>
        <w:trPr>
          <w:trHeight w:val="679" w:hRule="atLeast"/>
        </w:trPr>
        <w:tc>
          <w:tcPr>
            <w:tcW w:w="3139" w:type="dxa"/>
            <w:tcBorders>
              <w:right w:val="dotted" w:sz="4" w:space="0" w:color="000000"/>
            </w:tcBorders>
          </w:tcPr>
          <w:p>
            <w:pPr>
              <w:pStyle w:val="TableParagraph"/>
              <w:ind w:left="411"/>
              <w:rPr>
                <w:sz w:val="21"/>
              </w:rPr>
            </w:pPr>
            <w:r>
              <w:rPr>
                <w:sz w:val="21"/>
              </w:rPr>
              <w:t>4.6 诉讼时效</w:t>
            </w:r>
          </w:p>
        </w:tc>
        <w:tc>
          <w:tcPr>
            <w:tcW w:w="3769" w:type="dxa"/>
            <w:tcBorders>
              <w:left w:val="dotted" w:sz="4" w:space="0" w:color="000000"/>
              <w:right w:val="dotted" w:sz="4" w:space="0" w:color="000000"/>
            </w:tcBorders>
          </w:tcPr>
          <w:p>
            <w:pPr>
              <w:pStyle w:val="TableParagraph"/>
              <w:rPr>
                <w:rFonts w:ascii="Times New Roman"/>
                <w:sz w:val="20"/>
              </w:rPr>
            </w:pPr>
          </w:p>
        </w:tc>
        <w:tc>
          <w:tcPr>
            <w:tcW w:w="3465" w:type="dxa"/>
            <w:tcBorders>
              <w:left w:val="dotted" w:sz="4" w:space="0" w:color="000000"/>
            </w:tcBorders>
          </w:tcPr>
          <w:p>
            <w:pPr>
              <w:pStyle w:val="TableParagraph"/>
              <w:rPr>
                <w:rFonts w:ascii="Times New Roman"/>
                <w:sz w:val="20"/>
              </w:rPr>
            </w:pPr>
          </w:p>
        </w:tc>
      </w:tr>
      <w:tr>
        <w:trPr>
          <w:trHeight w:val="680" w:hRule="atLeast"/>
        </w:trPr>
        <w:tc>
          <w:tcPr>
            <w:tcW w:w="3139" w:type="dxa"/>
            <w:tcBorders>
              <w:right w:val="dotted" w:sz="4" w:space="0" w:color="000000"/>
            </w:tcBorders>
          </w:tcPr>
          <w:p>
            <w:pPr>
              <w:pStyle w:val="TableParagraph"/>
              <w:spacing w:before="12"/>
              <w:rPr>
                <w:rFonts w:ascii="微软雅黑"/>
                <w:b/>
                <w:sz w:val="19"/>
              </w:rPr>
            </w:pPr>
          </w:p>
          <w:p>
            <w:pPr>
              <w:pStyle w:val="TableParagraph"/>
              <w:ind w:left="200"/>
              <w:rPr>
                <w:b/>
                <w:sz w:val="21"/>
              </w:rPr>
            </w:pPr>
            <w:r>
              <w:rPr>
                <w:b/>
                <w:sz w:val="21"/>
              </w:rPr>
              <w:t>5 保险费的交纳</w:t>
            </w:r>
          </w:p>
        </w:tc>
        <w:tc>
          <w:tcPr>
            <w:tcW w:w="3769" w:type="dxa"/>
            <w:tcBorders>
              <w:left w:val="dotted" w:sz="4" w:space="0" w:color="000000"/>
              <w:right w:val="dotted" w:sz="4" w:space="0" w:color="000000"/>
            </w:tcBorders>
          </w:tcPr>
          <w:p>
            <w:pPr>
              <w:pStyle w:val="TableParagraph"/>
              <w:spacing w:before="12"/>
              <w:rPr>
                <w:rFonts w:ascii="微软雅黑"/>
                <w:b/>
                <w:sz w:val="19"/>
              </w:rPr>
            </w:pPr>
          </w:p>
          <w:p>
            <w:pPr>
              <w:pStyle w:val="TableParagraph"/>
              <w:ind w:left="102"/>
              <w:rPr>
                <w:b/>
                <w:sz w:val="21"/>
              </w:rPr>
            </w:pPr>
            <w:r>
              <w:rPr>
                <w:b/>
                <w:sz w:val="21"/>
              </w:rPr>
              <w:t>10 其他需要关注的事项</w:t>
            </w:r>
          </w:p>
        </w:tc>
        <w:tc>
          <w:tcPr>
            <w:tcW w:w="3465" w:type="dxa"/>
            <w:tcBorders>
              <w:left w:val="dotted" w:sz="4" w:space="0" w:color="000000"/>
            </w:tcBorders>
          </w:tcPr>
          <w:p>
            <w:pPr>
              <w:pStyle w:val="TableParagraph"/>
              <w:rPr>
                <w:rFonts w:ascii="Times New Roman"/>
                <w:sz w:val="20"/>
              </w:rPr>
            </w:pPr>
          </w:p>
        </w:tc>
      </w:tr>
      <w:tr>
        <w:trPr>
          <w:trHeight w:val="340" w:hRule="atLeast"/>
        </w:trPr>
        <w:tc>
          <w:tcPr>
            <w:tcW w:w="3139" w:type="dxa"/>
            <w:tcBorders>
              <w:right w:val="dotted" w:sz="4" w:space="0" w:color="000000"/>
            </w:tcBorders>
          </w:tcPr>
          <w:p>
            <w:pPr>
              <w:pStyle w:val="TableParagraph"/>
              <w:spacing w:before="1"/>
              <w:ind w:left="411"/>
              <w:rPr>
                <w:sz w:val="21"/>
              </w:rPr>
            </w:pPr>
            <w:r>
              <w:rPr>
                <w:sz w:val="21"/>
              </w:rPr>
              <w:t>5.1 保险费的交纳</w:t>
            </w:r>
          </w:p>
        </w:tc>
        <w:tc>
          <w:tcPr>
            <w:tcW w:w="3769" w:type="dxa"/>
            <w:tcBorders>
              <w:left w:val="dotted" w:sz="4" w:space="0" w:color="000000"/>
              <w:right w:val="dotted" w:sz="4" w:space="0" w:color="000000"/>
            </w:tcBorders>
          </w:tcPr>
          <w:p>
            <w:pPr>
              <w:pStyle w:val="TableParagraph"/>
              <w:spacing w:before="1"/>
              <w:ind w:left="313"/>
              <w:rPr>
                <w:sz w:val="21"/>
              </w:rPr>
            </w:pPr>
            <w:r>
              <w:rPr>
                <w:sz w:val="21"/>
              </w:rPr>
              <w:t>10.1 合同效力终止</w:t>
            </w:r>
          </w:p>
        </w:tc>
        <w:tc>
          <w:tcPr>
            <w:tcW w:w="3465" w:type="dxa"/>
            <w:tcBorders>
              <w:left w:val="dotted" w:sz="4" w:space="0" w:color="000000"/>
            </w:tcBorders>
          </w:tcPr>
          <w:p>
            <w:pPr>
              <w:pStyle w:val="TableParagraph"/>
              <w:rPr>
                <w:rFonts w:ascii="Times New Roman"/>
                <w:sz w:val="20"/>
              </w:rPr>
            </w:pPr>
          </w:p>
        </w:tc>
      </w:tr>
      <w:tr>
        <w:trPr>
          <w:trHeight w:val="339" w:hRule="atLeast"/>
        </w:trPr>
        <w:tc>
          <w:tcPr>
            <w:tcW w:w="3139" w:type="dxa"/>
            <w:tcBorders>
              <w:right w:val="dotted" w:sz="4" w:space="0" w:color="000000"/>
            </w:tcBorders>
          </w:tcPr>
          <w:p>
            <w:pPr>
              <w:pStyle w:val="TableParagraph"/>
              <w:spacing w:before="1"/>
              <w:ind w:left="411"/>
              <w:rPr>
                <w:sz w:val="21"/>
              </w:rPr>
            </w:pPr>
            <w:r>
              <w:rPr>
                <w:sz w:val="21"/>
              </w:rPr>
              <w:t>5.2 宽限期</w:t>
            </w:r>
          </w:p>
        </w:tc>
        <w:tc>
          <w:tcPr>
            <w:tcW w:w="3769" w:type="dxa"/>
            <w:tcBorders>
              <w:left w:val="dotted" w:sz="4" w:space="0" w:color="000000"/>
              <w:right w:val="dotted" w:sz="4" w:space="0" w:color="000000"/>
            </w:tcBorders>
          </w:tcPr>
          <w:p>
            <w:pPr>
              <w:pStyle w:val="TableParagraph"/>
              <w:spacing w:before="1"/>
              <w:ind w:left="313"/>
              <w:rPr>
                <w:sz w:val="21"/>
              </w:rPr>
            </w:pPr>
            <w:r>
              <w:rPr>
                <w:sz w:val="21"/>
              </w:rPr>
              <w:t>10.2 年龄性别错误处理</w:t>
            </w:r>
          </w:p>
        </w:tc>
        <w:tc>
          <w:tcPr>
            <w:tcW w:w="3465" w:type="dxa"/>
            <w:tcBorders>
              <w:left w:val="dotted" w:sz="4" w:space="0" w:color="000000"/>
            </w:tcBorders>
          </w:tcPr>
          <w:p>
            <w:pPr>
              <w:pStyle w:val="TableParagraph"/>
              <w:rPr>
                <w:rFonts w:ascii="Times New Roman"/>
                <w:sz w:val="20"/>
              </w:rPr>
            </w:pPr>
          </w:p>
        </w:tc>
      </w:tr>
      <w:tr>
        <w:trPr>
          <w:trHeight w:val="339" w:hRule="atLeast"/>
        </w:trPr>
        <w:tc>
          <w:tcPr>
            <w:tcW w:w="3139" w:type="dxa"/>
            <w:tcBorders>
              <w:right w:val="dotted" w:sz="4" w:space="0" w:color="000000"/>
            </w:tcBorders>
          </w:tcPr>
          <w:p>
            <w:pPr>
              <w:pStyle w:val="TableParagraph"/>
              <w:rPr>
                <w:rFonts w:ascii="Times New Roman"/>
                <w:sz w:val="20"/>
              </w:rPr>
            </w:pPr>
          </w:p>
        </w:tc>
        <w:tc>
          <w:tcPr>
            <w:tcW w:w="3769" w:type="dxa"/>
            <w:tcBorders>
              <w:left w:val="dotted" w:sz="4" w:space="0" w:color="000000"/>
              <w:right w:val="dotted" w:sz="4" w:space="0" w:color="000000"/>
            </w:tcBorders>
          </w:tcPr>
          <w:p>
            <w:pPr>
              <w:pStyle w:val="TableParagraph"/>
              <w:ind w:left="313"/>
              <w:rPr>
                <w:sz w:val="21"/>
              </w:rPr>
            </w:pPr>
            <w:r>
              <w:rPr>
                <w:sz w:val="21"/>
              </w:rPr>
              <w:t>10.3 欠款扣除</w:t>
            </w:r>
          </w:p>
        </w:tc>
        <w:tc>
          <w:tcPr>
            <w:tcW w:w="3465" w:type="dxa"/>
            <w:tcBorders>
              <w:left w:val="dotted" w:sz="4" w:space="0" w:color="000000"/>
            </w:tcBorders>
          </w:tcPr>
          <w:p>
            <w:pPr>
              <w:pStyle w:val="TableParagraph"/>
              <w:rPr>
                <w:rFonts w:ascii="Times New Roman"/>
                <w:sz w:val="20"/>
              </w:rPr>
            </w:pPr>
          </w:p>
        </w:tc>
      </w:tr>
      <w:tr>
        <w:trPr>
          <w:trHeight w:val="340" w:hRule="atLeast"/>
        </w:trPr>
        <w:tc>
          <w:tcPr>
            <w:tcW w:w="3139" w:type="dxa"/>
            <w:tcBorders>
              <w:right w:val="dotted" w:sz="4" w:space="0" w:color="000000"/>
            </w:tcBorders>
          </w:tcPr>
          <w:p>
            <w:pPr>
              <w:pStyle w:val="TableParagraph"/>
              <w:rPr>
                <w:rFonts w:ascii="Times New Roman"/>
                <w:sz w:val="20"/>
              </w:rPr>
            </w:pPr>
          </w:p>
        </w:tc>
        <w:tc>
          <w:tcPr>
            <w:tcW w:w="3769" w:type="dxa"/>
            <w:tcBorders>
              <w:left w:val="dotted" w:sz="4" w:space="0" w:color="000000"/>
              <w:right w:val="dotted" w:sz="4" w:space="0" w:color="000000"/>
            </w:tcBorders>
          </w:tcPr>
          <w:p>
            <w:pPr>
              <w:pStyle w:val="TableParagraph"/>
              <w:spacing w:before="1"/>
              <w:ind w:left="313"/>
              <w:rPr>
                <w:sz w:val="21"/>
              </w:rPr>
            </w:pPr>
            <w:r>
              <w:rPr>
                <w:sz w:val="21"/>
              </w:rPr>
              <w:t>10.4 合同内容变更</w:t>
            </w:r>
          </w:p>
        </w:tc>
        <w:tc>
          <w:tcPr>
            <w:tcW w:w="3465" w:type="dxa"/>
            <w:tcBorders>
              <w:left w:val="dotted" w:sz="4" w:space="0" w:color="000000"/>
            </w:tcBorders>
          </w:tcPr>
          <w:p>
            <w:pPr>
              <w:pStyle w:val="TableParagraph"/>
              <w:rPr>
                <w:rFonts w:ascii="Times New Roman"/>
                <w:sz w:val="20"/>
              </w:rPr>
            </w:pPr>
          </w:p>
        </w:tc>
      </w:tr>
      <w:tr>
        <w:trPr>
          <w:trHeight w:val="339" w:hRule="atLeast"/>
        </w:trPr>
        <w:tc>
          <w:tcPr>
            <w:tcW w:w="3139" w:type="dxa"/>
            <w:tcBorders>
              <w:right w:val="dotted" w:sz="4" w:space="0" w:color="000000"/>
            </w:tcBorders>
          </w:tcPr>
          <w:p>
            <w:pPr>
              <w:pStyle w:val="TableParagraph"/>
              <w:rPr>
                <w:rFonts w:ascii="Times New Roman"/>
                <w:sz w:val="20"/>
              </w:rPr>
            </w:pPr>
          </w:p>
        </w:tc>
        <w:tc>
          <w:tcPr>
            <w:tcW w:w="3769" w:type="dxa"/>
            <w:tcBorders>
              <w:left w:val="dotted" w:sz="4" w:space="0" w:color="000000"/>
              <w:right w:val="dotted" w:sz="4" w:space="0" w:color="000000"/>
            </w:tcBorders>
          </w:tcPr>
          <w:p>
            <w:pPr>
              <w:pStyle w:val="TableParagraph"/>
              <w:spacing w:before="1"/>
              <w:ind w:left="313"/>
              <w:rPr>
                <w:sz w:val="21"/>
              </w:rPr>
            </w:pPr>
            <w:r>
              <w:rPr>
                <w:sz w:val="21"/>
              </w:rPr>
              <w:t>10.5 联系方式变更</w:t>
            </w:r>
          </w:p>
        </w:tc>
        <w:tc>
          <w:tcPr>
            <w:tcW w:w="3465" w:type="dxa"/>
            <w:tcBorders>
              <w:left w:val="dotted" w:sz="4" w:space="0" w:color="000000"/>
            </w:tcBorders>
          </w:tcPr>
          <w:p>
            <w:pPr>
              <w:pStyle w:val="TableParagraph"/>
              <w:rPr>
                <w:rFonts w:ascii="Times New Roman"/>
                <w:sz w:val="20"/>
              </w:rPr>
            </w:pPr>
          </w:p>
        </w:tc>
      </w:tr>
      <w:tr>
        <w:trPr>
          <w:trHeight w:val="353" w:hRule="atLeast"/>
        </w:trPr>
        <w:tc>
          <w:tcPr>
            <w:tcW w:w="3139" w:type="dxa"/>
            <w:tcBorders>
              <w:right w:val="dotted" w:sz="4" w:space="0" w:color="000000"/>
            </w:tcBorders>
          </w:tcPr>
          <w:p>
            <w:pPr>
              <w:pStyle w:val="TableParagraph"/>
              <w:rPr>
                <w:rFonts w:ascii="Times New Roman"/>
                <w:sz w:val="20"/>
              </w:rPr>
            </w:pPr>
          </w:p>
        </w:tc>
        <w:tc>
          <w:tcPr>
            <w:tcW w:w="3769" w:type="dxa"/>
            <w:tcBorders>
              <w:left w:val="dotted" w:sz="4" w:space="0" w:color="000000"/>
              <w:right w:val="dotted" w:sz="4" w:space="0" w:color="000000"/>
            </w:tcBorders>
          </w:tcPr>
          <w:p>
            <w:pPr>
              <w:pStyle w:val="TableParagraph"/>
              <w:ind w:left="313"/>
              <w:rPr>
                <w:sz w:val="21"/>
              </w:rPr>
            </w:pPr>
            <w:r>
              <w:rPr>
                <w:sz w:val="21"/>
              </w:rPr>
              <w:t>10.6 争议处理</w:t>
            </w:r>
          </w:p>
        </w:tc>
        <w:tc>
          <w:tcPr>
            <w:tcW w:w="3465" w:type="dxa"/>
            <w:tcBorders>
              <w:left w:val="dotted" w:sz="4" w:space="0" w:color="000000"/>
            </w:tcBorders>
          </w:tcPr>
          <w:p>
            <w:pPr>
              <w:pStyle w:val="TableParagraph"/>
              <w:rPr>
                <w:rFonts w:ascii="Times New Roman"/>
                <w:sz w:val="20"/>
              </w:rPr>
            </w:pPr>
          </w:p>
        </w:tc>
      </w:tr>
    </w:tbl>
    <w:p>
      <w:pPr>
        <w:spacing w:after="0"/>
        <w:rPr>
          <w:rFonts w:ascii="Times New Roman"/>
          <w:sz w:val="20"/>
        </w:rPr>
        <w:sectPr>
          <w:pgSz w:w="11910" w:h="16840"/>
          <w:pgMar w:top="1580" w:bottom="280" w:left="820" w:right="500"/>
        </w:sectPr>
      </w:pPr>
    </w:p>
    <w:p>
      <w:pPr>
        <w:pStyle w:val="BodyText"/>
        <w:spacing w:before="1"/>
        <w:rPr>
          <w:rFonts w:ascii="微软雅黑"/>
          <w:b/>
          <w:sz w:val="22"/>
        </w:rPr>
      </w:pPr>
      <w:r>
        <w:rPr/>
        <w:pict>
          <v:group style="position:absolute;margin-left:177.380005pt;margin-top:743.280029pt;width:340.3pt;height:27.75pt;mso-position-horizontal-relative:page;mso-position-vertical-relative:page;z-index:-43648" coordorigin="3548,14866" coordsize="6806,555">
            <v:line style="position:absolute" from="3548,14870" to="6940,14870" stroked="true" strokeweight=".47998pt" strokecolor="#000000">
              <v:stroke dashstyle="solid"/>
            </v:line>
            <v:line style="position:absolute" from="6949,14870" to="10343,14870" stroked="true" strokeweight=".47998pt" strokecolor="#000000">
              <v:stroke dashstyle="solid"/>
            </v:line>
            <v:line style="position:absolute" from="6945,14866" to="6945,15420" stroked="true" strokeweight=".48001pt" strokecolor="#000000">
              <v:stroke dashstyle="solid"/>
            </v:line>
            <v:line style="position:absolute" from="10348,14866" to="10348,15420" stroked="true" strokeweight=".47998pt" strokecolor="#000000">
              <v:stroke dashstyle="solid"/>
            </v:line>
            <w10:wrap type="none"/>
          </v:group>
        </w:pict>
      </w:r>
    </w:p>
    <w:p>
      <w:pPr>
        <w:pStyle w:val="Heading1"/>
        <w:spacing w:before="1"/>
        <w:ind w:left="2260" w:right="0"/>
        <w:jc w:val="left"/>
        <w:rPr>
          <w:rFonts w:ascii="黑体" w:eastAsia="黑体" w:hint="eastAsia"/>
        </w:rPr>
      </w:pPr>
      <w:r>
        <w:rPr>
          <w:rFonts w:ascii="黑体" w:eastAsia="黑体" w:hint="eastAsia"/>
          <w:spacing w:val="-12"/>
        </w:rPr>
        <w:t>阳光人寿关爱 </w:t>
      </w:r>
      <w:r>
        <w:rPr>
          <w:rFonts w:ascii="黑体" w:eastAsia="黑体" w:hint="eastAsia"/>
        </w:rPr>
        <w:t>e</w:t>
      </w:r>
      <w:r>
        <w:rPr>
          <w:rFonts w:ascii="黑体" w:eastAsia="黑体" w:hint="eastAsia"/>
          <w:spacing w:val="-84"/>
        </w:rPr>
        <w:t> </w:t>
      </w:r>
      <w:r>
        <w:rPr>
          <w:rFonts w:ascii="黑体" w:eastAsia="黑体" w:hint="eastAsia"/>
        </w:rPr>
        <w:t>Th</w:t>
      </w:r>
      <w:r>
        <w:rPr>
          <w:rFonts w:ascii="黑体" w:eastAsia="黑体" w:hint="eastAsia"/>
          <w:spacing w:val="-12"/>
        </w:rPr>
        <w:t>重大疾病保险 </w:t>
      </w:r>
      <w:r>
        <w:rPr>
          <w:rFonts w:ascii="黑体" w:eastAsia="黑体" w:hint="eastAsia"/>
        </w:rPr>
        <w:t>C</w:t>
      </w:r>
      <w:r>
        <w:rPr>
          <w:rFonts w:ascii="黑体" w:eastAsia="黑体" w:hint="eastAsia"/>
          <w:spacing w:val="-21"/>
        </w:rPr>
        <w:t> 款条款</w:t>
      </w:r>
    </w:p>
    <w:p>
      <w:pPr>
        <w:pStyle w:val="BodyText"/>
        <w:spacing w:before="9"/>
        <w:rPr>
          <w:rFonts w:ascii="黑体"/>
          <w:b/>
          <w:sz w:val="34"/>
        </w:rPr>
      </w:pPr>
    </w:p>
    <w:p>
      <w:pPr>
        <w:pStyle w:val="BodyText"/>
        <w:spacing w:line="273" w:lineRule="auto"/>
        <w:ind w:left="220" w:right="179"/>
      </w:pPr>
      <w:r>
        <w:rPr/>
        <w:t>在本条款中，“您”指投保人，“我们”、“本公司”均指阳光人寿保险股份有限公司。“本合同”指您与我们之间订立的“阳光人寿关爱 e 生重大疾病保险 C 款合同”。</w:t>
      </w:r>
    </w:p>
    <w:p>
      <w:pPr>
        <w:pStyle w:val="BodyText"/>
        <w:rPr>
          <w:sz w:val="20"/>
        </w:rPr>
      </w:pPr>
    </w:p>
    <w:p>
      <w:pPr>
        <w:pStyle w:val="BodyText"/>
        <w:spacing w:before="1"/>
        <w:rPr>
          <w:sz w:val="25"/>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23"/>
        <w:gridCol w:w="1705"/>
        <w:gridCol w:w="7407"/>
      </w:tblGrid>
      <w:tr>
        <w:trPr>
          <w:trHeight w:val="451" w:hRule="atLeast"/>
        </w:trPr>
        <w:tc>
          <w:tcPr>
            <w:tcW w:w="923" w:type="dxa"/>
            <w:tcBorders>
              <w:bottom w:val="double" w:sz="1" w:space="0" w:color="000000"/>
            </w:tcBorders>
          </w:tcPr>
          <w:p>
            <w:pPr>
              <w:pStyle w:val="TableParagraph"/>
              <w:spacing w:line="281" w:lineRule="exact"/>
              <w:ind w:left="107"/>
              <w:rPr>
                <w:b/>
                <w:sz w:val="28"/>
              </w:rPr>
            </w:pPr>
            <w:r>
              <w:rPr>
                <w:b/>
                <w:w w:val="99"/>
                <w:sz w:val="28"/>
              </w:rPr>
              <w:t>1</w:t>
            </w:r>
          </w:p>
        </w:tc>
        <w:tc>
          <w:tcPr>
            <w:tcW w:w="9112" w:type="dxa"/>
            <w:gridSpan w:val="2"/>
            <w:tcBorders>
              <w:bottom w:val="double" w:sz="1" w:space="0" w:color="000000"/>
            </w:tcBorders>
          </w:tcPr>
          <w:p>
            <w:pPr>
              <w:pStyle w:val="TableParagraph"/>
              <w:spacing w:line="281" w:lineRule="exact"/>
              <w:ind w:left="286"/>
              <w:rPr>
                <w:b/>
                <w:sz w:val="28"/>
              </w:rPr>
            </w:pPr>
            <w:r>
              <w:rPr>
                <w:b/>
                <w:w w:val="95"/>
                <w:sz w:val="28"/>
              </w:rPr>
              <w:t>您与我们订立的合同</w:t>
            </w:r>
          </w:p>
        </w:tc>
      </w:tr>
      <w:tr>
        <w:trPr>
          <w:trHeight w:val="1152" w:hRule="atLeast"/>
        </w:trPr>
        <w:tc>
          <w:tcPr>
            <w:tcW w:w="923" w:type="dxa"/>
            <w:tcBorders>
              <w:top w:val="double" w:sz="1" w:space="0" w:color="000000"/>
            </w:tcBorders>
          </w:tcPr>
          <w:p>
            <w:pPr>
              <w:pStyle w:val="TableParagraph"/>
              <w:spacing w:before="128"/>
              <w:ind w:left="107"/>
              <w:rPr>
                <w:b/>
                <w:sz w:val="21"/>
              </w:rPr>
            </w:pPr>
            <w:r>
              <w:rPr>
                <w:b/>
                <w:sz w:val="21"/>
              </w:rPr>
              <w:t>1.1</w:t>
            </w:r>
          </w:p>
        </w:tc>
        <w:tc>
          <w:tcPr>
            <w:tcW w:w="1705" w:type="dxa"/>
            <w:tcBorders>
              <w:top w:val="double" w:sz="1" w:space="0" w:color="000000"/>
            </w:tcBorders>
          </w:tcPr>
          <w:p>
            <w:pPr>
              <w:pStyle w:val="TableParagraph"/>
              <w:spacing w:before="128"/>
              <w:ind w:left="286"/>
              <w:rPr>
                <w:b/>
                <w:sz w:val="21"/>
              </w:rPr>
            </w:pPr>
            <w:r>
              <w:rPr>
                <w:b/>
                <w:sz w:val="21"/>
              </w:rPr>
              <w:t>合同构成</w:t>
            </w:r>
          </w:p>
        </w:tc>
        <w:tc>
          <w:tcPr>
            <w:tcW w:w="7407" w:type="dxa"/>
            <w:tcBorders>
              <w:top w:val="double" w:sz="1" w:space="0" w:color="000000"/>
            </w:tcBorders>
          </w:tcPr>
          <w:p>
            <w:pPr>
              <w:pStyle w:val="TableParagraph"/>
              <w:spacing w:line="273" w:lineRule="auto" w:before="128"/>
              <w:ind w:left="-2" w:right="102"/>
              <w:jc w:val="both"/>
              <w:rPr>
                <w:sz w:val="21"/>
              </w:rPr>
            </w:pPr>
            <w:r>
              <w:rPr>
                <w:spacing w:val="-7"/>
                <w:sz w:val="21"/>
              </w:rPr>
              <w:t>本保险条款、电子保险单或其他保险凭证、电子投保单、与保险合同有关的投保</w:t>
            </w:r>
            <w:r>
              <w:rPr>
                <w:spacing w:val="-9"/>
                <w:sz w:val="21"/>
              </w:rPr>
              <w:t>文件、合法有效的声明、批注、批单、附加合同、其他书面或电子协议都是您与</w:t>
            </w:r>
            <w:r>
              <w:rPr>
                <w:spacing w:val="-5"/>
                <w:sz w:val="21"/>
              </w:rPr>
              <w:t>我们之间订立的保险合同的构成部分。</w:t>
            </w:r>
          </w:p>
        </w:tc>
      </w:tr>
      <w:tr>
        <w:trPr>
          <w:trHeight w:val="1892" w:hRule="atLeast"/>
        </w:trPr>
        <w:tc>
          <w:tcPr>
            <w:tcW w:w="923" w:type="dxa"/>
          </w:tcPr>
          <w:p>
            <w:pPr>
              <w:pStyle w:val="TableParagraph"/>
              <w:spacing w:before="83"/>
              <w:ind w:left="107"/>
              <w:rPr>
                <w:b/>
                <w:sz w:val="21"/>
              </w:rPr>
            </w:pPr>
            <w:r>
              <w:rPr>
                <w:b/>
                <w:sz w:val="21"/>
              </w:rPr>
              <w:t>1.2</w:t>
            </w:r>
          </w:p>
        </w:tc>
        <w:tc>
          <w:tcPr>
            <w:tcW w:w="1705" w:type="dxa"/>
          </w:tcPr>
          <w:p>
            <w:pPr>
              <w:pStyle w:val="TableParagraph"/>
              <w:spacing w:line="273" w:lineRule="auto" w:before="83"/>
              <w:ind w:left="286" w:right="181"/>
              <w:rPr>
                <w:b/>
                <w:sz w:val="21"/>
              </w:rPr>
            </w:pPr>
            <w:r>
              <w:rPr>
                <w:b/>
                <w:sz w:val="21"/>
              </w:rPr>
              <w:t>合同成立与生效</w:t>
            </w:r>
          </w:p>
        </w:tc>
        <w:tc>
          <w:tcPr>
            <w:tcW w:w="7407" w:type="dxa"/>
          </w:tcPr>
          <w:p>
            <w:pPr>
              <w:pStyle w:val="TableParagraph"/>
              <w:spacing w:line="273" w:lineRule="exact" w:before="61"/>
              <w:ind w:left="-2"/>
              <w:rPr>
                <w:sz w:val="21"/>
              </w:rPr>
            </w:pPr>
            <w:r>
              <w:rPr>
                <w:sz w:val="21"/>
              </w:rPr>
              <w:t>您提出保险申请、我们同意承保，本合同成立。</w:t>
            </w:r>
          </w:p>
          <w:p>
            <w:pPr>
              <w:pStyle w:val="TableParagraph"/>
              <w:spacing w:line="237" w:lineRule="auto"/>
              <w:ind w:left="-2" w:right="102"/>
              <w:jc w:val="both"/>
              <w:rPr>
                <w:sz w:val="21"/>
              </w:rPr>
            </w:pPr>
            <w:r>
              <w:rPr>
                <w:spacing w:val="-7"/>
                <w:sz w:val="21"/>
              </w:rPr>
              <w:t>本合同自我们同意承保、收取首期保险费并签发电子保险单后开始生效，具体生</w:t>
            </w:r>
            <w:r>
              <w:rPr>
                <w:spacing w:val="-9"/>
                <w:sz w:val="21"/>
              </w:rPr>
              <w:t>效日以电子保险单所载的日期为准。我们自生效日零时起开始承担本合同约定的</w:t>
            </w:r>
            <w:r>
              <w:rPr>
                <w:spacing w:val="-5"/>
                <w:sz w:val="21"/>
              </w:rPr>
              <w:t>保险责任。</w:t>
            </w:r>
          </w:p>
          <w:p>
            <w:pPr>
              <w:pStyle w:val="TableParagraph"/>
              <w:spacing w:before="17"/>
              <w:ind w:left="-2"/>
              <w:jc w:val="both"/>
              <w:rPr>
                <w:sz w:val="21"/>
              </w:rPr>
            </w:pPr>
            <w:r>
              <w:rPr>
                <w:spacing w:val="-2"/>
                <w:w w:val="100"/>
                <w:sz w:val="21"/>
              </w:rPr>
              <w:t>本合同的</w:t>
            </w:r>
            <w:r>
              <w:rPr>
                <w:b/>
                <w:w w:val="100"/>
                <w:sz w:val="21"/>
              </w:rPr>
              <w:t>保单周年日</w:t>
            </w:r>
            <w:r>
              <w:rPr>
                <w:spacing w:val="-3"/>
                <w:w w:val="100"/>
                <w:sz w:val="21"/>
              </w:rPr>
              <w:t>（</w:t>
            </w:r>
            <w:r>
              <w:rPr>
                <w:w w:val="100"/>
                <w:sz w:val="21"/>
              </w:rPr>
              <w:t>见</w:t>
            </w:r>
            <w:r>
              <w:rPr>
                <w:spacing w:val="-36"/>
                <w:sz w:val="21"/>
              </w:rPr>
              <w:t> </w:t>
            </w:r>
            <w:r>
              <w:rPr>
                <w:w w:val="100"/>
                <w:sz w:val="21"/>
              </w:rPr>
              <w:t>11.1</w:t>
            </w:r>
            <w:r>
              <w:rPr>
                <w:spacing w:val="-108"/>
                <w:w w:val="100"/>
                <w:sz w:val="21"/>
              </w:rPr>
              <w:t>）</w:t>
            </w:r>
            <w:r>
              <w:rPr>
                <w:b/>
                <w:w w:val="100"/>
                <w:sz w:val="21"/>
              </w:rPr>
              <w:t>、保单年度</w:t>
            </w:r>
            <w:r>
              <w:rPr>
                <w:spacing w:val="-3"/>
                <w:w w:val="100"/>
                <w:sz w:val="21"/>
              </w:rPr>
              <w:t>（</w:t>
            </w:r>
            <w:r>
              <w:rPr>
                <w:w w:val="100"/>
                <w:sz w:val="21"/>
              </w:rPr>
              <w:t>见</w:t>
            </w:r>
            <w:r>
              <w:rPr>
                <w:spacing w:val="-33"/>
                <w:sz w:val="21"/>
              </w:rPr>
              <w:t> </w:t>
            </w:r>
            <w:r>
              <w:rPr>
                <w:spacing w:val="-3"/>
                <w:w w:val="100"/>
                <w:sz w:val="21"/>
              </w:rPr>
              <w:t>1</w:t>
            </w:r>
            <w:r>
              <w:rPr>
                <w:w w:val="100"/>
                <w:sz w:val="21"/>
              </w:rPr>
              <w:t>1</w:t>
            </w:r>
            <w:r>
              <w:rPr>
                <w:spacing w:val="-3"/>
                <w:w w:val="100"/>
                <w:sz w:val="21"/>
              </w:rPr>
              <w:t>.</w:t>
            </w:r>
            <w:r>
              <w:rPr>
                <w:w w:val="100"/>
                <w:sz w:val="21"/>
              </w:rPr>
              <w:t>2</w:t>
            </w:r>
            <w:r>
              <w:rPr>
                <w:spacing w:val="-108"/>
                <w:w w:val="100"/>
                <w:sz w:val="21"/>
              </w:rPr>
              <w:t>）</w:t>
            </w:r>
            <w:r>
              <w:rPr>
                <w:b/>
                <w:w w:val="100"/>
                <w:sz w:val="21"/>
              </w:rPr>
              <w:t>、保险费约定交纳日</w:t>
            </w:r>
            <w:r>
              <w:rPr>
                <w:spacing w:val="-3"/>
                <w:w w:val="100"/>
                <w:sz w:val="21"/>
              </w:rPr>
              <w:t>（见</w:t>
            </w:r>
          </w:p>
          <w:p>
            <w:pPr>
              <w:pStyle w:val="TableParagraph"/>
              <w:spacing w:before="37"/>
              <w:ind w:left="-2"/>
              <w:jc w:val="both"/>
              <w:rPr>
                <w:sz w:val="21"/>
              </w:rPr>
            </w:pPr>
            <w:r>
              <w:rPr>
                <w:sz w:val="21"/>
              </w:rPr>
              <w:t>11.3）均以生效日计算。</w:t>
            </w:r>
          </w:p>
        </w:tc>
      </w:tr>
      <w:tr>
        <w:trPr>
          <w:trHeight w:val="2216" w:hRule="atLeast"/>
        </w:trPr>
        <w:tc>
          <w:tcPr>
            <w:tcW w:w="923" w:type="dxa"/>
          </w:tcPr>
          <w:p>
            <w:pPr>
              <w:pStyle w:val="TableParagraph"/>
              <w:spacing w:before="72"/>
              <w:ind w:left="107"/>
              <w:rPr>
                <w:b/>
                <w:sz w:val="21"/>
              </w:rPr>
            </w:pPr>
            <w:r>
              <w:rPr>
                <w:b/>
                <w:sz w:val="21"/>
              </w:rPr>
              <w:t>1.3</w:t>
            </w:r>
          </w:p>
        </w:tc>
        <w:tc>
          <w:tcPr>
            <w:tcW w:w="1705" w:type="dxa"/>
          </w:tcPr>
          <w:p>
            <w:pPr>
              <w:pStyle w:val="TableParagraph"/>
              <w:spacing w:before="72"/>
              <w:ind w:left="286"/>
              <w:rPr>
                <w:b/>
                <w:sz w:val="21"/>
              </w:rPr>
            </w:pPr>
            <w:r>
              <w:rPr>
                <w:b/>
                <w:sz w:val="21"/>
              </w:rPr>
              <w:t>犹豫期</w:t>
            </w:r>
          </w:p>
        </w:tc>
        <w:tc>
          <w:tcPr>
            <w:tcW w:w="7407" w:type="dxa"/>
          </w:tcPr>
          <w:p>
            <w:pPr>
              <w:pStyle w:val="TableParagraph"/>
              <w:spacing w:line="273" w:lineRule="auto" w:before="72"/>
              <w:ind w:left="-2" w:right="102"/>
              <w:jc w:val="both"/>
              <w:rPr>
                <w:sz w:val="21"/>
              </w:rPr>
            </w:pPr>
            <w:r>
              <w:rPr>
                <w:spacing w:val="-4"/>
                <w:sz w:val="21"/>
              </w:rPr>
              <w:t>自您收到本合同电子保险单次日起，有 </w:t>
            </w:r>
            <w:r>
              <w:rPr>
                <w:sz w:val="21"/>
              </w:rPr>
              <w:t>10</w:t>
            </w:r>
            <w:r>
              <w:rPr>
                <w:spacing w:val="-4"/>
                <w:sz w:val="21"/>
              </w:rPr>
              <w:t> 日的犹豫期。在此期间，请您认真审</w:t>
            </w:r>
            <w:r>
              <w:rPr>
                <w:spacing w:val="-8"/>
                <w:sz w:val="21"/>
              </w:rPr>
              <w:t>视本合同，如果您认为本合同与您的需求不相符，您可以提出解除本合同，我们</w:t>
            </w:r>
            <w:r>
              <w:rPr>
                <w:spacing w:val="-5"/>
                <w:sz w:val="21"/>
              </w:rPr>
              <w:t>将无息退还您所交纳的保险费。</w:t>
            </w:r>
          </w:p>
          <w:p>
            <w:pPr>
              <w:pStyle w:val="TableParagraph"/>
              <w:spacing w:line="273" w:lineRule="auto" w:before="8"/>
              <w:ind w:left="-2" w:right="102"/>
              <w:jc w:val="both"/>
              <w:rPr>
                <w:sz w:val="21"/>
              </w:rPr>
            </w:pPr>
            <w:r>
              <w:rPr>
                <w:spacing w:val="-17"/>
                <w:w w:val="100"/>
                <w:sz w:val="21"/>
              </w:rPr>
              <w:t>解除合同时，您需要填写申请书，并提供您的保险合同及</w:t>
            </w:r>
            <w:r>
              <w:rPr>
                <w:b/>
                <w:spacing w:val="-18"/>
                <w:w w:val="100"/>
                <w:sz w:val="21"/>
              </w:rPr>
              <w:t>有效身份证件</w:t>
            </w:r>
            <w:r>
              <w:rPr>
                <w:w w:val="100"/>
                <w:sz w:val="21"/>
              </w:rPr>
              <w:t>（见</w:t>
            </w:r>
            <w:r>
              <w:rPr>
                <w:spacing w:val="-57"/>
                <w:sz w:val="21"/>
              </w:rPr>
              <w:t> </w:t>
            </w:r>
            <w:r>
              <w:rPr>
                <w:w w:val="100"/>
                <w:sz w:val="21"/>
              </w:rPr>
              <w:t>11</w:t>
            </w:r>
            <w:r>
              <w:rPr>
                <w:spacing w:val="-3"/>
                <w:w w:val="100"/>
                <w:sz w:val="21"/>
              </w:rPr>
              <w:t>.</w:t>
            </w:r>
            <w:r>
              <w:rPr>
                <w:w w:val="100"/>
                <w:sz w:val="21"/>
              </w:rPr>
              <w:t>4</w:t>
            </w:r>
            <w:r>
              <w:rPr>
                <w:spacing w:val="-108"/>
                <w:w w:val="100"/>
                <w:sz w:val="21"/>
              </w:rPr>
              <w:t>）。</w:t>
            </w:r>
            <w:r>
              <w:rPr>
                <w:spacing w:val="-6"/>
                <w:sz w:val="21"/>
              </w:rPr>
              <w:t>自我们收到您解除合同的书面申请时起，本合同即被解除，我们自始不承担保险责任。</w:t>
            </w:r>
          </w:p>
        </w:tc>
      </w:tr>
      <w:tr>
        <w:trPr>
          <w:trHeight w:val="761" w:hRule="atLeast"/>
        </w:trPr>
        <w:tc>
          <w:tcPr>
            <w:tcW w:w="923" w:type="dxa"/>
            <w:tcBorders>
              <w:bottom w:val="double" w:sz="1" w:space="0" w:color="000000"/>
            </w:tcBorders>
          </w:tcPr>
          <w:p>
            <w:pPr>
              <w:pStyle w:val="TableParagraph"/>
              <w:spacing w:before="224"/>
              <w:ind w:left="107"/>
              <w:rPr>
                <w:b/>
                <w:sz w:val="28"/>
              </w:rPr>
            </w:pPr>
            <w:r>
              <w:rPr>
                <w:b/>
                <w:w w:val="99"/>
                <w:sz w:val="28"/>
              </w:rPr>
              <w:t>2</w:t>
            </w:r>
          </w:p>
        </w:tc>
        <w:tc>
          <w:tcPr>
            <w:tcW w:w="9112" w:type="dxa"/>
            <w:gridSpan w:val="2"/>
            <w:tcBorders>
              <w:bottom w:val="double" w:sz="1" w:space="0" w:color="000000"/>
            </w:tcBorders>
          </w:tcPr>
          <w:p>
            <w:pPr>
              <w:pStyle w:val="TableParagraph"/>
              <w:spacing w:before="224"/>
              <w:ind w:left="286"/>
              <w:rPr>
                <w:b/>
                <w:sz w:val="28"/>
              </w:rPr>
            </w:pPr>
            <w:r>
              <w:rPr>
                <w:b/>
                <w:w w:val="95"/>
                <w:sz w:val="28"/>
              </w:rPr>
              <w:t>我们提供的保障</w:t>
            </w:r>
          </w:p>
        </w:tc>
      </w:tr>
      <w:tr>
        <w:trPr>
          <w:trHeight w:val="537" w:hRule="atLeast"/>
        </w:trPr>
        <w:tc>
          <w:tcPr>
            <w:tcW w:w="923" w:type="dxa"/>
            <w:tcBorders>
              <w:top w:val="double" w:sz="1" w:space="0" w:color="000000"/>
            </w:tcBorders>
          </w:tcPr>
          <w:p>
            <w:pPr>
              <w:pStyle w:val="TableParagraph"/>
              <w:spacing w:before="128"/>
              <w:ind w:left="107"/>
              <w:rPr>
                <w:b/>
                <w:sz w:val="21"/>
              </w:rPr>
            </w:pPr>
            <w:r>
              <w:rPr>
                <w:b/>
                <w:sz w:val="21"/>
              </w:rPr>
              <w:t>2.1</w:t>
            </w:r>
          </w:p>
        </w:tc>
        <w:tc>
          <w:tcPr>
            <w:tcW w:w="1705" w:type="dxa"/>
            <w:tcBorders>
              <w:top w:val="double" w:sz="1" w:space="0" w:color="000000"/>
            </w:tcBorders>
          </w:tcPr>
          <w:p>
            <w:pPr>
              <w:pStyle w:val="TableParagraph"/>
              <w:spacing w:before="128"/>
              <w:ind w:left="286"/>
              <w:rPr>
                <w:b/>
                <w:sz w:val="21"/>
              </w:rPr>
            </w:pPr>
            <w:r>
              <w:rPr>
                <w:b/>
                <w:sz w:val="21"/>
              </w:rPr>
              <w:t>保险期间</w:t>
            </w:r>
          </w:p>
        </w:tc>
        <w:tc>
          <w:tcPr>
            <w:tcW w:w="7407" w:type="dxa"/>
            <w:tcBorders>
              <w:top w:val="double" w:sz="1" w:space="0" w:color="000000"/>
            </w:tcBorders>
          </w:tcPr>
          <w:p>
            <w:pPr>
              <w:pStyle w:val="TableParagraph"/>
              <w:spacing w:before="128"/>
              <w:ind w:left="-2"/>
              <w:rPr>
                <w:sz w:val="21"/>
              </w:rPr>
            </w:pPr>
            <w:r>
              <w:rPr>
                <w:sz w:val="21"/>
              </w:rPr>
              <w:t>本合同的保险期间由您在投保时与我们约定并在电子保险单上载明。</w:t>
            </w:r>
          </w:p>
        </w:tc>
      </w:tr>
      <w:tr>
        <w:trPr>
          <w:trHeight w:val="793" w:hRule="atLeast"/>
        </w:trPr>
        <w:tc>
          <w:tcPr>
            <w:tcW w:w="923" w:type="dxa"/>
          </w:tcPr>
          <w:p>
            <w:pPr>
              <w:pStyle w:val="TableParagraph"/>
              <w:spacing w:before="70"/>
              <w:ind w:left="107"/>
              <w:rPr>
                <w:b/>
                <w:sz w:val="21"/>
              </w:rPr>
            </w:pPr>
            <w:r>
              <w:rPr>
                <w:b/>
                <w:sz w:val="21"/>
              </w:rPr>
              <w:t>2.2</w:t>
            </w:r>
          </w:p>
        </w:tc>
        <w:tc>
          <w:tcPr>
            <w:tcW w:w="1705" w:type="dxa"/>
          </w:tcPr>
          <w:p>
            <w:pPr>
              <w:pStyle w:val="TableParagraph"/>
              <w:spacing w:line="273" w:lineRule="auto" w:before="70"/>
              <w:ind w:left="286" w:right="181"/>
              <w:rPr>
                <w:b/>
                <w:sz w:val="21"/>
              </w:rPr>
            </w:pPr>
            <w:r>
              <w:rPr>
                <w:b/>
                <w:sz w:val="21"/>
              </w:rPr>
              <w:t>基本保险金额</w:t>
            </w:r>
          </w:p>
        </w:tc>
        <w:tc>
          <w:tcPr>
            <w:tcW w:w="7407" w:type="dxa"/>
          </w:tcPr>
          <w:p>
            <w:pPr>
              <w:pStyle w:val="TableParagraph"/>
              <w:spacing w:line="273" w:lineRule="auto" w:before="70"/>
              <w:ind w:left="-2" w:right="469"/>
              <w:rPr>
                <w:sz w:val="21"/>
              </w:rPr>
            </w:pPr>
            <w:r>
              <w:rPr>
                <w:sz w:val="21"/>
              </w:rPr>
              <w:t>本合同的基本保险金额由您在投保时与我们约定，并在电子保险单上载明。若该金额发生变更，则以变更后的金额为基本保险金额。</w:t>
            </w:r>
          </w:p>
        </w:tc>
      </w:tr>
      <w:tr>
        <w:trPr>
          <w:trHeight w:val="494" w:hRule="atLeast"/>
        </w:trPr>
        <w:tc>
          <w:tcPr>
            <w:tcW w:w="923" w:type="dxa"/>
          </w:tcPr>
          <w:p>
            <w:pPr>
              <w:pStyle w:val="TableParagraph"/>
              <w:spacing w:before="72"/>
              <w:ind w:left="107"/>
              <w:rPr>
                <w:b/>
                <w:sz w:val="21"/>
              </w:rPr>
            </w:pPr>
            <w:r>
              <w:rPr>
                <w:b/>
                <w:sz w:val="21"/>
              </w:rPr>
              <w:t>2.3</w:t>
            </w:r>
          </w:p>
        </w:tc>
        <w:tc>
          <w:tcPr>
            <w:tcW w:w="1705" w:type="dxa"/>
          </w:tcPr>
          <w:p>
            <w:pPr>
              <w:pStyle w:val="TableParagraph"/>
              <w:spacing w:before="72"/>
              <w:ind w:left="286"/>
              <w:rPr>
                <w:b/>
                <w:sz w:val="21"/>
              </w:rPr>
            </w:pPr>
            <w:r>
              <w:rPr>
                <w:b/>
                <w:sz w:val="21"/>
              </w:rPr>
              <w:t>保险责任</w:t>
            </w:r>
          </w:p>
        </w:tc>
        <w:tc>
          <w:tcPr>
            <w:tcW w:w="7407" w:type="dxa"/>
          </w:tcPr>
          <w:p>
            <w:pPr>
              <w:pStyle w:val="TableParagraph"/>
              <w:spacing w:before="98"/>
              <w:ind w:left="-2"/>
              <w:rPr>
                <w:sz w:val="21"/>
              </w:rPr>
            </w:pPr>
            <w:r>
              <w:rPr>
                <w:sz w:val="21"/>
              </w:rPr>
              <w:t>在本合同有效期内，我们承担如下保险责任：</w:t>
            </w:r>
          </w:p>
        </w:tc>
      </w:tr>
      <w:tr>
        <w:trPr>
          <w:trHeight w:val="3795" w:hRule="atLeast"/>
        </w:trPr>
        <w:tc>
          <w:tcPr>
            <w:tcW w:w="923" w:type="dxa"/>
          </w:tcPr>
          <w:p>
            <w:pPr>
              <w:pStyle w:val="TableParagraph"/>
              <w:spacing w:before="55"/>
              <w:ind w:left="107"/>
              <w:rPr>
                <w:i/>
                <w:sz w:val="22"/>
              </w:rPr>
            </w:pPr>
            <w:r>
              <w:rPr>
                <w:i/>
                <w:sz w:val="22"/>
              </w:rPr>
              <w:t>2.3.1</w:t>
            </w:r>
          </w:p>
        </w:tc>
        <w:tc>
          <w:tcPr>
            <w:tcW w:w="1705" w:type="dxa"/>
          </w:tcPr>
          <w:p>
            <w:pPr>
              <w:pStyle w:val="TableParagraph"/>
              <w:tabs>
                <w:tab w:pos="1702" w:val="left" w:leader="none"/>
              </w:tabs>
              <w:spacing w:line="259" w:lineRule="auto" w:before="55"/>
              <w:ind w:left="286" w:right="1"/>
              <w:rPr>
                <w:rFonts w:ascii="Times New Roman" w:eastAsia="Times New Roman"/>
                <w:sz w:val="21"/>
              </w:rPr>
            </w:pPr>
            <w:r>
              <w:rPr>
                <w:i/>
                <w:spacing w:val="35"/>
                <w:sz w:val="22"/>
              </w:rPr>
              <w:t>重大</w:t>
            </w:r>
            <w:r>
              <w:rPr>
                <w:i/>
                <w:spacing w:val="36"/>
                <w:sz w:val="22"/>
              </w:rPr>
              <w:t>疾</w:t>
            </w:r>
            <w:r>
              <w:rPr>
                <w:i/>
                <w:spacing w:val="35"/>
                <w:sz w:val="22"/>
              </w:rPr>
              <w:t>病</w:t>
            </w:r>
            <w:r>
              <w:rPr>
                <w:i/>
                <w:sz w:val="22"/>
              </w:rPr>
              <w:t>保</w:t>
            </w:r>
            <w:r>
              <w:rPr>
                <w:i/>
                <w:w w:val="95"/>
                <w:sz w:val="22"/>
              </w:rPr>
              <w:t>险金</w:t>
            </w:r>
            <w:r>
              <w:rPr>
                <w:i/>
                <w:sz w:val="22"/>
              </w:rPr>
              <w:tab/>
            </w:r>
            <w:r>
              <w:rPr>
                <w:rFonts w:ascii="Times New Roman" w:eastAsia="Times New Roman"/>
                <w:spacing w:val="-53"/>
                <w:w w:val="100"/>
                <w:position w:val="-3"/>
                <w:sz w:val="21"/>
                <w:shd w:fill="D9D9D9" w:color="auto" w:val="clear"/>
              </w:rPr>
              <w:t> </w:t>
            </w:r>
          </w:p>
          <w:p>
            <w:pPr>
              <w:pStyle w:val="TableParagraph"/>
              <w:spacing w:before="110"/>
              <w:ind w:right="1"/>
              <w:jc w:val="right"/>
              <w:rPr>
                <w:rFonts w:ascii="Times New Roman"/>
                <w:sz w:val="21"/>
              </w:rPr>
            </w:pPr>
            <w:r>
              <w:rPr>
                <w:rFonts w:ascii="Times New Roman"/>
                <w:spacing w:val="-53"/>
                <w:w w:val="100"/>
                <w:sz w:val="21"/>
                <w:shd w:fill="D9D9D9" w:color="auto" w:val="clear"/>
              </w:rPr>
              <w:t> </w:t>
            </w:r>
          </w:p>
        </w:tc>
        <w:tc>
          <w:tcPr>
            <w:tcW w:w="7407" w:type="dxa"/>
            <w:tcBorders>
              <w:bottom w:val="single" w:sz="4" w:space="0" w:color="000000"/>
            </w:tcBorders>
          </w:tcPr>
          <w:p>
            <w:pPr>
              <w:pStyle w:val="TableParagraph"/>
              <w:spacing w:before="93"/>
              <w:ind w:left="-2" w:right="-15"/>
              <w:rPr>
                <w:sz w:val="21"/>
              </w:rPr>
            </w:pPr>
            <w:r>
              <w:rPr>
                <w:spacing w:val="-2"/>
                <w:sz w:val="21"/>
              </w:rPr>
              <w:t>自本合同生效</w:t>
            </w:r>
            <w:r>
              <w:rPr>
                <w:spacing w:val="-3"/>
                <w:sz w:val="21"/>
              </w:rPr>
              <w:t>（或最后复效</w:t>
            </w:r>
            <w:r>
              <w:rPr>
                <w:sz w:val="21"/>
              </w:rPr>
              <w:t>）</w:t>
            </w:r>
            <w:r>
              <w:rPr>
                <w:spacing w:val="-4"/>
                <w:sz w:val="21"/>
              </w:rPr>
              <w:t>之日起 </w:t>
            </w:r>
            <w:r>
              <w:rPr>
                <w:sz w:val="21"/>
              </w:rPr>
              <w:t>180</w:t>
            </w:r>
            <w:r>
              <w:rPr>
                <w:spacing w:val="-3"/>
                <w:sz w:val="21"/>
              </w:rPr>
              <w:t> 天内，被保险人发生下列情形之一的：</w:t>
            </w:r>
          </w:p>
          <w:p>
            <w:pPr>
              <w:pStyle w:val="TableParagraph"/>
              <w:spacing w:line="278" w:lineRule="auto" w:before="46"/>
              <w:ind w:left="-2" w:right="104"/>
              <w:jc w:val="both"/>
              <w:rPr>
                <w:sz w:val="21"/>
              </w:rPr>
            </w:pPr>
            <w:r>
              <w:rPr>
                <w:w w:val="100"/>
                <w:sz w:val="21"/>
                <w:shd w:fill="D9D9D9" w:color="auto" w:val="clear"/>
              </w:rPr>
              <w:t>（</w:t>
            </w:r>
            <w:r>
              <w:rPr>
                <w:spacing w:val="1"/>
                <w:w w:val="100"/>
                <w:sz w:val="21"/>
                <w:shd w:fill="D9D9D9" w:color="auto" w:val="clear"/>
              </w:rPr>
              <w:t>一</w:t>
            </w:r>
            <w:r>
              <w:rPr>
                <w:spacing w:val="-106"/>
                <w:w w:val="100"/>
                <w:sz w:val="21"/>
                <w:shd w:fill="D9D9D9" w:color="auto" w:val="clear"/>
              </w:rPr>
              <w:t>）</w:t>
            </w:r>
            <w:r>
              <w:rPr>
                <w:spacing w:val="-31"/>
                <w:w w:val="100"/>
                <w:sz w:val="21"/>
                <w:shd w:fill="D9D9D9" w:color="auto" w:val="clear"/>
              </w:rPr>
              <w:t>“重大疾病”；</w:t>
            </w:r>
            <w:r>
              <w:rPr>
                <w:spacing w:val="1"/>
                <w:w w:val="100"/>
                <w:sz w:val="21"/>
                <w:shd w:fill="D9D9D9" w:color="auto" w:val="clear"/>
              </w:rPr>
              <w:t>（</w:t>
            </w:r>
            <w:r>
              <w:rPr>
                <w:w w:val="100"/>
                <w:sz w:val="21"/>
                <w:shd w:fill="D9D9D9" w:color="auto" w:val="clear"/>
              </w:rPr>
              <w:t>二）因导致“重大疾病”的相关疾病就诊，我们不承担保</w:t>
            </w:r>
            <w:r>
              <w:rPr>
                <w:sz w:val="21"/>
                <w:shd w:fill="D9D9D9" w:color="auto" w:val="clear"/>
              </w:rPr>
              <w:t>险责任</w:t>
            </w:r>
            <w:r>
              <w:rPr>
                <w:spacing w:val="-5"/>
                <w:sz w:val="21"/>
              </w:rPr>
              <w:t>，本合同效力终</w:t>
            </w:r>
            <w:r>
              <w:rPr>
                <w:spacing w:val="-19"/>
                <w:sz w:val="21"/>
              </w:rPr>
              <w:t>止，我们将无息退还您所交纳的保险费。这 </w:t>
            </w:r>
            <w:r>
              <w:rPr>
                <w:sz w:val="21"/>
              </w:rPr>
              <w:t>180</w:t>
            </w:r>
            <w:r>
              <w:rPr>
                <w:spacing w:val="-9"/>
                <w:sz w:val="21"/>
              </w:rPr>
              <w:t> 天的时间称为等待期；被保险人因</w:t>
            </w:r>
            <w:r>
              <w:rPr>
                <w:b/>
                <w:spacing w:val="-9"/>
                <w:sz w:val="21"/>
              </w:rPr>
              <w:t>意外伤害</w:t>
            </w:r>
            <w:r>
              <w:rPr>
                <w:spacing w:val="-9"/>
                <w:sz w:val="21"/>
              </w:rPr>
              <w:t>（</w:t>
            </w:r>
            <w:r>
              <w:rPr>
                <w:spacing w:val="17"/>
                <w:sz w:val="21"/>
              </w:rPr>
              <w:t>见 </w:t>
            </w:r>
            <w:r>
              <w:rPr>
                <w:sz w:val="21"/>
              </w:rPr>
              <w:t>11.5）发生上述两项情形之一的，无等待期。</w:t>
            </w:r>
          </w:p>
          <w:p>
            <w:pPr>
              <w:pStyle w:val="TableParagraph"/>
              <w:spacing w:line="259" w:lineRule="exact"/>
              <w:ind w:left="-2"/>
              <w:rPr>
                <w:sz w:val="21"/>
              </w:rPr>
            </w:pPr>
            <w:r>
              <w:rPr>
                <w:sz w:val="21"/>
              </w:rPr>
              <w:t>被保险人因意外伤害或于等待期后发生保险事故，我们按照下列方式给付保险</w:t>
            </w:r>
          </w:p>
          <w:p>
            <w:pPr>
              <w:pStyle w:val="TableParagraph"/>
              <w:spacing w:before="37"/>
              <w:ind w:left="-2"/>
              <w:rPr>
                <w:sz w:val="21"/>
              </w:rPr>
            </w:pPr>
            <w:r>
              <w:rPr>
                <w:sz w:val="21"/>
              </w:rPr>
              <w:t>金:</w:t>
            </w:r>
          </w:p>
          <w:p>
            <w:pPr>
              <w:pStyle w:val="TableParagraph"/>
              <w:spacing w:line="273" w:lineRule="auto" w:before="36"/>
              <w:ind w:left="-2" w:right="104"/>
              <w:jc w:val="both"/>
              <w:rPr>
                <w:sz w:val="21"/>
              </w:rPr>
            </w:pPr>
            <w:r>
              <w:rPr>
                <w:spacing w:val="-2"/>
                <w:sz w:val="21"/>
              </w:rPr>
              <w:t>若被保险人经</w:t>
            </w:r>
            <w:r>
              <w:rPr>
                <w:b/>
                <w:spacing w:val="-1"/>
                <w:sz w:val="21"/>
              </w:rPr>
              <w:t>我们认可的医院</w:t>
            </w:r>
            <w:r>
              <w:rPr>
                <w:sz w:val="21"/>
              </w:rPr>
              <w:t>（</w:t>
            </w:r>
            <w:r>
              <w:rPr>
                <w:spacing w:val="-13"/>
                <w:sz w:val="21"/>
              </w:rPr>
              <w:t>见 </w:t>
            </w:r>
            <w:r>
              <w:rPr>
                <w:sz w:val="21"/>
              </w:rPr>
              <w:t>11.6）</w:t>
            </w:r>
            <w:r>
              <w:rPr>
                <w:b/>
                <w:sz w:val="21"/>
              </w:rPr>
              <w:t>专科医生</w:t>
            </w:r>
            <w:r>
              <w:rPr>
                <w:sz w:val="21"/>
              </w:rPr>
              <w:t>（</w:t>
            </w:r>
            <w:r>
              <w:rPr>
                <w:spacing w:val="-13"/>
                <w:sz w:val="21"/>
              </w:rPr>
              <w:t>见 </w:t>
            </w:r>
            <w:r>
              <w:rPr>
                <w:sz w:val="21"/>
              </w:rPr>
              <w:t>11.7）</w:t>
            </w:r>
            <w:r>
              <w:rPr>
                <w:spacing w:val="-3"/>
                <w:sz w:val="21"/>
              </w:rPr>
              <w:t>确诊首次患本合</w:t>
            </w:r>
            <w:r>
              <w:rPr>
                <w:spacing w:val="-1"/>
                <w:w w:val="100"/>
                <w:sz w:val="21"/>
              </w:rPr>
              <w:t>同约定的重大疾病</w:t>
            </w:r>
            <w:r>
              <w:rPr>
                <w:w w:val="100"/>
                <w:sz w:val="21"/>
              </w:rPr>
              <w:t>（无论一种或多种</w:t>
            </w:r>
            <w:r>
              <w:rPr>
                <w:spacing w:val="-106"/>
                <w:w w:val="100"/>
                <w:sz w:val="21"/>
              </w:rPr>
              <w:t>）</w:t>
            </w:r>
            <w:r>
              <w:rPr>
                <w:w w:val="100"/>
                <w:sz w:val="21"/>
              </w:rPr>
              <w:t>，本合同效力终止，我们按如下标准给付</w:t>
            </w:r>
            <w:r>
              <w:rPr>
                <w:spacing w:val="-3"/>
                <w:sz w:val="21"/>
              </w:rPr>
              <w:t>重大疾病保险金：</w:t>
            </w:r>
          </w:p>
          <w:p>
            <w:pPr>
              <w:pStyle w:val="TableParagraph"/>
              <w:tabs>
                <w:tab w:pos="3512" w:val="left" w:leader="none"/>
              </w:tabs>
              <w:spacing w:line="201" w:lineRule="auto" w:before="31"/>
              <w:ind w:left="110" w:right="2418"/>
              <w:rPr>
                <w:sz w:val="21"/>
              </w:rPr>
            </w:pPr>
            <w:r>
              <w:rPr>
                <w:sz w:val="21"/>
              </w:rPr>
              <w:t>被保险人确诊首次患本合同约定的</w:t>
              <w:tab/>
            </w:r>
            <w:r>
              <w:rPr>
                <w:spacing w:val="-1"/>
                <w:position w:val="-4"/>
                <w:sz w:val="21"/>
              </w:rPr>
              <w:t>重</w:t>
            </w:r>
            <w:r>
              <w:rPr>
                <w:position w:val="-4"/>
                <w:sz w:val="21"/>
              </w:rPr>
              <w:t>大</w:t>
            </w:r>
            <w:r>
              <w:rPr>
                <w:spacing w:val="-3"/>
                <w:position w:val="-4"/>
                <w:sz w:val="21"/>
              </w:rPr>
              <w:t>疾</w:t>
            </w:r>
            <w:r>
              <w:rPr>
                <w:position w:val="-4"/>
                <w:sz w:val="21"/>
              </w:rPr>
              <w:t>病</w:t>
            </w:r>
            <w:r>
              <w:rPr>
                <w:spacing w:val="-3"/>
                <w:position w:val="-4"/>
                <w:sz w:val="21"/>
              </w:rPr>
              <w:t>保</w:t>
            </w:r>
            <w:r>
              <w:rPr>
                <w:position w:val="-4"/>
                <w:sz w:val="21"/>
              </w:rPr>
              <w:t>险金 </w:t>
            </w:r>
            <w:r>
              <w:rPr>
                <w:sz w:val="21"/>
              </w:rPr>
              <w:t>重大</w:t>
            </w:r>
            <w:r>
              <w:rPr>
                <w:spacing w:val="-3"/>
                <w:sz w:val="21"/>
              </w:rPr>
              <w:t>疾</w:t>
            </w:r>
            <w:r>
              <w:rPr>
                <w:sz w:val="21"/>
              </w:rPr>
              <w:t>病</w:t>
            </w:r>
            <w:r>
              <w:rPr>
                <w:spacing w:val="-3"/>
                <w:sz w:val="21"/>
              </w:rPr>
              <w:t>的</w:t>
            </w:r>
            <w:r>
              <w:rPr>
                <w:sz w:val="21"/>
              </w:rPr>
              <w:t>保</w:t>
            </w:r>
            <w:r>
              <w:rPr>
                <w:spacing w:val="-3"/>
                <w:sz w:val="21"/>
              </w:rPr>
              <w:t>单</w:t>
            </w:r>
            <w:r>
              <w:rPr>
                <w:sz w:val="21"/>
              </w:rPr>
              <w:t>年度</w:t>
            </w:r>
          </w:p>
        </w:tc>
      </w:tr>
    </w:tbl>
    <w:p>
      <w:pPr>
        <w:spacing w:after="0" w:line="201" w:lineRule="auto"/>
        <w:rPr>
          <w:sz w:val="21"/>
        </w:rPr>
        <w:sectPr>
          <w:headerReference w:type="default" r:id="rId6"/>
          <w:pgSz w:w="11910" w:h="16840"/>
          <w:pgMar w:header="568" w:footer="0" w:top="800" w:bottom="280" w:left="800" w:right="840"/>
          <w:pgNumType w:start="1"/>
        </w:sectPr>
      </w:pPr>
    </w:p>
    <w:p>
      <w:pPr>
        <w:pStyle w:val="BodyText"/>
        <w:spacing w:before="3" w:after="1"/>
        <w:rPr>
          <w:sz w:val="25"/>
        </w:rPr>
      </w:pPr>
    </w:p>
    <w:tbl>
      <w:tblPr>
        <w:tblW w:w="0" w:type="auto"/>
        <w:jc w:val="left"/>
        <w:tblInd w:w="27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402"/>
        <w:gridCol w:w="3404"/>
      </w:tblGrid>
      <w:tr>
        <w:trPr>
          <w:trHeight w:val="321" w:hRule="atLeast"/>
        </w:trPr>
        <w:tc>
          <w:tcPr>
            <w:tcW w:w="3402" w:type="dxa"/>
          </w:tcPr>
          <w:p>
            <w:pPr>
              <w:pStyle w:val="TableParagraph"/>
              <w:spacing w:before="16"/>
              <w:ind w:left="107"/>
              <w:rPr>
                <w:sz w:val="21"/>
              </w:rPr>
            </w:pPr>
            <w:r>
              <w:rPr>
                <w:sz w:val="21"/>
              </w:rPr>
              <w:t>第一个保单年度</w:t>
            </w:r>
          </w:p>
        </w:tc>
        <w:tc>
          <w:tcPr>
            <w:tcW w:w="3404" w:type="dxa"/>
          </w:tcPr>
          <w:p>
            <w:pPr>
              <w:pStyle w:val="TableParagraph"/>
              <w:spacing w:before="16"/>
              <w:ind w:left="107"/>
              <w:rPr>
                <w:sz w:val="21"/>
              </w:rPr>
            </w:pPr>
            <w:r>
              <w:rPr>
                <w:sz w:val="21"/>
              </w:rPr>
              <w:t>等值于基本保险金额</w:t>
            </w:r>
          </w:p>
        </w:tc>
      </w:tr>
      <w:tr>
        <w:trPr>
          <w:trHeight w:val="319" w:hRule="atLeast"/>
        </w:trPr>
        <w:tc>
          <w:tcPr>
            <w:tcW w:w="3402" w:type="dxa"/>
          </w:tcPr>
          <w:p>
            <w:pPr>
              <w:pStyle w:val="TableParagraph"/>
              <w:spacing w:before="14"/>
              <w:ind w:left="107"/>
              <w:rPr>
                <w:sz w:val="21"/>
              </w:rPr>
            </w:pPr>
            <w:r>
              <w:rPr>
                <w:sz w:val="21"/>
              </w:rPr>
              <w:t>第二个保单年度</w:t>
            </w:r>
          </w:p>
        </w:tc>
        <w:tc>
          <w:tcPr>
            <w:tcW w:w="3404" w:type="dxa"/>
          </w:tcPr>
          <w:p>
            <w:pPr>
              <w:pStyle w:val="TableParagraph"/>
              <w:spacing w:before="14"/>
              <w:ind w:left="107"/>
              <w:rPr>
                <w:sz w:val="21"/>
              </w:rPr>
            </w:pPr>
            <w:r>
              <w:rPr>
                <w:sz w:val="21"/>
              </w:rPr>
              <w:t>等值于 2 倍基本保险金额</w:t>
            </w:r>
          </w:p>
        </w:tc>
      </w:tr>
      <w:tr>
        <w:trPr>
          <w:trHeight w:val="321" w:hRule="atLeast"/>
        </w:trPr>
        <w:tc>
          <w:tcPr>
            <w:tcW w:w="3402" w:type="dxa"/>
          </w:tcPr>
          <w:p>
            <w:pPr>
              <w:pStyle w:val="TableParagraph"/>
              <w:spacing w:before="16"/>
              <w:ind w:left="107"/>
              <w:rPr>
                <w:sz w:val="21"/>
              </w:rPr>
            </w:pPr>
            <w:r>
              <w:rPr>
                <w:sz w:val="21"/>
              </w:rPr>
              <w:t>第三个保单年度及以后</w:t>
            </w:r>
          </w:p>
        </w:tc>
        <w:tc>
          <w:tcPr>
            <w:tcW w:w="3404" w:type="dxa"/>
          </w:tcPr>
          <w:p>
            <w:pPr>
              <w:pStyle w:val="TableParagraph"/>
              <w:spacing w:before="16"/>
              <w:ind w:left="107"/>
              <w:rPr>
                <w:sz w:val="21"/>
              </w:rPr>
            </w:pPr>
            <w:r>
              <w:rPr>
                <w:sz w:val="21"/>
              </w:rPr>
              <w:t>等值于 3 倍基本保险金额</w:t>
            </w:r>
          </w:p>
        </w:tc>
      </w:tr>
    </w:tbl>
    <w:p>
      <w:pPr>
        <w:pStyle w:val="BodyText"/>
        <w:spacing w:before="7"/>
        <w:rPr>
          <w:sz w:val="8"/>
        </w:rPr>
      </w:pPr>
    </w:p>
    <w:p>
      <w:pPr>
        <w:tabs>
          <w:tab w:pos="1321" w:val="left" w:leader="none"/>
          <w:tab w:pos="2737" w:val="left" w:leader="none"/>
        </w:tabs>
        <w:spacing w:line="276" w:lineRule="auto" w:before="38"/>
        <w:ind w:left="2738" w:right="221" w:hanging="2518"/>
        <w:jc w:val="left"/>
        <w:rPr>
          <w:sz w:val="21"/>
        </w:rPr>
      </w:pPr>
      <w:r>
        <w:rPr>
          <w:i/>
          <w:position w:val="2"/>
          <w:sz w:val="22"/>
        </w:rPr>
        <w:t>2.3.2</w:t>
        <w:tab/>
        <w:t>身故</w:t>
      </w:r>
      <w:r>
        <w:rPr>
          <w:i/>
          <w:spacing w:val="-3"/>
          <w:position w:val="2"/>
          <w:sz w:val="22"/>
        </w:rPr>
        <w:t>保</w:t>
      </w:r>
      <w:r>
        <w:rPr>
          <w:i/>
          <w:position w:val="2"/>
          <w:sz w:val="22"/>
        </w:rPr>
        <w:t>险金</w:t>
        <w:tab/>
      </w:r>
      <w:r>
        <w:rPr>
          <w:spacing w:val="-1"/>
          <w:sz w:val="21"/>
        </w:rPr>
        <w:t>若被</w:t>
      </w:r>
      <w:r>
        <w:rPr>
          <w:spacing w:val="-3"/>
          <w:sz w:val="21"/>
        </w:rPr>
        <w:t>保</w:t>
      </w:r>
      <w:r>
        <w:rPr>
          <w:spacing w:val="-1"/>
          <w:sz w:val="21"/>
        </w:rPr>
        <w:t>险</w:t>
      </w:r>
      <w:r>
        <w:rPr>
          <w:sz w:val="21"/>
        </w:rPr>
        <w:t>人身</w:t>
      </w:r>
      <w:r>
        <w:rPr>
          <w:spacing w:val="-3"/>
          <w:sz w:val="21"/>
        </w:rPr>
        <w:t>故</w:t>
      </w:r>
      <w:r>
        <w:rPr>
          <w:spacing w:val="-27"/>
          <w:sz w:val="21"/>
        </w:rPr>
        <w:t>，</w:t>
      </w:r>
      <w:r>
        <w:rPr>
          <w:spacing w:val="-3"/>
          <w:sz w:val="21"/>
        </w:rPr>
        <w:t>本</w:t>
      </w:r>
      <w:r>
        <w:rPr>
          <w:sz w:val="21"/>
        </w:rPr>
        <w:t>合</w:t>
      </w:r>
      <w:r>
        <w:rPr>
          <w:spacing w:val="-3"/>
          <w:sz w:val="21"/>
        </w:rPr>
        <w:t>同</w:t>
      </w:r>
      <w:r>
        <w:rPr>
          <w:sz w:val="21"/>
        </w:rPr>
        <w:t>效力</w:t>
      </w:r>
      <w:r>
        <w:rPr>
          <w:spacing w:val="-3"/>
          <w:sz w:val="21"/>
        </w:rPr>
        <w:t>终</w:t>
      </w:r>
      <w:r>
        <w:rPr>
          <w:sz w:val="21"/>
        </w:rPr>
        <w:t>止</w:t>
      </w:r>
      <w:r>
        <w:rPr>
          <w:spacing w:val="-29"/>
          <w:sz w:val="21"/>
        </w:rPr>
        <w:t>，</w:t>
      </w:r>
      <w:r>
        <w:rPr>
          <w:sz w:val="21"/>
        </w:rPr>
        <w:t>我</w:t>
      </w:r>
      <w:r>
        <w:rPr>
          <w:spacing w:val="-3"/>
          <w:sz w:val="21"/>
        </w:rPr>
        <w:t>们</w:t>
      </w:r>
      <w:r>
        <w:rPr>
          <w:sz w:val="21"/>
        </w:rPr>
        <w:t>按</w:t>
      </w:r>
      <w:r>
        <w:rPr>
          <w:spacing w:val="-3"/>
          <w:sz w:val="21"/>
        </w:rPr>
        <w:t>照</w:t>
      </w:r>
      <w:r>
        <w:rPr>
          <w:sz w:val="21"/>
        </w:rPr>
        <w:t>本</w:t>
      </w:r>
      <w:r>
        <w:rPr>
          <w:spacing w:val="-3"/>
          <w:sz w:val="21"/>
        </w:rPr>
        <w:t>合</w:t>
      </w:r>
      <w:r>
        <w:rPr>
          <w:sz w:val="21"/>
        </w:rPr>
        <w:t>同累</w:t>
      </w:r>
      <w:r>
        <w:rPr>
          <w:spacing w:val="-3"/>
          <w:sz w:val="21"/>
        </w:rPr>
        <w:t>计</w:t>
      </w:r>
      <w:r>
        <w:rPr>
          <w:sz w:val="21"/>
        </w:rPr>
        <w:t>已</w:t>
      </w:r>
      <w:r>
        <w:rPr>
          <w:spacing w:val="-3"/>
          <w:sz w:val="21"/>
        </w:rPr>
        <w:t>交</w:t>
      </w:r>
      <w:r>
        <w:rPr>
          <w:sz w:val="21"/>
        </w:rPr>
        <w:t>保</w:t>
      </w:r>
      <w:r>
        <w:rPr>
          <w:spacing w:val="-3"/>
          <w:sz w:val="21"/>
        </w:rPr>
        <w:t>险</w:t>
      </w:r>
      <w:r>
        <w:rPr>
          <w:sz w:val="21"/>
        </w:rPr>
        <w:t>费</w:t>
      </w:r>
      <w:r>
        <w:rPr>
          <w:spacing w:val="-3"/>
          <w:sz w:val="21"/>
        </w:rPr>
        <w:t>给</w:t>
      </w:r>
      <w:r>
        <w:rPr>
          <w:sz w:val="21"/>
        </w:rPr>
        <w:t>付</w:t>
      </w:r>
      <w:r>
        <w:rPr>
          <w:spacing w:val="-3"/>
          <w:sz w:val="21"/>
        </w:rPr>
        <w:t>身</w:t>
      </w:r>
      <w:r>
        <w:rPr>
          <w:sz w:val="21"/>
        </w:rPr>
        <w:t>故保 险金。</w:t>
      </w:r>
    </w:p>
    <w:p>
      <w:pPr>
        <w:pStyle w:val="BodyText"/>
        <w:spacing w:line="278" w:lineRule="auto" w:before="17"/>
        <w:ind w:left="2738" w:right="116"/>
        <w:jc w:val="both"/>
      </w:pPr>
      <w:r>
        <w:rPr>
          <w:spacing w:val="-14"/>
        </w:rPr>
        <w:t>“累计已交保险费”：年交方式下指已经过保单年度数</w:t>
      </w:r>
      <w:r>
        <w:rPr/>
        <w:t>（</w:t>
      </w:r>
      <w:r>
        <w:rPr>
          <w:spacing w:val="-3"/>
        </w:rPr>
        <w:t>交费期满后为交费年数</w:t>
      </w:r>
      <w:r>
        <w:rPr/>
        <w:t>） </w:t>
      </w:r>
      <w:r>
        <w:rPr>
          <w:spacing w:val="-14"/>
        </w:rPr>
        <w:t>乘以年交保险费；月交方式下指已经过保单月度数</w:t>
      </w:r>
      <w:r>
        <w:rPr/>
        <w:t>（</w:t>
      </w:r>
      <w:r>
        <w:rPr>
          <w:spacing w:val="-3"/>
        </w:rPr>
        <w:t>交费期满后为交费年数</w:t>
      </w:r>
      <w:r>
        <w:rPr/>
        <w:t>×12） </w:t>
      </w:r>
      <w:r>
        <w:rPr>
          <w:spacing w:val="-3"/>
        </w:rPr>
        <w:t>乘以月交保险费。</w:t>
      </w:r>
    </w:p>
    <w:p>
      <w:pPr>
        <w:pStyle w:val="BodyText"/>
        <w:spacing w:line="278" w:lineRule="auto" w:before="13"/>
        <w:ind w:left="2738" w:right="221"/>
      </w:pPr>
      <w:r>
        <w:rPr>
          <w:spacing w:val="-9"/>
        </w:rPr>
        <w:t>“年交保险费”指按本合同约定承担给付保险金责任时的基本保险金额及原投保</w:t>
      </w:r>
      <w:r>
        <w:rPr>
          <w:spacing w:val="-5"/>
        </w:rPr>
        <w:t>年龄确定的年交保险费。</w:t>
      </w:r>
    </w:p>
    <w:p>
      <w:pPr>
        <w:pStyle w:val="BodyText"/>
        <w:spacing w:line="259" w:lineRule="exact"/>
        <w:ind w:left="2738"/>
      </w:pPr>
      <w:r>
        <w:rPr/>
        <w:t>“月交保险费”指按本合同约定承担给付保险金责任时的基本保险金额及原投保</w:t>
      </w:r>
    </w:p>
    <w:p>
      <w:pPr>
        <w:pStyle w:val="BodyText"/>
        <w:spacing w:before="38"/>
        <w:ind w:left="2738"/>
      </w:pPr>
      <w:r>
        <w:rPr/>
        <w:t>年龄确定的月交保险费。</w:t>
      </w:r>
    </w:p>
    <w:p>
      <w:pPr>
        <w:pStyle w:val="BodyText"/>
        <w:spacing w:before="2"/>
        <w:rPr>
          <w:sz w:val="16"/>
        </w:rPr>
      </w:pPr>
    </w:p>
    <w:p>
      <w:pPr>
        <w:pStyle w:val="BodyText"/>
        <w:tabs>
          <w:tab w:pos="1321" w:val="left" w:leader="none"/>
          <w:tab w:pos="2737" w:val="left" w:leader="none"/>
        </w:tabs>
        <w:spacing w:line="278" w:lineRule="auto"/>
        <w:ind w:left="2738" w:right="221" w:hanging="2518"/>
        <w:rPr>
          <w:rFonts w:ascii="黑体" w:eastAsia="黑体" w:hint="eastAsia"/>
        </w:rPr>
      </w:pPr>
      <w:r>
        <w:rPr>
          <w:b/>
          <w:position w:val="2"/>
        </w:rPr>
        <w:t>2.4</w:t>
        <w:tab/>
        <w:t>责任免除</w:t>
        <w:tab/>
      </w:r>
      <w:r>
        <w:rPr>
          <w:rFonts w:ascii="黑体" w:eastAsia="黑体" w:hint="eastAsia"/>
          <w:shd w:fill="D9D9D9" w:color="auto" w:val="clear"/>
        </w:rPr>
        <w:t>因下</w:t>
      </w:r>
      <w:r>
        <w:rPr>
          <w:rFonts w:ascii="黑体" w:eastAsia="黑体" w:hint="eastAsia"/>
          <w:spacing w:val="-3"/>
          <w:shd w:fill="D9D9D9" w:color="auto" w:val="clear"/>
        </w:rPr>
        <w:t>列</w:t>
      </w:r>
      <w:r>
        <w:rPr>
          <w:rFonts w:ascii="黑体" w:eastAsia="黑体" w:hint="eastAsia"/>
          <w:shd w:fill="D9D9D9" w:color="auto" w:val="clear"/>
        </w:rPr>
        <w:t>情</w:t>
      </w:r>
      <w:r>
        <w:rPr>
          <w:rFonts w:ascii="黑体" w:eastAsia="黑体" w:hint="eastAsia"/>
          <w:spacing w:val="-3"/>
          <w:shd w:fill="D9D9D9" w:color="auto" w:val="clear"/>
        </w:rPr>
        <w:t>形</w:t>
      </w:r>
      <w:r>
        <w:rPr>
          <w:rFonts w:ascii="黑体" w:eastAsia="黑体" w:hint="eastAsia"/>
          <w:shd w:fill="D9D9D9" w:color="auto" w:val="clear"/>
        </w:rPr>
        <w:t>之</w:t>
      </w:r>
      <w:r>
        <w:rPr>
          <w:rFonts w:ascii="黑体" w:eastAsia="黑体" w:hint="eastAsia"/>
          <w:spacing w:val="-3"/>
          <w:shd w:fill="D9D9D9" w:color="auto" w:val="clear"/>
        </w:rPr>
        <w:t>一</w:t>
      </w:r>
      <w:r>
        <w:rPr>
          <w:rFonts w:ascii="黑体" w:eastAsia="黑体" w:hint="eastAsia"/>
          <w:spacing w:val="-27"/>
          <w:shd w:fill="D9D9D9" w:color="auto" w:val="clear"/>
        </w:rPr>
        <w:t>，</w:t>
      </w:r>
      <w:r>
        <w:rPr>
          <w:rFonts w:ascii="黑体" w:eastAsia="黑体" w:hint="eastAsia"/>
          <w:spacing w:val="-3"/>
          <w:shd w:fill="D9D9D9" w:color="auto" w:val="clear"/>
        </w:rPr>
        <w:t>导</w:t>
      </w:r>
      <w:r>
        <w:rPr>
          <w:rFonts w:ascii="黑体" w:eastAsia="黑体" w:hint="eastAsia"/>
          <w:shd w:fill="D9D9D9" w:color="auto" w:val="clear"/>
        </w:rPr>
        <w:t>致</w:t>
      </w:r>
      <w:r>
        <w:rPr>
          <w:rFonts w:ascii="黑体" w:eastAsia="黑体" w:hint="eastAsia"/>
          <w:spacing w:val="-3"/>
          <w:shd w:fill="D9D9D9" w:color="auto" w:val="clear"/>
        </w:rPr>
        <w:t>被</w:t>
      </w:r>
      <w:r>
        <w:rPr>
          <w:rFonts w:ascii="黑体" w:eastAsia="黑体" w:hint="eastAsia"/>
          <w:shd w:fill="D9D9D9" w:color="auto" w:val="clear"/>
        </w:rPr>
        <w:t>保险</w:t>
      </w:r>
      <w:r>
        <w:rPr>
          <w:rFonts w:ascii="黑体" w:eastAsia="黑体" w:hint="eastAsia"/>
          <w:spacing w:val="-3"/>
          <w:shd w:fill="D9D9D9" w:color="auto" w:val="clear"/>
        </w:rPr>
        <w:t>人</w:t>
      </w:r>
      <w:r>
        <w:rPr>
          <w:rFonts w:ascii="黑体" w:eastAsia="黑体" w:hint="eastAsia"/>
          <w:shd w:fill="D9D9D9" w:color="auto" w:val="clear"/>
        </w:rPr>
        <w:t>身</w:t>
      </w:r>
      <w:r>
        <w:rPr>
          <w:rFonts w:ascii="黑体" w:eastAsia="黑体" w:hint="eastAsia"/>
          <w:spacing w:val="-3"/>
          <w:shd w:fill="D9D9D9" w:color="auto" w:val="clear"/>
        </w:rPr>
        <w:t>故</w:t>
      </w:r>
      <w:r>
        <w:rPr>
          <w:rFonts w:ascii="黑体" w:eastAsia="黑体" w:hint="eastAsia"/>
          <w:shd w:fill="D9D9D9" w:color="auto" w:val="clear"/>
        </w:rPr>
        <w:t>或</w:t>
      </w:r>
      <w:r>
        <w:rPr>
          <w:rFonts w:ascii="黑体" w:eastAsia="黑体" w:hint="eastAsia"/>
          <w:spacing w:val="-3"/>
          <w:shd w:fill="D9D9D9" w:color="auto" w:val="clear"/>
        </w:rPr>
        <w:t>发</w:t>
      </w:r>
      <w:r>
        <w:rPr>
          <w:rFonts w:ascii="黑体" w:eastAsia="黑体" w:hint="eastAsia"/>
          <w:shd w:fill="D9D9D9" w:color="auto" w:val="clear"/>
        </w:rPr>
        <w:t>Th</w:t>
      </w:r>
      <w:r>
        <w:rPr>
          <w:rFonts w:ascii="黑体" w:eastAsia="黑体" w:hint="eastAsia"/>
          <w:spacing w:val="-3"/>
          <w:shd w:fill="D9D9D9" w:color="auto" w:val="clear"/>
        </w:rPr>
        <w:t>重</w:t>
      </w:r>
      <w:r>
        <w:rPr>
          <w:rFonts w:ascii="黑体" w:eastAsia="黑体" w:hint="eastAsia"/>
          <w:shd w:fill="D9D9D9" w:color="auto" w:val="clear"/>
        </w:rPr>
        <w:t>大</w:t>
      </w:r>
      <w:r>
        <w:rPr>
          <w:rFonts w:ascii="黑体" w:eastAsia="黑体" w:hint="eastAsia"/>
          <w:spacing w:val="-3"/>
          <w:shd w:fill="D9D9D9" w:color="auto" w:val="clear"/>
        </w:rPr>
        <w:t>疾</w:t>
      </w:r>
      <w:r>
        <w:rPr>
          <w:rFonts w:ascii="黑体" w:eastAsia="黑体" w:hint="eastAsia"/>
          <w:shd w:fill="D9D9D9" w:color="auto" w:val="clear"/>
        </w:rPr>
        <w:t>病的</w:t>
      </w:r>
      <w:r>
        <w:rPr>
          <w:rFonts w:ascii="黑体" w:eastAsia="黑体" w:hint="eastAsia"/>
          <w:spacing w:val="-29"/>
          <w:shd w:fill="D9D9D9" w:color="auto" w:val="clear"/>
        </w:rPr>
        <w:t>，</w:t>
      </w:r>
      <w:r>
        <w:rPr>
          <w:rFonts w:ascii="黑体" w:eastAsia="黑体" w:hint="eastAsia"/>
          <w:shd w:fill="D9D9D9" w:color="auto" w:val="clear"/>
        </w:rPr>
        <w:t>我</w:t>
      </w:r>
      <w:r>
        <w:rPr>
          <w:rFonts w:ascii="黑体" w:eastAsia="黑体" w:hint="eastAsia"/>
          <w:spacing w:val="-3"/>
          <w:shd w:fill="D9D9D9" w:color="auto" w:val="clear"/>
        </w:rPr>
        <w:t>们</w:t>
      </w:r>
      <w:r>
        <w:rPr>
          <w:rFonts w:ascii="黑体" w:eastAsia="黑体" w:hint="eastAsia"/>
          <w:shd w:fill="D9D9D9" w:color="auto" w:val="clear"/>
        </w:rPr>
        <w:t>不</w:t>
      </w:r>
      <w:r>
        <w:rPr>
          <w:rFonts w:ascii="黑体" w:eastAsia="黑体" w:hint="eastAsia"/>
          <w:spacing w:val="-3"/>
          <w:shd w:fill="D9D9D9" w:color="auto" w:val="clear"/>
        </w:rPr>
        <w:t>承</w:t>
      </w:r>
      <w:r>
        <w:rPr>
          <w:rFonts w:ascii="黑体" w:eastAsia="黑体" w:hint="eastAsia"/>
          <w:shd w:fill="D9D9D9" w:color="auto" w:val="clear"/>
        </w:rPr>
        <w:t>担</w:t>
      </w:r>
      <w:r>
        <w:rPr>
          <w:rFonts w:ascii="黑体" w:eastAsia="黑体" w:hint="eastAsia"/>
          <w:spacing w:val="-3"/>
          <w:shd w:fill="D9D9D9" w:color="auto" w:val="clear"/>
        </w:rPr>
        <w:t>给</w:t>
      </w:r>
      <w:r>
        <w:rPr>
          <w:rFonts w:ascii="黑体" w:eastAsia="黑体" w:hint="eastAsia"/>
          <w:shd w:fill="D9D9D9" w:color="auto" w:val="clear"/>
        </w:rPr>
        <w:t>付</w:t>
      </w:r>
      <w:r>
        <w:rPr>
          <w:rFonts w:ascii="黑体" w:eastAsia="黑体" w:hint="eastAsia"/>
          <w:spacing w:val="-3"/>
          <w:shd w:fill="D9D9D9" w:color="auto" w:val="clear"/>
        </w:rPr>
        <w:t>身</w:t>
      </w:r>
      <w:r>
        <w:rPr>
          <w:rFonts w:ascii="黑体" w:eastAsia="黑体" w:hint="eastAsia"/>
          <w:shd w:fill="D9D9D9" w:color="auto" w:val="clear"/>
        </w:rPr>
        <w:t>故保 </w:t>
      </w:r>
      <w:r>
        <w:rPr>
          <w:rFonts w:ascii="黑体" w:eastAsia="黑体" w:hint="eastAsia"/>
          <w:spacing w:val="-1"/>
          <w:shd w:fill="D9D9D9" w:color="auto" w:val="clear"/>
        </w:rPr>
        <w:t>险金</w:t>
      </w:r>
      <w:r>
        <w:rPr>
          <w:rFonts w:ascii="黑体" w:eastAsia="黑体" w:hint="eastAsia"/>
          <w:shd w:fill="D9D9D9" w:color="auto" w:val="clear"/>
        </w:rPr>
        <w:t>或重</w:t>
      </w:r>
      <w:r>
        <w:rPr>
          <w:rFonts w:ascii="黑体" w:eastAsia="黑体" w:hint="eastAsia"/>
          <w:spacing w:val="-3"/>
          <w:shd w:fill="D9D9D9" w:color="auto" w:val="clear"/>
        </w:rPr>
        <w:t>大</w:t>
      </w:r>
      <w:r>
        <w:rPr>
          <w:rFonts w:ascii="黑体" w:eastAsia="黑体" w:hint="eastAsia"/>
          <w:shd w:fill="D9D9D9" w:color="auto" w:val="clear"/>
        </w:rPr>
        <w:t>疾</w:t>
      </w:r>
      <w:r>
        <w:rPr>
          <w:rFonts w:ascii="黑体" w:eastAsia="黑体" w:hint="eastAsia"/>
          <w:spacing w:val="-3"/>
          <w:shd w:fill="D9D9D9" w:color="auto" w:val="clear"/>
        </w:rPr>
        <w:t>病</w:t>
      </w:r>
      <w:r>
        <w:rPr>
          <w:rFonts w:ascii="黑体" w:eastAsia="黑体" w:hint="eastAsia"/>
          <w:shd w:fill="D9D9D9" w:color="auto" w:val="clear"/>
        </w:rPr>
        <w:t>保</w:t>
      </w:r>
      <w:r>
        <w:rPr>
          <w:rFonts w:ascii="黑体" w:eastAsia="黑体" w:hint="eastAsia"/>
          <w:spacing w:val="-3"/>
          <w:shd w:fill="D9D9D9" w:color="auto" w:val="clear"/>
        </w:rPr>
        <w:t>险</w:t>
      </w:r>
      <w:r>
        <w:rPr>
          <w:rFonts w:ascii="黑体" w:eastAsia="黑体" w:hint="eastAsia"/>
          <w:shd w:fill="D9D9D9" w:color="auto" w:val="clear"/>
        </w:rPr>
        <w:t>金</w:t>
      </w:r>
      <w:r>
        <w:rPr>
          <w:rFonts w:ascii="黑体" w:eastAsia="黑体" w:hint="eastAsia"/>
          <w:spacing w:val="-3"/>
          <w:shd w:fill="D9D9D9" w:color="auto" w:val="clear"/>
        </w:rPr>
        <w:t>的</w:t>
      </w:r>
      <w:r>
        <w:rPr>
          <w:rFonts w:ascii="黑体" w:eastAsia="黑体" w:hint="eastAsia"/>
          <w:shd w:fill="D9D9D9" w:color="auto" w:val="clear"/>
        </w:rPr>
        <w:t>责任：</w:t>
      </w:r>
    </w:p>
    <w:p>
      <w:pPr>
        <w:pStyle w:val="BodyText"/>
        <w:spacing w:before="13"/>
        <w:ind w:left="2738"/>
        <w:rPr>
          <w:rFonts w:ascii="黑体" w:eastAsia="黑体" w:hint="eastAsia"/>
        </w:rPr>
      </w:pPr>
      <w:r>
        <w:rPr>
          <w:rFonts w:ascii="黑体" w:eastAsia="黑体" w:hint="eastAsia"/>
          <w:shd w:fill="D9D9D9" w:color="auto" w:val="clear"/>
        </w:rPr>
        <w:t>（1）投保人对被保险人的故意杀害、故意伤害；</w:t>
      </w:r>
    </w:p>
    <w:p>
      <w:pPr>
        <w:pStyle w:val="BodyText"/>
        <w:spacing w:before="44"/>
        <w:ind w:left="2738"/>
        <w:rPr>
          <w:rFonts w:ascii="黑体" w:eastAsia="黑体" w:hint="eastAsia"/>
        </w:rPr>
      </w:pPr>
      <w:r>
        <w:rPr>
          <w:rFonts w:ascii="黑体" w:eastAsia="黑体" w:hint="eastAsia"/>
          <w:shd w:fill="D9D9D9" w:color="auto" w:val="clear"/>
        </w:rPr>
        <w:t>（2）被保险人故意自伤、故意犯罪或抗拒依法采取的刑事强制措施；</w:t>
      </w:r>
    </w:p>
    <w:p>
      <w:pPr>
        <w:spacing w:line="278" w:lineRule="auto" w:before="44"/>
        <w:ind w:left="2738" w:right="118" w:firstLine="0"/>
        <w:jc w:val="left"/>
        <w:rPr>
          <w:rFonts w:ascii="黑体" w:eastAsia="黑体" w:hint="eastAsia"/>
          <w:b/>
          <w:sz w:val="21"/>
        </w:rPr>
      </w:pPr>
      <w:r>
        <w:rPr>
          <w:rFonts w:ascii="黑体" w:eastAsia="黑体" w:hint="eastAsia"/>
          <w:w w:val="100"/>
          <w:sz w:val="21"/>
          <w:shd w:fill="D9D9D9" w:color="auto" w:val="clear"/>
        </w:rPr>
        <w:t>（3</w:t>
      </w:r>
      <w:r>
        <w:rPr>
          <w:rFonts w:ascii="黑体" w:eastAsia="黑体" w:hint="eastAsia"/>
          <w:spacing w:val="-15"/>
          <w:w w:val="100"/>
          <w:sz w:val="21"/>
          <w:shd w:fill="D9D9D9" w:color="auto" w:val="clear"/>
        </w:rPr>
        <w:t>）</w:t>
      </w:r>
      <w:r>
        <w:rPr>
          <w:rFonts w:ascii="黑体" w:eastAsia="黑体" w:hint="eastAsia"/>
          <w:spacing w:val="-3"/>
          <w:w w:val="100"/>
          <w:sz w:val="21"/>
          <w:shd w:fill="D9D9D9" w:color="auto" w:val="clear"/>
        </w:rPr>
        <w:t>被保险人主动吸食或注射</w:t>
      </w:r>
      <w:r>
        <w:rPr>
          <w:rFonts w:ascii="黑体" w:eastAsia="黑体" w:hint="eastAsia"/>
          <w:b/>
          <w:spacing w:val="-6"/>
          <w:w w:val="100"/>
          <w:sz w:val="21"/>
          <w:shd w:fill="D9D9D9" w:color="auto" w:val="clear"/>
        </w:rPr>
        <w:t>毒品</w:t>
      </w:r>
      <w:r>
        <w:rPr>
          <w:rFonts w:ascii="黑体" w:eastAsia="黑体" w:hint="eastAsia"/>
          <w:w w:val="100"/>
          <w:sz w:val="21"/>
          <w:shd w:fill="D9D9D9" w:color="auto" w:val="clear"/>
        </w:rPr>
        <w:t>（见</w:t>
      </w:r>
      <w:r>
        <w:rPr>
          <w:rFonts w:ascii="黑体" w:eastAsia="黑体" w:hint="eastAsia"/>
          <w:spacing w:val="-55"/>
          <w:sz w:val="21"/>
          <w:shd w:fill="D9D9D9" w:color="auto" w:val="clear"/>
        </w:rPr>
        <w:t> </w:t>
      </w:r>
      <w:r>
        <w:rPr>
          <w:rFonts w:ascii="黑体" w:eastAsia="黑体" w:hint="eastAsia"/>
          <w:w w:val="100"/>
          <w:sz w:val="21"/>
          <w:shd w:fill="D9D9D9" w:color="auto" w:val="clear"/>
        </w:rPr>
        <w:t>11.</w:t>
      </w:r>
      <w:r>
        <w:rPr>
          <w:rFonts w:ascii="黑体" w:eastAsia="黑体" w:hint="eastAsia"/>
          <w:spacing w:val="-3"/>
          <w:w w:val="100"/>
          <w:sz w:val="21"/>
          <w:shd w:fill="D9D9D9" w:color="auto" w:val="clear"/>
        </w:rPr>
        <w:t>8</w:t>
      </w:r>
      <w:r>
        <w:rPr>
          <w:rFonts w:ascii="黑体" w:eastAsia="黑体" w:hint="eastAsia"/>
          <w:spacing w:val="-106"/>
          <w:w w:val="100"/>
          <w:sz w:val="21"/>
          <w:shd w:fill="D9D9D9" w:color="auto" w:val="clear"/>
        </w:rPr>
        <w:t>）</w:t>
      </w:r>
      <w:r>
        <w:rPr>
          <w:rFonts w:ascii="黑体" w:eastAsia="黑体" w:hint="eastAsia"/>
          <w:spacing w:val="-15"/>
          <w:w w:val="100"/>
          <w:sz w:val="21"/>
          <w:shd w:fill="D9D9D9" w:color="auto" w:val="clear"/>
        </w:rPr>
        <w:t>，</w:t>
      </w:r>
      <w:r>
        <w:rPr>
          <w:rFonts w:ascii="黑体" w:eastAsia="黑体" w:hint="eastAsia"/>
          <w:b/>
          <w:spacing w:val="-3"/>
          <w:w w:val="100"/>
          <w:sz w:val="21"/>
          <w:shd w:fill="D9D9D9" w:color="auto" w:val="clear"/>
        </w:rPr>
        <w:t>酒后驾驶</w:t>
      </w:r>
      <w:r>
        <w:rPr>
          <w:rFonts w:ascii="黑体" w:eastAsia="黑体" w:hint="eastAsia"/>
          <w:w w:val="100"/>
          <w:sz w:val="21"/>
          <w:shd w:fill="D9D9D9" w:color="auto" w:val="clear"/>
        </w:rPr>
        <w:t>（见</w:t>
      </w:r>
      <w:r>
        <w:rPr>
          <w:rFonts w:ascii="黑体" w:eastAsia="黑体" w:hint="eastAsia"/>
          <w:spacing w:val="-55"/>
          <w:sz w:val="21"/>
          <w:shd w:fill="D9D9D9" w:color="auto" w:val="clear"/>
        </w:rPr>
        <w:t> </w:t>
      </w:r>
      <w:r>
        <w:rPr>
          <w:rFonts w:ascii="黑体" w:eastAsia="黑体" w:hint="eastAsia"/>
          <w:w w:val="100"/>
          <w:sz w:val="21"/>
          <w:shd w:fill="D9D9D9" w:color="auto" w:val="clear"/>
        </w:rPr>
        <w:t>11.</w:t>
      </w:r>
      <w:r>
        <w:rPr>
          <w:rFonts w:ascii="黑体" w:eastAsia="黑体" w:hint="eastAsia"/>
          <w:spacing w:val="-2"/>
          <w:w w:val="100"/>
          <w:sz w:val="21"/>
          <w:shd w:fill="D9D9D9" w:color="auto" w:val="clear"/>
        </w:rPr>
        <w:t>9</w:t>
      </w:r>
      <w:r>
        <w:rPr>
          <w:rFonts w:ascii="黑体" w:eastAsia="黑体" w:hint="eastAsia"/>
          <w:spacing w:val="-106"/>
          <w:w w:val="100"/>
          <w:sz w:val="21"/>
          <w:shd w:fill="D9D9D9" w:color="auto" w:val="clear"/>
        </w:rPr>
        <w:t>）</w:t>
      </w:r>
      <w:r>
        <w:rPr>
          <w:rFonts w:ascii="黑体" w:eastAsia="黑体" w:hint="eastAsia"/>
          <w:spacing w:val="-15"/>
          <w:w w:val="100"/>
          <w:sz w:val="21"/>
          <w:shd w:fill="D9D9D9" w:color="auto" w:val="clear"/>
        </w:rPr>
        <w:t>，</w:t>
      </w:r>
      <w:r>
        <w:rPr>
          <w:rFonts w:ascii="黑体" w:eastAsia="黑体" w:hint="eastAsia"/>
          <w:b/>
          <w:spacing w:val="-21"/>
          <w:w w:val="100"/>
          <w:sz w:val="21"/>
          <w:shd w:fill="D9D9D9" w:color="auto" w:val="clear"/>
        </w:rPr>
        <w:t>无合法有效</w:t>
      </w:r>
      <w:r>
        <w:rPr>
          <w:rFonts w:ascii="黑体" w:eastAsia="黑体" w:hint="eastAsia"/>
          <w:b/>
          <w:w w:val="100"/>
          <w:sz w:val="21"/>
          <w:shd w:fill="D9D9D9" w:color="auto" w:val="clear"/>
        </w:rPr>
        <w:t>                                                                    </w:t>
      </w:r>
      <w:r>
        <w:rPr>
          <w:rFonts w:ascii="黑体" w:eastAsia="黑体" w:hint="eastAsia"/>
          <w:b/>
          <w:spacing w:val="-18"/>
          <w:w w:val="100"/>
          <w:sz w:val="21"/>
          <w:shd w:fill="D9D9D9" w:color="auto" w:val="clear"/>
        </w:rPr>
        <w:t>驾驶证驾驶</w:t>
      </w:r>
      <w:r>
        <w:rPr>
          <w:rFonts w:ascii="黑体" w:eastAsia="黑体" w:hint="eastAsia"/>
          <w:spacing w:val="-3"/>
          <w:w w:val="100"/>
          <w:sz w:val="21"/>
          <w:shd w:fill="D9D9D9" w:color="auto" w:val="clear"/>
        </w:rPr>
        <w:t>（</w:t>
      </w:r>
      <w:r>
        <w:rPr>
          <w:rFonts w:ascii="黑体" w:eastAsia="黑体" w:hint="eastAsia"/>
          <w:w w:val="100"/>
          <w:sz w:val="21"/>
          <w:shd w:fill="D9D9D9" w:color="auto" w:val="clear"/>
        </w:rPr>
        <w:t>见</w:t>
      </w:r>
      <w:r>
        <w:rPr>
          <w:rFonts w:ascii="黑体" w:eastAsia="黑体" w:hint="eastAsia"/>
          <w:spacing w:val="-53"/>
          <w:sz w:val="21"/>
          <w:shd w:fill="D9D9D9" w:color="auto" w:val="clear"/>
        </w:rPr>
        <w:t> </w:t>
      </w:r>
      <w:r>
        <w:rPr>
          <w:rFonts w:ascii="黑体" w:eastAsia="黑体" w:hint="eastAsia"/>
          <w:w w:val="100"/>
          <w:sz w:val="21"/>
          <w:shd w:fill="D9D9D9" w:color="auto" w:val="clear"/>
        </w:rPr>
        <w:t>1</w:t>
      </w:r>
      <w:r>
        <w:rPr>
          <w:rFonts w:ascii="黑体" w:eastAsia="黑体" w:hint="eastAsia"/>
          <w:spacing w:val="-3"/>
          <w:w w:val="100"/>
          <w:sz w:val="21"/>
          <w:shd w:fill="D9D9D9" w:color="auto" w:val="clear"/>
        </w:rPr>
        <w:t>1</w:t>
      </w:r>
      <w:r>
        <w:rPr>
          <w:rFonts w:ascii="黑体" w:eastAsia="黑体" w:hint="eastAsia"/>
          <w:w w:val="100"/>
          <w:sz w:val="21"/>
          <w:shd w:fill="D9D9D9" w:color="auto" w:val="clear"/>
        </w:rPr>
        <w:t>.1</w:t>
      </w:r>
      <w:r>
        <w:rPr>
          <w:rFonts w:ascii="黑体" w:eastAsia="黑体" w:hint="eastAsia"/>
          <w:spacing w:val="-1"/>
          <w:w w:val="100"/>
          <w:sz w:val="21"/>
          <w:shd w:fill="D9D9D9" w:color="auto" w:val="clear"/>
        </w:rPr>
        <w:t>0</w:t>
      </w:r>
      <w:r>
        <w:rPr>
          <w:rFonts w:ascii="黑体" w:eastAsia="黑体" w:hint="eastAsia"/>
          <w:spacing w:val="-108"/>
          <w:w w:val="100"/>
          <w:sz w:val="21"/>
          <w:shd w:fill="D9D9D9" w:color="auto" w:val="clear"/>
        </w:rPr>
        <w:t>）</w:t>
      </w:r>
      <w:r>
        <w:rPr>
          <w:rFonts w:ascii="黑体" w:eastAsia="黑体" w:hint="eastAsia"/>
          <w:spacing w:val="-24"/>
          <w:w w:val="100"/>
          <w:sz w:val="21"/>
          <w:shd w:fill="D9D9D9" w:color="auto" w:val="clear"/>
        </w:rPr>
        <w:t>，或驾驶</w:t>
      </w:r>
      <w:r>
        <w:rPr>
          <w:rFonts w:ascii="黑体" w:eastAsia="黑体" w:hint="eastAsia"/>
          <w:b/>
          <w:spacing w:val="-15"/>
          <w:w w:val="100"/>
          <w:sz w:val="21"/>
          <w:shd w:fill="D9D9D9" w:color="auto" w:val="clear"/>
        </w:rPr>
        <w:t>无有效行驶证</w:t>
      </w:r>
      <w:r>
        <w:rPr>
          <w:rFonts w:ascii="黑体" w:eastAsia="黑体" w:hint="eastAsia"/>
          <w:spacing w:val="-3"/>
          <w:w w:val="100"/>
          <w:sz w:val="21"/>
          <w:shd w:fill="D9D9D9" w:color="auto" w:val="clear"/>
        </w:rPr>
        <w:t>（</w:t>
      </w:r>
      <w:r>
        <w:rPr>
          <w:rFonts w:ascii="黑体" w:eastAsia="黑体" w:hint="eastAsia"/>
          <w:w w:val="100"/>
          <w:sz w:val="21"/>
          <w:shd w:fill="D9D9D9" w:color="auto" w:val="clear"/>
        </w:rPr>
        <w:t>见</w:t>
      </w:r>
      <w:r>
        <w:rPr>
          <w:rFonts w:ascii="黑体" w:eastAsia="黑体" w:hint="eastAsia"/>
          <w:spacing w:val="-55"/>
          <w:sz w:val="21"/>
          <w:shd w:fill="D9D9D9" w:color="auto" w:val="clear"/>
        </w:rPr>
        <w:t> </w:t>
      </w:r>
      <w:r>
        <w:rPr>
          <w:rFonts w:ascii="黑体" w:eastAsia="黑体" w:hint="eastAsia"/>
          <w:spacing w:val="-3"/>
          <w:w w:val="100"/>
          <w:sz w:val="21"/>
          <w:shd w:fill="D9D9D9" w:color="auto" w:val="clear"/>
        </w:rPr>
        <w:t>1</w:t>
      </w:r>
      <w:r>
        <w:rPr>
          <w:rFonts w:ascii="黑体" w:eastAsia="黑体" w:hint="eastAsia"/>
          <w:w w:val="100"/>
          <w:sz w:val="21"/>
          <w:shd w:fill="D9D9D9" w:color="auto" w:val="clear"/>
        </w:rPr>
        <w:t>1.1</w:t>
      </w:r>
      <w:r>
        <w:rPr>
          <w:rFonts w:ascii="黑体" w:eastAsia="黑体" w:hint="eastAsia"/>
          <w:spacing w:val="-1"/>
          <w:w w:val="100"/>
          <w:sz w:val="21"/>
          <w:shd w:fill="D9D9D9" w:color="auto" w:val="clear"/>
        </w:rPr>
        <w:t>1</w:t>
      </w:r>
      <w:r>
        <w:rPr>
          <w:rFonts w:ascii="黑体" w:eastAsia="黑体" w:hint="eastAsia"/>
          <w:spacing w:val="-89"/>
          <w:w w:val="100"/>
          <w:sz w:val="21"/>
          <w:shd w:fill="D9D9D9" w:color="auto" w:val="clear"/>
        </w:rPr>
        <w:t>）</w:t>
      </w:r>
      <w:r>
        <w:rPr>
          <w:rFonts w:ascii="黑体" w:eastAsia="黑体" w:hint="eastAsia"/>
          <w:spacing w:val="-3"/>
          <w:w w:val="100"/>
          <w:sz w:val="21"/>
          <w:shd w:fill="D9D9D9" w:color="auto" w:val="clear"/>
        </w:rPr>
        <w:t>的</w:t>
      </w:r>
      <w:r>
        <w:rPr>
          <w:rFonts w:ascii="黑体" w:eastAsia="黑体" w:hint="eastAsia"/>
          <w:b/>
          <w:spacing w:val="-29"/>
          <w:w w:val="100"/>
          <w:sz w:val="21"/>
          <w:shd w:fill="D9D9D9" w:color="auto" w:val="clear"/>
        </w:rPr>
        <w:t>机动车</w:t>
      </w:r>
      <w:r>
        <w:rPr>
          <w:rFonts w:ascii="黑体" w:eastAsia="黑体" w:hint="eastAsia"/>
          <w:w w:val="100"/>
          <w:sz w:val="21"/>
          <w:shd w:fill="D9D9D9" w:color="auto" w:val="clear"/>
        </w:rPr>
        <w:t>（见</w:t>
      </w:r>
      <w:r>
        <w:rPr>
          <w:rFonts w:ascii="黑体" w:eastAsia="黑体" w:hint="eastAsia"/>
          <w:spacing w:val="-55"/>
          <w:sz w:val="21"/>
          <w:shd w:fill="D9D9D9" w:color="auto" w:val="clear"/>
        </w:rPr>
        <w:t> </w:t>
      </w:r>
      <w:r>
        <w:rPr>
          <w:rFonts w:ascii="黑体" w:eastAsia="黑体" w:hint="eastAsia"/>
          <w:w w:val="100"/>
          <w:sz w:val="21"/>
          <w:shd w:fill="D9D9D9" w:color="auto" w:val="clear"/>
        </w:rPr>
        <w:t>11.</w:t>
      </w:r>
      <w:r>
        <w:rPr>
          <w:rFonts w:ascii="黑体" w:eastAsia="黑体" w:hint="eastAsia"/>
          <w:spacing w:val="-3"/>
          <w:w w:val="100"/>
          <w:sz w:val="21"/>
          <w:shd w:fill="D9D9D9" w:color="auto" w:val="clear"/>
        </w:rPr>
        <w:t>1</w:t>
      </w:r>
      <w:r>
        <w:rPr>
          <w:rFonts w:ascii="黑体" w:eastAsia="黑体" w:hint="eastAsia"/>
          <w:spacing w:val="-1"/>
          <w:w w:val="100"/>
          <w:sz w:val="21"/>
          <w:shd w:fill="D9D9D9" w:color="auto" w:val="clear"/>
        </w:rPr>
        <w:t>2</w:t>
      </w:r>
      <w:r>
        <w:rPr>
          <w:rFonts w:ascii="黑体" w:eastAsia="黑体" w:hint="eastAsia"/>
          <w:spacing w:val="-108"/>
          <w:w w:val="100"/>
          <w:sz w:val="21"/>
          <w:shd w:fill="D9D9D9" w:color="auto" w:val="clear"/>
        </w:rPr>
        <w:t>）</w:t>
      </w:r>
      <w:r>
        <w:rPr>
          <w:rFonts w:ascii="黑体" w:eastAsia="黑体" w:hint="eastAsia"/>
          <w:spacing w:val="-54"/>
          <w:w w:val="100"/>
          <w:sz w:val="21"/>
          <w:shd w:fill="D9D9D9" w:color="auto" w:val="clear"/>
        </w:rPr>
        <w:t>。发</w:t>
      </w:r>
      <w:r>
        <w:rPr>
          <w:rFonts w:ascii="黑体" w:eastAsia="黑体" w:hint="eastAsia"/>
          <w:spacing w:val="-54"/>
          <w:sz w:val="21"/>
          <w:shd w:fill="D9D9D9" w:color="auto" w:val="clear"/>
        </w:rPr>
        <w:t>Th</w:t>
      </w:r>
      <w:r>
        <w:rPr>
          <w:rFonts w:ascii="黑体" w:eastAsia="黑体" w:hint="eastAsia"/>
          <w:spacing w:val="-8"/>
          <w:sz w:val="21"/>
          <w:shd w:fill="D9D9D9" w:color="auto" w:val="clear"/>
        </w:rPr>
        <w:t>上述第</w:t>
      </w:r>
      <w:r>
        <w:rPr>
          <w:rFonts w:ascii="黑体" w:eastAsia="黑体" w:hint="eastAsia"/>
          <w:spacing w:val="-7"/>
          <w:sz w:val="21"/>
          <w:shd w:fill="D9D9D9" w:color="auto" w:val="clear"/>
        </w:rPr>
        <w:t>（1）</w:t>
      </w:r>
      <w:r>
        <w:rPr>
          <w:rFonts w:ascii="黑体" w:eastAsia="黑体" w:hint="eastAsia"/>
          <w:spacing w:val="-3"/>
          <w:sz w:val="21"/>
          <w:shd w:fill="D9D9D9" w:color="auto" w:val="clear"/>
        </w:rPr>
        <w:t>项情形导致被保险人身故或发</w:t>
      </w:r>
      <w:r>
        <w:rPr>
          <w:rFonts w:ascii="黑体" w:eastAsia="黑体" w:hint="eastAsia"/>
          <w:sz w:val="21"/>
          <w:shd w:fill="D9D9D9" w:color="auto" w:val="clear"/>
        </w:rPr>
        <w:t>Th</w:t>
      </w:r>
      <w:r>
        <w:rPr>
          <w:rFonts w:ascii="黑体" w:eastAsia="黑体" w:hint="eastAsia"/>
          <w:spacing w:val="-6"/>
          <w:sz w:val="21"/>
          <w:shd w:fill="D9D9D9" w:color="auto" w:val="clear"/>
        </w:rPr>
        <w:t>重大疾病的，本合同效力终止，我</w:t>
      </w:r>
      <w:r>
        <w:rPr>
          <w:rFonts w:ascii="黑体" w:eastAsia="黑体" w:hint="eastAsia"/>
          <w:sz w:val="21"/>
          <w:shd w:fill="D9D9D9" w:color="auto" w:val="clear"/>
        </w:rPr>
        <w:t>们向身故保险金受益人或重大疾病保险金受益人退还本合同当时的</w:t>
      </w:r>
      <w:r>
        <w:rPr>
          <w:rFonts w:ascii="黑体" w:eastAsia="黑体" w:hint="eastAsia"/>
          <w:b/>
          <w:sz w:val="21"/>
          <w:shd w:fill="D9D9D9" w:color="auto" w:val="clear"/>
        </w:rPr>
        <w:t>现金价值</w:t>
      </w:r>
    </w:p>
    <w:p>
      <w:pPr>
        <w:pStyle w:val="BodyText"/>
        <w:spacing w:before="13"/>
        <w:ind w:left="2738"/>
        <w:rPr>
          <w:rFonts w:ascii="黑体" w:eastAsia="黑体" w:hint="eastAsia"/>
        </w:rPr>
      </w:pPr>
      <w:r>
        <w:rPr>
          <w:rFonts w:ascii="黑体" w:eastAsia="黑体" w:hint="eastAsia"/>
          <w:w w:val="100"/>
          <w:shd w:fill="D9D9D9" w:color="auto" w:val="clear"/>
        </w:rPr>
        <w:t>（见</w:t>
      </w:r>
      <w:r>
        <w:rPr>
          <w:rFonts w:ascii="黑体" w:eastAsia="黑体" w:hint="eastAsia"/>
          <w:spacing w:val="-52"/>
          <w:shd w:fill="D9D9D9" w:color="auto" w:val="clear"/>
        </w:rPr>
        <w:t> </w:t>
      </w:r>
      <w:r>
        <w:rPr>
          <w:rFonts w:ascii="黑体" w:eastAsia="黑体" w:hint="eastAsia"/>
          <w:spacing w:val="-3"/>
          <w:w w:val="100"/>
          <w:shd w:fill="D9D9D9" w:color="auto" w:val="clear"/>
        </w:rPr>
        <w:t>1</w:t>
      </w:r>
      <w:r>
        <w:rPr>
          <w:rFonts w:ascii="黑体" w:eastAsia="黑体" w:hint="eastAsia"/>
          <w:w w:val="100"/>
          <w:shd w:fill="D9D9D9" w:color="auto" w:val="clear"/>
        </w:rPr>
        <w:t>1.1</w:t>
      </w:r>
      <w:r>
        <w:rPr>
          <w:rFonts w:ascii="黑体" w:eastAsia="黑体" w:hint="eastAsia"/>
          <w:spacing w:val="-3"/>
          <w:w w:val="100"/>
          <w:shd w:fill="D9D9D9" w:color="auto" w:val="clear"/>
        </w:rPr>
        <w:t>3</w:t>
      </w:r>
      <w:r>
        <w:rPr>
          <w:rFonts w:ascii="黑体" w:eastAsia="黑体" w:hint="eastAsia"/>
          <w:spacing w:val="-106"/>
          <w:w w:val="100"/>
          <w:shd w:fill="D9D9D9" w:color="auto" w:val="clear"/>
        </w:rPr>
        <w:t>）。</w:t>
      </w:r>
    </w:p>
    <w:p>
      <w:pPr>
        <w:pStyle w:val="BodyText"/>
        <w:spacing w:line="278" w:lineRule="auto" w:before="44"/>
        <w:ind w:left="2738" w:right="221"/>
        <w:rPr>
          <w:rFonts w:ascii="黑体" w:eastAsia="黑体" w:hint="eastAsia"/>
        </w:rPr>
      </w:pPr>
      <w:r>
        <w:rPr>
          <w:rFonts w:ascii="黑体" w:eastAsia="黑体" w:hint="eastAsia"/>
          <w:shd w:fill="D9D9D9" w:color="auto" w:val="clear"/>
        </w:rPr>
        <w:t>发Th</w:t>
      </w:r>
      <w:r>
        <w:rPr>
          <w:rFonts w:ascii="黑体" w:eastAsia="黑体" w:hint="eastAsia"/>
          <w:spacing w:val="-3"/>
          <w:shd w:fill="D9D9D9" w:color="auto" w:val="clear"/>
        </w:rPr>
        <w:t>上述其他情形导致被保险人身故或发</w:t>
      </w:r>
      <w:r>
        <w:rPr>
          <w:rFonts w:ascii="黑体" w:eastAsia="黑体" w:hint="eastAsia"/>
          <w:shd w:fill="D9D9D9" w:color="auto" w:val="clear"/>
        </w:rPr>
        <w:t>Th</w:t>
      </w:r>
      <w:r>
        <w:rPr>
          <w:rFonts w:ascii="黑体" w:eastAsia="黑体" w:hint="eastAsia"/>
          <w:spacing w:val="-9"/>
          <w:shd w:fill="D9D9D9" w:color="auto" w:val="clear"/>
        </w:rPr>
        <w:t>重大疾病的，本合同效力终止，我们</w:t>
      </w:r>
      <w:r>
        <w:rPr>
          <w:rFonts w:ascii="黑体" w:eastAsia="黑体" w:hint="eastAsia"/>
          <w:spacing w:val="-209"/>
          <w:shd w:fill="D9D9D9" w:color="auto" w:val="clear"/>
        </w:rPr>
        <w:t>向</w:t>
      </w:r>
      <w:r>
        <w:rPr>
          <w:rFonts w:ascii="黑体" w:eastAsia="黑体" w:hint="eastAsia"/>
          <w:spacing w:val="-3"/>
          <w:shd w:fill="D9D9D9" w:color="auto" w:val="clear"/>
        </w:rPr>
        <w:t>您退还本合同当时的现金价值。</w:t>
      </w:r>
      <w:r>
        <w:rPr>
          <w:rFonts w:ascii="黑体" w:eastAsia="黑体" w:hint="eastAsia"/>
          <w:spacing w:val="-2"/>
          <w:shd w:fill="D9D9D9" w:color="auto" w:val="clear"/>
        </w:rPr>
        <w:t> </w:t>
      </w:r>
    </w:p>
    <w:p>
      <w:pPr>
        <w:pStyle w:val="Heading2"/>
        <w:tabs>
          <w:tab w:pos="1321" w:val="left" w:leader="none"/>
        </w:tabs>
        <w:spacing w:before="87"/>
        <w:ind w:left="220" w:firstLine="0"/>
      </w:pPr>
      <w:r>
        <w:rPr/>
        <w:t>3</w:t>
        <w:tab/>
        <w:t>重大疾病</w:t>
      </w:r>
    </w:p>
    <w:p>
      <w:pPr>
        <w:pStyle w:val="BodyText"/>
        <w:spacing w:before="1"/>
        <w:rPr>
          <w:b/>
          <w:sz w:val="10"/>
        </w:rPr>
      </w:pPr>
      <w:r>
        <w:rPr/>
        <w:pict>
          <v:group style="position:absolute;margin-left:45.599998pt;margin-top:8.591002pt;width:501.7pt;height:1.45pt;mso-position-horizontal-relative:page;mso-position-vertical-relative:paragraph;z-index:1096;mso-wrap-distance-left:0;mso-wrap-distance-right:0" coordorigin="912,172" coordsize="10034,29">
            <v:line style="position:absolute" from="912,177" to="2012,177" stroked="true" strokeweight=".47998pt" strokecolor="#000000">
              <v:stroke dashstyle="solid"/>
            </v:line>
            <v:line style="position:absolute" from="912,196" to="2012,196" stroked="true" strokeweight=".48001pt" strokecolor="#000000">
              <v:stroke dashstyle="solid"/>
            </v:line>
            <v:rect style="position:absolute;left:2011;top:171;width:29;height:10" filled="true" fillcolor="#000000" stroked="false">
              <v:fill type="solid"/>
            </v:rect>
            <v:rect style="position:absolute;left:2011;top:191;width:29;height:10" filled="true" fillcolor="#000000" stroked="false">
              <v:fill type="solid"/>
            </v:rect>
            <v:line style="position:absolute" from="2040,177" to="3428,177" stroked="true" strokeweight=".47998pt" strokecolor="#000000">
              <v:stroke dashstyle="solid"/>
            </v:line>
            <v:line style="position:absolute" from="2040,196" to="3428,196" stroked="true" strokeweight=".48001pt" strokecolor="#000000">
              <v:stroke dashstyle="solid"/>
            </v:line>
            <v:rect style="position:absolute;left:3427;top:171;width:29;height:10" filled="true" fillcolor="#000000" stroked="false">
              <v:fill type="solid"/>
            </v:rect>
            <v:rect style="position:absolute;left:3427;top:191;width:29;height:10" filled="true" fillcolor="#000000" stroked="false">
              <v:fill type="solid"/>
            </v:rect>
            <v:line style="position:absolute" from="3456,177" to="10946,177" stroked="true" strokeweight=".47998pt" strokecolor="#000000">
              <v:stroke dashstyle="solid"/>
            </v:line>
            <v:line style="position:absolute" from="3456,196" to="10946,196" stroked="true" strokeweight=".48001pt" strokecolor="#000000">
              <v:stroke dashstyle="solid"/>
            </v:line>
            <w10:wrap type="topAndBottom"/>
          </v:group>
        </w:pict>
      </w:r>
    </w:p>
    <w:p>
      <w:pPr>
        <w:pStyle w:val="BodyText"/>
        <w:spacing w:before="2"/>
        <w:rPr>
          <w:b/>
          <w:sz w:val="10"/>
        </w:rPr>
      </w:pPr>
    </w:p>
    <w:p>
      <w:pPr>
        <w:spacing w:after="0"/>
        <w:rPr>
          <w:sz w:val="10"/>
        </w:rPr>
        <w:sectPr>
          <w:pgSz w:w="11910" w:h="16840"/>
          <w:pgMar w:header="568" w:footer="0" w:top="800" w:bottom="280" w:left="800" w:right="840"/>
        </w:sectPr>
      </w:pPr>
    </w:p>
    <w:p>
      <w:pPr>
        <w:pStyle w:val="Heading3"/>
        <w:tabs>
          <w:tab w:pos="1321" w:val="left" w:leader="none"/>
        </w:tabs>
        <w:spacing w:line="273" w:lineRule="auto" w:before="36"/>
      </w:pPr>
      <w:r>
        <w:rPr/>
        <w:t>3.1</w:t>
        <w:tab/>
      </w:r>
      <w:r>
        <w:rPr>
          <w:spacing w:val="35"/>
        </w:rPr>
        <w:t>重大疾病的 </w:t>
      </w:r>
      <w:r>
        <w:rPr/>
        <w:t>范围</w:t>
      </w:r>
    </w:p>
    <w:p>
      <w:pPr>
        <w:pStyle w:val="BodyText"/>
        <w:spacing w:line="278" w:lineRule="auto" w:before="60"/>
        <w:ind w:left="139" w:right="221"/>
        <w:jc w:val="both"/>
      </w:pPr>
      <w:r>
        <w:rPr/>
        <w:br w:type="column"/>
      </w:r>
      <w:r>
        <w:rPr>
          <w:spacing w:val="-6"/>
        </w:rPr>
        <w:t>本合同所指的重大疾病在本合同中有确定的含义，不仅包括部分一般意义上的重</w:t>
      </w:r>
      <w:r>
        <w:rPr>
          <w:spacing w:val="-10"/>
        </w:rPr>
        <w:t>大疾病，还包括某些重大手术，本合同所指的重大疾病可能与临床医学所指的重</w:t>
      </w:r>
      <w:r>
        <w:rPr>
          <w:spacing w:val="-8"/>
        </w:rPr>
        <w:t>大疾病在概念和范围上有所不同，我们将在本合同重大疾病定义中详细列明，您</w:t>
      </w:r>
      <w:r>
        <w:rPr>
          <w:spacing w:val="-5"/>
        </w:rPr>
        <w:t>投保本合同即表明认可并遵从本合同中对重大疾病的定义。</w:t>
      </w:r>
    </w:p>
    <w:p>
      <w:pPr>
        <w:pStyle w:val="BodyText"/>
        <w:spacing w:before="10"/>
        <w:ind w:left="139"/>
        <w:jc w:val="both"/>
      </w:pPr>
      <w:r>
        <w:rPr/>
        <w:t>在本合同有效期内，我们保障的重大疾病如下所示：</w:t>
      </w:r>
    </w:p>
    <w:p>
      <w:pPr>
        <w:spacing w:after="0"/>
        <w:jc w:val="both"/>
        <w:sectPr>
          <w:type w:val="continuous"/>
          <w:pgSz w:w="11910" w:h="16840"/>
          <w:pgMar w:top="1080" w:bottom="280" w:left="800" w:right="840"/>
          <w:cols w:num="2" w:equalWidth="0">
            <w:col w:w="2559" w:space="40"/>
            <w:col w:w="7671"/>
          </w:cols>
        </w:sectPr>
      </w:pPr>
    </w:p>
    <w:p>
      <w:pPr>
        <w:pStyle w:val="BodyText"/>
        <w:spacing w:before="9" w:after="1"/>
        <w:rPr>
          <w:sz w:val="7"/>
        </w:rPr>
      </w:pPr>
    </w:p>
    <w:tbl>
      <w:tblPr>
        <w:tblW w:w="0" w:type="auto"/>
        <w:jc w:val="left"/>
        <w:tblInd w:w="26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1"/>
        <w:gridCol w:w="3496"/>
        <w:gridCol w:w="342"/>
        <w:gridCol w:w="2154"/>
      </w:tblGrid>
      <w:tr>
        <w:trPr>
          <w:trHeight w:val="268" w:hRule="atLeast"/>
        </w:trPr>
        <w:tc>
          <w:tcPr>
            <w:tcW w:w="471" w:type="dxa"/>
          </w:tcPr>
          <w:p>
            <w:pPr>
              <w:pStyle w:val="TableParagraph"/>
              <w:spacing w:line="211" w:lineRule="exact"/>
              <w:ind w:right="57"/>
              <w:jc w:val="right"/>
              <w:rPr>
                <w:sz w:val="21"/>
              </w:rPr>
            </w:pPr>
            <w:r>
              <w:rPr>
                <w:w w:val="100"/>
                <w:sz w:val="21"/>
              </w:rPr>
              <w:t>1</w:t>
            </w:r>
          </w:p>
        </w:tc>
        <w:tc>
          <w:tcPr>
            <w:tcW w:w="3496" w:type="dxa"/>
          </w:tcPr>
          <w:p>
            <w:pPr>
              <w:pStyle w:val="TableParagraph"/>
              <w:spacing w:line="211" w:lineRule="exact"/>
              <w:ind w:left="60"/>
              <w:rPr>
                <w:sz w:val="21"/>
              </w:rPr>
            </w:pPr>
            <w:r>
              <w:rPr>
                <w:sz w:val="21"/>
              </w:rPr>
              <w:t>恶性肿瘤</w:t>
            </w:r>
          </w:p>
        </w:tc>
        <w:tc>
          <w:tcPr>
            <w:tcW w:w="342" w:type="dxa"/>
          </w:tcPr>
          <w:p>
            <w:pPr>
              <w:pStyle w:val="TableParagraph"/>
              <w:spacing w:line="211" w:lineRule="exact"/>
              <w:ind w:left="52" w:right="40"/>
              <w:jc w:val="center"/>
              <w:rPr>
                <w:sz w:val="21"/>
              </w:rPr>
            </w:pPr>
            <w:r>
              <w:rPr>
                <w:sz w:val="21"/>
              </w:rPr>
              <w:t>12</w:t>
            </w:r>
          </w:p>
        </w:tc>
        <w:tc>
          <w:tcPr>
            <w:tcW w:w="2154" w:type="dxa"/>
          </w:tcPr>
          <w:p>
            <w:pPr>
              <w:pStyle w:val="TableParagraph"/>
              <w:spacing w:line="211" w:lineRule="exact"/>
              <w:ind w:left="60"/>
              <w:rPr>
                <w:sz w:val="21"/>
              </w:rPr>
            </w:pPr>
            <w:r>
              <w:rPr>
                <w:sz w:val="21"/>
              </w:rPr>
              <w:t>深度昏迷</w:t>
            </w:r>
          </w:p>
        </w:tc>
      </w:tr>
      <w:tr>
        <w:trPr>
          <w:trHeight w:val="326" w:hRule="atLeast"/>
        </w:trPr>
        <w:tc>
          <w:tcPr>
            <w:tcW w:w="471" w:type="dxa"/>
          </w:tcPr>
          <w:p>
            <w:pPr>
              <w:pStyle w:val="TableParagraph"/>
              <w:spacing w:line="269" w:lineRule="exact"/>
              <w:ind w:right="57"/>
              <w:jc w:val="right"/>
              <w:rPr>
                <w:sz w:val="21"/>
              </w:rPr>
            </w:pPr>
            <w:r>
              <w:rPr>
                <w:w w:val="100"/>
                <w:sz w:val="21"/>
              </w:rPr>
              <w:t>2</w:t>
            </w:r>
          </w:p>
        </w:tc>
        <w:tc>
          <w:tcPr>
            <w:tcW w:w="3496" w:type="dxa"/>
          </w:tcPr>
          <w:p>
            <w:pPr>
              <w:pStyle w:val="TableParagraph"/>
              <w:spacing w:line="269" w:lineRule="exact"/>
              <w:ind w:left="60"/>
              <w:rPr>
                <w:sz w:val="21"/>
              </w:rPr>
            </w:pPr>
            <w:r>
              <w:rPr>
                <w:sz w:val="21"/>
              </w:rPr>
              <w:t>急性心肌梗塞</w:t>
            </w:r>
          </w:p>
        </w:tc>
        <w:tc>
          <w:tcPr>
            <w:tcW w:w="342" w:type="dxa"/>
          </w:tcPr>
          <w:p>
            <w:pPr>
              <w:pStyle w:val="TableParagraph"/>
              <w:spacing w:line="269" w:lineRule="exact"/>
              <w:ind w:left="52" w:right="40"/>
              <w:jc w:val="center"/>
              <w:rPr>
                <w:sz w:val="21"/>
              </w:rPr>
            </w:pPr>
            <w:r>
              <w:rPr>
                <w:sz w:val="21"/>
              </w:rPr>
              <w:t>13</w:t>
            </w:r>
          </w:p>
        </w:tc>
        <w:tc>
          <w:tcPr>
            <w:tcW w:w="2154" w:type="dxa"/>
          </w:tcPr>
          <w:p>
            <w:pPr>
              <w:pStyle w:val="TableParagraph"/>
              <w:spacing w:line="269" w:lineRule="exact"/>
              <w:ind w:left="60"/>
              <w:rPr>
                <w:sz w:val="21"/>
              </w:rPr>
            </w:pPr>
            <w:r>
              <w:rPr>
                <w:sz w:val="21"/>
              </w:rPr>
              <w:t>双耳失聪</w:t>
            </w:r>
          </w:p>
        </w:tc>
      </w:tr>
      <w:tr>
        <w:trPr>
          <w:trHeight w:val="326" w:hRule="atLeast"/>
        </w:trPr>
        <w:tc>
          <w:tcPr>
            <w:tcW w:w="471" w:type="dxa"/>
          </w:tcPr>
          <w:p>
            <w:pPr>
              <w:pStyle w:val="TableParagraph"/>
              <w:spacing w:line="269" w:lineRule="exact"/>
              <w:ind w:right="57"/>
              <w:jc w:val="right"/>
              <w:rPr>
                <w:sz w:val="21"/>
              </w:rPr>
            </w:pPr>
            <w:r>
              <w:rPr>
                <w:w w:val="100"/>
                <w:sz w:val="21"/>
              </w:rPr>
              <w:t>3</w:t>
            </w:r>
          </w:p>
        </w:tc>
        <w:tc>
          <w:tcPr>
            <w:tcW w:w="3496" w:type="dxa"/>
          </w:tcPr>
          <w:p>
            <w:pPr>
              <w:pStyle w:val="TableParagraph"/>
              <w:spacing w:line="269" w:lineRule="exact"/>
              <w:ind w:left="60"/>
              <w:rPr>
                <w:sz w:val="21"/>
              </w:rPr>
            </w:pPr>
            <w:r>
              <w:rPr>
                <w:sz w:val="21"/>
              </w:rPr>
              <w:t>脑中风后遗症</w:t>
            </w:r>
          </w:p>
        </w:tc>
        <w:tc>
          <w:tcPr>
            <w:tcW w:w="342" w:type="dxa"/>
          </w:tcPr>
          <w:p>
            <w:pPr>
              <w:pStyle w:val="TableParagraph"/>
              <w:spacing w:line="269" w:lineRule="exact"/>
              <w:ind w:left="52" w:right="40"/>
              <w:jc w:val="center"/>
              <w:rPr>
                <w:sz w:val="21"/>
              </w:rPr>
            </w:pPr>
            <w:r>
              <w:rPr>
                <w:sz w:val="21"/>
              </w:rPr>
              <w:t>14</w:t>
            </w:r>
          </w:p>
        </w:tc>
        <w:tc>
          <w:tcPr>
            <w:tcW w:w="2154" w:type="dxa"/>
          </w:tcPr>
          <w:p>
            <w:pPr>
              <w:pStyle w:val="TableParagraph"/>
              <w:spacing w:line="269" w:lineRule="exact"/>
              <w:ind w:left="60"/>
              <w:rPr>
                <w:sz w:val="21"/>
              </w:rPr>
            </w:pPr>
            <w:r>
              <w:rPr>
                <w:sz w:val="21"/>
              </w:rPr>
              <w:t>双目失明</w:t>
            </w:r>
          </w:p>
        </w:tc>
      </w:tr>
      <w:tr>
        <w:trPr>
          <w:trHeight w:val="327" w:hRule="atLeast"/>
        </w:trPr>
        <w:tc>
          <w:tcPr>
            <w:tcW w:w="471" w:type="dxa"/>
          </w:tcPr>
          <w:p>
            <w:pPr>
              <w:pStyle w:val="TableParagraph"/>
              <w:spacing w:line="269" w:lineRule="exact"/>
              <w:ind w:right="57"/>
              <w:jc w:val="right"/>
              <w:rPr>
                <w:sz w:val="21"/>
              </w:rPr>
            </w:pPr>
            <w:r>
              <w:rPr>
                <w:w w:val="100"/>
                <w:sz w:val="21"/>
              </w:rPr>
              <w:t>4</w:t>
            </w:r>
          </w:p>
        </w:tc>
        <w:tc>
          <w:tcPr>
            <w:tcW w:w="3496" w:type="dxa"/>
          </w:tcPr>
          <w:p>
            <w:pPr>
              <w:pStyle w:val="TableParagraph"/>
              <w:spacing w:line="269" w:lineRule="exact"/>
              <w:ind w:left="60"/>
              <w:rPr>
                <w:sz w:val="21"/>
              </w:rPr>
            </w:pPr>
            <w:r>
              <w:rPr>
                <w:sz w:val="21"/>
              </w:rPr>
              <w:t>重大器官移植术或造血干细胞移植术</w:t>
            </w:r>
          </w:p>
        </w:tc>
        <w:tc>
          <w:tcPr>
            <w:tcW w:w="342" w:type="dxa"/>
          </w:tcPr>
          <w:p>
            <w:pPr>
              <w:pStyle w:val="TableParagraph"/>
              <w:spacing w:line="269" w:lineRule="exact"/>
              <w:ind w:left="52" w:right="40"/>
              <w:jc w:val="center"/>
              <w:rPr>
                <w:sz w:val="21"/>
              </w:rPr>
            </w:pPr>
            <w:r>
              <w:rPr>
                <w:sz w:val="21"/>
              </w:rPr>
              <w:t>15</w:t>
            </w:r>
          </w:p>
        </w:tc>
        <w:tc>
          <w:tcPr>
            <w:tcW w:w="2154" w:type="dxa"/>
          </w:tcPr>
          <w:p>
            <w:pPr>
              <w:pStyle w:val="TableParagraph"/>
              <w:spacing w:line="269" w:lineRule="exact"/>
              <w:ind w:left="60"/>
              <w:rPr>
                <w:sz w:val="21"/>
              </w:rPr>
            </w:pPr>
            <w:r>
              <w:rPr>
                <w:sz w:val="21"/>
              </w:rPr>
              <w:t>瘫痪</w:t>
            </w:r>
          </w:p>
        </w:tc>
      </w:tr>
      <w:tr>
        <w:trPr>
          <w:trHeight w:val="327" w:hRule="atLeast"/>
        </w:trPr>
        <w:tc>
          <w:tcPr>
            <w:tcW w:w="471" w:type="dxa"/>
          </w:tcPr>
          <w:p>
            <w:pPr>
              <w:pStyle w:val="TableParagraph"/>
              <w:spacing w:line="270" w:lineRule="exact"/>
              <w:ind w:right="57"/>
              <w:jc w:val="right"/>
              <w:rPr>
                <w:sz w:val="21"/>
              </w:rPr>
            </w:pPr>
            <w:r>
              <w:rPr>
                <w:w w:val="100"/>
                <w:sz w:val="21"/>
              </w:rPr>
              <w:t>5</w:t>
            </w:r>
          </w:p>
        </w:tc>
        <w:tc>
          <w:tcPr>
            <w:tcW w:w="3496" w:type="dxa"/>
          </w:tcPr>
          <w:p>
            <w:pPr>
              <w:pStyle w:val="TableParagraph"/>
              <w:spacing w:line="270" w:lineRule="exact"/>
              <w:ind w:left="60"/>
              <w:rPr>
                <w:sz w:val="21"/>
              </w:rPr>
            </w:pPr>
            <w:r>
              <w:rPr>
                <w:sz w:val="21"/>
              </w:rPr>
              <w:t>冠状动脉搭桥术</w:t>
            </w:r>
          </w:p>
        </w:tc>
        <w:tc>
          <w:tcPr>
            <w:tcW w:w="342" w:type="dxa"/>
          </w:tcPr>
          <w:p>
            <w:pPr>
              <w:pStyle w:val="TableParagraph"/>
              <w:spacing w:line="270" w:lineRule="exact"/>
              <w:ind w:left="52" w:right="40"/>
              <w:jc w:val="center"/>
              <w:rPr>
                <w:sz w:val="21"/>
              </w:rPr>
            </w:pPr>
            <w:r>
              <w:rPr>
                <w:sz w:val="21"/>
              </w:rPr>
              <w:t>16</w:t>
            </w:r>
          </w:p>
        </w:tc>
        <w:tc>
          <w:tcPr>
            <w:tcW w:w="2154" w:type="dxa"/>
          </w:tcPr>
          <w:p>
            <w:pPr>
              <w:pStyle w:val="TableParagraph"/>
              <w:spacing w:line="270" w:lineRule="exact"/>
              <w:ind w:left="60"/>
              <w:rPr>
                <w:sz w:val="21"/>
              </w:rPr>
            </w:pPr>
            <w:r>
              <w:rPr>
                <w:sz w:val="21"/>
              </w:rPr>
              <w:t>心脏瓣膜手术</w:t>
            </w:r>
          </w:p>
        </w:tc>
      </w:tr>
      <w:tr>
        <w:trPr>
          <w:trHeight w:val="326" w:hRule="atLeast"/>
        </w:trPr>
        <w:tc>
          <w:tcPr>
            <w:tcW w:w="471" w:type="dxa"/>
          </w:tcPr>
          <w:p>
            <w:pPr>
              <w:pStyle w:val="TableParagraph"/>
              <w:rPr>
                <w:rFonts w:ascii="Times New Roman"/>
                <w:sz w:val="20"/>
              </w:rPr>
            </w:pPr>
          </w:p>
        </w:tc>
        <w:tc>
          <w:tcPr>
            <w:tcW w:w="3496" w:type="dxa"/>
          </w:tcPr>
          <w:p>
            <w:pPr>
              <w:pStyle w:val="TableParagraph"/>
              <w:spacing w:line="269" w:lineRule="exact"/>
              <w:ind w:left="60"/>
              <w:rPr>
                <w:sz w:val="21"/>
              </w:rPr>
            </w:pPr>
            <w:r>
              <w:rPr>
                <w:sz w:val="21"/>
              </w:rPr>
              <w:t>（或称冠状动脉旁路移植术）</w:t>
            </w:r>
          </w:p>
        </w:tc>
        <w:tc>
          <w:tcPr>
            <w:tcW w:w="342" w:type="dxa"/>
          </w:tcPr>
          <w:p>
            <w:pPr>
              <w:pStyle w:val="TableParagraph"/>
              <w:spacing w:line="269" w:lineRule="exact"/>
              <w:ind w:left="52" w:right="40"/>
              <w:jc w:val="center"/>
              <w:rPr>
                <w:sz w:val="21"/>
              </w:rPr>
            </w:pPr>
            <w:r>
              <w:rPr>
                <w:sz w:val="21"/>
              </w:rPr>
              <w:t>17</w:t>
            </w:r>
          </w:p>
        </w:tc>
        <w:tc>
          <w:tcPr>
            <w:tcW w:w="2154" w:type="dxa"/>
          </w:tcPr>
          <w:p>
            <w:pPr>
              <w:pStyle w:val="TableParagraph"/>
              <w:spacing w:line="269" w:lineRule="exact"/>
              <w:ind w:left="60"/>
              <w:rPr>
                <w:sz w:val="21"/>
              </w:rPr>
            </w:pPr>
            <w:r>
              <w:rPr>
                <w:sz w:val="21"/>
              </w:rPr>
              <w:t>严重阿尔茨海默病</w:t>
            </w:r>
          </w:p>
        </w:tc>
      </w:tr>
      <w:tr>
        <w:trPr>
          <w:trHeight w:val="326" w:hRule="atLeast"/>
        </w:trPr>
        <w:tc>
          <w:tcPr>
            <w:tcW w:w="471" w:type="dxa"/>
          </w:tcPr>
          <w:p>
            <w:pPr>
              <w:pStyle w:val="TableParagraph"/>
              <w:spacing w:line="269" w:lineRule="exact"/>
              <w:ind w:right="57"/>
              <w:jc w:val="right"/>
              <w:rPr>
                <w:sz w:val="21"/>
              </w:rPr>
            </w:pPr>
            <w:r>
              <w:rPr>
                <w:w w:val="100"/>
                <w:sz w:val="21"/>
              </w:rPr>
              <w:t>6</w:t>
            </w:r>
          </w:p>
        </w:tc>
        <w:tc>
          <w:tcPr>
            <w:tcW w:w="3496" w:type="dxa"/>
          </w:tcPr>
          <w:p>
            <w:pPr>
              <w:pStyle w:val="TableParagraph"/>
              <w:spacing w:line="269" w:lineRule="exact"/>
              <w:ind w:left="60"/>
              <w:rPr>
                <w:sz w:val="21"/>
              </w:rPr>
            </w:pPr>
            <w:r>
              <w:rPr>
                <w:sz w:val="21"/>
              </w:rPr>
              <w:t>终末期肾病</w:t>
            </w:r>
          </w:p>
        </w:tc>
        <w:tc>
          <w:tcPr>
            <w:tcW w:w="342" w:type="dxa"/>
          </w:tcPr>
          <w:p>
            <w:pPr>
              <w:pStyle w:val="TableParagraph"/>
              <w:spacing w:line="269" w:lineRule="exact"/>
              <w:ind w:left="52" w:right="40"/>
              <w:jc w:val="center"/>
              <w:rPr>
                <w:sz w:val="21"/>
              </w:rPr>
            </w:pPr>
            <w:r>
              <w:rPr>
                <w:sz w:val="21"/>
              </w:rPr>
              <w:t>18</w:t>
            </w:r>
          </w:p>
        </w:tc>
        <w:tc>
          <w:tcPr>
            <w:tcW w:w="2154" w:type="dxa"/>
          </w:tcPr>
          <w:p>
            <w:pPr>
              <w:pStyle w:val="TableParagraph"/>
              <w:spacing w:line="269" w:lineRule="exact"/>
              <w:ind w:left="60"/>
              <w:rPr>
                <w:sz w:val="21"/>
              </w:rPr>
            </w:pPr>
            <w:r>
              <w:rPr>
                <w:sz w:val="21"/>
              </w:rPr>
              <w:t>严重脑损伤</w:t>
            </w:r>
          </w:p>
        </w:tc>
      </w:tr>
      <w:tr>
        <w:trPr>
          <w:trHeight w:val="327" w:hRule="atLeast"/>
        </w:trPr>
        <w:tc>
          <w:tcPr>
            <w:tcW w:w="471" w:type="dxa"/>
          </w:tcPr>
          <w:p>
            <w:pPr>
              <w:pStyle w:val="TableParagraph"/>
              <w:rPr>
                <w:rFonts w:ascii="Times New Roman"/>
                <w:sz w:val="20"/>
              </w:rPr>
            </w:pPr>
          </w:p>
        </w:tc>
        <w:tc>
          <w:tcPr>
            <w:tcW w:w="3496" w:type="dxa"/>
          </w:tcPr>
          <w:p>
            <w:pPr>
              <w:pStyle w:val="TableParagraph"/>
              <w:spacing w:line="269" w:lineRule="exact"/>
              <w:ind w:left="60"/>
              <w:rPr>
                <w:sz w:val="21"/>
              </w:rPr>
            </w:pPr>
            <w:r>
              <w:rPr>
                <w:sz w:val="21"/>
              </w:rPr>
              <w:t>（或称慢性肾功能衰竭尿毒症期）</w:t>
            </w:r>
          </w:p>
        </w:tc>
        <w:tc>
          <w:tcPr>
            <w:tcW w:w="342" w:type="dxa"/>
          </w:tcPr>
          <w:p>
            <w:pPr>
              <w:pStyle w:val="TableParagraph"/>
              <w:spacing w:line="269" w:lineRule="exact"/>
              <w:ind w:left="52" w:right="40"/>
              <w:jc w:val="center"/>
              <w:rPr>
                <w:sz w:val="21"/>
              </w:rPr>
            </w:pPr>
            <w:r>
              <w:rPr>
                <w:sz w:val="21"/>
              </w:rPr>
              <w:t>19</w:t>
            </w:r>
          </w:p>
        </w:tc>
        <w:tc>
          <w:tcPr>
            <w:tcW w:w="2154" w:type="dxa"/>
          </w:tcPr>
          <w:p>
            <w:pPr>
              <w:pStyle w:val="TableParagraph"/>
              <w:spacing w:line="269" w:lineRule="exact"/>
              <w:ind w:left="60"/>
              <w:rPr>
                <w:sz w:val="21"/>
              </w:rPr>
            </w:pPr>
            <w:r>
              <w:rPr>
                <w:sz w:val="21"/>
              </w:rPr>
              <w:t>严重帕金森病</w:t>
            </w:r>
          </w:p>
        </w:tc>
      </w:tr>
      <w:tr>
        <w:trPr>
          <w:trHeight w:val="327" w:hRule="atLeast"/>
        </w:trPr>
        <w:tc>
          <w:tcPr>
            <w:tcW w:w="471" w:type="dxa"/>
          </w:tcPr>
          <w:p>
            <w:pPr>
              <w:pStyle w:val="TableParagraph"/>
              <w:spacing w:line="270" w:lineRule="exact"/>
              <w:ind w:right="57"/>
              <w:jc w:val="right"/>
              <w:rPr>
                <w:sz w:val="21"/>
              </w:rPr>
            </w:pPr>
            <w:r>
              <w:rPr>
                <w:w w:val="100"/>
                <w:sz w:val="21"/>
              </w:rPr>
              <w:t>7</w:t>
            </w:r>
          </w:p>
        </w:tc>
        <w:tc>
          <w:tcPr>
            <w:tcW w:w="3496" w:type="dxa"/>
          </w:tcPr>
          <w:p>
            <w:pPr>
              <w:pStyle w:val="TableParagraph"/>
              <w:spacing w:line="270" w:lineRule="exact"/>
              <w:ind w:left="60"/>
              <w:rPr>
                <w:sz w:val="21"/>
              </w:rPr>
            </w:pPr>
            <w:r>
              <w:rPr>
                <w:sz w:val="21"/>
              </w:rPr>
              <w:t>多个肢体缺失</w:t>
            </w:r>
          </w:p>
        </w:tc>
        <w:tc>
          <w:tcPr>
            <w:tcW w:w="342" w:type="dxa"/>
          </w:tcPr>
          <w:p>
            <w:pPr>
              <w:pStyle w:val="TableParagraph"/>
              <w:spacing w:line="270" w:lineRule="exact"/>
              <w:ind w:left="52" w:right="40"/>
              <w:jc w:val="center"/>
              <w:rPr>
                <w:sz w:val="21"/>
              </w:rPr>
            </w:pPr>
            <w:r>
              <w:rPr>
                <w:sz w:val="21"/>
              </w:rPr>
              <w:t>20</w:t>
            </w:r>
          </w:p>
        </w:tc>
        <w:tc>
          <w:tcPr>
            <w:tcW w:w="2154" w:type="dxa"/>
          </w:tcPr>
          <w:p>
            <w:pPr>
              <w:pStyle w:val="TableParagraph"/>
              <w:spacing w:line="270" w:lineRule="exact"/>
              <w:ind w:left="60"/>
              <w:rPr>
                <w:sz w:val="21"/>
              </w:rPr>
            </w:pPr>
            <w:r>
              <w:rPr>
                <w:sz w:val="21"/>
              </w:rPr>
              <w:t>严重Ⅲ度烧伤</w:t>
            </w:r>
          </w:p>
        </w:tc>
      </w:tr>
      <w:tr>
        <w:trPr>
          <w:trHeight w:val="326" w:hRule="atLeast"/>
        </w:trPr>
        <w:tc>
          <w:tcPr>
            <w:tcW w:w="471" w:type="dxa"/>
          </w:tcPr>
          <w:p>
            <w:pPr>
              <w:pStyle w:val="TableParagraph"/>
              <w:spacing w:line="269" w:lineRule="exact"/>
              <w:ind w:right="57"/>
              <w:jc w:val="right"/>
              <w:rPr>
                <w:sz w:val="21"/>
              </w:rPr>
            </w:pPr>
            <w:r>
              <w:rPr>
                <w:w w:val="100"/>
                <w:sz w:val="21"/>
              </w:rPr>
              <w:t>8</w:t>
            </w:r>
          </w:p>
        </w:tc>
        <w:tc>
          <w:tcPr>
            <w:tcW w:w="3496" w:type="dxa"/>
          </w:tcPr>
          <w:p>
            <w:pPr>
              <w:pStyle w:val="TableParagraph"/>
              <w:spacing w:line="269" w:lineRule="exact"/>
              <w:ind w:left="60"/>
              <w:rPr>
                <w:sz w:val="21"/>
              </w:rPr>
            </w:pPr>
            <w:r>
              <w:rPr>
                <w:sz w:val="21"/>
              </w:rPr>
              <w:t>急性或亚急性重症肝炎</w:t>
            </w:r>
          </w:p>
        </w:tc>
        <w:tc>
          <w:tcPr>
            <w:tcW w:w="342" w:type="dxa"/>
          </w:tcPr>
          <w:p>
            <w:pPr>
              <w:pStyle w:val="TableParagraph"/>
              <w:spacing w:line="269" w:lineRule="exact"/>
              <w:ind w:left="52" w:right="40"/>
              <w:jc w:val="center"/>
              <w:rPr>
                <w:sz w:val="21"/>
              </w:rPr>
            </w:pPr>
            <w:r>
              <w:rPr>
                <w:sz w:val="21"/>
              </w:rPr>
              <w:t>22</w:t>
            </w:r>
          </w:p>
        </w:tc>
        <w:tc>
          <w:tcPr>
            <w:tcW w:w="2154" w:type="dxa"/>
          </w:tcPr>
          <w:p>
            <w:pPr>
              <w:pStyle w:val="TableParagraph"/>
              <w:spacing w:line="269" w:lineRule="exact"/>
              <w:ind w:left="60"/>
              <w:rPr>
                <w:sz w:val="21"/>
              </w:rPr>
            </w:pPr>
            <w:r>
              <w:rPr>
                <w:sz w:val="21"/>
              </w:rPr>
              <w:t>严重运动神经元病</w:t>
            </w:r>
          </w:p>
        </w:tc>
      </w:tr>
      <w:tr>
        <w:trPr>
          <w:trHeight w:val="326" w:hRule="atLeast"/>
        </w:trPr>
        <w:tc>
          <w:tcPr>
            <w:tcW w:w="471" w:type="dxa"/>
          </w:tcPr>
          <w:p>
            <w:pPr>
              <w:pStyle w:val="TableParagraph"/>
              <w:spacing w:line="269" w:lineRule="exact"/>
              <w:ind w:right="57"/>
              <w:jc w:val="right"/>
              <w:rPr>
                <w:sz w:val="21"/>
              </w:rPr>
            </w:pPr>
            <w:r>
              <w:rPr>
                <w:w w:val="100"/>
                <w:sz w:val="21"/>
              </w:rPr>
              <w:t>9</w:t>
            </w:r>
          </w:p>
        </w:tc>
        <w:tc>
          <w:tcPr>
            <w:tcW w:w="3496" w:type="dxa"/>
          </w:tcPr>
          <w:p>
            <w:pPr>
              <w:pStyle w:val="TableParagraph"/>
              <w:spacing w:line="269" w:lineRule="exact"/>
              <w:ind w:left="60"/>
              <w:rPr>
                <w:sz w:val="21"/>
              </w:rPr>
            </w:pPr>
            <w:r>
              <w:rPr>
                <w:sz w:val="21"/>
              </w:rPr>
              <w:t>良性脑肿瘤</w:t>
            </w:r>
          </w:p>
        </w:tc>
        <w:tc>
          <w:tcPr>
            <w:tcW w:w="342" w:type="dxa"/>
          </w:tcPr>
          <w:p>
            <w:pPr>
              <w:pStyle w:val="TableParagraph"/>
              <w:spacing w:line="269" w:lineRule="exact"/>
              <w:ind w:left="52" w:right="40"/>
              <w:jc w:val="center"/>
              <w:rPr>
                <w:sz w:val="21"/>
              </w:rPr>
            </w:pPr>
            <w:r>
              <w:rPr>
                <w:sz w:val="21"/>
              </w:rPr>
              <w:t>23</w:t>
            </w:r>
          </w:p>
        </w:tc>
        <w:tc>
          <w:tcPr>
            <w:tcW w:w="2154" w:type="dxa"/>
          </w:tcPr>
          <w:p>
            <w:pPr>
              <w:pStyle w:val="TableParagraph"/>
              <w:spacing w:line="269" w:lineRule="exact"/>
              <w:ind w:left="60"/>
              <w:rPr>
                <w:sz w:val="21"/>
              </w:rPr>
            </w:pPr>
            <w:r>
              <w:rPr>
                <w:sz w:val="21"/>
              </w:rPr>
              <w:t>语言能力丧失</w:t>
            </w:r>
          </w:p>
        </w:tc>
      </w:tr>
      <w:tr>
        <w:trPr>
          <w:trHeight w:val="327" w:hRule="atLeast"/>
        </w:trPr>
        <w:tc>
          <w:tcPr>
            <w:tcW w:w="471" w:type="dxa"/>
          </w:tcPr>
          <w:p>
            <w:pPr>
              <w:pStyle w:val="TableParagraph"/>
              <w:spacing w:line="269" w:lineRule="exact"/>
              <w:ind w:right="57"/>
              <w:jc w:val="right"/>
              <w:rPr>
                <w:sz w:val="21"/>
              </w:rPr>
            </w:pPr>
            <w:r>
              <w:rPr>
                <w:sz w:val="21"/>
              </w:rPr>
              <w:t>10</w:t>
            </w:r>
          </w:p>
        </w:tc>
        <w:tc>
          <w:tcPr>
            <w:tcW w:w="3496" w:type="dxa"/>
          </w:tcPr>
          <w:p>
            <w:pPr>
              <w:pStyle w:val="TableParagraph"/>
              <w:spacing w:line="269" w:lineRule="exact"/>
              <w:ind w:left="60"/>
              <w:rPr>
                <w:sz w:val="21"/>
              </w:rPr>
            </w:pPr>
            <w:r>
              <w:rPr>
                <w:sz w:val="21"/>
              </w:rPr>
              <w:t>慢性肝功能衰竭失代偿期</w:t>
            </w:r>
          </w:p>
        </w:tc>
        <w:tc>
          <w:tcPr>
            <w:tcW w:w="342" w:type="dxa"/>
          </w:tcPr>
          <w:p>
            <w:pPr>
              <w:pStyle w:val="TableParagraph"/>
              <w:spacing w:line="269" w:lineRule="exact"/>
              <w:ind w:left="52" w:right="40"/>
              <w:jc w:val="center"/>
              <w:rPr>
                <w:sz w:val="21"/>
              </w:rPr>
            </w:pPr>
            <w:r>
              <w:rPr>
                <w:sz w:val="21"/>
              </w:rPr>
              <w:t>24</w:t>
            </w:r>
          </w:p>
        </w:tc>
        <w:tc>
          <w:tcPr>
            <w:tcW w:w="2154" w:type="dxa"/>
          </w:tcPr>
          <w:p>
            <w:pPr>
              <w:pStyle w:val="TableParagraph"/>
              <w:spacing w:line="269" w:lineRule="exact"/>
              <w:ind w:left="60"/>
              <w:rPr>
                <w:sz w:val="21"/>
              </w:rPr>
            </w:pPr>
            <w:r>
              <w:rPr>
                <w:sz w:val="21"/>
              </w:rPr>
              <w:t>重型再生障碍性贫血</w:t>
            </w:r>
          </w:p>
        </w:tc>
      </w:tr>
      <w:tr>
        <w:trPr>
          <w:trHeight w:val="270" w:hRule="atLeast"/>
        </w:trPr>
        <w:tc>
          <w:tcPr>
            <w:tcW w:w="471" w:type="dxa"/>
          </w:tcPr>
          <w:p>
            <w:pPr>
              <w:pStyle w:val="TableParagraph"/>
              <w:spacing w:line="250" w:lineRule="exact"/>
              <w:ind w:right="57"/>
              <w:jc w:val="right"/>
              <w:rPr>
                <w:sz w:val="21"/>
              </w:rPr>
            </w:pPr>
            <w:r>
              <w:rPr>
                <w:sz w:val="21"/>
              </w:rPr>
              <w:t>11</w:t>
            </w:r>
          </w:p>
        </w:tc>
        <w:tc>
          <w:tcPr>
            <w:tcW w:w="3496" w:type="dxa"/>
          </w:tcPr>
          <w:p>
            <w:pPr>
              <w:pStyle w:val="TableParagraph"/>
              <w:spacing w:line="250" w:lineRule="exact"/>
              <w:ind w:left="60"/>
              <w:rPr>
                <w:sz w:val="21"/>
              </w:rPr>
            </w:pPr>
            <w:r>
              <w:rPr>
                <w:sz w:val="21"/>
              </w:rPr>
              <w:t>脑炎后遗症或脑膜炎后遗症</w:t>
            </w:r>
          </w:p>
        </w:tc>
        <w:tc>
          <w:tcPr>
            <w:tcW w:w="342" w:type="dxa"/>
          </w:tcPr>
          <w:p>
            <w:pPr>
              <w:pStyle w:val="TableParagraph"/>
              <w:spacing w:line="250" w:lineRule="exact"/>
              <w:ind w:left="52" w:right="40"/>
              <w:jc w:val="center"/>
              <w:rPr>
                <w:sz w:val="21"/>
              </w:rPr>
            </w:pPr>
            <w:r>
              <w:rPr>
                <w:sz w:val="21"/>
              </w:rPr>
              <w:t>25</w:t>
            </w:r>
          </w:p>
        </w:tc>
        <w:tc>
          <w:tcPr>
            <w:tcW w:w="2154" w:type="dxa"/>
          </w:tcPr>
          <w:p>
            <w:pPr>
              <w:pStyle w:val="TableParagraph"/>
              <w:spacing w:line="250" w:lineRule="exact"/>
              <w:ind w:left="60"/>
              <w:rPr>
                <w:sz w:val="21"/>
              </w:rPr>
            </w:pPr>
            <w:r>
              <w:rPr>
                <w:sz w:val="21"/>
              </w:rPr>
              <w:t>主动脉手术</w:t>
            </w:r>
          </w:p>
        </w:tc>
      </w:tr>
    </w:tbl>
    <w:p>
      <w:pPr>
        <w:spacing w:after="0" w:line="250" w:lineRule="exact"/>
        <w:rPr>
          <w:sz w:val="21"/>
        </w:rPr>
        <w:sectPr>
          <w:type w:val="continuous"/>
          <w:pgSz w:w="11910" w:h="16840"/>
          <w:pgMar w:top="1080" w:bottom="280" w:left="800" w:right="840"/>
        </w:sectPr>
      </w:pPr>
    </w:p>
    <w:p>
      <w:pPr>
        <w:pStyle w:val="BodyText"/>
        <w:rPr>
          <w:rFonts w:ascii="Times New Roman"/>
          <w:sz w:val="20"/>
        </w:rPr>
      </w:pPr>
    </w:p>
    <w:p>
      <w:pPr>
        <w:pStyle w:val="BodyText"/>
        <w:spacing w:after="1"/>
        <w:rPr>
          <w:rFonts w:ascii="Times New Roman"/>
          <w:sz w:val="28"/>
        </w:rPr>
      </w:pPr>
    </w:p>
    <w:tbl>
      <w:tblPr>
        <w:tblW w:w="0" w:type="auto"/>
        <w:jc w:val="left"/>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65"/>
        <w:gridCol w:w="1613"/>
        <w:gridCol w:w="7550"/>
      </w:tblGrid>
      <w:tr>
        <w:trPr>
          <w:trHeight w:val="261" w:hRule="atLeast"/>
        </w:trPr>
        <w:tc>
          <w:tcPr>
            <w:tcW w:w="865" w:type="dxa"/>
          </w:tcPr>
          <w:p>
            <w:pPr>
              <w:pStyle w:val="TableParagraph"/>
              <w:spacing w:line="211" w:lineRule="exact"/>
              <w:ind w:left="50"/>
              <w:rPr>
                <w:b/>
                <w:sz w:val="21"/>
              </w:rPr>
            </w:pPr>
            <w:r>
              <w:rPr>
                <w:b/>
                <w:sz w:val="21"/>
              </w:rPr>
              <w:t>3.2</w:t>
            </w:r>
          </w:p>
        </w:tc>
        <w:tc>
          <w:tcPr>
            <w:tcW w:w="1613" w:type="dxa"/>
          </w:tcPr>
          <w:p>
            <w:pPr>
              <w:pStyle w:val="TableParagraph"/>
              <w:spacing w:line="211" w:lineRule="exact"/>
              <w:ind w:left="286"/>
              <w:rPr>
                <w:b/>
                <w:sz w:val="21"/>
              </w:rPr>
            </w:pPr>
            <w:r>
              <w:rPr>
                <w:b/>
                <w:sz w:val="21"/>
              </w:rPr>
              <w:t>重大疾病的</w:t>
            </w:r>
          </w:p>
        </w:tc>
        <w:tc>
          <w:tcPr>
            <w:tcW w:w="7550" w:type="dxa"/>
          </w:tcPr>
          <w:p>
            <w:pPr>
              <w:pStyle w:val="TableParagraph"/>
              <w:spacing w:line="211" w:lineRule="exact"/>
              <w:ind w:left="90"/>
              <w:rPr>
                <w:sz w:val="21"/>
              </w:rPr>
            </w:pPr>
            <w:r>
              <w:rPr>
                <w:sz w:val="21"/>
              </w:rPr>
              <w:t>该 25 种重大疾病定义完全采用了中国保险行业协会发布的《重大疾病保险的疾</w:t>
            </w:r>
          </w:p>
        </w:tc>
      </w:tr>
      <w:tr>
        <w:trPr>
          <w:trHeight w:val="312" w:hRule="atLeast"/>
        </w:trPr>
        <w:tc>
          <w:tcPr>
            <w:tcW w:w="865" w:type="dxa"/>
          </w:tcPr>
          <w:p>
            <w:pPr>
              <w:pStyle w:val="TableParagraph"/>
              <w:rPr>
                <w:rFonts w:ascii="Times New Roman"/>
                <w:sz w:val="20"/>
              </w:rPr>
            </w:pPr>
          </w:p>
        </w:tc>
        <w:tc>
          <w:tcPr>
            <w:tcW w:w="1613" w:type="dxa"/>
          </w:tcPr>
          <w:p>
            <w:pPr>
              <w:pStyle w:val="TableParagraph"/>
              <w:spacing w:line="262" w:lineRule="exact"/>
              <w:ind w:left="286"/>
              <w:rPr>
                <w:b/>
                <w:sz w:val="21"/>
              </w:rPr>
            </w:pPr>
            <w:r>
              <w:rPr>
                <w:b/>
                <w:sz w:val="21"/>
              </w:rPr>
              <w:t>定义</w:t>
            </w:r>
          </w:p>
        </w:tc>
        <w:tc>
          <w:tcPr>
            <w:tcW w:w="7550" w:type="dxa"/>
          </w:tcPr>
          <w:p>
            <w:pPr>
              <w:pStyle w:val="TableParagraph"/>
              <w:spacing w:line="262" w:lineRule="exact"/>
              <w:ind w:left="90"/>
              <w:rPr>
                <w:sz w:val="21"/>
              </w:rPr>
            </w:pPr>
            <w:r>
              <w:rPr>
                <w:sz w:val="21"/>
              </w:rPr>
              <w:t>病定义使用规范》中的疾病定义，以上各种重大疾病须我们认可的医院专科医生</w:t>
            </w:r>
          </w:p>
        </w:tc>
      </w:tr>
      <w:tr>
        <w:trPr>
          <w:trHeight w:val="381" w:hRule="atLeast"/>
        </w:trPr>
        <w:tc>
          <w:tcPr>
            <w:tcW w:w="865" w:type="dxa"/>
          </w:tcPr>
          <w:p>
            <w:pPr>
              <w:pStyle w:val="TableParagraph"/>
              <w:rPr>
                <w:rFonts w:ascii="Times New Roman"/>
                <w:sz w:val="20"/>
              </w:rPr>
            </w:pPr>
          </w:p>
        </w:tc>
        <w:tc>
          <w:tcPr>
            <w:tcW w:w="1613" w:type="dxa"/>
          </w:tcPr>
          <w:p>
            <w:pPr>
              <w:pStyle w:val="TableParagraph"/>
              <w:rPr>
                <w:rFonts w:ascii="Times New Roman"/>
                <w:sz w:val="20"/>
              </w:rPr>
            </w:pPr>
          </w:p>
        </w:tc>
        <w:tc>
          <w:tcPr>
            <w:tcW w:w="7550" w:type="dxa"/>
          </w:tcPr>
          <w:p>
            <w:pPr>
              <w:pStyle w:val="TableParagraph"/>
              <w:spacing w:line="261" w:lineRule="exact"/>
              <w:ind w:left="90"/>
              <w:rPr>
                <w:sz w:val="21"/>
              </w:rPr>
            </w:pPr>
            <w:r>
              <w:rPr>
                <w:sz w:val="21"/>
              </w:rPr>
              <w:t>明确诊断，符合以下定义：</w:t>
            </w:r>
          </w:p>
        </w:tc>
      </w:tr>
      <w:tr>
        <w:trPr>
          <w:trHeight w:val="413" w:hRule="atLeast"/>
        </w:trPr>
        <w:tc>
          <w:tcPr>
            <w:tcW w:w="865" w:type="dxa"/>
          </w:tcPr>
          <w:p>
            <w:pPr>
              <w:pStyle w:val="TableParagraph"/>
              <w:spacing w:before="76"/>
              <w:ind w:left="50"/>
              <w:rPr>
                <w:i/>
                <w:sz w:val="22"/>
              </w:rPr>
            </w:pPr>
            <w:r>
              <w:rPr>
                <w:i/>
                <w:sz w:val="22"/>
              </w:rPr>
              <w:t>3.2.1</w:t>
            </w:r>
          </w:p>
        </w:tc>
        <w:tc>
          <w:tcPr>
            <w:tcW w:w="1613" w:type="dxa"/>
          </w:tcPr>
          <w:p>
            <w:pPr>
              <w:pStyle w:val="TableParagraph"/>
              <w:spacing w:before="54"/>
              <w:ind w:left="286"/>
              <w:rPr>
                <w:i/>
                <w:sz w:val="22"/>
              </w:rPr>
            </w:pPr>
            <w:r>
              <w:rPr>
                <w:i/>
                <w:w w:val="95"/>
                <w:sz w:val="22"/>
              </w:rPr>
              <w:t>恶性肿瘤</w:t>
            </w:r>
          </w:p>
        </w:tc>
        <w:tc>
          <w:tcPr>
            <w:tcW w:w="7550" w:type="dxa"/>
          </w:tcPr>
          <w:p>
            <w:pPr>
              <w:pStyle w:val="TableParagraph"/>
              <w:spacing w:before="87"/>
              <w:ind w:left="90"/>
              <w:rPr>
                <w:sz w:val="21"/>
              </w:rPr>
            </w:pPr>
            <w:r>
              <w:rPr>
                <w:sz w:val="21"/>
              </w:rPr>
              <w:t>指恶性细胞不受控制的进行性增长和扩散，浸润和破坏周围正常组织，可以经血</w:t>
            </w:r>
          </w:p>
        </w:tc>
      </w:tr>
      <w:tr>
        <w:trPr>
          <w:trHeight w:val="311" w:hRule="atLeast"/>
        </w:trPr>
        <w:tc>
          <w:tcPr>
            <w:tcW w:w="865" w:type="dxa"/>
          </w:tcPr>
          <w:p>
            <w:pPr>
              <w:pStyle w:val="TableParagraph"/>
              <w:rPr>
                <w:rFonts w:ascii="Times New Roman"/>
                <w:sz w:val="20"/>
              </w:rPr>
            </w:pPr>
          </w:p>
        </w:tc>
        <w:tc>
          <w:tcPr>
            <w:tcW w:w="1613" w:type="dxa"/>
          </w:tcPr>
          <w:p>
            <w:pPr>
              <w:pStyle w:val="TableParagraph"/>
              <w:rPr>
                <w:rFonts w:ascii="Times New Roman"/>
                <w:sz w:val="20"/>
              </w:rPr>
            </w:pPr>
          </w:p>
        </w:tc>
        <w:tc>
          <w:tcPr>
            <w:tcW w:w="7550" w:type="dxa"/>
          </w:tcPr>
          <w:p>
            <w:pPr>
              <w:pStyle w:val="TableParagraph"/>
              <w:spacing w:line="261" w:lineRule="exact"/>
              <w:ind w:left="90"/>
              <w:rPr>
                <w:sz w:val="21"/>
              </w:rPr>
            </w:pPr>
            <w:r>
              <w:rPr>
                <w:spacing w:val="-14"/>
                <w:sz w:val="21"/>
              </w:rPr>
              <w:t>管、淋巴管和体腔扩散转移到身体其它部位的疾病。经病理学检查结果明确诊断，</w:t>
            </w:r>
          </w:p>
        </w:tc>
      </w:tr>
      <w:tr>
        <w:trPr>
          <w:trHeight w:val="311" w:hRule="atLeast"/>
        </w:trPr>
        <w:tc>
          <w:tcPr>
            <w:tcW w:w="865" w:type="dxa"/>
          </w:tcPr>
          <w:p>
            <w:pPr>
              <w:pStyle w:val="TableParagraph"/>
              <w:rPr>
                <w:rFonts w:ascii="Times New Roman"/>
                <w:sz w:val="20"/>
              </w:rPr>
            </w:pPr>
          </w:p>
        </w:tc>
        <w:tc>
          <w:tcPr>
            <w:tcW w:w="1613" w:type="dxa"/>
          </w:tcPr>
          <w:p>
            <w:pPr>
              <w:pStyle w:val="TableParagraph"/>
              <w:rPr>
                <w:rFonts w:ascii="Times New Roman"/>
                <w:sz w:val="20"/>
              </w:rPr>
            </w:pPr>
          </w:p>
        </w:tc>
        <w:tc>
          <w:tcPr>
            <w:tcW w:w="7550" w:type="dxa"/>
          </w:tcPr>
          <w:p>
            <w:pPr>
              <w:pStyle w:val="TableParagraph"/>
              <w:spacing w:line="261" w:lineRule="exact"/>
              <w:ind w:left="90"/>
              <w:rPr>
                <w:sz w:val="21"/>
              </w:rPr>
            </w:pPr>
            <w:r>
              <w:rPr>
                <w:sz w:val="21"/>
              </w:rPr>
              <w:t>临床诊断属于世界卫生组织《 疾病和有关健康问题的国际统计分类》（ICD-10）</w:t>
            </w:r>
          </w:p>
        </w:tc>
      </w:tr>
      <w:tr>
        <w:trPr>
          <w:trHeight w:val="308" w:hRule="atLeast"/>
        </w:trPr>
        <w:tc>
          <w:tcPr>
            <w:tcW w:w="865" w:type="dxa"/>
          </w:tcPr>
          <w:p>
            <w:pPr>
              <w:pStyle w:val="TableParagraph"/>
              <w:rPr>
                <w:rFonts w:ascii="Times New Roman"/>
                <w:sz w:val="20"/>
              </w:rPr>
            </w:pPr>
          </w:p>
        </w:tc>
        <w:tc>
          <w:tcPr>
            <w:tcW w:w="1613" w:type="dxa"/>
          </w:tcPr>
          <w:p>
            <w:pPr>
              <w:pStyle w:val="TableParagraph"/>
              <w:rPr>
                <w:rFonts w:ascii="Times New Roman"/>
                <w:sz w:val="20"/>
              </w:rPr>
            </w:pPr>
          </w:p>
        </w:tc>
        <w:tc>
          <w:tcPr>
            <w:tcW w:w="7550" w:type="dxa"/>
          </w:tcPr>
          <w:p>
            <w:pPr>
              <w:pStyle w:val="TableParagraph"/>
              <w:spacing w:line="261" w:lineRule="exact"/>
              <w:ind w:left="90"/>
              <w:rPr>
                <w:sz w:val="21"/>
              </w:rPr>
            </w:pPr>
            <w:r>
              <w:rPr>
                <w:sz w:val="21"/>
              </w:rPr>
              <w:t>的恶性肿瘤范畴。</w:t>
            </w:r>
          </w:p>
        </w:tc>
      </w:tr>
      <w:tr>
        <w:trPr>
          <w:trHeight w:val="319" w:hRule="atLeast"/>
        </w:trPr>
        <w:tc>
          <w:tcPr>
            <w:tcW w:w="865" w:type="dxa"/>
          </w:tcPr>
          <w:p>
            <w:pPr>
              <w:pStyle w:val="TableParagraph"/>
              <w:rPr>
                <w:rFonts w:ascii="Times New Roman"/>
                <w:sz w:val="20"/>
              </w:rPr>
            </w:pPr>
          </w:p>
        </w:tc>
        <w:tc>
          <w:tcPr>
            <w:tcW w:w="1613" w:type="dxa"/>
          </w:tcPr>
          <w:p>
            <w:pPr>
              <w:pStyle w:val="TableParagraph"/>
              <w:rPr>
                <w:rFonts w:ascii="Times New Roman"/>
                <w:sz w:val="20"/>
              </w:rPr>
            </w:pPr>
          </w:p>
        </w:tc>
        <w:tc>
          <w:tcPr>
            <w:tcW w:w="7550" w:type="dxa"/>
          </w:tcPr>
          <w:p>
            <w:pPr>
              <w:pStyle w:val="TableParagraph"/>
              <w:spacing w:line="265" w:lineRule="exact"/>
              <w:ind w:left="90"/>
              <w:rPr>
                <w:sz w:val="21"/>
              </w:rPr>
            </w:pPr>
            <w:r>
              <w:rPr>
                <w:rFonts w:ascii="Times New Roman" w:eastAsia="Times New Roman"/>
                <w:spacing w:val="-53"/>
                <w:w w:val="100"/>
                <w:sz w:val="21"/>
                <w:shd w:fill="D9D9D9" w:color="auto" w:val="clear"/>
              </w:rPr>
              <w:t> </w:t>
            </w:r>
            <w:r>
              <w:rPr>
                <w:spacing w:val="-3"/>
                <w:sz w:val="21"/>
                <w:shd w:fill="D9D9D9" w:color="auto" w:val="clear"/>
              </w:rPr>
              <w:t>下列疾病不在保障范围内：</w:t>
            </w:r>
          </w:p>
        </w:tc>
      </w:tr>
      <w:tr>
        <w:trPr>
          <w:trHeight w:val="311" w:hRule="atLeast"/>
        </w:trPr>
        <w:tc>
          <w:tcPr>
            <w:tcW w:w="865" w:type="dxa"/>
          </w:tcPr>
          <w:p>
            <w:pPr>
              <w:pStyle w:val="TableParagraph"/>
              <w:rPr>
                <w:rFonts w:ascii="Times New Roman"/>
                <w:sz w:val="20"/>
              </w:rPr>
            </w:pPr>
          </w:p>
        </w:tc>
        <w:tc>
          <w:tcPr>
            <w:tcW w:w="1613" w:type="dxa"/>
          </w:tcPr>
          <w:p>
            <w:pPr>
              <w:pStyle w:val="TableParagraph"/>
              <w:rPr>
                <w:rFonts w:ascii="Times New Roman"/>
                <w:sz w:val="20"/>
              </w:rPr>
            </w:pPr>
          </w:p>
        </w:tc>
        <w:tc>
          <w:tcPr>
            <w:tcW w:w="7550" w:type="dxa"/>
          </w:tcPr>
          <w:p>
            <w:pPr>
              <w:pStyle w:val="TableParagraph"/>
              <w:spacing w:line="257" w:lineRule="exact"/>
              <w:ind w:left="90"/>
              <w:rPr>
                <w:sz w:val="21"/>
              </w:rPr>
            </w:pPr>
            <w:r>
              <w:rPr>
                <w:rFonts w:ascii="Times New Roman" w:eastAsia="Times New Roman"/>
                <w:spacing w:val="-53"/>
                <w:w w:val="100"/>
                <w:sz w:val="21"/>
                <w:shd w:fill="D9D9D9" w:color="auto" w:val="clear"/>
              </w:rPr>
              <w:t> </w:t>
            </w:r>
            <w:r>
              <w:rPr>
                <w:spacing w:val="-1"/>
                <w:sz w:val="21"/>
                <w:shd w:fill="D9D9D9" w:color="auto" w:val="clear"/>
              </w:rPr>
              <w:t>（1）</w:t>
            </w:r>
            <w:r>
              <w:rPr>
                <w:spacing w:val="-2"/>
                <w:sz w:val="21"/>
                <w:shd w:fill="D9D9D9" w:color="auto" w:val="clear"/>
              </w:rPr>
              <w:t>原位癌；</w:t>
            </w:r>
          </w:p>
        </w:tc>
      </w:tr>
      <w:tr>
        <w:trPr>
          <w:trHeight w:val="312" w:hRule="atLeast"/>
        </w:trPr>
        <w:tc>
          <w:tcPr>
            <w:tcW w:w="865" w:type="dxa"/>
          </w:tcPr>
          <w:p>
            <w:pPr>
              <w:pStyle w:val="TableParagraph"/>
              <w:rPr>
                <w:rFonts w:ascii="Times New Roman"/>
                <w:sz w:val="20"/>
              </w:rPr>
            </w:pPr>
          </w:p>
        </w:tc>
        <w:tc>
          <w:tcPr>
            <w:tcW w:w="1613" w:type="dxa"/>
          </w:tcPr>
          <w:p>
            <w:pPr>
              <w:pStyle w:val="TableParagraph"/>
              <w:rPr>
                <w:rFonts w:ascii="Times New Roman"/>
                <w:sz w:val="20"/>
              </w:rPr>
            </w:pPr>
          </w:p>
        </w:tc>
        <w:tc>
          <w:tcPr>
            <w:tcW w:w="7550" w:type="dxa"/>
          </w:tcPr>
          <w:p>
            <w:pPr>
              <w:pStyle w:val="TableParagraph"/>
              <w:spacing w:line="257" w:lineRule="exact"/>
              <w:ind w:left="90"/>
              <w:rPr>
                <w:sz w:val="21"/>
              </w:rPr>
            </w:pPr>
            <w:r>
              <w:rPr>
                <w:rFonts w:ascii="Times New Roman" w:eastAsia="Times New Roman"/>
                <w:spacing w:val="-53"/>
                <w:w w:val="100"/>
                <w:sz w:val="21"/>
                <w:shd w:fill="D9D9D9" w:color="auto" w:val="clear"/>
              </w:rPr>
              <w:t> </w:t>
            </w:r>
            <w:r>
              <w:rPr>
                <w:sz w:val="21"/>
                <w:shd w:fill="D9D9D9" w:color="auto" w:val="clear"/>
              </w:rPr>
              <w:t>（2）</w:t>
            </w:r>
            <w:r>
              <w:rPr>
                <w:spacing w:val="-14"/>
                <w:sz w:val="21"/>
                <w:shd w:fill="D9D9D9" w:color="auto" w:val="clear"/>
              </w:rPr>
              <w:t>相当于 </w:t>
            </w:r>
            <w:r>
              <w:rPr>
                <w:sz w:val="21"/>
                <w:shd w:fill="D9D9D9" w:color="auto" w:val="clear"/>
              </w:rPr>
              <w:t>Binet</w:t>
            </w:r>
            <w:r>
              <w:rPr>
                <w:spacing w:val="-9"/>
                <w:sz w:val="21"/>
                <w:shd w:fill="D9D9D9" w:color="auto" w:val="clear"/>
              </w:rPr>
              <w:t> 分期方案 </w:t>
            </w:r>
            <w:r>
              <w:rPr>
                <w:sz w:val="21"/>
                <w:shd w:fill="D9D9D9" w:color="auto" w:val="clear"/>
              </w:rPr>
              <w:t>A</w:t>
            </w:r>
            <w:r>
              <w:rPr>
                <w:spacing w:val="-3"/>
                <w:sz w:val="21"/>
                <w:shd w:fill="D9D9D9" w:color="auto" w:val="clear"/>
              </w:rPr>
              <w:t> 期程度的慢性淋巴细胞白血病；</w:t>
            </w:r>
          </w:p>
        </w:tc>
      </w:tr>
      <w:tr>
        <w:trPr>
          <w:trHeight w:val="312" w:hRule="atLeast"/>
        </w:trPr>
        <w:tc>
          <w:tcPr>
            <w:tcW w:w="865" w:type="dxa"/>
          </w:tcPr>
          <w:p>
            <w:pPr>
              <w:pStyle w:val="TableParagraph"/>
              <w:rPr>
                <w:rFonts w:ascii="Times New Roman"/>
                <w:sz w:val="20"/>
              </w:rPr>
            </w:pPr>
          </w:p>
        </w:tc>
        <w:tc>
          <w:tcPr>
            <w:tcW w:w="1613" w:type="dxa"/>
          </w:tcPr>
          <w:p>
            <w:pPr>
              <w:pStyle w:val="TableParagraph"/>
              <w:rPr>
                <w:rFonts w:ascii="Times New Roman"/>
                <w:sz w:val="20"/>
              </w:rPr>
            </w:pPr>
          </w:p>
        </w:tc>
        <w:tc>
          <w:tcPr>
            <w:tcW w:w="7550" w:type="dxa"/>
          </w:tcPr>
          <w:p>
            <w:pPr>
              <w:pStyle w:val="TableParagraph"/>
              <w:spacing w:line="257" w:lineRule="exact"/>
              <w:ind w:left="90"/>
              <w:rPr>
                <w:sz w:val="21"/>
              </w:rPr>
            </w:pPr>
            <w:r>
              <w:rPr>
                <w:rFonts w:ascii="Times New Roman" w:eastAsia="Times New Roman"/>
                <w:spacing w:val="-53"/>
                <w:w w:val="100"/>
                <w:sz w:val="21"/>
                <w:shd w:fill="D9D9D9" w:color="auto" w:val="clear"/>
              </w:rPr>
              <w:t> </w:t>
            </w:r>
            <w:r>
              <w:rPr>
                <w:sz w:val="21"/>
                <w:shd w:fill="D9D9D9" w:color="auto" w:val="clear"/>
              </w:rPr>
              <w:t>（3）</w:t>
            </w:r>
            <w:r>
              <w:rPr>
                <w:spacing w:val="-14"/>
                <w:sz w:val="21"/>
                <w:shd w:fill="D9D9D9" w:color="auto" w:val="clear"/>
              </w:rPr>
              <w:t>相当于 </w:t>
            </w:r>
            <w:r>
              <w:rPr>
                <w:sz w:val="21"/>
                <w:shd w:fill="D9D9D9" w:color="auto" w:val="clear"/>
              </w:rPr>
              <w:t>Ann Arbor</w:t>
            </w:r>
            <w:r>
              <w:rPr>
                <w:spacing w:val="-10"/>
                <w:sz w:val="21"/>
                <w:shd w:fill="D9D9D9" w:color="auto" w:val="clear"/>
              </w:rPr>
              <w:t> 分期方案 </w:t>
            </w:r>
            <w:r>
              <w:rPr>
                <w:sz w:val="21"/>
                <w:shd w:fill="D9D9D9" w:color="auto" w:val="clear"/>
              </w:rPr>
              <w:t>I</w:t>
            </w:r>
            <w:r>
              <w:rPr>
                <w:spacing w:val="-3"/>
                <w:sz w:val="21"/>
                <w:shd w:fill="D9D9D9" w:color="auto" w:val="clear"/>
              </w:rPr>
              <w:t> 期程度的何杰金氏病；</w:t>
            </w:r>
          </w:p>
        </w:tc>
      </w:tr>
      <w:tr>
        <w:trPr>
          <w:trHeight w:val="312" w:hRule="atLeast"/>
        </w:trPr>
        <w:tc>
          <w:tcPr>
            <w:tcW w:w="865" w:type="dxa"/>
          </w:tcPr>
          <w:p>
            <w:pPr>
              <w:pStyle w:val="TableParagraph"/>
              <w:rPr>
                <w:rFonts w:ascii="Times New Roman"/>
                <w:sz w:val="20"/>
              </w:rPr>
            </w:pPr>
          </w:p>
        </w:tc>
        <w:tc>
          <w:tcPr>
            <w:tcW w:w="1613" w:type="dxa"/>
          </w:tcPr>
          <w:p>
            <w:pPr>
              <w:pStyle w:val="TableParagraph"/>
              <w:rPr>
                <w:rFonts w:ascii="Times New Roman"/>
                <w:sz w:val="20"/>
              </w:rPr>
            </w:pPr>
          </w:p>
        </w:tc>
        <w:tc>
          <w:tcPr>
            <w:tcW w:w="7550" w:type="dxa"/>
          </w:tcPr>
          <w:p>
            <w:pPr>
              <w:pStyle w:val="TableParagraph"/>
              <w:spacing w:line="257" w:lineRule="exact"/>
              <w:ind w:left="90"/>
              <w:rPr>
                <w:sz w:val="21"/>
              </w:rPr>
            </w:pPr>
            <w:r>
              <w:rPr>
                <w:rFonts w:ascii="Times New Roman" w:eastAsia="Times New Roman"/>
                <w:spacing w:val="-53"/>
                <w:w w:val="100"/>
                <w:sz w:val="21"/>
                <w:shd w:fill="D9D9D9" w:color="auto" w:val="clear"/>
              </w:rPr>
              <w:t> </w:t>
            </w:r>
            <w:r>
              <w:rPr>
                <w:w w:val="100"/>
                <w:sz w:val="21"/>
                <w:shd w:fill="D9D9D9" w:color="auto" w:val="clear"/>
              </w:rPr>
              <w:t>（4</w:t>
            </w:r>
            <w:r>
              <w:rPr>
                <w:spacing w:val="-3"/>
                <w:w w:val="100"/>
                <w:sz w:val="21"/>
                <w:shd w:fill="D9D9D9" w:color="auto" w:val="clear"/>
              </w:rPr>
              <w:t>）</w:t>
            </w:r>
            <w:r>
              <w:rPr>
                <w:spacing w:val="-2"/>
                <w:w w:val="100"/>
                <w:sz w:val="21"/>
                <w:shd w:fill="D9D9D9" w:color="auto" w:val="clear"/>
              </w:rPr>
              <w:t>皮肤癌</w:t>
            </w:r>
            <w:r>
              <w:rPr>
                <w:spacing w:val="-3"/>
                <w:w w:val="100"/>
                <w:sz w:val="21"/>
              </w:rPr>
              <w:t>（不包括恶性黑色素瘤及已发生转移的皮肤癌</w:t>
            </w:r>
            <w:r>
              <w:rPr>
                <w:spacing w:val="-106"/>
                <w:w w:val="100"/>
                <w:sz w:val="21"/>
              </w:rPr>
              <w:t>）</w:t>
            </w:r>
            <w:r>
              <w:rPr>
                <w:w w:val="100"/>
                <w:sz w:val="21"/>
              </w:rPr>
              <w:t>；</w:t>
            </w:r>
          </w:p>
        </w:tc>
      </w:tr>
      <w:tr>
        <w:trPr>
          <w:trHeight w:val="312" w:hRule="atLeast"/>
        </w:trPr>
        <w:tc>
          <w:tcPr>
            <w:tcW w:w="865" w:type="dxa"/>
          </w:tcPr>
          <w:p>
            <w:pPr>
              <w:pStyle w:val="TableParagraph"/>
              <w:rPr>
                <w:rFonts w:ascii="Times New Roman"/>
                <w:sz w:val="20"/>
              </w:rPr>
            </w:pPr>
          </w:p>
        </w:tc>
        <w:tc>
          <w:tcPr>
            <w:tcW w:w="1613" w:type="dxa"/>
          </w:tcPr>
          <w:p>
            <w:pPr>
              <w:pStyle w:val="TableParagraph"/>
              <w:rPr>
                <w:rFonts w:ascii="Times New Roman"/>
                <w:sz w:val="20"/>
              </w:rPr>
            </w:pPr>
          </w:p>
        </w:tc>
        <w:tc>
          <w:tcPr>
            <w:tcW w:w="7550" w:type="dxa"/>
          </w:tcPr>
          <w:p>
            <w:pPr>
              <w:pStyle w:val="TableParagraph"/>
              <w:spacing w:line="256" w:lineRule="exact"/>
              <w:ind w:left="90"/>
              <w:rPr>
                <w:sz w:val="21"/>
              </w:rPr>
            </w:pPr>
            <w:r>
              <w:rPr>
                <w:rFonts w:ascii="Times New Roman" w:eastAsia="Times New Roman"/>
                <w:spacing w:val="-53"/>
                <w:w w:val="100"/>
                <w:position w:val="1"/>
                <w:sz w:val="21"/>
                <w:shd w:fill="D9D9D9" w:color="auto" w:val="clear"/>
              </w:rPr>
              <w:t> </w:t>
            </w:r>
            <w:r>
              <w:rPr>
                <w:position w:val="1"/>
                <w:sz w:val="21"/>
                <w:shd w:fill="D9D9D9" w:color="auto" w:val="clear"/>
              </w:rPr>
              <w:t>（5）TNM</w:t>
            </w:r>
            <w:r>
              <w:rPr>
                <w:spacing w:val="-10"/>
                <w:position w:val="1"/>
                <w:sz w:val="21"/>
                <w:shd w:fill="D9D9D9" w:color="auto" w:val="clear"/>
              </w:rPr>
              <w:t> 分期为 </w:t>
            </w:r>
            <w:r>
              <w:rPr>
                <w:position w:val="1"/>
                <w:sz w:val="21"/>
                <w:shd w:fill="D9D9D9" w:color="auto" w:val="clear"/>
              </w:rPr>
              <w:t>T</w:t>
            </w:r>
            <w:r>
              <w:rPr>
                <w:sz w:val="11"/>
              </w:rPr>
              <w:t>1</w:t>
            </w:r>
            <w:r>
              <w:rPr>
                <w:position w:val="1"/>
                <w:sz w:val="21"/>
                <w:shd w:fill="D9D9D9" w:color="auto" w:val="clear"/>
              </w:rPr>
              <w:t>N</w:t>
            </w:r>
            <w:r>
              <w:rPr>
                <w:sz w:val="11"/>
              </w:rPr>
              <w:t>0</w:t>
            </w:r>
            <w:r>
              <w:rPr>
                <w:position w:val="1"/>
                <w:sz w:val="21"/>
                <w:shd w:fill="D9D9D9" w:color="auto" w:val="clear"/>
              </w:rPr>
              <w:t>M</w:t>
            </w:r>
            <w:r>
              <w:rPr>
                <w:sz w:val="11"/>
              </w:rPr>
              <w:t>0 </w:t>
            </w:r>
            <w:r>
              <w:rPr>
                <w:spacing w:val="-3"/>
                <w:position w:val="1"/>
                <w:sz w:val="21"/>
                <w:shd w:fill="D9D9D9" w:color="auto" w:val="clear"/>
              </w:rPr>
              <w:t>期或更轻分期的前列腺癌；</w:t>
            </w:r>
          </w:p>
        </w:tc>
      </w:tr>
      <w:tr>
        <w:trPr>
          <w:trHeight w:val="395" w:hRule="atLeast"/>
        </w:trPr>
        <w:tc>
          <w:tcPr>
            <w:tcW w:w="865" w:type="dxa"/>
          </w:tcPr>
          <w:p>
            <w:pPr>
              <w:pStyle w:val="TableParagraph"/>
              <w:rPr>
                <w:rFonts w:ascii="Times New Roman"/>
                <w:sz w:val="20"/>
              </w:rPr>
            </w:pPr>
          </w:p>
        </w:tc>
        <w:tc>
          <w:tcPr>
            <w:tcW w:w="1613" w:type="dxa"/>
          </w:tcPr>
          <w:p>
            <w:pPr>
              <w:pStyle w:val="TableParagraph"/>
              <w:rPr>
                <w:rFonts w:ascii="Times New Roman"/>
                <w:sz w:val="20"/>
              </w:rPr>
            </w:pPr>
          </w:p>
        </w:tc>
        <w:tc>
          <w:tcPr>
            <w:tcW w:w="7550" w:type="dxa"/>
          </w:tcPr>
          <w:p>
            <w:pPr>
              <w:pStyle w:val="TableParagraph"/>
              <w:spacing w:line="257" w:lineRule="exact"/>
              <w:ind w:left="90"/>
              <w:rPr>
                <w:sz w:val="21"/>
              </w:rPr>
            </w:pPr>
            <w:r>
              <w:rPr>
                <w:rFonts w:ascii="Times New Roman" w:eastAsia="Times New Roman"/>
                <w:spacing w:val="-53"/>
                <w:w w:val="100"/>
                <w:sz w:val="21"/>
                <w:shd w:fill="D9D9D9" w:color="auto" w:val="clear"/>
              </w:rPr>
              <w:t> </w:t>
            </w:r>
            <w:r>
              <w:rPr>
                <w:spacing w:val="-1"/>
                <w:sz w:val="21"/>
                <w:shd w:fill="D9D9D9" w:color="auto" w:val="clear"/>
              </w:rPr>
              <w:t>（6）</w:t>
            </w:r>
            <w:r>
              <w:rPr>
                <w:spacing w:val="-3"/>
                <w:sz w:val="21"/>
                <w:shd w:fill="D9D9D9" w:color="auto" w:val="clear"/>
              </w:rPr>
              <w:t>感染艾滋病病毒或患艾滋病期间所患恶性肿瘤。</w:t>
            </w:r>
          </w:p>
        </w:tc>
      </w:tr>
      <w:tr>
        <w:trPr>
          <w:trHeight w:val="390" w:hRule="atLeast"/>
        </w:trPr>
        <w:tc>
          <w:tcPr>
            <w:tcW w:w="865" w:type="dxa"/>
          </w:tcPr>
          <w:p>
            <w:pPr>
              <w:pStyle w:val="TableParagraph"/>
              <w:spacing w:before="57"/>
              <w:ind w:left="50"/>
              <w:rPr>
                <w:i/>
                <w:sz w:val="22"/>
              </w:rPr>
            </w:pPr>
            <w:r>
              <w:rPr>
                <w:i/>
                <w:sz w:val="22"/>
              </w:rPr>
              <w:t>3.2.2</w:t>
            </w:r>
          </w:p>
        </w:tc>
        <w:tc>
          <w:tcPr>
            <w:tcW w:w="1613" w:type="dxa"/>
          </w:tcPr>
          <w:p>
            <w:pPr>
              <w:pStyle w:val="TableParagraph"/>
              <w:spacing w:before="57"/>
              <w:ind w:left="286"/>
              <w:rPr>
                <w:i/>
                <w:sz w:val="22"/>
              </w:rPr>
            </w:pPr>
            <w:r>
              <w:rPr>
                <w:i/>
                <w:w w:val="95"/>
                <w:sz w:val="22"/>
              </w:rPr>
              <w:t>急性心肌梗</w:t>
            </w:r>
          </w:p>
        </w:tc>
        <w:tc>
          <w:tcPr>
            <w:tcW w:w="7550" w:type="dxa"/>
          </w:tcPr>
          <w:p>
            <w:pPr>
              <w:pStyle w:val="TableParagraph"/>
              <w:spacing w:before="68"/>
              <w:ind w:left="90"/>
              <w:rPr>
                <w:sz w:val="21"/>
              </w:rPr>
            </w:pPr>
            <w:r>
              <w:rPr>
                <w:sz w:val="21"/>
              </w:rPr>
              <w:t>指因冠状动脉阻塞导致的相应区域供血不足造成部分心肌坏死。须满足下列至少</w:t>
            </w:r>
          </w:p>
        </w:tc>
      </w:tr>
      <w:tr>
        <w:trPr>
          <w:trHeight w:val="316" w:hRule="atLeast"/>
        </w:trPr>
        <w:tc>
          <w:tcPr>
            <w:tcW w:w="865" w:type="dxa"/>
          </w:tcPr>
          <w:p>
            <w:pPr>
              <w:pStyle w:val="TableParagraph"/>
              <w:rPr>
                <w:rFonts w:ascii="Times New Roman"/>
                <w:sz w:val="20"/>
              </w:rPr>
            </w:pPr>
          </w:p>
        </w:tc>
        <w:tc>
          <w:tcPr>
            <w:tcW w:w="1613" w:type="dxa"/>
          </w:tcPr>
          <w:p>
            <w:pPr>
              <w:pStyle w:val="TableParagraph"/>
              <w:spacing w:line="267" w:lineRule="exact"/>
              <w:ind w:left="286"/>
              <w:rPr>
                <w:i/>
                <w:sz w:val="22"/>
              </w:rPr>
            </w:pPr>
            <w:r>
              <w:rPr>
                <w:i/>
                <w:w w:val="95"/>
                <w:sz w:val="22"/>
              </w:rPr>
              <w:t>塞</w:t>
            </w:r>
          </w:p>
        </w:tc>
        <w:tc>
          <w:tcPr>
            <w:tcW w:w="7550" w:type="dxa"/>
          </w:tcPr>
          <w:p>
            <w:pPr>
              <w:pStyle w:val="TableParagraph"/>
              <w:spacing w:line="266" w:lineRule="exact"/>
              <w:ind w:left="90"/>
              <w:rPr>
                <w:sz w:val="21"/>
              </w:rPr>
            </w:pPr>
            <w:r>
              <w:rPr>
                <w:sz w:val="21"/>
              </w:rPr>
              <w:t>三项条件：</w:t>
            </w:r>
          </w:p>
        </w:tc>
      </w:tr>
      <w:tr>
        <w:trPr>
          <w:trHeight w:val="311" w:hRule="atLeast"/>
        </w:trPr>
        <w:tc>
          <w:tcPr>
            <w:tcW w:w="865" w:type="dxa"/>
          </w:tcPr>
          <w:p>
            <w:pPr>
              <w:pStyle w:val="TableParagraph"/>
              <w:rPr>
                <w:rFonts w:ascii="Times New Roman"/>
                <w:sz w:val="20"/>
              </w:rPr>
            </w:pPr>
          </w:p>
        </w:tc>
        <w:tc>
          <w:tcPr>
            <w:tcW w:w="1613" w:type="dxa"/>
          </w:tcPr>
          <w:p>
            <w:pPr>
              <w:pStyle w:val="TableParagraph"/>
              <w:rPr>
                <w:rFonts w:ascii="Times New Roman"/>
                <w:sz w:val="20"/>
              </w:rPr>
            </w:pPr>
          </w:p>
        </w:tc>
        <w:tc>
          <w:tcPr>
            <w:tcW w:w="7550" w:type="dxa"/>
          </w:tcPr>
          <w:p>
            <w:pPr>
              <w:pStyle w:val="TableParagraph"/>
              <w:spacing w:line="261" w:lineRule="exact"/>
              <w:ind w:left="90"/>
              <w:rPr>
                <w:sz w:val="21"/>
              </w:rPr>
            </w:pPr>
            <w:r>
              <w:rPr>
                <w:sz w:val="21"/>
              </w:rPr>
              <w:t>（1）典型临床表现，例如急性胸痛等；</w:t>
            </w:r>
          </w:p>
        </w:tc>
      </w:tr>
      <w:tr>
        <w:trPr>
          <w:trHeight w:val="311" w:hRule="atLeast"/>
        </w:trPr>
        <w:tc>
          <w:tcPr>
            <w:tcW w:w="865" w:type="dxa"/>
          </w:tcPr>
          <w:p>
            <w:pPr>
              <w:pStyle w:val="TableParagraph"/>
              <w:rPr>
                <w:rFonts w:ascii="Times New Roman"/>
                <w:sz w:val="20"/>
              </w:rPr>
            </w:pPr>
          </w:p>
        </w:tc>
        <w:tc>
          <w:tcPr>
            <w:tcW w:w="1613" w:type="dxa"/>
          </w:tcPr>
          <w:p>
            <w:pPr>
              <w:pStyle w:val="TableParagraph"/>
              <w:rPr>
                <w:rFonts w:ascii="Times New Roman"/>
                <w:sz w:val="20"/>
              </w:rPr>
            </w:pPr>
          </w:p>
        </w:tc>
        <w:tc>
          <w:tcPr>
            <w:tcW w:w="7550" w:type="dxa"/>
          </w:tcPr>
          <w:p>
            <w:pPr>
              <w:pStyle w:val="TableParagraph"/>
              <w:spacing w:line="261" w:lineRule="exact"/>
              <w:ind w:left="90"/>
              <w:rPr>
                <w:sz w:val="21"/>
              </w:rPr>
            </w:pPr>
            <w:r>
              <w:rPr>
                <w:sz w:val="21"/>
              </w:rPr>
              <w:t>（2）新近的心电图改变提示急性心肌梗塞；</w:t>
            </w:r>
          </w:p>
        </w:tc>
      </w:tr>
      <w:tr>
        <w:trPr>
          <w:trHeight w:val="311" w:hRule="atLeast"/>
        </w:trPr>
        <w:tc>
          <w:tcPr>
            <w:tcW w:w="865" w:type="dxa"/>
          </w:tcPr>
          <w:p>
            <w:pPr>
              <w:pStyle w:val="TableParagraph"/>
              <w:rPr>
                <w:rFonts w:ascii="Times New Roman"/>
                <w:sz w:val="20"/>
              </w:rPr>
            </w:pPr>
          </w:p>
        </w:tc>
        <w:tc>
          <w:tcPr>
            <w:tcW w:w="1613" w:type="dxa"/>
          </w:tcPr>
          <w:p>
            <w:pPr>
              <w:pStyle w:val="TableParagraph"/>
              <w:rPr>
                <w:rFonts w:ascii="Times New Roman"/>
                <w:sz w:val="20"/>
              </w:rPr>
            </w:pPr>
          </w:p>
        </w:tc>
        <w:tc>
          <w:tcPr>
            <w:tcW w:w="7550" w:type="dxa"/>
          </w:tcPr>
          <w:p>
            <w:pPr>
              <w:pStyle w:val="TableParagraph"/>
              <w:spacing w:line="261" w:lineRule="exact"/>
              <w:ind w:left="90"/>
              <w:rPr>
                <w:sz w:val="21"/>
              </w:rPr>
            </w:pPr>
            <w:r>
              <w:rPr>
                <w:sz w:val="21"/>
              </w:rPr>
              <w:t>（3）心肌酶或肌钙蛋白有诊断意义的升高，或呈符合急性心肌梗塞的动态性变</w:t>
            </w:r>
          </w:p>
        </w:tc>
      </w:tr>
      <w:tr>
        <w:trPr>
          <w:trHeight w:val="312" w:hRule="atLeast"/>
        </w:trPr>
        <w:tc>
          <w:tcPr>
            <w:tcW w:w="865" w:type="dxa"/>
          </w:tcPr>
          <w:p>
            <w:pPr>
              <w:pStyle w:val="TableParagraph"/>
              <w:rPr>
                <w:rFonts w:ascii="Times New Roman"/>
                <w:sz w:val="20"/>
              </w:rPr>
            </w:pPr>
          </w:p>
        </w:tc>
        <w:tc>
          <w:tcPr>
            <w:tcW w:w="1613" w:type="dxa"/>
          </w:tcPr>
          <w:p>
            <w:pPr>
              <w:pStyle w:val="TableParagraph"/>
              <w:rPr>
                <w:rFonts w:ascii="Times New Roman"/>
                <w:sz w:val="20"/>
              </w:rPr>
            </w:pPr>
          </w:p>
        </w:tc>
        <w:tc>
          <w:tcPr>
            <w:tcW w:w="7550" w:type="dxa"/>
          </w:tcPr>
          <w:p>
            <w:pPr>
              <w:pStyle w:val="TableParagraph"/>
              <w:spacing w:line="261" w:lineRule="exact"/>
              <w:ind w:left="90"/>
              <w:rPr>
                <w:sz w:val="21"/>
              </w:rPr>
            </w:pPr>
            <w:r>
              <w:rPr>
                <w:sz w:val="21"/>
              </w:rPr>
              <w:t>化；</w:t>
            </w:r>
          </w:p>
        </w:tc>
      </w:tr>
      <w:tr>
        <w:trPr>
          <w:trHeight w:val="392" w:hRule="atLeast"/>
        </w:trPr>
        <w:tc>
          <w:tcPr>
            <w:tcW w:w="865" w:type="dxa"/>
          </w:tcPr>
          <w:p>
            <w:pPr>
              <w:pStyle w:val="TableParagraph"/>
              <w:rPr>
                <w:rFonts w:ascii="Times New Roman"/>
                <w:sz w:val="20"/>
              </w:rPr>
            </w:pPr>
          </w:p>
        </w:tc>
        <w:tc>
          <w:tcPr>
            <w:tcW w:w="1613" w:type="dxa"/>
          </w:tcPr>
          <w:p>
            <w:pPr>
              <w:pStyle w:val="TableParagraph"/>
              <w:rPr>
                <w:rFonts w:ascii="Times New Roman"/>
                <w:sz w:val="20"/>
              </w:rPr>
            </w:pPr>
          </w:p>
        </w:tc>
        <w:tc>
          <w:tcPr>
            <w:tcW w:w="7550" w:type="dxa"/>
          </w:tcPr>
          <w:p>
            <w:pPr>
              <w:pStyle w:val="TableParagraph"/>
              <w:spacing w:line="261" w:lineRule="exact"/>
              <w:ind w:left="90"/>
              <w:rPr>
                <w:sz w:val="21"/>
              </w:rPr>
            </w:pPr>
            <w:r>
              <w:rPr>
                <w:sz w:val="21"/>
              </w:rPr>
              <w:t>（4）发病 90 天后，经检查证实左心室功能降低，如左心室射血分数低于 50%。</w:t>
            </w:r>
          </w:p>
        </w:tc>
      </w:tr>
      <w:tr>
        <w:trPr>
          <w:trHeight w:val="398" w:hRule="atLeast"/>
        </w:trPr>
        <w:tc>
          <w:tcPr>
            <w:tcW w:w="865" w:type="dxa"/>
          </w:tcPr>
          <w:p>
            <w:pPr>
              <w:pStyle w:val="TableParagraph"/>
              <w:spacing w:before="65"/>
              <w:ind w:left="50"/>
              <w:rPr>
                <w:i/>
                <w:sz w:val="22"/>
              </w:rPr>
            </w:pPr>
            <w:r>
              <w:rPr>
                <w:i/>
                <w:sz w:val="22"/>
              </w:rPr>
              <w:t>3.2.3</w:t>
            </w:r>
          </w:p>
        </w:tc>
        <w:tc>
          <w:tcPr>
            <w:tcW w:w="1613" w:type="dxa"/>
          </w:tcPr>
          <w:p>
            <w:pPr>
              <w:pStyle w:val="TableParagraph"/>
              <w:spacing w:before="65"/>
              <w:ind w:left="286"/>
              <w:rPr>
                <w:i/>
                <w:sz w:val="22"/>
              </w:rPr>
            </w:pPr>
            <w:r>
              <w:rPr>
                <w:i/>
                <w:w w:val="95"/>
                <w:sz w:val="22"/>
              </w:rPr>
              <w:t>脑中风后遗</w:t>
            </w:r>
          </w:p>
        </w:tc>
        <w:tc>
          <w:tcPr>
            <w:tcW w:w="7550" w:type="dxa"/>
          </w:tcPr>
          <w:p>
            <w:pPr>
              <w:pStyle w:val="TableParagraph"/>
              <w:spacing w:before="77"/>
              <w:ind w:left="90"/>
              <w:rPr>
                <w:sz w:val="21"/>
              </w:rPr>
            </w:pPr>
            <w:r>
              <w:rPr>
                <w:sz w:val="21"/>
              </w:rPr>
              <w:t>指因脑血管的突发病变引起脑血管出血、栓塞或梗塞，并导致神经系统永久性的</w:t>
            </w:r>
          </w:p>
        </w:tc>
      </w:tr>
      <w:tr>
        <w:trPr>
          <w:trHeight w:val="316" w:hRule="atLeast"/>
        </w:trPr>
        <w:tc>
          <w:tcPr>
            <w:tcW w:w="865" w:type="dxa"/>
          </w:tcPr>
          <w:p>
            <w:pPr>
              <w:pStyle w:val="TableParagraph"/>
              <w:rPr>
                <w:rFonts w:ascii="Times New Roman"/>
                <w:sz w:val="20"/>
              </w:rPr>
            </w:pPr>
          </w:p>
        </w:tc>
        <w:tc>
          <w:tcPr>
            <w:tcW w:w="1613" w:type="dxa"/>
          </w:tcPr>
          <w:p>
            <w:pPr>
              <w:pStyle w:val="TableParagraph"/>
              <w:spacing w:line="267" w:lineRule="exact"/>
              <w:ind w:left="286"/>
              <w:rPr>
                <w:i/>
                <w:sz w:val="22"/>
              </w:rPr>
            </w:pPr>
            <w:r>
              <w:rPr>
                <w:i/>
                <w:w w:val="95"/>
                <w:sz w:val="22"/>
              </w:rPr>
              <w:t>症</w:t>
            </w:r>
          </w:p>
        </w:tc>
        <w:tc>
          <w:tcPr>
            <w:tcW w:w="7550" w:type="dxa"/>
          </w:tcPr>
          <w:p>
            <w:pPr>
              <w:pStyle w:val="TableParagraph"/>
              <w:spacing w:line="266" w:lineRule="exact"/>
              <w:ind w:left="90"/>
              <w:rPr>
                <w:sz w:val="21"/>
              </w:rPr>
            </w:pPr>
            <w:r>
              <w:rPr>
                <w:sz w:val="21"/>
              </w:rPr>
              <w:t>功能障碍。神经系统永久性的功能障碍，指疾病确诊 180 天后，仍遗留下列一种</w:t>
            </w:r>
          </w:p>
        </w:tc>
      </w:tr>
      <w:tr>
        <w:trPr>
          <w:trHeight w:val="311" w:hRule="atLeast"/>
        </w:trPr>
        <w:tc>
          <w:tcPr>
            <w:tcW w:w="865" w:type="dxa"/>
          </w:tcPr>
          <w:p>
            <w:pPr>
              <w:pStyle w:val="TableParagraph"/>
              <w:rPr>
                <w:rFonts w:ascii="Times New Roman"/>
                <w:sz w:val="20"/>
              </w:rPr>
            </w:pPr>
          </w:p>
        </w:tc>
        <w:tc>
          <w:tcPr>
            <w:tcW w:w="1613" w:type="dxa"/>
          </w:tcPr>
          <w:p>
            <w:pPr>
              <w:pStyle w:val="TableParagraph"/>
              <w:rPr>
                <w:rFonts w:ascii="Times New Roman"/>
                <w:sz w:val="20"/>
              </w:rPr>
            </w:pPr>
          </w:p>
        </w:tc>
        <w:tc>
          <w:tcPr>
            <w:tcW w:w="7550" w:type="dxa"/>
          </w:tcPr>
          <w:p>
            <w:pPr>
              <w:pStyle w:val="TableParagraph"/>
              <w:spacing w:line="261" w:lineRule="exact"/>
              <w:ind w:left="90"/>
              <w:rPr>
                <w:sz w:val="21"/>
              </w:rPr>
            </w:pPr>
            <w:r>
              <w:rPr>
                <w:sz w:val="21"/>
              </w:rPr>
              <w:t>或一种以上障碍：</w:t>
            </w:r>
          </w:p>
        </w:tc>
      </w:tr>
      <w:tr>
        <w:trPr>
          <w:trHeight w:val="311" w:hRule="atLeast"/>
        </w:trPr>
        <w:tc>
          <w:tcPr>
            <w:tcW w:w="865" w:type="dxa"/>
          </w:tcPr>
          <w:p>
            <w:pPr>
              <w:pStyle w:val="TableParagraph"/>
              <w:rPr>
                <w:rFonts w:ascii="Times New Roman"/>
                <w:sz w:val="20"/>
              </w:rPr>
            </w:pPr>
          </w:p>
        </w:tc>
        <w:tc>
          <w:tcPr>
            <w:tcW w:w="1613" w:type="dxa"/>
          </w:tcPr>
          <w:p>
            <w:pPr>
              <w:pStyle w:val="TableParagraph"/>
              <w:rPr>
                <w:rFonts w:ascii="Times New Roman"/>
                <w:sz w:val="20"/>
              </w:rPr>
            </w:pPr>
          </w:p>
        </w:tc>
        <w:tc>
          <w:tcPr>
            <w:tcW w:w="7550" w:type="dxa"/>
          </w:tcPr>
          <w:p>
            <w:pPr>
              <w:pStyle w:val="TableParagraph"/>
              <w:spacing w:line="261" w:lineRule="exact"/>
              <w:ind w:left="90"/>
              <w:rPr>
                <w:sz w:val="21"/>
              </w:rPr>
            </w:pPr>
            <w:r>
              <w:rPr>
                <w:w w:val="100"/>
                <w:sz w:val="21"/>
              </w:rPr>
              <w:t>（1</w:t>
            </w:r>
            <w:r>
              <w:rPr>
                <w:spacing w:val="-3"/>
                <w:w w:val="100"/>
                <w:sz w:val="21"/>
              </w:rPr>
              <w:t>）一肢或一肢以上</w:t>
            </w:r>
            <w:r>
              <w:rPr>
                <w:b/>
                <w:w w:val="100"/>
                <w:sz w:val="21"/>
              </w:rPr>
              <w:t>肢体机能完全丧失</w:t>
            </w:r>
            <w:r>
              <w:rPr>
                <w:spacing w:val="-3"/>
                <w:w w:val="100"/>
                <w:sz w:val="21"/>
              </w:rPr>
              <w:t>（</w:t>
            </w:r>
            <w:r>
              <w:rPr>
                <w:w w:val="100"/>
                <w:sz w:val="21"/>
              </w:rPr>
              <w:t>见</w:t>
            </w:r>
            <w:r>
              <w:rPr>
                <w:spacing w:val="-53"/>
                <w:sz w:val="21"/>
              </w:rPr>
              <w:t> </w:t>
            </w:r>
            <w:r>
              <w:rPr>
                <w:spacing w:val="-3"/>
                <w:w w:val="100"/>
                <w:sz w:val="21"/>
              </w:rPr>
              <w:t>1</w:t>
            </w:r>
            <w:r>
              <w:rPr>
                <w:w w:val="100"/>
                <w:sz w:val="21"/>
              </w:rPr>
              <w:t>1.1</w:t>
            </w:r>
            <w:r>
              <w:rPr>
                <w:spacing w:val="-1"/>
                <w:w w:val="100"/>
                <w:sz w:val="21"/>
              </w:rPr>
              <w:t>4</w:t>
            </w:r>
            <w:r>
              <w:rPr>
                <w:spacing w:val="-108"/>
                <w:w w:val="100"/>
                <w:sz w:val="21"/>
              </w:rPr>
              <w:t>）</w:t>
            </w:r>
            <w:r>
              <w:rPr>
                <w:w w:val="100"/>
                <w:sz w:val="21"/>
              </w:rPr>
              <w:t>；</w:t>
            </w:r>
          </w:p>
        </w:tc>
      </w:tr>
      <w:tr>
        <w:trPr>
          <w:trHeight w:val="301" w:hRule="atLeast"/>
        </w:trPr>
        <w:tc>
          <w:tcPr>
            <w:tcW w:w="865" w:type="dxa"/>
          </w:tcPr>
          <w:p>
            <w:pPr>
              <w:pStyle w:val="TableParagraph"/>
              <w:rPr>
                <w:rFonts w:ascii="Times New Roman"/>
                <w:sz w:val="20"/>
              </w:rPr>
            </w:pPr>
          </w:p>
        </w:tc>
        <w:tc>
          <w:tcPr>
            <w:tcW w:w="1613" w:type="dxa"/>
          </w:tcPr>
          <w:p>
            <w:pPr>
              <w:pStyle w:val="TableParagraph"/>
              <w:rPr>
                <w:rFonts w:ascii="Times New Roman"/>
                <w:sz w:val="20"/>
              </w:rPr>
            </w:pPr>
          </w:p>
        </w:tc>
        <w:tc>
          <w:tcPr>
            <w:tcW w:w="7550" w:type="dxa"/>
          </w:tcPr>
          <w:p>
            <w:pPr>
              <w:pStyle w:val="TableParagraph"/>
              <w:spacing w:line="261" w:lineRule="exact"/>
              <w:ind w:left="90"/>
              <w:rPr>
                <w:sz w:val="21"/>
              </w:rPr>
            </w:pPr>
            <w:r>
              <w:rPr>
                <w:w w:val="100"/>
                <w:sz w:val="21"/>
              </w:rPr>
              <w:t>（2</w:t>
            </w:r>
            <w:r>
              <w:rPr>
                <w:spacing w:val="-2"/>
                <w:w w:val="100"/>
                <w:sz w:val="21"/>
              </w:rPr>
              <w:t>）</w:t>
            </w:r>
            <w:r>
              <w:rPr>
                <w:b/>
                <w:spacing w:val="-2"/>
                <w:w w:val="100"/>
                <w:sz w:val="21"/>
              </w:rPr>
              <w:t>语言能力或咀嚼吞咽能力完全丧失</w:t>
            </w:r>
            <w:r>
              <w:rPr>
                <w:spacing w:val="-3"/>
                <w:w w:val="100"/>
                <w:sz w:val="21"/>
              </w:rPr>
              <w:t>（</w:t>
            </w:r>
            <w:r>
              <w:rPr>
                <w:w w:val="100"/>
                <w:sz w:val="21"/>
              </w:rPr>
              <w:t>见</w:t>
            </w:r>
            <w:r>
              <w:rPr>
                <w:spacing w:val="-53"/>
                <w:sz w:val="21"/>
              </w:rPr>
              <w:t> </w:t>
            </w:r>
            <w:r>
              <w:rPr>
                <w:spacing w:val="-3"/>
                <w:w w:val="100"/>
                <w:sz w:val="21"/>
              </w:rPr>
              <w:t>1</w:t>
            </w:r>
            <w:r>
              <w:rPr>
                <w:w w:val="100"/>
                <w:sz w:val="21"/>
              </w:rPr>
              <w:t>1.</w:t>
            </w:r>
            <w:r>
              <w:rPr>
                <w:spacing w:val="-1"/>
                <w:w w:val="100"/>
                <w:sz w:val="21"/>
              </w:rPr>
              <w:t>1</w:t>
            </w:r>
            <w:r>
              <w:rPr>
                <w:w w:val="100"/>
                <w:sz w:val="21"/>
              </w:rPr>
              <w:t>5</w:t>
            </w:r>
            <w:r>
              <w:rPr>
                <w:spacing w:val="-108"/>
                <w:w w:val="100"/>
                <w:sz w:val="21"/>
              </w:rPr>
              <w:t>）</w:t>
            </w:r>
            <w:r>
              <w:rPr>
                <w:w w:val="100"/>
                <w:sz w:val="21"/>
              </w:rPr>
              <w:t>；</w:t>
            </w:r>
          </w:p>
        </w:tc>
      </w:tr>
      <w:tr>
        <w:trPr>
          <w:trHeight w:val="644" w:hRule="atLeast"/>
        </w:trPr>
        <w:tc>
          <w:tcPr>
            <w:tcW w:w="865" w:type="dxa"/>
          </w:tcPr>
          <w:p>
            <w:pPr>
              <w:pStyle w:val="TableParagraph"/>
              <w:rPr>
                <w:rFonts w:ascii="Times New Roman"/>
                <w:sz w:val="20"/>
              </w:rPr>
            </w:pPr>
          </w:p>
        </w:tc>
        <w:tc>
          <w:tcPr>
            <w:tcW w:w="1613" w:type="dxa"/>
          </w:tcPr>
          <w:p>
            <w:pPr>
              <w:pStyle w:val="TableParagraph"/>
              <w:rPr>
                <w:rFonts w:ascii="Times New Roman"/>
                <w:sz w:val="20"/>
              </w:rPr>
            </w:pPr>
          </w:p>
        </w:tc>
        <w:tc>
          <w:tcPr>
            <w:tcW w:w="7550" w:type="dxa"/>
          </w:tcPr>
          <w:p>
            <w:pPr>
              <w:pStyle w:val="TableParagraph"/>
              <w:spacing w:line="272" w:lineRule="exact" w:before="3"/>
              <w:ind w:left="90" w:right="51"/>
              <w:rPr>
                <w:sz w:val="21"/>
              </w:rPr>
            </w:pPr>
            <w:r>
              <w:rPr>
                <w:sz w:val="21"/>
              </w:rPr>
              <w:t>（3）</w:t>
            </w:r>
            <w:r>
              <w:rPr>
                <w:spacing w:val="-3"/>
                <w:sz w:val="21"/>
              </w:rPr>
              <w:t>自主生活能力完全丧失，无法独立完成</w:t>
            </w:r>
            <w:r>
              <w:rPr>
                <w:b/>
                <w:sz w:val="21"/>
              </w:rPr>
              <w:t>六项基本日常生活活动</w:t>
            </w:r>
            <w:r>
              <w:rPr>
                <w:spacing w:val="-3"/>
                <w:sz w:val="21"/>
              </w:rPr>
              <w:t>（</w:t>
            </w:r>
            <w:r>
              <w:rPr>
                <w:spacing w:val="-19"/>
                <w:sz w:val="21"/>
              </w:rPr>
              <w:t>见 </w:t>
            </w:r>
            <w:r>
              <w:rPr>
                <w:sz w:val="21"/>
              </w:rPr>
              <w:t>11.16） </w:t>
            </w:r>
            <w:r>
              <w:rPr>
                <w:spacing w:val="-3"/>
                <w:sz w:val="21"/>
              </w:rPr>
              <w:t>中的三项或三项以上。</w:t>
            </w:r>
          </w:p>
        </w:tc>
      </w:tr>
      <w:tr>
        <w:trPr>
          <w:trHeight w:val="389" w:hRule="atLeast"/>
        </w:trPr>
        <w:tc>
          <w:tcPr>
            <w:tcW w:w="865" w:type="dxa"/>
          </w:tcPr>
          <w:p>
            <w:pPr>
              <w:pStyle w:val="TableParagraph"/>
              <w:spacing w:before="56"/>
              <w:ind w:left="50"/>
              <w:rPr>
                <w:i/>
                <w:sz w:val="22"/>
              </w:rPr>
            </w:pPr>
            <w:r>
              <w:rPr>
                <w:i/>
                <w:sz w:val="22"/>
              </w:rPr>
              <w:t>3.2.4</w:t>
            </w:r>
          </w:p>
        </w:tc>
        <w:tc>
          <w:tcPr>
            <w:tcW w:w="1613" w:type="dxa"/>
          </w:tcPr>
          <w:p>
            <w:pPr>
              <w:pStyle w:val="TableParagraph"/>
              <w:spacing w:before="56"/>
              <w:ind w:left="286"/>
              <w:rPr>
                <w:i/>
                <w:sz w:val="22"/>
              </w:rPr>
            </w:pPr>
            <w:r>
              <w:rPr>
                <w:i/>
                <w:w w:val="95"/>
                <w:sz w:val="22"/>
              </w:rPr>
              <w:t>重大器官移</w:t>
            </w:r>
          </w:p>
        </w:tc>
        <w:tc>
          <w:tcPr>
            <w:tcW w:w="7550" w:type="dxa"/>
          </w:tcPr>
          <w:p>
            <w:pPr>
              <w:pStyle w:val="TableParagraph"/>
              <w:spacing w:before="68"/>
              <w:ind w:left="90"/>
              <w:rPr>
                <w:sz w:val="21"/>
              </w:rPr>
            </w:pPr>
            <w:r>
              <w:rPr>
                <w:sz w:val="21"/>
              </w:rPr>
              <w:t>重大器官移植术，指因相应器官功能衰竭，已经实施了肾脏、肝脏、心脏或肺脏</w:t>
            </w:r>
          </w:p>
        </w:tc>
      </w:tr>
      <w:tr>
        <w:trPr>
          <w:trHeight w:val="312" w:hRule="atLeast"/>
        </w:trPr>
        <w:tc>
          <w:tcPr>
            <w:tcW w:w="865" w:type="dxa"/>
          </w:tcPr>
          <w:p>
            <w:pPr>
              <w:pStyle w:val="TableParagraph"/>
              <w:rPr>
                <w:rFonts w:ascii="Times New Roman"/>
                <w:sz w:val="20"/>
              </w:rPr>
            </w:pPr>
          </w:p>
        </w:tc>
        <w:tc>
          <w:tcPr>
            <w:tcW w:w="1613" w:type="dxa"/>
          </w:tcPr>
          <w:p>
            <w:pPr>
              <w:pStyle w:val="TableParagraph"/>
              <w:spacing w:line="267" w:lineRule="exact"/>
              <w:ind w:left="286"/>
              <w:rPr>
                <w:i/>
                <w:sz w:val="22"/>
              </w:rPr>
            </w:pPr>
            <w:r>
              <w:rPr>
                <w:i/>
                <w:w w:val="95"/>
                <w:sz w:val="22"/>
              </w:rPr>
              <w:t>植术或造血</w:t>
            </w:r>
          </w:p>
        </w:tc>
        <w:tc>
          <w:tcPr>
            <w:tcW w:w="7550" w:type="dxa"/>
          </w:tcPr>
          <w:p>
            <w:pPr>
              <w:pStyle w:val="TableParagraph"/>
              <w:spacing w:line="266" w:lineRule="exact"/>
              <w:ind w:left="90"/>
              <w:rPr>
                <w:sz w:val="21"/>
              </w:rPr>
            </w:pPr>
            <w:r>
              <w:rPr>
                <w:sz w:val="21"/>
              </w:rPr>
              <w:t>的异体移植手术。</w:t>
            </w:r>
          </w:p>
        </w:tc>
      </w:tr>
      <w:tr>
        <w:trPr>
          <w:trHeight w:val="312" w:hRule="atLeast"/>
        </w:trPr>
        <w:tc>
          <w:tcPr>
            <w:tcW w:w="865" w:type="dxa"/>
          </w:tcPr>
          <w:p>
            <w:pPr>
              <w:pStyle w:val="TableParagraph"/>
              <w:rPr>
                <w:rFonts w:ascii="Times New Roman"/>
                <w:sz w:val="20"/>
              </w:rPr>
            </w:pPr>
          </w:p>
        </w:tc>
        <w:tc>
          <w:tcPr>
            <w:tcW w:w="1613" w:type="dxa"/>
          </w:tcPr>
          <w:p>
            <w:pPr>
              <w:pStyle w:val="TableParagraph"/>
              <w:spacing w:line="267" w:lineRule="exact"/>
              <w:ind w:left="286"/>
              <w:rPr>
                <w:i/>
                <w:sz w:val="22"/>
              </w:rPr>
            </w:pPr>
            <w:r>
              <w:rPr>
                <w:i/>
                <w:w w:val="95"/>
                <w:sz w:val="22"/>
              </w:rPr>
              <w:t>干细胞移植</w:t>
            </w:r>
          </w:p>
        </w:tc>
        <w:tc>
          <w:tcPr>
            <w:tcW w:w="7550" w:type="dxa"/>
          </w:tcPr>
          <w:p>
            <w:pPr>
              <w:pStyle w:val="TableParagraph"/>
              <w:spacing w:line="266" w:lineRule="exact"/>
              <w:ind w:left="90"/>
              <w:rPr>
                <w:sz w:val="21"/>
              </w:rPr>
            </w:pPr>
            <w:r>
              <w:rPr>
                <w:sz w:val="21"/>
              </w:rPr>
              <w:t>造血干细胞移植术，指因造血功能损害或造血系统恶性肿瘤，已经实施了造血干</w:t>
            </w:r>
          </w:p>
        </w:tc>
      </w:tr>
      <w:tr>
        <w:trPr>
          <w:trHeight w:val="316" w:hRule="atLeast"/>
        </w:trPr>
        <w:tc>
          <w:tcPr>
            <w:tcW w:w="865" w:type="dxa"/>
          </w:tcPr>
          <w:p>
            <w:pPr>
              <w:pStyle w:val="TableParagraph"/>
              <w:rPr>
                <w:rFonts w:ascii="Times New Roman"/>
                <w:sz w:val="20"/>
              </w:rPr>
            </w:pPr>
          </w:p>
        </w:tc>
        <w:tc>
          <w:tcPr>
            <w:tcW w:w="1613" w:type="dxa"/>
          </w:tcPr>
          <w:p>
            <w:pPr>
              <w:pStyle w:val="TableParagraph"/>
              <w:spacing w:line="267" w:lineRule="exact"/>
              <w:ind w:left="286"/>
              <w:rPr>
                <w:i/>
                <w:sz w:val="22"/>
              </w:rPr>
            </w:pPr>
            <w:r>
              <w:rPr>
                <w:i/>
                <w:w w:val="95"/>
                <w:sz w:val="22"/>
              </w:rPr>
              <w:t>术</w:t>
            </w:r>
          </w:p>
        </w:tc>
        <w:tc>
          <w:tcPr>
            <w:tcW w:w="7550" w:type="dxa"/>
          </w:tcPr>
          <w:p>
            <w:pPr>
              <w:pStyle w:val="TableParagraph"/>
              <w:spacing w:line="266" w:lineRule="exact"/>
              <w:ind w:left="90"/>
              <w:rPr>
                <w:sz w:val="21"/>
              </w:rPr>
            </w:pPr>
            <w:r>
              <w:rPr>
                <w:sz w:val="21"/>
              </w:rPr>
              <w:t>细胞（包括骨髓造血干细胞、外周血造血干细胞和脐血造血干细胞）的异体移植</w:t>
            </w:r>
          </w:p>
        </w:tc>
      </w:tr>
      <w:tr>
        <w:trPr>
          <w:trHeight w:val="390" w:hRule="atLeast"/>
        </w:trPr>
        <w:tc>
          <w:tcPr>
            <w:tcW w:w="865" w:type="dxa"/>
          </w:tcPr>
          <w:p>
            <w:pPr>
              <w:pStyle w:val="TableParagraph"/>
              <w:rPr>
                <w:rFonts w:ascii="Times New Roman"/>
                <w:sz w:val="20"/>
              </w:rPr>
            </w:pPr>
          </w:p>
        </w:tc>
        <w:tc>
          <w:tcPr>
            <w:tcW w:w="1613" w:type="dxa"/>
          </w:tcPr>
          <w:p>
            <w:pPr>
              <w:pStyle w:val="TableParagraph"/>
              <w:rPr>
                <w:rFonts w:ascii="Times New Roman"/>
                <w:sz w:val="20"/>
              </w:rPr>
            </w:pPr>
          </w:p>
        </w:tc>
        <w:tc>
          <w:tcPr>
            <w:tcW w:w="7550" w:type="dxa"/>
          </w:tcPr>
          <w:p>
            <w:pPr>
              <w:pStyle w:val="TableParagraph"/>
              <w:spacing w:line="261" w:lineRule="exact"/>
              <w:ind w:left="90"/>
              <w:rPr>
                <w:sz w:val="21"/>
              </w:rPr>
            </w:pPr>
            <w:r>
              <w:rPr>
                <w:sz w:val="21"/>
              </w:rPr>
              <w:t>手术。</w:t>
            </w:r>
          </w:p>
        </w:tc>
      </w:tr>
      <w:tr>
        <w:trPr>
          <w:trHeight w:val="396" w:hRule="atLeast"/>
        </w:trPr>
        <w:tc>
          <w:tcPr>
            <w:tcW w:w="865" w:type="dxa"/>
          </w:tcPr>
          <w:p>
            <w:pPr>
              <w:pStyle w:val="TableParagraph"/>
              <w:spacing w:before="64"/>
              <w:ind w:left="50"/>
              <w:rPr>
                <w:i/>
                <w:sz w:val="22"/>
              </w:rPr>
            </w:pPr>
            <w:r>
              <w:rPr>
                <w:i/>
                <w:sz w:val="22"/>
              </w:rPr>
              <w:t>3.2.5</w:t>
            </w:r>
          </w:p>
        </w:tc>
        <w:tc>
          <w:tcPr>
            <w:tcW w:w="1613" w:type="dxa"/>
          </w:tcPr>
          <w:p>
            <w:pPr>
              <w:pStyle w:val="TableParagraph"/>
              <w:spacing w:before="64"/>
              <w:ind w:left="286"/>
              <w:rPr>
                <w:i/>
                <w:sz w:val="22"/>
              </w:rPr>
            </w:pPr>
            <w:r>
              <w:rPr>
                <w:i/>
                <w:w w:val="95"/>
                <w:sz w:val="22"/>
              </w:rPr>
              <w:t>冠状动脉搭</w:t>
            </w:r>
          </w:p>
        </w:tc>
        <w:tc>
          <w:tcPr>
            <w:tcW w:w="7550" w:type="dxa"/>
          </w:tcPr>
          <w:p>
            <w:pPr>
              <w:pStyle w:val="TableParagraph"/>
              <w:spacing w:before="75"/>
              <w:ind w:left="90"/>
              <w:rPr>
                <w:sz w:val="21"/>
              </w:rPr>
            </w:pPr>
            <w:r>
              <w:rPr>
                <w:sz w:val="21"/>
              </w:rPr>
              <w:t>指为治疗严重的冠心病，实际实施了开胸进行的冠状动脉血管旁路移植的手术。</w:t>
            </w:r>
          </w:p>
        </w:tc>
      </w:tr>
      <w:tr>
        <w:trPr>
          <w:trHeight w:val="319" w:hRule="atLeast"/>
        </w:trPr>
        <w:tc>
          <w:tcPr>
            <w:tcW w:w="865" w:type="dxa"/>
          </w:tcPr>
          <w:p>
            <w:pPr>
              <w:pStyle w:val="TableParagraph"/>
              <w:rPr>
                <w:rFonts w:ascii="Times New Roman"/>
                <w:sz w:val="20"/>
              </w:rPr>
            </w:pPr>
          </w:p>
        </w:tc>
        <w:tc>
          <w:tcPr>
            <w:tcW w:w="1613" w:type="dxa"/>
          </w:tcPr>
          <w:p>
            <w:pPr>
              <w:pStyle w:val="TableParagraph"/>
              <w:spacing w:line="267" w:lineRule="exact"/>
              <w:ind w:left="286"/>
              <w:rPr>
                <w:i/>
                <w:sz w:val="22"/>
              </w:rPr>
            </w:pPr>
            <w:r>
              <w:rPr>
                <w:i/>
                <w:w w:val="95"/>
                <w:sz w:val="22"/>
              </w:rPr>
              <w:t>桥术（或称冠</w:t>
            </w:r>
          </w:p>
        </w:tc>
        <w:tc>
          <w:tcPr>
            <w:tcW w:w="7550" w:type="dxa"/>
          </w:tcPr>
          <w:p>
            <w:pPr>
              <w:pStyle w:val="TableParagraph"/>
              <w:spacing w:line="266" w:lineRule="exact"/>
              <w:ind w:left="90"/>
              <w:rPr>
                <w:sz w:val="21"/>
              </w:rPr>
            </w:pPr>
            <w:r>
              <w:rPr>
                <w:rFonts w:ascii="Times New Roman" w:eastAsia="Times New Roman"/>
                <w:spacing w:val="-53"/>
                <w:w w:val="100"/>
                <w:sz w:val="21"/>
                <w:shd w:fill="D9D9D9" w:color="auto" w:val="clear"/>
              </w:rPr>
              <w:t> </w:t>
            </w:r>
            <w:r>
              <w:rPr>
                <w:spacing w:val="-8"/>
                <w:sz w:val="21"/>
                <w:shd w:fill="D9D9D9" w:color="auto" w:val="clear"/>
              </w:rPr>
              <w:t>冠状动脉支架植入术、心导管球囊扩张术、激光射频技术及其它非开胸的介入手</w:t>
            </w:r>
          </w:p>
        </w:tc>
      </w:tr>
      <w:tr>
        <w:trPr>
          <w:trHeight w:val="312" w:hRule="atLeast"/>
        </w:trPr>
        <w:tc>
          <w:tcPr>
            <w:tcW w:w="865" w:type="dxa"/>
          </w:tcPr>
          <w:p>
            <w:pPr>
              <w:pStyle w:val="TableParagraph"/>
              <w:rPr>
                <w:rFonts w:ascii="Times New Roman"/>
                <w:sz w:val="20"/>
              </w:rPr>
            </w:pPr>
          </w:p>
        </w:tc>
        <w:tc>
          <w:tcPr>
            <w:tcW w:w="1613" w:type="dxa"/>
          </w:tcPr>
          <w:p>
            <w:pPr>
              <w:pStyle w:val="TableParagraph"/>
              <w:spacing w:line="260" w:lineRule="exact"/>
              <w:ind w:left="286"/>
              <w:rPr>
                <w:i/>
                <w:sz w:val="22"/>
              </w:rPr>
            </w:pPr>
            <w:r>
              <w:rPr>
                <w:i/>
                <w:w w:val="95"/>
                <w:sz w:val="22"/>
              </w:rPr>
              <w:t>状动脉旁路</w:t>
            </w:r>
          </w:p>
        </w:tc>
        <w:tc>
          <w:tcPr>
            <w:tcW w:w="7550" w:type="dxa"/>
          </w:tcPr>
          <w:p>
            <w:pPr>
              <w:pStyle w:val="TableParagraph"/>
              <w:spacing w:line="258" w:lineRule="exact"/>
              <w:ind w:left="90"/>
              <w:rPr>
                <w:sz w:val="21"/>
              </w:rPr>
            </w:pPr>
            <w:r>
              <w:rPr>
                <w:rFonts w:ascii="Times New Roman" w:eastAsia="Times New Roman"/>
                <w:spacing w:val="-53"/>
                <w:w w:val="100"/>
                <w:sz w:val="21"/>
                <w:shd w:fill="D9D9D9" w:color="auto" w:val="clear"/>
              </w:rPr>
              <w:t> </w:t>
            </w:r>
            <w:r>
              <w:rPr>
                <w:spacing w:val="-3"/>
                <w:sz w:val="21"/>
                <w:shd w:fill="D9D9D9" w:color="auto" w:val="clear"/>
              </w:rPr>
              <w:t>术、腔镜手术不在保障范围内。</w:t>
            </w:r>
          </w:p>
        </w:tc>
      </w:tr>
      <w:tr>
        <w:trPr>
          <w:trHeight w:val="390" w:hRule="atLeast"/>
        </w:trPr>
        <w:tc>
          <w:tcPr>
            <w:tcW w:w="865" w:type="dxa"/>
          </w:tcPr>
          <w:p>
            <w:pPr>
              <w:pStyle w:val="TableParagraph"/>
              <w:rPr>
                <w:rFonts w:ascii="Times New Roman"/>
                <w:sz w:val="20"/>
              </w:rPr>
            </w:pPr>
          </w:p>
        </w:tc>
        <w:tc>
          <w:tcPr>
            <w:tcW w:w="1613" w:type="dxa"/>
          </w:tcPr>
          <w:p>
            <w:pPr>
              <w:pStyle w:val="TableParagraph"/>
              <w:spacing w:line="260" w:lineRule="exact"/>
              <w:ind w:left="286"/>
              <w:rPr>
                <w:i/>
                <w:sz w:val="22"/>
              </w:rPr>
            </w:pPr>
            <w:r>
              <w:rPr>
                <w:i/>
                <w:w w:val="95"/>
                <w:sz w:val="22"/>
              </w:rPr>
              <w:t>移植术）</w:t>
            </w:r>
          </w:p>
        </w:tc>
        <w:tc>
          <w:tcPr>
            <w:tcW w:w="7550" w:type="dxa"/>
          </w:tcPr>
          <w:p>
            <w:pPr>
              <w:pStyle w:val="TableParagraph"/>
              <w:rPr>
                <w:rFonts w:ascii="Times New Roman"/>
                <w:sz w:val="20"/>
              </w:rPr>
            </w:pPr>
          </w:p>
        </w:tc>
      </w:tr>
      <w:tr>
        <w:trPr>
          <w:trHeight w:val="397" w:hRule="atLeast"/>
        </w:trPr>
        <w:tc>
          <w:tcPr>
            <w:tcW w:w="865" w:type="dxa"/>
          </w:tcPr>
          <w:p>
            <w:pPr>
              <w:pStyle w:val="TableParagraph"/>
              <w:spacing w:before="64"/>
              <w:ind w:left="50"/>
              <w:rPr>
                <w:i/>
                <w:sz w:val="22"/>
              </w:rPr>
            </w:pPr>
            <w:r>
              <w:rPr>
                <w:i/>
                <w:sz w:val="22"/>
              </w:rPr>
              <w:t>3.2.6</w:t>
            </w:r>
          </w:p>
        </w:tc>
        <w:tc>
          <w:tcPr>
            <w:tcW w:w="1613" w:type="dxa"/>
          </w:tcPr>
          <w:p>
            <w:pPr>
              <w:pStyle w:val="TableParagraph"/>
              <w:spacing w:before="64"/>
              <w:ind w:left="286"/>
              <w:rPr>
                <w:i/>
                <w:sz w:val="22"/>
              </w:rPr>
            </w:pPr>
            <w:r>
              <w:rPr>
                <w:i/>
                <w:w w:val="95"/>
                <w:sz w:val="22"/>
              </w:rPr>
              <w:t>终末期肾病</w:t>
            </w:r>
          </w:p>
        </w:tc>
        <w:tc>
          <w:tcPr>
            <w:tcW w:w="7550" w:type="dxa"/>
          </w:tcPr>
          <w:p>
            <w:pPr>
              <w:pStyle w:val="TableParagraph"/>
              <w:spacing w:before="76"/>
              <w:ind w:left="90"/>
              <w:rPr>
                <w:sz w:val="21"/>
              </w:rPr>
            </w:pPr>
            <w:r>
              <w:rPr>
                <w:sz w:val="21"/>
              </w:rPr>
              <w:t>指双肾功能慢性不可逆性衰竭，达到尿毒症期，经诊断后已经进行了至少 90 天</w:t>
            </w:r>
          </w:p>
        </w:tc>
      </w:tr>
      <w:tr>
        <w:trPr>
          <w:trHeight w:val="311" w:hRule="atLeast"/>
        </w:trPr>
        <w:tc>
          <w:tcPr>
            <w:tcW w:w="865" w:type="dxa"/>
          </w:tcPr>
          <w:p>
            <w:pPr>
              <w:pStyle w:val="TableParagraph"/>
              <w:rPr>
                <w:rFonts w:ascii="Times New Roman"/>
                <w:sz w:val="20"/>
              </w:rPr>
            </w:pPr>
          </w:p>
        </w:tc>
        <w:tc>
          <w:tcPr>
            <w:tcW w:w="1613" w:type="dxa"/>
          </w:tcPr>
          <w:p>
            <w:pPr>
              <w:pStyle w:val="TableParagraph"/>
              <w:spacing w:line="267" w:lineRule="exact"/>
              <w:ind w:left="286"/>
              <w:rPr>
                <w:i/>
                <w:sz w:val="22"/>
              </w:rPr>
            </w:pPr>
            <w:r>
              <w:rPr>
                <w:i/>
                <w:w w:val="95"/>
                <w:sz w:val="22"/>
              </w:rPr>
              <w:t>（ 或称慢性</w:t>
            </w:r>
          </w:p>
        </w:tc>
        <w:tc>
          <w:tcPr>
            <w:tcW w:w="7550" w:type="dxa"/>
          </w:tcPr>
          <w:p>
            <w:pPr>
              <w:pStyle w:val="TableParagraph"/>
              <w:spacing w:line="266" w:lineRule="exact"/>
              <w:ind w:left="90"/>
              <w:rPr>
                <w:sz w:val="21"/>
              </w:rPr>
            </w:pPr>
            <w:r>
              <w:rPr>
                <w:sz w:val="21"/>
              </w:rPr>
              <w:t>的规律性透析治疗或实施了肾脏移植手术。</w:t>
            </w:r>
          </w:p>
        </w:tc>
      </w:tr>
      <w:tr>
        <w:trPr>
          <w:trHeight w:val="312" w:hRule="atLeast"/>
        </w:trPr>
        <w:tc>
          <w:tcPr>
            <w:tcW w:w="865" w:type="dxa"/>
          </w:tcPr>
          <w:p>
            <w:pPr>
              <w:pStyle w:val="TableParagraph"/>
              <w:rPr>
                <w:rFonts w:ascii="Times New Roman"/>
                <w:sz w:val="20"/>
              </w:rPr>
            </w:pPr>
          </w:p>
        </w:tc>
        <w:tc>
          <w:tcPr>
            <w:tcW w:w="1613" w:type="dxa"/>
          </w:tcPr>
          <w:p>
            <w:pPr>
              <w:pStyle w:val="TableParagraph"/>
              <w:spacing w:line="267" w:lineRule="exact"/>
              <w:ind w:left="286"/>
              <w:rPr>
                <w:i/>
                <w:sz w:val="22"/>
              </w:rPr>
            </w:pPr>
            <w:r>
              <w:rPr>
                <w:i/>
                <w:w w:val="95"/>
                <w:sz w:val="22"/>
              </w:rPr>
              <w:t>肾功能衰竭</w:t>
            </w:r>
          </w:p>
        </w:tc>
        <w:tc>
          <w:tcPr>
            <w:tcW w:w="7550" w:type="dxa"/>
          </w:tcPr>
          <w:p>
            <w:pPr>
              <w:pStyle w:val="TableParagraph"/>
              <w:rPr>
                <w:rFonts w:ascii="Times New Roman"/>
                <w:sz w:val="20"/>
              </w:rPr>
            </w:pPr>
          </w:p>
        </w:tc>
      </w:tr>
      <w:tr>
        <w:trPr>
          <w:trHeight w:val="397" w:hRule="atLeast"/>
        </w:trPr>
        <w:tc>
          <w:tcPr>
            <w:tcW w:w="865" w:type="dxa"/>
          </w:tcPr>
          <w:p>
            <w:pPr>
              <w:pStyle w:val="TableParagraph"/>
              <w:rPr>
                <w:rFonts w:ascii="Times New Roman"/>
                <w:sz w:val="20"/>
              </w:rPr>
            </w:pPr>
          </w:p>
        </w:tc>
        <w:tc>
          <w:tcPr>
            <w:tcW w:w="1613" w:type="dxa"/>
          </w:tcPr>
          <w:p>
            <w:pPr>
              <w:pStyle w:val="TableParagraph"/>
              <w:spacing w:line="267" w:lineRule="exact"/>
              <w:ind w:left="286"/>
              <w:rPr>
                <w:i/>
                <w:sz w:val="22"/>
              </w:rPr>
            </w:pPr>
            <w:r>
              <w:rPr>
                <w:i/>
                <w:w w:val="95"/>
                <w:sz w:val="22"/>
              </w:rPr>
              <w:t>尿毒症期）</w:t>
            </w:r>
          </w:p>
        </w:tc>
        <w:tc>
          <w:tcPr>
            <w:tcW w:w="7550" w:type="dxa"/>
          </w:tcPr>
          <w:p>
            <w:pPr>
              <w:pStyle w:val="TableParagraph"/>
              <w:rPr>
                <w:rFonts w:ascii="Times New Roman"/>
                <w:sz w:val="20"/>
              </w:rPr>
            </w:pPr>
          </w:p>
        </w:tc>
      </w:tr>
      <w:tr>
        <w:trPr>
          <w:trHeight w:val="352" w:hRule="atLeast"/>
        </w:trPr>
        <w:tc>
          <w:tcPr>
            <w:tcW w:w="865" w:type="dxa"/>
          </w:tcPr>
          <w:p>
            <w:pPr>
              <w:pStyle w:val="TableParagraph"/>
              <w:spacing w:line="268" w:lineRule="exact" w:before="64"/>
              <w:ind w:left="50"/>
              <w:rPr>
                <w:i/>
                <w:sz w:val="22"/>
              </w:rPr>
            </w:pPr>
            <w:r>
              <w:rPr>
                <w:i/>
                <w:sz w:val="22"/>
              </w:rPr>
              <w:t>3.2.7</w:t>
            </w:r>
          </w:p>
        </w:tc>
        <w:tc>
          <w:tcPr>
            <w:tcW w:w="1613" w:type="dxa"/>
          </w:tcPr>
          <w:p>
            <w:pPr>
              <w:pStyle w:val="TableParagraph"/>
              <w:spacing w:line="268" w:lineRule="exact" w:before="64"/>
              <w:ind w:left="286"/>
              <w:rPr>
                <w:i/>
                <w:sz w:val="22"/>
              </w:rPr>
            </w:pPr>
            <w:r>
              <w:rPr>
                <w:i/>
                <w:w w:val="95"/>
                <w:sz w:val="22"/>
              </w:rPr>
              <w:t>多个肢体缺</w:t>
            </w:r>
          </w:p>
        </w:tc>
        <w:tc>
          <w:tcPr>
            <w:tcW w:w="7550" w:type="dxa"/>
          </w:tcPr>
          <w:p>
            <w:pPr>
              <w:pStyle w:val="TableParagraph"/>
              <w:spacing w:line="257" w:lineRule="exact" w:before="76"/>
              <w:ind w:left="90"/>
              <w:rPr>
                <w:sz w:val="21"/>
              </w:rPr>
            </w:pPr>
            <w:r>
              <w:rPr>
                <w:sz w:val="21"/>
              </w:rPr>
              <w:t>指因疾病或意外伤害导致两个或两个以上肢体自腕关节或踝关节近端（靠近躯干</w:t>
            </w:r>
          </w:p>
        </w:tc>
      </w:tr>
    </w:tbl>
    <w:p>
      <w:pPr>
        <w:spacing w:after="0" w:line="257" w:lineRule="exact"/>
        <w:rPr>
          <w:sz w:val="21"/>
        </w:rPr>
        <w:sectPr>
          <w:pgSz w:w="11910" w:h="16840"/>
          <w:pgMar w:header="568" w:footer="0" w:top="800" w:bottom="280" w:left="860" w:right="800"/>
        </w:sectPr>
      </w:pPr>
    </w:p>
    <w:p>
      <w:pPr>
        <w:pStyle w:val="BodyText"/>
        <w:rPr>
          <w:rFonts w:ascii="Times New Roman"/>
          <w:sz w:val="20"/>
        </w:rPr>
      </w:pPr>
    </w:p>
    <w:p>
      <w:pPr>
        <w:pStyle w:val="BodyText"/>
        <w:spacing w:before="4"/>
        <w:rPr>
          <w:rFonts w:ascii="Times New Roman"/>
          <w:sz w:val="12"/>
        </w:r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68"/>
        <w:gridCol w:w="1543"/>
        <w:gridCol w:w="7718"/>
      </w:tblGrid>
      <w:tr>
        <w:trPr>
          <w:trHeight w:val="352" w:hRule="atLeast"/>
        </w:trPr>
        <w:tc>
          <w:tcPr>
            <w:tcW w:w="1068" w:type="dxa"/>
          </w:tcPr>
          <w:p>
            <w:pPr>
              <w:pStyle w:val="TableParagraph"/>
              <w:rPr>
                <w:rFonts w:ascii="Times New Roman"/>
                <w:sz w:val="20"/>
              </w:rPr>
            </w:pPr>
          </w:p>
        </w:tc>
        <w:tc>
          <w:tcPr>
            <w:tcW w:w="1543" w:type="dxa"/>
          </w:tcPr>
          <w:p>
            <w:pPr>
              <w:pStyle w:val="TableParagraph"/>
              <w:spacing w:line="222" w:lineRule="exact"/>
              <w:ind w:left="233"/>
              <w:rPr>
                <w:i/>
                <w:sz w:val="22"/>
              </w:rPr>
            </w:pPr>
            <w:r>
              <w:rPr>
                <w:i/>
                <w:w w:val="95"/>
                <w:sz w:val="22"/>
              </w:rPr>
              <w:t>失</w:t>
            </w:r>
          </w:p>
        </w:tc>
        <w:tc>
          <w:tcPr>
            <w:tcW w:w="7718" w:type="dxa"/>
          </w:tcPr>
          <w:p>
            <w:pPr>
              <w:pStyle w:val="TableParagraph"/>
              <w:spacing w:line="221" w:lineRule="exact"/>
              <w:ind w:left="106"/>
              <w:rPr>
                <w:sz w:val="21"/>
              </w:rPr>
            </w:pPr>
            <w:r>
              <w:rPr>
                <w:sz w:val="21"/>
              </w:rPr>
              <w:t>端）以上完全性断离。</w:t>
            </w:r>
          </w:p>
        </w:tc>
      </w:tr>
      <w:tr>
        <w:trPr>
          <w:trHeight w:val="2041" w:hRule="atLeast"/>
        </w:trPr>
        <w:tc>
          <w:tcPr>
            <w:tcW w:w="1068" w:type="dxa"/>
          </w:tcPr>
          <w:p>
            <w:pPr>
              <w:pStyle w:val="TableParagraph"/>
              <w:spacing w:before="64"/>
              <w:ind w:left="62" w:right="199"/>
              <w:jc w:val="center"/>
              <w:rPr>
                <w:i/>
                <w:sz w:val="22"/>
              </w:rPr>
            </w:pPr>
            <w:r>
              <w:rPr>
                <w:i/>
                <w:sz w:val="22"/>
              </w:rPr>
              <w:t>3.2.8</w:t>
            </w:r>
          </w:p>
        </w:tc>
        <w:tc>
          <w:tcPr>
            <w:tcW w:w="1543" w:type="dxa"/>
          </w:tcPr>
          <w:p>
            <w:pPr>
              <w:pStyle w:val="TableParagraph"/>
              <w:spacing w:line="259" w:lineRule="auto" w:before="64"/>
              <w:ind w:left="233" w:right="105"/>
              <w:rPr>
                <w:i/>
                <w:sz w:val="22"/>
              </w:rPr>
            </w:pPr>
            <w:r>
              <w:rPr>
                <w:i/>
                <w:w w:val="95"/>
                <w:sz w:val="22"/>
              </w:rPr>
              <w:t>急性或亚急性重症肝炎</w:t>
            </w:r>
          </w:p>
        </w:tc>
        <w:tc>
          <w:tcPr>
            <w:tcW w:w="7718" w:type="dxa"/>
          </w:tcPr>
          <w:p>
            <w:pPr>
              <w:pStyle w:val="TableParagraph"/>
              <w:spacing w:line="273" w:lineRule="auto" w:before="76"/>
              <w:ind w:left="106" w:right="304"/>
              <w:rPr>
                <w:sz w:val="21"/>
              </w:rPr>
            </w:pPr>
            <w:r>
              <w:rPr>
                <w:spacing w:val="-6"/>
                <w:sz w:val="21"/>
              </w:rPr>
              <w:t>指因肝炎病毒感染引起肝脏组织弥漫性坏死，导致急性肝功能衰竭，且经血清学</w:t>
            </w:r>
            <w:r>
              <w:rPr>
                <w:spacing w:val="-4"/>
                <w:sz w:val="21"/>
              </w:rPr>
              <w:t>或病毒学检查证实，并须满足下列全部条件：</w:t>
            </w:r>
          </w:p>
          <w:p>
            <w:pPr>
              <w:pStyle w:val="TableParagraph"/>
              <w:spacing w:before="7"/>
              <w:ind w:left="106"/>
              <w:rPr>
                <w:sz w:val="21"/>
              </w:rPr>
            </w:pPr>
            <w:r>
              <w:rPr>
                <w:sz w:val="21"/>
              </w:rPr>
              <w:t>（1）重度黄疸或黄疸迅速加重；</w:t>
            </w:r>
          </w:p>
          <w:p>
            <w:pPr>
              <w:pStyle w:val="TableParagraph"/>
              <w:spacing w:before="36"/>
              <w:ind w:left="106"/>
              <w:rPr>
                <w:sz w:val="21"/>
              </w:rPr>
            </w:pPr>
            <w:r>
              <w:rPr>
                <w:sz w:val="21"/>
              </w:rPr>
              <w:t>（2）肝性脑病；</w:t>
            </w:r>
          </w:p>
          <w:p>
            <w:pPr>
              <w:pStyle w:val="TableParagraph"/>
              <w:spacing w:before="36"/>
              <w:ind w:left="106"/>
              <w:rPr>
                <w:sz w:val="21"/>
              </w:rPr>
            </w:pPr>
            <w:r>
              <w:rPr>
                <w:sz w:val="21"/>
              </w:rPr>
              <w:t>（3）B 超或其它影像学检查显示肝脏体积急速萎缩；</w:t>
            </w:r>
          </w:p>
          <w:p>
            <w:pPr>
              <w:pStyle w:val="TableParagraph"/>
              <w:spacing w:before="36"/>
              <w:ind w:left="106"/>
              <w:rPr>
                <w:sz w:val="21"/>
              </w:rPr>
            </w:pPr>
            <w:r>
              <w:rPr>
                <w:sz w:val="21"/>
              </w:rPr>
              <w:t>（4）肝功能指标进行性恶化。</w:t>
            </w:r>
          </w:p>
        </w:tc>
      </w:tr>
      <w:tr>
        <w:trPr>
          <w:trHeight w:val="2355" w:hRule="atLeast"/>
        </w:trPr>
        <w:tc>
          <w:tcPr>
            <w:tcW w:w="1068" w:type="dxa"/>
          </w:tcPr>
          <w:p>
            <w:pPr>
              <w:pStyle w:val="TableParagraph"/>
              <w:spacing w:before="65"/>
              <w:ind w:left="62" w:right="199"/>
              <w:jc w:val="center"/>
              <w:rPr>
                <w:i/>
                <w:sz w:val="22"/>
              </w:rPr>
            </w:pPr>
            <w:r>
              <w:rPr>
                <w:i/>
                <w:sz w:val="22"/>
              </w:rPr>
              <w:t>3.2.9</w:t>
            </w:r>
          </w:p>
        </w:tc>
        <w:tc>
          <w:tcPr>
            <w:tcW w:w="1543" w:type="dxa"/>
          </w:tcPr>
          <w:p>
            <w:pPr>
              <w:pStyle w:val="TableParagraph"/>
              <w:spacing w:before="65"/>
              <w:ind w:left="233"/>
              <w:rPr>
                <w:i/>
                <w:sz w:val="22"/>
              </w:rPr>
            </w:pPr>
            <w:r>
              <w:rPr>
                <w:i/>
                <w:w w:val="95"/>
                <w:sz w:val="22"/>
              </w:rPr>
              <w:t>良性脑肿瘤</w:t>
            </w:r>
          </w:p>
        </w:tc>
        <w:tc>
          <w:tcPr>
            <w:tcW w:w="7718" w:type="dxa"/>
          </w:tcPr>
          <w:p>
            <w:pPr>
              <w:pStyle w:val="TableParagraph"/>
              <w:spacing w:line="273" w:lineRule="auto" w:before="76"/>
              <w:ind w:left="106" w:right="198"/>
              <w:rPr>
                <w:sz w:val="21"/>
              </w:rPr>
            </w:pPr>
            <w:r>
              <w:rPr>
                <w:spacing w:val="-14"/>
                <w:sz w:val="21"/>
              </w:rPr>
              <w:t>指脑的良性肿瘤，已经引起颅内压增高，临床表现为视神经乳头水肿、精神症状、</w:t>
            </w:r>
            <w:r>
              <w:rPr>
                <w:spacing w:val="-3"/>
                <w:w w:val="100"/>
                <w:sz w:val="21"/>
              </w:rPr>
              <w:t>癫痫及运动感觉障碍等，并危及生命。须由头颅断层扫描</w:t>
            </w:r>
            <w:r>
              <w:rPr>
                <w:spacing w:val="1"/>
                <w:w w:val="100"/>
                <w:sz w:val="21"/>
              </w:rPr>
              <w:t>（</w:t>
            </w:r>
            <w:r>
              <w:rPr>
                <w:w w:val="100"/>
                <w:sz w:val="21"/>
              </w:rPr>
              <w:t>CT</w:t>
            </w:r>
            <w:r>
              <w:rPr>
                <w:spacing w:val="-106"/>
                <w:w w:val="100"/>
                <w:sz w:val="21"/>
              </w:rPr>
              <w:t>）</w:t>
            </w:r>
            <w:r>
              <w:rPr>
                <w:w w:val="100"/>
                <w:sz w:val="21"/>
              </w:rPr>
              <w:t>、核磁共振检查</w:t>
            </w:r>
          </w:p>
          <w:p>
            <w:pPr>
              <w:pStyle w:val="TableParagraph"/>
              <w:spacing w:line="273" w:lineRule="auto" w:before="7"/>
              <w:ind w:left="106" w:right="248"/>
              <w:rPr>
                <w:sz w:val="21"/>
              </w:rPr>
            </w:pPr>
            <w:r>
              <w:rPr>
                <w:sz w:val="21"/>
              </w:rPr>
              <w:t>（MRI）或正电子发射断层扫描（PET）等影像学检查证实，并须满足下列至少一项条件：</w:t>
            </w:r>
          </w:p>
          <w:p>
            <w:pPr>
              <w:pStyle w:val="TableParagraph"/>
              <w:spacing w:before="8"/>
              <w:ind w:left="106"/>
              <w:rPr>
                <w:sz w:val="21"/>
              </w:rPr>
            </w:pPr>
            <w:r>
              <w:rPr>
                <w:sz w:val="21"/>
              </w:rPr>
              <w:t>（1）实际实施了开颅进行的脑肿瘤完全切除或部分切除的手术；</w:t>
            </w:r>
          </w:p>
          <w:p>
            <w:pPr>
              <w:pStyle w:val="TableParagraph"/>
              <w:spacing w:before="37"/>
              <w:ind w:left="106"/>
              <w:rPr>
                <w:sz w:val="21"/>
              </w:rPr>
            </w:pPr>
            <w:r>
              <w:rPr>
                <w:sz w:val="21"/>
              </w:rPr>
              <w:t>（2）实际实施了对脑肿瘤进行的放射治疗。</w:t>
            </w:r>
          </w:p>
          <w:p>
            <w:pPr>
              <w:pStyle w:val="TableParagraph"/>
              <w:spacing w:before="37"/>
              <w:ind w:left="106"/>
              <w:rPr>
                <w:sz w:val="21"/>
              </w:rPr>
            </w:pPr>
            <w:r>
              <w:rPr>
                <w:rFonts w:ascii="Times New Roman" w:eastAsia="Times New Roman"/>
                <w:spacing w:val="-53"/>
                <w:w w:val="100"/>
                <w:sz w:val="21"/>
                <w:shd w:fill="D9D9D9" w:color="auto" w:val="clear"/>
              </w:rPr>
              <w:t> </w:t>
            </w:r>
            <w:r>
              <w:rPr>
                <w:spacing w:val="-3"/>
                <w:sz w:val="21"/>
                <w:shd w:fill="D9D9D9" w:color="auto" w:val="clear"/>
              </w:rPr>
              <w:t>脑垂体瘤、脑囊肿、脑血管性疾病不在保障范围内。</w:t>
            </w:r>
          </w:p>
        </w:tc>
      </w:tr>
      <w:tr>
        <w:trPr>
          <w:trHeight w:val="2042" w:hRule="atLeast"/>
        </w:trPr>
        <w:tc>
          <w:tcPr>
            <w:tcW w:w="1068" w:type="dxa"/>
          </w:tcPr>
          <w:p>
            <w:pPr>
              <w:pStyle w:val="TableParagraph"/>
              <w:spacing w:before="65"/>
              <w:ind w:left="168" w:right="199"/>
              <w:jc w:val="center"/>
              <w:rPr>
                <w:i/>
                <w:sz w:val="22"/>
              </w:rPr>
            </w:pPr>
            <w:r>
              <w:rPr>
                <w:i/>
                <w:sz w:val="22"/>
              </w:rPr>
              <w:t>3.2.10</w:t>
            </w:r>
          </w:p>
        </w:tc>
        <w:tc>
          <w:tcPr>
            <w:tcW w:w="1543" w:type="dxa"/>
          </w:tcPr>
          <w:p>
            <w:pPr>
              <w:pStyle w:val="TableParagraph"/>
              <w:spacing w:line="259" w:lineRule="auto" w:before="65"/>
              <w:ind w:left="233" w:right="105"/>
              <w:jc w:val="both"/>
              <w:rPr>
                <w:i/>
                <w:sz w:val="22"/>
              </w:rPr>
            </w:pPr>
            <w:r>
              <w:rPr>
                <w:i/>
                <w:w w:val="95"/>
                <w:sz w:val="22"/>
              </w:rPr>
              <w:t>慢性肝功能衰竭失代偿</w:t>
            </w:r>
            <w:r>
              <w:rPr>
                <w:i/>
                <w:sz w:val="22"/>
              </w:rPr>
              <w:t>期</w:t>
            </w:r>
          </w:p>
        </w:tc>
        <w:tc>
          <w:tcPr>
            <w:tcW w:w="7718" w:type="dxa"/>
          </w:tcPr>
          <w:p>
            <w:pPr>
              <w:pStyle w:val="TableParagraph"/>
              <w:spacing w:before="76"/>
              <w:ind w:left="106"/>
              <w:rPr>
                <w:sz w:val="21"/>
              </w:rPr>
            </w:pPr>
            <w:r>
              <w:rPr>
                <w:sz w:val="21"/>
              </w:rPr>
              <w:t>指因慢性肝脏疾病导致肝功能衰竭,须满足下列全部条件：</w:t>
            </w:r>
          </w:p>
          <w:p>
            <w:pPr>
              <w:pStyle w:val="TableParagraph"/>
              <w:spacing w:before="36"/>
              <w:ind w:left="106"/>
              <w:rPr>
                <w:sz w:val="21"/>
              </w:rPr>
            </w:pPr>
            <w:r>
              <w:rPr>
                <w:sz w:val="21"/>
              </w:rPr>
              <w:t>（1）持续性黄疸；</w:t>
            </w:r>
          </w:p>
          <w:p>
            <w:pPr>
              <w:pStyle w:val="TableParagraph"/>
              <w:spacing w:before="36"/>
              <w:ind w:left="106"/>
              <w:rPr>
                <w:sz w:val="21"/>
              </w:rPr>
            </w:pPr>
            <w:r>
              <w:rPr>
                <w:sz w:val="21"/>
              </w:rPr>
              <w:t>（2）腹水；</w:t>
            </w:r>
          </w:p>
          <w:p>
            <w:pPr>
              <w:pStyle w:val="TableParagraph"/>
              <w:spacing w:before="36"/>
              <w:ind w:left="106"/>
              <w:rPr>
                <w:sz w:val="21"/>
              </w:rPr>
            </w:pPr>
            <w:r>
              <w:rPr>
                <w:sz w:val="21"/>
              </w:rPr>
              <w:t>（3）肝性脑病；</w:t>
            </w:r>
          </w:p>
          <w:p>
            <w:pPr>
              <w:pStyle w:val="TableParagraph"/>
              <w:spacing w:before="36"/>
              <w:ind w:left="106"/>
              <w:rPr>
                <w:sz w:val="21"/>
              </w:rPr>
            </w:pPr>
            <w:r>
              <w:rPr>
                <w:sz w:val="21"/>
              </w:rPr>
              <w:t>（4）充血性脾肿大伴脾功能亢进或食管胃底静脉曲张。</w:t>
            </w:r>
          </w:p>
          <w:p>
            <w:pPr>
              <w:pStyle w:val="TableParagraph"/>
              <w:spacing w:before="36"/>
              <w:ind w:left="106"/>
              <w:rPr>
                <w:sz w:val="21"/>
              </w:rPr>
            </w:pPr>
            <w:r>
              <w:rPr>
                <w:rFonts w:ascii="Times New Roman" w:eastAsia="Times New Roman"/>
                <w:spacing w:val="-53"/>
                <w:w w:val="100"/>
                <w:sz w:val="21"/>
                <w:shd w:fill="D9D9D9" w:color="auto" w:val="clear"/>
              </w:rPr>
              <w:t> </w:t>
            </w:r>
            <w:r>
              <w:rPr>
                <w:spacing w:val="-3"/>
                <w:sz w:val="21"/>
                <w:shd w:fill="D9D9D9" w:color="auto" w:val="clear"/>
              </w:rPr>
              <w:t>因酗酒或药物滥用导致的肝功能衰竭不在保障范围内。</w:t>
            </w:r>
          </w:p>
        </w:tc>
      </w:tr>
      <w:tr>
        <w:trPr>
          <w:trHeight w:val="2042" w:hRule="atLeast"/>
        </w:trPr>
        <w:tc>
          <w:tcPr>
            <w:tcW w:w="1068" w:type="dxa"/>
          </w:tcPr>
          <w:p>
            <w:pPr>
              <w:pStyle w:val="TableParagraph"/>
              <w:spacing w:before="65"/>
              <w:ind w:left="168" w:right="199"/>
              <w:jc w:val="center"/>
              <w:rPr>
                <w:i/>
                <w:sz w:val="22"/>
              </w:rPr>
            </w:pPr>
            <w:r>
              <w:rPr>
                <w:i/>
                <w:sz w:val="22"/>
              </w:rPr>
              <w:t>3.2.11</w:t>
            </w:r>
          </w:p>
        </w:tc>
        <w:tc>
          <w:tcPr>
            <w:tcW w:w="1543" w:type="dxa"/>
          </w:tcPr>
          <w:p>
            <w:pPr>
              <w:pStyle w:val="TableParagraph"/>
              <w:spacing w:line="259" w:lineRule="auto" w:before="65"/>
              <w:ind w:left="233" w:right="105"/>
              <w:jc w:val="both"/>
              <w:rPr>
                <w:i/>
                <w:sz w:val="22"/>
              </w:rPr>
            </w:pPr>
            <w:r>
              <w:rPr>
                <w:i/>
                <w:w w:val="95"/>
                <w:sz w:val="22"/>
              </w:rPr>
              <w:t>脑炎后遗症或脑膜炎后遗症</w:t>
            </w:r>
          </w:p>
        </w:tc>
        <w:tc>
          <w:tcPr>
            <w:tcW w:w="7718" w:type="dxa"/>
          </w:tcPr>
          <w:p>
            <w:pPr>
              <w:pStyle w:val="TableParagraph"/>
              <w:spacing w:line="273" w:lineRule="auto" w:before="77"/>
              <w:ind w:left="106" w:right="248"/>
              <w:rPr>
                <w:sz w:val="21"/>
              </w:rPr>
            </w:pPr>
            <w:r>
              <w:rPr>
                <w:sz w:val="21"/>
              </w:rPr>
              <w:t>指因患脑炎或脑膜炎导致的神经系统永久性的功能障碍。神经系统永久性的功能障碍，指疾病确诊 180 天后，仍遗留下列一种或一种以上障碍：</w:t>
            </w:r>
          </w:p>
          <w:p>
            <w:pPr>
              <w:pStyle w:val="TableParagraph"/>
              <w:spacing w:before="8"/>
              <w:ind w:left="106"/>
              <w:rPr>
                <w:sz w:val="21"/>
              </w:rPr>
            </w:pPr>
            <w:r>
              <w:rPr>
                <w:sz w:val="21"/>
              </w:rPr>
              <w:t>（1）一肢或一肢以上肢体机能完全丧失；</w:t>
            </w:r>
          </w:p>
          <w:p>
            <w:pPr>
              <w:pStyle w:val="TableParagraph"/>
              <w:spacing w:before="37"/>
              <w:ind w:left="106"/>
              <w:rPr>
                <w:sz w:val="21"/>
              </w:rPr>
            </w:pPr>
            <w:r>
              <w:rPr>
                <w:sz w:val="21"/>
              </w:rPr>
              <w:t>（2）语言能力或咀嚼吞咽能力完全丧失；</w:t>
            </w:r>
          </w:p>
          <w:p>
            <w:pPr>
              <w:pStyle w:val="TableParagraph"/>
              <w:spacing w:line="273" w:lineRule="auto" w:before="37"/>
              <w:ind w:left="106" w:right="306"/>
              <w:rPr>
                <w:sz w:val="21"/>
              </w:rPr>
            </w:pPr>
            <w:r>
              <w:rPr>
                <w:sz w:val="21"/>
              </w:rPr>
              <w:t>（3）自主生活能力完全丧失，无法独立完成六项基本日常生活活动中的三项或三项以上。</w:t>
            </w:r>
          </w:p>
        </w:tc>
      </w:tr>
      <w:tr>
        <w:trPr>
          <w:trHeight w:val="1417" w:hRule="atLeast"/>
        </w:trPr>
        <w:tc>
          <w:tcPr>
            <w:tcW w:w="1068" w:type="dxa"/>
          </w:tcPr>
          <w:p>
            <w:pPr>
              <w:pStyle w:val="TableParagraph"/>
              <w:spacing w:before="65"/>
              <w:ind w:left="168" w:right="199"/>
              <w:jc w:val="center"/>
              <w:rPr>
                <w:i/>
                <w:sz w:val="22"/>
              </w:rPr>
            </w:pPr>
            <w:r>
              <w:rPr>
                <w:i/>
                <w:sz w:val="22"/>
              </w:rPr>
              <w:t>3.2.12</w:t>
            </w:r>
          </w:p>
        </w:tc>
        <w:tc>
          <w:tcPr>
            <w:tcW w:w="1543" w:type="dxa"/>
          </w:tcPr>
          <w:p>
            <w:pPr>
              <w:pStyle w:val="TableParagraph"/>
              <w:spacing w:before="65"/>
              <w:ind w:left="233"/>
              <w:rPr>
                <w:i/>
                <w:sz w:val="22"/>
              </w:rPr>
            </w:pPr>
            <w:r>
              <w:rPr>
                <w:i/>
                <w:w w:val="95"/>
                <w:sz w:val="22"/>
              </w:rPr>
              <w:t>深度昏迷</w:t>
            </w:r>
          </w:p>
        </w:tc>
        <w:tc>
          <w:tcPr>
            <w:tcW w:w="7718" w:type="dxa"/>
          </w:tcPr>
          <w:p>
            <w:pPr>
              <w:pStyle w:val="TableParagraph"/>
              <w:spacing w:line="273" w:lineRule="auto" w:before="76"/>
              <w:ind w:left="106" w:right="306"/>
              <w:jc w:val="both"/>
              <w:rPr>
                <w:sz w:val="21"/>
              </w:rPr>
            </w:pPr>
            <w:r>
              <w:rPr>
                <w:sz w:val="21"/>
              </w:rPr>
              <w:t>指因疾病或意外伤害导致意识丧失,对外界刺激和体内需求均无反应,昏迷程度</w:t>
            </w:r>
            <w:r>
              <w:rPr>
                <w:spacing w:val="-3"/>
                <w:sz w:val="21"/>
              </w:rPr>
              <w:t>按照格拉斯哥昏迷分级</w:t>
            </w:r>
            <w:r>
              <w:rPr>
                <w:sz w:val="21"/>
              </w:rPr>
              <w:t>（Glasgow coma scale）</w:t>
            </w:r>
            <w:r>
              <w:rPr>
                <w:spacing w:val="-14"/>
                <w:sz w:val="21"/>
              </w:rPr>
              <w:t>结果为 </w:t>
            </w:r>
            <w:r>
              <w:rPr>
                <w:sz w:val="21"/>
              </w:rPr>
              <w:t>5</w:t>
            </w:r>
            <w:r>
              <w:rPr>
                <w:spacing w:val="-26"/>
                <w:sz w:val="21"/>
              </w:rPr>
              <w:t> 分或 </w:t>
            </w:r>
            <w:r>
              <w:rPr>
                <w:sz w:val="21"/>
              </w:rPr>
              <w:t>5</w:t>
            </w:r>
            <w:r>
              <w:rPr>
                <w:spacing w:val="-9"/>
                <w:sz w:val="21"/>
              </w:rPr>
              <w:t> 分以下，且已经</w:t>
            </w:r>
            <w:r>
              <w:rPr>
                <w:spacing w:val="-8"/>
                <w:sz w:val="21"/>
              </w:rPr>
              <w:t>持续使用呼吸机及其它生命维持系统 </w:t>
            </w:r>
            <w:r>
              <w:rPr>
                <w:sz w:val="21"/>
              </w:rPr>
              <w:t>96 小时以上。</w:t>
            </w:r>
          </w:p>
          <w:p>
            <w:pPr>
              <w:pStyle w:val="TableParagraph"/>
              <w:spacing w:before="7"/>
              <w:ind w:left="106"/>
              <w:jc w:val="both"/>
              <w:rPr>
                <w:sz w:val="21"/>
              </w:rPr>
            </w:pPr>
            <w:r>
              <w:rPr>
                <w:rFonts w:ascii="Times New Roman" w:eastAsia="Times New Roman"/>
                <w:spacing w:val="-53"/>
                <w:w w:val="100"/>
                <w:sz w:val="21"/>
                <w:shd w:fill="D9D9D9" w:color="auto" w:val="clear"/>
              </w:rPr>
              <w:t> </w:t>
            </w:r>
            <w:r>
              <w:rPr>
                <w:spacing w:val="-3"/>
                <w:sz w:val="21"/>
                <w:shd w:fill="D9D9D9" w:color="auto" w:val="clear"/>
              </w:rPr>
              <w:t>因酗酒或药物滥用导致的深度昏迷不在保障范围内。</w:t>
            </w:r>
          </w:p>
        </w:tc>
      </w:tr>
      <w:tr>
        <w:trPr>
          <w:trHeight w:val="1729" w:hRule="atLeast"/>
        </w:trPr>
        <w:tc>
          <w:tcPr>
            <w:tcW w:w="1068" w:type="dxa"/>
          </w:tcPr>
          <w:p>
            <w:pPr>
              <w:pStyle w:val="TableParagraph"/>
              <w:spacing w:before="64"/>
              <w:ind w:left="168" w:right="199"/>
              <w:jc w:val="center"/>
              <w:rPr>
                <w:i/>
                <w:sz w:val="22"/>
              </w:rPr>
            </w:pPr>
            <w:r>
              <w:rPr>
                <w:i/>
                <w:sz w:val="22"/>
              </w:rPr>
              <w:t>3.2.13</w:t>
            </w:r>
          </w:p>
        </w:tc>
        <w:tc>
          <w:tcPr>
            <w:tcW w:w="1543" w:type="dxa"/>
          </w:tcPr>
          <w:p>
            <w:pPr>
              <w:pStyle w:val="TableParagraph"/>
              <w:spacing w:before="64"/>
              <w:ind w:left="233"/>
              <w:rPr>
                <w:i/>
                <w:sz w:val="22"/>
              </w:rPr>
            </w:pPr>
            <w:r>
              <w:rPr>
                <w:i/>
                <w:w w:val="95"/>
                <w:sz w:val="22"/>
              </w:rPr>
              <w:t>双耳失聪</w:t>
            </w:r>
          </w:p>
        </w:tc>
        <w:tc>
          <w:tcPr>
            <w:tcW w:w="7718" w:type="dxa"/>
          </w:tcPr>
          <w:p>
            <w:pPr>
              <w:pStyle w:val="TableParagraph"/>
              <w:spacing w:before="76"/>
              <w:ind w:left="106"/>
              <w:rPr>
                <w:sz w:val="21"/>
              </w:rPr>
            </w:pPr>
            <w:r>
              <w:rPr>
                <w:spacing w:val="-3"/>
                <w:sz w:val="21"/>
              </w:rPr>
              <w:t>指因疾病或意外伤害导致双耳听力</w:t>
            </w:r>
            <w:r>
              <w:rPr>
                <w:b/>
                <w:spacing w:val="-8"/>
                <w:sz w:val="21"/>
              </w:rPr>
              <w:t>永久不可逆</w:t>
            </w:r>
            <w:r>
              <w:rPr>
                <w:spacing w:val="-3"/>
                <w:sz w:val="21"/>
              </w:rPr>
              <w:t>（</w:t>
            </w:r>
            <w:r>
              <w:rPr>
                <w:spacing w:val="-21"/>
                <w:sz w:val="21"/>
              </w:rPr>
              <w:t>见 </w:t>
            </w:r>
            <w:r>
              <w:rPr>
                <w:spacing w:val="-8"/>
                <w:sz w:val="21"/>
              </w:rPr>
              <w:t>11.17）</w:t>
            </w:r>
            <w:r>
              <w:rPr>
                <w:spacing w:val="-15"/>
                <w:sz w:val="21"/>
              </w:rPr>
              <w:t>性丧失，在 </w:t>
            </w:r>
            <w:r>
              <w:rPr>
                <w:sz w:val="21"/>
              </w:rPr>
              <w:t>500</w:t>
            </w:r>
            <w:r>
              <w:rPr>
                <w:spacing w:val="-13"/>
                <w:sz w:val="21"/>
              </w:rPr>
              <w:t> 赫兹、</w:t>
            </w:r>
          </w:p>
          <w:p>
            <w:pPr>
              <w:pStyle w:val="TableParagraph"/>
              <w:spacing w:line="273" w:lineRule="auto" w:before="37"/>
              <w:ind w:left="106" w:right="203"/>
              <w:rPr>
                <w:sz w:val="21"/>
              </w:rPr>
            </w:pPr>
            <w:r>
              <w:rPr>
                <w:sz w:val="21"/>
              </w:rPr>
              <w:t>1000</w:t>
            </w:r>
            <w:r>
              <w:rPr>
                <w:spacing w:val="-20"/>
                <w:sz w:val="21"/>
              </w:rPr>
              <w:t> 赫兹和 </w:t>
            </w:r>
            <w:r>
              <w:rPr>
                <w:sz w:val="21"/>
              </w:rPr>
              <w:t>2000</w:t>
            </w:r>
            <w:r>
              <w:rPr>
                <w:spacing w:val="-11"/>
                <w:sz w:val="21"/>
              </w:rPr>
              <w:t> 赫兹语音频率下，平均听阈大于 </w:t>
            </w:r>
            <w:r>
              <w:rPr>
                <w:sz w:val="21"/>
              </w:rPr>
              <w:t>90</w:t>
            </w:r>
            <w:r>
              <w:rPr>
                <w:spacing w:val="-9"/>
                <w:sz w:val="21"/>
              </w:rPr>
              <w:t> 分贝，且经纯音听力测试、</w:t>
            </w:r>
            <w:r>
              <w:rPr>
                <w:spacing w:val="-5"/>
                <w:sz w:val="21"/>
              </w:rPr>
              <w:t>声导抗检测或听觉诱发电位检测等证实。</w:t>
            </w:r>
          </w:p>
          <w:p>
            <w:pPr>
              <w:pStyle w:val="TableParagraph"/>
              <w:spacing w:line="273" w:lineRule="auto" w:before="7"/>
              <w:ind w:left="106" w:right="242"/>
              <w:rPr>
                <w:sz w:val="21"/>
              </w:rPr>
            </w:pPr>
            <w:r>
              <w:rPr>
                <w:sz w:val="21"/>
              </w:rPr>
              <w:t>被保险人申请理赔时年龄必须在三</w:t>
            </w:r>
            <w:r>
              <w:rPr>
                <w:b/>
                <w:sz w:val="21"/>
              </w:rPr>
              <w:t>周岁</w:t>
            </w:r>
            <w:r>
              <w:rPr>
                <w:sz w:val="21"/>
              </w:rPr>
              <w:t>（见 11.18）以上，并且提供理赔当时的听力丧失诊断及检查证据。</w:t>
            </w:r>
          </w:p>
        </w:tc>
      </w:tr>
      <w:tr>
        <w:trPr>
          <w:trHeight w:val="2224" w:hRule="atLeast"/>
        </w:trPr>
        <w:tc>
          <w:tcPr>
            <w:tcW w:w="1068" w:type="dxa"/>
          </w:tcPr>
          <w:p>
            <w:pPr>
              <w:pStyle w:val="TableParagraph"/>
              <w:spacing w:before="65"/>
              <w:ind w:left="168" w:right="199"/>
              <w:jc w:val="center"/>
              <w:rPr>
                <w:i/>
                <w:sz w:val="22"/>
              </w:rPr>
            </w:pPr>
            <w:r>
              <w:rPr>
                <w:i/>
                <w:sz w:val="22"/>
              </w:rPr>
              <w:t>3.2.14</w:t>
            </w:r>
          </w:p>
        </w:tc>
        <w:tc>
          <w:tcPr>
            <w:tcW w:w="1543" w:type="dxa"/>
          </w:tcPr>
          <w:p>
            <w:pPr>
              <w:pStyle w:val="TableParagraph"/>
              <w:spacing w:before="65"/>
              <w:ind w:left="233"/>
              <w:rPr>
                <w:i/>
                <w:sz w:val="22"/>
              </w:rPr>
            </w:pPr>
            <w:r>
              <w:rPr>
                <w:i/>
                <w:w w:val="95"/>
                <w:sz w:val="22"/>
              </w:rPr>
              <w:t>双目失明</w:t>
            </w:r>
          </w:p>
        </w:tc>
        <w:tc>
          <w:tcPr>
            <w:tcW w:w="7718" w:type="dxa"/>
          </w:tcPr>
          <w:p>
            <w:pPr>
              <w:pStyle w:val="TableParagraph"/>
              <w:spacing w:line="273" w:lineRule="auto" w:before="76"/>
              <w:ind w:left="106" w:right="304"/>
              <w:rPr>
                <w:sz w:val="21"/>
              </w:rPr>
            </w:pPr>
            <w:r>
              <w:rPr>
                <w:spacing w:val="-6"/>
                <w:sz w:val="21"/>
              </w:rPr>
              <w:t>指因疾病或意外伤害导致双眼视力永久不可逆性丧失，双眼中较好眼须满足下列</w:t>
            </w:r>
            <w:r>
              <w:rPr>
                <w:spacing w:val="-4"/>
                <w:sz w:val="21"/>
              </w:rPr>
              <w:t>至少一项条件：</w:t>
            </w:r>
          </w:p>
          <w:p>
            <w:pPr>
              <w:pStyle w:val="TableParagraph"/>
              <w:spacing w:before="7"/>
              <w:ind w:left="106"/>
              <w:rPr>
                <w:sz w:val="21"/>
              </w:rPr>
            </w:pPr>
            <w:r>
              <w:rPr>
                <w:sz w:val="21"/>
              </w:rPr>
              <w:t>（1）眼球缺失或摘除；</w:t>
            </w:r>
          </w:p>
          <w:p>
            <w:pPr>
              <w:pStyle w:val="TableParagraph"/>
              <w:spacing w:line="273" w:lineRule="auto" w:before="37"/>
              <w:ind w:left="106" w:right="304"/>
              <w:rPr>
                <w:sz w:val="21"/>
              </w:rPr>
            </w:pPr>
            <w:r>
              <w:rPr>
                <w:sz w:val="21"/>
              </w:rPr>
              <w:t>（2）</w:t>
            </w:r>
            <w:r>
              <w:rPr>
                <w:spacing w:val="-7"/>
                <w:sz w:val="21"/>
              </w:rPr>
              <w:t>矫正视力低于 </w:t>
            </w:r>
            <w:r>
              <w:rPr>
                <w:sz w:val="21"/>
              </w:rPr>
              <w:t>0.02（</w:t>
            </w:r>
            <w:r>
              <w:rPr>
                <w:spacing w:val="-3"/>
                <w:sz w:val="21"/>
              </w:rPr>
              <w:t>采用国际标准视力表，如果使用其它视力表应进行换</w:t>
            </w:r>
            <w:r>
              <w:rPr>
                <w:spacing w:val="-3"/>
                <w:w w:val="100"/>
                <w:sz w:val="21"/>
              </w:rPr>
              <w:t>算</w:t>
            </w:r>
            <w:r>
              <w:rPr>
                <w:spacing w:val="-106"/>
                <w:w w:val="100"/>
                <w:sz w:val="21"/>
              </w:rPr>
              <w:t>）</w:t>
            </w:r>
            <w:r>
              <w:rPr>
                <w:w w:val="100"/>
                <w:sz w:val="21"/>
              </w:rPr>
              <w:t>；</w:t>
            </w:r>
          </w:p>
          <w:p>
            <w:pPr>
              <w:pStyle w:val="TableParagraph"/>
              <w:spacing w:before="7"/>
              <w:ind w:left="106"/>
              <w:rPr>
                <w:sz w:val="21"/>
              </w:rPr>
            </w:pPr>
            <w:r>
              <w:rPr>
                <w:sz w:val="21"/>
              </w:rPr>
              <w:t>（3）视野半径小于 5 度。</w:t>
            </w:r>
          </w:p>
          <w:p>
            <w:pPr>
              <w:pStyle w:val="TableParagraph"/>
              <w:spacing w:line="255" w:lineRule="exact" w:before="36"/>
              <w:ind w:left="106"/>
              <w:rPr>
                <w:sz w:val="21"/>
              </w:rPr>
            </w:pPr>
            <w:r>
              <w:rPr>
                <w:sz w:val="21"/>
              </w:rPr>
              <w:t>被保险人申请理赔时年龄必须在三周岁以上，并且提供理赔当时的视力丧失诊断</w:t>
            </w:r>
          </w:p>
        </w:tc>
      </w:tr>
    </w:tbl>
    <w:p>
      <w:pPr>
        <w:spacing w:after="0" w:line="255" w:lineRule="exact"/>
        <w:rPr>
          <w:sz w:val="21"/>
        </w:rPr>
        <w:sectPr>
          <w:pgSz w:w="11910" w:h="16840"/>
          <w:pgMar w:header="568" w:footer="0" w:top="800" w:bottom="280" w:left="720" w:right="640"/>
        </w:sectPr>
      </w:pPr>
    </w:p>
    <w:p>
      <w:pPr>
        <w:pStyle w:val="BodyText"/>
        <w:rPr>
          <w:rFonts w:ascii="Times New Roman"/>
          <w:sz w:val="20"/>
        </w:rPr>
      </w:pPr>
    </w:p>
    <w:p>
      <w:pPr>
        <w:pStyle w:val="BodyText"/>
        <w:spacing w:before="2" w:after="1"/>
        <w:rPr>
          <w:rFonts w:ascii="Times New Roman"/>
          <w:sz w:val="13"/>
        </w:r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68"/>
        <w:gridCol w:w="1543"/>
        <w:gridCol w:w="7716"/>
      </w:tblGrid>
      <w:tr>
        <w:trPr>
          <w:trHeight w:val="342" w:hRule="atLeast"/>
        </w:trPr>
        <w:tc>
          <w:tcPr>
            <w:tcW w:w="1068" w:type="dxa"/>
          </w:tcPr>
          <w:p>
            <w:pPr>
              <w:pStyle w:val="TableParagraph"/>
              <w:rPr>
                <w:rFonts w:ascii="Times New Roman"/>
                <w:sz w:val="20"/>
              </w:rPr>
            </w:pPr>
          </w:p>
        </w:tc>
        <w:tc>
          <w:tcPr>
            <w:tcW w:w="1543" w:type="dxa"/>
          </w:tcPr>
          <w:p>
            <w:pPr>
              <w:pStyle w:val="TableParagraph"/>
              <w:rPr>
                <w:rFonts w:ascii="Times New Roman"/>
                <w:sz w:val="20"/>
              </w:rPr>
            </w:pPr>
          </w:p>
        </w:tc>
        <w:tc>
          <w:tcPr>
            <w:tcW w:w="7716" w:type="dxa"/>
          </w:tcPr>
          <w:p>
            <w:pPr>
              <w:pStyle w:val="TableParagraph"/>
              <w:spacing w:line="211" w:lineRule="exact"/>
              <w:ind w:left="106"/>
              <w:rPr>
                <w:sz w:val="21"/>
              </w:rPr>
            </w:pPr>
            <w:r>
              <w:rPr>
                <w:sz w:val="21"/>
              </w:rPr>
              <w:t>及检查证据。</w:t>
            </w:r>
          </w:p>
        </w:tc>
      </w:tr>
      <w:tr>
        <w:trPr>
          <w:trHeight w:val="1106" w:hRule="atLeast"/>
        </w:trPr>
        <w:tc>
          <w:tcPr>
            <w:tcW w:w="1068" w:type="dxa"/>
          </w:tcPr>
          <w:p>
            <w:pPr>
              <w:pStyle w:val="TableParagraph"/>
              <w:spacing w:before="65"/>
              <w:ind w:left="168" w:right="199"/>
              <w:jc w:val="center"/>
              <w:rPr>
                <w:i/>
                <w:sz w:val="22"/>
              </w:rPr>
            </w:pPr>
            <w:r>
              <w:rPr>
                <w:i/>
                <w:sz w:val="22"/>
              </w:rPr>
              <w:t>3.2.15</w:t>
            </w:r>
          </w:p>
        </w:tc>
        <w:tc>
          <w:tcPr>
            <w:tcW w:w="1543" w:type="dxa"/>
          </w:tcPr>
          <w:p>
            <w:pPr>
              <w:pStyle w:val="TableParagraph"/>
              <w:spacing w:before="65"/>
              <w:ind w:left="233"/>
              <w:rPr>
                <w:i/>
                <w:sz w:val="22"/>
              </w:rPr>
            </w:pPr>
            <w:r>
              <w:rPr>
                <w:i/>
                <w:w w:val="95"/>
                <w:sz w:val="22"/>
              </w:rPr>
              <w:t>瘫痪</w:t>
            </w:r>
          </w:p>
        </w:tc>
        <w:tc>
          <w:tcPr>
            <w:tcW w:w="7716" w:type="dxa"/>
          </w:tcPr>
          <w:p>
            <w:pPr>
              <w:pStyle w:val="TableParagraph"/>
              <w:spacing w:line="273" w:lineRule="auto" w:before="77"/>
              <w:ind w:left="106" w:right="302"/>
              <w:jc w:val="both"/>
              <w:rPr>
                <w:sz w:val="21"/>
              </w:rPr>
            </w:pPr>
            <w:r>
              <w:rPr>
                <w:spacing w:val="-5"/>
                <w:sz w:val="21"/>
              </w:rPr>
              <w:t>指因疾病或意外伤害导致两肢或两肢以上肢体机能永久完全丧失。肢体机能永久</w:t>
            </w:r>
            <w:r>
              <w:rPr>
                <w:spacing w:val="-11"/>
                <w:sz w:val="21"/>
              </w:rPr>
              <w:t>完全丧失，指疾病确诊 </w:t>
            </w:r>
            <w:r>
              <w:rPr>
                <w:sz w:val="21"/>
              </w:rPr>
              <w:t>180</w:t>
            </w:r>
            <w:r>
              <w:rPr>
                <w:spacing w:val="-12"/>
                <w:sz w:val="21"/>
              </w:rPr>
              <w:t> 天后或意外伤害发生 </w:t>
            </w:r>
            <w:r>
              <w:rPr>
                <w:sz w:val="21"/>
              </w:rPr>
              <w:t>180</w:t>
            </w:r>
            <w:r>
              <w:rPr>
                <w:spacing w:val="-10"/>
                <w:sz w:val="21"/>
              </w:rPr>
              <w:t> 天后，每肢三大关节中的两</w:t>
            </w:r>
            <w:r>
              <w:rPr>
                <w:spacing w:val="-5"/>
                <w:sz w:val="21"/>
              </w:rPr>
              <w:t>大关节仍然完全僵硬，或不能随意识活动。</w:t>
            </w:r>
          </w:p>
        </w:tc>
      </w:tr>
      <w:tr>
        <w:trPr>
          <w:trHeight w:val="795" w:hRule="atLeast"/>
        </w:trPr>
        <w:tc>
          <w:tcPr>
            <w:tcW w:w="1068" w:type="dxa"/>
          </w:tcPr>
          <w:p>
            <w:pPr>
              <w:pStyle w:val="TableParagraph"/>
              <w:spacing w:before="65"/>
              <w:ind w:left="168" w:right="199"/>
              <w:jc w:val="center"/>
              <w:rPr>
                <w:i/>
                <w:sz w:val="22"/>
              </w:rPr>
            </w:pPr>
            <w:r>
              <w:rPr>
                <w:i/>
                <w:sz w:val="22"/>
              </w:rPr>
              <w:t>3.2.16</w:t>
            </w:r>
          </w:p>
        </w:tc>
        <w:tc>
          <w:tcPr>
            <w:tcW w:w="1543" w:type="dxa"/>
          </w:tcPr>
          <w:p>
            <w:pPr>
              <w:pStyle w:val="TableParagraph"/>
              <w:spacing w:line="259" w:lineRule="auto" w:before="65"/>
              <w:ind w:left="233" w:right="105"/>
              <w:rPr>
                <w:i/>
                <w:sz w:val="22"/>
              </w:rPr>
            </w:pPr>
            <w:r>
              <w:rPr>
                <w:i/>
                <w:w w:val="95"/>
                <w:sz w:val="22"/>
              </w:rPr>
              <w:t>心脏瓣膜手</w:t>
            </w:r>
            <w:r>
              <w:rPr>
                <w:i/>
                <w:sz w:val="22"/>
              </w:rPr>
              <w:t>术</w:t>
            </w:r>
          </w:p>
        </w:tc>
        <w:tc>
          <w:tcPr>
            <w:tcW w:w="7716" w:type="dxa"/>
          </w:tcPr>
          <w:p>
            <w:pPr>
              <w:pStyle w:val="TableParagraph"/>
              <w:spacing w:before="76"/>
              <w:ind w:left="106"/>
              <w:rPr>
                <w:sz w:val="21"/>
              </w:rPr>
            </w:pPr>
            <w:r>
              <w:rPr>
                <w:sz w:val="21"/>
              </w:rPr>
              <w:t>指为治疗心脏瓣膜疾病，实际实施了开胸进行的心脏瓣膜置换或修复的手术。</w:t>
            </w:r>
          </w:p>
        </w:tc>
      </w:tr>
      <w:tr>
        <w:trPr>
          <w:trHeight w:val="2042" w:hRule="atLeast"/>
        </w:trPr>
        <w:tc>
          <w:tcPr>
            <w:tcW w:w="1068" w:type="dxa"/>
          </w:tcPr>
          <w:p>
            <w:pPr>
              <w:pStyle w:val="TableParagraph"/>
              <w:spacing w:before="64"/>
              <w:ind w:left="168" w:right="199"/>
              <w:jc w:val="center"/>
              <w:rPr>
                <w:i/>
                <w:sz w:val="22"/>
              </w:rPr>
            </w:pPr>
            <w:r>
              <w:rPr>
                <w:i/>
                <w:sz w:val="22"/>
              </w:rPr>
              <w:t>3.2.17</w:t>
            </w:r>
          </w:p>
        </w:tc>
        <w:tc>
          <w:tcPr>
            <w:tcW w:w="1543" w:type="dxa"/>
          </w:tcPr>
          <w:p>
            <w:pPr>
              <w:pStyle w:val="TableParagraph"/>
              <w:spacing w:line="259" w:lineRule="auto" w:before="64"/>
              <w:ind w:left="233" w:right="105"/>
              <w:rPr>
                <w:i/>
                <w:sz w:val="22"/>
              </w:rPr>
            </w:pPr>
            <w:r>
              <w:rPr>
                <w:i/>
                <w:w w:val="95"/>
                <w:sz w:val="22"/>
              </w:rPr>
              <w:t>严重阿尔茨海默病</w:t>
            </w:r>
          </w:p>
        </w:tc>
        <w:tc>
          <w:tcPr>
            <w:tcW w:w="7716" w:type="dxa"/>
          </w:tcPr>
          <w:p>
            <w:pPr>
              <w:pStyle w:val="TableParagraph"/>
              <w:spacing w:line="273" w:lineRule="auto" w:before="76"/>
              <w:ind w:left="106" w:right="302"/>
              <w:jc w:val="both"/>
              <w:rPr>
                <w:sz w:val="21"/>
              </w:rPr>
            </w:pPr>
            <w:r>
              <w:rPr>
                <w:spacing w:val="-7"/>
                <w:sz w:val="21"/>
              </w:rPr>
              <w:t>指因大脑进行性、不可逆性改变导致智能严重衰退或丧失，临床表现为明显的认</w:t>
            </w:r>
            <w:r>
              <w:rPr>
                <w:spacing w:val="-9"/>
                <w:sz w:val="21"/>
              </w:rPr>
              <w:t>知能力障碍、行为异常和社交能力减退，其日常生活必须持续受到他人监护。须</w:t>
            </w:r>
            <w:r>
              <w:rPr>
                <w:spacing w:val="-3"/>
                <w:w w:val="100"/>
                <w:sz w:val="21"/>
              </w:rPr>
              <w:t>由头颅断层扫描</w:t>
            </w:r>
            <w:r>
              <w:rPr>
                <w:spacing w:val="0"/>
                <w:w w:val="100"/>
                <w:sz w:val="21"/>
              </w:rPr>
              <w:t>（</w:t>
            </w:r>
            <w:r>
              <w:rPr>
                <w:w w:val="100"/>
                <w:sz w:val="21"/>
              </w:rPr>
              <w:t>CT</w:t>
            </w:r>
            <w:r>
              <w:rPr>
                <w:spacing w:val="-104"/>
                <w:w w:val="100"/>
                <w:sz w:val="21"/>
              </w:rPr>
              <w:t>）</w:t>
            </w:r>
            <w:r>
              <w:rPr>
                <w:w w:val="100"/>
                <w:sz w:val="21"/>
              </w:rPr>
              <w:t>、核磁共振检查</w:t>
            </w:r>
            <w:r>
              <w:rPr>
                <w:spacing w:val="2"/>
                <w:w w:val="100"/>
                <w:sz w:val="21"/>
              </w:rPr>
              <w:t>（</w:t>
            </w:r>
            <w:r>
              <w:rPr>
                <w:w w:val="100"/>
                <w:sz w:val="21"/>
              </w:rPr>
              <w:t>MR</w:t>
            </w:r>
            <w:r>
              <w:rPr>
                <w:spacing w:val="-3"/>
                <w:w w:val="100"/>
                <w:sz w:val="21"/>
              </w:rPr>
              <w:t>I</w:t>
            </w:r>
            <w:r>
              <w:rPr>
                <w:w w:val="100"/>
                <w:sz w:val="21"/>
              </w:rPr>
              <w:t>)</w:t>
            </w:r>
            <w:r>
              <w:rPr>
                <w:sz w:val="21"/>
              </w:rPr>
              <w:t> </w:t>
            </w:r>
            <w:r>
              <w:rPr>
                <w:w w:val="100"/>
                <w:sz w:val="21"/>
              </w:rPr>
              <w:t>或正电子发射断层扫描</w:t>
            </w:r>
            <w:r>
              <w:rPr>
                <w:spacing w:val="0"/>
                <w:w w:val="100"/>
                <w:sz w:val="21"/>
              </w:rPr>
              <w:t>（</w:t>
            </w:r>
            <w:r>
              <w:rPr>
                <w:w w:val="100"/>
                <w:sz w:val="21"/>
              </w:rPr>
              <w:t>PET）等</w:t>
            </w:r>
            <w:r>
              <w:rPr>
                <w:spacing w:val="-8"/>
                <w:sz w:val="21"/>
              </w:rPr>
              <w:t>影像学检查证实，且自主生活能力完全丧失，无法独立完成六项基本日常生活活</w:t>
            </w:r>
            <w:r>
              <w:rPr>
                <w:spacing w:val="-5"/>
                <w:sz w:val="21"/>
              </w:rPr>
              <w:t>动中的三项或三项以上。</w:t>
            </w:r>
          </w:p>
          <w:p>
            <w:pPr>
              <w:pStyle w:val="TableParagraph"/>
              <w:spacing w:before="8"/>
              <w:ind w:left="106"/>
              <w:jc w:val="both"/>
              <w:rPr>
                <w:sz w:val="21"/>
              </w:rPr>
            </w:pPr>
            <w:r>
              <w:rPr>
                <w:rFonts w:ascii="Times New Roman" w:eastAsia="Times New Roman"/>
                <w:spacing w:val="-53"/>
                <w:w w:val="100"/>
                <w:sz w:val="21"/>
                <w:shd w:fill="D9D9D9" w:color="auto" w:val="clear"/>
              </w:rPr>
              <w:t> </w:t>
            </w:r>
            <w:r>
              <w:rPr>
                <w:spacing w:val="-3"/>
                <w:sz w:val="21"/>
                <w:shd w:fill="D9D9D9" w:color="auto" w:val="clear"/>
              </w:rPr>
              <w:t>神经官能症和精神疾病不在保障范围内。</w:t>
            </w:r>
          </w:p>
        </w:tc>
      </w:tr>
      <w:tr>
        <w:trPr>
          <w:trHeight w:val="2666" w:hRule="atLeast"/>
        </w:trPr>
        <w:tc>
          <w:tcPr>
            <w:tcW w:w="1068" w:type="dxa"/>
          </w:tcPr>
          <w:p>
            <w:pPr>
              <w:pStyle w:val="TableParagraph"/>
              <w:spacing w:before="65"/>
              <w:ind w:left="168" w:right="199"/>
              <w:jc w:val="center"/>
              <w:rPr>
                <w:i/>
                <w:sz w:val="22"/>
              </w:rPr>
            </w:pPr>
            <w:r>
              <w:rPr>
                <w:i/>
                <w:sz w:val="22"/>
              </w:rPr>
              <w:t>3.2.18</w:t>
            </w:r>
          </w:p>
        </w:tc>
        <w:tc>
          <w:tcPr>
            <w:tcW w:w="1543" w:type="dxa"/>
          </w:tcPr>
          <w:p>
            <w:pPr>
              <w:pStyle w:val="TableParagraph"/>
              <w:spacing w:before="65"/>
              <w:ind w:left="233"/>
              <w:rPr>
                <w:i/>
                <w:sz w:val="22"/>
              </w:rPr>
            </w:pPr>
            <w:r>
              <w:rPr>
                <w:i/>
                <w:w w:val="95"/>
                <w:sz w:val="22"/>
              </w:rPr>
              <w:t>严重脑损伤</w:t>
            </w:r>
          </w:p>
        </w:tc>
        <w:tc>
          <w:tcPr>
            <w:tcW w:w="7716" w:type="dxa"/>
          </w:tcPr>
          <w:p>
            <w:pPr>
              <w:pStyle w:val="TableParagraph"/>
              <w:spacing w:line="273" w:lineRule="auto" w:before="76"/>
              <w:ind w:left="106" w:right="200"/>
              <w:rPr>
                <w:sz w:val="21"/>
              </w:rPr>
            </w:pPr>
            <w:r>
              <w:rPr>
                <w:spacing w:val="-7"/>
                <w:sz w:val="21"/>
              </w:rPr>
              <w:t>指因头部遭受机械性外力，引起脑重要部位损伤，导致神经系统永久性的功能障</w:t>
            </w:r>
            <w:r>
              <w:rPr>
                <w:spacing w:val="-15"/>
                <w:w w:val="100"/>
                <w:sz w:val="21"/>
              </w:rPr>
              <w:t>碍。须由头颅断层扫描</w:t>
            </w:r>
            <w:r>
              <w:rPr>
                <w:w w:val="100"/>
                <w:sz w:val="21"/>
              </w:rPr>
              <w:t>（C</w:t>
            </w:r>
            <w:r>
              <w:rPr>
                <w:spacing w:val="-3"/>
                <w:w w:val="100"/>
                <w:sz w:val="21"/>
              </w:rPr>
              <w:t>T</w:t>
            </w:r>
            <w:r>
              <w:rPr>
                <w:spacing w:val="-106"/>
                <w:w w:val="100"/>
                <w:sz w:val="21"/>
              </w:rPr>
              <w:t>）</w:t>
            </w:r>
            <w:r>
              <w:rPr>
                <w:spacing w:val="-18"/>
                <w:w w:val="100"/>
                <w:sz w:val="21"/>
              </w:rPr>
              <w:t>、核磁共振检查</w:t>
            </w:r>
            <w:r>
              <w:rPr>
                <w:w w:val="100"/>
                <w:sz w:val="21"/>
              </w:rPr>
              <w:t>（MR</w:t>
            </w:r>
            <w:r>
              <w:rPr>
                <w:spacing w:val="-3"/>
                <w:w w:val="100"/>
                <w:sz w:val="21"/>
              </w:rPr>
              <w:t>I</w:t>
            </w:r>
            <w:r>
              <w:rPr>
                <w:w w:val="100"/>
                <w:sz w:val="21"/>
              </w:rPr>
              <w:t>)</w:t>
            </w:r>
            <w:r>
              <w:rPr>
                <w:sz w:val="21"/>
              </w:rPr>
              <w:t> </w:t>
            </w:r>
            <w:r>
              <w:rPr>
                <w:spacing w:val="-9"/>
                <w:w w:val="100"/>
                <w:sz w:val="21"/>
              </w:rPr>
              <w:t>或正电子发射断层扫描</w:t>
            </w:r>
            <w:r>
              <w:rPr>
                <w:w w:val="100"/>
                <w:sz w:val="21"/>
              </w:rPr>
              <w:t>（P</w:t>
            </w:r>
            <w:r>
              <w:rPr>
                <w:spacing w:val="-3"/>
                <w:w w:val="100"/>
                <w:sz w:val="21"/>
              </w:rPr>
              <w:t>ET</w:t>
            </w:r>
            <w:r>
              <w:rPr>
                <w:w w:val="100"/>
                <w:sz w:val="21"/>
              </w:rPr>
              <w:t>）</w:t>
            </w:r>
            <w:r>
              <w:rPr>
                <w:spacing w:val="-11"/>
                <w:sz w:val="21"/>
              </w:rPr>
              <w:t>等影像学检查证实。神经系统永久性的功能障碍，指脑损伤 </w:t>
            </w:r>
            <w:r>
              <w:rPr>
                <w:sz w:val="21"/>
              </w:rPr>
              <w:t>180</w:t>
            </w:r>
            <w:r>
              <w:rPr>
                <w:spacing w:val="-6"/>
                <w:sz w:val="21"/>
              </w:rPr>
              <w:t> 天后，仍遗留下</w:t>
            </w:r>
            <w:r>
              <w:rPr>
                <w:spacing w:val="-3"/>
                <w:sz w:val="21"/>
              </w:rPr>
              <w:t>列一种或一种以上障碍：</w:t>
            </w:r>
          </w:p>
          <w:p>
            <w:pPr>
              <w:pStyle w:val="TableParagraph"/>
              <w:spacing w:before="7"/>
              <w:ind w:left="106"/>
              <w:rPr>
                <w:sz w:val="21"/>
              </w:rPr>
            </w:pPr>
            <w:r>
              <w:rPr>
                <w:sz w:val="21"/>
              </w:rPr>
              <w:t>（1）一肢或一肢以上肢体机能完全丧失；</w:t>
            </w:r>
          </w:p>
          <w:p>
            <w:pPr>
              <w:pStyle w:val="TableParagraph"/>
              <w:spacing w:before="37"/>
              <w:ind w:left="106"/>
              <w:rPr>
                <w:sz w:val="21"/>
              </w:rPr>
            </w:pPr>
            <w:r>
              <w:rPr>
                <w:sz w:val="21"/>
              </w:rPr>
              <w:t>（2）语言能力或咀嚼吞咽能力完全丧失；</w:t>
            </w:r>
          </w:p>
          <w:p>
            <w:pPr>
              <w:pStyle w:val="TableParagraph"/>
              <w:spacing w:line="273" w:lineRule="auto" w:before="37"/>
              <w:ind w:left="106" w:right="304"/>
              <w:rPr>
                <w:sz w:val="21"/>
              </w:rPr>
            </w:pPr>
            <w:r>
              <w:rPr>
                <w:sz w:val="21"/>
              </w:rPr>
              <w:t>（3）自主生活能力完全丧失，无法独立完成六项基本日常生活活动中的三项或三项以上。</w:t>
            </w:r>
          </w:p>
        </w:tc>
      </w:tr>
      <w:tr>
        <w:trPr>
          <w:trHeight w:val="2041" w:hRule="atLeast"/>
        </w:trPr>
        <w:tc>
          <w:tcPr>
            <w:tcW w:w="1068" w:type="dxa"/>
          </w:tcPr>
          <w:p>
            <w:pPr>
              <w:pStyle w:val="TableParagraph"/>
              <w:spacing w:before="65"/>
              <w:ind w:left="168" w:right="199"/>
              <w:jc w:val="center"/>
              <w:rPr>
                <w:i/>
                <w:sz w:val="22"/>
              </w:rPr>
            </w:pPr>
            <w:r>
              <w:rPr>
                <w:i/>
                <w:sz w:val="22"/>
              </w:rPr>
              <w:t>3.2.19</w:t>
            </w:r>
          </w:p>
        </w:tc>
        <w:tc>
          <w:tcPr>
            <w:tcW w:w="1543" w:type="dxa"/>
          </w:tcPr>
          <w:p>
            <w:pPr>
              <w:pStyle w:val="TableParagraph"/>
              <w:spacing w:line="259" w:lineRule="auto" w:before="65"/>
              <w:ind w:left="233" w:right="105"/>
              <w:rPr>
                <w:i/>
                <w:sz w:val="22"/>
              </w:rPr>
            </w:pPr>
            <w:r>
              <w:rPr>
                <w:i/>
                <w:w w:val="95"/>
                <w:sz w:val="22"/>
              </w:rPr>
              <w:t>严重帕金森</w:t>
            </w:r>
            <w:r>
              <w:rPr>
                <w:i/>
                <w:sz w:val="22"/>
              </w:rPr>
              <w:t>病</w:t>
            </w:r>
          </w:p>
        </w:tc>
        <w:tc>
          <w:tcPr>
            <w:tcW w:w="7716" w:type="dxa"/>
          </w:tcPr>
          <w:p>
            <w:pPr>
              <w:pStyle w:val="TableParagraph"/>
              <w:spacing w:line="273" w:lineRule="auto" w:before="77"/>
              <w:ind w:left="106" w:right="305"/>
              <w:rPr>
                <w:sz w:val="21"/>
              </w:rPr>
            </w:pPr>
            <w:r>
              <w:rPr>
                <w:spacing w:val="-6"/>
                <w:sz w:val="21"/>
              </w:rPr>
              <w:t>是一种中枢神经系统的退行性疾病，临床表现为震颤麻痹、共济失调等。须满足</w:t>
            </w:r>
            <w:r>
              <w:rPr>
                <w:spacing w:val="-4"/>
                <w:sz w:val="21"/>
              </w:rPr>
              <w:t>下列全部条件：</w:t>
            </w:r>
          </w:p>
          <w:p>
            <w:pPr>
              <w:pStyle w:val="TableParagraph"/>
              <w:spacing w:before="8"/>
              <w:ind w:left="106"/>
              <w:rPr>
                <w:sz w:val="21"/>
              </w:rPr>
            </w:pPr>
            <w:r>
              <w:rPr>
                <w:sz w:val="21"/>
              </w:rPr>
              <w:t>（1）药物治疗无法控制病情；</w:t>
            </w:r>
          </w:p>
          <w:p>
            <w:pPr>
              <w:pStyle w:val="TableParagraph"/>
              <w:spacing w:line="273" w:lineRule="auto" w:before="37"/>
              <w:ind w:left="106" w:right="304"/>
              <w:rPr>
                <w:sz w:val="21"/>
              </w:rPr>
            </w:pPr>
            <w:r>
              <w:rPr>
                <w:sz w:val="21"/>
              </w:rPr>
              <w:t>（2）自主生活能力完全丧失，无法独立完成六项基本日常生活活动中的三项或三项以上。</w:t>
            </w:r>
          </w:p>
          <w:p>
            <w:pPr>
              <w:pStyle w:val="TableParagraph"/>
              <w:spacing w:before="7"/>
              <w:ind w:left="106"/>
              <w:rPr>
                <w:sz w:val="21"/>
              </w:rPr>
            </w:pPr>
            <w:r>
              <w:rPr>
                <w:rFonts w:ascii="Times New Roman" w:eastAsia="Times New Roman"/>
                <w:spacing w:val="-53"/>
                <w:w w:val="100"/>
                <w:sz w:val="21"/>
                <w:shd w:fill="D9D9D9" w:color="auto" w:val="clear"/>
              </w:rPr>
              <w:t> </w:t>
            </w:r>
            <w:r>
              <w:rPr>
                <w:spacing w:val="-3"/>
                <w:sz w:val="21"/>
                <w:shd w:fill="D9D9D9" w:color="auto" w:val="clear"/>
              </w:rPr>
              <w:t>继发性帕金森综合征不在保障范围内。</w:t>
            </w:r>
          </w:p>
        </w:tc>
      </w:tr>
      <w:tr>
        <w:trPr>
          <w:trHeight w:val="794" w:hRule="atLeast"/>
        </w:trPr>
        <w:tc>
          <w:tcPr>
            <w:tcW w:w="1068" w:type="dxa"/>
          </w:tcPr>
          <w:p>
            <w:pPr>
              <w:pStyle w:val="TableParagraph"/>
              <w:spacing w:before="64"/>
              <w:ind w:left="168" w:right="199"/>
              <w:jc w:val="center"/>
              <w:rPr>
                <w:i/>
                <w:sz w:val="22"/>
              </w:rPr>
            </w:pPr>
            <w:r>
              <w:rPr>
                <w:i/>
                <w:sz w:val="22"/>
              </w:rPr>
              <w:t>3.2.20</w:t>
            </w:r>
          </w:p>
        </w:tc>
        <w:tc>
          <w:tcPr>
            <w:tcW w:w="1543" w:type="dxa"/>
          </w:tcPr>
          <w:p>
            <w:pPr>
              <w:pStyle w:val="TableParagraph"/>
              <w:spacing w:line="259" w:lineRule="auto" w:before="64"/>
              <w:ind w:left="233" w:right="105"/>
              <w:rPr>
                <w:i/>
                <w:sz w:val="22"/>
              </w:rPr>
            </w:pPr>
            <w:r>
              <w:rPr>
                <w:i/>
                <w:w w:val="95"/>
                <w:sz w:val="22"/>
              </w:rPr>
              <w:t>严重Ⅲ 度烧</w:t>
            </w:r>
            <w:r>
              <w:rPr>
                <w:i/>
                <w:sz w:val="22"/>
              </w:rPr>
              <w:t>伤</w:t>
            </w:r>
          </w:p>
        </w:tc>
        <w:tc>
          <w:tcPr>
            <w:tcW w:w="7716" w:type="dxa"/>
          </w:tcPr>
          <w:p>
            <w:pPr>
              <w:pStyle w:val="TableParagraph"/>
              <w:spacing w:line="273" w:lineRule="auto" w:before="75"/>
              <w:ind w:left="106" w:right="240"/>
              <w:rPr>
                <w:sz w:val="21"/>
              </w:rPr>
            </w:pPr>
            <w:r>
              <w:rPr>
                <w:sz w:val="21"/>
              </w:rPr>
              <w:t>指烧伤程度为Ⅲ度，且Ⅲ度烧伤面积达到全身体表面积的 20％或 20％以上。体表面积根据 《中国新九分法》计算。</w:t>
            </w:r>
          </w:p>
        </w:tc>
      </w:tr>
      <w:tr>
        <w:trPr>
          <w:trHeight w:val="1106" w:hRule="atLeast"/>
        </w:trPr>
        <w:tc>
          <w:tcPr>
            <w:tcW w:w="1068" w:type="dxa"/>
          </w:tcPr>
          <w:p>
            <w:pPr>
              <w:pStyle w:val="TableParagraph"/>
              <w:spacing w:before="64"/>
              <w:ind w:left="168" w:right="199"/>
              <w:jc w:val="center"/>
              <w:rPr>
                <w:i/>
                <w:sz w:val="22"/>
              </w:rPr>
            </w:pPr>
            <w:r>
              <w:rPr>
                <w:i/>
                <w:sz w:val="22"/>
              </w:rPr>
              <w:t>3.2.21</w:t>
            </w:r>
          </w:p>
        </w:tc>
        <w:tc>
          <w:tcPr>
            <w:tcW w:w="1543" w:type="dxa"/>
          </w:tcPr>
          <w:p>
            <w:pPr>
              <w:pStyle w:val="TableParagraph"/>
              <w:spacing w:line="261" w:lineRule="auto" w:before="64"/>
              <w:ind w:left="233" w:right="105"/>
              <w:rPr>
                <w:i/>
                <w:sz w:val="22"/>
              </w:rPr>
            </w:pPr>
            <w:r>
              <w:rPr>
                <w:i/>
                <w:w w:val="95"/>
                <w:sz w:val="22"/>
              </w:rPr>
              <w:t>严重原发性肺动脉高压</w:t>
            </w:r>
          </w:p>
        </w:tc>
        <w:tc>
          <w:tcPr>
            <w:tcW w:w="7716" w:type="dxa"/>
          </w:tcPr>
          <w:p>
            <w:pPr>
              <w:pStyle w:val="TableParagraph"/>
              <w:spacing w:line="273" w:lineRule="auto" w:before="76"/>
              <w:ind w:left="106" w:right="302"/>
              <w:jc w:val="both"/>
              <w:rPr>
                <w:sz w:val="21"/>
              </w:rPr>
            </w:pPr>
            <w:r>
              <w:rPr>
                <w:spacing w:val="-6"/>
                <w:sz w:val="21"/>
              </w:rPr>
              <w:t>指不明原因的肺动脉压力持续性增高，进行性发展而导致的慢性疾病，已经造成</w:t>
            </w:r>
            <w:r>
              <w:rPr>
                <w:spacing w:val="-12"/>
                <w:sz w:val="21"/>
              </w:rPr>
              <w:t>永久不可逆性的体力活动能力受限，达到美国纽约心脏病学会心功能状态分级 </w:t>
            </w:r>
            <w:r>
              <w:rPr>
                <w:sz w:val="21"/>
              </w:rPr>
              <w:t>IV </w:t>
            </w:r>
            <w:r>
              <w:rPr>
                <w:spacing w:val="-6"/>
                <w:sz w:val="21"/>
              </w:rPr>
              <w:t>级，且静息状态下肺动脉平均压超过 </w:t>
            </w:r>
            <w:r>
              <w:rPr>
                <w:sz w:val="21"/>
              </w:rPr>
              <w:t>3OmmHg</w:t>
            </w:r>
            <w:r>
              <w:rPr>
                <w:spacing w:val="5"/>
                <w:sz w:val="21"/>
              </w:rPr>
              <w:t> 。</w:t>
            </w:r>
          </w:p>
        </w:tc>
      </w:tr>
      <w:tr>
        <w:trPr>
          <w:trHeight w:val="1106" w:hRule="atLeast"/>
        </w:trPr>
        <w:tc>
          <w:tcPr>
            <w:tcW w:w="1068" w:type="dxa"/>
          </w:tcPr>
          <w:p>
            <w:pPr>
              <w:pStyle w:val="TableParagraph"/>
              <w:spacing w:before="65"/>
              <w:ind w:left="168" w:right="199"/>
              <w:jc w:val="center"/>
              <w:rPr>
                <w:i/>
                <w:sz w:val="22"/>
              </w:rPr>
            </w:pPr>
            <w:r>
              <w:rPr>
                <w:i/>
                <w:sz w:val="22"/>
              </w:rPr>
              <w:t>3.2.22</w:t>
            </w:r>
          </w:p>
        </w:tc>
        <w:tc>
          <w:tcPr>
            <w:tcW w:w="1543" w:type="dxa"/>
          </w:tcPr>
          <w:p>
            <w:pPr>
              <w:pStyle w:val="TableParagraph"/>
              <w:spacing w:line="259" w:lineRule="auto" w:before="65"/>
              <w:ind w:left="233" w:right="105"/>
              <w:rPr>
                <w:i/>
                <w:sz w:val="22"/>
              </w:rPr>
            </w:pPr>
            <w:r>
              <w:rPr>
                <w:i/>
                <w:w w:val="95"/>
                <w:sz w:val="22"/>
              </w:rPr>
              <w:t>严重运动神经元病</w:t>
            </w:r>
          </w:p>
        </w:tc>
        <w:tc>
          <w:tcPr>
            <w:tcW w:w="7716" w:type="dxa"/>
          </w:tcPr>
          <w:p>
            <w:pPr>
              <w:pStyle w:val="TableParagraph"/>
              <w:spacing w:line="273" w:lineRule="auto" w:before="76"/>
              <w:ind w:left="106" w:right="254"/>
              <w:jc w:val="both"/>
              <w:rPr>
                <w:sz w:val="21"/>
              </w:rPr>
            </w:pPr>
            <w:r>
              <w:rPr>
                <w:spacing w:val="-6"/>
                <w:sz w:val="21"/>
              </w:rPr>
              <w:t>是一组中枢神经系统运动神经元的进行性变性疾病，包括进行性脊肌萎缩症、进</w:t>
            </w:r>
            <w:r>
              <w:rPr>
                <w:spacing w:val="-8"/>
                <w:sz w:val="21"/>
              </w:rPr>
              <w:t>行性延髓麻痹症、原发性侧索硬化症、肌萎缩性侧索硬化症。须满足自主生活能</w:t>
            </w:r>
            <w:r>
              <w:rPr>
                <w:spacing w:val="-5"/>
                <w:sz w:val="21"/>
              </w:rPr>
              <w:t>力完全丧失，无法独立完成六项基本日常生活活动中的三项或三项以上的条件。</w:t>
            </w:r>
          </w:p>
        </w:tc>
      </w:tr>
      <w:tr>
        <w:trPr>
          <w:trHeight w:val="1730" w:hRule="atLeast"/>
        </w:trPr>
        <w:tc>
          <w:tcPr>
            <w:tcW w:w="1068" w:type="dxa"/>
          </w:tcPr>
          <w:p>
            <w:pPr>
              <w:pStyle w:val="TableParagraph"/>
              <w:spacing w:before="65"/>
              <w:ind w:left="168" w:right="199"/>
              <w:jc w:val="center"/>
              <w:rPr>
                <w:i/>
                <w:sz w:val="22"/>
              </w:rPr>
            </w:pPr>
            <w:r>
              <w:rPr>
                <w:i/>
                <w:sz w:val="22"/>
              </w:rPr>
              <w:t>3.2.23</w:t>
            </w:r>
          </w:p>
        </w:tc>
        <w:tc>
          <w:tcPr>
            <w:tcW w:w="1543" w:type="dxa"/>
          </w:tcPr>
          <w:p>
            <w:pPr>
              <w:pStyle w:val="TableParagraph"/>
              <w:spacing w:line="259" w:lineRule="auto" w:before="65"/>
              <w:ind w:left="233" w:right="105"/>
              <w:rPr>
                <w:i/>
                <w:sz w:val="22"/>
              </w:rPr>
            </w:pPr>
            <w:r>
              <w:rPr>
                <w:i/>
                <w:w w:val="95"/>
                <w:sz w:val="22"/>
              </w:rPr>
              <w:t>语言能力丧</w:t>
            </w:r>
            <w:r>
              <w:rPr>
                <w:i/>
                <w:sz w:val="22"/>
              </w:rPr>
              <w:t>失</w:t>
            </w:r>
          </w:p>
        </w:tc>
        <w:tc>
          <w:tcPr>
            <w:tcW w:w="7716" w:type="dxa"/>
          </w:tcPr>
          <w:p>
            <w:pPr>
              <w:pStyle w:val="TableParagraph"/>
              <w:spacing w:line="273" w:lineRule="auto" w:before="76"/>
              <w:ind w:left="106" w:right="302"/>
              <w:rPr>
                <w:sz w:val="21"/>
              </w:rPr>
            </w:pPr>
            <w:r>
              <w:rPr>
                <w:spacing w:val="-5"/>
                <w:sz w:val="21"/>
              </w:rPr>
              <w:t>指因疾病或意外伤害导致完全丧失语言能力，经过积极治疗至少 </w:t>
            </w:r>
            <w:r>
              <w:rPr>
                <w:sz w:val="21"/>
              </w:rPr>
              <w:t>12</w:t>
            </w:r>
            <w:r>
              <w:rPr>
                <w:spacing w:val="5"/>
                <w:sz w:val="21"/>
              </w:rPr>
              <w:t> 个月</w:t>
            </w:r>
            <w:r>
              <w:rPr>
                <w:spacing w:val="-3"/>
                <w:sz w:val="21"/>
              </w:rPr>
              <w:t>（</w:t>
            </w:r>
            <w:r>
              <w:rPr>
                <w:sz w:val="21"/>
              </w:rPr>
              <w:t>声带</w:t>
            </w:r>
            <w:r>
              <w:rPr>
                <w:spacing w:val="-3"/>
                <w:w w:val="100"/>
                <w:sz w:val="21"/>
              </w:rPr>
              <w:t>完全切除不受此时间限制</w:t>
            </w:r>
            <w:r>
              <w:rPr>
                <w:spacing w:val="-108"/>
                <w:w w:val="100"/>
                <w:sz w:val="21"/>
              </w:rPr>
              <w:t>）</w:t>
            </w:r>
            <w:r>
              <w:rPr>
                <w:spacing w:val="-3"/>
                <w:w w:val="100"/>
                <w:sz w:val="21"/>
              </w:rPr>
              <w:t>，仍无法通过现有医疗手段恢复。</w:t>
            </w:r>
          </w:p>
          <w:p>
            <w:pPr>
              <w:pStyle w:val="TableParagraph"/>
              <w:spacing w:before="7"/>
              <w:ind w:left="106"/>
              <w:rPr>
                <w:sz w:val="21"/>
              </w:rPr>
            </w:pPr>
            <w:r>
              <w:rPr>
                <w:rFonts w:ascii="Times New Roman" w:eastAsia="Times New Roman"/>
                <w:spacing w:val="-53"/>
                <w:w w:val="100"/>
                <w:sz w:val="21"/>
                <w:shd w:fill="D9D9D9" w:color="auto" w:val="clear"/>
              </w:rPr>
              <w:t> </w:t>
            </w:r>
            <w:r>
              <w:rPr>
                <w:spacing w:val="-3"/>
                <w:sz w:val="21"/>
                <w:shd w:fill="D9D9D9" w:color="auto" w:val="clear"/>
              </w:rPr>
              <w:t>精神心理因素所致的语言能力丧失不在保障范围内。</w:t>
            </w:r>
          </w:p>
          <w:p>
            <w:pPr>
              <w:pStyle w:val="TableParagraph"/>
              <w:spacing w:line="273" w:lineRule="auto" w:before="37"/>
              <w:ind w:left="106" w:right="302"/>
              <w:rPr>
                <w:sz w:val="21"/>
              </w:rPr>
            </w:pPr>
            <w:r>
              <w:rPr>
                <w:spacing w:val="-6"/>
                <w:sz w:val="21"/>
              </w:rPr>
              <w:t>被保险人申请理赔时年龄必须在三周岁以上，并且提供理赔当时的语言能力丧失</w:t>
            </w:r>
            <w:r>
              <w:rPr>
                <w:spacing w:val="-4"/>
                <w:sz w:val="21"/>
              </w:rPr>
              <w:t>诊断及检查证据。</w:t>
            </w:r>
          </w:p>
        </w:tc>
      </w:tr>
      <w:tr>
        <w:trPr>
          <w:trHeight w:val="665" w:hRule="atLeast"/>
        </w:trPr>
        <w:tc>
          <w:tcPr>
            <w:tcW w:w="1068" w:type="dxa"/>
          </w:tcPr>
          <w:p>
            <w:pPr>
              <w:pStyle w:val="TableParagraph"/>
              <w:spacing w:before="65"/>
              <w:ind w:left="168" w:right="199"/>
              <w:jc w:val="center"/>
              <w:rPr>
                <w:i/>
                <w:sz w:val="22"/>
              </w:rPr>
            </w:pPr>
            <w:r>
              <w:rPr>
                <w:i/>
                <w:sz w:val="22"/>
              </w:rPr>
              <w:t>3.2.24</w:t>
            </w:r>
          </w:p>
        </w:tc>
        <w:tc>
          <w:tcPr>
            <w:tcW w:w="1543" w:type="dxa"/>
          </w:tcPr>
          <w:p>
            <w:pPr>
              <w:pStyle w:val="TableParagraph"/>
              <w:spacing w:line="310" w:lineRule="atLeast" w:before="43"/>
              <w:ind w:left="233" w:right="105"/>
              <w:rPr>
                <w:i/>
                <w:sz w:val="22"/>
              </w:rPr>
            </w:pPr>
            <w:r>
              <w:rPr>
                <w:i/>
                <w:w w:val="95"/>
                <w:sz w:val="22"/>
              </w:rPr>
              <w:t>重型再生障碍性贫血</w:t>
            </w:r>
          </w:p>
        </w:tc>
        <w:tc>
          <w:tcPr>
            <w:tcW w:w="7716" w:type="dxa"/>
          </w:tcPr>
          <w:p>
            <w:pPr>
              <w:pStyle w:val="TableParagraph"/>
              <w:spacing w:line="310" w:lineRule="atLeast" w:before="41"/>
              <w:ind w:left="106" w:right="252"/>
              <w:rPr>
                <w:sz w:val="21"/>
              </w:rPr>
            </w:pPr>
            <w:r>
              <w:rPr>
                <w:sz w:val="21"/>
              </w:rPr>
              <w:t>指因骨髓造血功能慢性持续性衰竭导致的贫血、中性粒细胞减少及血小板减少。须满足下列全部条件：</w:t>
            </w:r>
          </w:p>
        </w:tc>
      </w:tr>
    </w:tbl>
    <w:p>
      <w:pPr>
        <w:spacing w:after="0" w:line="310" w:lineRule="atLeast"/>
        <w:rPr>
          <w:sz w:val="21"/>
        </w:rPr>
        <w:sectPr>
          <w:pgSz w:w="11910" w:h="16840"/>
          <w:pgMar w:header="568" w:footer="0" w:top="800" w:bottom="280" w:left="720" w:right="660"/>
        </w:sectPr>
      </w:pPr>
    </w:p>
    <w:p>
      <w:pPr>
        <w:pStyle w:val="BodyText"/>
        <w:rPr>
          <w:rFonts w:ascii="Times New Roman"/>
          <w:sz w:val="20"/>
        </w:rPr>
      </w:pPr>
    </w:p>
    <w:p>
      <w:pPr>
        <w:pStyle w:val="BodyText"/>
        <w:spacing w:before="2" w:after="1"/>
        <w:rPr>
          <w:rFonts w:ascii="Times New Roman"/>
          <w:sz w:val="13"/>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76"/>
        <w:gridCol w:w="1560"/>
        <w:gridCol w:w="7498"/>
      </w:tblGrid>
      <w:tr>
        <w:trPr>
          <w:trHeight w:val="1590" w:hRule="atLeast"/>
        </w:trPr>
        <w:tc>
          <w:tcPr>
            <w:tcW w:w="976" w:type="dxa"/>
          </w:tcPr>
          <w:p>
            <w:pPr>
              <w:pStyle w:val="TableParagraph"/>
              <w:rPr>
                <w:rFonts w:ascii="Times New Roman"/>
                <w:sz w:val="20"/>
              </w:rPr>
            </w:pPr>
          </w:p>
        </w:tc>
        <w:tc>
          <w:tcPr>
            <w:tcW w:w="1560" w:type="dxa"/>
          </w:tcPr>
          <w:p>
            <w:pPr>
              <w:pStyle w:val="TableParagraph"/>
              <w:rPr>
                <w:rFonts w:ascii="Times New Roman"/>
                <w:sz w:val="20"/>
              </w:rPr>
            </w:pPr>
          </w:p>
        </w:tc>
        <w:tc>
          <w:tcPr>
            <w:tcW w:w="7498" w:type="dxa"/>
          </w:tcPr>
          <w:p>
            <w:pPr>
              <w:pStyle w:val="TableParagraph"/>
              <w:spacing w:line="211" w:lineRule="exact"/>
              <w:ind w:left="90"/>
              <w:rPr>
                <w:sz w:val="21"/>
              </w:rPr>
            </w:pPr>
            <w:r>
              <w:rPr>
                <w:sz w:val="21"/>
              </w:rPr>
              <w:t>（1）骨髓穿刺检查或骨髓活检结果支持诊断；</w:t>
            </w:r>
          </w:p>
          <w:p>
            <w:pPr>
              <w:pStyle w:val="TableParagraph"/>
              <w:spacing w:before="37"/>
              <w:ind w:left="90"/>
              <w:rPr>
                <w:sz w:val="21"/>
              </w:rPr>
            </w:pPr>
            <w:r>
              <w:rPr>
                <w:sz w:val="21"/>
              </w:rPr>
              <w:t>（2）外周血象须具备所有三项条件：</w:t>
            </w:r>
          </w:p>
          <w:p>
            <w:pPr>
              <w:pStyle w:val="TableParagraph"/>
              <w:spacing w:before="36"/>
              <w:ind w:left="510"/>
              <w:rPr>
                <w:sz w:val="21"/>
              </w:rPr>
            </w:pPr>
            <w:r>
              <w:rPr>
                <w:sz w:val="21"/>
              </w:rPr>
              <w:t>① 中性粒细胞绝对值≤0.5×10</w:t>
            </w:r>
            <w:r>
              <w:rPr>
                <w:b/>
                <w:position w:val="11"/>
                <w:sz w:val="11"/>
              </w:rPr>
              <w:t>9</w:t>
            </w:r>
            <w:r>
              <w:rPr>
                <w:sz w:val="21"/>
              </w:rPr>
              <w:t>/L ；</w:t>
            </w:r>
          </w:p>
          <w:p>
            <w:pPr>
              <w:pStyle w:val="TableParagraph"/>
              <w:spacing w:before="36"/>
              <w:ind w:left="510"/>
              <w:rPr>
                <w:sz w:val="21"/>
              </w:rPr>
            </w:pPr>
            <w:r>
              <w:rPr>
                <w:sz w:val="21"/>
              </w:rPr>
              <w:t>② 网织红细胞＜1%；</w:t>
            </w:r>
          </w:p>
          <w:p>
            <w:pPr>
              <w:pStyle w:val="TableParagraph"/>
              <w:spacing w:before="36"/>
              <w:ind w:left="510"/>
              <w:rPr>
                <w:sz w:val="21"/>
              </w:rPr>
            </w:pPr>
            <w:r>
              <w:rPr>
                <w:sz w:val="21"/>
              </w:rPr>
              <w:t>③ 血小板绝对值≤20×10</w:t>
            </w:r>
            <w:r>
              <w:rPr>
                <w:b/>
                <w:position w:val="11"/>
                <w:sz w:val="11"/>
              </w:rPr>
              <w:t>9</w:t>
            </w:r>
            <w:r>
              <w:rPr>
                <w:sz w:val="21"/>
              </w:rPr>
              <w:t>/L。</w:t>
            </w:r>
          </w:p>
        </w:tc>
      </w:tr>
      <w:tr>
        <w:trPr>
          <w:trHeight w:val="1597" w:hRule="atLeast"/>
        </w:trPr>
        <w:tc>
          <w:tcPr>
            <w:tcW w:w="976" w:type="dxa"/>
          </w:tcPr>
          <w:p>
            <w:pPr>
              <w:pStyle w:val="TableParagraph"/>
              <w:spacing w:before="65"/>
              <w:ind w:left="107"/>
              <w:rPr>
                <w:i/>
                <w:sz w:val="22"/>
              </w:rPr>
            </w:pPr>
            <w:r>
              <w:rPr>
                <w:i/>
                <w:sz w:val="22"/>
              </w:rPr>
              <w:t>3.2.25</w:t>
            </w:r>
          </w:p>
        </w:tc>
        <w:tc>
          <w:tcPr>
            <w:tcW w:w="1560" w:type="dxa"/>
          </w:tcPr>
          <w:p>
            <w:pPr>
              <w:pStyle w:val="TableParagraph"/>
              <w:spacing w:before="65"/>
              <w:ind w:left="233"/>
              <w:rPr>
                <w:i/>
                <w:sz w:val="22"/>
              </w:rPr>
            </w:pPr>
            <w:r>
              <w:rPr>
                <w:i/>
                <w:w w:val="95"/>
                <w:sz w:val="22"/>
              </w:rPr>
              <w:t>主动脉手术</w:t>
            </w:r>
          </w:p>
        </w:tc>
        <w:tc>
          <w:tcPr>
            <w:tcW w:w="7498" w:type="dxa"/>
          </w:tcPr>
          <w:p>
            <w:pPr>
              <w:pStyle w:val="TableParagraph"/>
              <w:spacing w:line="273" w:lineRule="auto" w:before="76"/>
              <w:ind w:left="90" w:right="101"/>
              <w:jc w:val="both"/>
              <w:rPr>
                <w:sz w:val="21"/>
              </w:rPr>
            </w:pPr>
            <w:r>
              <w:rPr>
                <w:spacing w:val="-7"/>
                <w:sz w:val="21"/>
              </w:rPr>
              <w:t>指为治疗主动脉疾病，实际实施了开胸或开腹进行的切除、置换、修补病损主动</w:t>
            </w:r>
            <w:r>
              <w:rPr>
                <w:spacing w:val="-9"/>
                <w:sz w:val="21"/>
              </w:rPr>
              <w:t>脉血管的手术。主动脉指胸主动脉和腹主动脉，不包括胸主动脉和腹主动脉的分</w:t>
            </w:r>
            <w:r>
              <w:rPr>
                <w:spacing w:val="-6"/>
                <w:sz w:val="21"/>
              </w:rPr>
              <w:t>支血管。</w:t>
            </w:r>
          </w:p>
          <w:p>
            <w:pPr>
              <w:pStyle w:val="TableParagraph"/>
              <w:spacing w:before="7"/>
              <w:ind w:left="90"/>
              <w:jc w:val="both"/>
              <w:rPr>
                <w:sz w:val="21"/>
              </w:rPr>
            </w:pPr>
            <w:r>
              <w:rPr>
                <w:rFonts w:ascii="Times New Roman" w:eastAsia="Times New Roman"/>
                <w:spacing w:val="-53"/>
                <w:w w:val="100"/>
                <w:sz w:val="21"/>
                <w:shd w:fill="D9D9D9" w:color="auto" w:val="clear"/>
              </w:rPr>
              <w:t> </w:t>
            </w:r>
            <w:r>
              <w:rPr>
                <w:spacing w:val="-3"/>
                <w:sz w:val="21"/>
                <w:shd w:fill="D9D9D9" w:color="auto" w:val="clear"/>
              </w:rPr>
              <w:t>动脉内血管成形术不在保障范围内。</w:t>
            </w:r>
          </w:p>
        </w:tc>
      </w:tr>
      <w:tr>
        <w:trPr>
          <w:trHeight w:val="761" w:hRule="atLeast"/>
        </w:trPr>
        <w:tc>
          <w:tcPr>
            <w:tcW w:w="976" w:type="dxa"/>
            <w:tcBorders>
              <w:bottom w:val="double" w:sz="1" w:space="0" w:color="000000"/>
            </w:tcBorders>
          </w:tcPr>
          <w:p>
            <w:pPr>
              <w:pStyle w:val="TableParagraph"/>
              <w:spacing w:before="224"/>
              <w:ind w:left="107"/>
              <w:rPr>
                <w:b/>
                <w:sz w:val="28"/>
              </w:rPr>
            </w:pPr>
            <w:r>
              <w:rPr>
                <w:b/>
                <w:w w:val="99"/>
                <w:sz w:val="28"/>
              </w:rPr>
              <w:t>4</w:t>
            </w:r>
          </w:p>
        </w:tc>
        <w:tc>
          <w:tcPr>
            <w:tcW w:w="9058" w:type="dxa"/>
            <w:gridSpan w:val="2"/>
            <w:tcBorders>
              <w:bottom w:val="double" w:sz="1" w:space="0" w:color="000000"/>
            </w:tcBorders>
          </w:tcPr>
          <w:p>
            <w:pPr>
              <w:pStyle w:val="TableParagraph"/>
              <w:spacing w:before="224"/>
              <w:ind w:left="233"/>
              <w:rPr>
                <w:b/>
                <w:sz w:val="28"/>
              </w:rPr>
            </w:pPr>
            <w:r>
              <w:rPr>
                <w:b/>
                <w:sz w:val="28"/>
              </w:rPr>
              <w:t>保险金的申请</w:t>
            </w:r>
          </w:p>
        </w:tc>
      </w:tr>
      <w:tr>
        <w:trPr>
          <w:trHeight w:val="5842" w:hRule="atLeast"/>
        </w:trPr>
        <w:tc>
          <w:tcPr>
            <w:tcW w:w="976" w:type="dxa"/>
            <w:tcBorders>
              <w:top w:val="double" w:sz="1" w:space="0" w:color="000000"/>
            </w:tcBorders>
          </w:tcPr>
          <w:p>
            <w:pPr>
              <w:pStyle w:val="TableParagraph"/>
              <w:spacing w:before="128"/>
              <w:ind w:left="107"/>
              <w:rPr>
                <w:b/>
                <w:sz w:val="21"/>
              </w:rPr>
            </w:pPr>
            <w:r>
              <w:rPr>
                <w:b/>
                <w:sz w:val="21"/>
              </w:rPr>
              <w:t>4.1</w:t>
            </w:r>
          </w:p>
        </w:tc>
        <w:tc>
          <w:tcPr>
            <w:tcW w:w="1560" w:type="dxa"/>
            <w:tcBorders>
              <w:top w:val="double" w:sz="1" w:space="0" w:color="000000"/>
            </w:tcBorders>
          </w:tcPr>
          <w:p>
            <w:pPr>
              <w:pStyle w:val="TableParagraph"/>
              <w:spacing w:before="128"/>
              <w:ind w:left="233"/>
              <w:rPr>
                <w:b/>
                <w:sz w:val="21"/>
              </w:rPr>
            </w:pPr>
            <w:r>
              <w:rPr>
                <w:b/>
                <w:sz w:val="21"/>
              </w:rPr>
              <w:t>受益人</w:t>
            </w:r>
          </w:p>
        </w:tc>
        <w:tc>
          <w:tcPr>
            <w:tcW w:w="7498" w:type="dxa"/>
            <w:tcBorders>
              <w:top w:val="double" w:sz="1" w:space="0" w:color="000000"/>
            </w:tcBorders>
          </w:tcPr>
          <w:p>
            <w:pPr>
              <w:pStyle w:val="TableParagraph"/>
              <w:spacing w:before="128"/>
              <w:ind w:left="90"/>
              <w:rPr>
                <w:sz w:val="21"/>
              </w:rPr>
            </w:pPr>
            <w:r>
              <w:rPr>
                <w:sz w:val="21"/>
              </w:rPr>
              <w:t>您或者被保险人可以指定一人或多人为身故保险金受益人。</w:t>
            </w:r>
          </w:p>
          <w:p>
            <w:pPr>
              <w:pStyle w:val="TableParagraph"/>
              <w:spacing w:line="273" w:lineRule="auto" w:before="36"/>
              <w:ind w:left="90"/>
              <w:rPr>
                <w:sz w:val="21"/>
              </w:rPr>
            </w:pPr>
            <w:r>
              <w:rPr>
                <w:spacing w:val="-12"/>
                <w:sz w:val="21"/>
              </w:rPr>
              <w:t>身故保险金受益人为多人时，可以确定受益顺序和受益份额；如果没有确定份额， </w:t>
            </w:r>
            <w:r>
              <w:rPr>
                <w:spacing w:val="-6"/>
                <w:sz w:val="21"/>
              </w:rPr>
              <w:t>各受益人按照相等份额享有受益权。</w:t>
            </w:r>
          </w:p>
          <w:p>
            <w:pPr>
              <w:pStyle w:val="TableParagraph"/>
              <w:spacing w:line="273" w:lineRule="auto" w:before="7"/>
              <w:ind w:left="90" w:right="43"/>
              <w:rPr>
                <w:sz w:val="21"/>
              </w:rPr>
            </w:pPr>
            <w:r>
              <w:rPr>
                <w:sz w:val="21"/>
              </w:rPr>
              <w:t>被保险人为无民事行为能力人或限制民事行为能力人的，可以由其监护人指定受益人。</w:t>
            </w:r>
          </w:p>
          <w:p>
            <w:pPr>
              <w:pStyle w:val="TableParagraph"/>
              <w:spacing w:line="273" w:lineRule="auto" w:before="7"/>
              <w:ind w:left="90" w:right="42"/>
              <w:rPr>
                <w:sz w:val="21"/>
              </w:rPr>
            </w:pPr>
            <w:r>
              <w:rPr>
                <w:sz w:val="21"/>
              </w:rPr>
              <w:t>您或者被保险人可以变更身故保险金受益人并书面通知我们。我们收到变更受益人的书面通知后，在电子保险单或其他保险凭证上批注或附贴批单。</w:t>
            </w:r>
          </w:p>
          <w:p>
            <w:pPr>
              <w:pStyle w:val="TableParagraph"/>
              <w:spacing w:before="7"/>
              <w:ind w:left="90"/>
              <w:rPr>
                <w:sz w:val="21"/>
              </w:rPr>
            </w:pPr>
            <w:r>
              <w:rPr>
                <w:sz w:val="21"/>
              </w:rPr>
              <w:t>您在指定和变更身故保险金受益人时，必须经过被保险人同意。</w:t>
            </w:r>
          </w:p>
          <w:p>
            <w:pPr>
              <w:pStyle w:val="TableParagraph"/>
              <w:spacing w:before="37"/>
              <w:ind w:left="90"/>
              <w:rPr>
                <w:sz w:val="21"/>
              </w:rPr>
            </w:pPr>
            <w:r>
              <w:rPr>
                <w:sz w:val="21"/>
              </w:rPr>
              <w:t>被保险人身故后，有下列情形之一的，保险金作为被保险人的遗产，由我们依照</w:t>
            </w:r>
          </w:p>
          <w:p>
            <w:pPr>
              <w:pStyle w:val="TableParagraph"/>
              <w:spacing w:before="37"/>
              <w:ind w:left="90"/>
              <w:rPr>
                <w:sz w:val="21"/>
              </w:rPr>
            </w:pPr>
            <w:r>
              <w:rPr>
                <w:sz w:val="21"/>
              </w:rPr>
              <w:t>《中华人民共和国继承法》的规定履行给付保险金的义务：</w:t>
            </w:r>
          </w:p>
          <w:p>
            <w:pPr>
              <w:pStyle w:val="TableParagraph"/>
              <w:spacing w:before="36"/>
              <w:ind w:left="90"/>
              <w:rPr>
                <w:sz w:val="21"/>
              </w:rPr>
            </w:pPr>
            <w:r>
              <w:rPr>
                <w:sz w:val="21"/>
              </w:rPr>
              <w:t>（1）没有指定受益人，或者受益人指定不明无法确定的；</w:t>
            </w:r>
          </w:p>
          <w:p>
            <w:pPr>
              <w:pStyle w:val="TableParagraph"/>
              <w:spacing w:before="36"/>
              <w:ind w:left="90"/>
              <w:rPr>
                <w:sz w:val="21"/>
              </w:rPr>
            </w:pPr>
            <w:r>
              <w:rPr>
                <w:sz w:val="21"/>
              </w:rPr>
              <w:t>（2）受益人先于被保险人身故，没有其他受益人的；</w:t>
            </w:r>
          </w:p>
          <w:p>
            <w:pPr>
              <w:pStyle w:val="TableParagraph"/>
              <w:spacing w:before="36"/>
              <w:ind w:left="90"/>
              <w:rPr>
                <w:sz w:val="21"/>
              </w:rPr>
            </w:pPr>
            <w:r>
              <w:rPr>
                <w:sz w:val="21"/>
              </w:rPr>
              <w:t>（3）受益人依法丧失受益权或者放弃受益权，没有其他受益人的。</w:t>
            </w:r>
          </w:p>
          <w:p>
            <w:pPr>
              <w:pStyle w:val="TableParagraph"/>
              <w:spacing w:line="273" w:lineRule="auto" w:before="36"/>
              <w:ind w:left="90" w:right="101"/>
              <w:rPr>
                <w:sz w:val="21"/>
              </w:rPr>
            </w:pPr>
            <w:r>
              <w:rPr>
                <w:spacing w:val="-6"/>
                <w:sz w:val="21"/>
              </w:rPr>
              <w:t>受益人与被保险人在同一事件中身故，且不能确定身故先后顺序的，推定受益人</w:t>
            </w:r>
            <w:r>
              <w:rPr>
                <w:spacing w:val="-4"/>
                <w:sz w:val="21"/>
              </w:rPr>
              <w:t>身故在先。</w:t>
            </w:r>
          </w:p>
          <w:p>
            <w:pPr>
              <w:pStyle w:val="TableParagraph"/>
              <w:spacing w:line="273" w:lineRule="auto" w:before="7"/>
              <w:ind w:left="90" w:right="51"/>
              <w:rPr>
                <w:sz w:val="21"/>
              </w:rPr>
            </w:pPr>
            <w:r>
              <w:rPr>
                <w:sz w:val="21"/>
              </w:rPr>
              <w:t>受益人故意造成被保险人身故、伤残、疾病的，或者故意杀害被保险人未遂的， 该受益人丧失受益权。</w:t>
            </w:r>
          </w:p>
          <w:p>
            <w:pPr>
              <w:pStyle w:val="TableParagraph"/>
              <w:spacing w:before="7"/>
              <w:ind w:left="90"/>
              <w:rPr>
                <w:sz w:val="21"/>
              </w:rPr>
            </w:pPr>
            <w:r>
              <w:rPr>
                <w:sz w:val="21"/>
              </w:rPr>
              <w:t>如无其他特别约定，重大疾病保险金的受益人为被保险人本人。</w:t>
            </w:r>
          </w:p>
        </w:tc>
      </w:tr>
      <w:tr>
        <w:trPr>
          <w:trHeight w:val="1729" w:hRule="atLeast"/>
        </w:trPr>
        <w:tc>
          <w:tcPr>
            <w:tcW w:w="976" w:type="dxa"/>
          </w:tcPr>
          <w:p>
            <w:pPr>
              <w:pStyle w:val="TableParagraph"/>
              <w:spacing w:before="70"/>
              <w:ind w:left="107"/>
              <w:rPr>
                <w:b/>
                <w:sz w:val="21"/>
              </w:rPr>
            </w:pPr>
            <w:r>
              <w:rPr>
                <w:b/>
                <w:sz w:val="21"/>
              </w:rPr>
              <w:t>4.2</w:t>
            </w:r>
          </w:p>
        </w:tc>
        <w:tc>
          <w:tcPr>
            <w:tcW w:w="1560" w:type="dxa"/>
          </w:tcPr>
          <w:p>
            <w:pPr>
              <w:pStyle w:val="TableParagraph"/>
              <w:spacing w:line="273" w:lineRule="auto" w:before="70"/>
              <w:ind w:left="233" w:right="89"/>
              <w:rPr>
                <w:b/>
                <w:sz w:val="21"/>
              </w:rPr>
            </w:pPr>
            <w:r>
              <w:rPr>
                <w:b/>
                <w:sz w:val="21"/>
              </w:rPr>
              <w:t>保险事故通知</w:t>
            </w:r>
          </w:p>
        </w:tc>
        <w:tc>
          <w:tcPr>
            <w:tcW w:w="7498" w:type="dxa"/>
          </w:tcPr>
          <w:p>
            <w:pPr>
              <w:pStyle w:val="TableParagraph"/>
              <w:spacing w:before="70"/>
              <w:ind w:left="90"/>
              <w:rPr>
                <w:sz w:val="21"/>
              </w:rPr>
            </w:pPr>
            <w:r>
              <w:rPr>
                <w:sz w:val="21"/>
              </w:rPr>
              <w:t>您、被保险人或受益人知道保险事故发生后应当在 10 日内通知我们。</w:t>
            </w:r>
          </w:p>
          <w:p>
            <w:pPr>
              <w:pStyle w:val="TableParagraph"/>
              <w:spacing w:before="37"/>
              <w:ind w:left="90"/>
              <w:rPr>
                <w:sz w:val="21"/>
              </w:rPr>
            </w:pPr>
            <w:r>
              <w:rPr>
                <w:rFonts w:ascii="Times New Roman" w:eastAsia="Times New Roman"/>
                <w:spacing w:val="-53"/>
                <w:w w:val="100"/>
                <w:sz w:val="21"/>
                <w:shd w:fill="D9D9D9" w:color="auto" w:val="clear"/>
              </w:rPr>
              <w:t> </w:t>
            </w:r>
            <w:r>
              <w:rPr>
                <w:spacing w:val="-6"/>
                <w:sz w:val="21"/>
                <w:shd w:fill="D9D9D9" w:color="auto" w:val="clear"/>
              </w:rPr>
              <w:t>如果因故意或者因重大过失未及时通知，致使保险事故的性质、原因、损失程度</w:t>
            </w:r>
          </w:p>
          <w:p>
            <w:pPr>
              <w:pStyle w:val="TableParagraph"/>
              <w:spacing w:line="273" w:lineRule="auto" w:before="37"/>
              <w:ind w:left="90" w:right="105"/>
              <w:jc w:val="both"/>
              <w:rPr>
                <w:sz w:val="21"/>
              </w:rPr>
            </w:pPr>
            <w:r>
              <w:rPr>
                <w:rFonts w:ascii="Times New Roman" w:eastAsia="Times New Roman"/>
                <w:spacing w:val="-53"/>
                <w:w w:val="100"/>
                <w:sz w:val="21"/>
                <w:shd w:fill="D9D9D9" w:color="auto" w:val="clear"/>
              </w:rPr>
              <w:t> </w:t>
            </w:r>
            <w:r>
              <w:rPr>
                <w:spacing w:val="-7"/>
                <w:sz w:val="21"/>
                <w:shd w:fill="D9D9D9" w:color="auto" w:val="clear"/>
              </w:rPr>
              <w:t>等难以确定的，我们对无法确定的部分，不承担给付保险金的责任，</w:t>
            </w:r>
            <w:r>
              <w:rPr>
                <w:spacing w:val="-3"/>
                <w:sz w:val="21"/>
              </w:rPr>
              <w:t>但我们通过</w:t>
            </w:r>
            <w:r>
              <w:rPr>
                <w:sz w:val="21"/>
              </w:rPr>
              <w:t>其他途径已经及时知道或者应当及时知道保险事故发生或者虽未及时通知但不</w:t>
            </w:r>
            <w:r>
              <w:rPr>
                <w:spacing w:val="-3"/>
                <w:sz w:val="21"/>
              </w:rPr>
              <w:t>影响我们确定保险事故的性质、原因、损失程度的除外。</w:t>
            </w:r>
          </w:p>
        </w:tc>
      </w:tr>
      <w:tr>
        <w:trPr>
          <w:trHeight w:val="477" w:hRule="atLeast"/>
        </w:trPr>
        <w:tc>
          <w:tcPr>
            <w:tcW w:w="976" w:type="dxa"/>
          </w:tcPr>
          <w:p>
            <w:pPr>
              <w:pStyle w:val="TableParagraph"/>
              <w:spacing w:before="72"/>
              <w:ind w:left="107"/>
              <w:rPr>
                <w:b/>
                <w:sz w:val="21"/>
              </w:rPr>
            </w:pPr>
            <w:r>
              <w:rPr>
                <w:b/>
                <w:sz w:val="21"/>
              </w:rPr>
              <w:t>4.3</w:t>
            </w:r>
          </w:p>
        </w:tc>
        <w:tc>
          <w:tcPr>
            <w:tcW w:w="1560" w:type="dxa"/>
          </w:tcPr>
          <w:p>
            <w:pPr>
              <w:pStyle w:val="TableParagraph"/>
              <w:spacing w:before="72"/>
              <w:ind w:left="233"/>
              <w:rPr>
                <w:b/>
                <w:sz w:val="21"/>
              </w:rPr>
            </w:pPr>
            <w:r>
              <w:rPr>
                <w:b/>
                <w:sz w:val="21"/>
              </w:rPr>
              <w:t>保险金申请</w:t>
            </w:r>
          </w:p>
        </w:tc>
        <w:tc>
          <w:tcPr>
            <w:tcW w:w="7498" w:type="dxa"/>
          </w:tcPr>
          <w:p>
            <w:pPr>
              <w:pStyle w:val="TableParagraph"/>
              <w:spacing w:before="72"/>
              <w:ind w:left="90"/>
              <w:rPr>
                <w:sz w:val="21"/>
              </w:rPr>
            </w:pPr>
            <w:r>
              <w:rPr>
                <w:sz w:val="21"/>
              </w:rPr>
              <w:t>在申请保险金时，请按照下列方式办理：</w:t>
            </w:r>
          </w:p>
        </w:tc>
      </w:tr>
      <w:tr>
        <w:trPr>
          <w:trHeight w:val="2224" w:hRule="atLeast"/>
        </w:trPr>
        <w:tc>
          <w:tcPr>
            <w:tcW w:w="976" w:type="dxa"/>
          </w:tcPr>
          <w:p>
            <w:pPr>
              <w:pStyle w:val="TableParagraph"/>
              <w:spacing w:before="65"/>
              <w:ind w:left="107"/>
              <w:rPr>
                <w:i/>
                <w:sz w:val="22"/>
              </w:rPr>
            </w:pPr>
            <w:r>
              <w:rPr>
                <w:i/>
                <w:sz w:val="22"/>
              </w:rPr>
              <w:t>4.3.1</w:t>
            </w:r>
          </w:p>
        </w:tc>
        <w:tc>
          <w:tcPr>
            <w:tcW w:w="1560" w:type="dxa"/>
          </w:tcPr>
          <w:p>
            <w:pPr>
              <w:pStyle w:val="TableParagraph"/>
              <w:spacing w:line="266" w:lineRule="auto" w:before="89"/>
              <w:ind w:left="233" w:right="122"/>
              <w:rPr>
                <w:i/>
                <w:sz w:val="22"/>
              </w:rPr>
            </w:pPr>
            <w:r>
              <w:rPr>
                <w:i/>
                <w:w w:val="95"/>
                <w:sz w:val="22"/>
              </w:rPr>
              <w:t>重大疾病保险金申请</w:t>
            </w:r>
          </w:p>
        </w:tc>
        <w:tc>
          <w:tcPr>
            <w:tcW w:w="7498" w:type="dxa"/>
          </w:tcPr>
          <w:p>
            <w:pPr>
              <w:pStyle w:val="TableParagraph"/>
              <w:spacing w:before="76"/>
              <w:ind w:left="90"/>
              <w:rPr>
                <w:sz w:val="21"/>
              </w:rPr>
            </w:pPr>
            <w:r>
              <w:rPr>
                <w:sz w:val="21"/>
              </w:rPr>
              <w:t>申请人须填写保险金给付申请书，并须提供下列证明和资料：</w:t>
            </w:r>
          </w:p>
          <w:p>
            <w:pPr>
              <w:pStyle w:val="TableParagraph"/>
              <w:spacing w:before="36"/>
              <w:ind w:left="90"/>
              <w:rPr>
                <w:sz w:val="21"/>
              </w:rPr>
            </w:pPr>
            <w:r>
              <w:rPr>
                <w:sz w:val="21"/>
              </w:rPr>
              <w:t>（</w:t>
            </w:r>
            <w:r>
              <w:rPr>
                <w:rFonts w:ascii="Times New Roman" w:eastAsia="Times New Roman"/>
                <w:sz w:val="21"/>
              </w:rPr>
              <w:t>1</w:t>
            </w:r>
            <w:r>
              <w:rPr>
                <w:sz w:val="21"/>
              </w:rPr>
              <w:t>）保险合同；</w:t>
            </w:r>
          </w:p>
          <w:p>
            <w:pPr>
              <w:pStyle w:val="TableParagraph"/>
              <w:spacing w:before="21"/>
              <w:ind w:left="90"/>
              <w:rPr>
                <w:sz w:val="21"/>
              </w:rPr>
            </w:pPr>
            <w:r>
              <w:rPr>
                <w:sz w:val="21"/>
              </w:rPr>
              <w:t>（</w:t>
            </w:r>
            <w:r>
              <w:rPr>
                <w:rFonts w:ascii="Times New Roman" w:eastAsia="Times New Roman"/>
                <w:sz w:val="21"/>
              </w:rPr>
              <w:t>2</w:t>
            </w:r>
            <w:r>
              <w:rPr>
                <w:sz w:val="21"/>
              </w:rPr>
              <w:t>）受益人有效身份证件；</w:t>
            </w:r>
          </w:p>
          <w:p>
            <w:pPr>
              <w:pStyle w:val="TableParagraph"/>
              <w:spacing w:line="256" w:lineRule="auto" w:before="21"/>
              <w:ind w:left="90"/>
              <w:rPr>
                <w:sz w:val="21"/>
              </w:rPr>
            </w:pPr>
            <w:r>
              <w:rPr>
                <w:sz w:val="21"/>
              </w:rPr>
              <w:t>（</w:t>
            </w:r>
            <w:r>
              <w:rPr>
                <w:rFonts w:ascii="Times New Roman" w:hAnsi="Times New Roman" w:eastAsia="Times New Roman"/>
                <w:sz w:val="21"/>
              </w:rPr>
              <w:t>3</w:t>
            </w:r>
            <w:r>
              <w:rPr>
                <w:sz w:val="21"/>
              </w:rPr>
              <w:t>）</w:t>
            </w:r>
            <w:r>
              <w:rPr>
                <w:spacing w:val="-3"/>
                <w:sz w:val="21"/>
              </w:rPr>
              <w:t>我们认可的医院专科医生出具的附有病理显微镜检查、血液检验及其他科</w:t>
            </w:r>
            <w:r>
              <w:rPr>
                <w:spacing w:val="-12"/>
                <w:sz w:val="21"/>
              </w:rPr>
              <w:t>学方法检验报告的、诊断结论符合</w:t>
            </w:r>
            <w:r>
              <w:rPr>
                <w:sz w:val="21"/>
              </w:rPr>
              <w:t>“3</w:t>
            </w:r>
            <w:r>
              <w:rPr>
                <w:spacing w:val="-5"/>
                <w:sz w:val="21"/>
              </w:rPr>
              <w:t> 重大疾病”所列举情形的疾病诊断证明书；</w:t>
            </w:r>
          </w:p>
          <w:p>
            <w:pPr>
              <w:pStyle w:val="TableParagraph"/>
              <w:spacing w:line="290" w:lineRule="atLeast" w:before="22"/>
              <w:ind w:left="90" w:right="106"/>
              <w:rPr>
                <w:sz w:val="21"/>
              </w:rPr>
            </w:pPr>
            <w:r>
              <w:rPr>
                <w:sz w:val="21"/>
              </w:rPr>
              <w:t>（</w:t>
            </w:r>
            <w:r>
              <w:rPr>
                <w:rFonts w:ascii="Times New Roman" w:eastAsia="Times New Roman"/>
                <w:sz w:val="21"/>
              </w:rPr>
              <w:t>4</w:t>
            </w:r>
            <w:r>
              <w:rPr>
                <w:sz w:val="21"/>
              </w:rPr>
              <w:t>）所能够提供的与确认保险事故的性质、原因、伤害程度等有关的其他证明和资料。</w:t>
            </w:r>
          </w:p>
        </w:tc>
      </w:tr>
    </w:tbl>
    <w:p>
      <w:pPr>
        <w:spacing w:after="0" w:line="290" w:lineRule="atLeast"/>
        <w:rPr>
          <w:sz w:val="21"/>
        </w:rPr>
        <w:sectPr>
          <w:pgSz w:w="11910" w:h="16840"/>
          <w:pgMar w:header="568" w:footer="0" w:top="800" w:bottom="280" w:left="800" w:right="860"/>
        </w:sectPr>
      </w:pPr>
    </w:p>
    <w:p>
      <w:pPr>
        <w:pStyle w:val="BodyText"/>
        <w:rPr>
          <w:rFonts w:ascii="Times New Roman"/>
          <w:sz w:val="20"/>
        </w:rPr>
      </w:pPr>
    </w:p>
    <w:p>
      <w:pPr>
        <w:pStyle w:val="BodyText"/>
        <w:spacing w:before="4"/>
        <w:rPr>
          <w:rFonts w:ascii="Times New Roman"/>
          <w:sz w:val="12"/>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23"/>
        <w:gridCol w:w="1613"/>
        <w:gridCol w:w="7501"/>
      </w:tblGrid>
      <w:tr>
        <w:trPr>
          <w:trHeight w:val="2848" w:hRule="atLeast"/>
        </w:trPr>
        <w:tc>
          <w:tcPr>
            <w:tcW w:w="923" w:type="dxa"/>
          </w:tcPr>
          <w:p>
            <w:pPr>
              <w:pStyle w:val="TableParagraph"/>
              <w:spacing w:line="222" w:lineRule="exact"/>
              <w:ind w:left="107"/>
              <w:rPr>
                <w:i/>
                <w:sz w:val="22"/>
              </w:rPr>
            </w:pPr>
            <w:r>
              <w:rPr>
                <w:i/>
                <w:sz w:val="22"/>
              </w:rPr>
              <w:t>4.3.2</w:t>
            </w:r>
          </w:p>
        </w:tc>
        <w:tc>
          <w:tcPr>
            <w:tcW w:w="1613" w:type="dxa"/>
          </w:tcPr>
          <w:p>
            <w:pPr>
              <w:pStyle w:val="TableParagraph"/>
              <w:spacing w:line="246" w:lineRule="exact"/>
              <w:ind w:left="286"/>
              <w:rPr>
                <w:i/>
                <w:sz w:val="22"/>
              </w:rPr>
            </w:pPr>
            <w:r>
              <w:rPr>
                <w:i/>
                <w:w w:val="95"/>
                <w:sz w:val="22"/>
              </w:rPr>
              <w:t>身故保险金</w:t>
            </w:r>
          </w:p>
          <w:p>
            <w:pPr>
              <w:pStyle w:val="TableParagraph"/>
              <w:spacing w:before="34"/>
              <w:ind w:left="286"/>
              <w:rPr>
                <w:i/>
                <w:sz w:val="22"/>
              </w:rPr>
            </w:pPr>
            <w:r>
              <w:rPr>
                <w:i/>
                <w:w w:val="95"/>
                <w:sz w:val="22"/>
              </w:rPr>
              <w:t>申请</w:t>
            </w:r>
          </w:p>
        </w:tc>
        <w:tc>
          <w:tcPr>
            <w:tcW w:w="7501" w:type="dxa"/>
          </w:tcPr>
          <w:p>
            <w:pPr>
              <w:pStyle w:val="TableParagraph"/>
              <w:spacing w:line="221" w:lineRule="exact"/>
              <w:ind w:left="90"/>
              <w:rPr>
                <w:sz w:val="21"/>
              </w:rPr>
            </w:pPr>
            <w:r>
              <w:rPr>
                <w:sz w:val="21"/>
              </w:rPr>
              <w:t>申请人须填写保险金给付申请书，并须提供下列证明和资料：</w:t>
            </w:r>
          </w:p>
          <w:p>
            <w:pPr>
              <w:pStyle w:val="TableParagraph"/>
              <w:spacing w:before="37"/>
              <w:ind w:left="90"/>
              <w:rPr>
                <w:sz w:val="21"/>
              </w:rPr>
            </w:pPr>
            <w:r>
              <w:rPr>
                <w:sz w:val="21"/>
              </w:rPr>
              <w:t>（1）保险合同；</w:t>
            </w:r>
          </w:p>
          <w:p>
            <w:pPr>
              <w:pStyle w:val="TableParagraph"/>
              <w:spacing w:before="36"/>
              <w:ind w:left="90"/>
              <w:rPr>
                <w:sz w:val="21"/>
              </w:rPr>
            </w:pPr>
            <w:r>
              <w:rPr>
                <w:sz w:val="21"/>
              </w:rPr>
              <w:t>（2）受益人有效身份证件；</w:t>
            </w:r>
          </w:p>
          <w:p>
            <w:pPr>
              <w:pStyle w:val="TableParagraph"/>
              <w:spacing w:line="273" w:lineRule="auto" w:before="36"/>
              <w:ind w:left="90" w:right="106"/>
              <w:rPr>
                <w:sz w:val="21"/>
              </w:rPr>
            </w:pPr>
            <w:r>
              <w:rPr>
                <w:sz w:val="21"/>
              </w:rPr>
              <w:t>（3）国务院卫生行政部门规定的医疗机构、公安部门或其他有权机构出具的被保险人死亡证明书或验尸证明；</w:t>
            </w:r>
          </w:p>
          <w:p>
            <w:pPr>
              <w:pStyle w:val="TableParagraph"/>
              <w:spacing w:before="7"/>
              <w:ind w:left="90"/>
              <w:rPr>
                <w:sz w:val="21"/>
              </w:rPr>
            </w:pPr>
            <w:r>
              <w:rPr>
                <w:sz w:val="21"/>
              </w:rPr>
              <w:t>（4）如被保险人为宣告死亡，须提供法院出具的宣告死亡判决书；</w:t>
            </w:r>
          </w:p>
          <w:p>
            <w:pPr>
              <w:pStyle w:val="TableParagraph"/>
              <w:spacing w:before="37"/>
              <w:ind w:left="90"/>
              <w:rPr>
                <w:sz w:val="21"/>
              </w:rPr>
            </w:pPr>
            <w:r>
              <w:rPr>
                <w:sz w:val="21"/>
              </w:rPr>
              <w:t>（5）被保险人户籍注销证明；</w:t>
            </w:r>
          </w:p>
          <w:p>
            <w:pPr>
              <w:pStyle w:val="TableParagraph"/>
              <w:spacing w:line="273" w:lineRule="auto" w:before="37"/>
              <w:ind w:left="90" w:right="471"/>
              <w:rPr>
                <w:sz w:val="21"/>
              </w:rPr>
            </w:pPr>
            <w:r>
              <w:rPr>
                <w:sz w:val="21"/>
              </w:rPr>
              <w:t>（6）所能提供的与确认保险事故的性质、原因等有关的其他证明和资料。保险金作为被保险人遗产时，必须提供可证明合法继承权的相关权利文件。</w:t>
            </w:r>
          </w:p>
        </w:tc>
      </w:tr>
      <w:tr>
        <w:trPr>
          <w:trHeight w:val="1140" w:hRule="atLeast"/>
        </w:trPr>
        <w:tc>
          <w:tcPr>
            <w:tcW w:w="923" w:type="dxa"/>
          </w:tcPr>
          <w:p>
            <w:pPr>
              <w:pStyle w:val="TableParagraph"/>
              <w:spacing w:before="65"/>
              <w:ind w:left="107"/>
              <w:rPr>
                <w:i/>
                <w:sz w:val="22"/>
              </w:rPr>
            </w:pPr>
            <w:r>
              <w:rPr>
                <w:i/>
                <w:sz w:val="22"/>
              </w:rPr>
              <w:t>4.3.3</w:t>
            </w:r>
          </w:p>
        </w:tc>
        <w:tc>
          <w:tcPr>
            <w:tcW w:w="1613" w:type="dxa"/>
          </w:tcPr>
          <w:p>
            <w:pPr>
              <w:pStyle w:val="TableParagraph"/>
              <w:spacing w:line="266" w:lineRule="auto" w:before="89"/>
              <w:ind w:left="286" w:right="122"/>
              <w:jc w:val="both"/>
              <w:rPr>
                <w:i/>
                <w:sz w:val="22"/>
              </w:rPr>
            </w:pPr>
            <w:r>
              <w:rPr>
                <w:i/>
                <w:w w:val="95"/>
                <w:sz w:val="22"/>
              </w:rPr>
              <w:t>委托他人代为申请保险</w:t>
            </w:r>
            <w:r>
              <w:rPr>
                <w:i/>
                <w:sz w:val="22"/>
              </w:rPr>
              <w:t>金</w:t>
            </w:r>
          </w:p>
        </w:tc>
        <w:tc>
          <w:tcPr>
            <w:tcW w:w="7501" w:type="dxa"/>
          </w:tcPr>
          <w:p>
            <w:pPr>
              <w:pStyle w:val="TableParagraph"/>
              <w:spacing w:line="273" w:lineRule="auto" w:before="76"/>
              <w:ind w:left="90" w:right="104"/>
              <w:rPr>
                <w:sz w:val="21"/>
              </w:rPr>
            </w:pPr>
            <w:r>
              <w:rPr>
                <w:spacing w:val="-6"/>
                <w:sz w:val="21"/>
              </w:rPr>
              <w:t>若受益人委托他人代为申请，被委托人还应提供受益人签字的授权委托书、被委</w:t>
            </w:r>
            <w:r>
              <w:rPr>
                <w:spacing w:val="-3"/>
                <w:sz w:val="21"/>
              </w:rPr>
              <w:t>托人的有效身份证件等相关证明文件。</w:t>
            </w:r>
          </w:p>
        </w:tc>
      </w:tr>
      <w:tr>
        <w:trPr>
          <w:trHeight w:val="785" w:hRule="atLeast"/>
        </w:trPr>
        <w:tc>
          <w:tcPr>
            <w:tcW w:w="923" w:type="dxa"/>
          </w:tcPr>
          <w:p>
            <w:pPr>
              <w:pStyle w:val="TableParagraph"/>
              <w:spacing w:before="56"/>
              <w:ind w:left="107"/>
              <w:rPr>
                <w:i/>
                <w:sz w:val="22"/>
              </w:rPr>
            </w:pPr>
            <w:r>
              <w:rPr>
                <w:i/>
                <w:sz w:val="22"/>
              </w:rPr>
              <w:t>4.3.4</w:t>
            </w:r>
          </w:p>
        </w:tc>
        <w:tc>
          <w:tcPr>
            <w:tcW w:w="1613" w:type="dxa"/>
          </w:tcPr>
          <w:p>
            <w:pPr>
              <w:pStyle w:val="TableParagraph"/>
              <w:spacing w:before="56"/>
              <w:ind w:left="286"/>
              <w:rPr>
                <w:i/>
                <w:sz w:val="22"/>
              </w:rPr>
            </w:pPr>
            <w:r>
              <w:rPr>
                <w:i/>
                <w:w w:val="95"/>
                <w:sz w:val="22"/>
              </w:rPr>
              <w:t>补充通知</w:t>
            </w:r>
          </w:p>
        </w:tc>
        <w:tc>
          <w:tcPr>
            <w:tcW w:w="7501" w:type="dxa"/>
          </w:tcPr>
          <w:p>
            <w:pPr>
              <w:pStyle w:val="TableParagraph"/>
              <w:spacing w:line="273" w:lineRule="auto" w:before="67"/>
              <w:ind w:left="90" w:right="104"/>
              <w:rPr>
                <w:sz w:val="21"/>
              </w:rPr>
            </w:pPr>
            <w:r>
              <w:rPr>
                <w:spacing w:val="-7"/>
                <w:sz w:val="21"/>
              </w:rPr>
              <w:t>以上证明和资料不完整的，我们将及时一次性通知申请人补充提供有关的证明和资料。</w:t>
            </w:r>
          </w:p>
        </w:tc>
      </w:tr>
      <w:tr>
        <w:trPr>
          <w:trHeight w:val="812" w:hRule="atLeast"/>
        </w:trPr>
        <w:tc>
          <w:tcPr>
            <w:tcW w:w="923" w:type="dxa"/>
          </w:tcPr>
          <w:p>
            <w:pPr>
              <w:pStyle w:val="TableParagraph"/>
              <w:spacing w:before="65"/>
              <w:ind w:left="107"/>
              <w:rPr>
                <w:i/>
                <w:sz w:val="22"/>
              </w:rPr>
            </w:pPr>
            <w:r>
              <w:rPr>
                <w:i/>
                <w:sz w:val="22"/>
              </w:rPr>
              <w:t>4.3.5</w:t>
            </w:r>
          </w:p>
        </w:tc>
        <w:tc>
          <w:tcPr>
            <w:tcW w:w="1613" w:type="dxa"/>
          </w:tcPr>
          <w:p>
            <w:pPr>
              <w:pStyle w:val="TableParagraph"/>
              <w:spacing w:before="65"/>
              <w:ind w:left="286"/>
              <w:rPr>
                <w:i/>
                <w:sz w:val="22"/>
              </w:rPr>
            </w:pPr>
            <w:r>
              <w:rPr>
                <w:i/>
                <w:w w:val="95"/>
                <w:sz w:val="22"/>
              </w:rPr>
              <w:t>身体检查</w:t>
            </w:r>
          </w:p>
        </w:tc>
        <w:tc>
          <w:tcPr>
            <w:tcW w:w="7501" w:type="dxa"/>
          </w:tcPr>
          <w:p>
            <w:pPr>
              <w:pStyle w:val="TableParagraph"/>
              <w:spacing w:line="273" w:lineRule="auto" w:before="76"/>
              <w:ind w:left="90" w:right="104"/>
              <w:rPr>
                <w:sz w:val="21"/>
              </w:rPr>
            </w:pPr>
            <w:r>
              <w:rPr>
                <w:spacing w:val="-7"/>
                <w:sz w:val="21"/>
              </w:rPr>
              <w:t>除上述相关证明和资料外，我们如认为必要，在保险事故发生后可以对被保险人</w:t>
            </w:r>
            <w:r>
              <w:rPr>
                <w:spacing w:val="-5"/>
                <w:sz w:val="21"/>
              </w:rPr>
              <w:t>的身体状况进行检查或鉴定。</w:t>
            </w:r>
          </w:p>
        </w:tc>
      </w:tr>
      <w:tr>
        <w:trPr>
          <w:trHeight w:val="3927" w:hRule="atLeast"/>
        </w:trPr>
        <w:tc>
          <w:tcPr>
            <w:tcW w:w="923" w:type="dxa"/>
          </w:tcPr>
          <w:p>
            <w:pPr>
              <w:pStyle w:val="TableParagraph"/>
              <w:spacing w:before="85"/>
              <w:ind w:left="107"/>
              <w:rPr>
                <w:b/>
                <w:sz w:val="21"/>
              </w:rPr>
            </w:pPr>
            <w:r>
              <w:rPr>
                <w:b/>
                <w:sz w:val="21"/>
              </w:rPr>
              <w:t>4.4</w:t>
            </w:r>
          </w:p>
        </w:tc>
        <w:tc>
          <w:tcPr>
            <w:tcW w:w="1613" w:type="dxa"/>
          </w:tcPr>
          <w:p>
            <w:pPr>
              <w:pStyle w:val="TableParagraph"/>
              <w:spacing w:before="85"/>
              <w:ind w:left="286"/>
              <w:rPr>
                <w:b/>
                <w:sz w:val="21"/>
              </w:rPr>
            </w:pPr>
            <w:r>
              <w:rPr>
                <w:b/>
                <w:sz w:val="21"/>
              </w:rPr>
              <w:t>保险金给付</w:t>
            </w:r>
          </w:p>
        </w:tc>
        <w:tc>
          <w:tcPr>
            <w:tcW w:w="7501" w:type="dxa"/>
          </w:tcPr>
          <w:p>
            <w:pPr>
              <w:pStyle w:val="TableParagraph"/>
              <w:spacing w:before="85"/>
              <w:ind w:left="90"/>
              <w:jc w:val="both"/>
              <w:rPr>
                <w:sz w:val="21"/>
              </w:rPr>
            </w:pPr>
            <w:r>
              <w:rPr>
                <w:spacing w:val="-6"/>
                <w:sz w:val="21"/>
              </w:rPr>
              <w:t>我们在收到保险金给付申请书及上述有关的证明和资料后，将在</w:t>
            </w:r>
            <w:r>
              <w:rPr>
                <w:sz w:val="21"/>
              </w:rPr>
              <w:t>5</w:t>
            </w:r>
            <w:r>
              <w:rPr>
                <w:spacing w:val="-7"/>
                <w:sz w:val="21"/>
              </w:rPr>
              <w:t> 日内作出核定；</w:t>
            </w:r>
          </w:p>
          <w:p>
            <w:pPr>
              <w:pStyle w:val="TableParagraph"/>
              <w:spacing w:before="37"/>
              <w:ind w:left="90"/>
              <w:jc w:val="both"/>
              <w:rPr>
                <w:sz w:val="21"/>
              </w:rPr>
            </w:pPr>
            <w:r>
              <w:rPr>
                <w:sz w:val="21"/>
              </w:rPr>
              <w:t>情形复杂的，在 30 日内作出核定。</w:t>
            </w:r>
          </w:p>
          <w:p>
            <w:pPr>
              <w:pStyle w:val="TableParagraph"/>
              <w:spacing w:before="37"/>
              <w:ind w:left="90"/>
              <w:jc w:val="both"/>
              <w:rPr>
                <w:sz w:val="21"/>
              </w:rPr>
            </w:pPr>
            <w:r>
              <w:rPr>
                <w:sz w:val="21"/>
              </w:rPr>
              <w:t>对属于保险责任的，我们在与受益人达成给付保险金的协议后 10 日内，履行给</w:t>
            </w:r>
          </w:p>
          <w:p>
            <w:pPr>
              <w:pStyle w:val="TableParagraph"/>
              <w:spacing w:before="37"/>
              <w:ind w:left="90"/>
              <w:jc w:val="both"/>
              <w:rPr>
                <w:sz w:val="21"/>
              </w:rPr>
            </w:pPr>
            <w:r>
              <w:rPr>
                <w:sz w:val="21"/>
              </w:rPr>
              <w:t>付保险金义务。若我们在收齐相关证明和资料后 30 日内仍未作出核定，除支付</w:t>
            </w:r>
          </w:p>
          <w:p>
            <w:pPr>
              <w:pStyle w:val="TableParagraph"/>
              <w:spacing w:line="273" w:lineRule="auto" w:before="37"/>
              <w:ind w:left="90" w:right="104"/>
              <w:jc w:val="both"/>
              <w:rPr>
                <w:sz w:val="21"/>
              </w:rPr>
            </w:pPr>
            <w:r>
              <w:rPr>
                <w:spacing w:val="-4"/>
                <w:sz w:val="21"/>
              </w:rPr>
              <w:t>保险金外，我们将从第 </w:t>
            </w:r>
            <w:r>
              <w:rPr>
                <w:sz w:val="21"/>
              </w:rPr>
              <w:t>31</w:t>
            </w:r>
            <w:r>
              <w:rPr>
                <w:spacing w:val="-4"/>
                <w:sz w:val="21"/>
              </w:rPr>
              <w:t> 日起按超过天数赔偿受益人因此受到的利息损失。利</w:t>
            </w:r>
            <w:r>
              <w:rPr>
                <w:sz w:val="21"/>
              </w:rPr>
              <w:t>息按照不低于中国人民银行公布的同期金融机构人民币活期存款基准利率按复</w:t>
            </w:r>
            <w:r>
              <w:rPr>
                <w:spacing w:val="-1"/>
                <w:sz w:val="21"/>
              </w:rPr>
              <w:t>利计算。</w:t>
            </w:r>
          </w:p>
          <w:p>
            <w:pPr>
              <w:pStyle w:val="TableParagraph"/>
              <w:spacing w:line="273" w:lineRule="auto" w:before="7"/>
              <w:ind w:left="90" w:right="104"/>
              <w:jc w:val="both"/>
              <w:rPr>
                <w:sz w:val="21"/>
              </w:rPr>
            </w:pPr>
            <w:r>
              <w:rPr>
                <w:spacing w:val="-10"/>
                <w:sz w:val="21"/>
              </w:rPr>
              <w:t>对不属于保险责任的，我们自作出核定之日起 </w:t>
            </w:r>
            <w:r>
              <w:rPr>
                <w:sz w:val="21"/>
              </w:rPr>
              <w:t>3</w:t>
            </w:r>
            <w:r>
              <w:rPr>
                <w:spacing w:val="-7"/>
                <w:sz w:val="21"/>
              </w:rPr>
              <w:t> 日内向受益人发出拒绝给付保险</w:t>
            </w:r>
            <w:r>
              <w:rPr>
                <w:spacing w:val="-5"/>
                <w:sz w:val="21"/>
              </w:rPr>
              <w:t>金通知书并说明理由。</w:t>
            </w:r>
          </w:p>
          <w:p>
            <w:pPr>
              <w:pStyle w:val="TableParagraph"/>
              <w:spacing w:line="273" w:lineRule="auto" w:before="7"/>
              <w:ind w:left="90" w:right="104"/>
              <w:jc w:val="both"/>
              <w:rPr>
                <w:sz w:val="21"/>
              </w:rPr>
            </w:pPr>
            <w:r>
              <w:rPr>
                <w:spacing w:val="-4"/>
                <w:sz w:val="21"/>
              </w:rPr>
              <w:t>我们在收到保险金给付申请书及有关证明和资料之日起 </w:t>
            </w:r>
            <w:r>
              <w:rPr>
                <w:sz w:val="21"/>
              </w:rPr>
              <w:t>60</w:t>
            </w:r>
            <w:r>
              <w:rPr>
                <w:spacing w:val="-4"/>
                <w:sz w:val="21"/>
              </w:rPr>
              <w:t> 日内，对给付保险金</w:t>
            </w:r>
            <w:r>
              <w:rPr>
                <w:spacing w:val="-7"/>
                <w:sz w:val="21"/>
              </w:rPr>
              <w:t>的数额不能确定的，根据已有证明和资料可以确定的数额先予支付；我们最终确</w:t>
            </w:r>
            <w:r>
              <w:rPr>
                <w:spacing w:val="-5"/>
                <w:sz w:val="21"/>
              </w:rPr>
              <w:t>定给付保险金的数额后，将支付相应的差额。</w:t>
            </w:r>
          </w:p>
        </w:tc>
      </w:tr>
      <w:tr>
        <w:trPr>
          <w:trHeight w:val="1731" w:hRule="atLeast"/>
        </w:trPr>
        <w:tc>
          <w:tcPr>
            <w:tcW w:w="923" w:type="dxa"/>
          </w:tcPr>
          <w:p>
            <w:pPr>
              <w:pStyle w:val="TableParagraph"/>
              <w:spacing w:before="72"/>
              <w:ind w:left="107"/>
              <w:rPr>
                <w:b/>
                <w:sz w:val="21"/>
              </w:rPr>
            </w:pPr>
            <w:r>
              <w:rPr>
                <w:b/>
                <w:sz w:val="21"/>
              </w:rPr>
              <w:t>4.5</w:t>
            </w:r>
          </w:p>
        </w:tc>
        <w:tc>
          <w:tcPr>
            <w:tcW w:w="1613" w:type="dxa"/>
          </w:tcPr>
          <w:p>
            <w:pPr>
              <w:pStyle w:val="TableParagraph"/>
              <w:spacing w:line="273" w:lineRule="auto" w:before="72"/>
              <w:ind w:left="286" w:right="89"/>
              <w:rPr>
                <w:b/>
                <w:sz w:val="21"/>
              </w:rPr>
            </w:pPr>
            <w:r>
              <w:rPr>
                <w:b/>
                <w:sz w:val="21"/>
              </w:rPr>
              <w:t>宣告死亡处理</w:t>
            </w:r>
          </w:p>
        </w:tc>
        <w:tc>
          <w:tcPr>
            <w:tcW w:w="7501" w:type="dxa"/>
          </w:tcPr>
          <w:p>
            <w:pPr>
              <w:pStyle w:val="TableParagraph"/>
              <w:spacing w:line="273" w:lineRule="auto" w:before="72"/>
              <w:ind w:left="90" w:right="104"/>
              <w:jc w:val="both"/>
              <w:rPr>
                <w:sz w:val="21"/>
              </w:rPr>
            </w:pPr>
            <w:r>
              <w:rPr>
                <w:spacing w:val="-6"/>
                <w:sz w:val="21"/>
              </w:rPr>
              <w:t>如果被保险人在本合同有效期内失踪，而且被法院宣告死亡，我们以法院判决宣</w:t>
            </w:r>
            <w:r>
              <w:rPr>
                <w:spacing w:val="-7"/>
                <w:sz w:val="21"/>
              </w:rPr>
              <w:t>告死亡之日作为被保险人死亡的时间，按本合同的约定给付身故保险金，本合同</w:t>
            </w:r>
            <w:r>
              <w:rPr>
                <w:spacing w:val="-4"/>
                <w:sz w:val="21"/>
              </w:rPr>
              <w:t>效力终止。</w:t>
            </w:r>
          </w:p>
          <w:p>
            <w:pPr>
              <w:pStyle w:val="TableParagraph"/>
              <w:spacing w:line="273" w:lineRule="auto" w:before="8"/>
              <w:ind w:left="90" w:right="56"/>
              <w:jc w:val="both"/>
              <w:rPr>
                <w:sz w:val="21"/>
              </w:rPr>
            </w:pPr>
            <w:r>
              <w:rPr>
                <w:spacing w:val="-8"/>
                <w:sz w:val="21"/>
              </w:rPr>
              <w:t>如果被保险人在宣告死亡后重新出现或者确知其没有死亡，受益人应于知道后 </w:t>
            </w:r>
            <w:r>
              <w:rPr>
                <w:sz w:val="21"/>
              </w:rPr>
              <w:t>30 </w:t>
            </w:r>
            <w:r>
              <w:rPr>
                <w:spacing w:val="-3"/>
                <w:sz w:val="21"/>
              </w:rPr>
              <w:t>日内向我们退还已给付的保险金，本合同的效力由您和我们双方依法协商处理。</w:t>
            </w:r>
          </w:p>
        </w:tc>
      </w:tr>
      <w:tr>
        <w:trPr>
          <w:trHeight w:val="967" w:hRule="atLeast"/>
        </w:trPr>
        <w:tc>
          <w:tcPr>
            <w:tcW w:w="923" w:type="dxa"/>
          </w:tcPr>
          <w:p>
            <w:pPr>
              <w:pStyle w:val="TableParagraph"/>
              <w:spacing w:before="72"/>
              <w:ind w:left="107"/>
              <w:rPr>
                <w:b/>
                <w:sz w:val="21"/>
              </w:rPr>
            </w:pPr>
            <w:r>
              <w:rPr>
                <w:b/>
                <w:sz w:val="21"/>
              </w:rPr>
              <w:t>4.6</w:t>
            </w:r>
          </w:p>
        </w:tc>
        <w:tc>
          <w:tcPr>
            <w:tcW w:w="1613" w:type="dxa"/>
          </w:tcPr>
          <w:p>
            <w:pPr>
              <w:pStyle w:val="TableParagraph"/>
              <w:spacing w:before="72"/>
              <w:ind w:left="286"/>
              <w:rPr>
                <w:b/>
                <w:sz w:val="21"/>
              </w:rPr>
            </w:pPr>
            <w:r>
              <w:rPr>
                <w:b/>
                <w:sz w:val="21"/>
              </w:rPr>
              <w:t>诉讼时效</w:t>
            </w:r>
          </w:p>
        </w:tc>
        <w:tc>
          <w:tcPr>
            <w:tcW w:w="7501" w:type="dxa"/>
          </w:tcPr>
          <w:p>
            <w:pPr>
              <w:pStyle w:val="TableParagraph"/>
              <w:spacing w:line="273" w:lineRule="auto" w:before="72"/>
              <w:ind w:left="90" w:right="104"/>
              <w:rPr>
                <w:sz w:val="21"/>
              </w:rPr>
            </w:pPr>
            <w:r>
              <w:rPr>
                <w:spacing w:val="-5"/>
                <w:sz w:val="21"/>
              </w:rPr>
              <w:t>受益人向我们请求给付保险金的诉讼时效期间为 </w:t>
            </w:r>
            <w:r>
              <w:rPr>
                <w:sz w:val="21"/>
              </w:rPr>
              <w:t>2</w:t>
            </w:r>
            <w:r>
              <w:rPr>
                <w:spacing w:val="-12"/>
                <w:sz w:val="21"/>
              </w:rPr>
              <w:t> 年，自其知道或者应当知道保</w:t>
            </w:r>
            <w:r>
              <w:rPr>
                <w:spacing w:val="-6"/>
                <w:sz w:val="21"/>
              </w:rPr>
              <w:t>险事故发生之日起计算。</w:t>
            </w:r>
          </w:p>
        </w:tc>
      </w:tr>
      <w:tr>
        <w:trPr>
          <w:trHeight w:val="760" w:hRule="atLeast"/>
        </w:trPr>
        <w:tc>
          <w:tcPr>
            <w:tcW w:w="923" w:type="dxa"/>
            <w:tcBorders>
              <w:bottom w:val="double" w:sz="1" w:space="0" w:color="000000"/>
            </w:tcBorders>
          </w:tcPr>
          <w:p>
            <w:pPr>
              <w:pStyle w:val="TableParagraph"/>
              <w:spacing w:before="222"/>
              <w:ind w:left="107"/>
              <w:rPr>
                <w:b/>
                <w:sz w:val="28"/>
              </w:rPr>
            </w:pPr>
            <w:r>
              <w:rPr>
                <w:b/>
                <w:w w:val="99"/>
                <w:sz w:val="28"/>
              </w:rPr>
              <w:t>5</w:t>
            </w:r>
          </w:p>
        </w:tc>
        <w:tc>
          <w:tcPr>
            <w:tcW w:w="9114" w:type="dxa"/>
            <w:gridSpan w:val="2"/>
            <w:tcBorders>
              <w:bottom w:val="double" w:sz="1" w:space="0" w:color="000000"/>
            </w:tcBorders>
          </w:tcPr>
          <w:p>
            <w:pPr>
              <w:pStyle w:val="TableParagraph"/>
              <w:spacing w:before="222"/>
              <w:ind w:left="286"/>
              <w:rPr>
                <w:b/>
                <w:sz w:val="28"/>
              </w:rPr>
            </w:pPr>
            <w:r>
              <w:rPr>
                <w:b/>
                <w:sz w:val="28"/>
              </w:rPr>
              <w:t>保险费的交纳</w:t>
            </w:r>
          </w:p>
        </w:tc>
      </w:tr>
      <w:tr>
        <w:trPr>
          <w:trHeight w:val="1027" w:hRule="atLeast"/>
        </w:trPr>
        <w:tc>
          <w:tcPr>
            <w:tcW w:w="923" w:type="dxa"/>
            <w:tcBorders>
              <w:top w:val="double" w:sz="1" w:space="0" w:color="000000"/>
            </w:tcBorders>
          </w:tcPr>
          <w:p>
            <w:pPr>
              <w:pStyle w:val="TableParagraph"/>
              <w:spacing w:before="128"/>
              <w:ind w:left="107"/>
              <w:rPr>
                <w:b/>
                <w:sz w:val="21"/>
              </w:rPr>
            </w:pPr>
            <w:r>
              <w:rPr>
                <w:b/>
                <w:sz w:val="21"/>
              </w:rPr>
              <w:t>5.1</w:t>
            </w:r>
          </w:p>
        </w:tc>
        <w:tc>
          <w:tcPr>
            <w:tcW w:w="1613" w:type="dxa"/>
            <w:tcBorders>
              <w:top w:val="double" w:sz="1" w:space="0" w:color="000000"/>
            </w:tcBorders>
          </w:tcPr>
          <w:p>
            <w:pPr>
              <w:pStyle w:val="TableParagraph"/>
              <w:spacing w:line="273" w:lineRule="auto" w:before="128"/>
              <w:ind w:left="286" w:right="89"/>
              <w:rPr>
                <w:b/>
                <w:sz w:val="21"/>
              </w:rPr>
            </w:pPr>
            <w:r>
              <w:rPr>
                <w:b/>
                <w:sz w:val="21"/>
              </w:rPr>
              <w:t>保险费的交纳</w:t>
            </w:r>
          </w:p>
        </w:tc>
        <w:tc>
          <w:tcPr>
            <w:tcW w:w="7501" w:type="dxa"/>
            <w:tcBorders>
              <w:top w:val="double" w:sz="1" w:space="0" w:color="000000"/>
            </w:tcBorders>
          </w:tcPr>
          <w:p>
            <w:pPr>
              <w:pStyle w:val="TableParagraph"/>
              <w:spacing w:before="128"/>
              <w:ind w:left="90"/>
              <w:rPr>
                <w:sz w:val="21"/>
              </w:rPr>
            </w:pPr>
            <w:r>
              <w:rPr>
                <w:sz w:val="21"/>
              </w:rPr>
              <w:t>本合同的交费方式和交费期间由您和我们约定并在电子保险单上载明。</w:t>
            </w:r>
          </w:p>
          <w:p>
            <w:pPr>
              <w:pStyle w:val="TableParagraph"/>
              <w:spacing w:line="310" w:lineRule="atLeast" w:before="2"/>
              <w:ind w:left="90" w:right="109"/>
              <w:rPr>
                <w:sz w:val="21"/>
              </w:rPr>
            </w:pPr>
            <w:r>
              <w:rPr>
                <w:spacing w:val="-7"/>
                <w:sz w:val="21"/>
              </w:rPr>
              <w:t>分期交纳保险费的，在交纳首期保险费后，您应当按照约定，在每个保险费约定</w:t>
            </w:r>
            <w:r>
              <w:rPr>
                <w:spacing w:val="-5"/>
                <w:sz w:val="21"/>
              </w:rPr>
              <w:t>交纳日交纳当期的保险费。</w:t>
            </w:r>
          </w:p>
        </w:tc>
      </w:tr>
    </w:tbl>
    <w:p>
      <w:pPr>
        <w:spacing w:after="0" w:line="310" w:lineRule="atLeast"/>
        <w:rPr>
          <w:sz w:val="21"/>
        </w:rPr>
        <w:sectPr>
          <w:pgSz w:w="11910" w:h="16840"/>
          <w:pgMar w:header="568" w:footer="0" w:top="800" w:bottom="280" w:left="800" w:right="840"/>
        </w:sectPr>
      </w:pPr>
    </w:p>
    <w:p>
      <w:pPr>
        <w:pStyle w:val="BodyText"/>
        <w:rPr>
          <w:rFonts w:ascii="Times New Roman"/>
          <w:sz w:val="20"/>
        </w:rPr>
      </w:pPr>
    </w:p>
    <w:p>
      <w:pPr>
        <w:pStyle w:val="BodyText"/>
        <w:spacing w:before="2" w:after="1"/>
        <w:rPr>
          <w:rFonts w:ascii="Times New Roman"/>
          <w:sz w:val="13"/>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17"/>
        <w:gridCol w:w="1718"/>
        <w:gridCol w:w="7497"/>
      </w:tblGrid>
      <w:tr>
        <w:trPr>
          <w:trHeight w:val="1769" w:hRule="atLeast"/>
        </w:trPr>
        <w:tc>
          <w:tcPr>
            <w:tcW w:w="817" w:type="dxa"/>
          </w:tcPr>
          <w:p>
            <w:pPr>
              <w:pStyle w:val="TableParagraph"/>
              <w:spacing w:line="211" w:lineRule="exact"/>
              <w:ind w:left="107"/>
              <w:rPr>
                <w:b/>
                <w:sz w:val="21"/>
              </w:rPr>
            </w:pPr>
            <w:r>
              <w:rPr>
                <w:b/>
                <w:sz w:val="21"/>
              </w:rPr>
              <w:t>5.2</w:t>
            </w:r>
          </w:p>
        </w:tc>
        <w:tc>
          <w:tcPr>
            <w:tcW w:w="1718" w:type="dxa"/>
          </w:tcPr>
          <w:p>
            <w:pPr>
              <w:pStyle w:val="TableParagraph"/>
              <w:spacing w:line="211" w:lineRule="exact"/>
              <w:ind w:left="392"/>
              <w:rPr>
                <w:b/>
                <w:sz w:val="21"/>
              </w:rPr>
            </w:pPr>
            <w:r>
              <w:rPr>
                <w:b/>
                <w:sz w:val="21"/>
              </w:rPr>
              <w:t>宽限期</w:t>
            </w:r>
          </w:p>
        </w:tc>
        <w:tc>
          <w:tcPr>
            <w:tcW w:w="7497" w:type="dxa"/>
          </w:tcPr>
          <w:p>
            <w:pPr>
              <w:pStyle w:val="TableParagraph"/>
              <w:spacing w:line="211" w:lineRule="exact"/>
              <w:ind w:left="90"/>
              <w:rPr>
                <w:sz w:val="21"/>
              </w:rPr>
            </w:pPr>
            <w:r>
              <w:rPr>
                <w:sz w:val="21"/>
              </w:rPr>
              <w:t>分期交纳保险费的，在交纳首期保险费后，如果您到期未交纳保险费，自保险费</w:t>
            </w:r>
          </w:p>
          <w:p>
            <w:pPr>
              <w:pStyle w:val="TableParagraph"/>
              <w:spacing w:line="273" w:lineRule="auto" w:before="37"/>
              <w:ind w:left="90" w:right="38"/>
              <w:rPr>
                <w:sz w:val="21"/>
              </w:rPr>
            </w:pPr>
            <w:r>
              <w:rPr>
                <w:sz w:val="21"/>
              </w:rPr>
              <w:t>约定交纳日的次日零时起 60 日为宽限期。宽限期内发生的保险事故，我们仍会承担保险责任，但在给付保险金时会扣除您欠交的保险费。</w:t>
            </w:r>
          </w:p>
          <w:p>
            <w:pPr>
              <w:pStyle w:val="TableParagraph"/>
              <w:spacing w:line="273" w:lineRule="auto" w:before="7"/>
              <w:ind w:left="90" w:right="99"/>
              <w:rPr>
                <w:sz w:val="21"/>
              </w:rPr>
            </w:pPr>
            <w:r>
              <w:rPr>
                <w:spacing w:val="-6"/>
                <w:sz w:val="21"/>
              </w:rPr>
              <w:t>如果您宽限期结束之后仍未交纳保险费，则本合同自宽限期满的次日零时起效力中止。</w:t>
            </w:r>
          </w:p>
        </w:tc>
      </w:tr>
      <w:tr>
        <w:trPr>
          <w:trHeight w:val="761" w:hRule="atLeast"/>
        </w:trPr>
        <w:tc>
          <w:tcPr>
            <w:tcW w:w="817" w:type="dxa"/>
            <w:tcBorders>
              <w:bottom w:val="double" w:sz="1" w:space="0" w:color="000000"/>
            </w:tcBorders>
          </w:tcPr>
          <w:p>
            <w:pPr>
              <w:pStyle w:val="TableParagraph"/>
              <w:spacing w:before="224"/>
              <w:ind w:left="107"/>
              <w:rPr>
                <w:b/>
                <w:sz w:val="28"/>
              </w:rPr>
            </w:pPr>
            <w:r>
              <w:rPr>
                <w:b/>
                <w:w w:val="99"/>
                <w:sz w:val="28"/>
              </w:rPr>
              <w:t>6</w:t>
            </w:r>
          </w:p>
        </w:tc>
        <w:tc>
          <w:tcPr>
            <w:tcW w:w="9215" w:type="dxa"/>
            <w:gridSpan w:val="2"/>
            <w:tcBorders>
              <w:bottom w:val="double" w:sz="1" w:space="0" w:color="000000"/>
            </w:tcBorders>
          </w:tcPr>
          <w:p>
            <w:pPr>
              <w:pStyle w:val="TableParagraph"/>
              <w:spacing w:before="224"/>
              <w:ind w:left="392"/>
              <w:rPr>
                <w:b/>
                <w:sz w:val="28"/>
              </w:rPr>
            </w:pPr>
            <w:r>
              <w:rPr>
                <w:b/>
                <w:sz w:val="28"/>
              </w:rPr>
              <w:t>现金价值权益</w:t>
            </w:r>
          </w:p>
        </w:tc>
      </w:tr>
      <w:tr>
        <w:trPr>
          <w:trHeight w:val="1227" w:hRule="atLeast"/>
        </w:trPr>
        <w:tc>
          <w:tcPr>
            <w:tcW w:w="817" w:type="dxa"/>
            <w:tcBorders>
              <w:top w:val="double" w:sz="1" w:space="0" w:color="000000"/>
            </w:tcBorders>
          </w:tcPr>
          <w:p>
            <w:pPr>
              <w:pStyle w:val="TableParagraph"/>
              <w:spacing w:before="128"/>
              <w:ind w:left="107"/>
              <w:rPr>
                <w:b/>
                <w:sz w:val="21"/>
              </w:rPr>
            </w:pPr>
            <w:r>
              <w:rPr>
                <w:b/>
                <w:sz w:val="21"/>
              </w:rPr>
              <w:t>6.1</w:t>
            </w:r>
          </w:p>
        </w:tc>
        <w:tc>
          <w:tcPr>
            <w:tcW w:w="1718" w:type="dxa"/>
            <w:tcBorders>
              <w:top w:val="double" w:sz="1" w:space="0" w:color="000000"/>
            </w:tcBorders>
          </w:tcPr>
          <w:p>
            <w:pPr>
              <w:pStyle w:val="TableParagraph"/>
              <w:spacing w:before="128"/>
              <w:ind w:left="392"/>
              <w:rPr>
                <w:b/>
                <w:sz w:val="21"/>
              </w:rPr>
            </w:pPr>
            <w:r>
              <w:rPr>
                <w:b/>
                <w:sz w:val="21"/>
              </w:rPr>
              <w:t>现金价值</w:t>
            </w:r>
          </w:p>
        </w:tc>
        <w:tc>
          <w:tcPr>
            <w:tcW w:w="7497" w:type="dxa"/>
            <w:tcBorders>
              <w:top w:val="double" w:sz="1" w:space="0" w:color="000000"/>
            </w:tcBorders>
          </w:tcPr>
          <w:p>
            <w:pPr>
              <w:pStyle w:val="TableParagraph"/>
              <w:spacing w:line="237" w:lineRule="auto" w:before="109"/>
              <w:ind w:left="90" w:right="101"/>
              <w:jc w:val="both"/>
              <w:rPr>
                <w:sz w:val="21"/>
              </w:rPr>
            </w:pPr>
            <w:r>
              <w:rPr>
                <w:sz w:val="21"/>
              </w:rPr>
              <w:t>本合同各保单年度末的现金价值会在电子保险单上载明。保单年度内的现金价</w:t>
            </w:r>
            <w:r>
              <w:rPr>
                <w:spacing w:val="-8"/>
                <w:sz w:val="21"/>
              </w:rPr>
              <w:t>值，您可以向我们咨询。若基本保险金额发生变更，则现金价值将按变更后的基</w:t>
            </w:r>
            <w:r>
              <w:rPr>
                <w:spacing w:val="-5"/>
                <w:sz w:val="21"/>
              </w:rPr>
              <w:t>本保险金额重新计算。</w:t>
            </w:r>
          </w:p>
        </w:tc>
      </w:tr>
      <w:tr>
        <w:trPr>
          <w:trHeight w:val="752" w:hRule="atLeast"/>
        </w:trPr>
        <w:tc>
          <w:tcPr>
            <w:tcW w:w="817" w:type="dxa"/>
            <w:tcBorders>
              <w:bottom w:val="double" w:sz="1" w:space="0" w:color="000000"/>
            </w:tcBorders>
          </w:tcPr>
          <w:p>
            <w:pPr>
              <w:pStyle w:val="TableParagraph"/>
              <w:spacing w:before="214"/>
              <w:ind w:left="107"/>
              <w:rPr>
                <w:b/>
                <w:sz w:val="28"/>
              </w:rPr>
            </w:pPr>
            <w:r>
              <w:rPr>
                <w:b/>
                <w:w w:val="99"/>
                <w:sz w:val="28"/>
              </w:rPr>
              <w:t>7</w:t>
            </w:r>
          </w:p>
        </w:tc>
        <w:tc>
          <w:tcPr>
            <w:tcW w:w="9215" w:type="dxa"/>
            <w:gridSpan w:val="2"/>
            <w:tcBorders>
              <w:bottom w:val="double" w:sz="1" w:space="0" w:color="000000"/>
            </w:tcBorders>
          </w:tcPr>
          <w:p>
            <w:pPr>
              <w:pStyle w:val="TableParagraph"/>
              <w:spacing w:before="214"/>
              <w:ind w:left="392"/>
              <w:rPr>
                <w:b/>
                <w:sz w:val="28"/>
              </w:rPr>
            </w:pPr>
            <w:r>
              <w:rPr>
                <w:b/>
                <w:w w:val="95"/>
                <w:sz w:val="28"/>
              </w:rPr>
              <w:t>合同效力的中止与恢复</w:t>
            </w:r>
          </w:p>
        </w:tc>
      </w:tr>
      <w:tr>
        <w:trPr>
          <w:trHeight w:val="845" w:hRule="atLeast"/>
        </w:trPr>
        <w:tc>
          <w:tcPr>
            <w:tcW w:w="817" w:type="dxa"/>
            <w:tcBorders>
              <w:top w:val="double" w:sz="1" w:space="0" w:color="000000"/>
            </w:tcBorders>
          </w:tcPr>
          <w:p>
            <w:pPr>
              <w:pStyle w:val="TableParagraph"/>
              <w:spacing w:before="126"/>
              <w:ind w:left="107"/>
              <w:rPr>
                <w:b/>
                <w:sz w:val="21"/>
              </w:rPr>
            </w:pPr>
            <w:r>
              <w:rPr>
                <w:b/>
                <w:sz w:val="21"/>
              </w:rPr>
              <w:t>7.1</w:t>
            </w:r>
          </w:p>
        </w:tc>
        <w:tc>
          <w:tcPr>
            <w:tcW w:w="1718" w:type="dxa"/>
            <w:tcBorders>
              <w:top w:val="double" w:sz="1" w:space="0" w:color="000000"/>
            </w:tcBorders>
          </w:tcPr>
          <w:p>
            <w:pPr>
              <w:pStyle w:val="TableParagraph"/>
              <w:spacing w:line="273" w:lineRule="auto" w:before="126"/>
              <w:ind w:left="392" w:right="88"/>
              <w:rPr>
                <w:b/>
                <w:sz w:val="21"/>
              </w:rPr>
            </w:pPr>
            <w:r>
              <w:rPr>
                <w:b/>
                <w:sz w:val="21"/>
              </w:rPr>
              <w:t>合同效力中止</w:t>
            </w:r>
          </w:p>
        </w:tc>
        <w:tc>
          <w:tcPr>
            <w:tcW w:w="7497" w:type="dxa"/>
            <w:tcBorders>
              <w:top w:val="double" w:sz="1" w:space="0" w:color="000000"/>
            </w:tcBorders>
          </w:tcPr>
          <w:p>
            <w:pPr>
              <w:pStyle w:val="TableParagraph"/>
              <w:spacing w:before="126"/>
              <w:ind w:left="90"/>
              <w:rPr>
                <w:sz w:val="21"/>
              </w:rPr>
            </w:pPr>
            <w:r>
              <w:rPr>
                <w:rFonts w:ascii="Times New Roman" w:eastAsia="Times New Roman"/>
                <w:spacing w:val="-53"/>
                <w:w w:val="100"/>
                <w:sz w:val="21"/>
                <w:shd w:fill="D9D9D9" w:color="auto" w:val="clear"/>
              </w:rPr>
              <w:t> </w:t>
            </w:r>
            <w:r>
              <w:rPr>
                <w:spacing w:val="-3"/>
                <w:sz w:val="21"/>
                <w:shd w:fill="D9D9D9" w:color="auto" w:val="clear"/>
              </w:rPr>
              <w:t>在本合同效力中止期间，我们不承担保险责任。</w:t>
            </w:r>
          </w:p>
        </w:tc>
      </w:tr>
      <w:tr>
        <w:trPr>
          <w:trHeight w:val="2532" w:hRule="atLeast"/>
        </w:trPr>
        <w:tc>
          <w:tcPr>
            <w:tcW w:w="817" w:type="dxa"/>
          </w:tcPr>
          <w:p>
            <w:pPr>
              <w:pStyle w:val="TableParagraph"/>
              <w:spacing w:before="75"/>
              <w:ind w:left="107"/>
              <w:rPr>
                <w:b/>
                <w:sz w:val="21"/>
              </w:rPr>
            </w:pPr>
            <w:r>
              <w:rPr>
                <w:b/>
                <w:sz w:val="21"/>
              </w:rPr>
              <w:t>7.2</w:t>
            </w:r>
          </w:p>
        </w:tc>
        <w:tc>
          <w:tcPr>
            <w:tcW w:w="1718" w:type="dxa"/>
          </w:tcPr>
          <w:p>
            <w:pPr>
              <w:pStyle w:val="TableParagraph"/>
              <w:spacing w:line="273" w:lineRule="auto" w:before="75"/>
              <w:ind w:left="392" w:right="88"/>
              <w:rPr>
                <w:b/>
                <w:sz w:val="21"/>
              </w:rPr>
            </w:pPr>
            <w:r>
              <w:rPr>
                <w:b/>
                <w:sz w:val="21"/>
              </w:rPr>
              <w:t>合同效力恢复（复效）</w:t>
            </w:r>
          </w:p>
        </w:tc>
        <w:tc>
          <w:tcPr>
            <w:tcW w:w="7497" w:type="dxa"/>
          </w:tcPr>
          <w:p>
            <w:pPr>
              <w:pStyle w:val="TableParagraph"/>
              <w:spacing w:line="264" w:lineRule="auto" w:before="75"/>
              <w:ind w:left="90" w:right="101"/>
              <w:jc w:val="both"/>
              <w:rPr>
                <w:sz w:val="21"/>
              </w:rPr>
            </w:pPr>
            <w:r>
              <w:rPr>
                <w:spacing w:val="-4"/>
                <w:sz w:val="21"/>
              </w:rPr>
              <w:t>本合同效力中止后 </w:t>
            </w:r>
            <w:r>
              <w:rPr>
                <w:rFonts w:ascii="Times New Roman" w:eastAsia="Times New Roman"/>
                <w:sz w:val="21"/>
              </w:rPr>
              <w:t>2 </w:t>
            </w:r>
            <w:r>
              <w:rPr>
                <w:spacing w:val="-3"/>
                <w:sz w:val="21"/>
              </w:rPr>
              <w:t>年内，您可以申请恢复合同效力</w:t>
            </w:r>
            <w:r>
              <w:rPr>
                <w:sz w:val="21"/>
              </w:rPr>
              <w:t>（</w:t>
            </w:r>
            <w:r>
              <w:rPr>
                <w:spacing w:val="-3"/>
                <w:sz w:val="21"/>
              </w:rPr>
              <w:t>简称复效</w:t>
            </w:r>
            <w:r>
              <w:rPr>
                <w:spacing w:val="-108"/>
                <w:sz w:val="21"/>
              </w:rPr>
              <w:t>）</w:t>
            </w:r>
            <w:r>
              <w:rPr>
                <w:spacing w:val="-3"/>
                <w:sz w:val="21"/>
              </w:rPr>
              <w:t>。您应填写复</w:t>
            </w:r>
            <w:r>
              <w:rPr>
                <w:spacing w:val="-8"/>
                <w:sz w:val="21"/>
              </w:rPr>
              <w:t>效申请书，并提供被保险人的健康声明书、体检报告书及其他相关证明文件，我</w:t>
            </w:r>
            <w:r>
              <w:rPr>
                <w:spacing w:val="-5"/>
                <w:sz w:val="21"/>
              </w:rPr>
              <w:t>们会对材料进行审核，做出是否同意复效的决定。</w:t>
            </w:r>
          </w:p>
          <w:p>
            <w:pPr>
              <w:pStyle w:val="TableParagraph"/>
              <w:spacing w:line="273" w:lineRule="auto" w:before="16"/>
              <w:ind w:left="90" w:right="101"/>
              <w:jc w:val="both"/>
              <w:rPr>
                <w:sz w:val="21"/>
              </w:rPr>
            </w:pPr>
            <w:r>
              <w:rPr>
                <w:spacing w:val="-3"/>
                <w:sz w:val="21"/>
              </w:rPr>
              <w:t>经双方达成复效协议，自您补交保险费及利息（按</w:t>
            </w:r>
            <w:r>
              <w:rPr>
                <w:b/>
                <w:sz w:val="21"/>
              </w:rPr>
              <w:t>条款约定利率</w:t>
            </w:r>
            <w:r>
              <w:rPr>
                <w:spacing w:val="-3"/>
                <w:sz w:val="21"/>
              </w:rPr>
              <w:t>（</w:t>
            </w:r>
            <w:r>
              <w:rPr>
                <w:spacing w:val="-16"/>
                <w:sz w:val="21"/>
              </w:rPr>
              <w:t>见 </w:t>
            </w:r>
            <w:r>
              <w:rPr>
                <w:sz w:val="21"/>
              </w:rPr>
              <w:t>11.19）计算）</w:t>
            </w:r>
            <w:r>
              <w:rPr>
                <w:spacing w:val="-3"/>
                <w:sz w:val="21"/>
              </w:rPr>
              <w:t>和其他欠款后的次日零时起，本合同效力恢复。</w:t>
            </w:r>
          </w:p>
          <w:p>
            <w:pPr>
              <w:pStyle w:val="TableParagraph"/>
              <w:spacing w:line="256" w:lineRule="auto" w:before="8"/>
              <w:ind w:left="90" w:right="99"/>
              <w:jc w:val="both"/>
              <w:rPr>
                <w:sz w:val="21"/>
              </w:rPr>
            </w:pPr>
            <w:r>
              <w:rPr>
                <w:spacing w:val="-6"/>
                <w:sz w:val="21"/>
              </w:rPr>
              <w:t>自本合同效力中止之日起满 </w:t>
            </w:r>
            <w:r>
              <w:rPr>
                <w:rFonts w:ascii="Times New Roman" w:eastAsia="Times New Roman"/>
                <w:sz w:val="21"/>
              </w:rPr>
              <w:t>2 </w:t>
            </w:r>
            <w:r>
              <w:rPr>
                <w:spacing w:val="-8"/>
                <w:sz w:val="21"/>
              </w:rPr>
              <w:t>年您和我们未达成协议的，本合同效力终止，您可</w:t>
            </w:r>
            <w:r>
              <w:rPr>
                <w:spacing w:val="-5"/>
                <w:sz w:val="21"/>
              </w:rPr>
              <w:t>以向我们申请退还本合同效力中止时的现金价值。</w:t>
            </w:r>
          </w:p>
        </w:tc>
      </w:tr>
      <w:tr>
        <w:trPr>
          <w:trHeight w:val="761" w:hRule="atLeast"/>
        </w:trPr>
        <w:tc>
          <w:tcPr>
            <w:tcW w:w="817" w:type="dxa"/>
            <w:tcBorders>
              <w:bottom w:val="double" w:sz="1" w:space="0" w:color="000000"/>
            </w:tcBorders>
          </w:tcPr>
          <w:p>
            <w:pPr>
              <w:pStyle w:val="TableParagraph"/>
              <w:spacing w:before="224"/>
              <w:ind w:left="107"/>
              <w:rPr>
                <w:b/>
                <w:sz w:val="28"/>
              </w:rPr>
            </w:pPr>
            <w:r>
              <w:rPr>
                <w:b/>
                <w:w w:val="99"/>
                <w:sz w:val="28"/>
              </w:rPr>
              <w:t>8</w:t>
            </w:r>
          </w:p>
        </w:tc>
        <w:tc>
          <w:tcPr>
            <w:tcW w:w="1718" w:type="dxa"/>
            <w:tcBorders>
              <w:bottom w:val="double" w:sz="1" w:space="0" w:color="000000"/>
            </w:tcBorders>
          </w:tcPr>
          <w:p>
            <w:pPr>
              <w:pStyle w:val="TableParagraph"/>
              <w:spacing w:before="224"/>
              <w:ind w:left="392"/>
              <w:rPr>
                <w:b/>
                <w:sz w:val="28"/>
              </w:rPr>
            </w:pPr>
            <w:r>
              <w:rPr>
                <w:b/>
                <w:sz w:val="28"/>
              </w:rPr>
              <w:t>合同解除</w:t>
            </w:r>
          </w:p>
        </w:tc>
        <w:tc>
          <w:tcPr>
            <w:tcW w:w="7497" w:type="dxa"/>
            <w:tcBorders>
              <w:bottom w:val="double" w:sz="1" w:space="0" w:color="000000"/>
            </w:tcBorders>
          </w:tcPr>
          <w:p>
            <w:pPr>
              <w:pStyle w:val="TableParagraph"/>
              <w:rPr>
                <w:rFonts w:ascii="Times New Roman"/>
                <w:sz w:val="20"/>
              </w:rPr>
            </w:pPr>
          </w:p>
        </w:tc>
      </w:tr>
      <w:tr>
        <w:trPr>
          <w:trHeight w:val="2583" w:hRule="atLeast"/>
        </w:trPr>
        <w:tc>
          <w:tcPr>
            <w:tcW w:w="817" w:type="dxa"/>
            <w:tcBorders>
              <w:top w:val="double" w:sz="1" w:space="0" w:color="000000"/>
            </w:tcBorders>
          </w:tcPr>
          <w:p>
            <w:pPr>
              <w:pStyle w:val="TableParagraph"/>
              <w:spacing w:before="126"/>
              <w:ind w:left="107"/>
              <w:rPr>
                <w:b/>
                <w:sz w:val="21"/>
              </w:rPr>
            </w:pPr>
            <w:r>
              <w:rPr>
                <w:b/>
                <w:sz w:val="21"/>
              </w:rPr>
              <w:t>8.1</w:t>
            </w:r>
          </w:p>
        </w:tc>
        <w:tc>
          <w:tcPr>
            <w:tcW w:w="1718" w:type="dxa"/>
            <w:tcBorders>
              <w:top w:val="double" w:sz="1" w:space="0" w:color="000000"/>
            </w:tcBorders>
          </w:tcPr>
          <w:p>
            <w:pPr>
              <w:pStyle w:val="TableParagraph"/>
              <w:spacing w:line="273" w:lineRule="auto" w:before="126"/>
              <w:ind w:left="392" w:right="88"/>
              <w:jc w:val="both"/>
              <w:rPr>
                <w:b/>
                <w:sz w:val="21"/>
              </w:rPr>
            </w:pPr>
            <w:r>
              <w:rPr>
                <w:b/>
                <w:spacing w:val="35"/>
                <w:sz w:val="21"/>
              </w:rPr>
              <w:t>犹豫期后解除合同（退</w:t>
            </w:r>
            <w:r>
              <w:rPr>
                <w:b/>
                <w:sz w:val="21"/>
              </w:rPr>
              <w:t>保</w:t>
            </w:r>
            <w:r>
              <w:rPr>
                <w:b/>
                <w:spacing w:val="-65"/>
                <w:sz w:val="21"/>
              </w:rPr>
              <w:t>）</w:t>
            </w:r>
            <w:r>
              <w:rPr>
                <w:b/>
                <w:sz w:val="21"/>
              </w:rPr>
              <w:t>的手续及风险</w:t>
            </w:r>
          </w:p>
        </w:tc>
        <w:tc>
          <w:tcPr>
            <w:tcW w:w="7497" w:type="dxa"/>
            <w:tcBorders>
              <w:top w:val="double" w:sz="1" w:space="0" w:color="000000"/>
            </w:tcBorders>
          </w:tcPr>
          <w:p>
            <w:pPr>
              <w:pStyle w:val="TableParagraph"/>
              <w:spacing w:line="273" w:lineRule="auto" w:before="126"/>
              <w:ind w:left="90" w:right="101"/>
              <w:rPr>
                <w:sz w:val="21"/>
              </w:rPr>
            </w:pPr>
            <w:r>
              <w:rPr>
                <w:w w:val="100"/>
                <w:sz w:val="21"/>
              </w:rPr>
              <w:t>如您在犹豫期后申请解除本合同（简称退保</w:t>
            </w:r>
            <w:r>
              <w:rPr>
                <w:spacing w:val="-105"/>
                <w:w w:val="100"/>
                <w:sz w:val="21"/>
              </w:rPr>
              <w:t>）</w:t>
            </w:r>
            <w:r>
              <w:rPr>
                <w:w w:val="100"/>
                <w:sz w:val="21"/>
              </w:rPr>
              <w:t>，请填写解除合同申请书并向我们</w:t>
            </w:r>
            <w:r>
              <w:rPr>
                <w:spacing w:val="-2"/>
                <w:sz w:val="21"/>
              </w:rPr>
              <w:t>提供下列资料：</w:t>
            </w:r>
          </w:p>
          <w:p>
            <w:pPr>
              <w:pStyle w:val="TableParagraph"/>
              <w:spacing w:before="7"/>
              <w:ind w:left="90"/>
              <w:rPr>
                <w:sz w:val="21"/>
              </w:rPr>
            </w:pPr>
            <w:r>
              <w:rPr>
                <w:sz w:val="21"/>
              </w:rPr>
              <w:t>（1）保险合同；</w:t>
            </w:r>
          </w:p>
          <w:p>
            <w:pPr>
              <w:pStyle w:val="TableParagraph"/>
              <w:spacing w:before="36"/>
              <w:ind w:left="90"/>
              <w:rPr>
                <w:sz w:val="21"/>
              </w:rPr>
            </w:pPr>
            <w:r>
              <w:rPr>
                <w:sz w:val="21"/>
              </w:rPr>
              <w:t>（2）您的有效身份证件。</w:t>
            </w:r>
          </w:p>
          <w:p>
            <w:pPr>
              <w:pStyle w:val="TableParagraph"/>
              <w:spacing w:line="273" w:lineRule="auto" w:before="37"/>
              <w:ind w:left="90" w:right="99"/>
              <w:rPr>
                <w:sz w:val="21"/>
              </w:rPr>
            </w:pPr>
            <w:r>
              <w:rPr>
                <w:spacing w:val="-6"/>
                <w:sz w:val="21"/>
              </w:rPr>
              <w:t>自我们收到解除合同申请书时起，本合同效力终止。我们自收到解除合同申请书</w:t>
            </w:r>
            <w:r>
              <w:rPr>
                <w:spacing w:val="-13"/>
                <w:sz w:val="21"/>
              </w:rPr>
              <w:t>之日起 </w:t>
            </w:r>
            <w:r>
              <w:rPr>
                <w:sz w:val="21"/>
              </w:rPr>
              <w:t>30</w:t>
            </w:r>
            <w:r>
              <w:rPr>
                <w:spacing w:val="-8"/>
                <w:sz w:val="21"/>
              </w:rPr>
              <w:t> 日内向您退还本合同当时的现金价值。</w:t>
            </w:r>
          </w:p>
          <w:p>
            <w:pPr>
              <w:pStyle w:val="TableParagraph"/>
              <w:spacing w:before="7"/>
              <w:ind w:left="90"/>
              <w:rPr>
                <w:sz w:val="21"/>
              </w:rPr>
            </w:pPr>
            <w:r>
              <w:rPr>
                <w:sz w:val="21"/>
              </w:rPr>
              <w:t>您犹豫期后解除合同会遭受一定损失。</w:t>
            </w:r>
          </w:p>
        </w:tc>
      </w:tr>
      <w:tr>
        <w:trPr>
          <w:trHeight w:val="761" w:hRule="atLeast"/>
        </w:trPr>
        <w:tc>
          <w:tcPr>
            <w:tcW w:w="817" w:type="dxa"/>
            <w:tcBorders>
              <w:bottom w:val="double" w:sz="1" w:space="0" w:color="000000"/>
            </w:tcBorders>
          </w:tcPr>
          <w:p>
            <w:pPr>
              <w:pStyle w:val="TableParagraph"/>
              <w:spacing w:before="224"/>
              <w:ind w:left="107"/>
              <w:rPr>
                <w:b/>
                <w:sz w:val="28"/>
              </w:rPr>
            </w:pPr>
            <w:r>
              <w:rPr>
                <w:b/>
                <w:w w:val="99"/>
                <w:sz w:val="28"/>
              </w:rPr>
              <w:t>9</w:t>
            </w:r>
          </w:p>
        </w:tc>
        <w:tc>
          <w:tcPr>
            <w:tcW w:w="1718" w:type="dxa"/>
            <w:tcBorders>
              <w:bottom w:val="double" w:sz="1" w:space="0" w:color="000000"/>
            </w:tcBorders>
          </w:tcPr>
          <w:p>
            <w:pPr>
              <w:pStyle w:val="TableParagraph"/>
              <w:spacing w:before="224"/>
              <w:ind w:left="392"/>
              <w:rPr>
                <w:b/>
                <w:sz w:val="28"/>
              </w:rPr>
            </w:pPr>
            <w:r>
              <w:rPr>
                <w:b/>
                <w:sz w:val="28"/>
              </w:rPr>
              <w:t>如实告知</w:t>
            </w:r>
          </w:p>
        </w:tc>
        <w:tc>
          <w:tcPr>
            <w:tcW w:w="7497" w:type="dxa"/>
            <w:tcBorders>
              <w:bottom w:val="double" w:sz="1" w:space="0" w:color="000000"/>
            </w:tcBorders>
          </w:tcPr>
          <w:p>
            <w:pPr>
              <w:pStyle w:val="TableParagraph"/>
              <w:rPr>
                <w:rFonts w:ascii="Times New Roman"/>
                <w:sz w:val="20"/>
              </w:rPr>
            </w:pPr>
          </w:p>
        </w:tc>
      </w:tr>
      <w:tr>
        <w:trPr>
          <w:trHeight w:val="2275" w:hRule="atLeast"/>
        </w:trPr>
        <w:tc>
          <w:tcPr>
            <w:tcW w:w="817" w:type="dxa"/>
            <w:tcBorders>
              <w:top w:val="double" w:sz="1" w:space="0" w:color="000000"/>
            </w:tcBorders>
          </w:tcPr>
          <w:p>
            <w:pPr>
              <w:pStyle w:val="TableParagraph"/>
              <w:spacing w:before="128"/>
              <w:ind w:left="107"/>
              <w:rPr>
                <w:b/>
                <w:sz w:val="21"/>
              </w:rPr>
            </w:pPr>
            <w:r>
              <w:rPr>
                <w:b/>
                <w:sz w:val="21"/>
              </w:rPr>
              <w:t>9.1</w:t>
            </w:r>
          </w:p>
        </w:tc>
        <w:tc>
          <w:tcPr>
            <w:tcW w:w="1718" w:type="dxa"/>
            <w:tcBorders>
              <w:top w:val="double" w:sz="1" w:space="0" w:color="000000"/>
            </w:tcBorders>
          </w:tcPr>
          <w:p>
            <w:pPr>
              <w:pStyle w:val="TableParagraph"/>
              <w:spacing w:line="273" w:lineRule="auto" w:before="128"/>
              <w:ind w:left="392" w:right="88"/>
              <w:rPr>
                <w:b/>
                <w:sz w:val="21"/>
              </w:rPr>
            </w:pPr>
            <w:r>
              <w:rPr>
                <w:b/>
                <w:sz w:val="21"/>
              </w:rPr>
              <w:t>明确说明与如实告知</w:t>
            </w:r>
          </w:p>
        </w:tc>
        <w:tc>
          <w:tcPr>
            <w:tcW w:w="7497" w:type="dxa"/>
            <w:tcBorders>
              <w:top w:val="double" w:sz="1" w:space="0" w:color="000000"/>
            </w:tcBorders>
          </w:tcPr>
          <w:p>
            <w:pPr>
              <w:pStyle w:val="TableParagraph"/>
              <w:spacing w:before="128"/>
              <w:ind w:left="90"/>
              <w:rPr>
                <w:sz w:val="21"/>
              </w:rPr>
            </w:pPr>
            <w:r>
              <w:rPr>
                <w:sz w:val="21"/>
              </w:rPr>
              <w:t>订立本合同时，我们会向您说明本合同的内容。</w:t>
            </w:r>
          </w:p>
          <w:p>
            <w:pPr>
              <w:pStyle w:val="TableParagraph"/>
              <w:spacing w:line="273" w:lineRule="auto" w:before="36"/>
              <w:ind w:left="90" w:right="98"/>
              <w:rPr>
                <w:sz w:val="21"/>
              </w:rPr>
            </w:pPr>
            <w:r>
              <w:rPr>
                <w:spacing w:val="-6"/>
                <w:sz w:val="21"/>
              </w:rPr>
              <w:t>本合同中免除我们责任的条款，我们在订立合同时会在电子投保单、电子保险单</w:t>
            </w:r>
            <w:r>
              <w:rPr>
                <w:spacing w:val="-7"/>
                <w:sz w:val="21"/>
              </w:rPr>
              <w:t>或者其他保险凭证上作出足以引起您注意的提示，并对该条款的内容以书面或者</w:t>
            </w:r>
            <w:r>
              <w:rPr>
                <w:spacing w:val="-4"/>
                <w:sz w:val="21"/>
              </w:rPr>
              <w:t>口头形式向您作出明确说明，未作提示或者明确说明的，该条款不产生效力。 </w:t>
            </w:r>
            <w:r>
              <w:rPr>
                <w:spacing w:val="-3"/>
                <w:sz w:val="21"/>
              </w:rPr>
              <w:t>我们就您和被保险人的有关情况提出询问，您应当如实告知。</w:t>
            </w:r>
          </w:p>
          <w:p>
            <w:pPr>
              <w:pStyle w:val="TableParagraph"/>
              <w:spacing w:line="312" w:lineRule="exact" w:before="3"/>
              <w:ind w:left="90" w:right="41"/>
              <w:rPr>
                <w:sz w:val="21"/>
              </w:rPr>
            </w:pPr>
            <w:r>
              <w:rPr>
                <w:sz w:val="21"/>
              </w:rPr>
              <w:t>如果您故意或者因重大过失未履行前款规定的如实告知义务，足以影响我们决定是否同意承保或者提高保险费率的，我们有权解除本合同。</w:t>
            </w:r>
          </w:p>
        </w:tc>
      </w:tr>
    </w:tbl>
    <w:p>
      <w:pPr>
        <w:spacing w:after="0" w:line="312" w:lineRule="exact"/>
        <w:rPr>
          <w:sz w:val="21"/>
        </w:rPr>
        <w:sectPr>
          <w:pgSz w:w="11910" w:h="16840"/>
          <w:pgMar w:header="568" w:footer="0" w:top="800" w:bottom="280" w:left="800" w:right="860"/>
        </w:sectPr>
      </w:pPr>
    </w:p>
    <w:p>
      <w:pPr>
        <w:pStyle w:val="BodyText"/>
        <w:spacing w:before="6"/>
        <w:rPr>
          <w:rFonts w:ascii="Times New Roman"/>
          <w:sz w:val="24"/>
        </w:rPr>
      </w:pPr>
    </w:p>
    <w:p>
      <w:pPr>
        <w:pStyle w:val="BodyText"/>
        <w:spacing w:line="273" w:lineRule="auto" w:before="36"/>
        <w:ind w:left="2738" w:right="202"/>
        <w:jc w:val="both"/>
      </w:pPr>
      <w:r>
        <w:rPr>
          <w:spacing w:val="-6"/>
        </w:rPr>
        <w:t>如果您故意不履行如实告知义务，对于本合同解除前发生的保险事故，我们不承</w:t>
      </w:r>
      <w:r>
        <w:rPr>
          <w:spacing w:val="-4"/>
        </w:rPr>
        <w:t>担给付保险金的责任，并不退还保险费。</w:t>
      </w:r>
    </w:p>
    <w:p>
      <w:pPr>
        <w:pStyle w:val="BodyText"/>
        <w:spacing w:line="273" w:lineRule="auto" w:before="7"/>
        <w:ind w:left="2738" w:right="201"/>
        <w:jc w:val="both"/>
      </w:pPr>
      <w:r>
        <w:rPr>
          <w:spacing w:val="-6"/>
        </w:rPr>
        <w:t>如果您因重大过失未履行如实告知义务，对保险事故的发生有严重影响的，对于</w:t>
      </w:r>
      <w:r>
        <w:rPr>
          <w:spacing w:val="-7"/>
        </w:rPr>
        <w:t>本合同解除前发生的保险事故，我们不承担给付保险金的责任，但应当退还保险费。</w:t>
      </w:r>
    </w:p>
    <w:p>
      <w:pPr>
        <w:pStyle w:val="BodyText"/>
        <w:spacing w:line="273" w:lineRule="auto" w:before="7"/>
        <w:ind w:left="2738" w:right="202"/>
        <w:jc w:val="both"/>
      </w:pPr>
      <w:r>
        <w:rPr>
          <w:spacing w:val="-6"/>
        </w:rPr>
        <w:t>我们在合同订立时已经知道您未如实告知的情况的，我们不得解除合同；发生保</w:t>
      </w:r>
      <w:r>
        <w:rPr>
          <w:spacing w:val="-3"/>
        </w:rPr>
        <w:t>险事故的，我们承担给付保险金的责任。</w:t>
      </w:r>
    </w:p>
    <w:p>
      <w:pPr>
        <w:pStyle w:val="BodyText"/>
        <w:spacing w:before="10"/>
        <w:rPr>
          <w:sz w:val="10"/>
        </w:rPr>
      </w:pPr>
    </w:p>
    <w:p>
      <w:pPr>
        <w:spacing w:after="0"/>
        <w:rPr>
          <w:sz w:val="10"/>
        </w:rPr>
        <w:sectPr>
          <w:pgSz w:w="11910" w:h="16840"/>
          <w:pgMar w:header="568" w:footer="0" w:top="800" w:bottom="280" w:left="800" w:right="860"/>
        </w:sectPr>
      </w:pPr>
    </w:p>
    <w:p>
      <w:pPr>
        <w:pStyle w:val="Heading3"/>
        <w:spacing w:line="273" w:lineRule="auto" w:before="36"/>
        <w:jc w:val="both"/>
      </w:pPr>
      <w:r>
        <w:rPr/>
        <w:t>9.2 本 公 司 合同解除权的限制</w:t>
      </w:r>
    </w:p>
    <w:p>
      <w:pPr>
        <w:pStyle w:val="BodyText"/>
        <w:spacing w:before="36"/>
        <w:ind w:left="139"/>
      </w:pPr>
      <w:r>
        <w:rPr/>
        <w:br w:type="column"/>
      </w:r>
      <w:r>
        <w:rPr/>
        <w:t>前条规定的合同解除权，自我们知道有解除事由之日起，超过 30 日不行使而消</w:t>
      </w:r>
    </w:p>
    <w:p>
      <w:pPr>
        <w:pStyle w:val="BodyText"/>
        <w:spacing w:line="273" w:lineRule="auto" w:before="36"/>
        <w:ind w:left="139" w:right="204"/>
      </w:pPr>
      <w:r>
        <w:rPr>
          <w:spacing w:val="-8"/>
        </w:rPr>
        <w:t>灭。自本合同成立之日起超过 </w:t>
      </w:r>
      <w:r>
        <w:rPr/>
        <w:t>2</w:t>
      </w:r>
      <w:r>
        <w:rPr>
          <w:spacing w:val="-11"/>
        </w:rPr>
        <w:t> 年的，我们不得解除合同；发生保险事故的，我</w:t>
      </w:r>
      <w:r>
        <w:rPr>
          <w:spacing w:val="-6"/>
        </w:rPr>
        <w:t>们承担给付保险金的责任。</w:t>
      </w:r>
    </w:p>
    <w:p>
      <w:pPr>
        <w:spacing w:after="0" w:line="273" w:lineRule="auto"/>
        <w:sectPr>
          <w:type w:val="continuous"/>
          <w:pgSz w:w="11910" w:h="16840"/>
          <w:pgMar w:top="1080" w:bottom="280" w:left="800" w:right="860"/>
          <w:cols w:num="2" w:equalWidth="0">
            <w:col w:w="2559" w:space="40"/>
            <w:col w:w="7651"/>
          </w:cols>
        </w:sectPr>
      </w:pPr>
    </w:p>
    <w:p>
      <w:pPr>
        <w:pStyle w:val="BodyText"/>
        <w:rPr>
          <w:sz w:val="20"/>
        </w:rPr>
      </w:pPr>
    </w:p>
    <w:p>
      <w:pPr>
        <w:pStyle w:val="BodyText"/>
        <w:spacing w:before="5"/>
        <w:rPr>
          <w:sz w:val="17"/>
        </w:rPr>
      </w:pPr>
    </w:p>
    <w:p>
      <w:pPr>
        <w:pStyle w:val="Heading2"/>
        <w:numPr>
          <w:ilvl w:val="0"/>
          <w:numId w:val="1"/>
        </w:numPr>
        <w:tabs>
          <w:tab w:pos="1321" w:val="left" w:leader="none"/>
          <w:tab w:pos="1322" w:val="left" w:leader="none"/>
        </w:tabs>
        <w:spacing w:line="240" w:lineRule="auto" w:before="15" w:after="0"/>
        <w:ind w:left="1322" w:right="0" w:hanging="1102"/>
        <w:jc w:val="left"/>
      </w:pPr>
      <w:r>
        <w:rPr>
          <w:w w:val="95"/>
        </w:rPr>
        <w:t>其他需要关注的事项</w:t>
      </w:r>
    </w:p>
    <w:p>
      <w:pPr>
        <w:pStyle w:val="BodyText"/>
        <w:spacing w:before="1"/>
        <w:rPr>
          <w:b/>
          <w:sz w:val="10"/>
        </w:rPr>
      </w:pPr>
      <w:r>
        <w:rPr/>
        <w:pict>
          <v:group style="position:absolute;margin-left:45.599998pt;margin-top:8.581972pt;width:501.7pt;height:1.45pt;mso-position-horizontal-relative:page;mso-position-vertical-relative:paragraph;z-index:1120;mso-wrap-distance-left:0;mso-wrap-distance-right:0" coordorigin="912,172" coordsize="10034,29">
            <v:line style="position:absolute" from="912,176" to="2012,176" stroked="true" strokeweight=".48001pt" strokecolor="#000000">
              <v:stroke dashstyle="solid"/>
            </v:line>
            <v:line style="position:absolute" from="912,196" to="2012,196" stroked="true" strokeweight=".48001pt" strokecolor="#000000">
              <v:stroke dashstyle="solid"/>
            </v:line>
            <v:rect style="position:absolute;left:2011;top:171;width:29;height:10" filled="true" fillcolor="#000000" stroked="false">
              <v:fill type="solid"/>
            </v:rect>
            <v:rect style="position:absolute;left:2011;top:190;width:29;height:10" filled="true" fillcolor="#000000" stroked="false">
              <v:fill type="solid"/>
            </v:rect>
            <v:line style="position:absolute" from="2040,176" to="3428,176" stroked="true" strokeweight=".48001pt" strokecolor="#000000">
              <v:stroke dashstyle="solid"/>
            </v:line>
            <v:line style="position:absolute" from="2040,196" to="3428,196" stroked="true" strokeweight=".48001pt" strokecolor="#000000">
              <v:stroke dashstyle="solid"/>
            </v:line>
            <v:rect style="position:absolute;left:3427;top:171;width:29;height:10" filled="true" fillcolor="#000000" stroked="false">
              <v:fill type="solid"/>
            </v:rect>
            <v:rect style="position:absolute;left:3427;top:190;width:29;height:10" filled="true" fillcolor="#000000" stroked="false">
              <v:fill type="solid"/>
            </v:rect>
            <v:line style="position:absolute" from="3456,176" to="10946,176" stroked="true" strokeweight=".48001pt" strokecolor="#000000">
              <v:stroke dashstyle="solid"/>
            </v:line>
            <v:line style="position:absolute" from="3456,196" to="10946,196" stroked="true" strokeweight=".48001pt" strokecolor="#000000">
              <v:stroke dashstyle="solid"/>
            </v:line>
            <w10:wrap type="topAndBottom"/>
          </v:group>
        </w:pict>
      </w:r>
    </w:p>
    <w:p>
      <w:pPr>
        <w:pStyle w:val="BodyText"/>
        <w:spacing w:before="4"/>
        <w:rPr>
          <w:b/>
          <w:sz w:val="5"/>
        </w:rPr>
      </w:pPr>
    </w:p>
    <w:p>
      <w:pPr>
        <w:spacing w:after="0"/>
        <w:rPr>
          <w:sz w:val="5"/>
        </w:rPr>
        <w:sectPr>
          <w:type w:val="continuous"/>
          <w:pgSz w:w="11910" w:h="16840"/>
          <w:pgMar w:top="1080" w:bottom="280" w:left="800" w:right="860"/>
        </w:sectPr>
      </w:pPr>
    </w:p>
    <w:p>
      <w:pPr>
        <w:pStyle w:val="Heading3"/>
        <w:numPr>
          <w:ilvl w:val="1"/>
          <w:numId w:val="1"/>
        </w:numPr>
        <w:tabs>
          <w:tab w:pos="1321" w:val="left" w:leader="none"/>
          <w:tab w:pos="1322" w:val="left" w:leader="none"/>
        </w:tabs>
        <w:spacing w:line="273" w:lineRule="auto" w:before="30" w:after="0"/>
        <w:ind w:left="1322" w:right="0" w:hanging="1102"/>
        <w:jc w:val="left"/>
      </w:pPr>
      <w:r>
        <w:rPr>
          <w:spacing w:val="35"/>
        </w:rPr>
        <w:t>合同效力终</w:t>
      </w:r>
      <w:r>
        <w:rPr/>
        <w:t>止</w:t>
      </w:r>
    </w:p>
    <w:p>
      <w:pPr>
        <w:pStyle w:val="BodyText"/>
        <w:spacing w:before="30"/>
        <w:ind w:left="139"/>
      </w:pPr>
      <w:r>
        <w:rPr/>
        <w:br w:type="column"/>
      </w:r>
      <w:r>
        <w:rPr/>
        <w:t>有下列情况之一时，本合同的效力终止：</w:t>
      </w:r>
    </w:p>
    <w:p>
      <w:pPr>
        <w:pStyle w:val="BodyText"/>
        <w:spacing w:before="36"/>
        <w:ind w:left="139"/>
      </w:pPr>
      <w:r>
        <w:rPr/>
        <w:t>（1）被保险人确诊首次患本合同约定的重大疾病、身故；</w:t>
      </w:r>
    </w:p>
    <w:p>
      <w:pPr>
        <w:pStyle w:val="BodyText"/>
        <w:spacing w:before="36"/>
        <w:ind w:left="139"/>
      </w:pPr>
      <w:r>
        <w:rPr/>
        <w:t>（2）本合同解除、满期；</w:t>
      </w:r>
    </w:p>
    <w:p>
      <w:pPr>
        <w:pStyle w:val="BodyText"/>
        <w:spacing w:before="36"/>
        <w:ind w:left="139"/>
      </w:pPr>
      <w:r>
        <w:rPr/>
        <w:t>（3）本合同效力中止后 2 年内未复效；</w:t>
      </w:r>
    </w:p>
    <w:p>
      <w:pPr>
        <w:pStyle w:val="BodyText"/>
        <w:spacing w:before="36"/>
        <w:ind w:left="139"/>
      </w:pPr>
      <w:r>
        <w:rPr/>
        <w:t>（4）因本合同其他条款或其附加合同条款所列情形而效力终止。</w:t>
      </w:r>
    </w:p>
    <w:p>
      <w:pPr>
        <w:spacing w:after="0"/>
        <w:sectPr>
          <w:type w:val="continuous"/>
          <w:pgSz w:w="11910" w:h="16840"/>
          <w:pgMar w:top="1080" w:bottom="280" w:left="800" w:right="860"/>
          <w:cols w:num="2" w:equalWidth="0">
            <w:col w:w="2559" w:space="40"/>
            <w:col w:w="7651"/>
          </w:cols>
        </w:sectPr>
      </w:pPr>
    </w:p>
    <w:p>
      <w:pPr>
        <w:pStyle w:val="BodyText"/>
        <w:spacing w:before="11"/>
        <w:rPr>
          <w:sz w:val="12"/>
        </w:rPr>
      </w:pPr>
    </w:p>
    <w:p>
      <w:pPr>
        <w:spacing w:after="0"/>
        <w:rPr>
          <w:sz w:val="12"/>
        </w:rPr>
        <w:sectPr>
          <w:type w:val="continuous"/>
          <w:pgSz w:w="11910" w:h="16840"/>
          <w:pgMar w:top="1080" w:bottom="280" w:left="800" w:right="860"/>
        </w:sectPr>
      </w:pPr>
    </w:p>
    <w:p>
      <w:pPr>
        <w:pStyle w:val="Heading3"/>
        <w:numPr>
          <w:ilvl w:val="1"/>
          <w:numId w:val="1"/>
        </w:numPr>
        <w:tabs>
          <w:tab w:pos="1321" w:val="left" w:leader="none"/>
          <w:tab w:pos="1322" w:val="left" w:leader="none"/>
        </w:tabs>
        <w:spacing w:line="273" w:lineRule="auto" w:before="36" w:after="0"/>
        <w:ind w:left="1322" w:right="0" w:hanging="1102"/>
        <w:jc w:val="left"/>
      </w:pPr>
      <w:r>
        <w:rPr>
          <w:spacing w:val="35"/>
        </w:rPr>
        <w:t>年龄性别错</w:t>
      </w:r>
      <w:r>
        <w:rPr/>
        <w:t>误处理</w:t>
      </w:r>
    </w:p>
    <w:p>
      <w:pPr>
        <w:pStyle w:val="BodyText"/>
        <w:spacing w:line="273" w:lineRule="auto" w:before="36"/>
        <w:ind w:left="139" w:right="201" w:firstLine="2"/>
        <w:jc w:val="both"/>
      </w:pPr>
      <w:r>
        <w:rPr/>
        <w:br w:type="column"/>
      </w:r>
      <w:r>
        <w:rPr>
          <w:spacing w:val="-7"/>
        </w:rPr>
        <w:t>被保险人的年龄以周岁计算，您在申请投保时，应将与有效身份证件相符的被保</w:t>
      </w:r>
      <w:r>
        <w:rPr>
          <w:spacing w:val="-9"/>
        </w:rPr>
        <w:t>险人的出生日期和真实性别在电子投保单上填明，如果发生错误按照下列方式办理：</w:t>
      </w:r>
    </w:p>
    <w:p>
      <w:pPr>
        <w:pStyle w:val="BodyText"/>
        <w:spacing w:line="273" w:lineRule="auto" w:before="7"/>
        <w:ind w:left="147" w:right="206" w:hanging="8"/>
        <w:jc w:val="both"/>
      </w:pPr>
      <w:r>
        <w:rPr/>
        <w:t>（1）您申报的被保险人年龄不真实，并且真实年龄不符合本合同约定投保年龄</w:t>
      </w:r>
      <w:r>
        <w:rPr>
          <w:spacing w:val="-9"/>
        </w:rPr>
        <w:t>限制的，我们有权解除合同，并向您退还本合同当时的现金价值。我们行使合同</w:t>
      </w:r>
      <w:r>
        <w:rPr>
          <w:spacing w:val="-5"/>
        </w:rPr>
        <w:t>解除权适用</w:t>
      </w:r>
      <w:r>
        <w:rPr/>
        <w:t>“9.2</w:t>
      </w:r>
      <w:r>
        <w:rPr>
          <w:spacing w:val="-3"/>
        </w:rPr>
        <w:t> 本公司合同解除权的限制”的规定。</w:t>
      </w:r>
    </w:p>
    <w:p>
      <w:pPr>
        <w:pStyle w:val="BodyText"/>
        <w:spacing w:before="7"/>
        <w:ind w:left="139"/>
      </w:pPr>
      <w:r>
        <w:rPr/>
        <w:t>（2）</w:t>
      </w:r>
      <w:r>
        <w:rPr>
          <w:shd w:fill="D9D9D9" w:color="auto" w:val="clear"/>
        </w:rPr>
        <w:t>您申报的被保险人年龄或性别不真实，致使您实交保险费少于应交保险费</w:t>
      </w:r>
    </w:p>
    <w:p>
      <w:pPr>
        <w:pStyle w:val="BodyText"/>
        <w:spacing w:before="36"/>
        <w:ind w:left="147"/>
      </w:pPr>
      <w:r>
        <w:rPr>
          <w:rFonts w:ascii="Times New Roman" w:eastAsia="Times New Roman"/>
          <w:spacing w:val="-53"/>
          <w:w w:val="100"/>
          <w:shd w:fill="D9D9D9" w:color="auto" w:val="clear"/>
        </w:rPr>
        <w:t> </w:t>
      </w:r>
      <w:r>
        <w:rPr>
          <w:spacing w:val="-8"/>
          <w:shd w:fill="D9D9D9" w:color="auto" w:val="clear"/>
        </w:rPr>
        <w:t>的，我们有权更正并要求您补交保险费。若已经发生保险事故，在给付保险金时</w:t>
      </w:r>
    </w:p>
    <w:p>
      <w:pPr>
        <w:pStyle w:val="BodyText"/>
        <w:spacing w:before="36"/>
        <w:ind w:left="147"/>
      </w:pPr>
      <w:r>
        <w:rPr>
          <w:rFonts w:ascii="Times New Roman" w:eastAsia="Times New Roman"/>
          <w:spacing w:val="-53"/>
          <w:w w:val="100"/>
          <w:shd w:fill="D9D9D9" w:color="auto" w:val="clear"/>
        </w:rPr>
        <w:t> </w:t>
      </w:r>
      <w:r>
        <w:rPr>
          <w:spacing w:val="-3"/>
          <w:shd w:fill="D9D9D9" w:color="auto" w:val="clear"/>
        </w:rPr>
        <w:t>按实交保险费和应交保险费的比例给付。</w:t>
      </w:r>
    </w:p>
    <w:p>
      <w:pPr>
        <w:pStyle w:val="BodyText"/>
        <w:spacing w:line="273" w:lineRule="auto" w:before="36"/>
        <w:ind w:left="139" w:right="204" w:firstLine="2"/>
        <w:jc w:val="both"/>
      </w:pPr>
      <w:r>
        <w:rPr/>
        <w:t>（3）您申报的被保险人年龄或性别不真实，致使您实交保险费多于应交保险费的，我们会将多收的保险费无息退还给您。</w:t>
      </w:r>
    </w:p>
    <w:p>
      <w:pPr>
        <w:spacing w:after="0" w:line="273" w:lineRule="auto"/>
        <w:jc w:val="both"/>
        <w:sectPr>
          <w:type w:val="continuous"/>
          <w:pgSz w:w="11910" w:h="16840"/>
          <w:pgMar w:top="1080" w:bottom="280" w:left="800" w:right="860"/>
          <w:cols w:num="2" w:equalWidth="0">
            <w:col w:w="2559" w:space="40"/>
            <w:col w:w="7651"/>
          </w:cols>
        </w:sectPr>
      </w:pPr>
    </w:p>
    <w:p>
      <w:pPr>
        <w:pStyle w:val="BodyText"/>
        <w:spacing w:before="10"/>
        <w:rPr>
          <w:sz w:val="10"/>
        </w:rPr>
      </w:pPr>
    </w:p>
    <w:p>
      <w:pPr>
        <w:pStyle w:val="ListParagraph"/>
        <w:numPr>
          <w:ilvl w:val="1"/>
          <w:numId w:val="1"/>
        </w:numPr>
        <w:tabs>
          <w:tab w:pos="1321" w:val="left" w:leader="none"/>
          <w:tab w:pos="1322" w:val="left" w:leader="none"/>
          <w:tab w:pos="2737" w:val="left" w:leader="none"/>
        </w:tabs>
        <w:spacing w:line="273" w:lineRule="auto" w:before="37" w:after="0"/>
        <w:ind w:left="2738" w:right="156" w:hanging="2518"/>
        <w:jc w:val="left"/>
        <w:rPr>
          <w:sz w:val="21"/>
        </w:rPr>
      </w:pPr>
      <w:r>
        <w:rPr>
          <w:b/>
          <w:sz w:val="21"/>
        </w:rPr>
        <w:t>欠款扣除</w:t>
        <w:tab/>
      </w:r>
      <w:r>
        <w:rPr>
          <w:sz w:val="21"/>
        </w:rPr>
        <w:t>我们</w:t>
      </w:r>
      <w:r>
        <w:rPr>
          <w:spacing w:val="-3"/>
          <w:sz w:val="21"/>
        </w:rPr>
        <w:t>在</w:t>
      </w:r>
      <w:r>
        <w:rPr>
          <w:sz w:val="21"/>
        </w:rPr>
        <w:t>给</w:t>
      </w:r>
      <w:r>
        <w:rPr>
          <w:spacing w:val="-3"/>
          <w:sz w:val="21"/>
        </w:rPr>
        <w:t>付</w:t>
      </w:r>
      <w:r>
        <w:rPr>
          <w:sz w:val="21"/>
        </w:rPr>
        <w:t>各</w:t>
      </w:r>
      <w:r>
        <w:rPr>
          <w:spacing w:val="-3"/>
          <w:sz w:val="21"/>
        </w:rPr>
        <w:t>项</w:t>
      </w:r>
      <w:r>
        <w:rPr>
          <w:sz w:val="21"/>
        </w:rPr>
        <w:t>保</w:t>
      </w:r>
      <w:r>
        <w:rPr>
          <w:spacing w:val="-3"/>
          <w:sz w:val="21"/>
        </w:rPr>
        <w:t>险</w:t>
      </w:r>
      <w:r>
        <w:rPr>
          <w:sz w:val="21"/>
        </w:rPr>
        <w:t>金</w:t>
      </w:r>
      <w:r>
        <w:rPr>
          <w:spacing w:val="-29"/>
          <w:sz w:val="21"/>
        </w:rPr>
        <w:t>、</w:t>
      </w:r>
      <w:r>
        <w:rPr>
          <w:sz w:val="21"/>
        </w:rPr>
        <w:t>退还</w:t>
      </w:r>
      <w:r>
        <w:rPr>
          <w:spacing w:val="-3"/>
          <w:sz w:val="21"/>
        </w:rPr>
        <w:t>现</w:t>
      </w:r>
      <w:r>
        <w:rPr>
          <w:sz w:val="21"/>
        </w:rPr>
        <w:t>金</w:t>
      </w:r>
      <w:r>
        <w:rPr>
          <w:spacing w:val="-3"/>
          <w:sz w:val="21"/>
        </w:rPr>
        <w:t>价</w:t>
      </w:r>
      <w:r>
        <w:rPr>
          <w:sz w:val="21"/>
        </w:rPr>
        <w:t>值</w:t>
      </w:r>
      <w:r>
        <w:rPr>
          <w:spacing w:val="-3"/>
          <w:sz w:val="21"/>
        </w:rPr>
        <w:t>或</w:t>
      </w:r>
      <w:r>
        <w:rPr>
          <w:sz w:val="21"/>
        </w:rPr>
        <w:t>返</w:t>
      </w:r>
      <w:r>
        <w:rPr>
          <w:spacing w:val="-3"/>
          <w:sz w:val="21"/>
        </w:rPr>
        <w:t>还</w:t>
      </w:r>
      <w:r>
        <w:rPr>
          <w:sz w:val="21"/>
        </w:rPr>
        <w:t>保</w:t>
      </w:r>
      <w:r>
        <w:rPr>
          <w:spacing w:val="-3"/>
          <w:sz w:val="21"/>
        </w:rPr>
        <w:t>险</w:t>
      </w:r>
      <w:r>
        <w:rPr>
          <w:sz w:val="21"/>
        </w:rPr>
        <w:t>费时</w:t>
      </w:r>
      <w:r>
        <w:rPr>
          <w:spacing w:val="-29"/>
          <w:sz w:val="21"/>
        </w:rPr>
        <w:t>，</w:t>
      </w:r>
      <w:r>
        <w:rPr>
          <w:sz w:val="21"/>
        </w:rPr>
        <w:t>如</w:t>
      </w:r>
      <w:r>
        <w:rPr>
          <w:spacing w:val="-3"/>
          <w:sz w:val="21"/>
        </w:rPr>
        <w:t>果</w:t>
      </w:r>
      <w:r>
        <w:rPr>
          <w:sz w:val="21"/>
        </w:rPr>
        <w:t>您</w:t>
      </w:r>
      <w:r>
        <w:rPr>
          <w:spacing w:val="-3"/>
          <w:sz w:val="21"/>
        </w:rPr>
        <w:t>有</w:t>
      </w:r>
      <w:r>
        <w:rPr>
          <w:sz w:val="21"/>
        </w:rPr>
        <w:t>欠</w:t>
      </w:r>
      <w:r>
        <w:rPr>
          <w:spacing w:val="-3"/>
          <w:sz w:val="21"/>
        </w:rPr>
        <w:t>交</w:t>
      </w:r>
      <w:r>
        <w:rPr>
          <w:sz w:val="21"/>
        </w:rPr>
        <w:t>的</w:t>
      </w:r>
      <w:r>
        <w:rPr>
          <w:spacing w:val="-3"/>
          <w:sz w:val="21"/>
        </w:rPr>
        <w:t>保</w:t>
      </w:r>
      <w:r>
        <w:rPr>
          <w:sz w:val="21"/>
        </w:rPr>
        <w:t>险费 </w:t>
      </w:r>
      <w:r>
        <w:rPr>
          <w:spacing w:val="-1"/>
          <w:sz w:val="21"/>
        </w:rPr>
        <w:t>或其</w:t>
      </w:r>
      <w:r>
        <w:rPr>
          <w:spacing w:val="-3"/>
          <w:sz w:val="21"/>
        </w:rPr>
        <w:t>他</w:t>
      </w:r>
      <w:r>
        <w:rPr>
          <w:sz w:val="21"/>
        </w:rPr>
        <w:t>欠款，</w:t>
      </w:r>
      <w:r>
        <w:rPr>
          <w:spacing w:val="-3"/>
          <w:sz w:val="21"/>
        </w:rPr>
        <w:t>我</w:t>
      </w:r>
      <w:r>
        <w:rPr>
          <w:sz w:val="21"/>
        </w:rPr>
        <w:t>们</w:t>
      </w:r>
      <w:r>
        <w:rPr>
          <w:spacing w:val="-3"/>
          <w:sz w:val="21"/>
        </w:rPr>
        <w:t>会</w:t>
      </w:r>
      <w:r>
        <w:rPr>
          <w:sz w:val="21"/>
        </w:rPr>
        <w:t>在</w:t>
      </w:r>
      <w:r>
        <w:rPr>
          <w:spacing w:val="-3"/>
          <w:sz w:val="21"/>
        </w:rPr>
        <w:t>扣</w:t>
      </w:r>
      <w:r>
        <w:rPr>
          <w:sz w:val="21"/>
        </w:rPr>
        <w:t>除上</w:t>
      </w:r>
      <w:r>
        <w:rPr>
          <w:spacing w:val="-3"/>
          <w:sz w:val="21"/>
        </w:rPr>
        <w:t>述</w:t>
      </w:r>
      <w:r>
        <w:rPr>
          <w:sz w:val="21"/>
        </w:rPr>
        <w:t>欠</w:t>
      </w:r>
      <w:r>
        <w:rPr>
          <w:spacing w:val="-3"/>
          <w:sz w:val="21"/>
        </w:rPr>
        <w:t>款</w:t>
      </w:r>
      <w:r>
        <w:rPr>
          <w:sz w:val="21"/>
        </w:rPr>
        <w:t>及</w:t>
      </w:r>
      <w:r>
        <w:rPr>
          <w:spacing w:val="-3"/>
          <w:sz w:val="21"/>
        </w:rPr>
        <w:t>其</w:t>
      </w:r>
      <w:r>
        <w:rPr>
          <w:sz w:val="21"/>
        </w:rPr>
        <w:t>利</w:t>
      </w:r>
      <w:r>
        <w:rPr>
          <w:spacing w:val="-3"/>
          <w:sz w:val="21"/>
        </w:rPr>
        <w:t>息</w:t>
      </w:r>
      <w:r>
        <w:rPr>
          <w:sz w:val="21"/>
        </w:rPr>
        <w:t>（</w:t>
      </w:r>
      <w:r>
        <w:rPr>
          <w:spacing w:val="-3"/>
          <w:sz w:val="21"/>
        </w:rPr>
        <w:t>按</w:t>
      </w:r>
      <w:r>
        <w:rPr>
          <w:sz w:val="21"/>
        </w:rPr>
        <w:t>条款</w:t>
      </w:r>
      <w:r>
        <w:rPr>
          <w:spacing w:val="-3"/>
          <w:sz w:val="21"/>
        </w:rPr>
        <w:t>约</w:t>
      </w:r>
      <w:r>
        <w:rPr>
          <w:sz w:val="21"/>
        </w:rPr>
        <w:t>定</w:t>
      </w:r>
      <w:r>
        <w:rPr>
          <w:spacing w:val="-3"/>
          <w:sz w:val="21"/>
        </w:rPr>
        <w:t>利</w:t>
      </w:r>
      <w:r>
        <w:rPr>
          <w:sz w:val="21"/>
        </w:rPr>
        <w:t>率</w:t>
      </w:r>
      <w:r>
        <w:rPr>
          <w:spacing w:val="-3"/>
          <w:sz w:val="21"/>
        </w:rPr>
        <w:t>计</w:t>
      </w:r>
      <w:r>
        <w:rPr>
          <w:sz w:val="21"/>
        </w:rPr>
        <w:t>算</w:t>
      </w:r>
      <w:r>
        <w:rPr>
          <w:spacing w:val="-3"/>
          <w:sz w:val="21"/>
        </w:rPr>
        <w:t>）后给付。</w:t>
      </w:r>
    </w:p>
    <w:p>
      <w:pPr>
        <w:pStyle w:val="BodyText"/>
        <w:spacing w:before="11"/>
        <w:rPr>
          <w:sz w:val="10"/>
        </w:rPr>
      </w:pPr>
    </w:p>
    <w:p>
      <w:pPr>
        <w:spacing w:after="0"/>
        <w:rPr>
          <w:sz w:val="10"/>
        </w:rPr>
        <w:sectPr>
          <w:type w:val="continuous"/>
          <w:pgSz w:w="11910" w:h="16840"/>
          <w:pgMar w:top="1080" w:bottom="280" w:left="800" w:right="860"/>
        </w:sectPr>
      </w:pPr>
    </w:p>
    <w:p>
      <w:pPr>
        <w:pStyle w:val="Heading3"/>
        <w:numPr>
          <w:ilvl w:val="1"/>
          <w:numId w:val="1"/>
        </w:numPr>
        <w:tabs>
          <w:tab w:pos="1321" w:val="left" w:leader="none"/>
          <w:tab w:pos="1322" w:val="left" w:leader="none"/>
        </w:tabs>
        <w:spacing w:line="273" w:lineRule="auto" w:before="36" w:after="0"/>
        <w:ind w:left="1322" w:right="0" w:hanging="1102"/>
        <w:jc w:val="left"/>
      </w:pPr>
      <w:r>
        <w:rPr>
          <w:spacing w:val="35"/>
        </w:rPr>
        <w:t>合同内容变</w:t>
      </w:r>
      <w:r>
        <w:rPr/>
        <w:t>更</w:t>
      </w:r>
    </w:p>
    <w:p>
      <w:pPr>
        <w:pStyle w:val="BodyText"/>
        <w:spacing w:line="273" w:lineRule="auto" w:before="36"/>
        <w:ind w:left="139" w:right="201"/>
        <w:jc w:val="both"/>
      </w:pPr>
      <w:r>
        <w:rPr/>
        <w:br w:type="column"/>
      </w:r>
      <w:r>
        <w:rPr>
          <w:spacing w:val="-7"/>
        </w:rPr>
        <w:t>在本合同有效期内，经您与我们协商一致，可以变更本合同的有关内容。变更本</w:t>
      </w:r>
      <w:r>
        <w:rPr>
          <w:spacing w:val="-9"/>
        </w:rPr>
        <w:t>合同的，应当由我们在电子保险单或者其他保险凭证上批注或者附贴批单，或者</w:t>
      </w:r>
      <w:r>
        <w:rPr>
          <w:spacing w:val="-5"/>
        </w:rPr>
        <w:t>由您与我们订立书面的变更协议。</w:t>
      </w:r>
    </w:p>
    <w:p>
      <w:pPr>
        <w:spacing w:after="0" w:line="273" w:lineRule="auto"/>
        <w:jc w:val="both"/>
        <w:sectPr>
          <w:type w:val="continuous"/>
          <w:pgSz w:w="11910" w:h="16840"/>
          <w:pgMar w:top="1080" w:bottom="280" w:left="800" w:right="860"/>
          <w:cols w:num="2" w:equalWidth="0">
            <w:col w:w="2559" w:space="40"/>
            <w:col w:w="7651"/>
          </w:cols>
        </w:sectPr>
      </w:pPr>
    </w:p>
    <w:p>
      <w:pPr>
        <w:pStyle w:val="BodyText"/>
        <w:spacing w:before="10"/>
        <w:rPr>
          <w:sz w:val="10"/>
        </w:rPr>
      </w:pPr>
    </w:p>
    <w:p>
      <w:pPr>
        <w:spacing w:after="0"/>
        <w:rPr>
          <w:sz w:val="10"/>
        </w:rPr>
        <w:sectPr>
          <w:type w:val="continuous"/>
          <w:pgSz w:w="11910" w:h="16840"/>
          <w:pgMar w:top="1080" w:bottom="280" w:left="800" w:right="860"/>
        </w:sectPr>
      </w:pPr>
    </w:p>
    <w:p>
      <w:pPr>
        <w:pStyle w:val="Heading3"/>
        <w:numPr>
          <w:ilvl w:val="1"/>
          <w:numId w:val="1"/>
        </w:numPr>
        <w:tabs>
          <w:tab w:pos="1321" w:val="left" w:leader="none"/>
          <w:tab w:pos="1322" w:val="left" w:leader="none"/>
        </w:tabs>
        <w:spacing w:line="273" w:lineRule="auto" w:before="37" w:after="0"/>
        <w:ind w:left="1322" w:right="0" w:hanging="1102"/>
        <w:jc w:val="left"/>
      </w:pPr>
      <w:r>
        <w:rPr>
          <w:spacing w:val="35"/>
        </w:rPr>
        <w:t>联系方式变</w:t>
      </w:r>
      <w:r>
        <w:rPr/>
        <w:t>更</w:t>
      </w:r>
    </w:p>
    <w:p>
      <w:pPr>
        <w:pStyle w:val="BodyText"/>
        <w:spacing w:line="273" w:lineRule="auto" w:before="37"/>
        <w:ind w:left="139" w:right="201"/>
        <w:jc w:val="both"/>
      </w:pPr>
      <w:r>
        <w:rPr/>
        <w:br w:type="column"/>
      </w:r>
      <w:r>
        <w:rPr>
          <w:spacing w:val="-7"/>
        </w:rPr>
        <w:t>为了保障您的合法权益，您的住所、通讯地址或电话等联系方式变更时，请及时</w:t>
      </w:r>
      <w:r>
        <w:rPr>
          <w:spacing w:val="-8"/>
        </w:rPr>
        <w:t>以书面形式或双方认可的其他形式通知我们。若您未以书面形式或双方认可的其</w:t>
      </w:r>
      <w:r>
        <w:rPr>
          <w:spacing w:val="-9"/>
        </w:rPr>
        <w:t>他形式通知我们，我们按本合同载明的最后住所或通讯地址发送的有关通知，均</w:t>
      </w:r>
      <w:r>
        <w:rPr>
          <w:spacing w:val="-5"/>
        </w:rPr>
        <w:t>视为已送达给您。</w:t>
      </w:r>
    </w:p>
    <w:p>
      <w:pPr>
        <w:spacing w:after="0" w:line="273" w:lineRule="auto"/>
        <w:jc w:val="both"/>
        <w:sectPr>
          <w:type w:val="continuous"/>
          <w:pgSz w:w="11910" w:h="16840"/>
          <w:pgMar w:top="1080" w:bottom="280" w:left="800" w:right="860"/>
          <w:cols w:num="2" w:equalWidth="0">
            <w:col w:w="2559" w:space="40"/>
            <w:col w:w="7651"/>
          </w:cols>
        </w:sectPr>
      </w:pPr>
    </w:p>
    <w:p>
      <w:pPr>
        <w:pStyle w:val="BodyText"/>
        <w:spacing w:before="11"/>
        <w:rPr>
          <w:sz w:val="10"/>
        </w:rPr>
      </w:pPr>
    </w:p>
    <w:p>
      <w:pPr>
        <w:pStyle w:val="ListParagraph"/>
        <w:numPr>
          <w:ilvl w:val="1"/>
          <w:numId w:val="1"/>
        </w:numPr>
        <w:tabs>
          <w:tab w:pos="1321" w:val="left" w:leader="none"/>
          <w:tab w:pos="1322" w:val="left" w:leader="none"/>
          <w:tab w:pos="2737" w:val="left" w:leader="none"/>
        </w:tabs>
        <w:spacing w:line="273" w:lineRule="auto" w:before="36" w:after="0"/>
        <w:ind w:left="2738" w:right="201" w:hanging="2518"/>
        <w:jc w:val="left"/>
        <w:rPr>
          <w:sz w:val="21"/>
        </w:rPr>
      </w:pPr>
      <w:r>
        <w:rPr>
          <w:b/>
          <w:sz w:val="21"/>
        </w:rPr>
        <w:t>争议处理</w:t>
        <w:tab/>
      </w:r>
      <w:r>
        <w:rPr>
          <w:spacing w:val="-1"/>
          <w:sz w:val="21"/>
        </w:rPr>
        <w:t>本合</w:t>
      </w:r>
      <w:r>
        <w:rPr>
          <w:spacing w:val="-3"/>
          <w:sz w:val="21"/>
        </w:rPr>
        <w:t>同</w:t>
      </w:r>
      <w:r>
        <w:rPr>
          <w:sz w:val="21"/>
        </w:rPr>
        <w:t>履行过</w:t>
      </w:r>
      <w:r>
        <w:rPr>
          <w:spacing w:val="-3"/>
          <w:sz w:val="21"/>
        </w:rPr>
        <w:t>程</w:t>
      </w:r>
      <w:r>
        <w:rPr>
          <w:sz w:val="21"/>
        </w:rPr>
        <w:t>中</w:t>
      </w:r>
      <w:r>
        <w:rPr>
          <w:spacing w:val="-29"/>
          <w:sz w:val="21"/>
        </w:rPr>
        <w:t>，</w:t>
      </w:r>
      <w:r>
        <w:rPr>
          <w:sz w:val="21"/>
        </w:rPr>
        <w:t>双</w:t>
      </w:r>
      <w:r>
        <w:rPr>
          <w:spacing w:val="-3"/>
          <w:sz w:val="21"/>
        </w:rPr>
        <w:t>方</w:t>
      </w:r>
      <w:r>
        <w:rPr>
          <w:sz w:val="21"/>
        </w:rPr>
        <w:t>发生</w:t>
      </w:r>
      <w:r>
        <w:rPr>
          <w:spacing w:val="-3"/>
          <w:sz w:val="21"/>
        </w:rPr>
        <w:t>争</w:t>
      </w:r>
      <w:r>
        <w:rPr>
          <w:sz w:val="21"/>
        </w:rPr>
        <w:t>议</w:t>
      </w:r>
      <w:r>
        <w:rPr>
          <w:spacing w:val="-3"/>
          <w:sz w:val="21"/>
        </w:rPr>
        <w:t>不</w:t>
      </w:r>
      <w:r>
        <w:rPr>
          <w:sz w:val="21"/>
        </w:rPr>
        <w:t>能</w:t>
      </w:r>
      <w:r>
        <w:rPr>
          <w:spacing w:val="-3"/>
          <w:sz w:val="21"/>
        </w:rPr>
        <w:t>协</w:t>
      </w:r>
      <w:r>
        <w:rPr>
          <w:sz w:val="21"/>
        </w:rPr>
        <w:t>商</w:t>
      </w:r>
      <w:r>
        <w:rPr>
          <w:spacing w:val="-3"/>
          <w:sz w:val="21"/>
        </w:rPr>
        <w:t>解</w:t>
      </w:r>
      <w:r>
        <w:rPr>
          <w:sz w:val="21"/>
        </w:rPr>
        <w:t>决</w:t>
      </w:r>
      <w:r>
        <w:rPr>
          <w:spacing w:val="-3"/>
          <w:sz w:val="21"/>
        </w:rPr>
        <w:t>的</w:t>
      </w:r>
      <w:r>
        <w:rPr>
          <w:spacing w:val="-27"/>
          <w:sz w:val="21"/>
        </w:rPr>
        <w:t>，</w:t>
      </w:r>
      <w:r>
        <w:rPr>
          <w:sz w:val="21"/>
        </w:rPr>
        <w:t>可</w:t>
      </w:r>
      <w:r>
        <w:rPr>
          <w:spacing w:val="-3"/>
          <w:sz w:val="21"/>
        </w:rPr>
        <w:t>以</w:t>
      </w:r>
      <w:r>
        <w:rPr>
          <w:sz w:val="21"/>
        </w:rPr>
        <w:t>达</w:t>
      </w:r>
      <w:r>
        <w:rPr>
          <w:spacing w:val="-3"/>
          <w:sz w:val="21"/>
        </w:rPr>
        <w:t>成</w:t>
      </w:r>
      <w:r>
        <w:rPr>
          <w:sz w:val="21"/>
        </w:rPr>
        <w:t>仲</w:t>
      </w:r>
      <w:r>
        <w:rPr>
          <w:spacing w:val="-3"/>
          <w:sz w:val="21"/>
        </w:rPr>
        <w:t>裁</w:t>
      </w:r>
      <w:r>
        <w:rPr>
          <w:sz w:val="21"/>
        </w:rPr>
        <w:t>协</w:t>
      </w:r>
      <w:r>
        <w:rPr>
          <w:spacing w:val="-3"/>
          <w:sz w:val="21"/>
        </w:rPr>
        <w:t>议</w:t>
      </w:r>
      <w:r>
        <w:rPr>
          <w:sz w:val="21"/>
        </w:rPr>
        <w:t>通</w:t>
      </w:r>
      <w:r>
        <w:rPr>
          <w:spacing w:val="-3"/>
          <w:sz w:val="21"/>
        </w:rPr>
        <w:t>过</w:t>
      </w:r>
      <w:r>
        <w:rPr>
          <w:sz w:val="21"/>
        </w:rPr>
        <w:t>仲裁 解决</w:t>
      </w:r>
      <w:r>
        <w:rPr>
          <w:spacing w:val="-3"/>
          <w:sz w:val="21"/>
        </w:rPr>
        <w:t>，</w:t>
      </w:r>
      <w:r>
        <w:rPr>
          <w:sz w:val="21"/>
        </w:rPr>
        <w:t>也</w:t>
      </w:r>
      <w:r>
        <w:rPr>
          <w:spacing w:val="-3"/>
          <w:sz w:val="21"/>
        </w:rPr>
        <w:t>可</w:t>
      </w:r>
      <w:r>
        <w:rPr>
          <w:sz w:val="21"/>
        </w:rPr>
        <w:t>以</w:t>
      </w:r>
      <w:r>
        <w:rPr>
          <w:spacing w:val="-3"/>
          <w:sz w:val="21"/>
        </w:rPr>
        <w:t>依</w:t>
      </w:r>
      <w:r>
        <w:rPr>
          <w:sz w:val="21"/>
        </w:rPr>
        <w:t>法</w:t>
      </w:r>
      <w:r>
        <w:rPr>
          <w:spacing w:val="-3"/>
          <w:sz w:val="21"/>
        </w:rPr>
        <w:t>向</w:t>
      </w:r>
      <w:r>
        <w:rPr>
          <w:sz w:val="21"/>
        </w:rPr>
        <w:t>人</w:t>
      </w:r>
      <w:r>
        <w:rPr>
          <w:spacing w:val="-3"/>
          <w:sz w:val="21"/>
        </w:rPr>
        <w:t>民</w:t>
      </w:r>
      <w:r>
        <w:rPr>
          <w:sz w:val="21"/>
        </w:rPr>
        <w:t>法院</w:t>
      </w:r>
      <w:r>
        <w:rPr>
          <w:spacing w:val="-3"/>
          <w:sz w:val="21"/>
        </w:rPr>
        <w:t>起</w:t>
      </w:r>
      <w:r>
        <w:rPr>
          <w:sz w:val="21"/>
        </w:rPr>
        <w:t>诉。</w:t>
      </w:r>
    </w:p>
    <w:p>
      <w:pPr>
        <w:spacing w:after="0" w:line="273" w:lineRule="auto"/>
        <w:jc w:val="left"/>
        <w:rPr>
          <w:sz w:val="21"/>
        </w:rPr>
        <w:sectPr>
          <w:type w:val="continuous"/>
          <w:pgSz w:w="11910" w:h="16840"/>
          <w:pgMar w:top="1080" w:bottom="280" w:left="800" w:right="860"/>
        </w:sectPr>
      </w:pPr>
    </w:p>
    <w:p>
      <w:pPr>
        <w:pStyle w:val="BodyText"/>
        <w:rPr>
          <w:sz w:val="20"/>
        </w:rPr>
      </w:pPr>
    </w:p>
    <w:p>
      <w:pPr>
        <w:pStyle w:val="Heading2"/>
        <w:numPr>
          <w:ilvl w:val="0"/>
          <w:numId w:val="1"/>
        </w:numPr>
        <w:tabs>
          <w:tab w:pos="1321" w:val="left" w:leader="none"/>
          <w:tab w:pos="1322" w:val="left" w:leader="none"/>
        </w:tabs>
        <w:spacing w:line="240" w:lineRule="auto" w:before="155" w:after="0"/>
        <w:ind w:left="1322" w:right="0" w:hanging="1102"/>
        <w:jc w:val="left"/>
      </w:pPr>
      <w:r>
        <w:rPr>
          <w:w w:val="95"/>
        </w:rPr>
        <w:t>释义</w:t>
      </w:r>
    </w:p>
    <w:p>
      <w:pPr>
        <w:pStyle w:val="BodyText"/>
        <w:spacing w:before="2"/>
        <w:rPr>
          <w:b/>
          <w:sz w:val="10"/>
        </w:rPr>
      </w:pPr>
      <w:r>
        <w:rPr/>
        <w:pict>
          <v:group style="position:absolute;margin-left:45.599998pt;margin-top:8.602998pt;width:501.7pt;height:1.45pt;mso-position-horizontal-relative:page;mso-position-vertical-relative:paragraph;z-index:1144;mso-wrap-distance-left:0;mso-wrap-distance-right:0" coordorigin="912,172" coordsize="10034,29">
            <v:line style="position:absolute" from="912,177" to="2012,177" stroked="true" strokeweight=".48pt" strokecolor="#000000">
              <v:stroke dashstyle="solid"/>
            </v:line>
            <v:line style="position:absolute" from="912,196" to="2012,196" stroked="true" strokeweight=".48pt" strokecolor="#000000">
              <v:stroke dashstyle="solid"/>
            </v:line>
            <v:rect style="position:absolute;left:2011;top:172;width:29;height:10" filled="true" fillcolor="#000000" stroked="false">
              <v:fill type="solid"/>
            </v:rect>
            <v:rect style="position:absolute;left:2011;top:191;width:29;height:10" filled="true" fillcolor="#000000" stroked="false">
              <v:fill type="solid"/>
            </v:rect>
            <v:line style="position:absolute" from="2040,177" to="3428,177" stroked="true" strokeweight=".48pt" strokecolor="#000000">
              <v:stroke dashstyle="solid"/>
            </v:line>
            <v:line style="position:absolute" from="2040,196" to="3428,196" stroked="true" strokeweight=".48pt" strokecolor="#000000">
              <v:stroke dashstyle="solid"/>
            </v:line>
            <v:rect style="position:absolute;left:3427;top:172;width:29;height:10" filled="true" fillcolor="#000000" stroked="false">
              <v:fill type="solid"/>
            </v:rect>
            <v:rect style="position:absolute;left:3427;top:191;width:29;height:10" filled="true" fillcolor="#000000" stroked="false">
              <v:fill type="solid"/>
            </v:rect>
            <v:line style="position:absolute" from="3456,177" to="10946,177" stroked="true" strokeweight=".48pt" strokecolor="#000000">
              <v:stroke dashstyle="solid"/>
            </v:line>
            <v:line style="position:absolute" from="3456,196" to="10946,196" stroked="true" strokeweight=".48pt" strokecolor="#000000">
              <v:stroke dashstyle="solid"/>
            </v:line>
            <w10:wrap type="topAndBottom"/>
          </v:group>
        </w:pict>
      </w:r>
    </w:p>
    <w:p>
      <w:pPr>
        <w:pStyle w:val="ListParagraph"/>
        <w:numPr>
          <w:ilvl w:val="1"/>
          <w:numId w:val="1"/>
        </w:numPr>
        <w:tabs>
          <w:tab w:pos="1321" w:val="left" w:leader="none"/>
          <w:tab w:pos="1322" w:val="left" w:leader="none"/>
          <w:tab w:pos="2737" w:val="left" w:leader="none"/>
        </w:tabs>
        <w:spacing w:line="273" w:lineRule="auto" w:before="100" w:after="0"/>
        <w:ind w:left="2738" w:right="222" w:hanging="2518"/>
        <w:jc w:val="left"/>
        <w:rPr>
          <w:sz w:val="21"/>
        </w:rPr>
      </w:pPr>
      <w:r>
        <w:rPr>
          <w:b/>
          <w:sz w:val="21"/>
        </w:rPr>
        <w:t>保单周年日</w:t>
        <w:tab/>
      </w:r>
      <w:r>
        <w:rPr>
          <w:sz w:val="21"/>
        </w:rPr>
        <w:t>保险</w:t>
      </w:r>
      <w:r>
        <w:rPr>
          <w:spacing w:val="-3"/>
          <w:sz w:val="21"/>
        </w:rPr>
        <w:t>合</w:t>
      </w:r>
      <w:r>
        <w:rPr>
          <w:sz w:val="21"/>
        </w:rPr>
        <w:t>同</w:t>
      </w:r>
      <w:r>
        <w:rPr>
          <w:spacing w:val="-3"/>
          <w:sz w:val="21"/>
        </w:rPr>
        <w:t>生</w:t>
      </w:r>
      <w:r>
        <w:rPr>
          <w:sz w:val="21"/>
        </w:rPr>
        <w:t>效</w:t>
      </w:r>
      <w:r>
        <w:rPr>
          <w:spacing w:val="-3"/>
          <w:sz w:val="21"/>
        </w:rPr>
        <w:t>日</w:t>
      </w:r>
      <w:r>
        <w:rPr>
          <w:sz w:val="21"/>
        </w:rPr>
        <w:t>以</w:t>
      </w:r>
      <w:r>
        <w:rPr>
          <w:spacing w:val="-3"/>
          <w:sz w:val="21"/>
        </w:rPr>
        <w:t>后</w:t>
      </w:r>
      <w:r>
        <w:rPr>
          <w:sz w:val="21"/>
        </w:rPr>
        <w:t>每</w:t>
      </w:r>
      <w:r>
        <w:rPr>
          <w:spacing w:val="-3"/>
          <w:sz w:val="21"/>
        </w:rPr>
        <w:t>年</w:t>
      </w:r>
      <w:r>
        <w:rPr>
          <w:sz w:val="21"/>
        </w:rPr>
        <w:t>的对</w:t>
      </w:r>
      <w:r>
        <w:rPr>
          <w:spacing w:val="-3"/>
          <w:sz w:val="21"/>
        </w:rPr>
        <w:t>应</w:t>
      </w:r>
      <w:r>
        <w:rPr>
          <w:sz w:val="21"/>
        </w:rPr>
        <w:t>日</w:t>
      </w:r>
      <w:r>
        <w:rPr>
          <w:spacing w:val="-3"/>
          <w:sz w:val="21"/>
        </w:rPr>
        <w:t>为</w:t>
      </w:r>
      <w:r>
        <w:rPr>
          <w:sz w:val="21"/>
        </w:rPr>
        <w:t>保</w:t>
      </w:r>
      <w:r>
        <w:rPr>
          <w:spacing w:val="-3"/>
          <w:sz w:val="21"/>
        </w:rPr>
        <w:t>单</w:t>
      </w:r>
      <w:r>
        <w:rPr>
          <w:sz w:val="21"/>
        </w:rPr>
        <w:t>周</w:t>
      </w:r>
      <w:r>
        <w:rPr>
          <w:spacing w:val="-3"/>
          <w:sz w:val="21"/>
        </w:rPr>
        <w:t>年</w:t>
      </w:r>
      <w:r>
        <w:rPr>
          <w:sz w:val="21"/>
        </w:rPr>
        <w:t>日</w:t>
      </w:r>
      <w:r>
        <w:rPr>
          <w:spacing w:val="-29"/>
          <w:sz w:val="21"/>
        </w:rPr>
        <w:t>，</w:t>
      </w:r>
      <w:r>
        <w:rPr>
          <w:sz w:val="21"/>
        </w:rPr>
        <w:t>如果</w:t>
      </w:r>
      <w:r>
        <w:rPr>
          <w:spacing w:val="-3"/>
          <w:sz w:val="21"/>
        </w:rPr>
        <w:t>当</w:t>
      </w:r>
      <w:r>
        <w:rPr>
          <w:sz w:val="21"/>
        </w:rPr>
        <w:t>月</w:t>
      </w:r>
      <w:r>
        <w:rPr>
          <w:spacing w:val="-3"/>
          <w:sz w:val="21"/>
        </w:rPr>
        <w:t>无</w:t>
      </w:r>
      <w:r>
        <w:rPr>
          <w:sz w:val="21"/>
        </w:rPr>
        <w:t>对</w:t>
      </w:r>
      <w:r>
        <w:rPr>
          <w:spacing w:val="-3"/>
          <w:sz w:val="21"/>
        </w:rPr>
        <w:t>应</w:t>
      </w:r>
      <w:r>
        <w:rPr>
          <w:sz w:val="21"/>
        </w:rPr>
        <w:t>的</w:t>
      </w:r>
      <w:r>
        <w:rPr>
          <w:spacing w:val="-3"/>
          <w:sz w:val="21"/>
        </w:rPr>
        <w:t>同</w:t>
      </w:r>
      <w:r>
        <w:rPr>
          <w:sz w:val="21"/>
        </w:rPr>
        <w:t>一</w:t>
      </w:r>
      <w:r>
        <w:rPr>
          <w:spacing w:val="-3"/>
          <w:sz w:val="21"/>
        </w:rPr>
        <w:t>日</w:t>
      </w:r>
      <w:r>
        <w:rPr>
          <w:spacing w:val="-27"/>
          <w:sz w:val="21"/>
        </w:rPr>
        <w:t>，</w:t>
      </w:r>
      <w:r>
        <w:rPr>
          <w:sz w:val="21"/>
        </w:rPr>
        <w:t>则 以该</w:t>
      </w:r>
      <w:r>
        <w:rPr>
          <w:spacing w:val="-3"/>
          <w:sz w:val="21"/>
        </w:rPr>
        <w:t>月</w:t>
      </w:r>
      <w:r>
        <w:rPr>
          <w:sz w:val="21"/>
        </w:rPr>
        <w:t>最</w:t>
      </w:r>
      <w:r>
        <w:rPr>
          <w:spacing w:val="-3"/>
          <w:sz w:val="21"/>
        </w:rPr>
        <w:t>后</w:t>
      </w:r>
      <w:r>
        <w:rPr>
          <w:sz w:val="21"/>
        </w:rPr>
        <w:t>一</w:t>
      </w:r>
      <w:r>
        <w:rPr>
          <w:spacing w:val="-3"/>
          <w:sz w:val="21"/>
        </w:rPr>
        <w:t>日</w:t>
      </w:r>
      <w:r>
        <w:rPr>
          <w:sz w:val="21"/>
        </w:rPr>
        <w:t>作</w:t>
      </w:r>
      <w:r>
        <w:rPr>
          <w:spacing w:val="-3"/>
          <w:sz w:val="21"/>
        </w:rPr>
        <w:t>为</w:t>
      </w:r>
      <w:r>
        <w:rPr>
          <w:sz w:val="21"/>
        </w:rPr>
        <w:t>对</w:t>
      </w:r>
      <w:r>
        <w:rPr>
          <w:spacing w:val="-3"/>
          <w:sz w:val="21"/>
        </w:rPr>
        <w:t>应</w:t>
      </w:r>
      <w:r>
        <w:rPr>
          <w:sz w:val="21"/>
        </w:rPr>
        <w:t>日。</w:t>
      </w:r>
    </w:p>
    <w:p>
      <w:pPr>
        <w:pStyle w:val="ListParagraph"/>
        <w:numPr>
          <w:ilvl w:val="1"/>
          <w:numId w:val="1"/>
        </w:numPr>
        <w:tabs>
          <w:tab w:pos="1321" w:val="left" w:leader="none"/>
          <w:tab w:pos="1322" w:val="left" w:leader="none"/>
          <w:tab w:pos="2737" w:val="left" w:leader="none"/>
        </w:tabs>
        <w:spacing w:line="273" w:lineRule="auto" w:before="178" w:after="0"/>
        <w:ind w:left="2738" w:right="232" w:hanging="2518"/>
        <w:jc w:val="left"/>
        <w:rPr>
          <w:sz w:val="21"/>
        </w:rPr>
      </w:pPr>
      <w:r>
        <w:rPr>
          <w:b/>
          <w:sz w:val="21"/>
        </w:rPr>
        <w:t>保单年度</w:t>
        <w:tab/>
      </w:r>
      <w:r>
        <w:rPr>
          <w:spacing w:val="2"/>
          <w:sz w:val="21"/>
        </w:rPr>
        <w:t>从保</w:t>
      </w:r>
      <w:r>
        <w:rPr>
          <w:sz w:val="21"/>
        </w:rPr>
        <w:t>险</w:t>
      </w:r>
      <w:r>
        <w:rPr>
          <w:spacing w:val="2"/>
          <w:sz w:val="21"/>
        </w:rPr>
        <w:t>合</w:t>
      </w:r>
      <w:r>
        <w:rPr>
          <w:sz w:val="21"/>
        </w:rPr>
        <w:t>同</w:t>
      </w:r>
      <w:r>
        <w:rPr>
          <w:spacing w:val="2"/>
          <w:sz w:val="21"/>
        </w:rPr>
        <w:t>生</w:t>
      </w:r>
      <w:r>
        <w:rPr>
          <w:sz w:val="21"/>
        </w:rPr>
        <w:t>效</w:t>
      </w:r>
      <w:r>
        <w:rPr>
          <w:spacing w:val="2"/>
          <w:sz w:val="21"/>
        </w:rPr>
        <w:t>日</w:t>
      </w:r>
      <w:r>
        <w:rPr>
          <w:sz w:val="21"/>
        </w:rPr>
        <w:t>或</w:t>
      </w:r>
      <w:r>
        <w:rPr>
          <w:spacing w:val="2"/>
          <w:sz w:val="21"/>
        </w:rPr>
        <w:t>生</w:t>
      </w:r>
      <w:r>
        <w:rPr>
          <w:sz w:val="21"/>
        </w:rPr>
        <w:t>效</w:t>
      </w:r>
      <w:r>
        <w:rPr>
          <w:spacing w:val="2"/>
          <w:sz w:val="21"/>
        </w:rPr>
        <w:t>对应</w:t>
      </w:r>
      <w:r>
        <w:rPr>
          <w:sz w:val="21"/>
        </w:rPr>
        <w:t>日</w:t>
      </w:r>
      <w:r>
        <w:rPr>
          <w:spacing w:val="2"/>
          <w:sz w:val="21"/>
        </w:rPr>
        <w:t>零</w:t>
      </w:r>
      <w:r>
        <w:rPr>
          <w:sz w:val="21"/>
        </w:rPr>
        <w:t>时</w:t>
      </w:r>
      <w:r>
        <w:rPr>
          <w:spacing w:val="2"/>
          <w:sz w:val="21"/>
        </w:rPr>
        <w:t>起</w:t>
      </w:r>
      <w:r>
        <w:rPr>
          <w:sz w:val="21"/>
        </w:rPr>
        <w:t>至</w:t>
      </w:r>
      <w:r>
        <w:rPr>
          <w:spacing w:val="2"/>
          <w:sz w:val="21"/>
        </w:rPr>
        <w:t>下</w:t>
      </w:r>
      <w:r>
        <w:rPr>
          <w:sz w:val="21"/>
        </w:rPr>
        <w:t>一</w:t>
      </w:r>
      <w:r>
        <w:rPr>
          <w:spacing w:val="2"/>
          <w:sz w:val="21"/>
        </w:rPr>
        <w:t>年</w:t>
      </w:r>
      <w:r>
        <w:rPr>
          <w:sz w:val="21"/>
        </w:rPr>
        <w:t>度</w:t>
      </w:r>
      <w:r>
        <w:rPr>
          <w:spacing w:val="2"/>
          <w:sz w:val="21"/>
        </w:rPr>
        <w:t>保险</w:t>
      </w:r>
      <w:r>
        <w:rPr>
          <w:sz w:val="21"/>
        </w:rPr>
        <w:t>合</w:t>
      </w:r>
      <w:r>
        <w:rPr>
          <w:spacing w:val="2"/>
          <w:sz w:val="21"/>
        </w:rPr>
        <w:t>同</w:t>
      </w:r>
      <w:r>
        <w:rPr>
          <w:sz w:val="21"/>
        </w:rPr>
        <w:t>生</w:t>
      </w:r>
      <w:r>
        <w:rPr>
          <w:spacing w:val="2"/>
          <w:sz w:val="21"/>
        </w:rPr>
        <w:t>效</w:t>
      </w:r>
      <w:r>
        <w:rPr>
          <w:sz w:val="21"/>
        </w:rPr>
        <w:t>对</w:t>
      </w:r>
      <w:r>
        <w:rPr>
          <w:spacing w:val="2"/>
          <w:sz w:val="21"/>
        </w:rPr>
        <w:t>应</w:t>
      </w:r>
      <w:r>
        <w:rPr>
          <w:sz w:val="21"/>
        </w:rPr>
        <w:t>日零时止 </w:t>
      </w:r>
      <w:r>
        <w:rPr>
          <w:spacing w:val="-1"/>
          <w:sz w:val="21"/>
        </w:rPr>
        <w:t>的期</w:t>
      </w:r>
      <w:r>
        <w:rPr>
          <w:sz w:val="21"/>
        </w:rPr>
        <w:t>间为</w:t>
      </w:r>
      <w:r>
        <w:rPr>
          <w:spacing w:val="-3"/>
          <w:sz w:val="21"/>
        </w:rPr>
        <w:t>一</w:t>
      </w:r>
      <w:r>
        <w:rPr>
          <w:sz w:val="21"/>
        </w:rPr>
        <w:t>个</w:t>
      </w:r>
      <w:r>
        <w:rPr>
          <w:spacing w:val="-3"/>
          <w:sz w:val="21"/>
        </w:rPr>
        <w:t>保</w:t>
      </w:r>
      <w:r>
        <w:rPr>
          <w:sz w:val="21"/>
        </w:rPr>
        <w:t>单</w:t>
      </w:r>
      <w:r>
        <w:rPr>
          <w:spacing w:val="-3"/>
          <w:sz w:val="21"/>
        </w:rPr>
        <w:t>年</w:t>
      </w:r>
      <w:r>
        <w:rPr>
          <w:sz w:val="21"/>
        </w:rPr>
        <w:t>度。</w:t>
      </w:r>
    </w:p>
    <w:p>
      <w:pPr>
        <w:pStyle w:val="BodyText"/>
        <w:spacing w:before="10"/>
        <w:rPr>
          <w:sz w:val="10"/>
        </w:rPr>
      </w:pPr>
    </w:p>
    <w:p>
      <w:pPr>
        <w:spacing w:after="0"/>
        <w:rPr>
          <w:sz w:val="10"/>
        </w:rPr>
        <w:sectPr>
          <w:pgSz w:w="11910" w:h="16840"/>
          <w:pgMar w:header="568" w:footer="0" w:top="800" w:bottom="280" w:left="800" w:right="840"/>
        </w:sectPr>
      </w:pPr>
    </w:p>
    <w:p>
      <w:pPr>
        <w:pStyle w:val="Heading3"/>
        <w:numPr>
          <w:ilvl w:val="1"/>
          <w:numId w:val="1"/>
        </w:numPr>
        <w:tabs>
          <w:tab w:pos="1321" w:val="left" w:leader="none"/>
          <w:tab w:pos="1322" w:val="left" w:leader="none"/>
        </w:tabs>
        <w:spacing w:line="273" w:lineRule="auto" w:before="37" w:after="0"/>
        <w:ind w:left="1322" w:right="0" w:hanging="1102"/>
        <w:jc w:val="left"/>
      </w:pPr>
      <w:r>
        <w:rPr>
          <w:spacing w:val="35"/>
        </w:rPr>
        <w:t>保险费约定</w:t>
      </w:r>
      <w:r>
        <w:rPr/>
        <w:t>交纳日</w:t>
      </w:r>
    </w:p>
    <w:p>
      <w:pPr>
        <w:pStyle w:val="BodyText"/>
        <w:spacing w:line="273" w:lineRule="auto" w:before="37"/>
        <w:ind w:left="139" w:right="171"/>
      </w:pPr>
      <w:r>
        <w:rPr/>
        <w:br w:type="column"/>
      </w:r>
      <w:r>
        <w:rPr/>
        <w:t>保险合同生效日在每月、每季、每半年或每年（根据交费方式确定）的对应日。如果当月无对应的同一日，则以该月最后一日为对应日。</w:t>
      </w:r>
    </w:p>
    <w:p>
      <w:pPr>
        <w:spacing w:after="0" w:line="273" w:lineRule="auto"/>
        <w:sectPr>
          <w:type w:val="continuous"/>
          <w:pgSz w:w="11910" w:h="16840"/>
          <w:pgMar w:top="1080" w:bottom="280" w:left="800" w:right="840"/>
          <w:cols w:num="2" w:equalWidth="0">
            <w:col w:w="2559" w:space="40"/>
            <w:col w:w="7671"/>
          </w:cols>
        </w:sectPr>
      </w:pPr>
    </w:p>
    <w:p>
      <w:pPr>
        <w:pStyle w:val="BodyText"/>
        <w:spacing w:before="3"/>
        <w:rPr>
          <w:sz w:val="10"/>
        </w:rPr>
      </w:pPr>
    </w:p>
    <w:p>
      <w:pPr>
        <w:spacing w:after="0"/>
        <w:rPr>
          <w:sz w:val="10"/>
        </w:rPr>
        <w:sectPr>
          <w:type w:val="continuous"/>
          <w:pgSz w:w="11910" w:h="16840"/>
          <w:pgMar w:top="1080" w:bottom="280" w:left="800" w:right="840"/>
        </w:sectPr>
      </w:pPr>
    </w:p>
    <w:p>
      <w:pPr>
        <w:pStyle w:val="Heading3"/>
        <w:numPr>
          <w:ilvl w:val="1"/>
          <w:numId w:val="1"/>
        </w:numPr>
        <w:tabs>
          <w:tab w:pos="1321" w:val="left" w:leader="none"/>
          <w:tab w:pos="1322" w:val="left" w:leader="none"/>
        </w:tabs>
        <w:spacing w:line="273" w:lineRule="auto" w:before="37" w:after="0"/>
        <w:ind w:left="1322" w:right="0" w:hanging="1102"/>
        <w:jc w:val="left"/>
      </w:pPr>
      <w:r>
        <w:rPr>
          <w:spacing w:val="35"/>
        </w:rPr>
        <w:t>有效身份证</w:t>
      </w:r>
      <w:r>
        <w:rPr/>
        <w:t>件</w:t>
      </w:r>
    </w:p>
    <w:p>
      <w:pPr>
        <w:pStyle w:val="BodyText"/>
        <w:spacing w:line="273" w:lineRule="auto" w:before="37"/>
        <w:ind w:left="139" w:right="224"/>
      </w:pPr>
      <w:r>
        <w:rPr/>
        <w:br w:type="column"/>
      </w:r>
      <w:r>
        <w:rPr>
          <w:spacing w:val="-6"/>
        </w:rPr>
        <w:t>指由政府主管部门规定的证明个人身份的证件，如：居民身份证、按规定可使用</w:t>
      </w:r>
      <w:r>
        <w:rPr>
          <w:spacing w:val="-4"/>
        </w:rPr>
        <w:t>的有效护照、军官证、警官证、士兵证等证件。</w:t>
      </w:r>
    </w:p>
    <w:p>
      <w:pPr>
        <w:spacing w:after="0" w:line="273" w:lineRule="auto"/>
        <w:sectPr>
          <w:type w:val="continuous"/>
          <w:pgSz w:w="11910" w:h="16840"/>
          <w:pgMar w:top="1080" w:bottom="280" w:left="800" w:right="840"/>
          <w:cols w:num="2" w:equalWidth="0">
            <w:col w:w="2559" w:space="40"/>
            <w:col w:w="7671"/>
          </w:cols>
        </w:sectPr>
      </w:pPr>
    </w:p>
    <w:p>
      <w:pPr>
        <w:pStyle w:val="BodyText"/>
        <w:spacing w:before="11"/>
        <w:rPr>
          <w:sz w:val="10"/>
        </w:rPr>
      </w:pPr>
    </w:p>
    <w:p>
      <w:pPr>
        <w:pStyle w:val="ListParagraph"/>
        <w:numPr>
          <w:ilvl w:val="1"/>
          <w:numId w:val="1"/>
        </w:numPr>
        <w:tabs>
          <w:tab w:pos="1321" w:val="left" w:leader="none"/>
          <w:tab w:pos="1322" w:val="left" w:leader="none"/>
          <w:tab w:pos="2737" w:val="left" w:leader="none"/>
        </w:tabs>
        <w:spacing w:line="240" w:lineRule="auto" w:before="37" w:after="0"/>
        <w:ind w:left="2738" w:right="0" w:hanging="2518"/>
        <w:jc w:val="left"/>
        <w:rPr>
          <w:sz w:val="21"/>
        </w:rPr>
      </w:pPr>
      <w:r>
        <w:rPr>
          <w:b/>
          <w:sz w:val="21"/>
        </w:rPr>
        <w:t>意外伤害</w:t>
        <w:tab/>
      </w:r>
      <w:r>
        <w:rPr>
          <w:sz w:val="21"/>
        </w:rPr>
        <w:t>指遭</w:t>
      </w:r>
      <w:r>
        <w:rPr>
          <w:spacing w:val="-3"/>
          <w:sz w:val="21"/>
        </w:rPr>
        <w:t>受</w:t>
      </w:r>
      <w:r>
        <w:rPr>
          <w:sz w:val="21"/>
        </w:rPr>
        <w:t>外</w:t>
      </w:r>
      <w:r>
        <w:rPr>
          <w:spacing w:val="-3"/>
          <w:sz w:val="21"/>
        </w:rPr>
        <w:t>来</w:t>
      </w:r>
      <w:r>
        <w:rPr>
          <w:sz w:val="21"/>
        </w:rPr>
        <w:t>的</w:t>
      </w:r>
      <w:r>
        <w:rPr>
          <w:spacing w:val="-56"/>
          <w:sz w:val="21"/>
        </w:rPr>
        <w:t>、</w:t>
      </w:r>
      <w:r>
        <w:rPr>
          <w:sz w:val="21"/>
        </w:rPr>
        <w:t>突</w:t>
      </w:r>
      <w:r>
        <w:rPr>
          <w:spacing w:val="-3"/>
          <w:sz w:val="21"/>
        </w:rPr>
        <w:t>发</w:t>
      </w:r>
      <w:r>
        <w:rPr>
          <w:sz w:val="21"/>
        </w:rPr>
        <w:t>的</w:t>
      </w:r>
      <w:r>
        <w:rPr>
          <w:spacing w:val="-53"/>
          <w:sz w:val="21"/>
        </w:rPr>
        <w:t>、</w:t>
      </w:r>
      <w:r>
        <w:rPr>
          <w:spacing w:val="-3"/>
          <w:sz w:val="21"/>
        </w:rPr>
        <w:t>非</w:t>
      </w:r>
      <w:r>
        <w:rPr>
          <w:sz w:val="21"/>
        </w:rPr>
        <w:t>本意</w:t>
      </w:r>
      <w:r>
        <w:rPr>
          <w:spacing w:val="-3"/>
          <w:sz w:val="21"/>
        </w:rPr>
        <w:t>的</w:t>
      </w:r>
      <w:r>
        <w:rPr>
          <w:spacing w:val="-53"/>
          <w:sz w:val="21"/>
        </w:rPr>
        <w:t>、</w:t>
      </w:r>
      <w:r>
        <w:rPr>
          <w:spacing w:val="-3"/>
          <w:sz w:val="21"/>
        </w:rPr>
        <w:t>非</w:t>
      </w:r>
      <w:r>
        <w:rPr>
          <w:sz w:val="21"/>
        </w:rPr>
        <w:t>疾</w:t>
      </w:r>
      <w:r>
        <w:rPr>
          <w:spacing w:val="-3"/>
          <w:sz w:val="21"/>
        </w:rPr>
        <w:t>病</w:t>
      </w:r>
      <w:r>
        <w:rPr>
          <w:sz w:val="21"/>
        </w:rPr>
        <w:t>的</w:t>
      </w:r>
      <w:r>
        <w:rPr>
          <w:spacing w:val="-3"/>
          <w:sz w:val="21"/>
        </w:rPr>
        <w:t>客</w:t>
      </w:r>
      <w:r>
        <w:rPr>
          <w:sz w:val="21"/>
        </w:rPr>
        <w:t>观</w:t>
      </w:r>
      <w:r>
        <w:rPr>
          <w:spacing w:val="-3"/>
          <w:sz w:val="21"/>
        </w:rPr>
        <w:t>事</w:t>
      </w:r>
      <w:r>
        <w:rPr>
          <w:sz w:val="21"/>
        </w:rPr>
        <w:t>件直</w:t>
      </w:r>
      <w:r>
        <w:rPr>
          <w:spacing w:val="-3"/>
          <w:sz w:val="21"/>
        </w:rPr>
        <w:t>接</w:t>
      </w:r>
      <w:r>
        <w:rPr>
          <w:sz w:val="21"/>
        </w:rPr>
        <w:t>致</w:t>
      </w:r>
      <w:r>
        <w:rPr>
          <w:spacing w:val="-3"/>
          <w:sz w:val="21"/>
        </w:rPr>
        <w:t>使</w:t>
      </w:r>
      <w:r>
        <w:rPr>
          <w:sz w:val="21"/>
        </w:rPr>
        <w:t>身</w:t>
      </w:r>
      <w:r>
        <w:rPr>
          <w:spacing w:val="-3"/>
          <w:sz w:val="21"/>
        </w:rPr>
        <w:t>体</w:t>
      </w:r>
      <w:r>
        <w:rPr>
          <w:sz w:val="21"/>
        </w:rPr>
        <w:t>受</w:t>
      </w:r>
      <w:r>
        <w:rPr>
          <w:spacing w:val="-3"/>
          <w:sz w:val="21"/>
        </w:rPr>
        <w:t>到</w:t>
      </w:r>
      <w:r>
        <w:rPr>
          <w:sz w:val="21"/>
        </w:rPr>
        <w:t>的</w:t>
      </w:r>
      <w:r>
        <w:rPr>
          <w:spacing w:val="-3"/>
          <w:sz w:val="21"/>
        </w:rPr>
        <w:t>伤害</w:t>
      </w:r>
      <w:r>
        <w:rPr>
          <w:sz w:val="21"/>
        </w:rPr>
        <w:t>。</w:t>
      </w:r>
    </w:p>
    <w:p>
      <w:pPr>
        <w:pStyle w:val="BodyText"/>
        <w:spacing w:before="7"/>
        <w:rPr>
          <w:sz w:val="12"/>
        </w:rPr>
      </w:pPr>
    </w:p>
    <w:p>
      <w:pPr>
        <w:spacing w:after="0"/>
        <w:rPr>
          <w:sz w:val="12"/>
        </w:rPr>
        <w:sectPr>
          <w:type w:val="continuous"/>
          <w:pgSz w:w="11910" w:h="16840"/>
          <w:pgMar w:top="1080" w:bottom="280" w:left="800" w:right="840"/>
        </w:sectPr>
      </w:pPr>
    </w:p>
    <w:p>
      <w:pPr>
        <w:pStyle w:val="Heading3"/>
        <w:numPr>
          <w:ilvl w:val="1"/>
          <w:numId w:val="1"/>
        </w:numPr>
        <w:tabs>
          <w:tab w:pos="1321" w:val="left" w:leader="none"/>
          <w:tab w:pos="1322" w:val="left" w:leader="none"/>
        </w:tabs>
        <w:spacing w:line="273" w:lineRule="auto" w:before="43" w:after="0"/>
        <w:ind w:left="1322" w:right="0" w:hanging="1102"/>
        <w:jc w:val="left"/>
      </w:pPr>
      <w:r>
        <w:rPr>
          <w:spacing w:val="35"/>
        </w:rPr>
        <w:t>我们认可的</w:t>
      </w:r>
      <w:r>
        <w:rPr/>
        <w:t>医院</w:t>
      </w:r>
    </w:p>
    <w:p>
      <w:pPr>
        <w:pStyle w:val="BodyText"/>
        <w:spacing w:before="43"/>
        <w:ind w:left="139"/>
      </w:pPr>
      <w:r>
        <w:rPr/>
        <w:br w:type="column"/>
      </w:r>
      <w:r>
        <w:rPr/>
        <w:t>指经中华人民共和国卫生部门评审确定的二级或二级以上的公立医院，</w:t>
      </w:r>
      <w:r>
        <w:rPr>
          <w:shd w:fill="D9D9D9" w:color="auto" w:val="clear"/>
        </w:rPr>
        <w:t>但不包括</w:t>
      </w:r>
    </w:p>
    <w:p>
      <w:pPr>
        <w:pStyle w:val="BodyText"/>
        <w:spacing w:before="36"/>
        <w:ind w:left="139"/>
      </w:pPr>
      <w:r>
        <w:rPr>
          <w:rFonts w:ascii="Times New Roman" w:eastAsia="Times New Roman"/>
          <w:spacing w:val="-53"/>
          <w:w w:val="100"/>
          <w:shd w:fill="D9D9D9" w:color="auto" w:val="clear"/>
        </w:rPr>
        <w:t> </w:t>
      </w:r>
      <w:r>
        <w:rPr>
          <w:spacing w:val="-8"/>
          <w:shd w:fill="D9D9D9" w:color="auto" w:val="clear"/>
        </w:rPr>
        <w:t>精神病院及专供康复、休养、戒毒、戒酒、护理、养老等非以直接诊治病人为目</w:t>
      </w:r>
    </w:p>
    <w:p>
      <w:pPr>
        <w:pStyle w:val="BodyText"/>
        <w:spacing w:line="273" w:lineRule="auto" w:before="36"/>
        <w:ind w:left="139" w:right="230"/>
      </w:pPr>
      <w:r>
        <w:rPr>
          <w:rFonts w:ascii="Times New Roman" w:eastAsia="Times New Roman"/>
          <w:spacing w:val="-53"/>
          <w:w w:val="100"/>
          <w:shd w:fill="D9D9D9" w:color="auto" w:val="clear"/>
        </w:rPr>
        <w:t> </w:t>
      </w:r>
      <w:r>
        <w:rPr>
          <w:shd w:fill="D9D9D9" w:color="auto" w:val="clear"/>
        </w:rPr>
        <w:t>的的医疗机构。</w:t>
      </w:r>
      <w:r>
        <w:rPr/>
        <w:t>该医院必须具有符合国家有关医院管理规则设置标准的医疗设</w:t>
      </w:r>
      <w:r>
        <w:rPr>
          <w:spacing w:val="-3"/>
        </w:rPr>
        <w:t>备，且全天二十四小时有合格医师及护士驻医院提供医疗及护理服务。</w:t>
      </w:r>
    </w:p>
    <w:p>
      <w:pPr>
        <w:spacing w:after="0" w:line="273" w:lineRule="auto"/>
        <w:sectPr>
          <w:type w:val="continuous"/>
          <w:pgSz w:w="11910" w:h="16840"/>
          <w:pgMar w:top="1080" w:bottom="280" w:left="800" w:right="840"/>
          <w:cols w:num="2" w:equalWidth="0">
            <w:col w:w="2559" w:space="40"/>
            <w:col w:w="7671"/>
          </w:cols>
        </w:sectPr>
      </w:pPr>
    </w:p>
    <w:p>
      <w:pPr>
        <w:pStyle w:val="BodyText"/>
        <w:spacing w:before="8"/>
        <w:rPr>
          <w:sz w:val="10"/>
        </w:rPr>
      </w:pPr>
    </w:p>
    <w:p>
      <w:pPr>
        <w:pStyle w:val="ListParagraph"/>
        <w:numPr>
          <w:ilvl w:val="1"/>
          <w:numId w:val="1"/>
        </w:numPr>
        <w:tabs>
          <w:tab w:pos="1322" w:val="left" w:leader="none"/>
        </w:tabs>
        <w:spacing w:line="273" w:lineRule="auto" w:before="36" w:after="0"/>
        <w:ind w:left="2738" w:right="221" w:hanging="2518"/>
        <w:jc w:val="both"/>
        <w:rPr>
          <w:sz w:val="21"/>
        </w:rPr>
      </w:pPr>
      <w:r>
        <w:rPr>
          <w:b/>
          <w:w w:val="100"/>
          <w:sz w:val="21"/>
        </w:rPr>
        <w:t>专科医生</w:t>
      </w:r>
      <w:r>
        <w:rPr>
          <w:b/>
          <w:spacing w:val="6"/>
          <w:sz w:val="21"/>
        </w:rPr>
        <w:t>     </w:t>
      </w:r>
      <w:r>
        <w:rPr>
          <w:spacing w:val="-3"/>
          <w:w w:val="100"/>
          <w:sz w:val="21"/>
        </w:rPr>
        <w:t>专科医生应当同时满足以下四项资格条件</w:t>
      </w:r>
      <w:r>
        <w:rPr>
          <w:spacing w:val="-159"/>
          <w:w w:val="100"/>
          <w:sz w:val="21"/>
        </w:rPr>
        <w:t>：</w:t>
      </w:r>
      <w:r>
        <w:rPr>
          <w:w w:val="100"/>
          <w:sz w:val="21"/>
        </w:rPr>
        <w:t>（1</w:t>
      </w:r>
      <w:r>
        <w:rPr>
          <w:spacing w:val="-56"/>
          <w:w w:val="100"/>
          <w:sz w:val="21"/>
        </w:rPr>
        <w:t>）</w:t>
      </w:r>
      <w:r>
        <w:rPr>
          <w:spacing w:val="-8"/>
          <w:w w:val="100"/>
          <w:sz w:val="21"/>
        </w:rPr>
        <w:t>具有有效的中华人民共和国《</w:t>
      </w:r>
      <w:r>
        <w:rPr>
          <w:spacing w:val="-5"/>
          <w:sz w:val="21"/>
        </w:rPr>
        <w:t> </w:t>
      </w:r>
      <w:r>
        <w:rPr>
          <w:w w:val="100"/>
          <w:sz w:val="21"/>
        </w:rPr>
        <w:t>医</w:t>
      </w:r>
      <w:r>
        <w:rPr>
          <w:spacing w:val="-31"/>
          <w:w w:val="100"/>
          <w:sz w:val="21"/>
        </w:rPr>
        <w:t>师资格证书》；</w:t>
      </w:r>
      <w:r>
        <w:rPr>
          <w:w w:val="100"/>
          <w:sz w:val="21"/>
        </w:rPr>
        <w:t>（2）具有有效的中华人民共和国《</w:t>
      </w:r>
      <w:r>
        <w:rPr>
          <w:spacing w:val="2"/>
          <w:sz w:val="21"/>
        </w:rPr>
        <w:t> </w:t>
      </w:r>
      <w:r>
        <w:rPr>
          <w:spacing w:val="-11"/>
          <w:w w:val="100"/>
          <w:sz w:val="21"/>
        </w:rPr>
        <w:t>医师执业证书》，并按期到相</w:t>
      </w:r>
      <w:r>
        <w:rPr>
          <w:spacing w:val="-6"/>
          <w:w w:val="100"/>
          <w:sz w:val="21"/>
        </w:rPr>
        <w:t>关部门登记注册</w:t>
      </w:r>
      <w:r>
        <w:rPr>
          <w:spacing w:val="-132"/>
          <w:w w:val="100"/>
          <w:sz w:val="21"/>
        </w:rPr>
        <w:t>；</w:t>
      </w:r>
      <w:r>
        <w:rPr>
          <w:w w:val="100"/>
          <w:sz w:val="21"/>
        </w:rPr>
        <w:t>（3</w:t>
      </w:r>
      <w:r>
        <w:rPr>
          <w:spacing w:val="-29"/>
          <w:w w:val="100"/>
          <w:sz w:val="21"/>
        </w:rPr>
        <w:t>）</w:t>
      </w:r>
      <w:r>
        <w:rPr>
          <w:spacing w:val="-3"/>
          <w:w w:val="100"/>
          <w:sz w:val="21"/>
        </w:rPr>
        <w:t>具有有效的中华人民共和国主治医师或主治医师以上职称</w:t>
      </w:r>
      <w:r>
        <w:rPr>
          <w:spacing w:val="-9"/>
          <w:w w:val="100"/>
          <w:sz w:val="21"/>
        </w:rPr>
        <w:t>的《</w:t>
      </w:r>
      <w:r>
        <w:rPr>
          <w:spacing w:val="-2"/>
          <w:sz w:val="21"/>
        </w:rPr>
        <w:t> </w:t>
      </w:r>
      <w:r>
        <w:rPr>
          <w:spacing w:val="-32"/>
          <w:w w:val="100"/>
          <w:sz w:val="21"/>
        </w:rPr>
        <w:t>医师职称证书》；</w:t>
      </w:r>
      <w:r>
        <w:rPr>
          <w:spacing w:val="-3"/>
          <w:w w:val="100"/>
          <w:sz w:val="21"/>
        </w:rPr>
        <w:t>（4</w:t>
      </w:r>
      <w:r>
        <w:rPr>
          <w:spacing w:val="-17"/>
          <w:w w:val="100"/>
          <w:sz w:val="21"/>
        </w:rPr>
        <w:t>）</w:t>
      </w:r>
      <w:r>
        <w:rPr>
          <w:spacing w:val="-3"/>
          <w:w w:val="100"/>
          <w:sz w:val="21"/>
        </w:rPr>
        <w:t>在二级或二级以上医院的相应科室从事临床工作三年</w:t>
      </w:r>
      <w:r>
        <w:rPr>
          <w:spacing w:val="-3"/>
          <w:sz w:val="21"/>
        </w:rPr>
        <w:t>以上。</w:t>
      </w:r>
    </w:p>
    <w:p>
      <w:pPr>
        <w:pStyle w:val="ListParagraph"/>
        <w:numPr>
          <w:ilvl w:val="1"/>
          <w:numId w:val="1"/>
        </w:numPr>
        <w:tabs>
          <w:tab w:pos="1321" w:val="left" w:leader="none"/>
          <w:tab w:pos="1322" w:val="left" w:leader="none"/>
          <w:tab w:pos="2737" w:val="left" w:leader="none"/>
        </w:tabs>
        <w:spacing w:line="273" w:lineRule="auto" w:before="178" w:after="0"/>
        <w:ind w:left="2738" w:right="116" w:hanging="2518"/>
        <w:jc w:val="left"/>
        <w:rPr>
          <w:sz w:val="21"/>
        </w:rPr>
      </w:pPr>
      <w:r>
        <w:rPr>
          <w:b/>
          <w:sz w:val="21"/>
        </w:rPr>
        <w:t>毒品</w:t>
        <w:tab/>
      </w:r>
      <w:r>
        <w:rPr>
          <w:sz w:val="21"/>
        </w:rPr>
        <w:t>指中</w:t>
      </w:r>
      <w:r>
        <w:rPr>
          <w:spacing w:val="-3"/>
          <w:sz w:val="21"/>
        </w:rPr>
        <w:t>华</w:t>
      </w:r>
      <w:r>
        <w:rPr>
          <w:sz w:val="21"/>
        </w:rPr>
        <w:t>人</w:t>
      </w:r>
      <w:r>
        <w:rPr>
          <w:spacing w:val="-3"/>
          <w:sz w:val="21"/>
        </w:rPr>
        <w:t>民</w:t>
      </w:r>
      <w:r>
        <w:rPr>
          <w:sz w:val="21"/>
        </w:rPr>
        <w:t>共</w:t>
      </w:r>
      <w:r>
        <w:rPr>
          <w:spacing w:val="-3"/>
          <w:sz w:val="21"/>
        </w:rPr>
        <w:t>和</w:t>
      </w:r>
      <w:r>
        <w:rPr>
          <w:sz w:val="21"/>
        </w:rPr>
        <w:t>国</w:t>
      </w:r>
      <w:r>
        <w:rPr>
          <w:spacing w:val="-3"/>
          <w:sz w:val="21"/>
        </w:rPr>
        <w:t>刑</w:t>
      </w:r>
      <w:r>
        <w:rPr>
          <w:sz w:val="21"/>
        </w:rPr>
        <w:t>法</w:t>
      </w:r>
      <w:r>
        <w:rPr>
          <w:spacing w:val="-3"/>
          <w:sz w:val="21"/>
        </w:rPr>
        <w:t>规</w:t>
      </w:r>
      <w:r>
        <w:rPr>
          <w:sz w:val="21"/>
        </w:rPr>
        <w:t>定的</w:t>
      </w:r>
      <w:r>
        <w:rPr>
          <w:spacing w:val="-3"/>
          <w:sz w:val="21"/>
        </w:rPr>
        <w:t>鸦片</w:t>
      </w:r>
      <w:r>
        <w:rPr>
          <w:spacing w:val="-10"/>
          <w:sz w:val="21"/>
        </w:rPr>
        <w:t>、</w:t>
      </w:r>
      <w:r>
        <w:rPr>
          <w:spacing w:val="-3"/>
          <w:sz w:val="21"/>
        </w:rPr>
        <w:t>海</w:t>
      </w:r>
      <w:r>
        <w:rPr>
          <w:sz w:val="21"/>
        </w:rPr>
        <w:t>洛</w:t>
      </w:r>
      <w:r>
        <w:rPr>
          <w:spacing w:val="-3"/>
          <w:sz w:val="21"/>
        </w:rPr>
        <w:t>因</w:t>
      </w:r>
      <w:r>
        <w:rPr>
          <w:spacing w:val="-10"/>
          <w:sz w:val="21"/>
        </w:rPr>
        <w:t>、</w:t>
      </w:r>
      <w:r>
        <w:rPr>
          <w:spacing w:val="-3"/>
          <w:sz w:val="21"/>
        </w:rPr>
        <w:t>甲基</w:t>
      </w:r>
      <w:r>
        <w:rPr>
          <w:sz w:val="21"/>
        </w:rPr>
        <w:t>苯丙</w:t>
      </w:r>
      <w:r>
        <w:rPr>
          <w:spacing w:val="-13"/>
          <w:sz w:val="21"/>
        </w:rPr>
        <w:t>胺</w:t>
      </w:r>
      <w:r>
        <w:rPr>
          <w:spacing w:val="-3"/>
          <w:sz w:val="21"/>
        </w:rPr>
        <w:t>（</w:t>
      </w:r>
      <w:r>
        <w:rPr>
          <w:sz w:val="21"/>
        </w:rPr>
        <w:t>冰毒</w:t>
      </w:r>
      <w:r>
        <w:rPr>
          <w:spacing w:val="-108"/>
          <w:sz w:val="21"/>
        </w:rPr>
        <w:t>）</w:t>
      </w:r>
      <w:r>
        <w:rPr>
          <w:spacing w:val="-13"/>
          <w:sz w:val="21"/>
        </w:rPr>
        <w:t>、</w:t>
      </w:r>
      <w:r>
        <w:rPr>
          <w:sz w:val="21"/>
        </w:rPr>
        <w:t>吗</w:t>
      </w:r>
      <w:r>
        <w:rPr>
          <w:spacing w:val="-3"/>
          <w:sz w:val="21"/>
        </w:rPr>
        <w:t>啡</w:t>
      </w:r>
      <w:r>
        <w:rPr>
          <w:spacing w:val="-10"/>
          <w:sz w:val="21"/>
        </w:rPr>
        <w:t>、</w:t>
      </w:r>
      <w:r>
        <w:rPr>
          <w:spacing w:val="-3"/>
          <w:sz w:val="21"/>
        </w:rPr>
        <w:t>大</w:t>
      </w:r>
      <w:r>
        <w:rPr>
          <w:sz w:val="21"/>
        </w:rPr>
        <w:t>麻、 可卡</w:t>
      </w:r>
      <w:r>
        <w:rPr>
          <w:spacing w:val="-3"/>
          <w:sz w:val="21"/>
        </w:rPr>
        <w:t>因</w:t>
      </w:r>
      <w:r>
        <w:rPr>
          <w:sz w:val="21"/>
        </w:rPr>
        <w:t>以</w:t>
      </w:r>
      <w:r>
        <w:rPr>
          <w:spacing w:val="-3"/>
          <w:sz w:val="21"/>
        </w:rPr>
        <w:t>及</w:t>
      </w:r>
      <w:r>
        <w:rPr>
          <w:sz w:val="21"/>
        </w:rPr>
        <w:t>国</w:t>
      </w:r>
      <w:r>
        <w:rPr>
          <w:spacing w:val="-3"/>
          <w:sz w:val="21"/>
        </w:rPr>
        <w:t>家</w:t>
      </w:r>
      <w:r>
        <w:rPr>
          <w:sz w:val="21"/>
        </w:rPr>
        <w:t>规</w:t>
      </w:r>
      <w:r>
        <w:rPr>
          <w:spacing w:val="-3"/>
          <w:sz w:val="21"/>
        </w:rPr>
        <w:t>定</w:t>
      </w:r>
      <w:r>
        <w:rPr>
          <w:sz w:val="21"/>
        </w:rPr>
        <w:t>管</w:t>
      </w:r>
      <w:r>
        <w:rPr>
          <w:spacing w:val="-3"/>
          <w:sz w:val="21"/>
        </w:rPr>
        <w:t>制</w:t>
      </w:r>
      <w:r>
        <w:rPr>
          <w:sz w:val="21"/>
        </w:rPr>
        <w:t>的其</w:t>
      </w:r>
      <w:r>
        <w:rPr>
          <w:spacing w:val="-3"/>
          <w:sz w:val="21"/>
        </w:rPr>
        <w:t>他</w:t>
      </w:r>
      <w:r>
        <w:rPr>
          <w:sz w:val="21"/>
        </w:rPr>
        <w:t>能</w:t>
      </w:r>
      <w:r>
        <w:rPr>
          <w:spacing w:val="-3"/>
          <w:sz w:val="21"/>
        </w:rPr>
        <w:t>够</w:t>
      </w:r>
      <w:r>
        <w:rPr>
          <w:sz w:val="21"/>
        </w:rPr>
        <w:t>使</w:t>
      </w:r>
      <w:r>
        <w:rPr>
          <w:spacing w:val="-3"/>
          <w:sz w:val="21"/>
        </w:rPr>
        <w:t>人</w:t>
      </w:r>
      <w:r>
        <w:rPr>
          <w:sz w:val="21"/>
        </w:rPr>
        <w:t>形</w:t>
      </w:r>
      <w:r>
        <w:rPr>
          <w:spacing w:val="-3"/>
          <w:sz w:val="21"/>
        </w:rPr>
        <w:t>成</w:t>
      </w:r>
      <w:r>
        <w:rPr>
          <w:sz w:val="21"/>
        </w:rPr>
        <w:t>瘾</w:t>
      </w:r>
      <w:r>
        <w:rPr>
          <w:spacing w:val="-3"/>
          <w:sz w:val="21"/>
        </w:rPr>
        <w:t>癖</w:t>
      </w:r>
      <w:r>
        <w:rPr>
          <w:sz w:val="21"/>
        </w:rPr>
        <w:t>的麻</w:t>
      </w:r>
      <w:r>
        <w:rPr>
          <w:spacing w:val="-3"/>
          <w:sz w:val="21"/>
        </w:rPr>
        <w:t>醉</w:t>
      </w:r>
      <w:r>
        <w:rPr>
          <w:sz w:val="21"/>
        </w:rPr>
        <w:t>药</w:t>
      </w:r>
      <w:r>
        <w:rPr>
          <w:spacing w:val="-3"/>
          <w:sz w:val="21"/>
        </w:rPr>
        <w:t>品</w:t>
      </w:r>
      <w:r>
        <w:rPr>
          <w:sz w:val="21"/>
        </w:rPr>
        <w:t>和</w:t>
      </w:r>
      <w:r>
        <w:rPr>
          <w:spacing w:val="-3"/>
          <w:sz w:val="21"/>
        </w:rPr>
        <w:t>精</w:t>
      </w:r>
      <w:r>
        <w:rPr>
          <w:sz w:val="21"/>
        </w:rPr>
        <w:t>神</w:t>
      </w:r>
      <w:r>
        <w:rPr>
          <w:spacing w:val="-3"/>
          <w:sz w:val="21"/>
        </w:rPr>
        <w:t>药品</w:t>
      </w:r>
      <w:r>
        <w:rPr>
          <w:spacing w:val="-53"/>
          <w:sz w:val="21"/>
        </w:rPr>
        <w:t>，</w:t>
      </w:r>
      <w:r>
        <w:rPr>
          <w:sz w:val="21"/>
        </w:rPr>
        <w:t>但不</w:t>
      </w:r>
      <w:r>
        <w:rPr>
          <w:spacing w:val="-1"/>
          <w:sz w:val="21"/>
        </w:rPr>
        <w:t>包括</w:t>
      </w:r>
      <w:r>
        <w:rPr>
          <w:spacing w:val="-3"/>
          <w:sz w:val="21"/>
        </w:rPr>
        <w:t>由</w:t>
      </w:r>
      <w:r>
        <w:rPr>
          <w:sz w:val="21"/>
        </w:rPr>
        <w:t>医</w:t>
      </w:r>
      <w:r>
        <w:rPr>
          <w:spacing w:val="-3"/>
          <w:sz w:val="21"/>
        </w:rPr>
        <w:t>生</w:t>
      </w:r>
      <w:r>
        <w:rPr>
          <w:sz w:val="21"/>
        </w:rPr>
        <w:t>开</w:t>
      </w:r>
      <w:r>
        <w:rPr>
          <w:spacing w:val="-3"/>
          <w:sz w:val="21"/>
        </w:rPr>
        <w:t>具</w:t>
      </w:r>
      <w:r>
        <w:rPr>
          <w:sz w:val="21"/>
        </w:rPr>
        <w:t>并</w:t>
      </w:r>
      <w:r>
        <w:rPr>
          <w:spacing w:val="-3"/>
          <w:sz w:val="21"/>
        </w:rPr>
        <w:t>遵</w:t>
      </w:r>
      <w:r>
        <w:rPr>
          <w:sz w:val="21"/>
        </w:rPr>
        <w:t>医</w:t>
      </w:r>
      <w:r>
        <w:rPr>
          <w:spacing w:val="-3"/>
          <w:sz w:val="21"/>
        </w:rPr>
        <w:t>嘱</w:t>
      </w:r>
      <w:r>
        <w:rPr>
          <w:sz w:val="21"/>
        </w:rPr>
        <w:t>使用</w:t>
      </w:r>
      <w:r>
        <w:rPr>
          <w:spacing w:val="-3"/>
          <w:sz w:val="21"/>
        </w:rPr>
        <w:t>的</w:t>
      </w:r>
      <w:r>
        <w:rPr>
          <w:sz w:val="21"/>
        </w:rPr>
        <w:t>用</w:t>
      </w:r>
      <w:r>
        <w:rPr>
          <w:spacing w:val="-3"/>
          <w:sz w:val="21"/>
        </w:rPr>
        <w:t>于</w:t>
      </w:r>
      <w:r>
        <w:rPr>
          <w:sz w:val="21"/>
        </w:rPr>
        <w:t>治</w:t>
      </w:r>
      <w:r>
        <w:rPr>
          <w:spacing w:val="-3"/>
          <w:sz w:val="21"/>
        </w:rPr>
        <w:t>疗</w:t>
      </w:r>
      <w:r>
        <w:rPr>
          <w:sz w:val="21"/>
        </w:rPr>
        <w:t>疾</w:t>
      </w:r>
      <w:r>
        <w:rPr>
          <w:spacing w:val="-3"/>
          <w:sz w:val="21"/>
        </w:rPr>
        <w:t>病</w:t>
      </w:r>
      <w:r>
        <w:rPr>
          <w:sz w:val="21"/>
        </w:rPr>
        <w:t>但</w:t>
      </w:r>
      <w:r>
        <w:rPr>
          <w:spacing w:val="-3"/>
          <w:sz w:val="21"/>
        </w:rPr>
        <w:t>含</w:t>
      </w:r>
      <w:r>
        <w:rPr>
          <w:sz w:val="21"/>
        </w:rPr>
        <w:t>有毒</w:t>
      </w:r>
      <w:r>
        <w:rPr>
          <w:spacing w:val="-3"/>
          <w:sz w:val="21"/>
        </w:rPr>
        <w:t>品</w:t>
      </w:r>
      <w:r>
        <w:rPr>
          <w:sz w:val="21"/>
        </w:rPr>
        <w:t>成</w:t>
      </w:r>
      <w:r>
        <w:rPr>
          <w:spacing w:val="-3"/>
          <w:sz w:val="21"/>
        </w:rPr>
        <w:t>分</w:t>
      </w:r>
      <w:r>
        <w:rPr>
          <w:sz w:val="21"/>
        </w:rPr>
        <w:t>的</w:t>
      </w:r>
      <w:r>
        <w:rPr>
          <w:spacing w:val="-3"/>
          <w:sz w:val="21"/>
        </w:rPr>
        <w:t>处</w:t>
      </w:r>
      <w:r>
        <w:rPr>
          <w:sz w:val="21"/>
        </w:rPr>
        <w:t>方药品。</w:t>
      </w:r>
    </w:p>
    <w:p>
      <w:pPr>
        <w:pStyle w:val="ListParagraph"/>
        <w:numPr>
          <w:ilvl w:val="1"/>
          <w:numId w:val="1"/>
        </w:numPr>
        <w:tabs>
          <w:tab w:pos="1322" w:val="left" w:leader="none"/>
        </w:tabs>
        <w:spacing w:line="273" w:lineRule="auto" w:before="178" w:after="0"/>
        <w:ind w:left="2738" w:right="222" w:hanging="2518"/>
        <w:jc w:val="both"/>
        <w:rPr>
          <w:sz w:val="21"/>
        </w:rPr>
      </w:pPr>
      <w:r>
        <w:rPr>
          <w:b/>
          <w:spacing w:val="10"/>
          <w:sz w:val="21"/>
        </w:rPr>
        <w:t>酒后驾驶    </w:t>
      </w:r>
      <w:r>
        <w:rPr>
          <w:spacing w:val="-9"/>
          <w:sz w:val="21"/>
        </w:rPr>
        <w:t>指经检测或鉴定，发生事故时车辆驾驶人员每百毫升血液中的酒精含量达到或超</w:t>
      </w:r>
      <w:r>
        <w:rPr>
          <w:spacing w:val="-10"/>
          <w:sz w:val="21"/>
        </w:rPr>
        <w:t>过一定的标准，公安机关交通管理部门依据《道路交通安全法》的规定认定为饮</w:t>
      </w:r>
      <w:r>
        <w:rPr>
          <w:spacing w:val="-5"/>
          <w:sz w:val="21"/>
        </w:rPr>
        <w:t>酒后驾驶或醉酒后驾驶。</w:t>
      </w:r>
    </w:p>
    <w:p>
      <w:pPr>
        <w:pStyle w:val="BodyText"/>
        <w:spacing w:before="10"/>
        <w:rPr>
          <w:sz w:val="10"/>
        </w:rPr>
      </w:pPr>
    </w:p>
    <w:p>
      <w:pPr>
        <w:spacing w:after="0"/>
        <w:rPr>
          <w:sz w:val="10"/>
        </w:rPr>
        <w:sectPr>
          <w:type w:val="continuous"/>
          <w:pgSz w:w="11910" w:h="16840"/>
          <w:pgMar w:top="1080" w:bottom="280" w:left="800" w:right="840"/>
        </w:sectPr>
      </w:pPr>
    </w:p>
    <w:p>
      <w:pPr>
        <w:pStyle w:val="Heading3"/>
        <w:numPr>
          <w:ilvl w:val="1"/>
          <w:numId w:val="1"/>
        </w:numPr>
        <w:tabs>
          <w:tab w:pos="1321" w:val="left" w:leader="none"/>
          <w:tab w:pos="1322" w:val="left" w:leader="none"/>
        </w:tabs>
        <w:spacing w:line="273" w:lineRule="auto" w:before="37" w:after="0"/>
        <w:ind w:left="1322" w:right="0" w:hanging="1102"/>
        <w:jc w:val="left"/>
      </w:pPr>
      <w:r>
        <w:rPr>
          <w:spacing w:val="35"/>
        </w:rPr>
        <w:t>无合法有效</w:t>
      </w:r>
      <w:r>
        <w:rPr/>
        <w:t>驾驶证驾驶</w:t>
      </w:r>
    </w:p>
    <w:p>
      <w:pPr>
        <w:pStyle w:val="BodyText"/>
        <w:spacing w:before="37"/>
        <w:ind w:left="139"/>
      </w:pPr>
      <w:r>
        <w:rPr/>
        <w:br w:type="column"/>
      </w:r>
      <w:r>
        <w:rPr/>
        <w:t>指下列情形之一：</w:t>
      </w:r>
    </w:p>
    <w:p>
      <w:pPr>
        <w:pStyle w:val="BodyText"/>
        <w:spacing w:before="37"/>
        <w:ind w:left="139"/>
      </w:pPr>
      <w:r>
        <w:rPr/>
        <w:t>（1）没有取得驾驶资格；</w:t>
      </w:r>
    </w:p>
    <w:p>
      <w:pPr>
        <w:pStyle w:val="BodyText"/>
        <w:spacing w:before="36"/>
        <w:ind w:left="139"/>
      </w:pPr>
      <w:r>
        <w:rPr/>
        <w:t>（2）驾驶与驾驶证准驾车型不相符合的车辆；</w:t>
      </w:r>
    </w:p>
    <w:p>
      <w:pPr>
        <w:pStyle w:val="BodyText"/>
        <w:spacing w:before="36"/>
        <w:ind w:left="139"/>
      </w:pPr>
      <w:r>
        <w:rPr/>
        <w:t>（3）持审验不合格的驾驶证驾驶；</w:t>
      </w:r>
    </w:p>
    <w:p>
      <w:pPr>
        <w:pStyle w:val="BodyText"/>
        <w:spacing w:line="273" w:lineRule="auto" w:before="36"/>
        <w:ind w:left="139" w:right="227"/>
      </w:pPr>
      <w:r>
        <w:rPr/>
        <w:t>（4）持学习驾驶证学习驾车时，无教练员随车指导，或不按指定时间、路线学习驾车。</w:t>
      </w:r>
    </w:p>
    <w:p>
      <w:pPr>
        <w:spacing w:after="0" w:line="273" w:lineRule="auto"/>
        <w:sectPr>
          <w:type w:val="continuous"/>
          <w:pgSz w:w="11910" w:h="16840"/>
          <w:pgMar w:top="1080" w:bottom="280" w:left="800" w:right="840"/>
          <w:cols w:num="2" w:equalWidth="0">
            <w:col w:w="2559" w:space="40"/>
            <w:col w:w="7671"/>
          </w:cols>
        </w:sectPr>
      </w:pPr>
    </w:p>
    <w:p>
      <w:pPr>
        <w:pStyle w:val="BodyText"/>
        <w:spacing w:before="10"/>
        <w:rPr>
          <w:sz w:val="10"/>
        </w:rPr>
      </w:pPr>
    </w:p>
    <w:p>
      <w:pPr>
        <w:spacing w:after="0"/>
        <w:rPr>
          <w:sz w:val="10"/>
        </w:rPr>
        <w:sectPr>
          <w:type w:val="continuous"/>
          <w:pgSz w:w="11910" w:h="16840"/>
          <w:pgMar w:top="1080" w:bottom="280" w:left="800" w:right="840"/>
        </w:sectPr>
      </w:pPr>
    </w:p>
    <w:p>
      <w:pPr>
        <w:pStyle w:val="Heading3"/>
        <w:numPr>
          <w:ilvl w:val="1"/>
          <w:numId w:val="1"/>
        </w:numPr>
        <w:tabs>
          <w:tab w:pos="1321" w:val="left" w:leader="none"/>
          <w:tab w:pos="1322" w:val="left" w:leader="none"/>
        </w:tabs>
        <w:spacing w:line="273" w:lineRule="auto" w:before="37" w:after="0"/>
        <w:ind w:left="1322" w:right="0" w:hanging="1102"/>
        <w:jc w:val="left"/>
      </w:pPr>
      <w:r>
        <w:rPr>
          <w:spacing w:val="35"/>
        </w:rPr>
        <w:t>无有效行驶</w:t>
      </w:r>
      <w:r>
        <w:rPr/>
        <w:t>证</w:t>
      </w:r>
    </w:p>
    <w:p>
      <w:pPr>
        <w:pStyle w:val="BodyText"/>
        <w:spacing w:before="37"/>
        <w:ind w:left="139"/>
      </w:pPr>
      <w:r>
        <w:rPr/>
        <w:br w:type="column"/>
      </w:r>
      <w:r>
        <w:rPr/>
        <w:t>指下列情形之一：</w:t>
      </w:r>
    </w:p>
    <w:p>
      <w:pPr>
        <w:pStyle w:val="BodyText"/>
        <w:spacing w:before="37"/>
        <w:ind w:left="139"/>
      </w:pPr>
      <w:r>
        <w:rPr/>
        <w:t>（1）未取得机动车行驶证；</w:t>
      </w:r>
    </w:p>
    <w:p>
      <w:pPr>
        <w:pStyle w:val="BodyText"/>
        <w:spacing w:before="37"/>
        <w:ind w:left="139"/>
      </w:pPr>
      <w:r>
        <w:rPr/>
        <w:t>（2）机动车被依法注销登记的；</w:t>
      </w:r>
    </w:p>
    <w:p>
      <w:pPr>
        <w:pStyle w:val="BodyText"/>
        <w:spacing w:before="37"/>
        <w:ind w:left="139"/>
      </w:pPr>
      <w:r>
        <w:rPr/>
        <w:t>（3）未依法按时进行或通过机动车安全技术检验。</w:t>
      </w:r>
    </w:p>
    <w:p>
      <w:pPr>
        <w:spacing w:after="0"/>
        <w:sectPr>
          <w:type w:val="continuous"/>
          <w:pgSz w:w="11910" w:h="16840"/>
          <w:pgMar w:top="1080" w:bottom="280" w:left="800" w:right="840"/>
          <w:cols w:num="2" w:equalWidth="0">
            <w:col w:w="2559" w:space="40"/>
            <w:col w:w="7671"/>
          </w:cols>
        </w:sectPr>
      </w:pPr>
    </w:p>
    <w:p>
      <w:pPr>
        <w:pStyle w:val="BodyText"/>
        <w:rPr>
          <w:sz w:val="13"/>
        </w:rPr>
      </w:pPr>
    </w:p>
    <w:p>
      <w:pPr>
        <w:pStyle w:val="ListParagraph"/>
        <w:numPr>
          <w:ilvl w:val="1"/>
          <w:numId w:val="1"/>
        </w:numPr>
        <w:tabs>
          <w:tab w:pos="1321" w:val="left" w:leader="none"/>
          <w:tab w:pos="1322" w:val="left" w:leader="none"/>
          <w:tab w:pos="2737" w:val="left" w:leader="none"/>
        </w:tabs>
        <w:spacing w:line="273" w:lineRule="auto" w:before="37" w:after="0"/>
        <w:ind w:left="2738" w:right="222" w:hanging="2518"/>
        <w:jc w:val="left"/>
        <w:rPr>
          <w:sz w:val="21"/>
        </w:rPr>
      </w:pPr>
      <w:r>
        <w:rPr>
          <w:b/>
          <w:sz w:val="21"/>
        </w:rPr>
        <w:t>机动车</w:t>
        <w:tab/>
      </w:r>
      <w:r>
        <w:rPr>
          <w:sz w:val="21"/>
        </w:rPr>
        <w:t>指以</w:t>
      </w:r>
      <w:r>
        <w:rPr>
          <w:spacing w:val="-3"/>
          <w:sz w:val="21"/>
        </w:rPr>
        <w:t>动</w:t>
      </w:r>
      <w:r>
        <w:rPr>
          <w:sz w:val="21"/>
        </w:rPr>
        <w:t>力</w:t>
      </w:r>
      <w:r>
        <w:rPr>
          <w:spacing w:val="-3"/>
          <w:sz w:val="21"/>
        </w:rPr>
        <w:t>装</w:t>
      </w:r>
      <w:r>
        <w:rPr>
          <w:sz w:val="21"/>
        </w:rPr>
        <w:t>置</w:t>
      </w:r>
      <w:r>
        <w:rPr>
          <w:spacing w:val="-3"/>
          <w:sz w:val="21"/>
        </w:rPr>
        <w:t>驱</w:t>
      </w:r>
      <w:r>
        <w:rPr>
          <w:sz w:val="21"/>
        </w:rPr>
        <w:t>动</w:t>
      </w:r>
      <w:r>
        <w:rPr>
          <w:spacing w:val="-3"/>
          <w:sz w:val="21"/>
        </w:rPr>
        <w:t>或</w:t>
      </w:r>
      <w:r>
        <w:rPr>
          <w:sz w:val="21"/>
        </w:rPr>
        <w:t>牵</w:t>
      </w:r>
      <w:r>
        <w:rPr>
          <w:spacing w:val="-3"/>
          <w:sz w:val="21"/>
        </w:rPr>
        <w:t>引</w:t>
      </w:r>
      <w:r>
        <w:rPr>
          <w:spacing w:val="-51"/>
          <w:sz w:val="21"/>
        </w:rPr>
        <w:t>，</w:t>
      </w:r>
      <w:r>
        <w:rPr>
          <w:spacing w:val="-3"/>
          <w:sz w:val="21"/>
        </w:rPr>
        <w:t>上</w:t>
      </w:r>
      <w:r>
        <w:rPr>
          <w:sz w:val="21"/>
        </w:rPr>
        <w:t>道</w:t>
      </w:r>
      <w:r>
        <w:rPr>
          <w:spacing w:val="-3"/>
          <w:sz w:val="21"/>
        </w:rPr>
        <w:t>路</w:t>
      </w:r>
      <w:r>
        <w:rPr>
          <w:sz w:val="21"/>
        </w:rPr>
        <w:t>行</w:t>
      </w:r>
      <w:r>
        <w:rPr>
          <w:spacing w:val="-3"/>
          <w:sz w:val="21"/>
        </w:rPr>
        <w:t>驶</w:t>
      </w:r>
      <w:r>
        <w:rPr>
          <w:sz w:val="21"/>
        </w:rPr>
        <w:t>的</w:t>
      </w:r>
      <w:r>
        <w:rPr>
          <w:spacing w:val="-3"/>
          <w:sz w:val="21"/>
        </w:rPr>
        <w:t>供</w:t>
      </w:r>
      <w:r>
        <w:rPr>
          <w:sz w:val="21"/>
        </w:rPr>
        <w:t>人</w:t>
      </w:r>
      <w:r>
        <w:rPr>
          <w:spacing w:val="-3"/>
          <w:sz w:val="21"/>
        </w:rPr>
        <w:t>员乘</w:t>
      </w:r>
      <w:r>
        <w:rPr>
          <w:sz w:val="21"/>
        </w:rPr>
        <w:t>用或</w:t>
      </w:r>
      <w:r>
        <w:rPr>
          <w:spacing w:val="-3"/>
          <w:sz w:val="21"/>
        </w:rPr>
        <w:t>用</w:t>
      </w:r>
      <w:r>
        <w:rPr>
          <w:sz w:val="21"/>
        </w:rPr>
        <w:t>于</w:t>
      </w:r>
      <w:r>
        <w:rPr>
          <w:spacing w:val="-3"/>
          <w:sz w:val="21"/>
        </w:rPr>
        <w:t>运</w:t>
      </w:r>
      <w:r>
        <w:rPr>
          <w:sz w:val="21"/>
        </w:rPr>
        <w:t>送</w:t>
      </w:r>
      <w:r>
        <w:rPr>
          <w:spacing w:val="-3"/>
          <w:sz w:val="21"/>
        </w:rPr>
        <w:t>物</w:t>
      </w:r>
      <w:r>
        <w:rPr>
          <w:sz w:val="21"/>
        </w:rPr>
        <w:t>品</w:t>
      </w:r>
      <w:r>
        <w:rPr>
          <w:spacing w:val="-3"/>
          <w:sz w:val="21"/>
        </w:rPr>
        <w:t>以</w:t>
      </w:r>
      <w:r>
        <w:rPr>
          <w:sz w:val="21"/>
        </w:rPr>
        <w:t>及</w:t>
      </w:r>
      <w:r>
        <w:rPr>
          <w:spacing w:val="-3"/>
          <w:sz w:val="21"/>
        </w:rPr>
        <w:t>进</w:t>
      </w:r>
      <w:r>
        <w:rPr>
          <w:sz w:val="21"/>
        </w:rPr>
        <w:t>行工 程专</w:t>
      </w:r>
      <w:r>
        <w:rPr>
          <w:spacing w:val="-3"/>
          <w:sz w:val="21"/>
        </w:rPr>
        <w:t>项</w:t>
      </w:r>
      <w:r>
        <w:rPr>
          <w:sz w:val="21"/>
        </w:rPr>
        <w:t>作</w:t>
      </w:r>
      <w:r>
        <w:rPr>
          <w:spacing w:val="-3"/>
          <w:sz w:val="21"/>
        </w:rPr>
        <w:t>业</w:t>
      </w:r>
      <w:r>
        <w:rPr>
          <w:sz w:val="21"/>
        </w:rPr>
        <w:t>的</w:t>
      </w:r>
      <w:r>
        <w:rPr>
          <w:spacing w:val="-3"/>
          <w:sz w:val="21"/>
        </w:rPr>
        <w:t>轮</w:t>
      </w:r>
      <w:r>
        <w:rPr>
          <w:sz w:val="21"/>
        </w:rPr>
        <w:t>式</w:t>
      </w:r>
      <w:r>
        <w:rPr>
          <w:spacing w:val="-3"/>
          <w:sz w:val="21"/>
        </w:rPr>
        <w:t>车</w:t>
      </w:r>
      <w:r>
        <w:rPr>
          <w:sz w:val="21"/>
        </w:rPr>
        <w:t>辆。</w:t>
      </w:r>
    </w:p>
    <w:p>
      <w:pPr>
        <w:spacing w:after="0" w:line="273" w:lineRule="auto"/>
        <w:jc w:val="left"/>
        <w:rPr>
          <w:sz w:val="21"/>
        </w:rPr>
        <w:sectPr>
          <w:type w:val="continuous"/>
          <w:pgSz w:w="11910" w:h="16840"/>
          <w:pgMar w:top="1080" w:bottom="280" w:left="800" w:right="840"/>
        </w:sectPr>
      </w:pPr>
    </w:p>
    <w:p>
      <w:pPr>
        <w:pStyle w:val="BodyText"/>
        <w:rPr>
          <w:rFonts w:ascii="Times New Roman"/>
          <w:sz w:val="20"/>
        </w:rPr>
      </w:pPr>
    </w:p>
    <w:p>
      <w:pPr>
        <w:pStyle w:val="BodyText"/>
        <w:spacing w:before="2" w:after="1"/>
        <w:rPr>
          <w:rFonts w:ascii="Times New Roman"/>
          <w:sz w:val="13"/>
        </w:r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15"/>
        <w:gridCol w:w="1613"/>
        <w:gridCol w:w="7645"/>
      </w:tblGrid>
      <w:tr>
        <w:trPr>
          <w:trHeight w:val="659" w:hRule="atLeast"/>
        </w:trPr>
        <w:tc>
          <w:tcPr>
            <w:tcW w:w="1015" w:type="dxa"/>
          </w:tcPr>
          <w:p>
            <w:pPr>
              <w:pStyle w:val="TableParagraph"/>
              <w:spacing w:line="211" w:lineRule="exact"/>
              <w:ind w:left="200"/>
              <w:rPr>
                <w:b/>
                <w:sz w:val="21"/>
              </w:rPr>
            </w:pPr>
            <w:r>
              <w:rPr>
                <w:b/>
                <w:sz w:val="21"/>
              </w:rPr>
              <w:t>11.13</w:t>
            </w:r>
          </w:p>
        </w:tc>
        <w:tc>
          <w:tcPr>
            <w:tcW w:w="1613" w:type="dxa"/>
          </w:tcPr>
          <w:p>
            <w:pPr>
              <w:pStyle w:val="TableParagraph"/>
              <w:spacing w:line="211" w:lineRule="exact"/>
              <w:ind w:left="286"/>
              <w:rPr>
                <w:b/>
                <w:sz w:val="21"/>
              </w:rPr>
            </w:pPr>
            <w:r>
              <w:rPr>
                <w:b/>
                <w:sz w:val="21"/>
              </w:rPr>
              <w:t>现金价值</w:t>
            </w:r>
          </w:p>
        </w:tc>
        <w:tc>
          <w:tcPr>
            <w:tcW w:w="7645" w:type="dxa"/>
          </w:tcPr>
          <w:p>
            <w:pPr>
              <w:pStyle w:val="TableParagraph"/>
              <w:spacing w:line="211" w:lineRule="exact"/>
              <w:ind w:left="90"/>
              <w:rPr>
                <w:sz w:val="21"/>
              </w:rPr>
            </w:pPr>
            <w:r>
              <w:rPr>
                <w:sz w:val="21"/>
              </w:rPr>
              <w:t>指保单所具有的价值，通常体现为解除保险合同时，根据精算原理计算的，由我</w:t>
            </w:r>
          </w:p>
          <w:p>
            <w:pPr>
              <w:pStyle w:val="TableParagraph"/>
              <w:spacing w:before="37"/>
              <w:ind w:left="90"/>
              <w:rPr>
                <w:sz w:val="21"/>
              </w:rPr>
            </w:pPr>
            <w:r>
              <w:rPr>
                <w:sz w:val="21"/>
              </w:rPr>
              <w:t>们退还的那部分金额。</w:t>
            </w:r>
          </w:p>
        </w:tc>
      </w:tr>
      <w:tr>
        <w:trPr>
          <w:trHeight w:val="794" w:hRule="atLeast"/>
        </w:trPr>
        <w:tc>
          <w:tcPr>
            <w:tcW w:w="1015" w:type="dxa"/>
          </w:tcPr>
          <w:p>
            <w:pPr>
              <w:pStyle w:val="TableParagraph"/>
              <w:spacing w:before="72"/>
              <w:ind w:left="200"/>
              <w:rPr>
                <w:b/>
                <w:sz w:val="21"/>
              </w:rPr>
            </w:pPr>
            <w:r>
              <w:rPr>
                <w:b/>
                <w:sz w:val="21"/>
              </w:rPr>
              <w:t>11.14</w:t>
            </w:r>
          </w:p>
        </w:tc>
        <w:tc>
          <w:tcPr>
            <w:tcW w:w="1613" w:type="dxa"/>
          </w:tcPr>
          <w:p>
            <w:pPr>
              <w:pStyle w:val="TableParagraph"/>
              <w:spacing w:line="273" w:lineRule="auto" w:before="72"/>
              <w:ind w:left="286" w:right="89"/>
              <w:rPr>
                <w:b/>
                <w:sz w:val="21"/>
              </w:rPr>
            </w:pPr>
            <w:r>
              <w:rPr>
                <w:b/>
                <w:sz w:val="21"/>
              </w:rPr>
              <w:t>肢体机能完全丧失</w:t>
            </w:r>
          </w:p>
        </w:tc>
        <w:tc>
          <w:tcPr>
            <w:tcW w:w="7645" w:type="dxa"/>
          </w:tcPr>
          <w:p>
            <w:pPr>
              <w:pStyle w:val="TableParagraph"/>
              <w:spacing w:line="273" w:lineRule="auto" w:before="72"/>
              <w:ind w:left="90" w:right="248"/>
              <w:rPr>
                <w:sz w:val="21"/>
              </w:rPr>
            </w:pPr>
            <w:r>
              <w:rPr>
                <w:spacing w:val="-6"/>
                <w:sz w:val="21"/>
              </w:rPr>
              <w:t>指肢体的三大关节中的两大关节僵硬，或不能随意识活动。肢体是指包括肩关节</w:t>
            </w:r>
            <w:r>
              <w:rPr>
                <w:spacing w:val="-4"/>
                <w:sz w:val="21"/>
              </w:rPr>
              <w:t>的整个上肢或包括髋关节的整个下肢。</w:t>
            </w:r>
          </w:p>
        </w:tc>
      </w:tr>
      <w:tr>
        <w:trPr>
          <w:trHeight w:val="1418" w:hRule="atLeast"/>
        </w:trPr>
        <w:tc>
          <w:tcPr>
            <w:tcW w:w="1015" w:type="dxa"/>
          </w:tcPr>
          <w:p>
            <w:pPr>
              <w:pStyle w:val="TableParagraph"/>
              <w:spacing w:before="72"/>
              <w:ind w:left="200"/>
              <w:rPr>
                <w:b/>
                <w:sz w:val="21"/>
              </w:rPr>
            </w:pPr>
            <w:r>
              <w:rPr>
                <w:b/>
                <w:sz w:val="21"/>
              </w:rPr>
              <w:t>11.15</w:t>
            </w:r>
          </w:p>
        </w:tc>
        <w:tc>
          <w:tcPr>
            <w:tcW w:w="1613" w:type="dxa"/>
          </w:tcPr>
          <w:p>
            <w:pPr>
              <w:pStyle w:val="TableParagraph"/>
              <w:spacing w:line="273" w:lineRule="auto" w:before="72"/>
              <w:ind w:left="286" w:right="89"/>
              <w:jc w:val="both"/>
              <w:rPr>
                <w:b/>
                <w:sz w:val="21"/>
              </w:rPr>
            </w:pPr>
            <w:r>
              <w:rPr>
                <w:b/>
                <w:sz w:val="21"/>
              </w:rPr>
              <w:t>语言能力或咀嚼吞咽能力完全丧失</w:t>
            </w:r>
          </w:p>
        </w:tc>
        <w:tc>
          <w:tcPr>
            <w:tcW w:w="7645" w:type="dxa"/>
          </w:tcPr>
          <w:p>
            <w:pPr>
              <w:pStyle w:val="TableParagraph"/>
              <w:spacing w:line="273" w:lineRule="auto" w:before="72"/>
              <w:ind w:left="90" w:right="248"/>
              <w:rPr>
                <w:sz w:val="21"/>
              </w:rPr>
            </w:pPr>
            <w:r>
              <w:rPr>
                <w:spacing w:val="-6"/>
                <w:sz w:val="21"/>
              </w:rPr>
              <w:t>语言能力完全丧失，指无法发出四种语音</w:t>
            </w:r>
            <w:r>
              <w:rPr>
                <w:spacing w:val="-3"/>
                <w:sz w:val="21"/>
              </w:rPr>
              <w:t>（</w:t>
            </w:r>
            <w:r>
              <w:rPr>
                <w:spacing w:val="-6"/>
                <w:sz w:val="21"/>
              </w:rPr>
              <w:t>包括口唇音、齿舌音、口盖音和喉头音）</w:t>
            </w:r>
            <w:r>
              <w:rPr>
                <w:spacing w:val="-3"/>
                <w:sz w:val="21"/>
              </w:rPr>
              <w:t>中的任何三种、或声带全部切除，或因大脑语言中枢受伤害而患失语症。 </w:t>
            </w:r>
            <w:r>
              <w:rPr>
                <w:spacing w:val="-7"/>
                <w:sz w:val="21"/>
              </w:rPr>
              <w:t>咀嚼吞咽能力完全丧失，指因牙齿以外的原因导致器质障碍或机能障碍，以致不</w:t>
            </w:r>
            <w:r>
              <w:rPr>
                <w:spacing w:val="-5"/>
                <w:sz w:val="21"/>
              </w:rPr>
              <w:t>能作咀嚼吞咽运动，除流质食物外不能摄取或吞咽的状态。</w:t>
            </w:r>
          </w:p>
        </w:tc>
      </w:tr>
      <w:tr>
        <w:trPr>
          <w:trHeight w:val="1419" w:hRule="atLeast"/>
        </w:trPr>
        <w:tc>
          <w:tcPr>
            <w:tcW w:w="1015" w:type="dxa"/>
          </w:tcPr>
          <w:p>
            <w:pPr>
              <w:pStyle w:val="TableParagraph"/>
              <w:spacing w:before="72"/>
              <w:ind w:left="200"/>
              <w:rPr>
                <w:b/>
                <w:sz w:val="21"/>
              </w:rPr>
            </w:pPr>
            <w:r>
              <w:rPr>
                <w:b/>
                <w:sz w:val="21"/>
              </w:rPr>
              <w:t>11.16</w:t>
            </w:r>
          </w:p>
        </w:tc>
        <w:tc>
          <w:tcPr>
            <w:tcW w:w="1613" w:type="dxa"/>
          </w:tcPr>
          <w:p>
            <w:pPr>
              <w:pStyle w:val="TableParagraph"/>
              <w:spacing w:line="273" w:lineRule="auto" w:before="72"/>
              <w:ind w:left="286" w:right="89"/>
              <w:rPr>
                <w:b/>
                <w:sz w:val="21"/>
              </w:rPr>
            </w:pPr>
            <w:r>
              <w:rPr>
                <w:b/>
                <w:sz w:val="21"/>
              </w:rPr>
              <w:t>六项基本日常生活活动</w:t>
            </w:r>
          </w:p>
        </w:tc>
        <w:tc>
          <w:tcPr>
            <w:tcW w:w="7645" w:type="dxa"/>
          </w:tcPr>
          <w:p>
            <w:pPr>
              <w:pStyle w:val="TableParagraph"/>
              <w:spacing w:line="273" w:lineRule="auto" w:before="72"/>
              <w:ind w:left="90" w:right="197"/>
              <w:jc w:val="both"/>
              <w:rPr>
                <w:sz w:val="21"/>
              </w:rPr>
            </w:pPr>
            <w:r>
              <w:rPr>
                <w:spacing w:val="-12"/>
                <w:w w:val="100"/>
                <w:sz w:val="21"/>
              </w:rPr>
              <w:t>六项基本日常生活活动是指：</w:t>
            </w:r>
            <w:r>
              <w:rPr>
                <w:w w:val="100"/>
                <w:sz w:val="21"/>
              </w:rPr>
              <w:t>（1</w:t>
            </w:r>
            <w:r>
              <w:rPr>
                <w:spacing w:val="-13"/>
                <w:w w:val="100"/>
                <w:sz w:val="21"/>
              </w:rPr>
              <w:t>）穿衣：自己能够穿衣及脱衣；</w:t>
            </w:r>
            <w:r>
              <w:rPr>
                <w:w w:val="100"/>
                <w:sz w:val="21"/>
              </w:rPr>
              <w:t>（2</w:t>
            </w:r>
            <w:r>
              <w:rPr>
                <w:spacing w:val="-13"/>
                <w:w w:val="100"/>
                <w:sz w:val="21"/>
              </w:rPr>
              <w:t>）</w:t>
            </w:r>
            <w:r>
              <w:rPr>
                <w:spacing w:val="-4"/>
                <w:w w:val="100"/>
                <w:sz w:val="21"/>
              </w:rPr>
              <w:t>移动：自己</w:t>
            </w:r>
            <w:r>
              <w:rPr>
                <w:spacing w:val="-3"/>
                <w:w w:val="100"/>
                <w:sz w:val="21"/>
              </w:rPr>
              <w:t>从一个房间到另一个房间</w:t>
            </w:r>
            <w:r>
              <w:rPr>
                <w:spacing w:val="-118"/>
                <w:w w:val="100"/>
                <w:sz w:val="21"/>
              </w:rPr>
              <w:t>；</w:t>
            </w:r>
            <w:r>
              <w:rPr>
                <w:w w:val="100"/>
                <w:sz w:val="21"/>
              </w:rPr>
              <w:t>（3</w:t>
            </w:r>
            <w:r>
              <w:rPr>
                <w:spacing w:val="-10"/>
                <w:w w:val="100"/>
                <w:sz w:val="21"/>
              </w:rPr>
              <w:t>）</w:t>
            </w:r>
            <w:r>
              <w:rPr>
                <w:spacing w:val="-12"/>
                <w:w w:val="100"/>
                <w:sz w:val="21"/>
              </w:rPr>
              <w:t>行动：自己上下床或上下轮椅；</w:t>
            </w:r>
            <w:r>
              <w:rPr>
                <w:spacing w:val="-2"/>
                <w:w w:val="100"/>
                <w:sz w:val="21"/>
              </w:rPr>
              <w:t>（</w:t>
            </w:r>
            <w:r>
              <w:rPr>
                <w:w w:val="100"/>
                <w:sz w:val="21"/>
              </w:rPr>
              <w:t>4</w:t>
            </w:r>
            <w:r>
              <w:rPr>
                <w:spacing w:val="-10"/>
                <w:w w:val="100"/>
                <w:sz w:val="21"/>
              </w:rPr>
              <w:t>）</w:t>
            </w:r>
            <w:r>
              <w:rPr>
                <w:spacing w:val="-4"/>
                <w:w w:val="100"/>
                <w:sz w:val="21"/>
              </w:rPr>
              <w:t>如厕：自己</w:t>
            </w:r>
            <w:r>
              <w:rPr>
                <w:spacing w:val="-16"/>
                <w:w w:val="100"/>
                <w:sz w:val="21"/>
              </w:rPr>
              <w:t>控制进行大小便；</w:t>
            </w:r>
            <w:r>
              <w:rPr>
                <w:w w:val="100"/>
                <w:sz w:val="21"/>
              </w:rPr>
              <w:t>（</w:t>
            </w:r>
            <w:r>
              <w:rPr>
                <w:spacing w:val="-3"/>
                <w:w w:val="100"/>
                <w:sz w:val="21"/>
              </w:rPr>
              <w:t>5</w:t>
            </w:r>
            <w:r>
              <w:rPr>
                <w:w w:val="100"/>
                <w:sz w:val="21"/>
              </w:rPr>
              <w:t>）</w:t>
            </w:r>
            <w:r>
              <w:rPr>
                <w:spacing w:val="-8"/>
                <w:w w:val="100"/>
                <w:sz w:val="21"/>
              </w:rPr>
              <w:t>进食：自己从已准备好的碗或碟中取食物放入口中；</w:t>
            </w:r>
            <w:r>
              <w:rPr>
                <w:spacing w:val="-3"/>
                <w:w w:val="100"/>
                <w:sz w:val="21"/>
              </w:rPr>
              <w:t>（</w:t>
            </w:r>
            <w:r>
              <w:rPr>
                <w:w w:val="100"/>
                <w:sz w:val="21"/>
              </w:rPr>
              <w:t>6）</w:t>
            </w:r>
            <w:r>
              <w:rPr>
                <w:spacing w:val="-3"/>
                <w:sz w:val="21"/>
              </w:rPr>
              <w:t>洗澡：自己进行淋浴或盆浴。</w:t>
            </w:r>
          </w:p>
        </w:tc>
      </w:tr>
      <w:tr>
        <w:trPr>
          <w:trHeight w:val="794" w:hRule="atLeast"/>
        </w:trPr>
        <w:tc>
          <w:tcPr>
            <w:tcW w:w="1015" w:type="dxa"/>
          </w:tcPr>
          <w:p>
            <w:pPr>
              <w:pStyle w:val="TableParagraph"/>
              <w:spacing w:before="72"/>
              <w:ind w:left="200"/>
              <w:rPr>
                <w:b/>
                <w:sz w:val="21"/>
              </w:rPr>
            </w:pPr>
            <w:r>
              <w:rPr>
                <w:b/>
                <w:sz w:val="21"/>
              </w:rPr>
              <w:t>11.17</w:t>
            </w:r>
          </w:p>
        </w:tc>
        <w:tc>
          <w:tcPr>
            <w:tcW w:w="1613" w:type="dxa"/>
          </w:tcPr>
          <w:p>
            <w:pPr>
              <w:pStyle w:val="TableParagraph"/>
              <w:spacing w:before="72"/>
              <w:ind w:left="286"/>
              <w:rPr>
                <w:b/>
                <w:sz w:val="21"/>
              </w:rPr>
            </w:pPr>
            <w:r>
              <w:rPr>
                <w:b/>
                <w:sz w:val="21"/>
              </w:rPr>
              <w:t>永久不可逆</w:t>
            </w:r>
          </w:p>
        </w:tc>
        <w:tc>
          <w:tcPr>
            <w:tcW w:w="7645" w:type="dxa"/>
          </w:tcPr>
          <w:p>
            <w:pPr>
              <w:pStyle w:val="TableParagraph"/>
              <w:spacing w:line="273" w:lineRule="auto" w:before="72"/>
              <w:ind w:left="90" w:right="248"/>
              <w:rPr>
                <w:sz w:val="21"/>
              </w:rPr>
            </w:pPr>
            <w:r>
              <w:rPr>
                <w:spacing w:val="-7"/>
                <w:sz w:val="21"/>
              </w:rPr>
              <w:t>指自疾病确诊或意外伤害发生之日起，经过积极治疗 </w:t>
            </w:r>
            <w:r>
              <w:rPr>
                <w:sz w:val="21"/>
              </w:rPr>
              <w:t>180</w:t>
            </w:r>
            <w:r>
              <w:rPr>
                <w:spacing w:val="-10"/>
                <w:sz w:val="21"/>
              </w:rPr>
              <w:t> 天后，仍无法通过现有</w:t>
            </w:r>
            <w:r>
              <w:rPr>
                <w:spacing w:val="-5"/>
                <w:sz w:val="21"/>
              </w:rPr>
              <w:t>医疗手段恢复。</w:t>
            </w:r>
          </w:p>
        </w:tc>
      </w:tr>
      <w:tr>
        <w:trPr>
          <w:trHeight w:val="793" w:hRule="atLeast"/>
        </w:trPr>
        <w:tc>
          <w:tcPr>
            <w:tcW w:w="1015" w:type="dxa"/>
          </w:tcPr>
          <w:p>
            <w:pPr>
              <w:pStyle w:val="TableParagraph"/>
              <w:spacing w:before="72"/>
              <w:ind w:left="200"/>
              <w:rPr>
                <w:b/>
                <w:sz w:val="21"/>
              </w:rPr>
            </w:pPr>
            <w:r>
              <w:rPr>
                <w:b/>
                <w:sz w:val="21"/>
              </w:rPr>
              <w:t>11.18</w:t>
            </w:r>
          </w:p>
        </w:tc>
        <w:tc>
          <w:tcPr>
            <w:tcW w:w="1613" w:type="dxa"/>
          </w:tcPr>
          <w:p>
            <w:pPr>
              <w:pStyle w:val="TableParagraph"/>
              <w:spacing w:before="72"/>
              <w:ind w:left="286"/>
              <w:rPr>
                <w:b/>
                <w:sz w:val="21"/>
              </w:rPr>
            </w:pPr>
            <w:r>
              <w:rPr>
                <w:b/>
                <w:sz w:val="21"/>
              </w:rPr>
              <w:t>周岁</w:t>
            </w:r>
          </w:p>
        </w:tc>
        <w:tc>
          <w:tcPr>
            <w:tcW w:w="7645" w:type="dxa"/>
          </w:tcPr>
          <w:p>
            <w:pPr>
              <w:pStyle w:val="TableParagraph"/>
              <w:spacing w:line="273" w:lineRule="auto" w:before="72"/>
              <w:ind w:left="90" w:right="248"/>
              <w:rPr>
                <w:sz w:val="21"/>
              </w:rPr>
            </w:pPr>
            <w:r>
              <w:rPr>
                <w:spacing w:val="-6"/>
                <w:sz w:val="21"/>
              </w:rPr>
              <w:t>指按有效身份证件中记载的出生日期计算的年龄，自出生之日起为零周岁，每经</w:t>
            </w:r>
            <w:r>
              <w:rPr>
                <w:spacing w:val="-4"/>
                <w:sz w:val="21"/>
              </w:rPr>
              <w:t>过一年增加一岁，不足一年的不计。</w:t>
            </w:r>
          </w:p>
        </w:tc>
      </w:tr>
      <w:tr>
        <w:trPr>
          <w:trHeight w:val="657" w:hRule="atLeast"/>
        </w:trPr>
        <w:tc>
          <w:tcPr>
            <w:tcW w:w="1015" w:type="dxa"/>
          </w:tcPr>
          <w:p>
            <w:pPr>
              <w:pStyle w:val="TableParagraph"/>
              <w:spacing w:before="70"/>
              <w:ind w:left="200"/>
              <w:rPr>
                <w:b/>
                <w:sz w:val="21"/>
              </w:rPr>
            </w:pPr>
            <w:r>
              <w:rPr>
                <w:b/>
                <w:sz w:val="21"/>
              </w:rPr>
              <w:t>11.19</w:t>
            </w:r>
          </w:p>
        </w:tc>
        <w:tc>
          <w:tcPr>
            <w:tcW w:w="1613" w:type="dxa"/>
          </w:tcPr>
          <w:p>
            <w:pPr>
              <w:pStyle w:val="TableParagraph"/>
              <w:spacing w:line="310" w:lineRule="atLeast" w:before="35"/>
              <w:ind w:left="286" w:right="89"/>
              <w:rPr>
                <w:b/>
                <w:sz w:val="21"/>
              </w:rPr>
            </w:pPr>
            <w:r>
              <w:rPr>
                <w:b/>
                <w:sz w:val="21"/>
              </w:rPr>
              <w:t>条款约定利率</w:t>
            </w:r>
          </w:p>
        </w:tc>
        <w:tc>
          <w:tcPr>
            <w:tcW w:w="7645" w:type="dxa"/>
          </w:tcPr>
          <w:p>
            <w:pPr>
              <w:pStyle w:val="TableParagraph"/>
              <w:spacing w:before="70"/>
              <w:ind w:left="90"/>
              <w:rPr>
                <w:sz w:val="21"/>
              </w:rPr>
            </w:pPr>
            <w:r>
              <w:rPr>
                <w:spacing w:val="-5"/>
                <w:sz w:val="21"/>
              </w:rPr>
              <w:t>由我们参照人民银行最近一次规定的六个月期人民币贷款利率在每年的 </w:t>
            </w:r>
            <w:r>
              <w:rPr>
                <w:sz w:val="21"/>
              </w:rPr>
              <w:t>1</w:t>
            </w:r>
            <w:r>
              <w:rPr>
                <w:spacing w:val="-38"/>
                <w:sz w:val="21"/>
              </w:rPr>
              <w:t> 月 </w:t>
            </w:r>
            <w:r>
              <w:rPr>
                <w:sz w:val="21"/>
              </w:rPr>
              <w:t>1</w:t>
            </w:r>
            <w:r>
              <w:rPr>
                <w:spacing w:val="-29"/>
                <w:sz w:val="21"/>
              </w:rPr>
              <w:t> 日</w:t>
            </w:r>
          </w:p>
          <w:p>
            <w:pPr>
              <w:pStyle w:val="TableParagraph"/>
              <w:spacing w:line="255" w:lineRule="exact" w:before="36"/>
              <w:ind w:left="90"/>
              <w:rPr>
                <w:sz w:val="21"/>
              </w:rPr>
            </w:pPr>
            <w:r>
              <w:rPr>
                <w:sz w:val="21"/>
              </w:rPr>
              <w:t>和 7 月 1 日确定。</w:t>
            </w:r>
          </w:p>
        </w:tc>
      </w:tr>
    </w:tbl>
    <w:sectPr>
      <w:pgSz w:w="11910" w:h="16840"/>
      <w:pgMar w:header="568" w:footer="0" w:top="800" w:bottom="280" w:left="720" w:right="7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宋体">
    <w:altName w:val="宋体"/>
    <w:charset w:val="86"/>
    <w:family w:val="auto"/>
    <w:pitch w:val="variable"/>
  </w:font>
  <w:font w:name="微软雅黑">
    <w:altName w:val="微软雅黑"/>
    <w:charset w:val="86"/>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84.529999pt;margin-top:27.389826pt;width:27.15pt;height:13.7pt;mso-position-horizontal-relative:page;mso-position-vertical-relative:page;z-index:-43696" type="#_x0000_t202" filled="false" stroked="false">
          <v:textbox inset="0,0,0,0">
            <w:txbxContent>
              <w:p>
                <w:pPr>
                  <w:pStyle w:val="BodyText"/>
                  <w:spacing w:before="12"/>
                  <w:ind w:left="20"/>
                  <w:rPr>
                    <w:rFonts w:ascii="Times New Roman"/>
                  </w:rPr>
                </w:pPr>
                <w:r>
                  <w:rPr>
                    <w:rFonts w:ascii="Times New Roman"/>
                  </w:rPr>
                  <w:t>11-</w:t>
                </w:r>
                <w:r>
                  <w:rPr/>
                  <w:fldChar w:fldCharType="begin"/>
                </w:r>
                <w:r>
                  <w:rPr>
                    <w:rFonts w:ascii="Times New Roman"/>
                  </w:rPr>
                  <w:instrText> PAGE </w:instrText>
                </w:r>
                <w:r>
                  <w:rPr/>
                  <w:fldChar w:fldCharType="separate"/>
                </w:r>
                <w:r>
                  <w:rPr/>
                  <w:t>10</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0"/>
      <w:numFmt w:val="decimal"/>
      <w:lvlText w:val="%1"/>
      <w:lvlJc w:val="left"/>
      <w:pPr>
        <w:ind w:left="1322" w:hanging="1102"/>
        <w:jc w:val="left"/>
      </w:pPr>
      <w:rPr>
        <w:rFonts w:hint="default" w:ascii="宋体" w:hAnsi="宋体" w:eastAsia="宋体" w:cs="宋体"/>
        <w:b/>
        <w:bCs/>
        <w:spacing w:val="0"/>
        <w:w w:val="99"/>
        <w:sz w:val="28"/>
        <w:szCs w:val="28"/>
      </w:rPr>
    </w:lvl>
    <w:lvl w:ilvl="1">
      <w:start w:val="1"/>
      <w:numFmt w:val="decimal"/>
      <w:lvlText w:val="%1.%2"/>
      <w:lvlJc w:val="left"/>
      <w:pPr>
        <w:ind w:left="1322" w:hanging="1102"/>
        <w:jc w:val="left"/>
      </w:pPr>
      <w:rPr>
        <w:rFonts w:hint="default" w:ascii="宋体" w:hAnsi="宋体" w:eastAsia="宋体" w:cs="宋体"/>
        <w:b/>
        <w:bCs/>
        <w:w w:val="99"/>
        <w:sz w:val="21"/>
        <w:szCs w:val="21"/>
      </w:rPr>
    </w:lvl>
    <w:lvl w:ilvl="2">
      <w:start w:val="0"/>
      <w:numFmt w:val="bullet"/>
      <w:lvlText w:val="•"/>
      <w:lvlJc w:val="left"/>
      <w:pPr>
        <w:ind w:left="2719" w:hanging="1102"/>
      </w:pPr>
      <w:rPr>
        <w:rFonts w:hint="default"/>
      </w:rPr>
    </w:lvl>
    <w:lvl w:ilvl="3">
      <w:start w:val="0"/>
      <w:numFmt w:val="bullet"/>
      <w:lvlText w:val="•"/>
      <w:lvlJc w:val="left"/>
      <w:pPr>
        <w:ind w:left="2699" w:hanging="1102"/>
      </w:pPr>
      <w:rPr>
        <w:rFonts w:hint="default"/>
      </w:rPr>
    </w:lvl>
    <w:lvl w:ilvl="4">
      <w:start w:val="0"/>
      <w:numFmt w:val="bullet"/>
      <w:lvlText w:val="•"/>
      <w:lvlJc w:val="left"/>
      <w:pPr>
        <w:ind w:left="2679" w:hanging="1102"/>
      </w:pPr>
      <w:rPr>
        <w:rFonts w:hint="default"/>
      </w:rPr>
    </w:lvl>
    <w:lvl w:ilvl="5">
      <w:start w:val="0"/>
      <w:numFmt w:val="bullet"/>
      <w:lvlText w:val="•"/>
      <w:lvlJc w:val="left"/>
      <w:pPr>
        <w:ind w:left="2659" w:hanging="1102"/>
      </w:pPr>
      <w:rPr>
        <w:rFonts w:hint="default"/>
      </w:rPr>
    </w:lvl>
    <w:lvl w:ilvl="6">
      <w:start w:val="0"/>
      <w:numFmt w:val="bullet"/>
      <w:lvlText w:val="•"/>
      <w:lvlJc w:val="left"/>
      <w:pPr>
        <w:ind w:left="2638" w:hanging="1102"/>
      </w:pPr>
      <w:rPr>
        <w:rFonts w:hint="default"/>
      </w:rPr>
    </w:lvl>
    <w:lvl w:ilvl="7">
      <w:start w:val="0"/>
      <w:numFmt w:val="bullet"/>
      <w:lvlText w:val="•"/>
      <w:lvlJc w:val="left"/>
      <w:pPr>
        <w:ind w:left="2618" w:hanging="1102"/>
      </w:pPr>
      <w:rPr>
        <w:rFonts w:hint="default"/>
      </w:rPr>
    </w:lvl>
    <w:lvl w:ilvl="8">
      <w:start w:val="0"/>
      <w:numFmt w:val="bullet"/>
      <w:lvlText w:val="•"/>
      <w:lvlJc w:val="left"/>
      <w:pPr>
        <w:ind w:left="2598" w:hanging="1102"/>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ind w:left="290" w:right="194"/>
      <w:jc w:val="center"/>
      <w:outlineLvl w:val="1"/>
    </w:pPr>
    <w:rPr>
      <w:rFonts w:ascii="微软雅黑" w:hAnsi="微软雅黑" w:eastAsia="微软雅黑" w:cs="微软雅黑"/>
      <w:b/>
      <w:bCs/>
      <w:sz w:val="32"/>
      <w:szCs w:val="32"/>
    </w:rPr>
  </w:style>
  <w:style w:styleId="Heading2" w:type="paragraph">
    <w:name w:val="Heading 2"/>
    <w:basedOn w:val="Normal"/>
    <w:uiPriority w:val="1"/>
    <w:qFormat/>
    <w:pPr>
      <w:spacing w:before="15"/>
      <w:ind w:left="1322" w:hanging="1102"/>
      <w:outlineLvl w:val="2"/>
    </w:pPr>
    <w:rPr>
      <w:rFonts w:ascii="宋体" w:hAnsi="宋体" w:eastAsia="宋体" w:cs="宋体"/>
      <w:b/>
      <w:bCs/>
      <w:sz w:val="28"/>
      <w:szCs w:val="28"/>
    </w:rPr>
  </w:style>
  <w:style w:styleId="Heading3" w:type="paragraph">
    <w:name w:val="Heading 3"/>
    <w:basedOn w:val="Normal"/>
    <w:uiPriority w:val="1"/>
    <w:qFormat/>
    <w:pPr>
      <w:spacing w:before="37"/>
      <w:ind w:left="1322" w:hanging="1102"/>
      <w:outlineLvl w:val="3"/>
    </w:pPr>
    <w:rPr>
      <w:rFonts w:ascii="宋体" w:hAnsi="宋体" w:eastAsia="宋体" w:cs="宋体"/>
      <w:b/>
      <w:bCs/>
      <w:sz w:val="21"/>
      <w:szCs w:val="21"/>
    </w:rPr>
  </w:style>
  <w:style w:styleId="ListParagraph" w:type="paragraph">
    <w:name w:val="List Paragraph"/>
    <w:basedOn w:val="Normal"/>
    <w:uiPriority w:val="1"/>
    <w:qFormat/>
    <w:pPr>
      <w:spacing w:before="37"/>
      <w:ind w:left="1322" w:hanging="1102"/>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eader" Target="header1.xml"/><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tina</dc:creator>
  <dc:title>阅 读 指 引</dc:title>
  <dcterms:created xsi:type="dcterms:W3CDTF">2018-10-20T02:26:30Z</dcterms:created>
  <dcterms:modified xsi:type="dcterms:W3CDTF">2018-10-20T02:26:30Z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2014-11-12T00:00:00Z</vt:filetime>
  </property>
  <property fmtid="{D5CDD505-2E9C-101B-9397-08002B2CF9AE}" pid="3" name="Creator">
    <vt:lpwstr>Microsoft® Word 2010</vt:lpwstr>
  </property>
  <property fmtid="{D5CDD505-2E9C-101B-9397-08002B2CF9AE}" pid="4" name="LastSaved">
    <vt:filetime>2018-10-19T00:00:00Z</vt:filetime>
  </property>
</Properties>
</file>