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100" w:firstLine="0"/>
        <w:jc w:val="right"/>
        <w:rPr>
          <w:sz w:val="16"/>
        </w:rPr>
      </w:pPr>
      <w:r>
        <w:rPr/>
        <w:drawing>
          <wp:anchor distT="0" distB="0" distL="0" distR="0" allowOverlap="1" layoutInCell="1" locked="0" behindDoc="0" simplePos="0" relativeHeight="1048">
            <wp:simplePos x="0" y="0"/>
            <wp:positionH relativeFrom="page">
              <wp:posOffset>6172199</wp:posOffset>
            </wp:positionH>
            <wp:positionV relativeFrom="paragraph">
              <wp:posOffset>239696</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华夏人寿</w:t>
      </w:r>
      <w:r>
        <w:rPr>
          <w:rFonts w:ascii="Times New Roman" w:eastAsia="Times New Roman"/>
          <w:sz w:val="16"/>
        </w:rPr>
        <w:t>[2012]</w:t>
      </w:r>
      <w:r>
        <w:rPr>
          <w:sz w:val="16"/>
        </w:rPr>
        <w:t>疾病保险 </w:t>
      </w:r>
      <w:r>
        <w:rPr>
          <w:rFonts w:ascii="Times New Roman" w:eastAsia="Times New Roman"/>
          <w:sz w:val="16"/>
        </w:rPr>
        <w:t>021 </w:t>
      </w:r>
      <w:r>
        <w:rPr>
          <w:sz w:val="16"/>
        </w:rPr>
        <w:t>号</w:t>
      </w:r>
    </w:p>
    <w:p>
      <w:pPr>
        <w:pStyle w:val="BodyText"/>
        <w:spacing w:before="0"/>
        <w:rPr>
          <w:sz w:val="20"/>
        </w:rPr>
      </w:pPr>
    </w:p>
    <w:p>
      <w:pPr>
        <w:pStyle w:val="BodyText"/>
        <w:spacing w:before="2"/>
        <w:rPr>
          <w:sz w:val="23"/>
        </w:rPr>
      </w:pPr>
    </w:p>
    <w:p>
      <w:pPr>
        <w:spacing w:after="0"/>
        <w:rPr>
          <w:sz w:val="23"/>
        </w:rPr>
        <w:sectPr>
          <w:type w:val="continuous"/>
          <w:pgSz w:w="11910" w:h="16840"/>
          <w:pgMar w:top="300" w:bottom="280" w:left="680" w:right="420"/>
        </w:sectPr>
      </w:pPr>
    </w:p>
    <w:p>
      <w:pPr>
        <w:pStyle w:val="Heading1"/>
        <w:spacing w:line="541" w:lineRule="exact"/>
        <w:ind w:left="2623"/>
      </w:pPr>
      <w:r>
        <w:rPr>
          <w:w w:val="95"/>
        </w:rPr>
        <w:t>华夏人寿保险股份有限公司</w:t>
      </w:r>
    </w:p>
    <w:p>
      <w:pPr>
        <w:spacing w:line="324" w:lineRule="auto" w:before="48"/>
        <w:ind w:left="2182" w:right="223" w:firstLine="0"/>
        <w:jc w:val="center"/>
        <w:rPr>
          <w:b/>
          <w:sz w:val="44"/>
        </w:rPr>
      </w:pPr>
      <w:r>
        <w:rPr>
          <w:b/>
          <w:w w:val="95"/>
          <w:sz w:val="44"/>
        </w:rPr>
        <w:t>附加铂金樽享重大疾病保险条款阅读指引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r>
        <w:rPr/>
        <w:br w:type="column"/>
      </w:r>
      <w:r>
        <w:rPr>
          <w:sz w:val="20"/>
        </w:rPr>
      </w:r>
    </w:p>
    <w:p>
      <w:pPr>
        <w:pStyle w:val="BodyText"/>
        <w:spacing w:before="0"/>
        <w:rPr>
          <w:sz w:val="20"/>
        </w:rPr>
      </w:pPr>
    </w:p>
    <w:p>
      <w:pPr>
        <w:pStyle w:val="BodyText"/>
        <w:spacing w:before="8"/>
        <w:rPr>
          <w:sz w:val="19"/>
        </w:rPr>
      </w:pPr>
    </w:p>
    <w:p>
      <w:pPr>
        <w:spacing w:before="0"/>
        <w:ind w:left="179" w:right="0" w:firstLine="0"/>
        <w:jc w:val="left"/>
        <w:rPr>
          <w:sz w:val="16"/>
        </w:rPr>
      </w:pPr>
      <w:r>
        <w:rPr>
          <w:w w:val="95"/>
          <w:sz w:val="16"/>
        </w:rPr>
        <w:t>请扫描以查询验证条款</w:t>
      </w:r>
    </w:p>
    <w:p>
      <w:pPr>
        <w:spacing w:after="0"/>
        <w:jc w:val="left"/>
        <w:rPr>
          <w:sz w:val="16"/>
        </w:rPr>
        <w:sectPr>
          <w:type w:val="continuous"/>
          <w:pgSz w:w="11910" w:h="16840"/>
          <w:pgMar w:top="300" w:bottom="280" w:left="680" w:right="420"/>
          <w:cols w:num="2" w:equalWidth="0">
            <w:col w:w="8590" w:space="40"/>
            <w:col w:w="2180"/>
          </w:cols>
        </w:sectPr>
      </w:pPr>
    </w:p>
    <w:p>
      <w:pPr>
        <w:pStyle w:val="BodyText"/>
        <w:spacing w:before="0"/>
        <w:rPr>
          <w:sz w:val="20"/>
        </w:rPr>
      </w:pPr>
    </w:p>
    <w:p>
      <w:pPr>
        <w:pStyle w:val="BodyText"/>
        <w:spacing w:before="9"/>
        <w:rPr>
          <w:sz w:val="18"/>
        </w:rPr>
      </w:pPr>
    </w:p>
    <w:p>
      <w:pPr>
        <w:pStyle w:val="Heading4"/>
        <w:tabs>
          <w:tab w:pos="1278" w:val="left" w:leader="none"/>
        </w:tabs>
        <w:spacing w:line="683" w:lineRule="exact" w:before="0"/>
        <w:ind w:left="266"/>
        <w:rPr>
          <w:rFonts w:ascii="宋体" w:hAnsi="宋体" w:eastAsia="宋体" w:hint="eastAsia"/>
        </w:rPr>
      </w:pPr>
      <w:r>
        <w:rPr/>
        <w:drawing>
          <wp:anchor distT="0" distB="0" distL="0" distR="0" allowOverlap="1" layoutInCell="1" locked="0" behindDoc="1" simplePos="0" relativeHeight="268404431">
            <wp:simplePos x="0" y="0"/>
            <wp:positionH relativeFrom="page">
              <wp:posOffset>502702</wp:posOffset>
            </wp:positionH>
            <wp:positionV relativeFrom="paragraph">
              <wp:posOffset>-207498</wp:posOffset>
            </wp:positionV>
            <wp:extent cx="6559730" cy="709541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59730" cy="7095417"/>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 w:pos="9951" w:val="right" w:leader="dot"/>
        </w:tabs>
        <w:spacing w:line="263" w:lineRule="exact" w:before="0" w:after="0"/>
        <w:ind w:left="1658" w:right="0" w:hanging="420"/>
        <w:jc w:val="left"/>
        <w:rPr>
          <w:sz w:val="21"/>
        </w:rPr>
      </w:pPr>
      <w:r>
        <w:rPr>
          <w:sz w:val="21"/>
        </w:rPr>
        <w:t>签收本附加合同之日起10日内（犹豫期）您可以要求退还全部保险费</w:t>
        <w:tab/>
        <w:t>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before="0"/>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1"/>
          <w:sz w:val="21"/>
        </w:rPr>
        <w:t>在某些情况下，我们不承担保险责任……………………………………1.4;2.2;3.2;6.1;8.7</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tabs>
          <w:tab w:pos="1277" w:val="left" w:leader="none"/>
        </w:tabs>
        <w:spacing w:line="654"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300" w:bottom="280" w:left="680" w:right="420"/>
        </w:sectPr>
      </w:pPr>
    </w:p>
    <w:p>
      <w:pPr>
        <w:pStyle w:val="Heading4"/>
        <w:spacing w:line="311" w:lineRule="exact" w:before="0"/>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before="0"/>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before="0"/>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pacing w:val="-1"/>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12" w:after="0"/>
        <w:ind w:left="1848" w:right="0" w:hanging="420"/>
        <w:jc w:val="left"/>
        <w:rPr>
          <w:sz w:val="21"/>
        </w:rPr>
      </w:pPr>
      <w:r>
        <w:rPr>
          <w:spacing w:val="-1"/>
          <w:sz w:val="21"/>
        </w:rPr>
        <w:br w:type="column"/>
        <w:t>诉讼时效</w:t>
      </w:r>
    </w:p>
    <w:p>
      <w:pPr>
        <w:pStyle w:val="Heading4"/>
        <w:spacing w:line="351" w:lineRule="exact" w:before="0"/>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before="0"/>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before="0"/>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19"/>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before="0"/>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您解除合同的风险及手续</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before="0"/>
        <w:ind w:left="1218"/>
      </w:pPr>
      <w:r>
        <w:rPr>
          <w:w w:val="95"/>
        </w:rPr>
        <w:t>8</w:t>
      </w:r>
      <w:r>
        <w:rPr>
          <w:rFonts w:ascii="宋体" w:eastAsia="宋体" w:hint="eastAsia"/>
          <w:w w:val="95"/>
        </w:rPr>
        <w:t>.</w:t>
      </w:r>
      <w:r>
        <w:rPr>
          <w:w w:val="95"/>
        </w:rPr>
        <w:t>释义</w:t>
      </w:r>
    </w:p>
    <w:p>
      <w:pPr>
        <w:spacing w:after="0" w:line="351" w:lineRule="exact"/>
        <w:sectPr>
          <w:type w:val="continuous"/>
          <w:pgSz w:w="11910" w:h="16840"/>
          <w:pgMar w:top="300" w:bottom="280" w:left="680" w:right="420"/>
          <w:cols w:num="2" w:equalWidth="0">
            <w:col w:w="3327" w:space="1083"/>
            <w:col w:w="6400"/>
          </w:cols>
        </w:sectPr>
      </w:pPr>
    </w:p>
    <w:p>
      <w:pPr>
        <w:pStyle w:val="Heading1"/>
        <w:spacing w:line="525" w:lineRule="exact"/>
        <w:ind w:left="2563"/>
      </w:pPr>
      <w:r>
        <w:rPr>
          <w:w w:val="95"/>
        </w:rPr>
        <w:t>华夏人寿保险股份有限公司</w:t>
      </w:r>
    </w:p>
    <w:p>
      <w:pPr>
        <w:spacing w:before="48"/>
        <w:ind w:left="2122" w:right="0" w:firstLine="0"/>
        <w:jc w:val="left"/>
        <w:rPr>
          <w:b/>
          <w:sz w:val="44"/>
        </w:rPr>
      </w:pPr>
      <w:r>
        <w:rPr>
          <w:b/>
          <w:w w:val="95"/>
          <w:sz w:val="44"/>
        </w:rPr>
        <w:t>附加铂金樽享重大疾病保险条款</w:t>
      </w:r>
    </w:p>
    <w:p>
      <w:pPr>
        <w:spacing w:before="177"/>
        <w:ind w:left="3859" w:right="3859" w:firstLine="0"/>
        <w:jc w:val="center"/>
        <w:rPr>
          <w:b/>
          <w:sz w:val="28"/>
        </w:rPr>
      </w:pPr>
      <w:r>
        <w:rPr>
          <w:b/>
          <w:w w:val="95"/>
          <w:sz w:val="28"/>
        </w:rPr>
        <w:t>【</w:t>
      </w:r>
      <w:r>
        <w:rPr>
          <w:b/>
          <w:w w:val="95"/>
          <w:sz w:val="28"/>
          <w:u w:val="single"/>
        </w:rPr>
        <w:t>通过电话渠道销售</w:t>
      </w:r>
      <w:r>
        <w:rPr>
          <w:b/>
          <w:w w:val="95"/>
          <w:sz w:val="28"/>
        </w:rPr>
        <w:t>】</w:t>
      </w:r>
    </w:p>
    <w:p>
      <w:pPr>
        <w:pStyle w:val="BodyText"/>
        <w:spacing w:line="273" w:lineRule="auto" w:before="158"/>
        <w:ind w:left="281" w:right="376"/>
      </w:pPr>
      <w:r>
        <w:rPr>
          <w:spacing w:val="-3"/>
        </w:rPr>
        <w:t>在本条款中，“您”指投保人，“我们”和“本公司”指华夏人寿保险股份有限公司，“本附加合同”指您</w:t>
      </w:r>
      <w:r>
        <w:rPr>
          <w:spacing w:val="-7"/>
        </w:rPr>
        <w:t>与我们之间订立的“华夏附加铂金樽享重大疾病保险合同”。</w:t>
      </w:r>
    </w:p>
    <w:p>
      <w:pPr>
        <w:pStyle w:val="BodyText"/>
        <w:spacing w:before="12"/>
        <w:rPr>
          <w:sz w:val="14"/>
        </w:rPr>
      </w:pPr>
    </w:p>
    <w:p>
      <w:pPr>
        <w:pStyle w:val="Heading2"/>
        <w:tabs>
          <w:tab w:pos="985" w:val="left" w:leader="none"/>
        </w:tabs>
        <w:spacing w:before="1"/>
        <w:ind w:left="221"/>
        <w:rPr>
          <w:rFonts w:ascii="宋体" w:eastAsia="宋体" w:hint="eastAsia"/>
        </w:rPr>
      </w:pPr>
      <w:r>
        <w:rPr/>
        <w:pict>
          <v:group style="position:absolute;margin-left:42.66pt;margin-top:37.099785pt;width:509.95pt;height:1pt;mso-position-horizontal-relative:page;mso-position-vertical-relative:paragraph;z-index:1072;mso-wrap-distance-left:0;mso-wrap-distance-right:0" coordorigin="853,742" coordsize="10199,20">
            <v:line style="position:absolute" from="853,752" to="3662,752" stroked="true" strokeweight=".96002pt" strokecolor="#000000">
              <v:stroke dashstyle="solid"/>
            </v:line>
            <v:line style="position:absolute" from="3662,752" to="11052,752"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84" w:val="left" w:leader="none"/>
          <w:tab w:pos="985" w:val="left" w:leader="none"/>
          <w:tab w:pos="3011" w:val="left" w:leader="none"/>
        </w:tabs>
        <w:spacing w:line="240" w:lineRule="auto" w:before="35" w:after="0"/>
        <w:ind w:left="3032" w:right="0" w:hanging="2811"/>
        <w:jc w:val="left"/>
        <w:rPr>
          <w:sz w:val="21"/>
        </w:rPr>
      </w:pPr>
      <w:r>
        <w:rPr>
          <w:b/>
          <w:sz w:val="21"/>
        </w:rPr>
        <w:t>合同构成</w:t>
        <w:tab/>
      </w:r>
      <w:r>
        <w:rPr>
          <w:sz w:val="21"/>
        </w:rPr>
        <w:t>一</w:t>
      </w:r>
      <w:r>
        <w:rPr>
          <w:spacing w:val="31"/>
          <w:sz w:val="21"/>
        </w:rPr>
        <w:t>、</w:t>
      </w:r>
      <w:r>
        <w:rPr>
          <w:sz w:val="21"/>
        </w:rPr>
        <w:t>本附加合同是您与我们约定保险权利义务关系的协议，包括本保险条款、</w:t>
      </w:r>
    </w:p>
    <w:p>
      <w:pPr>
        <w:pStyle w:val="BodyText"/>
        <w:spacing w:line="273" w:lineRule="auto" w:before="36"/>
        <w:ind w:left="3464" w:right="237"/>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39" w:right="236" w:hanging="420"/>
        <w:jc w:val="both"/>
        <w:rPr>
          <w:rFonts w:ascii="宋体" w:eastAsia="宋体" w:hint="eastAsia"/>
        </w:rPr>
      </w:pPr>
      <w:r>
        <w:rPr>
          <w:rFonts w:ascii="宋体" w:eastAsia="宋体" w:hint="eastAsia"/>
        </w:rPr>
        <w:t>二</w:t>
      </w:r>
      <w:r>
        <w:rPr>
          <w:rFonts w:ascii="宋体" w:eastAsia="宋体" w:hint="eastAsia"/>
          <w:b w:val="0"/>
        </w:rPr>
        <w:t>、</w:t>
      </w:r>
      <w:r>
        <w:rPr>
          <w:rFonts w:ascii="宋体" w:eastAsia="宋体" w:hint="eastAsia"/>
        </w:rPr>
        <w:t>主合同的条款也适用于本附加合同，本附加合同对相关事项没有约定的， </w:t>
      </w:r>
      <w:r>
        <w:rPr>
          <w:rFonts w:ascii="宋体" w:eastAsia="宋体" w:hint="eastAsia"/>
          <w:w w:val="95"/>
        </w:rPr>
        <w:t>以主合同相关条款为准。</w:t>
      </w:r>
    </w:p>
    <w:p>
      <w:pPr>
        <w:pStyle w:val="BodyText"/>
        <w:spacing w:before="11"/>
        <w:rPr>
          <w:b/>
          <w:sz w:val="17"/>
        </w:rPr>
      </w:pPr>
    </w:p>
    <w:p>
      <w:pPr>
        <w:pStyle w:val="ListParagraph"/>
        <w:numPr>
          <w:ilvl w:val="1"/>
          <w:numId w:val="8"/>
        </w:numPr>
        <w:tabs>
          <w:tab w:pos="985" w:val="left" w:leader="none"/>
          <w:tab w:pos="986" w:val="left" w:leader="none"/>
          <w:tab w:pos="3011" w:val="left" w:leader="none"/>
        </w:tabs>
        <w:spacing w:line="240" w:lineRule="auto" w:before="1" w:after="0"/>
        <w:ind w:left="985" w:right="0" w:hanging="764"/>
        <w:jc w:val="left"/>
        <w:rPr>
          <w:sz w:val="21"/>
        </w:rPr>
      </w:pPr>
      <w:r>
        <w:rPr>
          <w:b/>
          <w:sz w:val="21"/>
        </w:rPr>
        <w:t>合同成立与生效</w:t>
        <w:tab/>
      </w:r>
      <w:r>
        <w:rPr>
          <w:sz w:val="21"/>
        </w:rPr>
        <w:t>一、您提出保险申请、我们同意承保，本附加合同成立。</w:t>
      </w:r>
    </w:p>
    <w:p>
      <w:pPr>
        <w:spacing w:line="273" w:lineRule="auto" w:before="37"/>
        <w:ind w:left="3431" w:right="259"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5" w:val="left" w:leader="none"/>
          <w:tab w:pos="986" w:val="left" w:leader="none"/>
          <w:tab w:pos="3032" w:val="left" w:leader="none"/>
        </w:tabs>
        <w:spacing w:line="273" w:lineRule="auto" w:before="1" w:after="0"/>
        <w:ind w:left="3032" w:right="214" w:hanging="2811"/>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50</w:t>
      </w:r>
      <w:r>
        <w:rPr>
          <w:spacing w:val="-55"/>
          <w:sz w:val="21"/>
        </w:rPr>
        <w:t> </w:t>
      </w:r>
      <w:r>
        <w:rPr>
          <w:sz w:val="21"/>
        </w:rPr>
        <w:t>周岁（含</w:t>
      </w:r>
      <w:r>
        <w:rPr>
          <w:spacing w:val="-56"/>
          <w:sz w:val="21"/>
        </w:rPr>
        <w:t> </w:t>
      </w:r>
      <w:r>
        <w:rPr>
          <w:sz w:val="21"/>
        </w:rPr>
        <w:t>50</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85" w:val="left" w:leader="none"/>
          <w:tab w:pos="986" w:val="left" w:leader="none"/>
          <w:tab w:pos="3011" w:val="left" w:leader="none"/>
        </w:tabs>
        <w:spacing w:line="240" w:lineRule="auto" w:before="0" w:after="0"/>
        <w:ind w:left="985" w:right="0" w:hanging="764"/>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31" w:right="271"/>
        <w:jc w:val="both"/>
      </w:pPr>
      <w:r>
        <w:rPr/>
        <w:t>此期间请您仔细审阅本附加合同的各项内容，特别是责任免除条款、合同解除条款以及如实告知等内容。若您认为本附加合同与您的需求不相符， 您可以在此期间提出解除本附加合同，我们将无息退还您所交纳的本附加险合同保险费。本附加合同须与主合同一起申请解除。</w:t>
      </w:r>
    </w:p>
    <w:p>
      <w:pPr>
        <w:spacing w:line="261" w:lineRule="auto" w:before="8"/>
        <w:ind w:left="3431" w:right="249" w:hanging="420"/>
        <w:jc w:val="both"/>
        <w:rPr>
          <w:rFonts w:ascii="黑体" w:eastAsia="黑体" w:hint="eastAsia"/>
          <w:b/>
          <w:i/>
          <w:sz w:val="22"/>
        </w:rPr>
      </w:pPr>
      <w:r>
        <w:rPr>
          <w:sz w:val="21"/>
        </w:rPr>
        <w:t>二、您在犹豫期内提出解除合同时需填写解除合同申请书，并提供保险合同及</w:t>
      </w:r>
      <w:r>
        <w:rPr>
          <w:w w:val="95"/>
          <w:sz w:val="21"/>
        </w:rPr>
        <w:t>您的</w:t>
      </w:r>
      <w:r>
        <w:rPr>
          <w:b/>
          <w:w w:val="95"/>
          <w:sz w:val="21"/>
        </w:rPr>
        <w:t>有效身份证件</w:t>
      </w:r>
      <w:r>
        <w:rPr>
          <w:w w:val="95"/>
          <w:sz w:val="21"/>
        </w:rPr>
        <w:t>。</w:t>
      </w:r>
      <w:r>
        <w:rPr>
          <w:rFonts w:ascii="黑体" w:eastAsia="黑体" w:hint="eastAsia"/>
          <w:b/>
          <w:i/>
          <w:w w:val="95"/>
          <w:sz w:val="22"/>
        </w:rPr>
        <w:t>自我们收到解除合同申请书时起，本附加合同即被解除</w:t>
      </w:r>
      <w:r>
        <w:rPr>
          <w:w w:val="95"/>
          <w:sz w:val="21"/>
        </w:rPr>
        <w:t>，</w:t>
      </w:r>
      <w:r>
        <w:rPr>
          <w:rFonts w:ascii="黑体" w:eastAsia="黑体" w:hint="eastAsia"/>
          <w:b/>
          <w:i/>
          <w:w w:val="95"/>
          <w:sz w:val="22"/>
        </w:rPr>
        <w:t>对于合同解除前发Th的保险事故，我们不承担保险责任。</w:t>
      </w:r>
    </w:p>
    <w:p>
      <w:pPr>
        <w:pStyle w:val="BodyText"/>
        <w:spacing w:before="3"/>
        <w:rPr>
          <w:rFonts w:ascii="黑体"/>
          <w:b/>
          <w:i/>
        </w:rPr>
      </w:pPr>
    </w:p>
    <w:p>
      <w:pPr>
        <w:tabs>
          <w:tab w:pos="985" w:val="left" w:leader="none"/>
        </w:tabs>
        <w:spacing w:line="556" w:lineRule="exact" w:before="0"/>
        <w:ind w:left="221" w:right="0" w:firstLine="0"/>
        <w:jc w:val="left"/>
        <w:rPr>
          <w:b/>
          <w:sz w:val="24"/>
        </w:rPr>
      </w:pPr>
      <w:r>
        <w:rPr/>
        <w:pict>
          <v:group style="position:absolute;margin-left:42.66pt;margin-top:31.162905pt;width:509.95pt;height:1pt;mso-position-horizontal-relative:page;mso-position-vertical-relative:paragraph;z-index:1096;mso-wrap-distance-left:0;mso-wrap-distance-right:0" coordorigin="853,623" coordsize="10199,20">
            <v:line style="position:absolute" from="853,633" to="3662,633" stroked="true" strokeweight=".95999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84" w:val="left" w:leader="none"/>
          <w:tab w:pos="985" w:val="left" w:leader="none"/>
          <w:tab w:pos="3011" w:val="left" w:leader="none"/>
        </w:tabs>
        <w:spacing w:line="240" w:lineRule="auto" w:before="35" w:after="0"/>
        <w:ind w:left="984" w:right="0" w:hanging="763"/>
        <w:jc w:val="left"/>
        <w:rPr>
          <w:sz w:val="21"/>
        </w:rPr>
      </w:pPr>
      <w:r>
        <w:rPr>
          <w:b/>
          <w:sz w:val="21"/>
        </w:rPr>
        <w:t>保险责任</w:t>
        <w:tab/>
      </w:r>
      <w:r>
        <w:rPr>
          <w:sz w:val="21"/>
        </w:rPr>
        <w:t>在本附加合同有效期间内，我们按照以下约定承担保险责任：</w:t>
      </w:r>
    </w:p>
    <w:p>
      <w:pPr>
        <w:pStyle w:val="BodyText"/>
        <w:spacing w:before="12"/>
        <w:rPr>
          <w:sz w:val="15"/>
        </w:rPr>
      </w:pPr>
    </w:p>
    <w:p>
      <w:pPr>
        <w:tabs>
          <w:tab w:pos="3011" w:val="left" w:leader="none"/>
        </w:tabs>
        <w:spacing w:line="223" w:lineRule="auto" w:before="1"/>
        <w:ind w:left="3464" w:right="113" w:hanging="2480"/>
        <w:jc w:val="left"/>
        <w:rPr>
          <w:sz w:val="21"/>
        </w:rPr>
      </w:pPr>
      <w:r>
        <w:rPr>
          <w:rFonts w:ascii="Microsoft JhengHei" w:eastAsia="Microsoft JhengHei" w:hint="eastAsia"/>
          <w:b/>
          <w:position w:val="-2"/>
          <w:sz w:val="24"/>
        </w:rPr>
        <w:t>重大疾病保险金</w:t>
        <w:tab/>
      </w:r>
      <w:r>
        <w:rPr>
          <w:sz w:val="21"/>
        </w:rPr>
        <w:t>一</w:t>
      </w:r>
      <w:r>
        <w:rPr>
          <w:spacing w:val="31"/>
          <w:sz w:val="21"/>
        </w:rPr>
        <w:t>、</w:t>
      </w:r>
      <w:r>
        <w:rPr>
          <w:sz w:val="21"/>
        </w:rPr>
        <w:t>若被保险人于本附加合同生效或最后一次复效之日起</w:t>
      </w:r>
      <w:r>
        <w:rPr>
          <w:spacing w:val="-59"/>
          <w:sz w:val="21"/>
        </w:rPr>
        <w:t> </w:t>
      </w:r>
      <w:r>
        <w:rPr>
          <w:sz w:val="21"/>
        </w:rPr>
        <w:t>90</w:t>
      </w:r>
      <w:r>
        <w:rPr>
          <w:spacing w:val="-59"/>
          <w:sz w:val="21"/>
        </w:rPr>
        <w:t> </w:t>
      </w:r>
      <w:r>
        <w:rPr>
          <w:sz w:val="21"/>
        </w:rPr>
        <w:t>日</w:t>
      </w:r>
      <w:r>
        <w:rPr>
          <w:spacing w:val="-87"/>
          <w:sz w:val="21"/>
        </w:rPr>
        <w:t>内</w:t>
      </w:r>
      <w:r>
        <w:rPr>
          <w:sz w:val="21"/>
        </w:rPr>
        <w:t>（含第</w:t>
      </w:r>
      <w:r>
        <w:rPr>
          <w:spacing w:val="-59"/>
          <w:sz w:val="21"/>
        </w:rPr>
        <w:t> </w:t>
      </w:r>
      <w:r>
        <w:rPr>
          <w:sz w:val="21"/>
        </w:rPr>
        <w:t>90</w:t>
      </w:r>
      <w:r>
        <w:rPr>
          <w:spacing w:val="-59"/>
          <w:sz w:val="21"/>
        </w:rPr>
        <w:t> </w:t>
      </w:r>
      <w:r>
        <w:rPr>
          <w:sz w:val="21"/>
        </w:rPr>
        <w:t>日）</w:t>
      </w:r>
      <w:r>
        <w:rPr>
          <w:w w:val="95"/>
          <w:sz w:val="21"/>
        </w:rPr>
        <w:t>因</w:t>
      </w:r>
      <w:r>
        <w:rPr>
          <w:b/>
          <w:w w:val="95"/>
          <w:sz w:val="21"/>
        </w:rPr>
        <w:t>意外伤害</w:t>
      </w:r>
      <w:r>
        <w:rPr>
          <w:w w:val="95"/>
          <w:sz w:val="21"/>
        </w:rPr>
        <w:t>以外的原因导致</w:t>
      </w:r>
      <w:r>
        <w:rPr>
          <w:b/>
          <w:w w:val="95"/>
          <w:sz w:val="21"/>
        </w:rPr>
        <w:t>初次患本附加合同所列的重大疾病</w:t>
      </w:r>
      <w:r>
        <w:rPr>
          <w:w w:val="95"/>
          <w:sz w:val="21"/>
        </w:rPr>
        <w:t>，我们向您</w:t>
      </w:r>
    </w:p>
    <w:p>
      <w:pPr>
        <w:pStyle w:val="BodyText"/>
        <w:ind w:left="3464"/>
      </w:pPr>
      <w:r>
        <w:rPr/>
        <w:t>无息返还已交保险费，同时本附加合同及主合同终止。</w:t>
      </w:r>
    </w:p>
    <w:p>
      <w:pPr>
        <w:pStyle w:val="BodyText"/>
        <w:spacing w:line="273" w:lineRule="auto"/>
        <w:ind w:left="3464" w:right="216" w:hanging="454"/>
        <w:jc w:val="both"/>
      </w:pPr>
      <w:r>
        <w:rPr>
          <w:spacing w:val="0"/>
        </w:rPr>
        <w:t>二、若被保险人因意外伤害，或于本附加合同生效或最后一次复效之日起 </w:t>
      </w:r>
      <w:r>
        <w:rPr/>
        <w:t>90 </w:t>
      </w:r>
      <w:r>
        <w:rPr>
          <w:spacing w:val="-2"/>
        </w:rPr>
        <w:t>日后因意外伤害以外的原因，导致初次患本附加合同所列 </w:t>
      </w:r>
      <w:r>
        <w:rPr>
          <w:b/>
        </w:rPr>
        <w:t>A</w:t>
      </w:r>
      <w:r>
        <w:rPr>
          <w:b/>
          <w:spacing w:val="-9"/>
        </w:rPr>
        <w:t> 组重大疾病</w:t>
      </w:r>
      <w:r>
        <w:rPr/>
        <w:t>的</w:t>
      </w:r>
      <w:r>
        <w:rPr>
          <w:spacing w:val="-10"/>
        </w:rPr>
        <w:t>一种或多种，且被保险人在所患重大疾病确诊之日未满 </w:t>
      </w:r>
      <w:r>
        <w:rPr/>
        <w:t>18</w:t>
      </w:r>
      <w:r>
        <w:rPr>
          <w:spacing w:val="-16"/>
        </w:rPr>
        <w:t> 周岁的，我们将按以下两项相比较大者给付重大疾病保险金，同时本附加合同及主合同终止：</w:t>
      </w:r>
    </w:p>
    <w:p>
      <w:pPr>
        <w:spacing w:after="0" w:line="273" w:lineRule="auto"/>
        <w:jc w:val="both"/>
        <w:sectPr>
          <w:footerReference w:type="default" r:id="rId7"/>
          <w:pgSz w:w="11910" w:h="16840"/>
          <w:pgMar w:footer="442" w:header="0" w:top="1140" w:bottom="640" w:left="740" w:right="740"/>
          <w:pgNumType w:start="2"/>
        </w:sectPr>
      </w:pPr>
    </w:p>
    <w:p>
      <w:pPr>
        <w:pStyle w:val="BodyText"/>
        <w:spacing w:before="19"/>
        <w:ind w:left="3431"/>
      </w:pPr>
      <w:r>
        <w:rPr/>
        <w:t>（一）重大疾病确诊之日本附加合同的保险金额；</w:t>
      </w:r>
    </w:p>
    <w:p>
      <w:pPr>
        <w:pStyle w:val="BodyText"/>
        <w:ind w:left="3431"/>
      </w:pPr>
      <w:r>
        <w:rPr/>
        <w:t>（二）重大疾病确诊之日的已交保险费（不计利息</w:t>
      </w:r>
      <w:r>
        <w:rPr>
          <w:spacing w:val="-105"/>
        </w:rPr>
        <w:t>）</w:t>
      </w:r>
      <w:r>
        <w:rPr/>
        <w:t>。</w:t>
      </w:r>
    </w:p>
    <w:p>
      <w:pPr>
        <w:pStyle w:val="BodyText"/>
        <w:spacing w:line="273" w:lineRule="auto"/>
        <w:ind w:left="3464" w:right="216" w:hanging="454"/>
        <w:jc w:val="both"/>
      </w:pPr>
      <w:r>
        <w:rPr>
          <w:spacing w:val="0"/>
        </w:rPr>
        <w:t>三、若被保险人因意外伤害，或于本附加合同生效或最后一次复效之日起 </w:t>
      </w:r>
      <w:r>
        <w:rPr/>
        <w:t>90 </w:t>
      </w:r>
      <w:r>
        <w:rPr>
          <w:spacing w:val="-2"/>
        </w:rPr>
        <w:t>日后因意外伤害以外的原因，导致初次患本附加合同所列 </w:t>
      </w:r>
      <w:r>
        <w:rPr>
          <w:b/>
        </w:rPr>
        <w:t>B</w:t>
      </w:r>
      <w:r>
        <w:rPr>
          <w:b/>
          <w:spacing w:val="-9"/>
        </w:rPr>
        <w:t> 组重大疾病</w:t>
      </w:r>
      <w:r>
        <w:rPr/>
        <w:t>的</w:t>
      </w:r>
      <w:r>
        <w:rPr>
          <w:spacing w:val="-10"/>
        </w:rPr>
        <w:t>一种或多种，且被保险人在所患重大疾病确诊之日已满 </w:t>
      </w:r>
      <w:r>
        <w:rPr/>
        <w:t>18</w:t>
      </w:r>
      <w:r>
        <w:rPr>
          <w:spacing w:val="-16"/>
        </w:rPr>
        <w:t> 周岁的，我们将按以下两项相比较大者给付重大疾病保险金，同时本附加合同及主合同终止：</w:t>
      </w:r>
    </w:p>
    <w:p>
      <w:pPr>
        <w:pStyle w:val="BodyText"/>
        <w:spacing w:before="7"/>
        <w:ind w:left="3431"/>
      </w:pPr>
      <w:r>
        <w:rPr/>
        <w:t>（一）重大疾病确诊之日本附加合同的保险金额；</w:t>
      </w:r>
    </w:p>
    <w:p>
      <w:pPr>
        <w:pStyle w:val="BodyText"/>
        <w:spacing w:before="36"/>
        <w:ind w:left="3431"/>
      </w:pPr>
      <w:r>
        <w:rPr/>
        <w:t>（二）重大疾病确诊之日的已交保险费（不计利息</w:t>
      </w:r>
      <w:r>
        <w:rPr>
          <w:spacing w:val="-105"/>
        </w:rPr>
        <w:t>）</w:t>
      </w:r>
      <w:r>
        <w:rPr/>
        <w:t>。</w:t>
      </w:r>
    </w:p>
    <w:p>
      <w:pPr>
        <w:pStyle w:val="BodyText"/>
        <w:spacing w:before="1"/>
        <w:rPr>
          <w:sz w:val="20"/>
        </w:rPr>
      </w:pPr>
    </w:p>
    <w:p>
      <w:pPr>
        <w:pStyle w:val="BodyText"/>
        <w:spacing w:line="273" w:lineRule="auto" w:before="0"/>
        <w:ind w:left="3011" w:right="271"/>
      </w:pPr>
      <w:r>
        <w:rPr/>
        <w:t>本条所述“已交保险费”是指本附加合同及主合同华夏铂金樽享两全保险合同的已交保险费之和。</w:t>
      </w:r>
    </w:p>
    <w:p>
      <w:pPr>
        <w:pStyle w:val="BodyText"/>
        <w:spacing w:before="2"/>
        <w:rPr>
          <w:sz w:val="15"/>
        </w:rPr>
      </w:pPr>
    </w:p>
    <w:p>
      <w:pPr>
        <w:spacing w:after="0"/>
        <w:rPr>
          <w:sz w:val="15"/>
        </w:rPr>
        <w:sectPr>
          <w:pgSz w:w="11910" w:h="16840"/>
          <w:pgMar w:header="0" w:footer="442" w:top="1100" w:bottom="640" w:left="740" w:right="740"/>
        </w:sectPr>
      </w:pPr>
    </w:p>
    <w:p>
      <w:pPr>
        <w:pStyle w:val="Heading2"/>
        <w:spacing w:line="184" w:lineRule="auto"/>
      </w:pPr>
      <w:r>
        <w:rPr/>
        <w:t>恶性肿瘤特别关爱保险金</w:t>
      </w:r>
    </w:p>
    <w:p>
      <w:pPr>
        <w:pStyle w:val="BodyText"/>
        <w:spacing w:before="35"/>
        <w:ind w:left="304"/>
      </w:pPr>
      <w:r>
        <w:rPr/>
        <w:br w:type="column"/>
      </w:r>
      <w:r>
        <w:rPr/>
        <w:t>若被保险人因意外伤害，或于本附加合同生效或最后一次复效之日起 90 日后因</w:t>
      </w:r>
    </w:p>
    <w:p>
      <w:pPr>
        <w:pStyle w:val="BodyText"/>
        <w:spacing w:line="273" w:lineRule="auto" w:before="36"/>
        <w:ind w:left="304" w:right="217"/>
        <w:jc w:val="both"/>
      </w:pPr>
      <w:r>
        <w:rPr/>
        <w:t>意外伤害以外的原因，导致初次患本附加合同所列的</w:t>
      </w:r>
      <w:r>
        <w:rPr>
          <w:b/>
          <w:spacing w:val="-16"/>
        </w:rPr>
        <w:t>第 </w:t>
      </w:r>
      <w:r>
        <w:rPr>
          <w:b/>
        </w:rPr>
        <w:t>1</w:t>
      </w:r>
      <w:r>
        <w:rPr>
          <w:b/>
          <w:spacing w:val="-7"/>
        </w:rPr>
        <w:t> 种重大疾病</w:t>
      </w:r>
      <w:r>
        <w:rPr>
          <w:b/>
        </w:rPr>
        <w:t>（恶性肿瘤</w:t>
      </w:r>
      <w:r>
        <w:rPr>
          <w:b/>
          <w:spacing w:val="-66"/>
        </w:rPr>
        <w:t>）</w:t>
      </w:r>
      <w:r>
        <w:rPr>
          <w:spacing w:val="-11"/>
        </w:rPr>
        <w:t>，我们将在给付重大疾病保险金后，按本附加合同的保险金额给付恶性肿瘤特别关爱保险金，同时本附加合同及主合同终止。</w:t>
      </w:r>
    </w:p>
    <w:p>
      <w:pPr>
        <w:spacing w:after="0" w:line="273" w:lineRule="auto"/>
        <w:jc w:val="both"/>
        <w:sectPr>
          <w:type w:val="continuous"/>
          <w:pgSz w:w="11910" w:h="16840"/>
          <w:pgMar w:top="300" w:bottom="280" w:left="740" w:right="740"/>
          <w:cols w:num="2" w:equalWidth="0">
            <w:col w:w="2667" w:space="40"/>
            <w:col w:w="7723"/>
          </w:cols>
        </w:sectPr>
      </w:pPr>
    </w:p>
    <w:p>
      <w:pPr>
        <w:pStyle w:val="BodyText"/>
        <w:spacing w:before="5"/>
        <w:rPr>
          <w:sz w:val="14"/>
        </w:rPr>
      </w:pPr>
    </w:p>
    <w:p>
      <w:pPr>
        <w:pStyle w:val="Heading3"/>
        <w:numPr>
          <w:ilvl w:val="1"/>
          <w:numId w:val="9"/>
        </w:numPr>
        <w:tabs>
          <w:tab w:pos="985" w:val="left" w:leader="none"/>
          <w:tab w:pos="986" w:val="left" w:leader="none"/>
          <w:tab w:pos="3011" w:val="left" w:leader="none"/>
        </w:tabs>
        <w:spacing w:line="240" w:lineRule="auto" w:before="34" w:after="0"/>
        <w:ind w:left="985" w:right="0" w:hanging="764"/>
        <w:jc w:val="left"/>
        <w:rPr>
          <w:sz w:val="21"/>
        </w:rPr>
      </w:pPr>
      <w:r>
        <w:rPr>
          <w:b/>
          <w:i w:val="0"/>
          <w:sz w:val="21"/>
        </w:rPr>
        <w:t>责任免除</w:t>
        <w:tab/>
      </w:r>
      <w:r>
        <w:rPr>
          <w:w w:val="95"/>
        </w:rPr>
        <w:t>一、被保险人因下列情形之一在本附加合同有效期内初次患本附加合同所列的</w:t>
      </w:r>
    </w:p>
    <w:p>
      <w:pPr>
        <w:spacing w:line="259" w:lineRule="auto" w:before="24"/>
        <w:ind w:left="3431" w:right="1741" w:firstLine="0"/>
        <w:jc w:val="left"/>
        <w:rPr>
          <w:rFonts w:ascii="黑体" w:eastAsia="黑体" w:hint="eastAsia"/>
          <w:i/>
          <w:sz w:val="22"/>
        </w:rPr>
      </w:pPr>
      <w:r>
        <w:rPr>
          <w:rFonts w:ascii="黑体" w:eastAsia="黑体" w:hint="eastAsia"/>
          <w:i/>
          <w:sz w:val="22"/>
        </w:rPr>
        <w:t>重大疾病，我们不承担给付保险金的责任：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431" w:right="3568"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51" w:right="253"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51" w:right="218"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32"/>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61"/>
      </w:pPr>
      <w:r>
        <w:rPr/>
        <w:t>(七)战争、军事冲突、暴乱或武装叛乱；        (八)核爆炸、核辐射或核污染；                </w:t>
      </w:r>
      <w:r>
        <w:rPr>
          <w:w w:val="95"/>
        </w:rPr>
        <w:t>(九)遗传性疾病，先天性畸形、变形或染色体异常。</w:t>
      </w:r>
    </w:p>
    <w:p>
      <w:pPr>
        <w:spacing w:line="259" w:lineRule="auto" w:before="6"/>
        <w:ind w:left="3431" w:right="271" w:hanging="420"/>
        <w:jc w:val="both"/>
        <w:rPr>
          <w:rFonts w:ascii="黑体" w:eastAsia="黑体" w:hint="eastAsia"/>
          <w:i/>
          <w:sz w:val="22"/>
        </w:rPr>
      </w:pPr>
      <w:r>
        <w:rPr>
          <w:rFonts w:ascii="黑体" w:eastAsia="黑体" w:hint="eastAsia"/>
          <w:i/>
          <w:w w:val="95"/>
          <w:sz w:val="22"/>
        </w:rPr>
        <w:t>二、发Th上述第（一）种情形导致被保险人患本附加合同所列的重大疾病，本</w:t>
      </w:r>
      <w:r>
        <w:rPr>
          <w:rFonts w:ascii="黑体" w:eastAsia="黑体" w:hint="eastAsia"/>
          <w:i/>
          <w:spacing w:val="-4"/>
          <w:w w:val="95"/>
          <w:sz w:val="22"/>
        </w:rPr>
        <w:t>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w:t>
      </w:r>
      <w:r>
        <w:rPr>
          <w:rFonts w:ascii="黑体" w:eastAsia="黑体" w:hint="eastAsia"/>
          <w:b/>
          <w:i/>
          <w:spacing w:val="-6"/>
          <w:w w:val="95"/>
          <w:sz w:val="22"/>
        </w:rPr>
        <w:t>现金价值</w:t>
      </w:r>
      <w:r>
        <w:rPr>
          <w:rFonts w:ascii="黑体" w:eastAsia="黑体" w:hint="eastAsia"/>
          <w:i/>
          <w:spacing w:val="-6"/>
          <w:w w:val="95"/>
          <w:sz w:val="22"/>
        </w:rPr>
        <w:t>。</w:t>
      </w:r>
    </w:p>
    <w:p>
      <w:pPr>
        <w:spacing w:line="259" w:lineRule="auto" w:before="6"/>
        <w:ind w:left="3431" w:right="271" w:hanging="420"/>
        <w:jc w:val="both"/>
        <w:rPr>
          <w:rFonts w:ascii="黑体" w:eastAsia="黑体" w:hint="eastAsia"/>
          <w:i/>
          <w:sz w:val="22"/>
        </w:rPr>
      </w:pPr>
      <w:r>
        <w:rPr>
          <w:rFonts w:ascii="黑体" w:eastAsia="黑体" w:hint="eastAsia"/>
          <w:i/>
          <w:w w:val="95"/>
          <w:sz w:val="22"/>
        </w:rPr>
        <w:t>三、发Th上述其他情形导致被保险人患本附加合同所列的重大疾病，本附加合同终止，我们向您退还本附加合同的现金价值。</w:t>
      </w:r>
    </w:p>
    <w:p>
      <w:pPr>
        <w:pStyle w:val="BodyText"/>
        <w:spacing w:before="9" w:after="1"/>
        <w:rPr>
          <w:rFonts w:ascii="黑体"/>
          <w:i/>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1007" w:hRule="atLeast"/>
        </w:trPr>
        <w:tc>
          <w:tcPr>
            <w:tcW w:w="668" w:type="dxa"/>
          </w:tcPr>
          <w:p>
            <w:pPr>
              <w:pStyle w:val="TableParagraph"/>
              <w:spacing w:line="210" w:lineRule="exact"/>
              <w:ind w:left="108"/>
              <w:rPr>
                <w:b/>
                <w:sz w:val="21"/>
              </w:rPr>
            </w:pPr>
            <w:r>
              <w:rPr>
                <w:b/>
                <w:sz w:val="21"/>
              </w:rPr>
              <w:t>2.3</w:t>
            </w:r>
          </w:p>
        </w:tc>
        <w:tc>
          <w:tcPr>
            <w:tcW w:w="1940" w:type="dxa"/>
          </w:tcPr>
          <w:p>
            <w:pPr>
              <w:pStyle w:val="TableParagraph"/>
              <w:spacing w:line="210" w:lineRule="exact"/>
              <w:ind w:left="203"/>
              <w:rPr>
                <w:b/>
                <w:sz w:val="21"/>
              </w:rPr>
            </w:pPr>
            <w:r>
              <w:rPr>
                <w:b/>
                <w:w w:val="95"/>
                <w:sz w:val="21"/>
              </w:rPr>
              <w:t>保险金额</w:t>
            </w:r>
          </w:p>
        </w:tc>
        <w:tc>
          <w:tcPr>
            <w:tcW w:w="7591" w:type="dxa"/>
          </w:tcPr>
          <w:p>
            <w:pPr>
              <w:pStyle w:val="TableParagraph"/>
              <w:spacing w:line="210" w:lineRule="exact"/>
              <w:ind w:left="290"/>
              <w:rPr>
                <w:sz w:val="21"/>
              </w:rPr>
            </w:pPr>
            <w:r>
              <w:rPr>
                <w:sz w:val="21"/>
              </w:rPr>
              <w:t>本附加合同的保险金额由您在投保时与我们约定并在保险单中载明，投保时的</w:t>
            </w:r>
          </w:p>
          <w:p>
            <w:pPr>
              <w:pStyle w:val="TableParagraph"/>
              <w:spacing w:line="273" w:lineRule="auto" w:before="37"/>
              <w:ind w:left="290" w:right="160"/>
              <w:rPr>
                <w:sz w:val="21"/>
              </w:rPr>
            </w:pPr>
            <w:r>
              <w:rPr>
                <w:sz w:val="21"/>
              </w:rPr>
              <w:t>保险金额须符合我们当时的投保规则。若该金额发生变更，则以变更后的金额为保险金额。</w:t>
            </w:r>
          </w:p>
        </w:tc>
      </w:tr>
      <w:tr>
        <w:trPr>
          <w:trHeight w:val="885" w:hRule="atLeast"/>
        </w:trPr>
        <w:tc>
          <w:tcPr>
            <w:tcW w:w="668" w:type="dxa"/>
          </w:tcPr>
          <w:p>
            <w:pPr>
              <w:pStyle w:val="TableParagraph"/>
              <w:spacing w:before="109"/>
              <w:ind w:left="108"/>
              <w:rPr>
                <w:b/>
                <w:sz w:val="21"/>
              </w:rPr>
            </w:pPr>
            <w:r>
              <w:rPr>
                <w:b/>
                <w:sz w:val="21"/>
              </w:rPr>
              <w:t>2.4</w:t>
            </w:r>
          </w:p>
        </w:tc>
        <w:tc>
          <w:tcPr>
            <w:tcW w:w="1940" w:type="dxa"/>
          </w:tcPr>
          <w:p>
            <w:pPr>
              <w:pStyle w:val="TableParagraph"/>
              <w:spacing w:before="109"/>
              <w:ind w:left="203"/>
              <w:rPr>
                <w:b/>
                <w:sz w:val="21"/>
              </w:rPr>
            </w:pPr>
            <w:r>
              <w:rPr>
                <w:b/>
                <w:w w:val="95"/>
                <w:sz w:val="21"/>
              </w:rPr>
              <w:t>保险期间</w:t>
            </w:r>
          </w:p>
        </w:tc>
        <w:tc>
          <w:tcPr>
            <w:tcW w:w="7591" w:type="dxa"/>
          </w:tcPr>
          <w:p>
            <w:pPr>
              <w:pStyle w:val="TableParagraph"/>
              <w:spacing w:line="273" w:lineRule="auto" w:before="109"/>
              <w:ind w:left="290" w:right="160"/>
              <w:rPr>
                <w:sz w:val="21"/>
              </w:rPr>
            </w:pPr>
            <w:r>
              <w:rPr>
                <w:sz w:val="21"/>
              </w:rPr>
              <w:t>本附加合同的保险期间与主合同一致，自本附加合同生效日零时起算。主合同终止的，本附加合同同时终止。</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b/>
                <w:sz w:val="40"/>
              </w:rPr>
            </w:pPr>
            <w:r>
              <w:rPr>
                <w:rFonts w:ascii="Yu Gothic"/>
                <w:b/>
                <w:w w:val="116"/>
                <w:sz w:val="40"/>
              </w:rPr>
              <w:t>O</w:t>
            </w:r>
          </w:p>
        </w:tc>
        <w:tc>
          <w:tcPr>
            <w:tcW w:w="1940" w:type="dxa"/>
            <w:tcBorders>
              <w:bottom w:val="single" w:sz="8" w:space="0" w:color="000000"/>
            </w:tcBorders>
          </w:tcPr>
          <w:p>
            <w:pPr>
              <w:pStyle w:val="TableParagraph"/>
              <w:spacing w:before="206"/>
              <w:ind w:left="204"/>
              <w:rPr>
                <w:b/>
                <w:sz w:val="24"/>
              </w:rPr>
            </w:pPr>
            <w:r>
              <w:rPr>
                <w:b/>
                <w:w w:val="95"/>
                <w:sz w:val="24"/>
              </w:rPr>
              <w:t>保险金的申请</w:t>
            </w:r>
          </w:p>
        </w:tc>
        <w:tc>
          <w:tcPr>
            <w:tcW w:w="7591" w:type="dxa"/>
            <w:tcBorders>
              <w:bottom w:val="single" w:sz="8" w:space="0" w:color="000000"/>
            </w:tcBorders>
          </w:tcPr>
          <w:p>
            <w:pPr>
              <w:pStyle w:val="TableParagraph"/>
              <w:rPr>
                <w:rFonts w:ascii="Times New Roman"/>
                <w:sz w:val="20"/>
              </w:rPr>
            </w:pPr>
          </w:p>
        </w:tc>
      </w:tr>
      <w:tr>
        <w:trPr>
          <w:trHeight w:val="467" w:hRule="atLeast"/>
        </w:trPr>
        <w:tc>
          <w:tcPr>
            <w:tcW w:w="668" w:type="dxa"/>
            <w:tcBorders>
              <w:top w:val="single" w:sz="8" w:space="0" w:color="000000"/>
            </w:tcBorders>
          </w:tcPr>
          <w:p>
            <w:pPr>
              <w:pStyle w:val="TableParagraph"/>
              <w:spacing w:before="9"/>
              <w:rPr>
                <w:rFonts w:ascii="黑体"/>
                <w:i/>
                <w:sz w:val="14"/>
              </w:rPr>
            </w:pPr>
          </w:p>
          <w:p>
            <w:pPr>
              <w:pStyle w:val="TableParagraph"/>
              <w:spacing w:line="255" w:lineRule="exact"/>
              <w:ind w:left="108"/>
              <w:rPr>
                <w:b/>
                <w:sz w:val="21"/>
              </w:rPr>
            </w:pPr>
            <w:r>
              <w:rPr>
                <w:b/>
                <w:sz w:val="21"/>
              </w:rPr>
              <w:t>3.1</w:t>
            </w:r>
          </w:p>
        </w:tc>
        <w:tc>
          <w:tcPr>
            <w:tcW w:w="1940" w:type="dxa"/>
            <w:tcBorders>
              <w:top w:val="single" w:sz="8" w:space="0" w:color="000000"/>
            </w:tcBorders>
          </w:tcPr>
          <w:p>
            <w:pPr>
              <w:pStyle w:val="TableParagraph"/>
              <w:spacing w:before="9"/>
              <w:rPr>
                <w:rFonts w:ascii="黑体"/>
                <w:i/>
                <w:sz w:val="14"/>
              </w:rPr>
            </w:pPr>
          </w:p>
          <w:p>
            <w:pPr>
              <w:pStyle w:val="TableParagraph"/>
              <w:spacing w:line="255" w:lineRule="exact"/>
              <w:ind w:left="204"/>
              <w:rPr>
                <w:b/>
                <w:sz w:val="21"/>
              </w:rPr>
            </w:pPr>
            <w:r>
              <w:rPr>
                <w:b/>
                <w:w w:val="95"/>
                <w:sz w:val="21"/>
              </w:rPr>
              <w:t>受益人</w:t>
            </w:r>
          </w:p>
        </w:tc>
        <w:tc>
          <w:tcPr>
            <w:tcW w:w="7591" w:type="dxa"/>
            <w:tcBorders>
              <w:top w:val="single" w:sz="8" w:space="0" w:color="000000"/>
            </w:tcBorders>
          </w:tcPr>
          <w:p>
            <w:pPr>
              <w:pStyle w:val="TableParagraph"/>
              <w:spacing w:before="9"/>
              <w:rPr>
                <w:rFonts w:ascii="黑体"/>
                <w:i/>
                <w:sz w:val="14"/>
              </w:rPr>
            </w:pPr>
          </w:p>
          <w:p>
            <w:pPr>
              <w:pStyle w:val="TableParagraph"/>
              <w:spacing w:line="255" w:lineRule="exact"/>
              <w:ind w:left="289"/>
              <w:rPr>
                <w:sz w:val="21"/>
              </w:rPr>
            </w:pPr>
            <w:r>
              <w:rPr>
                <w:sz w:val="21"/>
              </w:rPr>
              <w:t>除另有约定外，重大疾病保险金与恶性肿瘤特别关爱保险金的受益人为被保险</w:t>
            </w:r>
          </w:p>
        </w:tc>
      </w:tr>
    </w:tbl>
    <w:p>
      <w:pPr>
        <w:spacing w:after="0" w:line="255" w:lineRule="exact"/>
        <w:rPr>
          <w:sz w:val="21"/>
        </w:rPr>
        <w:sectPr>
          <w:type w:val="continuous"/>
          <w:pgSz w:w="11910" w:h="16840"/>
          <w:pgMar w:top="300" w:bottom="280" w:left="740" w:right="740"/>
        </w:sectPr>
      </w:pPr>
    </w:p>
    <w:p>
      <w:pPr>
        <w:pStyle w:val="BodyText"/>
        <w:spacing w:before="19"/>
        <w:ind w:left="3011"/>
      </w:pPr>
      <w:r>
        <w:rPr/>
        <w:t>人本人。</w:t>
      </w:r>
    </w:p>
    <w:p>
      <w:pPr>
        <w:pStyle w:val="BodyText"/>
        <w:spacing w:before="3"/>
        <w:rPr>
          <w:sz w:val="19"/>
        </w:rPr>
      </w:pPr>
    </w:p>
    <w:p>
      <w:pPr>
        <w:pStyle w:val="ListParagraph"/>
        <w:numPr>
          <w:ilvl w:val="1"/>
          <w:numId w:val="10"/>
        </w:numPr>
        <w:tabs>
          <w:tab w:pos="986" w:val="left" w:leader="none"/>
        </w:tabs>
        <w:spacing w:line="266" w:lineRule="auto" w:before="0" w:after="0"/>
        <w:ind w:left="3011" w:right="218" w:hanging="2790"/>
        <w:jc w:val="both"/>
        <w:rPr>
          <w:sz w:val="21"/>
        </w:rPr>
      </w:pPr>
      <w:r>
        <w:rPr>
          <w:b/>
          <w:spacing w:val="5"/>
          <w:sz w:val="21"/>
        </w:rPr>
        <w:t>保险事故通知     </w:t>
      </w:r>
      <w:r>
        <w:rPr>
          <w:spacing w:val="-9"/>
          <w:sz w:val="21"/>
        </w:rPr>
        <w:t>您、被保险人或受益人应于知道保险事故发生之日起 </w:t>
      </w:r>
      <w:r>
        <w:rPr>
          <w:sz w:val="21"/>
        </w:rPr>
        <w:t>10</w:t>
      </w:r>
      <w:r>
        <w:rPr>
          <w:spacing w:val="-12"/>
          <w:sz w:val="21"/>
        </w:rPr>
        <w:t> 日内通知我们。</w:t>
      </w:r>
      <w:r>
        <w:rPr>
          <w:rFonts w:ascii="黑体" w:eastAsia="黑体" w:hint="eastAsia"/>
          <w:b/>
          <w:i/>
          <w:sz w:val="22"/>
        </w:rPr>
        <w:t>若故意</w:t>
      </w:r>
      <w:r>
        <w:rPr>
          <w:rFonts w:ascii="黑体" w:eastAsia="黑体" w:hint="eastAsia"/>
          <w:b/>
          <w:i/>
          <w:w w:val="95"/>
          <w:sz w:val="22"/>
        </w:rPr>
        <w:t>或因重大过失未及时通知，致使保险事故的性质、原因、损失程度等难以确定的，我们对无法确定的部分，不承担给付保险金的责任</w:t>
      </w:r>
      <w:r>
        <w:rPr>
          <w:w w:val="95"/>
          <w:sz w:val="21"/>
        </w:rPr>
        <w:t>，但我们通过其他途径</w:t>
      </w:r>
      <w:r>
        <w:rPr>
          <w:sz w:val="21"/>
        </w:rPr>
        <w:t>已经及时知道或应当及时知道保险事故发生或虽未及时通知但不影响我们确定保险事故的性质、原因、损失程度的除外。</w:t>
      </w:r>
    </w:p>
    <w:p>
      <w:pPr>
        <w:pStyle w:val="BodyText"/>
        <w:spacing w:before="4"/>
        <w:rPr>
          <w:sz w:val="18"/>
        </w:rPr>
      </w:pPr>
    </w:p>
    <w:p>
      <w:pPr>
        <w:pStyle w:val="ListParagraph"/>
        <w:numPr>
          <w:ilvl w:val="1"/>
          <w:numId w:val="10"/>
        </w:numPr>
        <w:tabs>
          <w:tab w:pos="985" w:val="left" w:leader="none"/>
          <w:tab w:pos="986" w:val="left" w:leader="none"/>
          <w:tab w:pos="3011" w:val="left" w:leader="none"/>
        </w:tabs>
        <w:spacing w:line="240" w:lineRule="auto" w:before="0" w:after="0"/>
        <w:ind w:left="985" w:right="0" w:hanging="764"/>
        <w:jc w:val="left"/>
        <w:rPr>
          <w:sz w:val="21"/>
        </w:rPr>
      </w:pPr>
      <w:r>
        <w:rPr>
          <w:b/>
          <w:sz w:val="21"/>
        </w:rPr>
        <w:t>保险金申请</w:t>
        <w:tab/>
      </w:r>
      <w:r>
        <w:rPr>
          <w:sz w:val="21"/>
        </w:rPr>
        <w:t>一</w:t>
      </w:r>
      <w:r>
        <w:rPr>
          <w:spacing w:val="-27"/>
          <w:sz w:val="21"/>
        </w:rPr>
        <w:t>、</w:t>
      </w:r>
      <w:r>
        <w:rPr>
          <w:sz w:val="21"/>
        </w:rPr>
        <w:t>在本附加合同有效期间内</w:t>
      </w:r>
      <w:r>
        <w:rPr>
          <w:spacing w:val="-27"/>
          <w:sz w:val="21"/>
        </w:rPr>
        <w:t>，</w:t>
      </w:r>
      <w:r>
        <w:rPr>
          <w:sz w:val="21"/>
        </w:rPr>
        <w:t>若发生符合本附加合同约定的保险金给付情形，</w:t>
      </w:r>
    </w:p>
    <w:p>
      <w:pPr>
        <w:pStyle w:val="BodyText"/>
        <w:spacing w:line="273" w:lineRule="auto" w:before="36"/>
        <w:ind w:left="3431" w:right="271"/>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40" w:right="740"/>
        </w:sectPr>
      </w:pPr>
    </w:p>
    <w:p>
      <w:pPr>
        <w:pStyle w:val="Heading2"/>
        <w:spacing w:line="184" w:lineRule="auto"/>
      </w:pPr>
      <w:r>
        <w:rPr/>
        <w:t>重大疾病保险金 </w:t>
      </w:r>
      <w:r>
        <w:rPr>
          <w:spacing w:val="-1"/>
        </w:rPr>
        <w:t>申请、恶性肿瘤特别关爱保险金申 请</w:t>
      </w:r>
    </w:p>
    <w:p>
      <w:pPr>
        <w:pStyle w:val="BodyText"/>
        <w:spacing w:line="273" w:lineRule="auto" w:before="36"/>
        <w:ind w:left="65" w:right="218"/>
      </w:pPr>
      <w:r>
        <w:rPr/>
        <w:br w:type="column"/>
      </w:r>
      <w:r>
        <w:rPr/>
        <w:t>申请重大疾病保险金或恶性肿瘤特别关爱保险金的，申请人须填写保险金给付申请书，并向我们提供下列资料：</w:t>
      </w:r>
    </w:p>
    <w:p>
      <w:pPr>
        <w:pStyle w:val="BodyText"/>
        <w:spacing w:line="273" w:lineRule="auto" w:before="8"/>
        <w:ind w:left="65" w:right="4681"/>
      </w:pPr>
      <w:r>
        <w:rPr/>
        <w:t>(一)保险合同；            (二)申请人的有效身份证件；</w:t>
      </w:r>
    </w:p>
    <w:p>
      <w:pPr>
        <w:pStyle w:val="BodyText"/>
        <w:spacing w:line="273" w:lineRule="auto" w:before="8"/>
        <w:ind w:left="485" w:right="217" w:hanging="420"/>
      </w:pPr>
      <w:r>
        <w:rPr/>
        <w:t>(三)由</w:t>
      </w:r>
      <w:r>
        <w:rPr>
          <w:b/>
        </w:rPr>
        <w:t>医疗机构</w:t>
      </w:r>
      <w:r>
        <w:rPr/>
        <w:t>出具的可证明被保险人患重大疾病的诊断证明和诊断所患重大疾病必需的检查报告；</w:t>
      </w:r>
    </w:p>
    <w:p>
      <w:pPr>
        <w:pStyle w:val="BodyText"/>
        <w:spacing w:before="8"/>
        <w:ind w:left="63"/>
      </w:pPr>
      <w:r>
        <w:rPr/>
        <w:t>(四)所能提供的与确认保险事故的性质、原因、伤害程度等有关的其他资料。</w:t>
      </w:r>
    </w:p>
    <w:p>
      <w:pPr>
        <w:pStyle w:val="BodyText"/>
        <w:spacing w:before="3"/>
        <w:rPr>
          <w:sz w:val="20"/>
        </w:rPr>
      </w:pPr>
    </w:p>
    <w:p>
      <w:pPr>
        <w:pStyle w:val="BodyText"/>
        <w:spacing w:line="273" w:lineRule="auto" w:before="0"/>
        <w:ind w:left="519" w:right="216" w:hanging="454"/>
      </w:pPr>
      <w:r>
        <w:rPr/>
        <w:t>二、保险金作为被保险人遗产时，申请人还须提供可证明合法继承权的相关权利文件。</w:t>
      </w:r>
    </w:p>
    <w:p>
      <w:pPr>
        <w:pStyle w:val="BodyText"/>
        <w:spacing w:before="7"/>
        <w:ind w:left="63"/>
      </w:pPr>
      <w:r>
        <w:rPr/>
        <w:t>三、上述申请资料不完整的，我们将及时一次性通知申请人补充提供有关资料。</w:t>
      </w:r>
    </w:p>
    <w:p>
      <w:pPr>
        <w:spacing w:after="0"/>
        <w:sectPr>
          <w:type w:val="continuous"/>
          <w:pgSz w:w="11910" w:h="16840"/>
          <w:pgMar w:top="300" w:bottom="280" w:left="740" w:right="740"/>
          <w:cols w:num="2" w:equalWidth="0">
            <w:col w:w="2906" w:space="40"/>
            <w:col w:w="7484"/>
          </w:cols>
        </w:sectPr>
      </w:pPr>
    </w:p>
    <w:p>
      <w:pPr>
        <w:pStyle w:val="BodyText"/>
        <w:spacing w:before="0"/>
        <w:rPr>
          <w:sz w:val="18"/>
        </w:rPr>
      </w:pPr>
    </w:p>
    <w:p>
      <w:pPr>
        <w:pStyle w:val="ListParagraph"/>
        <w:numPr>
          <w:ilvl w:val="1"/>
          <w:numId w:val="10"/>
        </w:numPr>
        <w:tabs>
          <w:tab w:pos="985" w:val="left" w:leader="none"/>
          <w:tab w:pos="986" w:val="left" w:leader="none"/>
          <w:tab w:pos="3011" w:val="left" w:leader="none"/>
        </w:tabs>
        <w:spacing w:line="240" w:lineRule="auto" w:before="35" w:after="0"/>
        <w:ind w:left="3011" w:right="0" w:hanging="2790"/>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32"/>
          <w:sz w:val="21"/>
        </w:rPr>
        <w:t> </w:t>
      </w:r>
      <w:r>
        <w:rPr>
          <w:sz w:val="21"/>
        </w:rPr>
        <w:t>5</w:t>
      </w:r>
      <w:r>
        <w:rPr>
          <w:spacing w:val="-32"/>
          <w:sz w:val="21"/>
        </w:rPr>
        <w:t> </w:t>
      </w:r>
      <w:r>
        <w:rPr>
          <w:sz w:val="21"/>
        </w:rPr>
        <w:t>日内作</w:t>
      </w:r>
    </w:p>
    <w:p>
      <w:pPr>
        <w:pStyle w:val="BodyText"/>
        <w:spacing w:before="36"/>
        <w:ind w:left="3416"/>
      </w:pPr>
      <w:r>
        <w:rPr/>
        <w:t>出核定；情形复杂的，在 30 日内作出核定。对属于保险责任的，我们在与</w:t>
      </w:r>
    </w:p>
    <w:p>
      <w:pPr>
        <w:pStyle w:val="BodyText"/>
        <w:spacing w:before="36"/>
        <w:ind w:left="3416"/>
      </w:pPr>
      <w:r>
        <w:rPr/>
        <w:t>受益人达成给付保险金的协议后 10 日内，履行给付保险金义务。</w:t>
      </w:r>
    </w:p>
    <w:p>
      <w:pPr>
        <w:pStyle w:val="BodyText"/>
        <w:spacing w:line="273" w:lineRule="auto" w:before="36"/>
        <w:ind w:left="3416" w:right="217" w:hanging="406"/>
        <w:jc w:val="both"/>
      </w:pPr>
      <w:r>
        <w:rPr/>
        <w:t>二、我们未及时履行前款规定义务的，除支付保险金外，应当赔偿受益人因此受到的损失。</w:t>
      </w:r>
    </w:p>
    <w:p>
      <w:pPr>
        <w:pStyle w:val="BodyText"/>
        <w:spacing w:line="273" w:lineRule="auto" w:before="7"/>
        <w:ind w:left="3416" w:right="218"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16" w:right="216" w:hanging="406"/>
        <w:jc w:val="both"/>
      </w:pPr>
      <w:r>
        <w:rPr>
          <w:spacing w:val="-3"/>
        </w:rPr>
        <w:t>四、我们在收到保险金给付申请书及本附加合同约定的资料之日起 </w:t>
      </w:r>
      <w:r>
        <w:rPr/>
        <w:t>60</w:t>
      </w:r>
      <w:r>
        <w:rPr>
          <w:spacing w:val="-27"/>
        </w:rPr>
        <w:t> 日内，对给付保险金的数额不能确定的，根据已有资料可以确定的数额先予支付； 我们最终确定给付保险金的数额后，再给付相应的差额。</w:t>
      </w:r>
    </w:p>
    <w:p>
      <w:pPr>
        <w:pStyle w:val="BodyText"/>
        <w:spacing w:before="11" w:after="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940"/>
        <w:gridCol w:w="7591"/>
      </w:tblGrid>
      <w:tr>
        <w:trPr>
          <w:trHeight w:val="711" w:hRule="atLeast"/>
        </w:trPr>
        <w:tc>
          <w:tcPr>
            <w:tcW w:w="668" w:type="dxa"/>
          </w:tcPr>
          <w:p>
            <w:pPr>
              <w:pStyle w:val="TableParagraph"/>
              <w:spacing w:line="210" w:lineRule="exact"/>
              <w:ind w:left="107"/>
              <w:rPr>
                <w:b/>
                <w:sz w:val="21"/>
              </w:rPr>
            </w:pPr>
            <w:r>
              <w:rPr>
                <w:b/>
                <w:sz w:val="21"/>
              </w:rPr>
              <w:t>3.5</w:t>
            </w:r>
          </w:p>
        </w:tc>
        <w:tc>
          <w:tcPr>
            <w:tcW w:w="1940" w:type="dxa"/>
          </w:tcPr>
          <w:p>
            <w:pPr>
              <w:pStyle w:val="TableParagraph"/>
              <w:spacing w:line="210" w:lineRule="exact"/>
              <w:ind w:left="203"/>
              <w:rPr>
                <w:b/>
                <w:sz w:val="21"/>
              </w:rPr>
            </w:pPr>
            <w:r>
              <w:rPr>
                <w:b/>
                <w:w w:val="95"/>
                <w:sz w:val="21"/>
              </w:rPr>
              <w:t>诉讼时效</w:t>
            </w:r>
          </w:p>
        </w:tc>
        <w:tc>
          <w:tcPr>
            <w:tcW w:w="7591" w:type="dxa"/>
          </w:tcPr>
          <w:p>
            <w:pPr>
              <w:pStyle w:val="TableParagraph"/>
              <w:spacing w:line="210" w:lineRule="exact"/>
              <w:ind w:left="289"/>
              <w:rPr>
                <w:sz w:val="21"/>
              </w:rPr>
            </w:pPr>
            <w:r>
              <w:rPr>
                <w:sz w:val="21"/>
              </w:rPr>
              <w:t>申请人向我们请求给付保险金的诉讼时效期间为 2 年，自其知道或应当知道保</w:t>
            </w:r>
          </w:p>
          <w:p>
            <w:pPr>
              <w:pStyle w:val="TableParagraph"/>
              <w:spacing w:before="37"/>
              <w:ind w:left="289"/>
              <w:rPr>
                <w:sz w:val="21"/>
              </w:rPr>
            </w:pPr>
            <w:r>
              <w:rPr>
                <w:sz w:val="21"/>
              </w:rPr>
              <w:t>险事故发生之日起计算。</w:t>
            </w:r>
          </w:p>
        </w:tc>
      </w:tr>
      <w:tr>
        <w:trPr>
          <w:trHeight w:val="712" w:hRule="atLeast"/>
        </w:trPr>
        <w:tc>
          <w:tcPr>
            <w:tcW w:w="668" w:type="dxa"/>
            <w:tcBorders>
              <w:bottom w:val="single" w:sz="8" w:space="0" w:color="000000"/>
            </w:tcBorders>
          </w:tcPr>
          <w:p>
            <w:pPr>
              <w:pStyle w:val="TableParagraph"/>
              <w:spacing w:line="646" w:lineRule="exact"/>
              <w:ind w:left="108"/>
              <w:rPr>
                <w:rFonts w:ascii="Yu Gothic" w:hAnsi="Yu Gothic"/>
                <w:b/>
                <w:sz w:val="40"/>
              </w:rPr>
            </w:pPr>
            <w:r>
              <w:rPr>
                <w:rFonts w:ascii="Yu Gothic" w:hAnsi="Yu Gothic"/>
                <w:b/>
                <w:w w:val="214"/>
                <w:sz w:val="40"/>
              </w:rPr>
              <w:t>º</w:t>
            </w:r>
          </w:p>
        </w:tc>
        <w:tc>
          <w:tcPr>
            <w:tcW w:w="1940" w:type="dxa"/>
            <w:tcBorders>
              <w:bottom w:val="single" w:sz="8" w:space="0" w:color="000000"/>
            </w:tcBorders>
          </w:tcPr>
          <w:p>
            <w:pPr>
              <w:pStyle w:val="TableParagraph"/>
              <w:spacing w:before="206"/>
              <w:ind w:left="204"/>
              <w:rPr>
                <w:b/>
                <w:sz w:val="24"/>
              </w:rPr>
            </w:pPr>
            <w:r>
              <w:rPr>
                <w:b/>
                <w:w w:val="95"/>
                <w:sz w:val="24"/>
              </w:rPr>
              <w:t>保险费的交纳</w:t>
            </w:r>
          </w:p>
        </w:tc>
        <w:tc>
          <w:tcPr>
            <w:tcW w:w="7591" w:type="dxa"/>
            <w:tcBorders>
              <w:bottom w:val="single" w:sz="8" w:space="0" w:color="000000"/>
            </w:tcBorders>
          </w:tcPr>
          <w:p>
            <w:pPr>
              <w:pStyle w:val="TableParagraph"/>
              <w:rPr>
                <w:rFonts w:ascii="Times New Roman"/>
                <w:sz w:val="20"/>
              </w:rPr>
            </w:pPr>
          </w:p>
        </w:tc>
      </w:tr>
      <w:tr>
        <w:trPr>
          <w:trHeight w:val="467" w:hRule="atLeast"/>
        </w:trPr>
        <w:tc>
          <w:tcPr>
            <w:tcW w:w="668"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4.1</w:t>
            </w:r>
          </w:p>
        </w:tc>
        <w:tc>
          <w:tcPr>
            <w:tcW w:w="1940" w:type="dxa"/>
            <w:tcBorders>
              <w:top w:val="single" w:sz="8" w:space="0" w:color="000000"/>
            </w:tcBorders>
          </w:tcPr>
          <w:p>
            <w:pPr>
              <w:pStyle w:val="TableParagraph"/>
              <w:spacing w:before="9"/>
              <w:rPr>
                <w:sz w:val="14"/>
              </w:rPr>
            </w:pPr>
          </w:p>
          <w:p>
            <w:pPr>
              <w:pStyle w:val="TableParagraph"/>
              <w:spacing w:line="255" w:lineRule="exact"/>
              <w:ind w:left="204"/>
              <w:rPr>
                <w:b/>
                <w:sz w:val="21"/>
              </w:rPr>
            </w:pPr>
            <w:r>
              <w:rPr>
                <w:b/>
                <w:w w:val="95"/>
                <w:sz w:val="21"/>
              </w:rPr>
              <w:t>保险费的交纳</w:t>
            </w:r>
          </w:p>
        </w:tc>
        <w:tc>
          <w:tcPr>
            <w:tcW w:w="7591" w:type="dxa"/>
            <w:tcBorders>
              <w:top w:val="single" w:sz="8" w:space="0" w:color="000000"/>
            </w:tcBorders>
          </w:tcPr>
          <w:p>
            <w:pPr>
              <w:pStyle w:val="TableParagraph"/>
              <w:spacing w:before="9"/>
              <w:rPr>
                <w:sz w:val="14"/>
              </w:rPr>
            </w:pPr>
          </w:p>
          <w:p>
            <w:pPr>
              <w:pStyle w:val="TableParagraph"/>
              <w:spacing w:line="255" w:lineRule="exact"/>
              <w:ind w:left="323"/>
              <w:rPr>
                <w:sz w:val="21"/>
              </w:rPr>
            </w:pPr>
            <w:r>
              <w:rPr>
                <w:sz w:val="21"/>
              </w:rPr>
              <w:t>一、本附加合同的交费方式和交费期间须与主合同一致，且必须与主合同保险</w:t>
            </w:r>
          </w:p>
        </w:tc>
      </w:tr>
    </w:tbl>
    <w:p>
      <w:pPr>
        <w:pStyle w:val="BodyText"/>
        <w:ind w:left="3463"/>
      </w:pPr>
      <w:r>
        <w:rPr/>
        <w:t>费一同支付。</w:t>
      </w:r>
    </w:p>
    <w:p>
      <w:pPr>
        <w:pStyle w:val="BodyText"/>
        <w:spacing w:line="273" w:lineRule="auto"/>
        <w:ind w:left="3463" w:right="231" w:hanging="419"/>
        <w:jc w:val="both"/>
      </w:pPr>
      <w:r>
        <w:rPr/>
        <w:t>二、分期交付保险费的，在交纳首期保险费后，您应当在每个保险费约定支付日之前交纳当期保险费。</w:t>
      </w:r>
    </w:p>
    <w:p>
      <w:pPr>
        <w:pStyle w:val="BodyText"/>
        <w:spacing w:before="12"/>
        <w:rPr>
          <w:sz w:val="17"/>
        </w:rPr>
      </w:pPr>
    </w:p>
    <w:p>
      <w:pPr>
        <w:pStyle w:val="BodyText"/>
        <w:tabs>
          <w:tab w:pos="985" w:val="left" w:leader="none"/>
          <w:tab w:pos="3044" w:val="left" w:leader="none"/>
        </w:tabs>
        <w:spacing w:before="0"/>
        <w:ind w:left="221"/>
      </w:pPr>
      <w:r>
        <w:rPr>
          <w:b/>
        </w:rPr>
        <w:t>4.2</w:t>
        <w:tab/>
        <w:t>宽限期</w:t>
        <w:tab/>
      </w:r>
      <w:r>
        <w:rPr/>
        <w:t>一、分期支付保险费的，您支付首期保险费后，除本附加合同另有约定外，若</w:t>
      </w:r>
    </w:p>
    <w:p>
      <w:pPr>
        <w:pStyle w:val="BodyText"/>
        <w:spacing w:line="273" w:lineRule="auto"/>
        <w:ind w:left="3464" w:right="133"/>
      </w:pPr>
      <w:r>
        <w:rPr>
          <w:spacing w:val="-3"/>
        </w:rPr>
        <w:t>您到期未支付保险费，自保险费约定支付日的次日零时起 </w:t>
      </w:r>
      <w:r>
        <w:rPr/>
        <w:t>60</w:t>
      </w:r>
      <w:r>
        <w:rPr>
          <w:spacing w:val="-11"/>
        </w:rPr>
        <w:t> 日为宽限期。宽限期内发生的保险事故，我们仍会承担保险责任，但在给付保险金时会</w:t>
      </w:r>
    </w:p>
    <w:p>
      <w:pPr>
        <w:spacing w:after="0" w:line="273" w:lineRule="auto"/>
        <w:sectPr>
          <w:type w:val="continuous"/>
          <w:pgSz w:w="11910" w:h="16840"/>
          <w:pgMar w:top="300" w:bottom="280" w:left="740" w:right="740"/>
        </w:sectPr>
      </w:pPr>
    </w:p>
    <w:p>
      <w:pPr>
        <w:pStyle w:val="BodyText"/>
        <w:spacing w:before="0"/>
        <w:rPr>
          <w:sz w:val="42"/>
        </w:rPr>
      </w:pPr>
    </w:p>
    <w:p>
      <w:pPr>
        <w:pStyle w:val="BodyText"/>
        <w:spacing w:before="6"/>
        <w:rPr>
          <w:sz w:val="40"/>
        </w:rPr>
      </w:pPr>
    </w:p>
    <w:p>
      <w:pPr>
        <w:tabs>
          <w:tab w:pos="985" w:val="left" w:leader="none"/>
        </w:tabs>
        <w:spacing w:before="0"/>
        <w:ind w:left="221" w:right="0" w:firstLine="0"/>
        <w:jc w:val="left"/>
        <w:rPr>
          <w:b/>
          <w:sz w:val="24"/>
        </w:rPr>
      </w:pPr>
      <w:r>
        <w:rPr>
          <w:rFonts w:ascii="Yu Gothic" w:eastAsia="Yu Gothic" w:hint="eastAsia"/>
          <w:b/>
          <w:w w:val="135"/>
          <w:position w:val="-3"/>
          <w:sz w:val="40"/>
        </w:rPr>
        <w:t>6</w:t>
        <w:tab/>
      </w:r>
      <w:r>
        <w:rPr>
          <w:b/>
          <w:w w:val="95"/>
          <w:sz w:val="24"/>
        </w:rPr>
        <w:t>现金价值权益</w:t>
      </w:r>
    </w:p>
    <w:p>
      <w:pPr>
        <w:pStyle w:val="BodyText"/>
        <w:spacing w:before="19"/>
        <w:ind w:left="641"/>
      </w:pPr>
      <w:r>
        <w:rPr/>
        <w:br w:type="column"/>
      </w:r>
      <w:r>
        <w:rPr/>
        <w:t>扣减您欠交的保险费。</w:t>
      </w:r>
    </w:p>
    <w:p>
      <w:pPr>
        <w:pStyle w:val="BodyText"/>
        <w:spacing w:line="273" w:lineRule="auto"/>
        <w:ind w:left="641" w:right="237" w:hanging="420"/>
      </w:pPr>
      <w:r>
        <w:rPr/>
        <w:t>二、若您宽限期结束之后仍未支付保险费，则本附加合同自宽限期满的次日零时起中止。</w:t>
      </w:r>
    </w:p>
    <w:p>
      <w:pPr>
        <w:spacing w:after="0" w:line="273" w:lineRule="auto"/>
        <w:sectPr>
          <w:pgSz w:w="11910" w:h="16840"/>
          <w:pgMar w:header="0" w:footer="442" w:top="1100" w:bottom="640" w:left="740" w:right="740"/>
          <w:cols w:num="2" w:equalWidth="0">
            <w:col w:w="2432" w:space="392"/>
            <w:col w:w="7606"/>
          </w:cols>
        </w:sectPr>
      </w:pPr>
    </w:p>
    <w:p>
      <w:pPr>
        <w:pStyle w:val="BodyText"/>
        <w:spacing w:before="0"/>
        <w:rPr>
          <w:sz w:val="5"/>
        </w:rPr>
      </w:pPr>
    </w:p>
    <w:p>
      <w:pPr>
        <w:pStyle w:val="BodyText"/>
        <w:spacing w:line="20" w:lineRule="exact" w:before="0"/>
        <w:ind w:left="103"/>
        <w:rPr>
          <w:sz w:val="2"/>
        </w:rPr>
      </w:pPr>
      <w:r>
        <w:rPr>
          <w:rFonts w:ascii="Times New Roman"/>
          <w:spacing w:val="6"/>
          <w:sz w:val="2"/>
        </w:rPr>
        <w:t> </w:t>
      </w:r>
      <w:r>
        <w:rPr>
          <w:spacing w:val="6"/>
          <w:sz w:val="2"/>
        </w:rPr>
        <w:pict>
          <v:group style="width:509.95pt;height:1pt;mso-position-horizontal-relative:char;mso-position-vertical-relative:line" coordorigin="0,0" coordsize="10199,20">
            <v:line style="position:absolute" from="0,10" to="2809,10" stroked="true" strokeweight=".96002pt" strokecolor="#000000">
              <v:stroke dashstyle="solid"/>
            </v:line>
            <v:line style="position:absolute" from="2809,10" to="10199,10" stroked="true" strokeweight=".96pt" strokecolor="#000000">
              <v:stroke dashstyle="solid"/>
            </v:line>
          </v:group>
        </w:pict>
      </w:r>
      <w:r>
        <w:rPr>
          <w:spacing w:val="6"/>
          <w:sz w:val="2"/>
        </w:rPr>
      </w:r>
    </w:p>
    <w:p>
      <w:pPr>
        <w:pStyle w:val="BodyText"/>
        <w:spacing w:before="0"/>
        <w:rPr>
          <w:sz w:val="12"/>
        </w:rPr>
      </w:pPr>
    </w:p>
    <w:p>
      <w:pPr>
        <w:tabs>
          <w:tab w:pos="985" w:val="left" w:leader="none"/>
        </w:tabs>
        <w:spacing w:line="273" w:lineRule="auto" w:before="36"/>
        <w:ind w:left="3011" w:right="271" w:hanging="2790"/>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1"/>
        <w:rPr>
          <w:sz w:val="19"/>
        </w:rPr>
      </w:pPr>
    </w:p>
    <w:p>
      <w:pPr>
        <w:pStyle w:val="Heading2"/>
        <w:numPr>
          <w:ilvl w:val="0"/>
          <w:numId w:val="11"/>
        </w:numPr>
        <w:tabs>
          <w:tab w:pos="985" w:val="left" w:leader="none"/>
          <w:tab w:pos="986" w:val="left" w:leader="none"/>
        </w:tabs>
        <w:spacing w:line="557" w:lineRule="exact" w:before="0" w:after="0"/>
        <w:ind w:left="985" w:right="0" w:hanging="764"/>
        <w:jc w:val="left"/>
        <w:rPr>
          <w:rFonts w:ascii="宋体" w:eastAsia="宋体" w:hint="eastAsia"/>
        </w:rPr>
      </w:pPr>
      <w:r>
        <w:rPr/>
        <w:pict>
          <v:group style="position:absolute;margin-left:42.66pt;margin-top:31.193333pt;width:509.95pt;height:1pt;mso-position-horizontal-relative:page;mso-position-vertical-relative:paragraph;z-index:1144;mso-wrap-distance-left:0;mso-wrap-distance-right:0" coordorigin="853,624"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宋体" w:eastAsia="宋体" w:hint="eastAsia"/>
        </w:rPr>
        <w:t>合同中止和复效</w:t>
      </w:r>
    </w:p>
    <w:p>
      <w:pPr>
        <w:pStyle w:val="BodyText"/>
        <w:spacing w:before="1"/>
        <w:rPr>
          <w:b/>
          <w:sz w:val="9"/>
        </w:rPr>
      </w:pPr>
    </w:p>
    <w:p>
      <w:pPr>
        <w:pStyle w:val="ListParagraph"/>
        <w:numPr>
          <w:ilvl w:val="1"/>
          <w:numId w:val="12"/>
        </w:numPr>
        <w:tabs>
          <w:tab w:pos="984" w:val="left" w:leader="none"/>
          <w:tab w:pos="985" w:val="left" w:leader="none"/>
          <w:tab w:pos="3011" w:val="left" w:leader="none"/>
        </w:tabs>
        <w:spacing w:line="259" w:lineRule="auto" w:before="34" w:after="0"/>
        <w:ind w:left="3011" w:right="258" w:hanging="2790"/>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pStyle w:val="BodyText"/>
        <w:spacing w:before="10"/>
        <w:rPr>
          <w:rFonts w:ascii="黑体"/>
          <w:b/>
          <w:i/>
          <w:sz w:val="18"/>
        </w:rPr>
      </w:pPr>
    </w:p>
    <w:p>
      <w:pPr>
        <w:pStyle w:val="ListParagraph"/>
        <w:numPr>
          <w:ilvl w:val="1"/>
          <w:numId w:val="12"/>
        </w:numPr>
        <w:tabs>
          <w:tab w:pos="984" w:val="left" w:leader="none"/>
          <w:tab w:pos="985" w:val="left" w:leader="none"/>
          <w:tab w:pos="3011" w:val="left" w:leader="none"/>
        </w:tabs>
        <w:spacing w:line="240" w:lineRule="auto" w:before="0" w:after="0"/>
        <w:ind w:left="3011" w:right="0" w:hanging="2790"/>
        <w:jc w:val="left"/>
        <w:rPr>
          <w:sz w:val="21"/>
        </w:rPr>
      </w:pPr>
      <w:r>
        <w:rPr>
          <w:b/>
          <w:sz w:val="21"/>
        </w:rPr>
        <w:t>合同复效</w:t>
        <w:tab/>
      </w:r>
      <w:r>
        <w:rPr>
          <w:spacing w:val="-1"/>
          <w:sz w:val="21"/>
        </w:rPr>
        <w:t>一、</w:t>
      </w:r>
      <w:r>
        <w:rPr>
          <w:sz w:val="21"/>
        </w:rPr>
        <w:t>本附加合同中止后2年内</w:t>
      </w:r>
      <w:r>
        <w:rPr>
          <w:spacing w:val="-14"/>
          <w:sz w:val="21"/>
        </w:rPr>
        <w:t>，</w:t>
      </w:r>
      <w:r>
        <w:rPr>
          <w:sz w:val="21"/>
        </w:rPr>
        <w:t>您可以申请恢复合同效</w:t>
      </w:r>
      <w:r>
        <w:rPr>
          <w:spacing w:val="-14"/>
          <w:sz w:val="21"/>
        </w:rPr>
        <w:t>力</w:t>
      </w:r>
      <w:r>
        <w:rPr>
          <w:sz w:val="21"/>
        </w:rPr>
        <w:t>（即复效</w:t>
      </w:r>
      <w:r>
        <w:rPr>
          <w:spacing w:val="-14"/>
          <w:sz w:val="21"/>
        </w:rPr>
        <w:t>）。</w:t>
      </w:r>
      <w:r>
        <w:rPr>
          <w:sz w:val="21"/>
        </w:rPr>
        <w:t>经我们与</w:t>
      </w:r>
    </w:p>
    <w:p>
      <w:pPr>
        <w:pStyle w:val="BodyText"/>
        <w:spacing w:line="273" w:lineRule="auto" w:before="36"/>
        <w:ind w:left="3431" w:right="218"/>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431" w:right="271" w:hanging="420"/>
      </w:pPr>
      <w:r>
        <w:rPr>
          <w:spacing w:val="-4"/>
        </w:rPr>
        <w:t>二、自本附加合同中止之日起满 </w:t>
      </w:r>
      <w:r>
        <w:rPr/>
        <w:t>2</w:t>
      </w:r>
      <w:r>
        <w:rPr>
          <w:spacing w:val="-8"/>
        </w:rPr>
        <w:t> 年您和我们未达成协议的，我们有权解除合同。我们解除合同的，向您退还合同中止时的现金价值。</w:t>
      </w:r>
    </w:p>
    <w:p>
      <w:pPr>
        <w:pStyle w:val="BodyText"/>
        <w:spacing w:before="4"/>
        <w:rPr>
          <w:sz w:val="19"/>
        </w:rPr>
      </w:pPr>
    </w:p>
    <w:p>
      <w:pPr>
        <w:tabs>
          <w:tab w:pos="985" w:val="left" w:leader="none"/>
        </w:tabs>
        <w:spacing w:line="556" w:lineRule="exact" w:before="0"/>
        <w:ind w:left="221" w:right="0" w:firstLine="0"/>
        <w:jc w:val="left"/>
        <w:rPr>
          <w:b/>
          <w:sz w:val="24"/>
        </w:rPr>
      </w:pPr>
      <w:r>
        <w:rPr/>
        <w:pict>
          <v:group style="position:absolute;margin-left:42.66pt;margin-top:31.15456pt;width:509.95pt;height:1pt;mso-position-horizontal-relative:page;mso-position-vertical-relative:paragraph;z-index:1168;mso-wrap-distance-left:0;mso-wrap-distance-right:0" coordorigin="853,623" coordsize="10199,20">
            <v:line style="position:absolute" from="853,633" to="3662,633" stroked="true" strokeweight=".96002pt" strokecolor="#000000">
              <v:stroke dashstyle="solid"/>
            </v:line>
            <v:line style="position:absolute" from="3662,633" to="11052,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type w:val="continuous"/>
          <w:pgSz w:w="11910" w:h="16840"/>
          <w:pgMar w:top="300" w:bottom="280" w:left="740" w:right="740"/>
        </w:sectPr>
      </w:pPr>
    </w:p>
    <w:p>
      <w:pPr>
        <w:pStyle w:val="Heading4"/>
        <w:numPr>
          <w:ilvl w:val="1"/>
          <w:numId w:val="13"/>
        </w:numPr>
        <w:tabs>
          <w:tab w:pos="985" w:val="left" w:leader="none"/>
          <w:tab w:pos="986" w:val="left" w:leader="none"/>
        </w:tabs>
        <w:spacing w:line="273" w:lineRule="auto" w:before="35" w:after="0"/>
        <w:ind w:left="985" w:right="0" w:hanging="764"/>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04" w:right="274" w:hanging="420"/>
      </w:pPr>
      <w:r>
        <w:rPr/>
        <w:br w:type="column"/>
      </w:r>
      <w:r>
        <w:rPr/>
        <w:t>一、若您在犹豫期后申请解除本附加合同，请填写解除合同申请书并向我们提供下列资料：</w:t>
      </w:r>
    </w:p>
    <w:p>
      <w:pPr>
        <w:pStyle w:val="BodyText"/>
        <w:spacing w:before="7"/>
        <w:ind w:left="507"/>
      </w:pPr>
      <w:r>
        <w:rPr/>
        <w:t>（一）保险合同；</w:t>
      </w:r>
    </w:p>
    <w:p>
      <w:pPr>
        <w:pStyle w:val="BodyText"/>
        <w:ind w:left="507"/>
      </w:pPr>
      <w:r>
        <w:rPr/>
        <w:t>（二）您的有效身份证件。</w:t>
      </w:r>
    </w:p>
    <w:p>
      <w:pPr>
        <w:pStyle w:val="BodyText"/>
        <w:spacing w:line="273" w:lineRule="auto"/>
        <w:ind w:left="529" w:right="249" w:hanging="420"/>
      </w:pPr>
      <w:r>
        <w:rPr/>
        <w:t>二、自我们收到解除合同申请书时起，本附加合同终止。我们自收到解除合同申请书之日起 30 日内退还本附加合同的现金价值。</w:t>
      </w:r>
    </w:p>
    <w:p>
      <w:pPr>
        <w:pStyle w:val="BodyText"/>
        <w:spacing w:line="273" w:lineRule="auto" w:before="7"/>
        <w:ind w:left="87" w:right="3211"/>
      </w:pPr>
      <w:r>
        <w:rPr/>
        <w:t>三、您在犹豫期后解除合同会遭受一定损失。四、本附加合同须与主合同同时解除。</w:t>
      </w:r>
    </w:p>
    <w:p>
      <w:pPr>
        <w:spacing w:after="0" w:line="273" w:lineRule="auto"/>
        <w:sectPr>
          <w:type w:val="continuous"/>
          <w:pgSz w:w="11910" w:h="16840"/>
          <w:pgMar w:top="300" w:bottom="280" w:left="740" w:right="740"/>
          <w:cols w:num="2" w:equalWidth="0">
            <w:col w:w="2884" w:space="40"/>
            <w:col w:w="7506"/>
          </w:cols>
        </w:sectPr>
      </w:pPr>
    </w:p>
    <w:p>
      <w:pPr>
        <w:pStyle w:val="BodyText"/>
        <w:spacing w:before="3"/>
        <w:rPr>
          <w:sz w:val="15"/>
        </w:rPr>
      </w:pPr>
    </w:p>
    <w:p>
      <w:pPr>
        <w:pStyle w:val="ListParagraph"/>
        <w:numPr>
          <w:ilvl w:val="1"/>
          <w:numId w:val="13"/>
        </w:numPr>
        <w:tabs>
          <w:tab w:pos="984" w:val="left" w:leader="none"/>
          <w:tab w:pos="985" w:val="left" w:leader="none"/>
          <w:tab w:pos="3011" w:val="left" w:leader="none"/>
        </w:tabs>
        <w:spacing w:line="240" w:lineRule="auto" w:before="36" w:after="0"/>
        <w:ind w:left="984" w:right="0" w:hanging="763"/>
        <w:jc w:val="left"/>
        <w:rPr>
          <w:sz w:val="21"/>
        </w:rPr>
      </w:pPr>
      <w:r>
        <w:rPr>
          <w:b/>
          <w:sz w:val="21"/>
        </w:rPr>
        <w:t>合同变更</w:t>
        <w:tab/>
      </w:r>
      <w:r>
        <w:rPr>
          <w:sz w:val="21"/>
        </w:rPr>
        <w:t>一、本附加合同生效后，如您需变更本附加合同的内容，应当向我们提出变更</w:t>
      </w:r>
    </w:p>
    <w:p>
      <w:pPr>
        <w:pStyle w:val="BodyText"/>
        <w:spacing w:line="273" w:lineRule="auto"/>
        <w:ind w:left="3431" w:right="271"/>
      </w:pPr>
      <w:r>
        <w:rPr/>
        <w:t>合同的申请，在您与我们达成一致后，可以对合同约定事项进行变更，变更可以用在保险合同上批注、附贴批单的方式进行。</w:t>
      </w:r>
    </w:p>
    <w:p>
      <w:pPr>
        <w:pStyle w:val="BodyText"/>
        <w:spacing w:line="273" w:lineRule="auto" w:before="7"/>
        <w:ind w:left="3431" w:right="271" w:hanging="420"/>
      </w:pPr>
      <w:r>
        <w:rPr/>
        <w:t>二、若被保险人患重大疾病，则我们不接受本附加合同任何内容的变更申请， 但联系方式的变更除外。</w:t>
      </w:r>
    </w:p>
    <w:p>
      <w:pPr>
        <w:pStyle w:val="BodyText"/>
        <w:spacing w:before="10" w:after="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8"/>
        <w:gridCol w:w="1849"/>
        <w:gridCol w:w="7682"/>
      </w:tblGrid>
      <w:tr>
        <w:trPr>
          <w:trHeight w:val="260" w:hRule="atLeast"/>
        </w:trPr>
        <w:tc>
          <w:tcPr>
            <w:tcW w:w="668" w:type="dxa"/>
          </w:tcPr>
          <w:p>
            <w:pPr>
              <w:pStyle w:val="TableParagraph"/>
              <w:spacing w:line="210" w:lineRule="exact"/>
              <w:ind w:left="108"/>
              <w:rPr>
                <w:b/>
                <w:sz w:val="21"/>
              </w:rPr>
            </w:pPr>
            <w:r>
              <w:rPr>
                <w:b/>
                <w:sz w:val="21"/>
              </w:rPr>
              <w:t>7.3</w:t>
            </w:r>
          </w:p>
        </w:tc>
        <w:tc>
          <w:tcPr>
            <w:tcW w:w="1849" w:type="dxa"/>
          </w:tcPr>
          <w:p>
            <w:pPr>
              <w:pStyle w:val="TableParagraph"/>
              <w:spacing w:line="210" w:lineRule="exact"/>
              <w:ind w:left="204"/>
              <w:rPr>
                <w:b/>
                <w:sz w:val="21"/>
              </w:rPr>
            </w:pPr>
            <w:r>
              <w:rPr>
                <w:b/>
                <w:w w:val="95"/>
                <w:sz w:val="21"/>
              </w:rPr>
              <w:t>联系方式变更</w:t>
            </w:r>
          </w:p>
        </w:tc>
        <w:tc>
          <w:tcPr>
            <w:tcW w:w="7682" w:type="dxa"/>
          </w:tcPr>
          <w:p>
            <w:pPr>
              <w:pStyle w:val="TableParagraph"/>
              <w:spacing w:line="210" w:lineRule="exact"/>
              <w:ind w:left="380"/>
              <w:rPr>
                <w:sz w:val="21"/>
              </w:rPr>
            </w:pPr>
            <w:r>
              <w:rPr>
                <w:sz w:val="21"/>
              </w:rPr>
              <w:t>为保障您的合法权益，您的住所、通讯地址或电话等联系方式变更时，请及时</w:t>
            </w:r>
          </w:p>
        </w:tc>
      </w:tr>
      <w:tr>
        <w:trPr>
          <w:trHeight w:val="311" w:hRule="atLeast"/>
        </w:trPr>
        <w:tc>
          <w:tcPr>
            <w:tcW w:w="668" w:type="dxa"/>
          </w:tcPr>
          <w:p>
            <w:pPr>
              <w:pStyle w:val="TableParagraph"/>
              <w:rPr>
                <w:rFonts w:ascii="Times New Roman"/>
                <w:sz w:val="20"/>
              </w:rPr>
            </w:pPr>
          </w:p>
        </w:tc>
        <w:tc>
          <w:tcPr>
            <w:tcW w:w="1849" w:type="dxa"/>
          </w:tcPr>
          <w:p>
            <w:pPr>
              <w:pStyle w:val="TableParagraph"/>
              <w:rPr>
                <w:rFonts w:ascii="Times New Roman"/>
                <w:sz w:val="20"/>
              </w:rPr>
            </w:pPr>
          </w:p>
        </w:tc>
        <w:tc>
          <w:tcPr>
            <w:tcW w:w="7682" w:type="dxa"/>
          </w:tcPr>
          <w:p>
            <w:pPr>
              <w:pStyle w:val="TableParagraph"/>
              <w:spacing w:line="261" w:lineRule="exact"/>
              <w:ind w:left="380"/>
              <w:rPr>
                <w:sz w:val="21"/>
              </w:rPr>
            </w:pPr>
            <w:r>
              <w:rPr>
                <w:sz w:val="21"/>
              </w:rPr>
              <w:t>以书面形式或双方认可的其他形式通知我们。若您未以书面形式或双方认可的</w:t>
            </w:r>
          </w:p>
        </w:tc>
      </w:tr>
      <w:tr>
        <w:trPr>
          <w:trHeight w:val="311" w:hRule="atLeast"/>
        </w:trPr>
        <w:tc>
          <w:tcPr>
            <w:tcW w:w="668" w:type="dxa"/>
          </w:tcPr>
          <w:p>
            <w:pPr>
              <w:pStyle w:val="TableParagraph"/>
              <w:rPr>
                <w:rFonts w:ascii="Times New Roman"/>
                <w:sz w:val="20"/>
              </w:rPr>
            </w:pPr>
          </w:p>
        </w:tc>
        <w:tc>
          <w:tcPr>
            <w:tcW w:w="1849" w:type="dxa"/>
          </w:tcPr>
          <w:p>
            <w:pPr>
              <w:pStyle w:val="TableParagraph"/>
              <w:rPr>
                <w:rFonts w:ascii="Times New Roman"/>
                <w:sz w:val="20"/>
              </w:rPr>
            </w:pPr>
          </w:p>
        </w:tc>
        <w:tc>
          <w:tcPr>
            <w:tcW w:w="7682" w:type="dxa"/>
          </w:tcPr>
          <w:p>
            <w:pPr>
              <w:pStyle w:val="TableParagraph"/>
              <w:spacing w:line="261" w:lineRule="exact"/>
              <w:ind w:left="380"/>
              <w:rPr>
                <w:sz w:val="21"/>
              </w:rPr>
            </w:pPr>
            <w:r>
              <w:rPr>
                <w:sz w:val="21"/>
              </w:rPr>
              <w:t>其他形式通知我们，我们按本附加合同载明的最后住所或通讯地址发送的有关</w:t>
            </w:r>
          </w:p>
        </w:tc>
      </w:tr>
      <w:tr>
        <w:trPr>
          <w:trHeight w:val="1163" w:hRule="atLeast"/>
        </w:trPr>
        <w:tc>
          <w:tcPr>
            <w:tcW w:w="668" w:type="dxa"/>
            <w:tcBorders>
              <w:bottom w:val="single" w:sz="8" w:space="0" w:color="000000"/>
            </w:tcBorders>
          </w:tcPr>
          <w:p>
            <w:pPr>
              <w:pStyle w:val="TableParagraph"/>
              <w:spacing w:before="4"/>
              <w:rPr>
                <w:sz w:val="32"/>
              </w:rPr>
            </w:pPr>
          </w:p>
          <w:p>
            <w:pPr>
              <w:pStyle w:val="TableParagraph"/>
              <w:spacing w:before="1"/>
              <w:ind w:left="108"/>
              <w:rPr>
                <w:rFonts w:ascii="Yu Gothic" w:hAnsi="Yu Gothic"/>
                <w:b/>
                <w:sz w:val="40"/>
              </w:rPr>
            </w:pPr>
            <w:r>
              <w:rPr>
                <w:rFonts w:ascii="Yu Gothic" w:hAnsi="Yu Gothic"/>
                <w:b/>
                <w:w w:val="151"/>
                <w:sz w:val="40"/>
              </w:rPr>
              <w:t>®</w:t>
            </w:r>
          </w:p>
        </w:tc>
        <w:tc>
          <w:tcPr>
            <w:tcW w:w="1849" w:type="dxa"/>
            <w:tcBorders>
              <w:bottom w:val="single" w:sz="8" w:space="0" w:color="000000"/>
            </w:tcBorders>
          </w:tcPr>
          <w:p>
            <w:pPr>
              <w:pStyle w:val="TableParagraph"/>
              <w:rPr>
                <w:sz w:val="24"/>
              </w:rPr>
            </w:pPr>
          </w:p>
          <w:p>
            <w:pPr>
              <w:pStyle w:val="TableParagraph"/>
              <w:spacing w:before="2"/>
              <w:rPr>
                <w:sz w:val="26"/>
              </w:rPr>
            </w:pPr>
          </w:p>
          <w:p>
            <w:pPr>
              <w:pStyle w:val="TableParagraph"/>
              <w:ind w:left="204"/>
              <w:rPr>
                <w:b/>
                <w:sz w:val="24"/>
              </w:rPr>
            </w:pPr>
            <w:r>
              <w:rPr>
                <w:b/>
                <w:sz w:val="24"/>
              </w:rPr>
              <w:t>释义</w:t>
            </w:r>
          </w:p>
        </w:tc>
        <w:tc>
          <w:tcPr>
            <w:tcW w:w="7682" w:type="dxa"/>
            <w:tcBorders>
              <w:bottom w:val="single" w:sz="8" w:space="0" w:color="000000"/>
            </w:tcBorders>
          </w:tcPr>
          <w:p>
            <w:pPr>
              <w:pStyle w:val="TableParagraph"/>
              <w:spacing w:line="261" w:lineRule="exact"/>
              <w:ind w:left="380"/>
              <w:rPr>
                <w:sz w:val="21"/>
              </w:rPr>
            </w:pPr>
            <w:r>
              <w:rPr>
                <w:sz w:val="21"/>
              </w:rPr>
              <w:t>通知，均视为已送达给您。</w:t>
            </w:r>
          </w:p>
        </w:tc>
      </w:tr>
      <w:tr>
        <w:trPr>
          <w:trHeight w:val="467" w:hRule="atLeast"/>
        </w:trPr>
        <w:tc>
          <w:tcPr>
            <w:tcW w:w="668"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8.1</w:t>
            </w:r>
          </w:p>
        </w:tc>
        <w:tc>
          <w:tcPr>
            <w:tcW w:w="1849" w:type="dxa"/>
            <w:tcBorders>
              <w:top w:val="single" w:sz="8" w:space="0" w:color="000000"/>
            </w:tcBorders>
          </w:tcPr>
          <w:p>
            <w:pPr>
              <w:pStyle w:val="TableParagraph"/>
              <w:spacing w:before="9"/>
              <w:rPr>
                <w:sz w:val="14"/>
              </w:rPr>
            </w:pPr>
          </w:p>
          <w:p>
            <w:pPr>
              <w:pStyle w:val="TableParagraph"/>
              <w:spacing w:line="255" w:lineRule="exact"/>
              <w:ind w:left="204"/>
              <w:rPr>
                <w:b/>
                <w:sz w:val="21"/>
              </w:rPr>
            </w:pPr>
            <w:r>
              <w:rPr>
                <w:b/>
                <w:sz w:val="21"/>
              </w:rPr>
              <w:t>保单年度</w:t>
            </w:r>
          </w:p>
        </w:tc>
        <w:tc>
          <w:tcPr>
            <w:tcW w:w="7682" w:type="dxa"/>
            <w:tcBorders>
              <w:top w:val="single" w:sz="8" w:space="0" w:color="000000"/>
            </w:tcBorders>
          </w:tcPr>
          <w:p>
            <w:pPr>
              <w:pStyle w:val="TableParagraph"/>
              <w:spacing w:before="9"/>
              <w:rPr>
                <w:sz w:val="14"/>
              </w:rPr>
            </w:pPr>
          </w:p>
          <w:p>
            <w:pPr>
              <w:pStyle w:val="TableParagraph"/>
              <w:spacing w:line="255" w:lineRule="exact"/>
              <w:ind w:left="380"/>
              <w:rPr>
                <w:sz w:val="21"/>
              </w:rPr>
            </w:pPr>
            <w:r>
              <w:rPr>
                <w:sz w:val="21"/>
              </w:rPr>
              <w:t>从本附加合同生效日或保单周年日零时起至下一年度的保单周年日零时止为一</w:t>
            </w:r>
          </w:p>
        </w:tc>
      </w:tr>
    </w:tbl>
    <w:p>
      <w:pPr>
        <w:spacing w:after="0" w:line="255" w:lineRule="exact"/>
        <w:rPr>
          <w:sz w:val="21"/>
        </w:rPr>
        <w:sectPr>
          <w:type w:val="continuous"/>
          <w:pgSz w:w="11910" w:h="16840"/>
          <w:pgMar w:top="300" w:bottom="280" w:left="740" w:right="740"/>
        </w:sectPr>
      </w:pPr>
    </w:p>
    <w:p>
      <w:pPr>
        <w:pStyle w:val="BodyText"/>
        <w:spacing w:before="19"/>
        <w:ind w:left="2951"/>
      </w:pPr>
      <w:r>
        <w:rPr/>
        <w:t>个保单年度。</w:t>
      </w:r>
    </w:p>
    <w:p>
      <w:pPr>
        <w:pStyle w:val="BodyText"/>
        <w:spacing w:before="2"/>
        <w:rPr>
          <w:sz w:val="20"/>
        </w:rPr>
      </w:pPr>
    </w:p>
    <w:p>
      <w:pPr>
        <w:pStyle w:val="ListParagraph"/>
        <w:numPr>
          <w:ilvl w:val="1"/>
          <w:numId w:val="14"/>
        </w:numPr>
        <w:tabs>
          <w:tab w:pos="925" w:val="left" w:leader="none"/>
          <w:tab w:pos="926" w:val="left" w:leader="none"/>
          <w:tab w:pos="2951" w:val="left" w:leader="none"/>
        </w:tabs>
        <w:spacing w:line="273" w:lineRule="auto" w:before="0" w:after="0"/>
        <w:ind w:left="2951" w:right="172" w:hanging="2790"/>
        <w:jc w:val="left"/>
        <w:rPr>
          <w:sz w:val="21"/>
        </w:rPr>
      </w:pPr>
      <w:r>
        <w:rPr>
          <w:b/>
          <w:sz w:val="21"/>
        </w:rPr>
        <w:t>保单周年日</w:t>
        <w:tab/>
      </w:r>
      <w:r>
        <w:rPr>
          <w:sz w:val="21"/>
        </w:rPr>
        <w:t>指本附加合同生效日在合同生效后每年的对应日</w:t>
      </w:r>
      <w:r>
        <w:rPr>
          <w:spacing w:val="-52"/>
          <w:sz w:val="21"/>
        </w:rPr>
        <w:t>，</w:t>
      </w:r>
      <w:r>
        <w:rPr>
          <w:sz w:val="21"/>
        </w:rPr>
        <w:t>不含本附加合同生效日当日。若当月没有对应的同一日，则以该月最后一日为对应日。</w:t>
      </w:r>
    </w:p>
    <w:p>
      <w:pPr>
        <w:pStyle w:val="BodyText"/>
        <w:spacing w:before="11"/>
        <w:rPr>
          <w:sz w:val="17"/>
        </w:rPr>
      </w:pPr>
    </w:p>
    <w:p>
      <w:pPr>
        <w:pStyle w:val="ListParagraph"/>
        <w:numPr>
          <w:ilvl w:val="1"/>
          <w:numId w:val="14"/>
        </w:numPr>
        <w:tabs>
          <w:tab w:pos="925" w:val="left" w:leader="none"/>
          <w:tab w:pos="926" w:val="left" w:leader="none"/>
          <w:tab w:pos="2951" w:val="left" w:leader="none"/>
        </w:tabs>
        <w:spacing w:line="273" w:lineRule="auto" w:before="1" w:after="0"/>
        <w:ind w:left="2951" w:right="331" w:hanging="2790"/>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12"/>
        <w:rPr>
          <w:sz w:val="17"/>
        </w:rPr>
      </w:pPr>
    </w:p>
    <w:p>
      <w:pPr>
        <w:pStyle w:val="ListParagraph"/>
        <w:numPr>
          <w:ilvl w:val="1"/>
          <w:numId w:val="14"/>
        </w:numPr>
        <w:tabs>
          <w:tab w:pos="925" w:val="left" w:leader="none"/>
          <w:tab w:pos="927" w:val="left" w:leader="none"/>
          <w:tab w:pos="2951" w:val="left" w:leader="none"/>
        </w:tabs>
        <w:spacing w:line="273" w:lineRule="auto" w:before="0" w:after="0"/>
        <w:ind w:left="2951" w:right="172" w:hanging="2790"/>
        <w:jc w:val="left"/>
        <w:rPr>
          <w:sz w:val="21"/>
        </w:rPr>
      </w:pPr>
      <w:r>
        <w:rPr>
          <w:b/>
          <w:sz w:val="21"/>
        </w:rPr>
        <w:t>周岁</w:t>
        <w:tab/>
      </w:r>
      <w:r>
        <w:rPr>
          <w:sz w:val="21"/>
        </w:rPr>
        <w:t>指按法定身份证明文件中记载的出生日期计算的年龄</w:t>
      </w:r>
      <w:r>
        <w:rPr>
          <w:spacing w:val="-52"/>
          <w:sz w:val="21"/>
        </w:rPr>
        <w:t>，</w:t>
      </w:r>
      <w:r>
        <w:rPr>
          <w:sz w:val="21"/>
        </w:rPr>
        <w:t>自出生之日起为零周岁，每经过一年增加一岁，不足一年的不计。</w:t>
      </w:r>
    </w:p>
    <w:p>
      <w:pPr>
        <w:pStyle w:val="BodyText"/>
        <w:spacing w:before="0"/>
        <w:rPr>
          <w:sz w:val="18"/>
        </w:rPr>
      </w:pPr>
    </w:p>
    <w:p>
      <w:pPr>
        <w:pStyle w:val="ListParagraph"/>
        <w:numPr>
          <w:ilvl w:val="1"/>
          <w:numId w:val="14"/>
        </w:numPr>
        <w:tabs>
          <w:tab w:pos="925" w:val="left" w:leader="none"/>
          <w:tab w:pos="926" w:val="left" w:leader="none"/>
          <w:tab w:pos="2951" w:val="left" w:leader="none"/>
        </w:tabs>
        <w:spacing w:line="273" w:lineRule="auto" w:before="0" w:after="0"/>
        <w:ind w:left="2951" w:right="331" w:hanging="2790"/>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9"/>
        <w:rPr>
          <w:sz w:val="17"/>
        </w:rPr>
      </w:pPr>
    </w:p>
    <w:p>
      <w:pPr>
        <w:pStyle w:val="ListParagraph"/>
        <w:numPr>
          <w:ilvl w:val="1"/>
          <w:numId w:val="14"/>
        </w:numPr>
        <w:tabs>
          <w:tab w:pos="925" w:val="left" w:leader="none"/>
          <w:tab w:pos="926" w:val="left" w:leader="none"/>
          <w:tab w:pos="2951" w:val="left" w:leader="none"/>
        </w:tabs>
        <w:spacing w:line="273" w:lineRule="auto" w:before="0" w:after="0"/>
        <w:ind w:left="2951" w:right="331" w:hanging="2790"/>
        <w:jc w:val="left"/>
        <w:rPr>
          <w:sz w:val="21"/>
        </w:rPr>
      </w:pPr>
      <w:r>
        <w:rPr>
          <w:b/>
          <w:sz w:val="21"/>
        </w:rPr>
        <w:t>意外伤害</w:t>
        <w:tab/>
      </w:r>
      <w:r>
        <w:rPr>
          <w:sz w:val="21"/>
        </w:rPr>
        <w:t>指遭受外来的、突发的、非本意的、非疾病的客观事件直接致使身体受到的伤害。</w:t>
      </w:r>
    </w:p>
    <w:p>
      <w:pPr>
        <w:pStyle w:val="BodyText"/>
        <w:spacing w:before="8"/>
        <w:rPr>
          <w:sz w:val="13"/>
        </w:rPr>
      </w:pPr>
    </w:p>
    <w:p>
      <w:pPr>
        <w:spacing w:after="0"/>
        <w:rPr>
          <w:sz w:val="13"/>
        </w:rPr>
        <w:sectPr>
          <w:pgSz w:w="11910" w:h="16840"/>
          <w:pgMar w:header="0" w:footer="442" w:top="1100" w:bottom="640" w:left="800" w:right="680"/>
        </w:sectPr>
      </w:pPr>
    </w:p>
    <w:p>
      <w:pPr>
        <w:pStyle w:val="Heading4"/>
        <w:numPr>
          <w:ilvl w:val="1"/>
          <w:numId w:val="14"/>
        </w:numPr>
        <w:tabs>
          <w:tab w:pos="925" w:val="left" w:leader="none"/>
          <w:tab w:pos="926" w:val="left" w:leader="none"/>
        </w:tabs>
        <w:spacing w:line="240" w:lineRule="auto" w:before="56" w:after="0"/>
        <w:ind w:left="925" w:right="0" w:hanging="764"/>
        <w:jc w:val="left"/>
        <w:rPr>
          <w:rFonts w:ascii="宋体" w:eastAsia="宋体" w:hint="eastAsia"/>
        </w:rPr>
      </w:pPr>
      <w:r>
        <w:rPr>
          <w:rFonts w:ascii="宋体" w:eastAsia="宋体" w:hint="eastAsia"/>
          <w:w w:val="95"/>
        </w:rPr>
        <w:t>初次患本附加合同</w:t>
      </w:r>
    </w:p>
    <w:p>
      <w:pPr>
        <w:spacing w:before="37"/>
        <w:ind w:left="925" w:right="0" w:firstLine="0"/>
        <w:jc w:val="left"/>
        <w:rPr>
          <w:b/>
          <w:sz w:val="21"/>
        </w:rPr>
      </w:pPr>
      <w:r>
        <w:rPr>
          <w:b/>
          <w:w w:val="95"/>
          <w:sz w:val="21"/>
        </w:rPr>
        <w:t>所列的重大疾病</w:t>
      </w:r>
    </w:p>
    <w:p>
      <w:pPr>
        <w:pStyle w:val="BodyText"/>
        <w:spacing w:line="274" w:lineRule="exact" w:before="35"/>
        <w:ind w:left="164"/>
      </w:pPr>
      <w:r>
        <w:rPr/>
        <w:br w:type="column"/>
      </w:r>
      <w:r>
        <w:rPr/>
        <w:t>指被保险人患同时符合以下条件的重大疾病：</w:t>
      </w:r>
    </w:p>
    <w:p>
      <w:pPr>
        <w:pStyle w:val="BodyText"/>
        <w:spacing w:line="272" w:lineRule="exact" w:before="0"/>
        <w:ind w:left="164"/>
      </w:pPr>
      <w:r>
        <w:rPr/>
        <w:t>（1）被保险人自出生后首次出现该重大疾病之症状体征；</w:t>
      </w:r>
    </w:p>
    <w:p>
      <w:pPr>
        <w:pStyle w:val="BodyText"/>
        <w:spacing w:line="237" w:lineRule="auto" w:before="2"/>
        <w:ind w:left="685" w:right="218" w:hanging="525"/>
      </w:pPr>
      <w:r>
        <w:rPr/>
        <w:t>（2）被保险人在本附加合同有效期间内首次出现该重大疾病之症状体征并被确诊患该重大疾病；</w:t>
      </w:r>
    </w:p>
    <w:p>
      <w:pPr>
        <w:spacing w:after="0" w:line="237" w:lineRule="auto"/>
        <w:sectPr>
          <w:type w:val="continuous"/>
          <w:pgSz w:w="11910" w:h="16840"/>
          <w:pgMar w:top="300" w:bottom="280" w:left="800" w:right="680"/>
          <w:cols w:num="2" w:equalWidth="0">
            <w:col w:w="2613" w:space="173"/>
            <w:col w:w="7644"/>
          </w:cols>
        </w:sectPr>
      </w:pPr>
    </w:p>
    <w:p>
      <w:pPr>
        <w:pStyle w:val="BodyText"/>
        <w:spacing w:before="10"/>
        <w:rPr>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2046"/>
        <w:gridCol w:w="7563"/>
      </w:tblGrid>
      <w:tr>
        <w:trPr>
          <w:trHeight w:val="241" w:hRule="atLeast"/>
        </w:trPr>
        <w:tc>
          <w:tcPr>
            <w:tcW w:w="591" w:type="dxa"/>
          </w:tcPr>
          <w:p>
            <w:pPr>
              <w:pStyle w:val="TableParagraph"/>
              <w:rPr>
                <w:rFonts w:ascii="Times New Roman"/>
                <w:sz w:val="16"/>
              </w:rPr>
            </w:pPr>
          </w:p>
        </w:tc>
        <w:tc>
          <w:tcPr>
            <w:tcW w:w="2046" w:type="dxa"/>
          </w:tcPr>
          <w:p>
            <w:pPr>
              <w:pStyle w:val="TableParagraph"/>
              <w:rPr>
                <w:rFonts w:ascii="Times New Roman"/>
                <w:sz w:val="16"/>
              </w:rPr>
            </w:pPr>
          </w:p>
        </w:tc>
        <w:tc>
          <w:tcPr>
            <w:tcW w:w="7563" w:type="dxa"/>
          </w:tcPr>
          <w:p>
            <w:pPr>
              <w:pStyle w:val="TableParagraph"/>
              <w:spacing w:line="210" w:lineRule="exact"/>
              <w:ind w:left="203"/>
              <w:rPr>
                <w:sz w:val="21"/>
              </w:rPr>
            </w:pPr>
            <w:r>
              <w:rPr>
                <w:sz w:val="21"/>
              </w:rPr>
              <w:t>（3）该重大疾病之症状体征符合本附加合同的定义；</w:t>
            </w:r>
          </w:p>
        </w:tc>
      </w:tr>
      <w:tr>
        <w:trPr>
          <w:trHeight w:val="580"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41" w:lineRule="exact"/>
              <w:ind w:left="203"/>
              <w:rPr>
                <w:sz w:val="21"/>
              </w:rPr>
            </w:pPr>
            <w:r>
              <w:rPr>
                <w:sz w:val="21"/>
              </w:rPr>
              <w:t>（4）该重大疾病已在本附加合同中列明。</w:t>
            </w:r>
          </w:p>
          <w:p>
            <w:pPr>
              <w:pStyle w:val="TableParagraph"/>
              <w:spacing w:before="6"/>
              <w:ind w:left="202"/>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30"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7" w:lineRule="exact"/>
              <w:ind w:left="202"/>
              <w:rPr>
                <w:rFonts w:ascii="黑体" w:eastAsia="黑体" w:hint="eastAsia"/>
                <w:b/>
                <w:i/>
                <w:sz w:val="22"/>
              </w:rPr>
            </w:pPr>
            <w:r>
              <w:rPr>
                <w:rFonts w:ascii="黑体" w:eastAsia="黑体" w:hint="eastAsia"/>
                <w:b/>
                <w:i/>
                <w:w w:val="95"/>
                <w:sz w:val="22"/>
              </w:rPr>
              <w:t>体征或所患的重大疾病，我们不承担保险责任。</w:t>
            </w:r>
          </w:p>
        </w:tc>
      </w:tr>
      <w:tr>
        <w:trPr>
          <w:trHeight w:val="424" w:hRule="atLeast"/>
        </w:trPr>
        <w:tc>
          <w:tcPr>
            <w:tcW w:w="591" w:type="dxa"/>
          </w:tcPr>
          <w:p>
            <w:pPr>
              <w:pStyle w:val="TableParagraph"/>
              <w:spacing w:before="98"/>
              <w:ind w:left="50"/>
              <w:rPr>
                <w:b/>
                <w:sz w:val="21"/>
              </w:rPr>
            </w:pPr>
            <w:r>
              <w:rPr>
                <w:b/>
                <w:sz w:val="21"/>
              </w:rPr>
              <w:t>8.8</w:t>
            </w:r>
          </w:p>
        </w:tc>
        <w:tc>
          <w:tcPr>
            <w:tcW w:w="2046" w:type="dxa"/>
          </w:tcPr>
          <w:p>
            <w:pPr>
              <w:pStyle w:val="TableParagraph"/>
              <w:spacing w:before="98"/>
              <w:ind w:left="223"/>
              <w:rPr>
                <w:b/>
                <w:sz w:val="21"/>
              </w:rPr>
            </w:pPr>
            <w:r>
              <w:rPr>
                <w:b/>
                <w:sz w:val="21"/>
              </w:rPr>
              <w:t>重大疾病</w:t>
            </w:r>
          </w:p>
        </w:tc>
        <w:tc>
          <w:tcPr>
            <w:tcW w:w="7563" w:type="dxa"/>
          </w:tcPr>
          <w:p>
            <w:pPr>
              <w:pStyle w:val="TableParagraph"/>
              <w:spacing w:before="98"/>
              <w:ind w:left="202"/>
              <w:rPr>
                <w:sz w:val="21"/>
              </w:rPr>
            </w:pPr>
            <w:r>
              <w:rPr>
                <w:sz w:val="21"/>
              </w:rPr>
              <w:t>指被保险人发生符合以下疾病定义所述条件的疾病（</w:t>
            </w:r>
            <w:r>
              <w:rPr>
                <w:spacing w:val="-13"/>
                <w:sz w:val="21"/>
              </w:rPr>
              <w:t>共 </w:t>
            </w:r>
            <w:r>
              <w:rPr>
                <w:sz w:val="21"/>
              </w:rPr>
              <w:t>41</w:t>
            </w:r>
            <w:r>
              <w:rPr>
                <w:spacing w:val="-14"/>
                <w:sz w:val="21"/>
              </w:rPr>
              <w:t> 种</w:t>
            </w:r>
            <w:r>
              <w:rPr>
                <w:spacing w:val="-105"/>
                <w:sz w:val="21"/>
              </w:rPr>
              <w:t>）</w:t>
            </w:r>
            <w:r>
              <w:rPr>
                <w:spacing w:val="-1"/>
                <w:sz w:val="21"/>
              </w:rPr>
              <w:t>，应当由专科医</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生明确诊断。</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pacing w:val="-37"/>
                <w:sz w:val="21"/>
              </w:rPr>
              <w:t>第 </w:t>
            </w:r>
            <w:r>
              <w:rPr>
                <w:sz w:val="21"/>
              </w:rPr>
              <w:t>1</w:t>
            </w:r>
            <w:r>
              <w:rPr>
                <w:spacing w:val="-38"/>
                <w:sz w:val="21"/>
              </w:rPr>
              <w:t> 至第 </w:t>
            </w:r>
            <w:r>
              <w:rPr>
                <w:sz w:val="21"/>
              </w:rPr>
              <w:t>24</w:t>
            </w:r>
            <w:r>
              <w:rPr>
                <w:spacing w:val="-9"/>
                <w:sz w:val="21"/>
              </w:rPr>
              <w:t> 项为中国保险行业协会与中国医师协会共同制定的重大疾病保险的</w:t>
            </w:r>
          </w:p>
        </w:tc>
      </w:tr>
      <w:tr>
        <w:trPr>
          <w:trHeight w:val="420"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疾病定义，第 25 至第 41 项为我们增加的疾病种类并自行制定的疾病定义。</w:t>
            </w:r>
          </w:p>
        </w:tc>
      </w:tr>
      <w:tr>
        <w:trPr>
          <w:trHeight w:val="435" w:hRule="atLeast"/>
        </w:trPr>
        <w:tc>
          <w:tcPr>
            <w:tcW w:w="591" w:type="dxa"/>
          </w:tcPr>
          <w:p>
            <w:pPr>
              <w:pStyle w:val="TableParagraph"/>
              <w:rPr>
                <w:rFonts w:ascii="Times New Roman"/>
                <w:sz w:val="20"/>
              </w:rPr>
            </w:pPr>
          </w:p>
        </w:tc>
        <w:tc>
          <w:tcPr>
            <w:tcW w:w="2046" w:type="dxa"/>
          </w:tcPr>
          <w:p>
            <w:pPr>
              <w:pStyle w:val="TableParagraph"/>
              <w:spacing w:before="28"/>
              <w:ind w:left="223"/>
              <w:rPr>
                <w:rFonts w:ascii="Microsoft JhengHei" w:eastAsia="Microsoft JhengHei" w:hint="eastAsia"/>
                <w:b/>
                <w:sz w:val="21"/>
              </w:rPr>
            </w:pPr>
            <w:r>
              <w:rPr>
                <w:b/>
                <w:sz w:val="21"/>
              </w:rPr>
              <w:t>1、 </w:t>
            </w:r>
            <w:r>
              <w:rPr>
                <w:rFonts w:ascii="Microsoft JhengHei" w:eastAsia="Microsoft JhengHei" w:hint="eastAsia"/>
                <w:b/>
                <w:sz w:val="21"/>
              </w:rPr>
              <w:t>恶性肿瘤</w:t>
            </w:r>
          </w:p>
        </w:tc>
        <w:tc>
          <w:tcPr>
            <w:tcW w:w="7563" w:type="dxa"/>
          </w:tcPr>
          <w:p>
            <w:pPr>
              <w:pStyle w:val="TableParagraph"/>
              <w:spacing w:before="104"/>
              <w:ind w:left="202"/>
              <w:rPr>
                <w:sz w:val="21"/>
              </w:rPr>
            </w:pPr>
            <w:r>
              <w:rPr>
                <w:sz w:val="21"/>
              </w:rPr>
              <w:t>指恶性细胞不受控制的进行性增长和扩散，浸润和破坏周围正常组织，可以经</w:t>
            </w:r>
          </w:p>
        </w:tc>
      </w:tr>
      <w:tr>
        <w:trPr>
          <w:trHeight w:val="306"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56" w:lineRule="exact"/>
              <w:ind w:left="202"/>
              <w:rPr>
                <w:sz w:val="21"/>
              </w:rPr>
            </w:pPr>
            <w:r>
              <w:rPr>
                <w:sz w:val="21"/>
              </w:rPr>
              <w:t>血管、淋巴管和体腔扩散转移到身体其它部位的疾病。经病理学检查结果明确</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诊断，临床诊断属于世界卫生组织《疾病和有关健康问题的国际统计分类》</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（ICD-10）的恶性肿瘤范畴。下列疾病不在保障范围内：</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（1）原位癌；</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（2）相当于Binet 分期方案 A 期程度的慢性淋巴细胞白血病；</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（3）相当于Ann Arbor 分期方案 I 期程度的何杰金氏病；</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（5）TNM 分期为 T1N0M0 期或更轻分期的前列腺癌；</w:t>
            </w:r>
          </w:p>
        </w:tc>
      </w:tr>
      <w:tr>
        <w:trPr>
          <w:trHeight w:val="412"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（6）感染艾滋病病毒或患艾滋病期间所患恶性肿瘤。</w:t>
            </w:r>
          </w:p>
        </w:tc>
      </w:tr>
      <w:tr>
        <w:trPr>
          <w:trHeight w:val="427" w:hRule="atLeast"/>
        </w:trPr>
        <w:tc>
          <w:tcPr>
            <w:tcW w:w="591" w:type="dxa"/>
          </w:tcPr>
          <w:p>
            <w:pPr>
              <w:pStyle w:val="TableParagraph"/>
              <w:rPr>
                <w:rFonts w:ascii="Times New Roman"/>
                <w:sz w:val="20"/>
              </w:rPr>
            </w:pPr>
          </w:p>
        </w:tc>
        <w:tc>
          <w:tcPr>
            <w:tcW w:w="2046" w:type="dxa"/>
          </w:tcPr>
          <w:p>
            <w:pPr>
              <w:pStyle w:val="TableParagraph"/>
              <w:spacing w:before="19"/>
              <w:ind w:left="223"/>
              <w:rPr>
                <w:rFonts w:ascii="Microsoft JhengHei" w:eastAsia="Microsoft JhengHei" w:hint="eastAsia"/>
                <w:b/>
                <w:sz w:val="21"/>
              </w:rPr>
            </w:pPr>
            <w:r>
              <w:rPr>
                <w:b/>
                <w:w w:val="105"/>
                <w:sz w:val="21"/>
              </w:rPr>
              <w:t>2、 </w:t>
            </w:r>
            <w:r>
              <w:rPr>
                <w:rFonts w:ascii="Microsoft JhengHei" w:eastAsia="Microsoft JhengHei" w:hint="eastAsia"/>
                <w:b/>
                <w:w w:val="105"/>
                <w:sz w:val="21"/>
              </w:rPr>
              <w:t>急性心ft梗塞</w:t>
            </w:r>
          </w:p>
        </w:tc>
        <w:tc>
          <w:tcPr>
            <w:tcW w:w="7563" w:type="dxa"/>
          </w:tcPr>
          <w:p>
            <w:pPr>
              <w:pStyle w:val="TableParagraph"/>
              <w:spacing w:before="96"/>
              <w:ind w:left="202"/>
              <w:rPr>
                <w:sz w:val="21"/>
              </w:rPr>
            </w:pPr>
            <w:r>
              <w:rPr>
                <w:sz w:val="21"/>
              </w:rPr>
              <w:t>指因冠状动脉阻塞导致的相应区域供血不足造成部分心肌坏死。须满足下列至</w:t>
            </w:r>
          </w:p>
        </w:tc>
      </w:tr>
      <w:tr>
        <w:trPr>
          <w:trHeight w:val="306"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56" w:lineRule="exact"/>
              <w:ind w:left="202"/>
              <w:rPr>
                <w:sz w:val="21"/>
              </w:rPr>
            </w:pPr>
            <w:r>
              <w:rPr>
                <w:sz w:val="21"/>
              </w:rPr>
              <w:t>少三项条件：</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（1）典型临床表现，例如急性胸痛等；</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（2）新近的心电图改变提示急性心肌梗塞；</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（3）心肌酶或肌钙蛋白有诊断意义的升高，或呈符合急性心肌梗塞的动态性变</w:t>
            </w:r>
          </w:p>
        </w:tc>
      </w:tr>
      <w:tr>
        <w:trPr>
          <w:trHeight w:val="311" w:hRule="atLeast"/>
        </w:trPr>
        <w:tc>
          <w:tcPr>
            <w:tcW w:w="591" w:type="dxa"/>
          </w:tcPr>
          <w:p>
            <w:pPr>
              <w:pStyle w:val="TableParagraph"/>
              <w:rPr>
                <w:rFonts w:ascii="Times New Roman"/>
                <w:sz w:val="20"/>
              </w:rPr>
            </w:pPr>
          </w:p>
        </w:tc>
        <w:tc>
          <w:tcPr>
            <w:tcW w:w="2046" w:type="dxa"/>
          </w:tcPr>
          <w:p>
            <w:pPr>
              <w:pStyle w:val="TableParagraph"/>
              <w:rPr>
                <w:rFonts w:ascii="Times New Roman"/>
                <w:sz w:val="20"/>
              </w:rPr>
            </w:pPr>
          </w:p>
        </w:tc>
        <w:tc>
          <w:tcPr>
            <w:tcW w:w="7563" w:type="dxa"/>
          </w:tcPr>
          <w:p>
            <w:pPr>
              <w:pStyle w:val="TableParagraph"/>
              <w:spacing w:line="261" w:lineRule="exact"/>
              <w:ind w:left="202"/>
              <w:rPr>
                <w:sz w:val="21"/>
              </w:rPr>
            </w:pPr>
            <w:r>
              <w:rPr>
                <w:sz w:val="21"/>
              </w:rPr>
              <w:t>化；</w:t>
            </w:r>
          </w:p>
        </w:tc>
      </w:tr>
      <w:tr>
        <w:trPr>
          <w:trHeight w:val="260" w:hRule="atLeast"/>
        </w:trPr>
        <w:tc>
          <w:tcPr>
            <w:tcW w:w="591" w:type="dxa"/>
          </w:tcPr>
          <w:p>
            <w:pPr>
              <w:pStyle w:val="TableParagraph"/>
              <w:rPr>
                <w:rFonts w:ascii="Times New Roman"/>
                <w:sz w:val="18"/>
              </w:rPr>
            </w:pPr>
          </w:p>
        </w:tc>
        <w:tc>
          <w:tcPr>
            <w:tcW w:w="2046" w:type="dxa"/>
          </w:tcPr>
          <w:p>
            <w:pPr>
              <w:pStyle w:val="TableParagraph"/>
              <w:rPr>
                <w:rFonts w:ascii="Times New Roman"/>
                <w:sz w:val="18"/>
              </w:rPr>
            </w:pPr>
          </w:p>
        </w:tc>
        <w:tc>
          <w:tcPr>
            <w:tcW w:w="7563" w:type="dxa"/>
          </w:tcPr>
          <w:p>
            <w:pPr>
              <w:pStyle w:val="TableParagraph"/>
              <w:spacing w:line="241" w:lineRule="exact"/>
              <w:ind w:left="202"/>
              <w:rPr>
                <w:sz w:val="21"/>
              </w:rPr>
            </w:pPr>
            <w:r>
              <w:rPr>
                <w:spacing w:val="-24"/>
                <w:sz w:val="21"/>
              </w:rPr>
              <w:t>（4）</w:t>
            </w:r>
            <w:r>
              <w:rPr>
                <w:spacing w:val="-20"/>
                <w:sz w:val="21"/>
              </w:rPr>
              <w:t>发病 </w:t>
            </w:r>
            <w:r>
              <w:rPr>
                <w:sz w:val="21"/>
              </w:rPr>
              <w:t>90</w:t>
            </w:r>
            <w:r>
              <w:rPr>
                <w:spacing w:val="-18"/>
                <w:sz w:val="21"/>
              </w:rPr>
              <w:t> 天后，经检查证实左心室功能降低的，如左心室射血分数低于 </w:t>
            </w:r>
            <w:r>
              <w:rPr>
                <w:sz w:val="21"/>
              </w:rPr>
              <w:t>50%。</w:t>
            </w:r>
          </w:p>
        </w:tc>
      </w:tr>
    </w:tbl>
    <w:p>
      <w:pPr>
        <w:spacing w:after="0" w:line="241" w:lineRule="exact"/>
        <w:rPr>
          <w:sz w:val="21"/>
        </w:rPr>
        <w:sectPr>
          <w:type w:val="continuous"/>
          <w:pgSz w:w="11910" w:h="16840"/>
          <w:pgMar w:top="300" w:bottom="280" w:left="800" w:right="680"/>
        </w:sectPr>
      </w:pPr>
    </w:p>
    <w:p>
      <w:pPr>
        <w:pStyle w:val="BodyText"/>
        <w:spacing w:line="312" w:lineRule="exact" w:before="14"/>
        <w:ind w:left="2131" w:right="218" w:hanging="2026"/>
        <w:jc w:val="both"/>
      </w:pPr>
      <w:r>
        <w:rPr>
          <w:rFonts w:ascii="Microsoft JhengHei" w:eastAsia="Microsoft JhengHei" w:hint="eastAsia"/>
          <w:b/>
          <w:position w:val="2"/>
        </w:rPr>
        <w:t>3</w:t>
      </w:r>
      <w:r>
        <w:rPr>
          <w:rFonts w:ascii="Microsoft JhengHei" w:eastAsia="Microsoft JhengHei" w:hint="eastAsia"/>
          <w:b/>
          <w:spacing w:val="3"/>
          <w:position w:val="2"/>
        </w:rPr>
        <w:t>、脑中风后遗症     </w:t>
      </w:r>
      <w:r>
        <w:rPr/>
        <w:t>指因脑血管的突发病变引起脑血管出血、栓塞或梗塞，并导致神经系统永久性</w:t>
      </w:r>
      <w:r>
        <w:rPr>
          <w:spacing w:val="-2"/>
        </w:rPr>
        <w:t>功能障碍。神经系统永久性的功能障碍，指疾病确诊 </w:t>
      </w:r>
      <w:r>
        <w:rPr/>
        <w:t>180</w:t>
      </w:r>
      <w:r>
        <w:rPr>
          <w:spacing w:val="-6"/>
        </w:rPr>
        <w:t> 天后，仍遗留下列一种或一种以上障碍：</w:t>
      </w:r>
    </w:p>
    <w:p>
      <w:pPr>
        <w:pStyle w:val="BodyText"/>
        <w:spacing w:before="3"/>
        <w:ind w:left="2131"/>
      </w:pPr>
      <w:r>
        <w:rPr/>
        <w:t>（1）一肢或一肢以上肢体机能完全丧失；</w:t>
      </w:r>
    </w:p>
    <w:p>
      <w:pPr>
        <w:pStyle w:val="BodyText"/>
        <w:spacing w:before="36"/>
        <w:ind w:left="2131"/>
      </w:pPr>
      <w:r>
        <w:rPr/>
        <w:t>（2）语言能力或咀嚼吞咽能力完全丧失；</w:t>
      </w:r>
    </w:p>
    <w:p>
      <w:pPr>
        <w:pStyle w:val="BodyText"/>
        <w:spacing w:line="273" w:lineRule="auto" w:before="36"/>
        <w:ind w:left="2131" w:right="155"/>
      </w:pPr>
      <w:r>
        <w:rPr/>
        <w:t>（3）自主生活能力完全丧失，无法独立完成六项基本日常生活活动中的三项或三项以上。</w:t>
      </w:r>
    </w:p>
    <w:p>
      <w:pPr>
        <w:pStyle w:val="BodyText"/>
        <w:spacing w:before="11"/>
        <w:rPr>
          <w:sz w:val="14"/>
        </w:rPr>
      </w:pPr>
    </w:p>
    <w:p>
      <w:pPr>
        <w:spacing w:after="0"/>
        <w:rPr>
          <w:sz w:val="14"/>
        </w:rPr>
        <w:sectPr>
          <w:pgSz w:w="11910" w:h="16840"/>
          <w:pgMar w:header="0" w:footer="442" w:top="1100" w:bottom="640" w:left="1620" w:right="740"/>
        </w:sectPr>
      </w:pPr>
    </w:p>
    <w:p>
      <w:pPr>
        <w:pStyle w:val="Heading4"/>
        <w:spacing w:line="204" w:lineRule="auto"/>
        <w:ind w:left="465" w:hanging="361"/>
        <w:jc w:val="both"/>
      </w:pPr>
      <w:r>
        <w:rPr>
          <w:w w:val="95"/>
        </w:rPr>
        <w:t>4、重大器官移植</w:t>
      </w:r>
      <w:r>
        <w:rPr/>
        <w:t>术或造血干细胞移植术</w:t>
      </w:r>
    </w:p>
    <w:p>
      <w:pPr>
        <w:pStyle w:val="BodyText"/>
        <w:spacing w:line="273" w:lineRule="auto" w:before="40"/>
        <w:ind w:left="105" w:right="218"/>
        <w:jc w:val="both"/>
      </w:pPr>
      <w:r>
        <w:rPr/>
        <w:br w:type="column"/>
      </w:r>
      <w:r>
        <w:rPr/>
        <w:t>重大器官移植术，指因相应器官功能衰竭，已经实施了肾脏、肝脏、心脏或肺脏的异体移植手术。</w:t>
      </w:r>
    </w:p>
    <w:p>
      <w:pPr>
        <w:pStyle w:val="BodyText"/>
        <w:spacing w:line="273" w:lineRule="auto" w:before="8"/>
        <w:ind w:left="105" w:right="271"/>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type w:val="continuous"/>
          <w:pgSz w:w="11910" w:h="16840"/>
          <w:pgMar w:top="300" w:bottom="280" w:left="1620" w:right="740"/>
          <w:cols w:num="2" w:equalWidth="0">
            <w:col w:w="1727" w:space="298"/>
            <w:col w:w="7525"/>
          </w:cols>
        </w:sectPr>
      </w:pPr>
    </w:p>
    <w:p>
      <w:pPr>
        <w:pStyle w:val="BodyText"/>
        <w:spacing w:before="11"/>
        <w:rPr>
          <w:sz w:val="14"/>
        </w:rPr>
      </w:pPr>
    </w:p>
    <w:p>
      <w:pPr>
        <w:spacing w:after="0"/>
        <w:rPr>
          <w:sz w:val="14"/>
        </w:rPr>
        <w:sectPr>
          <w:type w:val="continuous"/>
          <w:pgSz w:w="11910" w:h="16840"/>
          <w:pgMar w:top="300" w:bottom="280" w:left="1620" w:right="740"/>
        </w:sectPr>
      </w:pPr>
    </w:p>
    <w:p>
      <w:pPr>
        <w:pStyle w:val="Heading4"/>
        <w:spacing w:line="204" w:lineRule="auto"/>
        <w:ind w:left="465" w:hanging="361"/>
      </w:pPr>
      <w:r>
        <w:rPr>
          <w:w w:val="95"/>
        </w:rPr>
        <w:t>5、冠状动脉搭桥</w:t>
      </w:r>
      <w:r>
        <w:rPr/>
        <w:t>术</w:t>
      </w:r>
    </w:p>
    <w:p>
      <w:pPr>
        <w:pStyle w:val="BodyText"/>
        <w:spacing w:line="273" w:lineRule="auto" w:before="40"/>
        <w:ind w:left="105" w:right="55"/>
      </w:pPr>
      <w:r>
        <w:rPr/>
        <w:br w:type="column"/>
      </w:r>
      <w:r>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sectPr>
          <w:type w:val="continuous"/>
          <w:pgSz w:w="11910" w:h="16840"/>
          <w:pgMar w:top="300" w:bottom="280" w:left="1620" w:right="740"/>
          <w:cols w:num="2" w:equalWidth="0">
            <w:col w:w="1727" w:space="298"/>
            <w:col w:w="7525"/>
          </w:cols>
        </w:sectPr>
      </w:pPr>
    </w:p>
    <w:p>
      <w:pPr>
        <w:pStyle w:val="BodyText"/>
        <w:spacing w:before="11"/>
        <w:rPr>
          <w:sz w:val="14"/>
        </w:rPr>
      </w:pPr>
    </w:p>
    <w:p>
      <w:pPr>
        <w:pStyle w:val="BodyText"/>
        <w:tabs>
          <w:tab w:pos="2131" w:val="left" w:leader="none"/>
        </w:tabs>
        <w:spacing w:line="312" w:lineRule="exact" w:before="35"/>
        <w:ind w:left="2131" w:right="219" w:hanging="2026"/>
      </w:pPr>
      <w:r>
        <w:rPr>
          <w:rFonts w:ascii="Microsoft JhengHei" w:eastAsia="Microsoft JhengHei" w:hint="eastAsia"/>
          <w:b/>
          <w:position w:val="2"/>
        </w:rPr>
        <w:t>6、终末期肾病</w:t>
        <w:tab/>
      </w:r>
      <w:r>
        <w:rPr/>
        <w:t>指双肾功能慢性不可逆性衰竭</w:t>
      </w:r>
      <w:r>
        <w:rPr>
          <w:spacing w:val="-27"/>
        </w:rPr>
        <w:t>，</w:t>
      </w:r>
      <w:r>
        <w:rPr/>
        <w:t>达到尿毒症期</w:t>
      </w:r>
      <w:r>
        <w:rPr>
          <w:spacing w:val="-27"/>
        </w:rPr>
        <w:t>，</w:t>
      </w:r>
      <w:r>
        <w:rPr/>
        <w:t>经诊断后已经进行了至少</w:t>
      </w:r>
      <w:r>
        <w:rPr>
          <w:spacing w:val="-68"/>
        </w:rPr>
        <w:t> </w:t>
      </w:r>
      <w:r>
        <w:rPr/>
        <w:t>90</w:t>
      </w:r>
      <w:r>
        <w:rPr>
          <w:spacing w:val="-68"/>
        </w:rPr>
        <w:t> </w:t>
      </w:r>
      <w:r>
        <w:rPr/>
        <w:t>天的规律性透析治疗或实施了肾脏移植手术。</w:t>
      </w:r>
    </w:p>
    <w:p>
      <w:pPr>
        <w:pStyle w:val="BodyText"/>
        <w:tabs>
          <w:tab w:pos="2131" w:val="left" w:leader="none"/>
        </w:tabs>
        <w:spacing w:line="261" w:lineRule="auto" w:before="142"/>
        <w:ind w:left="2131" w:right="271" w:hanging="2026"/>
      </w:pPr>
      <w:r>
        <w:rPr>
          <w:rFonts w:ascii="Microsoft JhengHei" w:eastAsia="Microsoft JhengHei" w:hint="eastAsia"/>
          <w:b/>
          <w:position w:val="2"/>
        </w:rPr>
        <w:t>7、多个肢体缺失</w:t>
        <w:tab/>
      </w:r>
      <w:r>
        <w:rPr/>
        <w:t>指因疾病或意外伤害导致两个或两个以上肢体自腕关节或踝关节近端（靠近躯干端）以上完全性断离。</w:t>
      </w:r>
    </w:p>
    <w:p>
      <w:pPr>
        <w:pStyle w:val="BodyText"/>
        <w:spacing w:before="8"/>
        <w:rPr>
          <w:sz w:val="15"/>
        </w:rPr>
      </w:pPr>
    </w:p>
    <w:p>
      <w:pPr>
        <w:spacing w:after="0"/>
        <w:rPr>
          <w:sz w:val="15"/>
        </w:rPr>
        <w:sectPr>
          <w:type w:val="continuous"/>
          <w:pgSz w:w="11910" w:h="16840"/>
          <w:pgMar w:top="300" w:bottom="280" w:left="1620" w:right="740"/>
        </w:sectPr>
      </w:pPr>
    </w:p>
    <w:p>
      <w:pPr>
        <w:pStyle w:val="Heading4"/>
        <w:spacing w:line="204" w:lineRule="auto"/>
      </w:pPr>
      <w:r>
        <w:rPr/>
        <w:t>8、急性或亚急性重症肝炎</w:t>
      </w:r>
    </w:p>
    <w:p>
      <w:pPr>
        <w:pStyle w:val="BodyText"/>
        <w:spacing w:line="273" w:lineRule="auto" w:before="40"/>
        <w:ind w:left="105" w:right="218"/>
      </w:pPr>
      <w:r>
        <w:rPr/>
        <w:br w:type="column"/>
      </w:r>
      <w:r>
        <w:rPr/>
        <w:t>指因肝炎病毒感染引起肝组织弥漫性坏死，导致急性肝功能衰竭，且经血清学或病毒学检查证实，并须满足下列全部条件：</w:t>
      </w:r>
    </w:p>
    <w:p>
      <w:pPr>
        <w:pStyle w:val="BodyText"/>
        <w:spacing w:before="7"/>
        <w:ind w:left="105"/>
      </w:pPr>
      <w:r>
        <w:rPr/>
        <w:t>（1）重度黄疸或黄疸迅速加重；</w:t>
      </w:r>
    </w:p>
    <w:p>
      <w:pPr>
        <w:pStyle w:val="BodyText"/>
        <w:spacing w:before="36"/>
        <w:ind w:left="105"/>
      </w:pPr>
      <w:r>
        <w:rPr/>
        <w:t>（2）肝性脑病；</w:t>
      </w:r>
    </w:p>
    <w:p>
      <w:pPr>
        <w:pStyle w:val="BodyText"/>
        <w:spacing w:before="36"/>
        <w:ind w:left="105"/>
      </w:pPr>
      <w:r>
        <w:rPr/>
        <w:t>（3）B 超或其他影像学检查显示肝脏体积急速萎缩；</w:t>
      </w:r>
    </w:p>
    <w:p>
      <w:pPr>
        <w:pStyle w:val="BodyText"/>
        <w:spacing w:before="36"/>
        <w:ind w:left="105"/>
      </w:pPr>
      <w:r>
        <w:rPr/>
        <w:t>（4）肝功能指标进行性恶化。</w:t>
      </w:r>
    </w:p>
    <w:p>
      <w:pPr>
        <w:spacing w:after="0"/>
        <w:sectPr>
          <w:type w:val="continuous"/>
          <w:pgSz w:w="11910" w:h="16840"/>
          <w:pgMar w:top="300" w:bottom="280" w:left="1620" w:right="740"/>
          <w:cols w:num="2" w:equalWidth="0">
            <w:col w:w="1917" w:space="109"/>
            <w:col w:w="7524"/>
          </w:cols>
        </w:sectPr>
      </w:pPr>
    </w:p>
    <w:p>
      <w:pPr>
        <w:pStyle w:val="BodyText"/>
        <w:spacing w:before="1"/>
        <w:rPr>
          <w:sz w:val="17"/>
        </w:rPr>
      </w:pPr>
    </w:p>
    <w:p>
      <w:pPr>
        <w:pStyle w:val="BodyText"/>
        <w:tabs>
          <w:tab w:pos="2131" w:val="left" w:leader="none"/>
        </w:tabs>
        <w:spacing w:line="312" w:lineRule="exact" w:before="35"/>
        <w:ind w:left="2131" w:right="218" w:hanging="2026"/>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1"/>
        </w:rPr>
        <w:t>、</w:t>
      </w:r>
      <w:r>
        <w:rPr/>
        <w:t>癫痫及运动感觉障碍等</w:t>
      </w:r>
      <w:r>
        <w:rPr>
          <w:spacing w:val="-11"/>
        </w:rPr>
        <w:t>，</w:t>
      </w:r>
      <w:r>
        <w:rPr/>
        <w:t>并危及生命</w:t>
      </w:r>
      <w:r>
        <w:rPr>
          <w:spacing w:val="-11"/>
        </w:rPr>
        <w:t>。</w:t>
      </w:r>
      <w:r>
        <w:rPr/>
        <w:t>须由头颅断层扫</w:t>
      </w:r>
      <w:r>
        <w:rPr>
          <w:spacing w:val="-11"/>
        </w:rPr>
        <w:t>描</w:t>
      </w:r>
      <w:r>
        <w:rPr/>
        <w:t>（CT</w:t>
      </w:r>
      <w:r>
        <w:rPr>
          <w:spacing w:val="-105"/>
        </w:rPr>
        <w:t>）</w:t>
      </w:r>
      <w:r>
        <w:rPr>
          <w:spacing w:val="-12"/>
        </w:rPr>
        <w:t>、</w:t>
      </w:r>
      <w:r>
        <w:rPr/>
        <w:t>核磁共振检查（MRI）或正电子发射断层扫描（PET）等影像学检查证实，并须满足下列至少一项条件：</w:t>
      </w:r>
    </w:p>
    <w:p>
      <w:pPr>
        <w:pStyle w:val="BodyText"/>
        <w:spacing w:before="4"/>
        <w:ind w:left="2131"/>
      </w:pPr>
      <w:r>
        <w:rPr/>
        <w:t>（1）实际实施了开颅进行的脑肿瘤完全切除或部分切除的手术；</w:t>
      </w:r>
    </w:p>
    <w:p>
      <w:pPr>
        <w:pStyle w:val="BodyText"/>
        <w:ind w:left="2131"/>
      </w:pPr>
      <w:r>
        <w:rPr/>
        <w:t>（2）实际实施了对脑肿瘤进行的放射治疗。</w:t>
      </w:r>
    </w:p>
    <w:p>
      <w:pPr>
        <w:pStyle w:val="BodyText"/>
        <w:ind w:left="2131"/>
      </w:pPr>
      <w:r>
        <w:rPr/>
        <w:t>脑垂体瘤、脑囊肿、脑血管性疾病不在保障范围内。</w:t>
      </w:r>
    </w:p>
    <w:p>
      <w:pPr>
        <w:pStyle w:val="BodyText"/>
        <w:spacing w:before="2"/>
        <w:rPr>
          <w:sz w:val="17"/>
        </w:rPr>
      </w:pPr>
    </w:p>
    <w:p>
      <w:pPr>
        <w:spacing w:after="0"/>
        <w:rPr>
          <w:sz w:val="17"/>
        </w:rPr>
        <w:sectPr>
          <w:type w:val="continuous"/>
          <w:pgSz w:w="11910" w:h="16840"/>
          <w:pgMar w:top="300" w:bottom="280" w:left="1620" w:right="740"/>
        </w:sectPr>
      </w:pPr>
    </w:p>
    <w:p>
      <w:pPr>
        <w:pStyle w:val="Heading4"/>
        <w:spacing w:line="204" w:lineRule="auto"/>
      </w:pPr>
      <w:r>
        <w:rPr>
          <w:w w:val="95"/>
        </w:rPr>
        <w:t>10</w:t>
      </w:r>
      <w:r>
        <w:rPr>
          <w:spacing w:val="-12"/>
          <w:w w:val="95"/>
        </w:rPr>
        <w:t>、慢性肝功能衰竭</w:t>
      </w:r>
      <w:r>
        <w:rPr>
          <w:spacing w:val="-12"/>
        </w:rPr>
        <w:t>失代偿期</w:t>
      </w:r>
    </w:p>
    <w:p>
      <w:pPr>
        <w:pStyle w:val="BodyText"/>
        <w:spacing w:before="39"/>
        <w:ind w:left="105"/>
      </w:pPr>
      <w:r>
        <w:rPr/>
        <w:br w:type="column"/>
      </w:r>
      <w:r>
        <w:rPr/>
        <w:t>指因慢性肝脏疾病导致肝功能衰竭，须满足下列全部条件：</w:t>
      </w:r>
    </w:p>
    <w:p>
      <w:pPr>
        <w:pStyle w:val="BodyText"/>
        <w:spacing w:before="36"/>
        <w:ind w:left="105"/>
      </w:pPr>
      <w:r>
        <w:rPr/>
        <w:t>（1）持续性黄疸；</w:t>
      </w:r>
    </w:p>
    <w:p>
      <w:pPr>
        <w:pStyle w:val="BodyText"/>
        <w:spacing w:before="36"/>
        <w:ind w:left="105"/>
      </w:pPr>
      <w:r>
        <w:rPr/>
        <w:t>（2）腹水；</w:t>
      </w:r>
    </w:p>
    <w:p>
      <w:pPr>
        <w:pStyle w:val="BodyText"/>
        <w:spacing w:before="36"/>
        <w:ind w:left="105"/>
      </w:pPr>
      <w:r>
        <w:rPr/>
        <w:t>（3）肝性脑病；</w:t>
      </w:r>
    </w:p>
    <w:p>
      <w:pPr>
        <w:pStyle w:val="BodyText"/>
        <w:spacing w:line="273" w:lineRule="auto" w:before="36"/>
        <w:ind w:left="105" w:right="2266"/>
      </w:pPr>
      <w:r>
        <w:rPr/>
        <w:t>（4）充血性脾肿大伴脾功能亢进或食管胃底静脉曲张。因酗酒或药物滥用导致的肝功能衰竭不在保障范围内。</w:t>
      </w:r>
    </w:p>
    <w:p>
      <w:pPr>
        <w:spacing w:after="0" w:line="273" w:lineRule="auto"/>
        <w:sectPr>
          <w:type w:val="continuous"/>
          <w:pgSz w:w="11910" w:h="16840"/>
          <w:pgMar w:top="300" w:bottom="280" w:left="1620" w:right="740"/>
          <w:cols w:num="2" w:equalWidth="0">
            <w:col w:w="1917" w:space="109"/>
            <w:col w:w="7524"/>
          </w:cols>
        </w:sectPr>
      </w:pPr>
    </w:p>
    <w:p>
      <w:pPr>
        <w:pStyle w:val="BodyText"/>
        <w:spacing w:before="12"/>
        <w:rPr>
          <w:sz w:val="14"/>
        </w:rPr>
      </w:pPr>
    </w:p>
    <w:p>
      <w:pPr>
        <w:spacing w:after="0"/>
        <w:rPr>
          <w:sz w:val="14"/>
        </w:rPr>
        <w:sectPr>
          <w:type w:val="continuous"/>
          <w:pgSz w:w="11910" w:h="16840"/>
          <w:pgMar w:top="300" w:bottom="280" w:left="1620" w:right="740"/>
        </w:sectPr>
      </w:pPr>
    </w:p>
    <w:p>
      <w:pPr>
        <w:pStyle w:val="Heading4"/>
        <w:spacing w:line="204" w:lineRule="auto"/>
      </w:pPr>
      <w:r>
        <w:rPr>
          <w:w w:val="95"/>
        </w:rPr>
        <w:t>11</w:t>
      </w:r>
      <w:r>
        <w:rPr>
          <w:spacing w:val="-7"/>
          <w:w w:val="95"/>
        </w:rPr>
        <w:t>、脑炎后遗症或脑</w:t>
      </w:r>
      <w:r>
        <w:rPr>
          <w:spacing w:val="-7"/>
        </w:rPr>
        <w:t>膜炎后遗症</w:t>
      </w:r>
    </w:p>
    <w:p>
      <w:pPr>
        <w:pStyle w:val="BodyText"/>
        <w:spacing w:line="273" w:lineRule="auto" w:before="40"/>
        <w:ind w:left="105" w:right="218"/>
      </w:pPr>
      <w:r>
        <w:rPr/>
        <w:br w:type="column"/>
      </w:r>
      <w:r>
        <w:rPr/>
        <w:t>指因患脑炎或脑膜炎导致的神经系统永久性的功能障碍。神经系统永久性的功能障碍，指疾病确诊 180 天后，仍残留下列一种或一种以上障碍：</w:t>
      </w:r>
    </w:p>
    <w:p>
      <w:pPr>
        <w:spacing w:after="0" w:line="273" w:lineRule="auto"/>
        <w:sectPr>
          <w:type w:val="continuous"/>
          <w:pgSz w:w="11910" w:h="16840"/>
          <w:pgMar w:top="300" w:bottom="280" w:left="1620" w:right="740"/>
          <w:cols w:num="2" w:equalWidth="0">
            <w:col w:w="1917" w:space="109"/>
            <w:col w:w="7524"/>
          </w:cols>
        </w:sectPr>
      </w:pPr>
    </w:p>
    <w:p>
      <w:pPr>
        <w:pStyle w:val="BodyText"/>
        <w:spacing w:before="19"/>
        <w:ind w:left="2131"/>
      </w:pPr>
      <w:r>
        <w:rPr/>
        <w:t>（1）一肢或一肢以上肢体机能完全丧失；</w:t>
      </w:r>
    </w:p>
    <w:p>
      <w:pPr>
        <w:pStyle w:val="BodyText"/>
        <w:ind w:left="2131"/>
      </w:pPr>
      <w:r>
        <w:rPr/>
        <w:t>（2）语言能力或咀嚼吞咽能力完全丧失；</w:t>
      </w:r>
    </w:p>
    <w:p>
      <w:pPr>
        <w:pStyle w:val="BodyText"/>
        <w:spacing w:line="273" w:lineRule="auto"/>
        <w:ind w:left="2131" w:right="155"/>
      </w:pPr>
      <w:r>
        <w:rPr/>
        <w:t>（3）自主生活能力完全丧失，无法独立完成六项基本日常生活活动中的三项或三项以上。</w:t>
      </w:r>
    </w:p>
    <w:p>
      <w:pPr>
        <w:pStyle w:val="BodyText"/>
        <w:spacing w:before="11"/>
        <w:rPr>
          <w:sz w:val="14"/>
        </w:rPr>
      </w:pPr>
    </w:p>
    <w:p>
      <w:pPr>
        <w:spacing w:after="0"/>
        <w:rPr>
          <w:sz w:val="14"/>
        </w:rPr>
        <w:sectPr>
          <w:pgSz w:w="11910" w:h="16840"/>
          <w:pgMar w:header="0" w:footer="442" w:top="1100" w:bottom="640" w:left="1620" w:right="740"/>
        </w:sectPr>
      </w:pPr>
    </w:p>
    <w:p>
      <w:pPr>
        <w:pStyle w:val="Heading4"/>
        <w:spacing w:line="204" w:lineRule="auto"/>
      </w:pPr>
      <w:r>
        <w:rPr>
          <w:w w:val="95"/>
        </w:rPr>
        <w:t>12</w:t>
      </w:r>
      <w:r>
        <w:rPr>
          <w:spacing w:val="-11"/>
          <w:w w:val="95"/>
        </w:rPr>
        <w:t>、双耳失聪－三周</w:t>
      </w:r>
      <w:r>
        <w:rPr>
          <w:spacing w:val="-11"/>
        </w:rPr>
        <w:t>岁始理赔</w:t>
      </w:r>
    </w:p>
    <w:p>
      <w:pPr>
        <w:pStyle w:val="BodyText"/>
        <w:spacing w:line="273" w:lineRule="auto" w:before="40"/>
        <w:ind w:left="105" w:right="216"/>
        <w:jc w:val="both"/>
      </w:pPr>
      <w:r>
        <w:rPr/>
        <w:br w:type="column"/>
      </w:r>
      <w:r>
        <w:rPr>
          <w:spacing w:val="-3"/>
        </w:rPr>
        <w:t>指因疾病或意外伤害导致双耳听力永久不可逆性丧失，在 </w:t>
      </w:r>
      <w:r>
        <w:rPr/>
        <w:t>500</w:t>
      </w:r>
      <w:r>
        <w:rPr>
          <w:spacing w:val="-16"/>
        </w:rPr>
        <w:t> 赫兹、</w:t>
      </w:r>
      <w:r>
        <w:rPr/>
        <w:t>1000</w:t>
      </w:r>
      <w:r>
        <w:rPr>
          <w:spacing w:val="-21"/>
        </w:rPr>
        <w:t> 赫兹</w:t>
      </w:r>
      <w:r>
        <w:rPr>
          <w:spacing w:val="-31"/>
        </w:rPr>
        <w:t>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line="273" w:lineRule="auto" w:before="7"/>
        <w:ind w:left="105" w:right="271"/>
        <w:jc w:val="both"/>
      </w:pPr>
      <w:r>
        <w:rPr/>
        <w:t>被保险人申请理赔时年龄必须在三周岁以上，并且提供理赔当时的听力丧失诊断及检查证据。</w:t>
      </w:r>
    </w:p>
    <w:p>
      <w:pPr>
        <w:spacing w:after="0" w:line="273" w:lineRule="auto"/>
        <w:jc w:val="both"/>
        <w:sectPr>
          <w:type w:val="continuous"/>
          <w:pgSz w:w="11910" w:h="16840"/>
          <w:pgMar w:top="300" w:bottom="280" w:left="1620" w:right="740"/>
          <w:cols w:num="2" w:equalWidth="0">
            <w:col w:w="1917" w:space="109"/>
            <w:col w:w="7524"/>
          </w:cols>
        </w:sectPr>
      </w:pPr>
    </w:p>
    <w:p>
      <w:pPr>
        <w:pStyle w:val="BodyText"/>
        <w:spacing w:before="11"/>
        <w:rPr>
          <w:sz w:val="14"/>
        </w:rPr>
      </w:pPr>
    </w:p>
    <w:p>
      <w:pPr>
        <w:spacing w:after="0"/>
        <w:rPr>
          <w:sz w:val="14"/>
        </w:rPr>
        <w:sectPr>
          <w:type w:val="continuous"/>
          <w:pgSz w:w="11910" w:h="16840"/>
          <w:pgMar w:top="300" w:bottom="280" w:left="1620" w:right="740"/>
        </w:sectPr>
      </w:pPr>
    </w:p>
    <w:p>
      <w:pPr>
        <w:pStyle w:val="Heading4"/>
        <w:spacing w:line="204" w:lineRule="auto"/>
      </w:pPr>
      <w:r>
        <w:rPr>
          <w:w w:val="95"/>
        </w:rPr>
        <w:t>13</w:t>
      </w:r>
      <w:r>
        <w:rPr>
          <w:spacing w:val="-11"/>
          <w:w w:val="95"/>
        </w:rPr>
        <w:t>、双目失明－三周</w:t>
      </w:r>
      <w:r>
        <w:rPr>
          <w:spacing w:val="-11"/>
        </w:rPr>
        <w:t>岁始理赔</w:t>
      </w:r>
    </w:p>
    <w:p>
      <w:pPr>
        <w:pStyle w:val="BodyText"/>
        <w:spacing w:line="273" w:lineRule="auto" w:before="40"/>
        <w:ind w:left="105" w:right="218"/>
      </w:pPr>
      <w:r>
        <w:rPr/>
        <w:br w:type="column"/>
      </w:r>
      <w:r>
        <w:rPr/>
        <w:t>指因疾病或意外伤害导致双眼视力永久不可逆性丧失，双眼中较好眼须满足下列至少一项条件：</w:t>
      </w:r>
    </w:p>
    <w:p>
      <w:pPr>
        <w:pStyle w:val="BodyText"/>
        <w:spacing w:before="8"/>
        <w:ind w:left="105"/>
      </w:pPr>
      <w:r>
        <w:rPr/>
        <w:t>（1）眼球缺失或摘除；</w:t>
      </w:r>
    </w:p>
    <w:p>
      <w:pPr>
        <w:spacing w:after="0"/>
        <w:sectPr>
          <w:type w:val="continuous"/>
          <w:pgSz w:w="11910" w:h="16840"/>
          <w:pgMar w:top="300" w:bottom="280" w:left="1620" w:right="740"/>
          <w:cols w:num="2" w:equalWidth="0">
            <w:col w:w="1917" w:space="109"/>
            <w:col w:w="7524"/>
          </w:cols>
        </w:sectPr>
      </w:pPr>
    </w:p>
    <w:p>
      <w:pPr>
        <w:pStyle w:val="BodyText"/>
        <w:ind w:left="2131"/>
      </w:pPr>
      <w:r>
        <w:rPr/>
        <w:t>（2</w:t>
      </w:r>
      <w:r>
        <w:rPr>
          <w:spacing w:val="-105"/>
        </w:rPr>
        <w:t>）</w:t>
      </w:r>
      <w:r>
        <w:rPr>
          <w:spacing w:val="-9"/>
        </w:rPr>
        <w:t>矫正视力低于 </w:t>
      </w:r>
      <w:r>
        <w:rPr/>
        <w:t>0.</w:t>
      </w:r>
      <w:r>
        <w:rPr>
          <w:spacing w:val="-1"/>
        </w:rPr>
        <w:t>0</w:t>
      </w:r>
      <w:r>
        <w:rPr>
          <w:spacing w:val="-210"/>
        </w:rPr>
        <w:t>（</w:t>
      </w:r>
      <w:r>
        <w:rPr/>
        <w:t>2</w:t>
      </w:r>
      <w:r>
        <w:rPr>
          <w:spacing w:val="-11"/>
        </w:rPr>
        <w:t> 采用国际标准视力表，若使用其他视力表应进行换算</w:t>
      </w:r>
      <w:r>
        <w:rPr>
          <w:spacing w:val="-105"/>
        </w:rPr>
        <w:t>）</w:t>
      </w:r>
      <w:r>
        <w:rPr/>
        <w:t>；</w:t>
      </w:r>
    </w:p>
    <w:p>
      <w:pPr>
        <w:pStyle w:val="BodyText"/>
        <w:ind w:left="2131"/>
      </w:pPr>
      <w:r>
        <w:rPr/>
        <w:t>（3）视野半径小于 5 度。</w:t>
      </w:r>
    </w:p>
    <w:p>
      <w:pPr>
        <w:pStyle w:val="BodyText"/>
        <w:spacing w:line="273" w:lineRule="auto"/>
        <w:ind w:left="2131" w:right="271"/>
      </w:pPr>
      <w:r>
        <w:rPr/>
        <w:t>被保险人申请理赔时年龄必须在三周岁以上，并且提供理赔当时的视力丧失诊断及检查证据。</w:t>
      </w:r>
    </w:p>
    <w:p>
      <w:pPr>
        <w:pStyle w:val="BodyText"/>
        <w:tabs>
          <w:tab w:pos="2131" w:val="left" w:leader="none"/>
        </w:tabs>
        <w:spacing w:line="266" w:lineRule="auto" w:before="147"/>
        <w:ind w:left="2131" w:right="271" w:hanging="2026"/>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131" w:val="left" w:leader="none"/>
        </w:tabs>
        <w:spacing w:before="154"/>
        <w:ind w:left="105"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0"/>
        <w:rPr>
          <w:sz w:val="16"/>
        </w:rPr>
      </w:pPr>
    </w:p>
    <w:p>
      <w:pPr>
        <w:spacing w:after="0"/>
        <w:rPr>
          <w:sz w:val="16"/>
        </w:rPr>
        <w:sectPr>
          <w:type w:val="continuous"/>
          <w:pgSz w:w="11910" w:h="16840"/>
          <w:pgMar w:top="300" w:bottom="280" w:left="1620" w:right="740"/>
        </w:sectPr>
      </w:pPr>
    </w:p>
    <w:p>
      <w:pPr>
        <w:pStyle w:val="Heading4"/>
        <w:spacing w:line="204" w:lineRule="auto"/>
        <w:jc w:val="both"/>
      </w:pPr>
      <w:r>
        <w:rPr>
          <w:w w:val="95"/>
        </w:rPr>
        <w:t>16</w:t>
      </w:r>
      <w:r>
        <w:rPr>
          <w:spacing w:val="-11"/>
          <w:w w:val="95"/>
        </w:rPr>
        <w:t>、严重阿尔茨海默</w:t>
      </w:r>
      <w:r>
        <w:rPr>
          <w:spacing w:val="5"/>
        </w:rPr>
        <w:t>病— 限七十周岁前</w:t>
      </w:r>
      <w:r>
        <w:rPr/>
        <w:t>发病</w:t>
      </w:r>
    </w:p>
    <w:p>
      <w:pPr>
        <w:pStyle w:val="BodyText"/>
        <w:spacing w:line="273" w:lineRule="auto" w:before="40"/>
        <w:ind w:left="105" w:right="113"/>
      </w:pPr>
      <w:r>
        <w:rPr/>
        <w:br w:type="column"/>
      </w:r>
      <w:r>
        <w:rPr/>
        <w:t>指因大脑进行性、不可逆性改变导致智能严重衰退或丧失，临床表现为明显的</w:t>
      </w:r>
      <w:r>
        <w:rPr>
          <w:spacing w:val="-6"/>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8"/>
        <w:ind w:left="105"/>
      </w:pPr>
      <w:r>
        <w:rPr/>
        <w:t>神经官能症和精神疾病不在保障范围内。</w:t>
      </w:r>
    </w:p>
    <w:p>
      <w:pPr>
        <w:spacing w:after="0"/>
        <w:sectPr>
          <w:type w:val="continuous"/>
          <w:pgSz w:w="11910" w:h="16840"/>
          <w:pgMar w:top="300" w:bottom="280" w:left="1620" w:right="740"/>
          <w:cols w:num="2" w:equalWidth="0">
            <w:col w:w="1934" w:space="92"/>
            <w:col w:w="7524"/>
          </w:cols>
        </w:sectPr>
      </w:pPr>
    </w:p>
    <w:p>
      <w:pPr>
        <w:pStyle w:val="BodyText"/>
        <w:spacing w:before="2"/>
        <w:rPr>
          <w:sz w:val="17"/>
        </w:rPr>
      </w:pPr>
    </w:p>
    <w:p>
      <w:pPr>
        <w:pStyle w:val="BodyText"/>
        <w:tabs>
          <w:tab w:pos="2131" w:val="left" w:leader="none"/>
        </w:tabs>
        <w:spacing w:line="312" w:lineRule="exact" w:before="35"/>
        <w:ind w:left="2131" w:right="217" w:hanging="2026"/>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w:t>
      </w:r>
      <w:r>
        <w:rPr>
          <w:spacing w:val="1"/>
        </w:rPr>
        <w:t>须由</w:t>
      </w:r>
      <w:r>
        <w:rPr>
          <w:spacing w:val="0"/>
        </w:rPr>
        <w:t>头颅断</w:t>
      </w:r>
      <w:r>
        <w:rPr>
          <w:spacing w:val="1"/>
        </w:rPr>
        <w:t>层扫</w:t>
      </w:r>
      <w:r>
        <w:rPr>
          <w:spacing w:val="0"/>
        </w:rPr>
        <w:t>描（CT</w:t>
      </w:r>
      <w:r>
        <w:rPr>
          <w:spacing w:val="-104"/>
        </w:rPr>
        <w:t>）</w:t>
      </w:r>
      <w:r>
        <w:rPr>
          <w:spacing w:val="0"/>
        </w:rPr>
        <w:t>、核磁共振</w:t>
      </w:r>
      <w:r>
        <w:rPr>
          <w:spacing w:val="1"/>
        </w:rPr>
        <w:t>检查</w:t>
      </w:r>
      <w:r>
        <w:rPr>
          <w:spacing w:val="0"/>
        </w:rPr>
        <w:t>（MRI）或正电子发</w:t>
      </w:r>
      <w:r>
        <w:rPr>
          <w:spacing w:val="1"/>
        </w:rPr>
        <w:t>射断</w:t>
      </w:r>
      <w:r>
        <w:rPr>
          <w:spacing w:val="0"/>
        </w:rPr>
        <w:t>层扫描</w:t>
      </w:r>
    </w:p>
    <w:p>
      <w:pPr>
        <w:pStyle w:val="BodyText"/>
        <w:spacing w:line="273" w:lineRule="auto" w:before="4"/>
        <w:ind w:left="2131" w:right="165"/>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8"/>
        <w:ind w:left="2131"/>
      </w:pPr>
      <w:r>
        <w:rPr/>
        <w:t>（1）一肢或一肢以上肢体机能完全丧失；</w:t>
      </w:r>
    </w:p>
    <w:p>
      <w:pPr>
        <w:pStyle w:val="BodyText"/>
        <w:ind w:left="2131"/>
      </w:pPr>
      <w:r>
        <w:rPr/>
        <w:t>（2）语言能力或咀嚼吞咽能力完全丧失；</w:t>
      </w:r>
    </w:p>
    <w:p>
      <w:pPr>
        <w:pStyle w:val="BodyText"/>
        <w:spacing w:line="273" w:lineRule="auto"/>
        <w:ind w:left="2131" w:right="155"/>
      </w:pPr>
      <w:r>
        <w:rPr/>
        <w:t>（3）自主生活能力完全丧失，无法独立完成六项基本日常生活活动中的三项或三项以上。</w:t>
      </w:r>
    </w:p>
    <w:p>
      <w:pPr>
        <w:pStyle w:val="BodyText"/>
        <w:tabs>
          <w:tab w:pos="2131" w:val="left" w:leader="none"/>
        </w:tabs>
        <w:spacing w:line="261" w:lineRule="auto" w:before="148"/>
        <w:ind w:left="2131" w:right="218" w:hanging="2026"/>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8"/>
        <w:ind w:left="2131"/>
      </w:pPr>
      <w:r>
        <w:rPr/>
        <w:t>（1）药物治疗无法控制病情；</w:t>
      </w:r>
    </w:p>
    <w:p>
      <w:pPr>
        <w:pStyle w:val="BodyText"/>
        <w:spacing w:line="273" w:lineRule="auto"/>
        <w:ind w:left="2131" w:right="155"/>
      </w:pPr>
      <w:r>
        <w:rPr/>
        <w:t>（2）自主生活能力完全丧失，无法独立完成六项基本日常生活活动中的三项或三项以上。</w:t>
      </w:r>
    </w:p>
    <w:p>
      <w:pPr>
        <w:pStyle w:val="BodyText"/>
        <w:spacing w:before="8"/>
        <w:ind w:left="2131"/>
      </w:pPr>
      <w:r>
        <w:rPr/>
        <w:t>继发性帕金森综合征不在保障范围内。</w:t>
      </w:r>
    </w:p>
    <w:p>
      <w:pPr>
        <w:spacing w:after="0"/>
        <w:sectPr>
          <w:type w:val="continuous"/>
          <w:pgSz w:w="11910" w:h="16840"/>
          <w:pgMar w:top="300" w:bottom="280" w:left="1620" w:right="740"/>
        </w:sectPr>
      </w:pPr>
    </w:p>
    <w:p>
      <w:pPr>
        <w:tabs>
          <w:tab w:pos="2131" w:val="left" w:leader="none"/>
        </w:tabs>
        <w:spacing w:line="312" w:lineRule="exact" w:before="14"/>
        <w:ind w:left="2131" w:right="219" w:hanging="2026"/>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27"/>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27"/>
          <w:sz w:val="21"/>
        </w:rPr>
        <w:t>。</w:t>
      </w:r>
      <w:r>
        <w:rPr>
          <w:sz w:val="21"/>
        </w:rPr>
        <w:t>体表面积根据《中国新九分法》计算。</w:t>
      </w:r>
    </w:p>
    <w:p>
      <w:pPr>
        <w:pStyle w:val="BodyText"/>
        <w:spacing w:before="7"/>
        <w:rPr>
          <w:sz w:val="14"/>
        </w:rPr>
      </w:pPr>
    </w:p>
    <w:p>
      <w:pPr>
        <w:spacing w:after="0"/>
        <w:rPr>
          <w:sz w:val="14"/>
        </w:rPr>
        <w:sectPr>
          <w:pgSz w:w="11910" w:h="16840"/>
          <w:pgMar w:header="0" w:footer="442" w:top="1100" w:bottom="640" w:left="1620" w:right="740"/>
        </w:sectPr>
      </w:pPr>
    </w:p>
    <w:p>
      <w:pPr>
        <w:pStyle w:val="Heading4"/>
        <w:spacing w:line="204" w:lineRule="auto"/>
      </w:pPr>
      <w:r>
        <w:rPr>
          <w:w w:val="95"/>
        </w:rPr>
        <w:t>20、严重原发性肺</w:t>
      </w:r>
      <w:r>
        <w:rPr/>
        <w:t>动脉高压</w:t>
      </w:r>
    </w:p>
    <w:p>
      <w:pPr>
        <w:pStyle w:val="BodyText"/>
        <w:spacing w:line="273" w:lineRule="auto" w:before="40"/>
        <w:ind w:left="105" w:right="271"/>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300" w:bottom="280" w:left="1620" w:right="740"/>
          <w:cols w:num="2" w:equalWidth="0">
            <w:col w:w="1819" w:space="206"/>
            <w:col w:w="7525"/>
          </w:cols>
        </w:sectPr>
      </w:pPr>
    </w:p>
    <w:p>
      <w:pPr>
        <w:pStyle w:val="BodyText"/>
        <w:spacing w:before="11"/>
        <w:rPr>
          <w:sz w:val="14"/>
        </w:rPr>
      </w:pPr>
    </w:p>
    <w:p>
      <w:pPr>
        <w:spacing w:after="0"/>
        <w:rPr>
          <w:sz w:val="14"/>
        </w:rPr>
        <w:sectPr>
          <w:type w:val="continuous"/>
          <w:pgSz w:w="11910" w:h="16840"/>
          <w:pgMar w:top="300" w:bottom="280" w:left="1620" w:right="740"/>
        </w:sectPr>
      </w:pPr>
    </w:p>
    <w:p>
      <w:pPr>
        <w:pStyle w:val="Heading4"/>
        <w:spacing w:line="204" w:lineRule="auto"/>
      </w:pPr>
      <w:r>
        <w:rPr>
          <w:w w:val="95"/>
        </w:rPr>
        <w:t>21</w:t>
      </w:r>
      <w:r>
        <w:rPr>
          <w:spacing w:val="-11"/>
          <w:w w:val="95"/>
        </w:rPr>
        <w:t>、严重运动神经元</w:t>
      </w:r>
      <w:r>
        <w:rPr>
          <w:spacing w:val="-11"/>
        </w:rPr>
        <w:t>病</w:t>
      </w:r>
    </w:p>
    <w:p>
      <w:pPr>
        <w:pStyle w:val="BodyText"/>
        <w:spacing w:line="273" w:lineRule="auto" w:before="40"/>
        <w:ind w:left="105" w:right="271"/>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300" w:bottom="280" w:left="1620" w:right="740"/>
          <w:cols w:num="2" w:equalWidth="0">
            <w:col w:w="1917" w:space="109"/>
            <w:col w:w="7524"/>
          </w:cols>
        </w:sectPr>
      </w:pPr>
    </w:p>
    <w:p>
      <w:pPr>
        <w:pStyle w:val="BodyText"/>
        <w:spacing w:before="11"/>
        <w:rPr>
          <w:sz w:val="14"/>
        </w:rPr>
      </w:pPr>
    </w:p>
    <w:p>
      <w:pPr>
        <w:spacing w:after="0"/>
        <w:rPr>
          <w:sz w:val="14"/>
        </w:rPr>
        <w:sectPr>
          <w:type w:val="continuous"/>
          <w:pgSz w:w="11910" w:h="16840"/>
          <w:pgMar w:top="300" w:bottom="280" w:left="1620" w:right="740"/>
        </w:sectPr>
      </w:pPr>
    </w:p>
    <w:p>
      <w:pPr>
        <w:pStyle w:val="Heading4"/>
        <w:spacing w:line="295" w:lineRule="exact" w:before="0"/>
      </w:pPr>
      <w:r>
        <w:rPr>
          <w:w w:val="95"/>
        </w:rPr>
        <w:t>22、语言能力丧失</w:t>
      </w:r>
    </w:p>
    <w:p>
      <w:pPr>
        <w:spacing w:line="339" w:lineRule="exact" w:before="0"/>
        <w:ind w:left="105"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40"/>
        <w:ind w:left="105" w:right="220"/>
      </w:pPr>
      <w:r>
        <w:rPr/>
        <w:br w:type="column"/>
      </w:r>
      <w:r>
        <w:rPr>
          <w:spacing w:val="-5"/>
        </w:rPr>
        <w:t>指因疾病或意外伤害导致完全丧失语言能力，经过积极治疗至少 </w:t>
      </w:r>
      <w:r>
        <w:rPr/>
        <w:t>12</w:t>
      </w:r>
      <w:r>
        <w:rPr>
          <w:spacing w:val="-31"/>
        </w:rPr>
        <w:t> 个月</w:t>
      </w:r>
      <w:r>
        <w:rPr/>
        <w:t>（声带完全切除不受此时间限制</w:t>
      </w:r>
      <w:r>
        <w:rPr>
          <w:spacing w:val="-105"/>
        </w:rPr>
        <w:t>）</w:t>
      </w:r>
      <w:r>
        <w:rPr>
          <w:spacing w:val="-1"/>
        </w:rPr>
        <w:t>，仍无法通过现有医疗手段恢复。</w:t>
      </w:r>
    </w:p>
    <w:p>
      <w:pPr>
        <w:pStyle w:val="BodyText"/>
        <w:spacing w:before="7"/>
        <w:ind w:left="105"/>
      </w:pPr>
      <w:r>
        <w:rPr/>
        <w:t>精神心理因素所致的语言能力丧失不在保障范围内。</w:t>
      </w:r>
    </w:p>
    <w:p>
      <w:pPr>
        <w:pStyle w:val="BodyText"/>
        <w:spacing w:line="273" w:lineRule="auto" w:before="36"/>
        <w:ind w:left="105" w:right="271"/>
      </w:pPr>
      <w:r>
        <w:rPr/>
        <w:t>被保险人申请理赔时年龄必须在三周岁以上，并且提供理赔当时的语言能力丧失诊断及检查证据。</w:t>
      </w:r>
    </w:p>
    <w:p>
      <w:pPr>
        <w:spacing w:after="0" w:line="273" w:lineRule="auto"/>
        <w:sectPr>
          <w:type w:val="continuous"/>
          <w:pgSz w:w="11910" w:h="16840"/>
          <w:pgMar w:top="300" w:bottom="280" w:left="1620" w:right="740"/>
          <w:cols w:num="2" w:equalWidth="0">
            <w:col w:w="1930" w:space="96"/>
            <w:col w:w="7524"/>
          </w:cols>
        </w:sectPr>
      </w:pPr>
    </w:p>
    <w:p>
      <w:pPr>
        <w:pStyle w:val="BodyText"/>
        <w:spacing w:before="12"/>
        <w:rPr>
          <w:sz w:val="14"/>
        </w:rPr>
      </w:pPr>
    </w:p>
    <w:p>
      <w:pPr>
        <w:spacing w:after="0"/>
        <w:rPr>
          <w:sz w:val="14"/>
        </w:rPr>
        <w:sectPr>
          <w:type w:val="continuous"/>
          <w:pgSz w:w="11910" w:h="16840"/>
          <w:pgMar w:top="300" w:bottom="280" w:left="1620" w:right="740"/>
        </w:sectPr>
      </w:pPr>
    </w:p>
    <w:p>
      <w:pPr>
        <w:pStyle w:val="Heading4"/>
        <w:spacing w:line="204" w:lineRule="auto"/>
      </w:pPr>
      <w:r>
        <w:rPr/>
        <w:t>23、重型再生障碍性贫血</w:t>
      </w:r>
    </w:p>
    <w:p>
      <w:pPr>
        <w:pStyle w:val="BodyText"/>
        <w:spacing w:line="273" w:lineRule="auto" w:before="40"/>
        <w:ind w:left="105" w:right="50"/>
      </w:pPr>
      <w:r>
        <w:rPr/>
        <w:br w:type="column"/>
      </w:r>
      <w:r>
        <w:rPr/>
        <w:t>指因骨髓造血功能慢性持续性衰竭导致的贫血、中性粒细胞减少及血小板减少， 须满足下列全部条件：</w:t>
      </w:r>
    </w:p>
    <w:p>
      <w:pPr>
        <w:pStyle w:val="BodyText"/>
        <w:spacing w:before="7"/>
        <w:ind w:left="105"/>
      </w:pPr>
      <w:r>
        <w:rPr/>
        <w:t>（1）骨髓穿刺检查或骨髓活检结果支持诊断；</w:t>
      </w:r>
    </w:p>
    <w:p>
      <w:pPr>
        <w:pStyle w:val="BodyText"/>
        <w:spacing w:before="36"/>
        <w:ind w:left="105"/>
      </w:pPr>
      <w:r>
        <w:rPr/>
        <w:t>（2）外周血象必须具备以下三项条件：</w:t>
      </w:r>
    </w:p>
    <w:p>
      <w:pPr>
        <w:pStyle w:val="BodyText"/>
        <w:spacing w:before="36"/>
        <w:ind w:left="525"/>
      </w:pPr>
      <w:r>
        <w:rPr/>
        <w:t>①中性粒细胞绝对值≤0.5×10</w:t>
      </w:r>
      <w:r>
        <w:rPr>
          <w:position w:val="11"/>
          <w:sz w:val="11"/>
        </w:rPr>
        <w:t>9</w:t>
      </w:r>
      <w:r>
        <w:rPr/>
        <w:t>/L；</w:t>
      </w:r>
    </w:p>
    <w:p>
      <w:pPr>
        <w:pStyle w:val="BodyText"/>
        <w:spacing w:before="36"/>
        <w:ind w:left="525"/>
      </w:pPr>
      <w:r>
        <w:rPr/>
        <w:t>②网织红细胞＜1%；</w:t>
      </w:r>
    </w:p>
    <w:p>
      <w:pPr>
        <w:pStyle w:val="BodyText"/>
        <w:spacing w:before="36"/>
        <w:ind w:left="525"/>
      </w:pPr>
      <w:r>
        <w:rPr>
          <w:w w:val="95"/>
        </w:rPr>
        <w:t>③血小板绝对值≤20×</w:t>
      </w:r>
      <w:r>
        <w:rPr>
          <w:rFonts w:ascii="Times New Roman" w:hAnsi="Times New Roman" w:eastAsia="Times New Roman"/>
          <w:w w:val="95"/>
        </w:rPr>
        <w:t>10</w:t>
      </w:r>
      <w:r>
        <w:rPr>
          <w:rFonts w:ascii="Times New Roman" w:hAnsi="Times New Roman" w:eastAsia="Times New Roman"/>
          <w:w w:val="95"/>
          <w:vertAlign w:val="superscript"/>
        </w:rPr>
        <w:t>9</w:t>
      </w:r>
      <w:r>
        <w:rPr>
          <w:rFonts w:ascii="Times New Roman" w:hAnsi="Times New Roman" w:eastAsia="Times New Roman"/>
          <w:w w:val="95"/>
          <w:vertAlign w:val="baseline"/>
        </w:rPr>
      </w:r>
      <w:r>
        <w:rPr>
          <w:w w:val="95"/>
          <w:vertAlign w:val="baseline"/>
        </w:rPr>
        <w:t>/L。</w:t>
      </w:r>
    </w:p>
    <w:p>
      <w:pPr>
        <w:spacing w:after="0"/>
        <w:sectPr>
          <w:type w:val="continuous"/>
          <w:pgSz w:w="11910" w:h="16840"/>
          <w:pgMar w:top="300" w:bottom="280" w:left="1620" w:right="740"/>
          <w:cols w:num="2" w:equalWidth="0">
            <w:col w:w="1930" w:space="96"/>
            <w:col w:w="7524"/>
          </w:cols>
        </w:sectPr>
      </w:pPr>
    </w:p>
    <w:p>
      <w:pPr>
        <w:pStyle w:val="BodyText"/>
        <w:spacing w:before="10"/>
        <w:rPr>
          <w:sz w:val="19"/>
        </w:rPr>
      </w:pPr>
    </w:p>
    <w:p>
      <w:pPr>
        <w:pStyle w:val="BodyText"/>
        <w:spacing w:line="312" w:lineRule="exact" w:before="36"/>
        <w:ind w:left="2131" w:right="218" w:hanging="2026"/>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31"/>
      </w:pPr>
      <w:r>
        <w:rPr/>
        <w:t>动脉内血管成形术不在保障范围内。</w:t>
      </w:r>
    </w:p>
    <w:p>
      <w:pPr>
        <w:pStyle w:val="BodyText"/>
        <w:spacing w:before="1"/>
        <w:rPr>
          <w:sz w:val="17"/>
        </w:rPr>
      </w:pPr>
    </w:p>
    <w:p>
      <w:pPr>
        <w:spacing w:after="0"/>
        <w:rPr>
          <w:sz w:val="17"/>
        </w:rPr>
        <w:sectPr>
          <w:type w:val="continuous"/>
          <w:pgSz w:w="11910" w:h="16840"/>
          <w:pgMar w:top="300" w:bottom="280" w:left="1620" w:right="740"/>
        </w:sectPr>
      </w:pPr>
    </w:p>
    <w:p>
      <w:pPr>
        <w:pStyle w:val="Heading4"/>
        <w:spacing w:line="204" w:lineRule="auto"/>
      </w:pPr>
      <w:r>
        <w:rPr/>
        <w:t>25、慢性呼吸功能衰竭</w:t>
      </w:r>
    </w:p>
    <w:p>
      <w:pPr>
        <w:pStyle w:val="BodyText"/>
        <w:spacing w:line="273" w:lineRule="auto" w:before="40"/>
        <w:ind w:left="105" w:right="218"/>
      </w:pPr>
      <w:r>
        <w:rPr/>
        <w:br w:type="column"/>
      </w:r>
      <w:r>
        <w:rPr/>
        <w:t>慢性肺部疾病导致永久不可逆性的慢性呼吸功能衰竭。慢性呼吸功能衰竭必须明确诊断并满足下列全部条件：</w:t>
      </w:r>
    </w:p>
    <w:p>
      <w:pPr>
        <w:pStyle w:val="BodyText"/>
        <w:spacing w:before="7"/>
        <w:ind w:left="105"/>
      </w:pPr>
      <w:r>
        <w:rPr/>
        <w:t>（1）休息时出现呼吸困难；</w:t>
      </w:r>
    </w:p>
    <w:p>
      <w:pPr>
        <w:pStyle w:val="BodyText"/>
        <w:spacing w:before="36"/>
        <w:ind w:left="105"/>
      </w:pPr>
      <w:r>
        <w:rPr/>
        <w:t>（2）动脉血氧分压（PaO2）&lt;50mmHg；</w:t>
      </w:r>
    </w:p>
    <w:p>
      <w:pPr>
        <w:pStyle w:val="BodyText"/>
        <w:spacing w:before="36"/>
        <w:ind w:left="105"/>
      </w:pPr>
      <w:r>
        <w:rPr/>
        <w:t>（3）动脉血氧饱和度（SaO2）&lt;80％；</w:t>
      </w:r>
    </w:p>
    <w:p>
      <w:pPr>
        <w:pStyle w:val="BodyText"/>
        <w:spacing w:before="36"/>
        <w:ind w:left="105"/>
      </w:pPr>
      <w:r>
        <w:rPr/>
        <w:t>（4）因缺氧必须接受持续的输氧治疗。</w:t>
      </w:r>
    </w:p>
    <w:p>
      <w:pPr>
        <w:spacing w:after="0"/>
        <w:sectPr>
          <w:type w:val="continuous"/>
          <w:pgSz w:w="11910" w:h="16840"/>
          <w:pgMar w:top="300" w:bottom="280" w:left="1620" w:right="740"/>
          <w:cols w:num="2" w:equalWidth="0">
            <w:col w:w="1930" w:space="96"/>
            <w:col w:w="7524"/>
          </w:cols>
        </w:sectPr>
      </w:pPr>
    </w:p>
    <w:p>
      <w:pPr>
        <w:pStyle w:val="BodyText"/>
        <w:spacing w:before="1"/>
        <w:rPr>
          <w:sz w:val="17"/>
        </w:rPr>
      </w:pPr>
    </w:p>
    <w:p>
      <w:pPr>
        <w:spacing w:after="0"/>
        <w:rPr>
          <w:sz w:val="17"/>
        </w:rPr>
        <w:sectPr>
          <w:type w:val="continuous"/>
          <w:pgSz w:w="11910" w:h="16840"/>
          <w:pgMar w:top="300" w:bottom="280" w:left="1620" w:right="740"/>
        </w:sectPr>
      </w:pPr>
    </w:p>
    <w:p>
      <w:pPr>
        <w:pStyle w:val="Heading4"/>
        <w:spacing w:line="204" w:lineRule="auto"/>
      </w:pPr>
      <w:r>
        <w:rPr>
          <w:w w:val="95"/>
        </w:rPr>
        <w:t>26、严重多发性硬</w:t>
      </w:r>
      <w:r>
        <w:rPr/>
        <w:t>化</w:t>
      </w:r>
    </w:p>
    <w:p>
      <w:pPr>
        <w:pStyle w:val="BodyText"/>
        <w:spacing w:line="273" w:lineRule="auto" w:before="40"/>
        <w:ind w:left="105" w:right="218"/>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8"/>
        <w:ind w:left="105"/>
        <w:jc w:val="both"/>
      </w:pPr>
      <w:r>
        <w:rPr/>
        <w:t>（1）移动：自己从一个房间到另一个房间；或者</w:t>
      </w:r>
    </w:p>
    <w:p>
      <w:pPr>
        <w:pStyle w:val="BodyText"/>
        <w:ind w:left="105"/>
        <w:jc w:val="both"/>
      </w:pPr>
      <w:r>
        <w:rPr/>
        <w:t>（2）进食：自己从已准备好的碗或碟中取食物放入口中。</w:t>
      </w:r>
    </w:p>
    <w:p>
      <w:pPr>
        <w:spacing w:after="0"/>
        <w:jc w:val="both"/>
        <w:sectPr>
          <w:type w:val="continuous"/>
          <w:pgSz w:w="11910" w:h="16840"/>
          <w:pgMar w:top="300" w:bottom="280" w:left="1620" w:right="740"/>
          <w:cols w:num="2" w:equalWidth="0">
            <w:col w:w="1817" w:space="208"/>
            <w:col w:w="7525"/>
          </w:cols>
        </w:sectPr>
      </w:pPr>
    </w:p>
    <w:p>
      <w:pPr>
        <w:pStyle w:val="BodyText"/>
        <w:spacing w:before="2"/>
        <w:rPr>
          <w:sz w:val="17"/>
        </w:rPr>
      </w:pPr>
    </w:p>
    <w:p>
      <w:pPr>
        <w:tabs>
          <w:tab w:pos="2131" w:val="left" w:leader="none"/>
        </w:tabs>
        <w:spacing w:line="319" w:lineRule="exact" w:before="0"/>
        <w:ind w:left="105"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131"/>
      </w:pPr>
      <w:r>
        <w:rPr/>
        <w:t>（1）符合坏死性筋膜炎的一般临床表现；</w:t>
      </w:r>
    </w:p>
    <w:p>
      <w:pPr>
        <w:pStyle w:val="BodyText"/>
        <w:ind w:left="2131"/>
      </w:pPr>
      <w:r>
        <w:rPr/>
        <w:t>（2）细菌培养检出致病菌；</w:t>
      </w:r>
    </w:p>
    <w:p>
      <w:pPr>
        <w:pStyle w:val="BodyText"/>
        <w:spacing w:line="273" w:lineRule="auto"/>
        <w:ind w:left="2131" w:right="112"/>
      </w:pPr>
      <w:r>
        <w:rPr>
          <w:spacing w:val="-27"/>
        </w:rPr>
        <w:t>（3）</w:t>
      </w:r>
      <w:r>
        <w:rPr>
          <w:spacing w:val="-6"/>
        </w:rPr>
        <w:t>出现广泛性肌肉及软组织坏死，并导致身体受影响部位永久完全失去功能。所谓永久完全失去功能是指受影响部位的功能丧失超过六个月者。</w:t>
      </w:r>
    </w:p>
    <w:p>
      <w:pPr>
        <w:spacing w:after="0" w:line="273" w:lineRule="auto"/>
        <w:sectPr>
          <w:type w:val="continuous"/>
          <w:pgSz w:w="11910" w:h="16840"/>
          <w:pgMar w:top="300" w:bottom="280" w:left="1620" w:right="740"/>
        </w:sectPr>
      </w:pPr>
    </w:p>
    <w:p>
      <w:pPr>
        <w:pStyle w:val="Heading4"/>
        <w:spacing w:line="204" w:lineRule="auto" w:before="0"/>
      </w:pPr>
      <w:r>
        <w:rPr>
          <w:w w:val="95"/>
        </w:rPr>
        <w:t>28、急性坏死性胰</w:t>
      </w:r>
      <w:r>
        <w:rPr/>
        <w:t>腺炎</w:t>
      </w:r>
    </w:p>
    <w:p>
      <w:pPr>
        <w:pStyle w:val="BodyText"/>
        <w:spacing w:line="273" w:lineRule="auto" w:before="26"/>
        <w:ind w:left="105" w:right="171"/>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pgSz w:w="11910" w:h="16840"/>
          <w:pgMar w:header="0" w:footer="442" w:top="1320" w:bottom="640" w:left="1620" w:right="840"/>
          <w:cols w:num="2" w:equalWidth="0">
            <w:col w:w="1817" w:space="208"/>
            <w:col w:w="7425"/>
          </w:cols>
        </w:sectPr>
      </w:pPr>
    </w:p>
    <w:p>
      <w:pPr>
        <w:pStyle w:val="BodyText"/>
        <w:spacing w:before="11"/>
        <w:rPr>
          <w:sz w:val="14"/>
        </w:rPr>
      </w:pPr>
    </w:p>
    <w:p>
      <w:pPr>
        <w:spacing w:after="0"/>
        <w:rPr>
          <w:sz w:val="14"/>
        </w:rPr>
        <w:sectPr>
          <w:type w:val="continuous"/>
          <w:pgSz w:w="11910" w:h="16840"/>
          <w:pgMar w:top="300" w:bottom="280" w:left="1620" w:right="840"/>
        </w:sectPr>
      </w:pPr>
    </w:p>
    <w:p>
      <w:pPr>
        <w:pStyle w:val="Heading4"/>
        <w:spacing w:line="204" w:lineRule="auto"/>
      </w:pPr>
      <w:r>
        <w:rPr/>
        <w:t>29、全身性重症ft 无力</w:t>
      </w:r>
    </w:p>
    <w:p>
      <w:pPr>
        <w:pStyle w:val="BodyText"/>
        <w:spacing w:line="273" w:lineRule="auto" w:before="40"/>
        <w:ind w:left="105" w:right="118"/>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05"/>
      </w:pPr>
      <w:r>
        <w:rPr/>
        <w:t>（1）经药物治疗和胸腺切除治疗一年以上仍无法控制病情；</w:t>
      </w:r>
    </w:p>
    <w:p>
      <w:pPr>
        <w:pStyle w:val="BodyText"/>
        <w:spacing w:line="273" w:lineRule="auto"/>
        <w:ind w:left="105" w:right="118"/>
        <w:jc w:val="both"/>
      </w:pPr>
      <w:r>
        <w:rPr>
          <w:spacing w:val="-9"/>
        </w:rPr>
        <w:t>（2）</w:t>
      </w:r>
      <w:r>
        <w:rPr>
          <w:spacing w:val="-3"/>
        </w:rPr>
        <w:t>自主生活能力完全丧失，无法独立完成六项基本日常生活活动中的三项或三项以上。</w:t>
      </w:r>
    </w:p>
    <w:p>
      <w:pPr>
        <w:spacing w:after="0" w:line="273" w:lineRule="auto"/>
        <w:jc w:val="both"/>
        <w:sectPr>
          <w:type w:val="continuous"/>
          <w:pgSz w:w="11910" w:h="16840"/>
          <w:pgMar w:top="300" w:bottom="280" w:left="1620" w:right="840"/>
          <w:cols w:num="2" w:equalWidth="0">
            <w:col w:w="1930" w:space="96"/>
            <w:col w:w="7424"/>
          </w:cols>
        </w:sectPr>
      </w:pPr>
    </w:p>
    <w:p>
      <w:pPr>
        <w:pStyle w:val="BodyText"/>
        <w:spacing w:before="11"/>
        <w:rPr>
          <w:sz w:val="14"/>
        </w:rPr>
      </w:pPr>
    </w:p>
    <w:p>
      <w:pPr>
        <w:pStyle w:val="BodyText"/>
        <w:spacing w:line="312" w:lineRule="exact" w:before="36"/>
        <w:ind w:left="2131" w:right="118" w:hanging="2026"/>
        <w:jc w:val="both"/>
      </w:pPr>
      <w:r>
        <w:rPr>
          <w:rFonts w:ascii="Microsoft JhengHei" w:eastAsia="Microsoft JhengHei" w:hint="eastAsia"/>
          <w:b/>
          <w:position w:val="2"/>
        </w:rPr>
        <w:t>30、严重心ft</w:t>
      </w:r>
      <w:r>
        <w:rPr>
          <w:rFonts w:ascii="Microsoft JhengHei" w:eastAsia="Microsoft JhengHei" w:hint="eastAsia"/>
          <w:b/>
          <w:spacing w:val="2"/>
          <w:position w:val="2"/>
        </w:rPr>
        <w:t>病        </w:t>
      </w:r>
      <w:r>
        <w:rPr/>
        <w:t>指被保险人因心肌病导致慢性心功能损害造成永久不可逆性的心功能衰竭。心</w:t>
      </w:r>
      <w:r>
        <w:rPr>
          <w:spacing w:val="-3"/>
        </w:rPr>
        <w:t>功能衰竭程度达到纽约心脏病学会的心功能分级标准之心功能 </w:t>
      </w:r>
      <w:r>
        <w:rPr/>
        <w:t>IV</w:t>
      </w:r>
      <w:r>
        <w:rPr>
          <w:spacing w:val="-18"/>
        </w:rPr>
        <w:t> 级。被保险人永久不可逆性的体力活动能力受限，不能从事任何体力活动。</w:t>
      </w:r>
    </w:p>
    <w:p>
      <w:pPr>
        <w:pStyle w:val="BodyText"/>
        <w:spacing w:before="9"/>
        <w:rPr>
          <w:sz w:val="14"/>
        </w:rPr>
      </w:pPr>
    </w:p>
    <w:p>
      <w:pPr>
        <w:spacing w:after="0"/>
        <w:rPr>
          <w:sz w:val="14"/>
        </w:rPr>
        <w:sectPr>
          <w:type w:val="continuous"/>
          <w:pgSz w:w="11910" w:h="16840"/>
          <w:pgMar w:top="300" w:bottom="280" w:left="1620" w:right="840"/>
        </w:sectPr>
      </w:pPr>
    </w:p>
    <w:p>
      <w:pPr>
        <w:pStyle w:val="Heading4"/>
        <w:spacing w:line="204" w:lineRule="auto"/>
      </w:pPr>
      <w:r>
        <w:rPr>
          <w:w w:val="95"/>
        </w:rPr>
        <w:t>31</w:t>
      </w:r>
      <w:r>
        <w:rPr>
          <w:spacing w:val="-11"/>
          <w:w w:val="95"/>
        </w:rPr>
        <w:t>、严重类风湿性关</w:t>
      </w:r>
      <w:r>
        <w:rPr>
          <w:spacing w:val="-11"/>
        </w:rPr>
        <w:t>节炎</w:t>
      </w:r>
    </w:p>
    <w:p>
      <w:pPr>
        <w:pStyle w:val="BodyText"/>
        <w:spacing w:line="273" w:lineRule="auto" w:before="40"/>
        <w:ind w:left="105" w:right="117"/>
        <w:jc w:val="both"/>
      </w:pPr>
      <w:r>
        <w:rPr/>
        <w:br w:type="column"/>
      </w:r>
      <w:r>
        <w:rPr/>
        <w:t>类风湿性关节炎为广泛分布的慢性进行性多关节病变，表现为关节严重变形， 侵犯至少三个主要关节或关节组（如：双手（多手指）关节、双足（多足趾） </w:t>
      </w:r>
      <w:r>
        <w:rPr>
          <w:spacing w:val="-6"/>
        </w:rPr>
        <w:t>关节、双腕关节、双膝关节和双髋关节</w:t>
      </w:r>
      <w:r>
        <w:rPr>
          <w:spacing w:val="-105"/>
        </w:rPr>
        <w:t>）</w:t>
      </w:r>
      <w:r>
        <w:rPr>
          <w:spacing w:val="-4"/>
        </w:rPr>
        <w:t>。类风湿性关节炎必须明确诊断并且已</w:t>
      </w:r>
      <w:r>
        <w:rPr>
          <w:spacing w:val="-6"/>
        </w:rPr>
        <w:t>经达到类风湿性关节炎功能分级 </w:t>
      </w:r>
      <w:r>
        <w:rPr/>
        <w:t>III</w:t>
      </w:r>
      <w:r>
        <w:rPr>
          <w:spacing w:val="-6"/>
        </w:rPr>
        <w:t> 级以上的功能障碍</w:t>
      </w:r>
      <w:r>
        <w:rPr/>
        <w:t>（关节活动严重限制， 不能完成大部分的日常工作和活动）并且满足下列全部条件：</w:t>
      </w:r>
    </w:p>
    <w:p>
      <w:pPr>
        <w:pStyle w:val="BodyText"/>
        <w:spacing w:before="8"/>
        <w:ind w:left="105"/>
        <w:jc w:val="both"/>
      </w:pPr>
      <w:r>
        <w:rPr/>
        <w:t>（1）晨僵；</w:t>
      </w:r>
    </w:p>
    <w:p>
      <w:pPr>
        <w:pStyle w:val="BodyText"/>
        <w:ind w:left="105"/>
        <w:jc w:val="both"/>
      </w:pPr>
      <w:r>
        <w:rPr/>
        <w:t>（2）对称性关节炎；</w:t>
      </w:r>
    </w:p>
    <w:p>
      <w:pPr>
        <w:pStyle w:val="BodyText"/>
        <w:ind w:left="105"/>
        <w:jc w:val="both"/>
      </w:pPr>
      <w:r>
        <w:rPr/>
        <w:t>（3）类风湿性皮下结节；</w:t>
      </w:r>
    </w:p>
    <w:p>
      <w:pPr>
        <w:pStyle w:val="BodyText"/>
        <w:ind w:left="105"/>
        <w:jc w:val="both"/>
      </w:pPr>
      <w:r>
        <w:rPr/>
        <w:t>（4）类风湿因子滴度升高；</w:t>
      </w:r>
    </w:p>
    <w:p>
      <w:pPr>
        <w:pStyle w:val="BodyText"/>
        <w:ind w:left="105"/>
        <w:jc w:val="both"/>
      </w:pPr>
      <w:r>
        <w:rPr/>
        <w:t>（5）X 线显示严重的关节（软骨和骨）破坏和关节畸形。</w:t>
      </w:r>
    </w:p>
    <w:p>
      <w:pPr>
        <w:spacing w:after="0"/>
        <w:jc w:val="both"/>
        <w:sectPr>
          <w:type w:val="continuous"/>
          <w:pgSz w:w="11910" w:h="16840"/>
          <w:pgMar w:top="300" w:bottom="280" w:left="1620" w:right="840"/>
          <w:cols w:num="2" w:equalWidth="0">
            <w:col w:w="1917" w:space="109"/>
            <w:col w:w="7424"/>
          </w:cols>
        </w:sectPr>
      </w:pPr>
    </w:p>
    <w:p>
      <w:pPr>
        <w:pStyle w:val="BodyText"/>
        <w:spacing w:before="2"/>
        <w:rPr>
          <w:sz w:val="17"/>
        </w:rPr>
      </w:pPr>
    </w:p>
    <w:p>
      <w:pPr>
        <w:spacing w:after="0"/>
        <w:rPr>
          <w:sz w:val="17"/>
        </w:rPr>
        <w:sectPr>
          <w:type w:val="continuous"/>
          <w:pgSz w:w="11910" w:h="16840"/>
          <w:pgMar w:top="300" w:bottom="280" w:left="1620" w:right="840"/>
        </w:sectPr>
      </w:pPr>
    </w:p>
    <w:p>
      <w:pPr>
        <w:pStyle w:val="Heading4"/>
        <w:spacing w:line="204" w:lineRule="auto"/>
        <w:jc w:val="both"/>
      </w:pPr>
      <w:r>
        <w:rPr/>
        <w:t>32、系统性红斑狼疮－III 型或以上狼疮性肾炎</w:t>
      </w:r>
    </w:p>
    <w:p>
      <w:pPr>
        <w:pStyle w:val="BodyText"/>
        <w:spacing w:line="273" w:lineRule="auto" w:before="39"/>
        <w:ind w:left="105" w:right="118"/>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5" w:right="116"/>
        <w:jc w:val="both"/>
      </w:pPr>
      <w:r>
        <w:rPr/>
        <w:t>本保单所指的系统性红斑狼疮仅限于累及肾脏（</w:t>
      </w:r>
      <w:r>
        <w:rPr>
          <w:spacing w:val="2"/>
        </w:rPr>
        <w:t>经肾脏活检确认的，符合 </w:t>
      </w:r>
      <w:r>
        <w:rPr/>
        <w:t>WHO </w:t>
      </w:r>
      <w:r>
        <w:rPr>
          <w:spacing w:val="-6"/>
        </w:rPr>
        <w:t>诊断标准定义 </w:t>
      </w:r>
      <w:r>
        <w:rPr/>
        <w:t>III</w:t>
      </w:r>
      <w:r>
        <w:rPr>
          <w:spacing w:val="-21"/>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05"/>
        <w:jc w:val="both"/>
      </w:pPr>
      <w:r>
        <w:rPr/>
        <w:t>世界卫生组织（WHO）狼疮性肾炎分型：</w:t>
      </w:r>
    </w:p>
    <w:p>
      <w:pPr>
        <w:pStyle w:val="ListParagraph"/>
        <w:numPr>
          <w:ilvl w:val="0"/>
          <w:numId w:val="15"/>
        </w:numPr>
        <w:tabs>
          <w:tab w:pos="316" w:val="left" w:leader="none"/>
        </w:tabs>
        <w:spacing w:line="240" w:lineRule="auto" w:before="36" w:after="0"/>
        <w:ind w:left="315" w:right="0" w:hanging="210"/>
        <w:jc w:val="both"/>
        <w:rPr>
          <w:sz w:val="21"/>
        </w:rPr>
      </w:pPr>
      <w:r>
        <w:rPr>
          <w:sz w:val="21"/>
        </w:rPr>
        <w:t>型（微小病变型）</w:t>
      </w:r>
      <w:r>
        <w:rPr>
          <w:spacing w:val="2"/>
          <w:sz w:val="21"/>
        </w:rPr>
        <w:t>       镜下阴性，尿液正常</w:t>
      </w:r>
    </w:p>
    <w:p>
      <w:pPr>
        <w:pStyle w:val="ListParagraph"/>
        <w:numPr>
          <w:ilvl w:val="0"/>
          <w:numId w:val="15"/>
        </w:numPr>
        <w:tabs>
          <w:tab w:pos="421" w:val="left" w:leader="none"/>
        </w:tabs>
        <w:spacing w:line="240" w:lineRule="auto" w:before="36" w:after="0"/>
        <w:ind w:left="420" w:right="0" w:hanging="315"/>
        <w:jc w:val="both"/>
        <w:rPr>
          <w:sz w:val="21"/>
        </w:rPr>
      </w:pPr>
      <w:r>
        <w:rPr>
          <w:sz w:val="21"/>
        </w:rPr>
        <w:t>型（系膜病变型）      中度蛋白尿，偶有尿沉渣改变</w:t>
      </w:r>
    </w:p>
    <w:p>
      <w:pPr>
        <w:pStyle w:val="ListParagraph"/>
        <w:numPr>
          <w:ilvl w:val="0"/>
          <w:numId w:val="15"/>
        </w:numPr>
        <w:tabs>
          <w:tab w:pos="526" w:val="left" w:leader="none"/>
        </w:tabs>
        <w:spacing w:line="240" w:lineRule="auto" w:before="36" w:after="0"/>
        <w:ind w:left="525" w:right="0" w:hanging="420"/>
        <w:jc w:val="both"/>
        <w:rPr>
          <w:sz w:val="21"/>
        </w:rPr>
      </w:pPr>
      <w:r>
        <w:rPr>
          <w:spacing w:val="-1"/>
          <w:sz w:val="21"/>
        </w:rPr>
        <w:t>型（</w:t>
      </w:r>
      <w:r>
        <w:rPr>
          <w:sz w:val="21"/>
        </w:rPr>
        <w:t>局灶及节段增生型）蛋白尿，尿沉渣改变</w:t>
      </w:r>
    </w:p>
    <w:p>
      <w:pPr>
        <w:pStyle w:val="ListParagraph"/>
        <w:numPr>
          <w:ilvl w:val="0"/>
          <w:numId w:val="15"/>
        </w:numPr>
        <w:tabs>
          <w:tab w:pos="421" w:val="left" w:leader="none"/>
        </w:tabs>
        <w:spacing w:line="240" w:lineRule="auto" w:before="36" w:after="0"/>
        <w:ind w:left="420" w:right="0" w:hanging="315"/>
        <w:jc w:val="both"/>
        <w:rPr>
          <w:sz w:val="21"/>
        </w:rPr>
      </w:pPr>
      <w:r>
        <w:rPr>
          <w:sz w:val="21"/>
        </w:rPr>
        <w:t>型（弥漫增生型）      急性肾炎伴有尿沉渣改变及</w:t>
      </w:r>
    </w:p>
    <w:p>
      <w:pPr>
        <w:pStyle w:val="BodyText"/>
        <w:spacing w:before="36"/>
        <w:ind w:left="2819" w:right="3094"/>
        <w:jc w:val="center"/>
      </w:pPr>
      <w:r>
        <w:rPr/>
        <w:t>／或肾病综合征</w:t>
      </w:r>
    </w:p>
    <w:p>
      <w:pPr>
        <w:pStyle w:val="ListParagraph"/>
        <w:numPr>
          <w:ilvl w:val="0"/>
          <w:numId w:val="15"/>
        </w:numPr>
        <w:tabs>
          <w:tab w:pos="316" w:val="left" w:leader="none"/>
          <w:tab w:pos="2835" w:val="left" w:leader="none"/>
        </w:tabs>
        <w:spacing w:line="240" w:lineRule="auto" w:before="36" w:after="0"/>
        <w:ind w:left="315"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300" w:bottom="280" w:left="1620" w:right="840"/>
          <w:cols w:num="2" w:equalWidth="0">
            <w:col w:w="1930" w:space="96"/>
            <w:col w:w="7424"/>
          </w:cols>
        </w:sectPr>
      </w:pPr>
    </w:p>
    <w:p>
      <w:pPr>
        <w:pStyle w:val="Heading4"/>
        <w:spacing w:line="204" w:lineRule="auto" w:before="0"/>
        <w:jc w:val="both"/>
      </w:pPr>
      <w:r>
        <w:rPr/>
        <w:t>33、因职业关系导致的人类免疫缺陷</w:t>
      </w:r>
      <w:r>
        <w:rPr>
          <w:w w:val="95"/>
        </w:rPr>
        <w:t>病毒（HIV）感染</w:t>
      </w:r>
    </w:p>
    <w:p>
      <w:pPr>
        <w:pStyle w:val="BodyText"/>
        <w:spacing w:line="273" w:lineRule="auto" w:before="19"/>
        <w:ind w:left="105" w:right="118"/>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05" w:right="55"/>
      </w:pPr>
      <w:r>
        <w:rPr/>
        <w:t>（1）感染必须是在被保险人正在从事其职业工作中发生，该职业必须属于以下列表内的职业；</w:t>
      </w:r>
    </w:p>
    <w:p>
      <w:pPr>
        <w:pStyle w:val="BodyText"/>
        <w:spacing w:before="7"/>
        <w:ind w:left="105"/>
      </w:pPr>
      <w:r>
        <w:rPr/>
        <w:t>（2）血清转化必须出现在事故发生后的 6 个月以内；</w:t>
      </w:r>
    </w:p>
    <w:p>
      <w:pPr>
        <w:pStyle w:val="BodyText"/>
        <w:spacing w:line="273" w:lineRule="auto"/>
        <w:ind w:left="105" w:right="118"/>
      </w:pPr>
      <w:r>
        <w:rPr>
          <w:spacing w:val="-9"/>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5" w:right="118"/>
      </w:pPr>
      <w:r>
        <w:rPr/>
        <w:t>（4）</w:t>
      </w:r>
      <w:r>
        <w:rPr>
          <w:spacing w:val="-5"/>
        </w:rPr>
        <w:t>必须在事故发生后的 </w:t>
      </w:r>
      <w:r>
        <w:rPr/>
        <w:t>12</w:t>
      </w:r>
      <w:r>
        <w:rPr>
          <w:spacing w:val="-10"/>
        </w:rPr>
        <w:t> 个月内证实被保险人体内存在 </w:t>
      </w:r>
      <w:r>
        <w:rPr/>
        <w:t>HIV</w:t>
      </w:r>
      <w:r>
        <w:rPr>
          <w:spacing w:val="-19"/>
        </w:rPr>
        <w:t> 病毒或 </w:t>
      </w:r>
      <w:r>
        <w:rPr/>
        <w:t>HIV</w:t>
      </w:r>
      <w:r>
        <w:rPr>
          <w:spacing w:val="-23"/>
        </w:rPr>
        <w:t> 抗</w:t>
      </w:r>
      <w:r>
        <w:rPr>
          <w:spacing w:val="-1"/>
        </w:rPr>
        <w:t>体。职业限制如下所示:</w:t>
      </w:r>
    </w:p>
    <w:p>
      <w:pPr>
        <w:pStyle w:val="BodyText"/>
        <w:spacing w:line="273" w:lineRule="auto" w:before="7"/>
        <w:ind w:left="105" w:right="171"/>
      </w:pPr>
      <w:r>
        <w:rPr/>
        <w:t>医生和牙科医生、护士、实验室工作人员、医院护工、医生助理和牙医助理、救护车工作人员、助产士、消防队员、警察、狱警。</w:t>
      </w:r>
    </w:p>
    <w:p>
      <w:pPr>
        <w:spacing w:after="0" w:line="273" w:lineRule="auto"/>
        <w:sectPr>
          <w:pgSz w:w="11910" w:h="16840"/>
          <w:pgMar w:header="0" w:footer="442" w:top="1100" w:bottom="640" w:left="1620" w:right="840"/>
          <w:cols w:num="2" w:equalWidth="0">
            <w:col w:w="1934" w:space="92"/>
            <w:col w:w="7424"/>
          </w:cols>
        </w:sectPr>
      </w:pPr>
    </w:p>
    <w:p>
      <w:pPr>
        <w:pStyle w:val="BodyText"/>
        <w:spacing w:before="4"/>
        <w:rPr>
          <w:sz w:val="14"/>
        </w:rPr>
      </w:pPr>
    </w:p>
    <w:p>
      <w:pPr>
        <w:spacing w:after="0"/>
        <w:rPr>
          <w:sz w:val="14"/>
        </w:rPr>
        <w:sectPr>
          <w:type w:val="continuous"/>
          <w:pgSz w:w="11910" w:h="16840"/>
          <w:pgMar w:top="300" w:bottom="280" w:left="1620" w:right="840"/>
        </w:sectPr>
      </w:pPr>
    </w:p>
    <w:p>
      <w:pPr>
        <w:pStyle w:val="Heading4"/>
        <w:spacing w:line="204" w:lineRule="auto"/>
      </w:pPr>
      <w:r>
        <w:rPr/>
        <w:t>34、经输血导致的人类免疫缺陷病毒</w:t>
      </w:r>
    </w:p>
    <w:p>
      <w:pPr>
        <w:spacing w:line="312" w:lineRule="exact" w:before="0"/>
        <w:ind w:left="105"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40"/>
        <w:ind w:left="105"/>
      </w:pPr>
      <w:r>
        <w:rPr/>
        <w:br w:type="column"/>
      </w:r>
      <w:r>
        <w:rPr/>
        <w:t>被保险人感染上人类免疫缺陷病毒（HIV）并且满足下列全部条件：</w:t>
      </w:r>
    </w:p>
    <w:p>
      <w:pPr>
        <w:pStyle w:val="BodyText"/>
        <w:ind w:left="105"/>
      </w:pPr>
      <w:r>
        <w:rPr/>
        <w:t>（1）在保障起始日或复效日之后，被保险人因输血而感染 HIV；</w:t>
      </w:r>
    </w:p>
    <w:p>
      <w:pPr>
        <w:pStyle w:val="BodyText"/>
        <w:spacing w:line="273" w:lineRule="auto"/>
        <w:ind w:left="105" w:right="113"/>
      </w:pPr>
      <w:r>
        <w:rPr/>
        <w:t>（2）提供输血治疗的输血中心或医院出具该项输血感染属医疗责任事故的报告，或法院终审裁定为医疗责任并且不准上诉；</w:t>
      </w:r>
    </w:p>
    <w:p>
      <w:pPr>
        <w:pStyle w:val="BodyText"/>
        <w:spacing w:before="7"/>
        <w:ind w:left="105"/>
      </w:pPr>
      <w:r>
        <w:rPr/>
        <w:t>（3）受感染的被保险人不是血友病患者。</w:t>
      </w:r>
    </w:p>
    <w:p>
      <w:pPr>
        <w:pStyle w:val="BodyText"/>
        <w:spacing w:before="36"/>
        <w:ind w:left="105"/>
      </w:pPr>
      <w:r>
        <w:rPr/>
        <w:t>在任何治愈艾滋病（AIDS）或阻止 HIV 病毒作用的疗法被发现以后，或能防止</w:t>
      </w:r>
    </w:p>
    <w:p>
      <w:pPr>
        <w:pStyle w:val="BodyText"/>
        <w:spacing w:before="36"/>
        <w:ind w:left="105"/>
      </w:pPr>
      <w:r>
        <w:rPr/>
        <w:t>AIDS 发生的医疗方法被研究出来以后，本保障将不再予以赔付。</w:t>
      </w:r>
    </w:p>
    <w:p>
      <w:pPr>
        <w:pStyle w:val="BodyText"/>
        <w:spacing w:line="273" w:lineRule="auto" w:before="36"/>
        <w:ind w:left="105" w:right="171"/>
        <w:jc w:val="both"/>
      </w:pPr>
      <w:r>
        <w:rPr/>
        <w:t>任何因其他传播方式（包括：性传播或静脉注射毒品）</w:t>
      </w:r>
      <w:r>
        <w:rPr>
          <w:spacing w:val="-14"/>
        </w:rPr>
        <w:t>导致的 </w:t>
      </w:r>
      <w:r>
        <w:rPr/>
        <w:t>HIV</w:t>
      </w:r>
      <w:r>
        <w:rPr>
          <w:spacing w:val="-10"/>
        </w:rPr>
        <w:t> 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300" w:bottom="280" w:left="1620" w:right="840"/>
          <w:cols w:num="2" w:equalWidth="0">
            <w:col w:w="1934" w:space="92"/>
            <w:col w:w="7424"/>
          </w:cols>
        </w:sectPr>
      </w:pPr>
    </w:p>
    <w:p>
      <w:pPr>
        <w:pStyle w:val="BodyText"/>
        <w:spacing w:before="11"/>
        <w:rPr>
          <w:sz w:val="14"/>
        </w:rPr>
      </w:pPr>
    </w:p>
    <w:p>
      <w:pPr>
        <w:pStyle w:val="BodyText"/>
        <w:spacing w:line="312" w:lineRule="exact" w:before="35"/>
        <w:ind w:left="2131" w:right="171" w:hanging="2026"/>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tabs>
          <w:tab w:pos="2131" w:val="left" w:leader="none"/>
        </w:tabs>
        <w:spacing w:line="268" w:lineRule="auto" w:before="145"/>
        <w:ind w:left="2131" w:right="171" w:hanging="2026"/>
        <w:jc w:val="both"/>
      </w:pPr>
      <w:r>
        <w:rPr>
          <w:rFonts w:ascii="Microsoft JhengHei" w:eastAsia="Microsoft JhengHei" w:hint="eastAsia"/>
          <w:b/>
          <w:position w:val="2"/>
        </w:rPr>
        <w:t>36、1</w:t>
      </w:r>
      <w:r>
        <w:rPr>
          <w:rFonts w:ascii="Microsoft JhengHei" w:eastAsia="Microsoft JhengHei" w:hint="eastAsia"/>
          <w:b/>
          <w:spacing w:val="-12"/>
          <w:position w:val="2"/>
        </w:rPr>
        <w:t> </w:t>
      </w:r>
      <w:r>
        <w:rPr>
          <w:rFonts w:ascii="Microsoft JhengHei" w:eastAsia="Microsoft JhengHei" w:hint="eastAsia"/>
          <w:b/>
          <w:position w:val="2"/>
        </w:rPr>
        <w:t>型糖尿病</w:t>
        <w:tab/>
      </w:r>
      <w:r>
        <w:rPr/>
        <w:t>1</w:t>
      </w:r>
      <w:r>
        <w:rPr>
          <w:spacing w:val="-54"/>
        </w:rPr>
        <w:t> </w:t>
      </w:r>
      <w:r>
        <w:rPr/>
        <w:t>型尿病的特征为由于胰岛素分泌绝对不足引起胰岛素严重缺乏导致慢血糖升高，需要依赖外源性胰岛素进行机体的葡萄糖代谢和维持生命。被保险人的</w:t>
      </w:r>
      <w:r>
        <w:rPr>
          <w:spacing w:val="-53"/>
        </w:rPr>
        <w:t> </w:t>
      </w:r>
      <w:r>
        <w:rPr/>
        <w:t>1 型糖尿病必须确诊明确，而且有血胰岛素测定及血</w:t>
      </w:r>
      <w:r>
        <w:rPr>
          <w:spacing w:val="-54"/>
        </w:rPr>
        <w:t> </w:t>
      </w:r>
      <w:r>
        <w:rPr/>
        <w:t>C</w:t>
      </w:r>
      <w:r>
        <w:rPr>
          <w:spacing w:val="-53"/>
        </w:rPr>
        <w:t> </w:t>
      </w:r>
      <w:r>
        <w:rPr/>
        <w:t>肽或尿</w:t>
      </w:r>
      <w:r>
        <w:rPr>
          <w:spacing w:val="-54"/>
        </w:rPr>
        <w:t> </w:t>
      </w:r>
      <w:r>
        <w:rPr/>
        <w:t>C</w:t>
      </w:r>
      <w:r>
        <w:rPr>
          <w:spacing w:val="-53"/>
        </w:rPr>
        <w:t> </w:t>
      </w:r>
      <w:r>
        <w:rPr/>
        <w:t>肽测定结果支持诊断，并且已经持续性地接收外源性胰岛素注射治疗连续</w:t>
      </w:r>
      <w:r>
        <w:rPr>
          <w:spacing w:val="-53"/>
        </w:rPr>
        <w:t> </w:t>
      </w:r>
      <w:r>
        <w:rPr/>
        <w:t>180</w:t>
      </w:r>
      <w:r>
        <w:rPr>
          <w:spacing w:val="-52"/>
        </w:rPr>
        <w:t> </w:t>
      </w:r>
      <w:r>
        <w:rPr/>
        <w:t>天以上。</w:t>
      </w:r>
    </w:p>
    <w:p>
      <w:pPr>
        <w:tabs>
          <w:tab w:pos="2131" w:val="left" w:leader="none"/>
        </w:tabs>
        <w:spacing w:before="152"/>
        <w:ind w:left="105" w:right="0" w:firstLine="0"/>
        <w:jc w:val="left"/>
        <w:rPr>
          <w:sz w:val="21"/>
        </w:rPr>
      </w:pPr>
      <w:r>
        <w:rPr>
          <w:rFonts w:ascii="Microsoft JhengHei" w:eastAsia="Microsoft JhengHei" w:hint="eastAsia"/>
          <w:b/>
          <w:position w:val="2"/>
          <w:sz w:val="21"/>
        </w:rPr>
        <w:t>37、严重川崎病</w:t>
        <w:tab/>
      </w:r>
      <w:r>
        <w:rPr>
          <w:sz w:val="21"/>
        </w:rPr>
        <w:t>川崎病为一病因不明的系统性血管炎。</w:t>
      </w:r>
    </w:p>
    <w:p>
      <w:pPr>
        <w:pStyle w:val="BodyText"/>
        <w:spacing w:line="273" w:lineRule="auto" w:before="33"/>
        <w:ind w:left="2131" w:right="171"/>
      </w:pPr>
      <w:r>
        <w:rPr/>
        <w:t>本保单仅对诊断性检查证实川崎病并发动脉瘤或其他血管异常并且实际接受了手术治疗的情况予以理赔。</w:t>
      </w:r>
    </w:p>
    <w:p>
      <w:pPr>
        <w:pStyle w:val="BodyText"/>
        <w:spacing w:before="11"/>
        <w:rPr>
          <w:sz w:val="14"/>
        </w:rPr>
      </w:pPr>
    </w:p>
    <w:p>
      <w:pPr>
        <w:spacing w:after="0"/>
        <w:rPr>
          <w:sz w:val="14"/>
        </w:rPr>
        <w:sectPr>
          <w:type w:val="continuous"/>
          <w:pgSz w:w="11910" w:h="16840"/>
          <w:pgMar w:top="300" w:bottom="280" w:left="1620" w:right="840"/>
        </w:sectPr>
      </w:pPr>
    </w:p>
    <w:p>
      <w:pPr>
        <w:pStyle w:val="Heading4"/>
        <w:spacing w:line="204" w:lineRule="auto"/>
      </w:pPr>
      <w:r>
        <w:rPr/>
        <w:t>38、严重幼年型类风湿关节炎</w:t>
      </w:r>
    </w:p>
    <w:p>
      <w:pPr>
        <w:pStyle w:val="BodyText"/>
        <w:spacing w:line="273" w:lineRule="auto" w:before="40"/>
        <w:ind w:left="105" w:right="118"/>
      </w:pPr>
      <w:r>
        <w:rPr/>
        <w:br w:type="column"/>
      </w:r>
      <w:r>
        <w:rPr/>
        <w:t>幼年类风湿性关节炎是一种儿童期发病的慢性关节炎，其特点为在高热和系统性病征出现数月后发生关节炎。</w:t>
      </w:r>
    </w:p>
    <w:p>
      <w:pPr>
        <w:pStyle w:val="BodyText"/>
        <w:spacing w:line="273" w:lineRule="auto" w:before="7"/>
        <w:ind w:left="105" w:right="171"/>
      </w:pPr>
      <w:r>
        <w:rPr/>
        <w:t>本保单仅对实际接受了膝关节或髋关节置换手术治疗的严重的幼年型类风湿关节炎予以理赔。</w:t>
      </w:r>
    </w:p>
    <w:p>
      <w:pPr>
        <w:spacing w:after="0" w:line="273" w:lineRule="auto"/>
        <w:sectPr>
          <w:type w:val="continuous"/>
          <w:pgSz w:w="11910" w:h="16840"/>
          <w:pgMar w:top="300" w:bottom="280" w:left="1620" w:right="840"/>
          <w:cols w:num="2" w:equalWidth="0">
            <w:col w:w="1930" w:space="96"/>
            <w:col w:w="7424"/>
          </w:cols>
        </w:sectPr>
      </w:pPr>
    </w:p>
    <w:p>
      <w:pPr>
        <w:pStyle w:val="BodyText"/>
        <w:spacing w:before="11"/>
        <w:rPr>
          <w:sz w:val="14"/>
        </w:rPr>
      </w:pPr>
    </w:p>
    <w:p>
      <w:pPr>
        <w:spacing w:after="0"/>
        <w:rPr>
          <w:sz w:val="14"/>
        </w:rPr>
        <w:sectPr>
          <w:type w:val="continuous"/>
          <w:pgSz w:w="11910" w:h="16840"/>
          <w:pgMar w:top="300" w:bottom="280" w:left="1620" w:right="840"/>
        </w:sectPr>
      </w:pPr>
    </w:p>
    <w:p>
      <w:pPr>
        <w:pStyle w:val="Heading4"/>
        <w:spacing w:line="204" w:lineRule="auto"/>
        <w:jc w:val="both"/>
      </w:pPr>
      <w:r>
        <w:rPr>
          <w:w w:val="95"/>
        </w:rPr>
        <w:t>39、疾病或外伤所</w:t>
      </w:r>
      <w:r>
        <w:rPr/>
        <w:t>导致智力障碍（残疾）</w:t>
      </w:r>
    </w:p>
    <w:p>
      <w:pPr>
        <w:pStyle w:val="BodyText"/>
        <w:spacing w:line="273" w:lineRule="auto" w:before="39"/>
        <w:ind w:left="105" w:right="117"/>
        <w:jc w:val="both"/>
      </w:pPr>
      <w:r>
        <w:rPr/>
        <w:br w:type="column"/>
      </w:r>
      <w:r>
        <w:rPr/>
        <w:t>因头部严重创伤或疾病造成被保险人智力低常（</w:t>
      </w:r>
      <w:r>
        <w:rPr>
          <w:spacing w:val="2"/>
        </w:rPr>
        <w:t>智力低于 常态</w:t>
      </w:r>
      <w:r>
        <w:rPr>
          <w:spacing w:val="-104"/>
        </w:rPr>
        <w:t>）</w:t>
      </w:r>
      <w:r>
        <w:rPr/>
        <w:t>、智力残疾或学习障碍。根据智商</w:t>
      </w:r>
      <w:r>
        <w:rPr>
          <w:spacing w:val="0"/>
        </w:rPr>
        <w:t>（</w:t>
      </w:r>
      <w:r>
        <w:rPr>
          <w:spacing w:val="-1"/>
        </w:rPr>
        <w:t>I</w:t>
      </w:r>
      <w:r>
        <w:rPr>
          <w:spacing w:val="2"/>
        </w:rPr>
        <w:t>Q</w:t>
      </w:r>
      <w:r>
        <w:rPr>
          <w:spacing w:val="0"/>
        </w:rPr>
        <w:t>）</w:t>
      </w:r>
      <w:r>
        <w:rPr/>
        <w:t>智力低常分为轻度</w:t>
      </w:r>
      <w:r>
        <w:rPr>
          <w:spacing w:val="0"/>
        </w:rPr>
        <w:t>（</w:t>
      </w:r>
      <w:r>
        <w:rPr>
          <w:spacing w:val="-1"/>
        </w:rPr>
        <w:t>I</w:t>
      </w:r>
      <w:r>
        <w:rPr/>
        <w:t>Q</w:t>
      </w:r>
      <w:r>
        <w:rPr>
          <w:spacing w:val="-1"/>
        </w:rPr>
        <w:t>5</w:t>
      </w:r>
      <w:r>
        <w:rPr/>
        <w:t>0</w:t>
      </w:r>
      <w:r>
        <w:rPr>
          <w:spacing w:val="-1"/>
        </w:rPr>
        <w:t>-</w:t>
      </w:r>
      <w:r>
        <w:rPr/>
        <w:t>7</w:t>
      </w:r>
      <w:r>
        <w:rPr>
          <w:spacing w:val="1"/>
        </w:rPr>
        <w:t>0</w:t>
      </w:r>
      <w:r>
        <w:rPr>
          <w:spacing w:val="-105"/>
        </w:rPr>
        <w:t>）</w:t>
      </w:r>
      <w:r>
        <w:rPr/>
        <w:t>、中度</w:t>
      </w:r>
      <w:r>
        <w:rPr>
          <w:spacing w:val="1"/>
        </w:rPr>
        <w:t>（</w:t>
      </w:r>
      <w:r>
        <w:rPr>
          <w:spacing w:val="-1"/>
        </w:rPr>
        <w:t>I</w:t>
      </w:r>
      <w:r>
        <w:rPr/>
        <w:t>Q</w:t>
      </w:r>
      <w:r>
        <w:rPr>
          <w:spacing w:val="-1"/>
        </w:rPr>
        <w:t>3</w:t>
      </w:r>
      <w:r>
        <w:rPr/>
        <w:t>5</w:t>
      </w:r>
      <w:r>
        <w:rPr>
          <w:spacing w:val="-1"/>
        </w:rPr>
        <w:t>-5</w:t>
      </w:r>
      <w:r>
        <w:rPr>
          <w:spacing w:val="0"/>
        </w:rPr>
        <w:t>0</w:t>
      </w:r>
      <w:r>
        <w:rPr>
          <w:spacing w:val="-104"/>
        </w:rPr>
        <w:t>）</w:t>
      </w:r>
      <w:r>
        <w:rPr/>
        <w:t>、</w:t>
      </w:r>
      <w:r>
        <w:rPr>
          <w:spacing w:val="-6"/>
        </w:rPr>
        <w:t>重度</w:t>
      </w:r>
      <w:r>
        <w:rPr/>
        <w:t>（IQ</w:t>
      </w:r>
      <w:r>
        <w:rPr>
          <w:spacing w:val="-1"/>
        </w:rPr>
        <w:t>2</w:t>
      </w:r>
      <w:r>
        <w:rPr/>
        <w:t>5</w:t>
      </w:r>
      <w:r>
        <w:rPr>
          <w:spacing w:val="-1"/>
        </w:rPr>
        <w:t>-</w:t>
      </w:r>
      <w:r>
        <w:rPr/>
        <w:t>30</w:t>
      </w:r>
      <w:r>
        <w:rPr>
          <w:spacing w:val="-11"/>
        </w:rPr>
        <w:t>）</w:t>
      </w:r>
      <w:r>
        <w:rPr>
          <w:spacing w:val="-4"/>
        </w:rPr>
        <w:t>和极重度</w:t>
      </w:r>
      <w:r>
        <w:rPr/>
        <w:t>（IQ</w:t>
      </w:r>
      <w:r>
        <w:rPr>
          <w:spacing w:val="-1"/>
        </w:rPr>
        <w:t>&lt;</w:t>
      </w:r>
      <w:r>
        <w:rPr/>
        <w:t>2</w:t>
      </w:r>
      <w:r>
        <w:rPr>
          <w:spacing w:val="-1"/>
        </w:rPr>
        <w:t>0</w:t>
      </w:r>
      <w:r>
        <w:rPr>
          <w:spacing w:val="-106"/>
        </w:rPr>
        <w:t>）</w:t>
      </w:r>
      <w:r>
        <w:rPr>
          <w:spacing w:val="-17"/>
        </w:rPr>
        <w:t>。智商 </w:t>
      </w:r>
      <w:r>
        <w:rPr>
          <w:spacing w:val="-1"/>
        </w:rPr>
        <w:t>70-8</w:t>
      </w:r>
      <w:r>
        <w:rPr/>
        <w:t>5</w:t>
      </w:r>
      <w:r>
        <w:rPr>
          <w:spacing w:val="-10"/>
        </w:rPr>
        <w:t> 为智力临界低常。智商的检测</w:t>
      </w:r>
      <w:r>
        <w:rPr/>
        <w:t>必须由本公司认可的专职心理测验工作者进行，心理测验工作者必须持有由心理测量专业委员会颁发的资格认定书，根据被保险人年龄采用对应的智力量表如韦克斯勒智力量表（儿童智力量表或成人智力量表</w:t>
      </w:r>
      <w:r>
        <w:rPr>
          <w:spacing w:val="-105"/>
        </w:rPr>
        <w:t>）</w:t>
      </w:r>
      <w:r>
        <w:rPr/>
        <w:t>。</w:t>
      </w:r>
    </w:p>
    <w:p>
      <w:pPr>
        <w:pStyle w:val="BodyText"/>
        <w:spacing w:before="7"/>
        <w:ind w:left="105"/>
        <w:jc w:val="both"/>
      </w:pPr>
      <w:r>
        <w:rPr/>
        <w:t>理赔时必须满足下列全部条件：</w:t>
      </w:r>
    </w:p>
    <w:p>
      <w:pPr>
        <w:spacing w:after="0"/>
        <w:jc w:val="both"/>
        <w:sectPr>
          <w:type w:val="continuous"/>
          <w:pgSz w:w="11910" w:h="16840"/>
          <w:pgMar w:top="300" w:bottom="280" w:left="1620" w:right="840"/>
          <w:cols w:num="2" w:equalWidth="0">
            <w:col w:w="1817" w:space="208"/>
            <w:col w:w="7425"/>
          </w:cols>
        </w:sectPr>
      </w:pPr>
    </w:p>
    <w:p>
      <w:pPr>
        <w:pStyle w:val="BodyText"/>
        <w:spacing w:before="19"/>
        <w:ind w:left="2891"/>
      </w:pPr>
      <w:r>
        <w:rPr/>
        <w:t>（1）被保险人大于或等于六周岁；</w:t>
      </w:r>
    </w:p>
    <w:p>
      <w:pPr>
        <w:pStyle w:val="BodyText"/>
        <w:ind w:left="2891"/>
      </w:pPr>
      <w:r>
        <w:rPr/>
        <w:t>（2）儿科主任医师确诊被保险人由于严重头部创伤或疾病造成智力低下；</w:t>
      </w:r>
    </w:p>
    <w:p>
      <w:pPr>
        <w:pStyle w:val="BodyText"/>
        <w:spacing w:line="273" w:lineRule="auto"/>
        <w:ind w:left="2891" w:right="112"/>
      </w:pPr>
      <w:r>
        <w:rPr>
          <w:spacing w:val="-27"/>
        </w:rPr>
        <w:t>（3）</w:t>
      </w:r>
      <w:r>
        <w:rPr>
          <w:spacing w:val="-3"/>
        </w:rPr>
        <w:t>专职合格心理检测工作者适时做的心理检测证实被保险人智力低常</w:t>
      </w:r>
      <w:r>
        <w:rPr/>
        <w:t>（轻度、中度、重度、极重度</w:t>
      </w:r>
      <w:r>
        <w:rPr>
          <w:spacing w:val="-105"/>
        </w:rPr>
        <w:t>）</w:t>
      </w:r>
      <w:r>
        <w:rPr/>
        <w:t>；</w:t>
      </w:r>
    </w:p>
    <w:p>
      <w:pPr>
        <w:pStyle w:val="BodyText"/>
        <w:spacing w:before="7"/>
        <w:ind w:left="2891"/>
      </w:pPr>
      <w:r>
        <w:rPr/>
        <w:t>（</w:t>
      </w:r>
      <w:r>
        <w:rPr>
          <w:rFonts w:ascii="Times New Roman" w:eastAsia="Times New Roman"/>
        </w:rPr>
        <w:t>4</w:t>
      </w:r>
      <w:r>
        <w:rPr/>
        <w:t>）被保险人的智力低常自确认起持续 </w:t>
      </w:r>
      <w:r>
        <w:rPr>
          <w:rFonts w:ascii="Times New Roman" w:eastAsia="Times New Roman"/>
        </w:rPr>
        <w:t>180 </w:t>
      </w:r>
      <w:r>
        <w:rPr/>
        <w:t>天以上。</w:t>
      </w:r>
    </w:p>
    <w:p>
      <w:pPr>
        <w:tabs>
          <w:tab w:pos="2025" w:val="left" w:leader="none"/>
        </w:tabs>
        <w:spacing w:before="160"/>
        <w:ind w:left="0" w:right="35" w:firstLine="0"/>
        <w:jc w:val="center"/>
        <w:rPr>
          <w:sz w:val="21"/>
        </w:rPr>
      </w:pPr>
      <w:r>
        <w:rPr>
          <w:rFonts w:ascii="Microsoft JhengHei" w:eastAsia="Microsoft JhengHei" w:hint="eastAsia"/>
          <w:b/>
          <w:position w:val="2"/>
          <w:sz w:val="21"/>
        </w:rPr>
        <w:t>40、严重哮喘</w:t>
        <w:tab/>
      </w:r>
      <w:r>
        <w:rPr>
          <w:sz w:val="21"/>
        </w:rPr>
        <w:t>严重哮喘诊断必须明确诊断，并且满足下列标准中的三项或三项以上：</w:t>
      </w:r>
    </w:p>
    <w:p>
      <w:pPr>
        <w:pStyle w:val="BodyText"/>
        <w:spacing w:before="32"/>
        <w:ind w:left="2891"/>
      </w:pPr>
      <w:r>
        <w:rPr/>
        <w:t>（1）过去两年中有哮喘持续状态病史；</w:t>
      </w:r>
    </w:p>
    <w:p>
      <w:pPr>
        <w:pStyle w:val="BodyText"/>
        <w:spacing w:before="36"/>
        <w:ind w:left="2891"/>
      </w:pPr>
      <w:r>
        <w:rPr/>
        <w:t>（2）身体活动耐受能力显著且持续下降；</w:t>
      </w:r>
    </w:p>
    <w:p>
      <w:pPr>
        <w:pStyle w:val="BodyText"/>
        <w:spacing w:before="36"/>
        <w:ind w:left="2891"/>
      </w:pPr>
      <w:r>
        <w:rPr/>
        <w:t>（3）慢性肺部过度膨涨充气导致的胸廓畸形；</w:t>
      </w:r>
    </w:p>
    <w:p>
      <w:pPr>
        <w:pStyle w:val="BodyText"/>
        <w:spacing w:before="36"/>
        <w:ind w:left="2891"/>
      </w:pPr>
      <w:r>
        <w:rPr>
          <w:spacing w:val="-1"/>
        </w:rPr>
        <w:t>（</w:t>
      </w:r>
      <w:r>
        <w:rPr>
          <w:rFonts w:ascii="Times New Roman" w:eastAsia="Times New Roman"/>
          <w:spacing w:val="-1"/>
        </w:rPr>
        <w:t>4</w:t>
      </w:r>
      <w:r>
        <w:rPr>
          <w:spacing w:val="-1"/>
        </w:rPr>
        <w:t>）</w:t>
      </w:r>
      <w:r>
        <w:rPr/>
        <w:t>持续每日口服皮质类固醇激素（至少持续六个月以上</w:t>
      </w:r>
      <w:r>
        <w:rPr>
          <w:spacing w:val="-106"/>
        </w:rPr>
        <w:t>）</w:t>
      </w:r>
      <w:r>
        <w:rPr/>
        <w:t>。</w:t>
      </w:r>
    </w:p>
    <w:p>
      <w:pPr>
        <w:pStyle w:val="BodyText"/>
        <w:spacing w:line="266" w:lineRule="auto" w:before="160"/>
        <w:ind w:left="2891" w:right="218" w:hanging="2026"/>
        <w:jc w:val="both"/>
      </w:pPr>
      <w:r>
        <w:rPr>
          <w:rFonts w:ascii="Microsoft JhengHei" w:eastAsia="Microsoft JhengHei" w:hint="eastAsia"/>
          <w:b/>
          <w:position w:val="2"/>
        </w:rPr>
        <w:t>41、ft营养不良症    </w:t>
      </w:r>
      <w:r>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before="4"/>
        <w:rPr>
          <w:sz w:val="18"/>
        </w:rPr>
      </w:pPr>
    </w:p>
    <w:p>
      <w:pPr>
        <w:tabs>
          <w:tab w:pos="865" w:val="left" w:leader="none"/>
          <w:tab w:pos="2891" w:val="left" w:leader="none"/>
        </w:tabs>
        <w:spacing w:before="0"/>
        <w:ind w:left="101" w:right="0" w:firstLine="0"/>
        <w:jc w:val="left"/>
        <w:rPr>
          <w:sz w:val="21"/>
        </w:rPr>
      </w:pPr>
      <w:r>
        <w:rPr>
          <w:b/>
          <w:sz w:val="21"/>
        </w:rPr>
        <w:t>8.9</w:t>
        <w:tab/>
        <w:t>重大疾病分组</w:t>
        <w:tab/>
      </w:r>
      <w:r>
        <w:rPr>
          <w:sz w:val="21"/>
        </w:rPr>
        <w:t>本附加合同所列的</w:t>
      </w:r>
      <w:r>
        <w:rPr>
          <w:spacing w:val="-58"/>
          <w:sz w:val="21"/>
        </w:rPr>
        <w:t> </w:t>
      </w:r>
      <w:r>
        <w:rPr>
          <w:sz w:val="21"/>
        </w:rPr>
        <w:t>41</w:t>
      </w:r>
      <w:r>
        <w:rPr>
          <w:spacing w:val="-57"/>
          <w:sz w:val="21"/>
        </w:rPr>
        <w:t> </w:t>
      </w:r>
      <w:r>
        <w:rPr>
          <w:sz w:val="21"/>
        </w:rPr>
        <w:t>种重大疾病分为以下</w:t>
      </w:r>
      <w:r>
        <w:rPr>
          <w:spacing w:val="-58"/>
          <w:sz w:val="21"/>
        </w:rPr>
        <w:t> </w:t>
      </w:r>
      <w:r>
        <w:rPr>
          <w:sz w:val="21"/>
        </w:rPr>
        <w:t>2</w:t>
      </w:r>
      <w:r>
        <w:rPr>
          <w:spacing w:val="-57"/>
          <w:sz w:val="21"/>
        </w:rPr>
        <w:t> </w:t>
      </w:r>
      <w:r>
        <w:rPr>
          <w:sz w:val="21"/>
        </w:rPr>
        <w:t>组：</w:t>
      </w:r>
    </w:p>
    <w:p>
      <w:pPr>
        <w:pStyle w:val="Heading4"/>
        <w:spacing w:before="36" w:after="51"/>
        <w:ind w:left="728"/>
        <w:rPr>
          <w:rFonts w:ascii="宋体" w:eastAsia="宋体" w:hint="eastAsia"/>
        </w:rPr>
      </w:pPr>
      <w:r>
        <w:rPr>
          <w:rFonts w:ascii="宋体" w:eastAsia="宋体" w:hint="eastAsia"/>
        </w:rPr>
        <w:t>1、A 组重大疾病：</w:t>
      </w:r>
    </w:p>
    <w:tbl>
      <w:tblPr>
        <w:tblW w:w="0" w:type="auto"/>
        <w:jc w:val="left"/>
        <w:tblInd w:w="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4"/>
      </w:tblGrid>
      <w:tr>
        <w:trPr>
          <w:trHeight w:val="312" w:hRule="atLeast"/>
        </w:trPr>
        <w:tc>
          <w:tcPr>
            <w:tcW w:w="3115" w:type="dxa"/>
          </w:tcPr>
          <w:p>
            <w:pPr>
              <w:pStyle w:val="TableParagraph"/>
              <w:spacing w:line="261" w:lineRule="exact"/>
              <w:ind w:left="107"/>
              <w:rPr>
                <w:sz w:val="21"/>
              </w:rPr>
            </w:pPr>
            <w:r>
              <w:rPr>
                <w:sz w:val="21"/>
              </w:rPr>
              <w:t>1.恶性肿瘤；</w:t>
            </w:r>
          </w:p>
        </w:tc>
        <w:tc>
          <w:tcPr>
            <w:tcW w:w="3115" w:type="dxa"/>
          </w:tcPr>
          <w:p>
            <w:pPr>
              <w:pStyle w:val="TableParagraph"/>
              <w:spacing w:line="261" w:lineRule="exact"/>
              <w:ind w:left="107"/>
              <w:rPr>
                <w:sz w:val="21"/>
              </w:rPr>
            </w:pPr>
            <w:r>
              <w:rPr>
                <w:sz w:val="21"/>
              </w:rPr>
              <w:t>2.急性心肌梗塞；</w:t>
            </w:r>
          </w:p>
        </w:tc>
        <w:tc>
          <w:tcPr>
            <w:tcW w:w="3114" w:type="dxa"/>
          </w:tcPr>
          <w:p>
            <w:pPr>
              <w:pStyle w:val="TableParagraph"/>
              <w:spacing w:line="261" w:lineRule="exact"/>
              <w:ind w:left="107"/>
              <w:rPr>
                <w:sz w:val="21"/>
              </w:rPr>
            </w:pPr>
            <w:r>
              <w:rPr>
                <w:sz w:val="21"/>
              </w:rPr>
              <w:t>3.脑中风后遗症；</w:t>
            </w:r>
          </w:p>
        </w:tc>
      </w:tr>
      <w:tr>
        <w:trPr>
          <w:trHeight w:val="623" w:hRule="atLeast"/>
        </w:trPr>
        <w:tc>
          <w:tcPr>
            <w:tcW w:w="3115" w:type="dxa"/>
          </w:tcPr>
          <w:p>
            <w:pPr>
              <w:pStyle w:val="TableParagraph"/>
              <w:spacing w:line="260" w:lineRule="exact"/>
              <w:ind w:left="107"/>
              <w:rPr>
                <w:sz w:val="21"/>
              </w:rPr>
            </w:pPr>
            <w:r>
              <w:rPr>
                <w:sz w:val="21"/>
              </w:rPr>
              <w:t>4．重大器官移植术或造血干细</w:t>
            </w:r>
          </w:p>
          <w:p>
            <w:pPr>
              <w:pStyle w:val="TableParagraph"/>
              <w:spacing w:before="37"/>
              <w:ind w:left="107"/>
              <w:rPr>
                <w:sz w:val="21"/>
              </w:rPr>
            </w:pPr>
            <w:r>
              <w:rPr>
                <w:sz w:val="21"/>
              </w:rPr>
              <w:t>胞移植术；</w:t>
            </w:r>
          </w:p>
        </w:tc>
        <w:tc>
          <w:tcPr>
            <w:tcW w:w="3115" w:type="dxa"/>
          </w:tcPr>
          <w:p>
            <w:pPr>
              <w:pStyle w:val="TableParagraph"/>
              <w:spacing w:before="141"/>
              <w:ind w:left="108"/>
              <w:rPr>
                <w:sz w:val="21"/>
              </w:rPr>
            </w:pPr>
            <w:r>
              <w:rPr>
                <w:sz w:val="21"/>
              </w:rPr>
              <w:t>5.冠状动脉搭桥术；</w:t>
            </w:r>
          </w:p>
        </w:tc>
        <w:tc>
          <w:tcPr>
            <w:tcW w:w="3114" w:type="dxa"/>
          </w:tcPr>
          <w:p>
            <w:pPr>
              <w:pStyle w:val="TableParagraph"/>
              <w:spacing w:before="141"/>
              <w:ind w:left="108"/>
              <w:rPr>
                <w:sz w:val="21"/>
              </w:rPr>
            </w:pPr>
            <w:r>
              <w:rPr>
                <w:sz w:val="21"/>
              </w:rPr>
              <w:t>6.终末期肾病；</w:t>
            </w:r>
          </w:p>
        </w:tc>
      </w:tr>
      <w:tr>
        <w:trPr>
          <w:trHeight w:val="311" w:hRule="atLeast"/>
        </w:trPr>
        <w:tc>
          <w:tcPr>
            <w:tcW w:w="3115" w:type="dxa"/>
          </w:tcPr>
          <w:p>
            <w:pPr>
              <w:pStyle w:val="TableParagraph"/>
              <w:spacing w:line="260" w:lineRule="exact"/>
              <w:ind w:left="107"/>
              <w:rPr>
                <w:sz w:val="21"/>
              </w:rPr>
            </w:pPr>
            <w:r>
              <w:rPr>
                <w:sz w:val="21"/>
              </w:rPr>
              <w:t>7.多个肢体缺失；</w:t>
            </w:r>
          </w:p>
        </w:tc>
        <w:tc>
          <w:tcPr>
            <w:tcW w:w="3115" w:type="dxa"/>
          </w:tcPr>
          <w:p>
            <w:pPr>
              <w:pStyle w:val="TableParagraph"/>
              <w:spacing w:line="276" w:lineRule="exact"/>
              <w:ind w:left="108"/>
              <w:rPr>
                <w:sz w:val="21"/>
              </w:rPr>
            </w:pPr>
            <w:r>
              <w:rPr>
                <w:rFonts w:ascii="Times New Roman" w:eastAsia="Times New Roman"/>
                <w:sz w:val="21"/>
              </w:rPr>
              <w:t>8.</w:t>
            </w:r>
            <w:r>
              <w:rPr>
                <w:sz w:val="21"/>
              </w:rPr>
              <w:t>急性或亚急性重症肝炎；</w:t>
            </w:r>
          </w:p>
        </w:tc>
        <w:tc>
          <w:tcPr>
            <w:tcW w:w="3114" w:type="dxa"/>
          </w:tcPr>
          <w:p>
            <w:pPr>
              <w:pStyle w:val="TableParagraph"/>
              <w:spacing w:line="260" w:lineRule="exact"/>
              <w:ind w:left="108"/>
              <w:rPr>
                <w:sz w:val="21"/>
              </w:rPr>
            </w:pPr>
            <w:r>
              <w:rPr>
                <w:sz w:val="21"/>
              </w:rPr>
              <w:t>9.良性脑肿瘤；</w:t>
            </w:r>
          </w:p>
        </w:tc>
      </w:tr>
      <w:tr>
        <w:trPr>
          <w:trHeight w:val="624" w:hRule="atLeast"/>
        </w:trPr>
        <w:tc>
          <w:tcPr>
            <w:tcW w:w="3115" w:type="dxa"/>
          </w:tcPr>
          <w:p>
            <w:pPr>
              <w:pStyle w:val="TableParagraph"/>
              <w:spacing w:before="142"/>
              <w:ind w:left="107"/>
              <w:rPr>
                <w:sz w:val="21"/>
              </w:rPr>
            </w:pPr>
            <w:r>
              <w:rPr>
                <w:rFonts w:ascii="Times New Roman" w:eastAsia="Times New Roman"/>
                <w:sz w:val="21"/>
              </w:rPr>
              <w:t>10.</w:t>
            </w:r>
            <w:r>
              <w:rPr>
                <w:sz w:val="21"/>
              </w:rPr>
              <w:t>慢性肝功能衰竭失代偿期；</w:t>
            </w:r>
          </w:p>
        </w:tc>
        <w:tc>
          <w:tcPr>
            <w:tcW w:w="3115" w:type="dxa"/>
          </w:tcPr>
          <w:p>
            <w:pPr>
              <w:pStyle w:val="TableParagraph"/>
              <w:spacing w:line="261"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14" w:type="dxa"/>
          </w:tcPr>
          <w:p>
            <w:pPr>
              <w:pStyle w:val="TableParagraph"/>
              <w:spacing w:before="142"/>
              <w:ind w:left="108"/>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311" w:hRule="atLeast"/>
        </w:trPr>
        <w:tc>
          <w:tcPr>
            <w:tcW w:w="3115" w:type="dxa"/>
          </w:tcPr>
          <w:p>
            <w:pPr>
              <w:pStyle w:val="TableParagraph"/>
              <w:spacing w:line="260" w:lineRule="exact"/>
              <w:ind w:left="107"/>
              <w:rPr>
                <w:sz w:val="21"/>
              </w:rPr>
            </w:pPr>
            <w:r>
              <w:rPr>
                <w:sz w:val="21"/>
              </w:rPr>
              <w:t>13.双目失明-三周岁始理赔；</w:t>
            </w:r>
          </w:p>
        </w:tc>
        <w:tc>
          <w:tcPr>
            <w:tcW w:w="3115" w:type="dxa"/>
          </w:tcPr>
          <w:p>
            <w:pPr>
              <w:pStyle w:val="TableParagraph"/>
              <w:spacing w:line="260" w:lineRule="exact"/>
              <w:ind w:left="107"/>
              <w:rPr>
                <w:sz w:val="21"/>
              </w:rPr>
            </w:pPr>
            <w:r>
              <w:rPr>
                <w:sz w:val="21"/>
              </w:rPr>
              <w:t>14.瘫痪；</w:t>
            </w:r>
          </w:p>
        </w:tc>
        <w:tc>
          <w:tcPr>
            <w:tcW w:w="3114" w:type="dxa"/>
          </w:tcPr>
          <w:p>
            <w:pPr>
              <w:pStyle w:val="TableParagraph"/>
              <w:spacing w:line="276" w:lineRule="exact"/>
              <w:ind w:left="108"/>
              <w:rPr>
                <w:sz w:val="21"/>
              </w:rPr>
            </w:pPr>
            <w:r>
              <w:rPr>
                <w:rFonts w:ascii="Times New Roman" w:eastAsia="Times New Roman"/>
                <w:sz w:val="21"/>
              </w:rPr>
              <w:t>15.</w:t>
            </w:r>
            <w:r>
              <w:rPr>
                <w:sz w:val="21"/>
              </w:rPr>
              <w:t>心脏瓣膜手术；</w:t>
            </w:r>
          </w:p>
        </w:tc>
      </w:tr>
      <w:tr>
        <w:trPr>
          <w:trHeight w:val="623" w:hRule="atLeast"/>
        </w:trPr>
        <w:tc>
          <w:tcPr>
            <w:tcW w:w="3115" w:type="dxa"/>
          </w:tcPr>
          <w:p>
            <w:pPr>
              <w:pStyle w:val="TableParagraph"/>
              <w:spacing w:line="260" w:lineRule="exact"/>
              <w:ind w:left="107"/>
              <w:rPr>
                <w:sz w:val="21"/>
              </w:rPr>
            </w:pPr>
            <w:r>
              <w:rPr>
                <w:sz w:val="21"/>
              </w:rPr>
              <w:t>16.严重阿尔茨海默病-限七十</w:t>
            </w:r>
          </w:p>
          <w:p>
            <w:pPr>
              <w:pStyle w:val="TableParagraph"/>
              <w:spacing w:before="37"/>
              <w:ind w:left="107"/>
              <w:rPr>
                <w:sz w:val="21"/>
              </w:rPr>
            </w:pPr>
            <w:r>
              <w:rPr>
                <w:sz w:val="21"/>
              </w:rPr>
              <w:t>周岁前发病；</w:t>
            </w:r>
          </w:p>
        </w:tc>
        <w:tc>
          <w:tcPr>
            <w:tcW w:w="3115" w:type="dxa"/>
          </w:tcPr>
          <w:p>
            <w:pPr>
              <w:pStyle w:val="TableParagraph"/>
              <w:spacing w:before="141"/>
              <w:ind w:left="108"/>
              <w:rPr>
                <w:sz w:val="21"/>
              </w:rPr>
            </w:pPr>
            <w:r>
              <w:rPr>
                <w:sz w:val="21"/>
              </w:rPr>
              <w:t>17.严重脑损伤；</w:t>
            </w:r>
          </w:p>
        </w:tc>
        <w:tc>
          <w:tcPr>
            <w:tcW w:w="3114" w:type="dxa"/>
          </w:tcPr>
          <w:p>
            <w:pPr>
              <w:pStyle w:val="TableParagraph"/>
              <w:spacing w:before="141"/>
              <w:ind w:left="108"/>
              <w:rPr>
                <w:sz w:val="21"/>
              </w:rPr>
            </w:pPr>
            <w:r>
              <w:rPr>
                <w:rFonts w:ascii="Times New Roman" w:eastAsia="Times New Roman"/>
                <w:sz w:val="21"/>
              </w:rPr>
              <w:t>18.</w:t>
            </w:r>
            <w:r>
              <w:rPr>
                <w:sz w:val="21"/>
              </w:rPr>
              <w:t>严重帕金森病；</w:t>
            </w:r>
          </w:p>
        </w:tc>
      </w:tr>
      <w:tr>
        <w:trPr>
          <w:trHeight w:val="312" w:hRule="atLeast"/>
        </w:trPr>
        <w:tc>
          <w:tcPr>
            <w:tcW w:w="3115" w:type="dxa"/>
          </w:tcPr>
          <w:p>
            <w:pPr>
              <w:pStyle w:val="TableParagraph"/>
              <w:spacing w:line="261" w:lineRule="exact"/>
              <w:ind w:left="107"/>
              <w:rPr>
                <w:sz w:val="21"/>
              </w:rPr>
            </w:pPr>
            <w:r>
              <w:rPr>
                <w:sz w:val="21"/>
              </w:rPr>
              <w:t>19.严重 III 度烧伤；</w:t>
            </w:r>
          </w:p>
        </w:tc>
        <w:tc>
          <w:tcPr>
            <w:tcW w:w="3115" w:type="dxa"/>
          </w:tcPr>
          <w:p>
            <w:pPr>
              <w:pStyle w:val="TableParagraph"/>
              <w:spacing w:line="261" w:lineRule="exact"/>
              <w:ind w:left="108"/>
              <w:rPr>
                <w:sz w:val="21"/>
              </w:rPr>
            </w:pPr>
            <w:r>
              <w:rPr>
                <w:sz w:val="21"/>
              </w:rPr>
              <w:t>20.严重原发性肺动脉高压；</w:t>
            </w:r>
          </w:p>
        </w:tc>
        <w:tc>
          <w:tcPr>
            <w:tcW w:w="3114" w:type="dxa"/>
          </w:tcPr>
          <w:p>
            <w:pPr>
              <w:pStyle w:val="TableParagraph"/>
              <w:spacing w:line="277" w:lineRule="exact"/>
              <w:ind w:left="108"/>
              <w:rPr>
                <w:sz w:val="21"/>
              </w:rPr>
            </w:pPr>
            <w:r>
              <w:rPr>
                <w:rFonts w:ascii="Times New Roman" w:eastAsia="Times New Roman"/>
                <w:sz w:val="21"/>
              </w:rPr>
              <w:t>21.</w:t>
            </w:r>
            <w:r>
              <w:rPr>
                <w:sz w:val="21"/>
              </w:rPr>
              <w:t>严重运动神经元病；</w:t>
            </w:r>
          </w:p>
        </w:tc>
      </w:tr>
      <w:tr>
        <w:trPr>
          <w:trHeight w:val="623" w:hRule="atLeast"/>
        </w:trPr>
        <w:tc>
          <w:tcPr>
            <w:tcW w:w="3115" w:type="dxa"/>
          </w:tcPr>
          <w:p>
            <w:pPr>
              <w:pStyle w:val="TableParagraph"/>
              <w:spacing w:line="260" w:lineRule="exact"/>
              <w:ind w:left="107"/>
              <w:rPr>
                <w:sz w:val="21"/>
              </w:rPr>
            </w:pPr>
            <w:r>
              <w:rPr>
                <w:sz w:val="21"/>
              </w:rPr>
              <w:t>22.语言能力丧失-三周岁始理</w:t>
            </w:r>
          </w:p>
          <w:p>
            <w:pPr>
              <w:pStyle w:val="TableParagraph"/>
              <w:spacing w:before="37"/>
              <w:ind w:left="107"/>
              <w:rPr>
                <w:sz w:val="21"/>
              </w:rPr>
            </w:pPr>
            <w:r>
              <w:rPr>
                <w:sz w:val="21"/>
              </w:rPr>
              <w:t>赔；</w:t>
            </w:r>
          </w:p>
        </w:tc>
        <w:tc>
          <w:tcPr>
            <w:tcW w:w="3115" w:type="dxa"/>
          </w:tcPr>
          <w:p>
            <w:pPr>
              <w:pStyle w:val="TableParagraph"/>
              <w:spacing w:before="141"/>
              <w:ind w:left="108"/>
              <w:rPr>
                <w:sz w:val="21"/>
              </w:rPr>
            </w:pPr>
            <w:r>
              <w:rPr>
                <w:sz w:val="21"/>
              </w:rPr>
              <w:t>23.重型再生障碍性贫血；</w:t>
            </w:r>
          </w:p>
        </w:tc>
        <w:tc>
          <w:tcPr>
            <w:tcW w:w="3114" w:type="dxa"/>
          </w:tcPr>
          <w:p>
            <w:pPr>
              <w:pStyle w:val="TableParagraph"/>
              <w:spacing w:before="141"/>
              <w:ind w:left="108"/>
              <w:rPr>
                <w:sz w:val="21"/>
              </w:rPr>
            </w:pPr>
            <w:r>
              <w:rPr>
                <w:rFonts w:ascii="Times New Roman" w:eastAsia="Times New Roman"/>
                <w:sz w:val="21"/>
              </w:rPr>
              <w:t>24.</w:t>
            </w:r>
            <w:r>
              <w:rPr>
                <w:sz w:val="21"/>
              </w:rPr>
              <w:t>主动脉手术；</w:t>
            </w:r>
          </w:p>
        </w:tc>
      </w:tr>
      <w:tr>
        <w:trPr>
          <w:trHeight w:val="311" w:hRule="atLeast"/>
        </w:trPr>
        <w:tc>
          <w:tcPr>
            <w:tcW w:w="3115" w:type="dxa"/>
          </w:tcPr>
          <w:p>
            <w:pPr>
              <w:pStyle w:val="TableParagraph"/>
              <w:spacing w:line="260" w:lineRule="exact"/>
              <w:ind w:left="107"/>
              <w:rPr>
                <w:sz w:val="21"/>
              </w:rPr>
            </w:pPr>
            <w:r>
              <w:rPr>
                <w:sz w:val="21"/>
              </w:rPr>
              <w:t>25.慢性呼吸功能衰竭；</w:t>
            </w:r>
          </w:p>
        </w:tc>
        <w:tc>
          <w:tcPr>
            <w:tcW w:w="3115" w:type="dxa"/>
          </w:tcPr>
          <w:p>
            <w:pPr>
              <w:pStyle w:val="TableParagraph"/>
              <w:spacing w:line="276" w:lineRule="exact"/>
              <w:ind w:left="107"/>
              <w:rPr>
                <w:sz w:val="21"/>
              </w:rPr>
            </w:pPr>
            <w:r>
              <w:rPr>
                <w:rFonts w:ascii="Times New Roman" w:eastAsia="Times New Roman"/>
                <w:sz w:val="21"/>
              </w:rPr>
              <w:t>29.</w:t>
            </w:r>
            <w:r>
              <w:rPr>
                <w:sz w:val="21"/>
              </w:rPr>
              <w:t>全身性重症肌无力；</w:t>
            </w:r>
          </w:p>
        </w:tc>
        <w:tc>
          <w:tcPr>
            <w:tcW w:w="3114" w:type="dxa"/>
          </w:tcPr>
          <w:p>
            <w:pPr>
              <w:pStyle w:val="TableParagraph"/>
              <w:spacing w:line="260" w:lineRule="exact"/>
              <w:ind w:left="108"/>
              <w:rPr>
                <w:sz w:val="21"/>
              </w:rPr>
            </w:pPr>
            <w:r>
              <w:rPr>
                <w:sz w:val="21"/>
              </w:rPr>
              <w:t>30.严重心肌病；</w:t>
            </w:r>
          </w:p>
        </w:tc>
      </w:tr>
      <w:tr>
        <w:trPr>
          <w:trHeight w:val="624" w:hRule="atLeast"/>
        </w:trPr>
        <w:tc>
          <w:tcPr>
            <w:tcW w:w="3115" w:type="dxa"/>
          </w:tcPr>
          <w:p>
            <w:pPr>
              <w:pStyle w:val="TableParagraph"/>
              <w:spacing w:line="261" w:lineRule="exact"/>
              <w:ind w:left="107"/>
              <w:rPr>
                <w:sz w:val="21"/>
              </w:rPr>
            </w:pPr>
            <w:r>
              <w:rPr>
                <w:sz w:val="21"/>
              </w:rPr>
              <w:t>32.系统性红斑狼疮-III 型或</w:t>
            </w:r>
          </w:p>
          <w:p>
            <w:pPr>
              <w:pStyle w:val="TableParagraph"/>
              <w:spacing w:before="37"/>
              <w:ind w:left="107"/>
              <w:rPr>
                <w:sz w:val="21"/>
              </w:rPr>
            </w:pPr>
            <w:r>
              <w:rPr>
                <w:sz w:val="21"/>
              </w:rPr>
              <w:t>以上狼疮性肾炎；</w:t>
            </w:r>
          </w:p>
        </w:tc>
        <w:tc>
          <w:tcPr>
            <w:tcW w:w="3115" w:type="dxa"/>
          </w:tcPr>
          <w:p>
            <w:pPr>
              <w:pStyle w:val="TableParagraph"/>
              <w:spacing w:line="277" w:lineRule="exact"/>
              <w:ind w:left="108"/>
              <w:rPr>
                <w:sz w:val="21"/>
              </w:rPr>
            </w:pPr>
            <w:r>
              <w:rPr>
                <w:rFonts w:ascii="Times New Roman" w:eastAsia="Times New Roman"/>
                <w:sz w:val="21"/>
              </w:rPr>
              <w:t>34.</w:t>
            </w:r>
            <w:r>
              <w:rPr>
                <w:sz w:val="21"/>
              </w:rPr>
              <w:t>经输血导致的人类免疫缺陷</w:t>
            </w:r>
          </w:p>
          <w:p>
            <w:pPr>
              <w:pStyle w:val="TableParagraph"/>
              <w:spacing w:before="21"/>
              <w:ind w:left="108"/>
              <w:rPr>
                <w:sz w:val="21"/>
              </w:rPr>
            </w:pPr>
            <w:r>
              <w:rPr>
                <w:w w:val="95"/>
                <w:sz w:val="21"/>
              </w:rPr>
              <w:t>病毒感染（</w:t>
            </w:r>
            <w:r>
              <w:rPr>
                <w:rFonts w:ascii="Times New Roman" w:eastAsia="Times New Roman"/>
                <w:w w:val="95"/>
                <w:sz w:val="21"/>
              </w:rPr>
              <w:t>HIV</w:t>
            </w:r>
            <w:r>
              <w:rPr>
                <w:w w:val="95"/>
                <w:sz w:val="21"/>
              </w:rPr>
              <w:t>）；</w:t>
            </w:r>
          </w:p>
        </w:tc>
        <w:tc>
          <w:tcPr>
            <w:tcW w:w="3114" w:type="dxa"/>
          </w:tcPr>
          <w:p>
            <w:pPr>
              <w:pStyle w:val="TableParagraph"/>
              <w:spacing w:before="142"/>
              <w:ind w:left="108"/>
              <w:rPr>
                <w:sz w:val="21"/>
              </w:rPr>
            </w:pPr>
            <w:r>
              <w:rPr>
                <w:sz w:val="21"/>
              </w:rPr>
              <w:t>36.1 型糖尿病；</w:t>
            </w:r>
          </w:p>
        </w:tc>
      </w:tr>
      <w:tr>
        <w:trPr>
          <w:trHeight w:val="623" w:hRule="atLeast"/>
        </w:trPr>
        <w:tc>
          <w:tcPr>
            <w:tcW w:w="3115" w:type="dxa"/>
          </w:tcPr>
          <w:p>
            <w:pPr>
              <w:pStyle w:val="TableParagraph"/>
              <w:spacing w:before="141"/>
              <w:ind w:left="107"/>
              <w:rPr>
                <w:sz w:val="21"/>
              </w:rPr>
            </w:pPr>
            <w:r>
              <w:rPr>
                <w:sz w:val="21"/>
              </w:rPr>
              <w:t>37.严重川崎病；</w:t>
            </w:r>
          </w:p>
        </w:tc>
        <w:tc>
          <w:tcPr>
            <w:tcW w:w="3115" w:type="dxa"/>
          </w:tcPr>
          <w:p>
            <w:pPr>
              <w:pStyle w:val="TableParagraph"/>
              <w:spacing w:before="141"/>
              <w:ind w:left="107"/>
              <w:rPr>
                <w:sz w:val="21"/>
              </w:rPr>
            </w:pPr>
            <w:r>
              <w:rPr>
                <w:sz w:val="21"/>
              </w:rPr>
              <w:t>38．严重幼年型类风湿关节炎；</w:t>
            </w:r>
          </w:p>
        </w:tc>
        <w:tc>
          <w:tcPr>
            <w:tcW w:w="3114" w:type="dxa"/>
          </w:tcPr>
          <w:p>
            <w:pPr>
              <w:pStyle w:val="TableParagraph"/>
              <w:spacing w:line="260" w:lineRule="exact"/>
              <w:ind w:left="108"/>
              <w:rPr>
                <w:sz w:val="21"/>
              </w:rPr>
            </w:pPr>
            <w:r>
              <w:rPr>
                <w:sz w:val="21"/>
              </w:rPr>
              <w:t>39.疾病或外伤所导致智力障碍</w:t>
            </w:r>
          </w:p>
          <w:p>
            <w:pPr>
              <w:pStyle w:val="TableParagraph"/>
              <w:spacing w:before="37"/>
              <w:ind w:left="108"/>
              <w:rPr>
                <w:sz w:val="21"/>
              </w:rPr>
            </w:pPr>
            <w:r>
              <w:rPr>
                <w:sz w:val="21"/>
              </w:rPr>
              <w:t>（残疾）；</w:t>
            </w:r>
          </w:p>
        </w:tc>
      </w:tr>
      <w:tr>
        <w:trPr>
          <w:trHeight w:val="312" w:hRule="atLeast"/>
        </w:trPr>
        <w:tc>
          <w:tcPr>
            <w:tcW w:w="3115" w:type="dxa"/>
          </w:tcPr>
          <w:p>
            <w:pPr>
              <w:pStyle w:val="TableParagraph"/>
              <w:spacing w:line="260" w:lineRule="exact"/>
              <w:ind w:left="107"/>
              <w:rPr>
                <w:sz w:val="21"/>
              </w:rPr>
            </w:pPr>
            <w:r>
              <w:rPr>
                <w:sz w:val="21"/>
              </w:rPr>
              <w:t>40. 严重哮喘；</w:t>
            </w:r>
          </w:p>
        </w:tc>
        <w:tc>
          <w:tcPr>
            <w:tcW w:w="3115" w:type="dxa"/>
          </w:tcPr>
          <w:p>
            <w:pPr>
              <w:pStyle w:val="TableParagraph"/>
              <w:spacing w:line="260" w:lineRule="exact"/>
              <w:ind w:left="107"/>
              <w:rPr>
                <w:sz w:val="21"/>
              </w:rPr>
            </w:pPr>
            <w:r>
              <w:rPr>
                <w:sz w:val="21"/>
              </w:rPr>
              <w:t>41. 肌营养不良症。</w:t>
            </w:r>
          </w:p>
        </w:tc>
        <w:tc>
          <w:tcPr>
            <w:tcW w:w="3114" w:type="dxa"/>
            <w:tcBorders>
              <w:bottom w:val="nil"/>
              <w:right w:val="nil"/>
            </w:tcBorders>
          </w:tcPr>
          <w:p>
            <w:pPr>
              <w:pStyle w:val="TableParagraph"/>
              <w:rPr>
                <w:rFonts w:ascii="Times New Roman"/>
                <w:sz w:val="20"/>
              </w:rPr>
            </w:pPr>
          </w:p>
        </w:tc>
      </w:tr>
    </w:tbl>
    <w:p>
      <w:pPr>
        <w:spacing w:before="0" w:after="52"/>
        <w:ind w:left="728" w:right="0" w:firstLine="0"/>
        <w:jc w:val="left"/>
        <w:rPr>
          <w:b/>
          <w:sz w:val="21"/>
        </w:rPr>
      </w:pPr>
      <w:r>
        <w:rPr>
          <w:b/>
          <w:sz w:val="21"/>
        </w:rPr>
        <w:t>2、B 组重大疾病：</w:t>
      </w:r>
    </w:p>
    <w:tbl>
      <w:tblPr>
        <w:tblW w:w="0" w:type="auto"/>
        <w:jc w:val="left"/>
        <w:tblInd w:w="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4"/>
      </w:tblGrid>
      <w:tr>
        <w:trPr>
          <w:trHeight w:val="311" w:hRule="atLeast"/>
        </w:trPr>
        <w:tc>
          <w:tcPr>
            <w:tcW w:w="3115" w:type="dxa"/>
          </w:tcPr>
          <w:p>
            <w:pPr>
              <w:pStyle w:val="TableParagraph"/>
              <w:spacing w:line="260" w:lineRule="exact"/>
              <w:ind w:left="107"/>
              <w:rPr>
                <w:sz w:val="21"/>
              </w:rPr>
            </w:pPr>
            <w:r>
              <w:rPr>
                <w:sz w:val="21"/>
              </w:rPr>
              <w:t>1.恶性肿瘤；</w:t>
            </w:r>
          </w:p>
        </w:tc>
        <w:tc>
          <w:tcPr>
            <w:tcW w:w="3115" w:type="dxa"/>
          </w:tcPr>
          <w:p>
            <w:pPr>
              <w:pStyle w:val="TableParagraph"/>
              <w:spacing w:line="260" w:lineRule="exact"/>
              <w:ind w:left="107"/>
              <w:rPr>
                <w:sz w:val="21"/>
              </w:rPr>
            </w:pPr>
            <w:r>
              <w:rPr>
                <w:sz w:val="21"/>
              </w:rPr>
              <w:t>2.急性心肌梗塞；</w:t>
            </w:r>
          </w:p>
        </w:tc>
        <w:tc>
          <w:tcPr>
            <w:tcW w:w="3114" w:type="dxa"/>
          </w:tcPr>
          <w:p>
            <w:pPr>
              <w:pStyle w:val="TableParagraph"/>
              <w:spacing w:line="260" w:lineRule="exact"/>
              <w:ind w:left="107"/>
              <w:rPr>
                <w:sz w:val="21"/>
              </w:rPr>
            </w:pPr>
            <w:r>
              <w:rPr>
                <w:sz w:val="21"/>
              </w:rPr>
              <w:t>3.脑中风后遗症；</w:t>
            </w:r>
          </w:p>
        </w:tc>
      </w:tr>
      <w:tr>
        <w:trPr>
          <w:trHeight w:val="623" w:hRule="atLeast"/>
        </w:trPr>
        <w:tc>
          <w:tcPr>
            <w:tcW w:w="3115" w:type="dxa"/>
          </w:tcPr>
          <w:p>
            <w:pPr>
              <w:pStyle w:val="TableParagraph"/>
              <w:spacing w:line="260" w:lineRule="exact"/>
              <w:ind w:left="107"/>
              <w:rPr>
                <w:sz w:val="21"/>
              </w:rPr>
            </w:pPr>
            <w:r>
              <w:rPr>
                <w:sz w:val="21"/>
              </w:rPr>
              <w:t>4.重大器官移植术或造血干细</w:t>
            </w:r>
          </w:p>
          <w:p>
            <w:pPr>
              <w:pStyle w:val="TableParagraph"/>
              <w:spacing w:before="37"/>
              <w:ind w:left="107"/>
              <w:rPr>
                <w:sz w:val="21"/>
              </w:rPr>
            </w:pPr>
            <w:r>
              <w:rPr>
                <w:sz w:val="21"/>
              </w:rPr>
              <w:t>胞移植术；</w:t>
            </w:r>
          </w:p>
        </w:tc>
        <w:tc>
          <w:tcPr>
            <w:tcW w:w="3115" w:type="dxa"/>
          </w:tcPr>
          <w:p>
            <w:pPr>
              <w:pStyle w:val="TableParagraph"/>
              <w:spacing w:before="141"/>
              <w:ind w:left="108"/>
              <w:rPr>
                <w:sz w:val="21"/>
              </w:rPr>
            </w:pPr>
            <w:r>
              <w:rPr>
                <w:sz w:val="21"/>
              </w:rPr>
              <w:t>5.冠状动脉搭桥术；</w:t>
            </w:r>
          </w:p>
        </w:tc>
        <w:tc>
          <w:tcPr>
            <w:tcW w:w="3114" w:type="dxa"/>
          </w:tcPr>
          <w:p>
            <w:pPr>
              <w:pStyle w:val="TableParagraph"/>
              <w:spacing w:before="141"/>
              <w:ind w:left="108"/>
              <w:rPr>
                <w:sz w:val="21"/>
              </w:rPr>
            </w:pPr>
            <w:r>
              <w:rPr>
                <w:sz w:val="21"/>
              </w:rPr>
              <w:t>6.终末期肾病；</w:t>
            </w:r>
          </w:p>
        </w:tc>
      </w:tr>
      <w:tr>
        <w:trPr>
          <w:trHeight w:val="312" w:hRule="atLeast"/>
        </w:trPr>
        <w:tc>
          <w:tcPr>
            <w:tcW w:w="3115" w:type="dxa"/>
          </w:tcPr>
          <w:p>
            <w:pPr>
              <w:pStyle w:val="TableParagraph"/>
              <w:spacing w:line="261" w:lineRule="exact"/>
              <w:ind w:left="107"/>
              <w:rPr>
                <w:sz w:val="21"/>
              </w:rPr>
            </w:pPr>
            <w:r>
              <w:rPr>
                <w:sz w:val="21"/>
              </w:rPr>
              <w:t>7.多个肢体缺失；</w:t>
            </w:r>
          </w:p>
        </w:tc>
        <w:tc>
          <w:tcPr>
            <w:tcW w:w="3115" w:type="dxa"/>
          </w:tcPr>
          <w:p>
            <w:pPr>
              <w:pStyle w:val="TableParagraph"/>
              <w:spacing w:line="277" w:lineRule="exact"/>
              <w:ind w:left="108"/>
              <w:rPr>
                <w:sz w:val="21"/>
              </w:rPr>
            </w:pPr>
            <w:r>
              <w:rPr>
                <w:rFonts w:ascii="Times New Roman" w:eastAsia="Times New Roman"/>
                <w:sz w:val="21"/>
              </w:rPr>
              <w:t>8.</w:t>
            </w:r>
            <w:r>
              <w:rPr>
                <w:sz w:val="21"/>
              </w:rPr>
              <w:t>急性或亚急性重症肝炎；</w:t>
            </w:r>
          </w:p>
        </w:tc>
        <w:tc>
          <w:tcPr>
            <w:tcW w:w="3114" w:type="dxa"/>
          </w:tcPr>
          <w:p>
            <w:pPr>
              <w:pStyle w:val="TableParagraph"/>
              <w:spacing w:line="261" w:lineRule="exact"/>
              <w:ind w:left="108"/>
              <w:rPr>
                <w:sz w:val="21"/>
              </w:rPr>
            </w:pPr>
            <w:r>
              <w:rPr>
                <w:sz w:val="21"/>
              </w:rPr>
              <w:t>9.良性脑肿瘤；</w:t>
            </w:r>
          </w:p>
        </w:tc>
      </w:tr>
      <w:tr>
        <w:trPr>
          <w:trHeight w:val="623" w:hRule="atLeast"/>
        </w:trPr>
        <w:tc>
          <w:tcPr>
            <w:tcW w:w="3115" w:type="dxa"/>
          </w:tcPr>
          <w:p>
            <w:pPr>
              <w:pStyle w:val="TableParagraph"/>
              <w:spacing w:before="141"/>
              <w:ind w:left="107"/>
              <w:rPr>
                <w:sz w:val="21"/>
              </w:rPr>
            </w:pPr>
            <w:r>
              <w:rPr>
                <w:rFonts w:ascii="Times New Roman" w:eastAsia="Times New Roman"/>
                <w:sz w:val="21"/>
              </w:rPr>
              <w:t>10.</w:t>
            </w:r>
            <w:r>
              <w:rPr>
                <w:sz w:val="21"/>
              </w:rPr>
              <w:t>慢性肝功能衰竭失代偿期；</w:t>
            </w:r>
          </w:p>
        </w:tc>
        <w:tc>
          <w:tcPr>
            <w:tcW w:w="3115" w:type="dxa"/>
          </w:tcPr>
          <w:p>
            <w:pPr>
              <w:pStyle w:val="TableParagraph"/>
              <w:spacing w:line="260"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14" w:type="dxa"/>
          </w:tcPr>
          <w:p>
            <w:pPr>
              <w:pStyle w:val="TableParagraph"/>
              <w:spacing w:before="141"/>
              <w:ind w:left="108"/>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311" w:hRule="atLeast"/>
        </w:trPr>
        <w:tc>
          <w:tcPr>
            <w:tcW w:w="3115" w:type="dxa"/>
          </w:tcPr>
          <w:p>
            <w:pPr>
              <w:pStyle w:val="TableParagraph"/>
              <w:spacing w:line="260" w:lineRule="exact"/>
              <w:ind w:left="107"/>
              <w:rPr>
                <w:sz w:val="21"/>
              </w:rPr>
            </w:pPr>
            <w:r>
              <w:rPr>
                <w:sz w:val="21"/>
              </w:rPr>
              <w:t>13.双目失明-三周岁始理赔；</w:t>
            </w:r>
          </w:p>
        </w:tc>
        <w:tc>
          <w:tcPr>
            <w:tcW w:w="3115" w:type="dxa"/>
          </w:tcPr>
          <w:p>
            <w:pPr>
              <w:pStyle w:val="TableParagraph"/>
              <w:spacing w:line="260" w:lineRule="exact"/>
              <w:ind w:left="107"/>
              <w:rPr>
                <w:sz w:val="21"/>
              </w:rPr>
            </w:pPr>
            <w:r>
              <w:rPr>
                <w:sz w:val="21"/>
              </w:rPr>
              <w:t>14.瘫痪；</w:t>
            </w:r>
          </w:p>
        </w:tc>
        <w:tc>
          <w:tcPr>
            <w:tcW w:w="3114" w:type="dxa"/>
          </w:tcPr>
          <w:p>
            <w:pPr>
              <w:pStyle w:val="TableParagraph"/>
              <w:spacing w:line="276" w:lineRule="exact"/>
              <w:ind w:left="108"/>
              <w:rPr>
                <w:sz w:val="21"/>
              </w:rPr>
            </w:pPr>
            <w:r>
              <w:rPr>
                <w:rFonts w:ascii="Times New Roman" w:eastAsia="Times New Roman"/>
                <w:sz w:val="21"/>
              </w:rPr>
              <w:t>15.</w:t>
            </w:r>
            <w:r>
              <w:rPr>
                <w:sz w:val="21"/>
              </w:rPr>
              <w:t>心脏瓣膜手术；</w:t>
            </w:r>
          </w:p>
        </w:tc>
      </w:tr>
      <w:tr>
        <w:trPr>
          <w:trHeight w:val="624" w:hRule="atLeast"/>
        </w:trPr>
        <w:tc>
          <w:tcPr>
            <w:tcW w:w="3115" w:type="dxa"/>
          </w:tcPr>
          <w:p>
            <w:pPr>
              <w:pStyle w:val="TableParagraph"/>
              <w:spacing w:line="261" w:lineRule="exact"/>
              <w:ind w:left="107"/>
              <w:rPr>
                <w:sz w:val="21"/>
              </w:rPr>
            </w:pPr>
            <w:r>
              <w:rPr>
                <w:sz w:val="21"/>
              </w:rPr>
              <w:t>16.严重阿尔茨海默病-限七十</w:t>
            </w:r>
          </w:p>
          <w:p>
            <w:pPr>
              <w:pStyle w:val="TableParagraph"/>
              <w:spacing w:before="37"/>
              <w:ind w:left="107"/>
              <w:rPr>
                <w:sz w:val="21"/>
              </w:rPr>
            </w:pPr>
            <w:r>
              <w:rPr>
                <w:sz w:val="21"/>
              </w:rPr>
              <w:t>周岁前发病；</w:t>
            </w:r>
          </w:p>
        </w:tc>
        <w:tc>
          <w:tcPr>
            <w:tcW w:w="3115" w:type="dxa"/>
          </w:tcPr>
          <w:p>
            <w:pPr>
              <w:pStyle w:val="TableParagraph"/>
              <w:spacing w:before="142"/>
              <w:ind w:left="108"/>
              <w:rPr>
                <w:sz w:val="21"/>
              </w:rPr>
            </w:pPr>
            <w:r>
              <w:rPr>
                <w:sz w:val="21"/>
              </w:rPr>
              <w:t>17.严重脑损伤；</w:t>
            </w:r>
          </w:p>
        </w:tc>
        <w:tc>
          <w:tcPr>
            <w:tcW w:w="3114" w:type="dxa"/>
          </w:tcPr>
          <w:p>
            <w:pPr>
              <w:pStyle w:val="TableParagraph"/>
              <w:spacing w:before="142"/>
              <w:ind w:left="108"/>
              <w:rPr>
                <w:sz w:val="21"/>
              </w:rPr>
            </w:pPr>
            <w:r>
              <w:rPr>
                <w:rFonts w:ascii="Times New Roman" w:eastAsia="Times New Roman"/>
                <w:sz w:val="21"/>
              </w:rPr>
              <w:t>18.</w:t>
            </w:r>
            <w:r>
              <w:rPr>
                <w:sz w:val="21"/>
              </w:rPr>
              <w:t>严重帕金森病；</w:t>
            </w:r>
          </w:p>
        </w:tc>
      </w:tr>
    </w:tbl>
    <w:p>
      <w:pPr>
        <w:spacing w:after="0"/>
        <w:rPr>
          <w:sz w:val="21"/>
        </w:rPr>
        <w:sectPr>
          <w:pgSz w:w="11910" w:h="16840"/>
          <w:pgMar w:header="0" w:footer="442" w:top="1100" w:bottom="640" w:left="860" w:right="740"/>
        </w:sect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5"/>
        <w:gridCol w:w="3115"/>
      </w:tblGrid>
      <w:tr>
        <w:trPr>
          <w:trHeight w:val="311" w:hRule="atLeast"/>
        </w:trPr>
        <w:tc>
          <w:tcPr>
            <w:tcW w:w="3115" w:type="dxa"/>
          </w:tcPr>
          <w:p>
            <w:pPr>
              <w:pStyle w:val="TableParagraph"/>
              <w:spacing w:line="254" w:lineRule="exact"/>
              <w:ind w:left="107"/>
              <w:rPr>
                <w:sz w:val="21"/>
              </w:rPr>
            </w:pPr>
            <w:r>
              <w:rPr>
                <w:sz w:val="21"/>
              </w:rPr>
              <w:t>19.严重 III 度烧伤；</w:t>
            </w:r>
          </w:p>
        </w:tc>
        <w:tc>
          <w:tcPr>
            <w:tcW w:w="3115" w:type="dxa"/>
          </w:tcPr>
          <w:p>
            <w:pPr>
              <w:pStyle w:val="TableParagraph"/>
              <w:spacing w:line="254" w:lineRule="exact"/>
              <w:ind w:left="108"/>
              <w:rPr>
                <w:sz w:val="21"/>
              </w:rPr>
            </w:pPr>
            <w:r>
              <w:rPr>
                <w:sz w:val="21"/>
              </w:rPr>
              <w:t>20.严重原发性肺动脉高压；</w:t>
            </w:r>
          </w:p>
        </w:tc>
        <w:tc>
          <w:tcPr>
            <w:tcW w:w="3115" w:type="dxa"/>
          </w:tcPr>
          <w:p>
            <w:pPr>
              <w:pStyle w:val="TableParagraph"/>
              <w:spacing w:line="270" w:lineRule="exact"/>
              <w:ind w:left="108"/>
              <w:rPr>
                <w:sz w:val="21"/>
              </w:rPr>
            </w:pPr>
            <w:r>
              <w:rPr>
                <w:rFonts w:ascii="Times New Roman" w:eastAsia="Times New Roman"/>
                <w:sz w:val="21"/>
              </w:rPr>
              <w:t>21.</w:t>
            </w:r>
            <w:r>
              <w:rPr>
                <w:sz w:val="21"/>
              </w:rPr>
              <w:t>严重运动神经元病；</w:t>
            </w:r>
          </w:p>
        </w:tc>
      </w:tr>
      <w:tr>
        <w:trPr>
          <w:trHeight w:val="624" w:hRule="atLeast"/>
        </w:trPr>
        <w:tc>
          <w:tcPr>
            <w:tcW w:w="3115" w:type="dxa"/>
          </w:tcPr>
          <w:p>
            <w:pPr>
              <w:pStyle w:val="TableParagraph"/>
              <w:spacing w:line="255" w:lineRule="exact"/>
              <w:ind w:left="107"/>
              <w:rPr>
                <w:sz w:val="21"/>
              </w:rPr>
            </w:pPr>
            <w:r>
              <w:rPr>
                <w:sz w:val="21"/>
              </w:rPr>
              <w:t>22.语言能力丧失-三周岁始理</w:t>
            </w:r>
          </w:p>
          <w:p>
            <w:pPr>
              <w:pStyle w:val="TableParagraph"/>
              <w:spacing w:before="37"/>
              <w:ind w:left="107"/>
              <w:rPr>
                <w:sz w:val="21"/>
              </w:rPr>
            </w:pPr>
            <w:r>
              <w:rPr>
                <w:sz w:val="21"/>
              </w:rPr>
              <w:t>赔；</w:t>
            </w:r>
          </w:p>
        </w:tc>
        <w:tc>
          <w:tcPr>
            <w:tcW w:w="3115" w:type="dxa"/>
          </w:tcPr>
          <w:p>
            <w:pPr>
              <w:pStyle w:val="TableParagraph"/>
              <w:spacing w:before="136"/>
              <w:ind w:left="108"/>
              <w:rPr>
                <w:sz w:val="21"/>
              </w:rPr>
            </w:pPr>
            <w:r>
              <w:rPr>
                <w:sz w:val="21"/>
              </w:rPr>
              <w:t>23.重型再生障碍性贫血；</w:t>
            </w:r>
          </w:p>
        </w:tc>
        <w:tc>
          <w:tcPr>
            <w:tcW w:w="3115" w:type="dxa"/>
          </w:tcPr>
          <w:p>
            <w:pPr>
              <w:pStyle w:val="TableParagraph"/>
              <w:spacing w:before="136"/>
              <w:ind w:left="108"/>
              <w:rPr>
                <w:sz w:val="21"/>
              </w:rPr>
            </w:pPr>
            <w:r>
              <w:rPr>
                <w:rFonts w:ascii="Times New Roman" w:eastAsia="Times New Roman"/>
                <w:sz w:val="21"/>
              </w:rPr>
              <w:t>24.</w:t>
            </w:r>
            <w:r>
              <w:rPr>
                <w:sz w:val="21"/>
              </w:rPr>
              <w:t>主动脉手术；</w:t>
            </w:r>
          </w:p>
        </w:tc>
      </w:tr>
      <w:tr>
        <w:trPr>
          <w:trHeight w:val="311" w:hRule="atLeast"/>
        </w:trPr>
        <w:tc>
          <w:tcPr>
            <w:tcW w:w="3115" w:type="dxa"/>
          </w:tcPr>
          <w:p>
            <w:pPr>
              <w:pStyle w:val="TableParagraph"/>
              <w:spacing w:line="254" w:lineRule="exact"/>
              <w:ind w:left="107"/>
              <w:rPr>
                <w:sz w:val="21"/>
              </w:rPr>
            </w:pPr>
            <w:r>
              <w:rPr>
                <w:sz w:val="21"/>
              </w:rPr>
              <w:t>25.慢性呼吸功能衰竭；</w:t>
            </w:r>
          </w:p>
        </w:tc>
        <w:tc>
          <w:tcPr>
            <w:tcW w:w="3115" w:type="dxa"/>
          </w:tcPr>
          <w:p>
            <w:pPr>
              <w:pStyle w:val="TableParagraph"/>
              <w:spacing w:line="254" w:lineRule="exact"/>
              <w:ind w:left="107"/>
              <w:rPr>
                <w:sz w:val="21"/>
              </w:rPr>
            </w:pPr>
            <w:r>
              <w:rPr>
                <w:sz w:val="21"/>
              </w:rPr>
              <w:t>26.严重多发性硬化；</w:t>
            </w:r>
          </w:p>
        </w:tc>
        <w:tc>
          <w:tcPr>
            <w:tcW w:w="3115" w:type="dxa"/>
          </w:tcPr>
          <w:p>
            <w:pPr>
              <w:pStyle w:val="TableParagraph"/>
              <w:spacing w:line="254" w:lineRule="exact"/>
              <w:ind w:left="108"/>
              <w:rPr>
                <w:sz w:val="21"/>
              </w:rPr>
            </w:pPr>
            <w:r>
              <w:rPr>
                <w:sz w:val="21"/>
              </w:rPr>
              <w:t>27.坏死性筋膜炎；</w:t>
            </w:r>
          </w:p>
        </w:tc>
      </w:tr>
      <w:tr>
        <w:trPr>
          <w:trHeight w:val="382" w:hRule="atLeast"/>
        </w:trPr>
        <w:tc>
          <w:tcPr>
            <w:tcW w:w="3115" w:type="dxa"/>
          </w:tcPr>
          <w:p>
            <w:pPr>
              <w:pStyle w:val="TableParagraph"/>
              <w:spacing w:before="15"/>
              <w:ind w:left="107"/>
              <w:rPr>
                <w:sz w:val="21"/>
              </w:rPr>
            </w:pPr>
            <w:r>
              <w:rPr>
                <w:sz w:val="21"/>
              </w:rPr>
              <w:t>28.急性坏死性胰腺炎；</w:t>
            </w:r>
          </w:p>
        </w:tc>
        <w:tc>
          <w:tcPr>
            <w:tcW w:w="3115" w:type="dxa"/>
          </w:tcPr>
          <w:p>
            <w:pPr>
              <w:pStyle w:val="TableParagraph"/>
              <w:spacing w:before="15"/>
              <w:ind w:left="107"/>
              <w:rPr>
                <w:sz w:val="21"/>
              </w:rPr>
            </w:pPr>
            <w:r>
              <w:rPr>
                <w:sz w:val="21"/>
              </w:rPr>
              <w:t>29.全身性重症肌无力；</w:t>
            </w:r>
          </w:p>
        </w:tc>
        <w:tc>
          <w:tcPr>
            <w:tcW w:w="3115" w:type="dxa"/>
          </w:tcPr>
          <w:p>
            <w:pPr>
              <w:pStyle w:val="TableParagraph"/>
              <w:spacing w:before="15"/>
              <w:ind w:left="108"/>
              <w:rPr>
                <w:sz w:val="21"/>
              </w:rPr>
            </w:pPr>
            <w:r>
              <w:rPr>
                <w:rFonts w:ascii="Times New Roman" w:eastAsia="Times New Roman"/>
                <w:sz w:val="21"/>
              </w:rPr>
              <w:t>30.</w:t>
            </w:r>
            <w:r>
              <w:rPr>
                <w:sz w:val="21"/>
              </w:rPr>
              <w:t>严重心肌病；</w:t>
            </w:r>
          </w:p>
        </w:tc>
      </w:tr>
      <w:tr>
        <w:trPr>
          <w:trHeight w:val="624" w:hRule="atLeast"/>
        </w:trPr>
        <w:tc>
          <w:tcPr>
            <w:tcW w:w="3115" w:type="dxa"/>
          </w:tcPr>
          <w:p>
            <w:pPr>
              <w:pStyle w:val="TableParagraph"/>
              <w:spacing w:before="136"/>
              <w:ind w:left="107"/>
              <w:rPr>
                <w:sz w:val="21"/>
              </w:rPr>
            </w:pPr>
            <w:r>
              <w:rPr>
                <w:sz w:val="21"/>
              </w:rPr>
              <w:t>31.严重类风湿性关节炎；</w:t>
            </w:r>
          </w:p>
        </w:tc>
        <w:tc>
          <w:tcPr>
            <w:tcW w:w="3115" w:type="dxa"/>
          </w:tcPr>
          <w:p>
            <w:pPr>
              <w:pStyle w:val="TableParagraph"/>
              <w:spacing w:line="255" w:lineRule="exact"/>
              <w:ind w:left="107"/>
              <w:rPr>
                <w:sz w:val="21"/>
              </w:rPr>
            </w:pPr>
            <w:r>
              <w:rPr>
                <w:sz w:val="21"/>
              </w:rPr>
              <w:t>32.系统性红斑狼疮-III 型或</w:t>
            </w:r>
          </w:p>
          <w:p>
            <w:pPr>
              <w:pStyle w:val="TableParagraph"/>
              <w:spacing w:before="37"/>
              <w:ind w:left="107"/>
              <w:rPr>
                <w:sz w:val="21"/>
              </w:rPr>
            </w:pPr>
            <w:r>
              <w:rPr>
                <w:sz w:val="21"/>
              </w:rPr>
              <w:t>以上狼疮性肾炎；</w:t>
            </w:r>
          </w:p>
        </w:tc>
        <w:tc>
          <w:tcPr>
            <w:tcW w:w="3115" w:type="dxa"/>
          </w:tcPr>
          <w:p>
            <w:pPr>
              <w:pStyle w:val="TableParagraph"/>
              <w:spacing w:line="255" w:lineRule="exact"/>
              <w:ind w:left="108"/>
              <w:rPr>
                <w:sz w:val="21"/>
              </w:rPr>
            </w:pPr>
            <w:r>
              <w:rPr>
                <w:sz w:val="21"/>
              </w:rPr>
              <w:t>33.因职业关系导致的人类免疫</w:t>
            </w:r>
          </w:p>
          <w:p>
            <w:pPr>
              <w:pStyle w:val="TableParagraph"/>
              <w:spacing w:before="37"/>
              <w:ind w:left="108"/>
              <w:rPr>
                <w:sz w:val="21"/>
              </w:rPr>
            </w:pPr>
            <w:r>
              <w:rPr>
                <w:sz w:val="21"/>
              </w:rPr>
              <w:t>缺陷病毒（HIV）感染；</w:t>
            </w:r>
          </w:p>
        </w:tc>
      </w:tr>
      <w:tr>
        <w:trPr>
          <w:trHeight w:val="623" w:hRule="atLeast"/>
        </w:trPr>
        <w:tc>
          <w:tcPr>
            <w:tcW w:w="3115" w:type="dxa"/>
          </w:tcPr>
          <w:p>
            <w:pPr>
              <w:pStyle w:val="TableParagraph"/>
              <w:spacing w:line="254" w:lineRule="exact"/>
              <w:ind w:left="107"/>
              <w:rPr>
                <w:sz w:val="21"/>
              </w:rPr>
            </w:pPr>
            <w:r>
              <w:rPr>
                <w:sz w:val="21"/>
              </w:rPr>
              <w:t>34.经输血导致的人类免疫缺陷</w:t>
            </w:r>
          </w:p>
          <w:p>
            <w:pPr>
              <w:pStyle w:val="TableParagraph"/>
              <w:spacing w:before="37"/>
              <w:ind w:left="107"/>
              <w:rPr>
                <w:sz w:val="21"/>
              </w:rPr>
            </w:pPr>
            <w:r>
              <w:rPr>
                <w:sz w:val="21"/>
              </w:rPr>
              <w:t>病毒（HIV）感染；</w:t>
            </w:r>
          </w:p>
        </w:tc>
        <w:tc>
          <w:tcPr>
            <w:tcW w:w="3115" w:type="dxa"/>
          </w:tcPr>
          <w:p>
            <w:pPr>
              <w:pStyle w:val="TableParagraph"/>
              <w:spacing w:before="135"/>
              <w:ind w:left="107"/>
              <w:rPr>
                <w:sz w:val="21"/>
              </w:rPr>
            </w:pPr>
            <w:r>
              <w:rPr>
                <w:sz w:val="21"/>
              </w:rPr>
              <w:t>35.严重克隆病。</w:t>
            </w:r>
          </w:p>
        </w:tc>
        <w:tc>
          <w:tcPr>
            <w:tcW w:w="3115" w:type="dxa"/>
            <w:tcBorders>
              <w:bottom w:val="nil"/>
              <w:right w:val="nil"/>
            </w:tcBorders>
          </w:tcPr>
          <w:p>
            <w:pPr>
              <w:pStyle w:val="TableParagraph"/>
              <w:rPr>
                <w:rFonts w:ascii="Times New Roman"/>
                <w:sz w:val="20"/>
              </w:rPr>
            </w:pPr>
          </w:p>
        </w:tc>
      </w:tr>
    </w:tbl>
    <w:p>
      <w:pPr>
        <w:pStyle w:val="BodyText"/>
        <w:spacing w:before="10"/>
        <w:rPr>
          <w:b/>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2026"/>
        <w:gridCol w:w="7518"/>
      </w:tblGrid>
      <w:tr>
        <w:trPr>
          <w:trHeight w:val="998" w:hRule="atLeast"/>
        </w:trPr>
        <w:tc>
          <w:tcPr>
            <w:tcW w:w="644" w:type="dxa"/>
          </w:tcPr>
          <w:p>
            <w:pPr>
              <w:pStyle w:val="TableParagraph"/>
              <w:spacing w:line="210" w:lineRule="exact"/>
              <w:ind w:left="50"/>
              <w:rPr>
                <w:b/>
                <w:sz w:val="21"/>
              </w:rPr>
            </w:pPr>
            <w:r>
              <w:rPr>
                <w:b/>
                <w:sz w:val="21"/>
              </w:rPr>
              <w:t>8.10</w:t>
            </w:r>
          </w:p>
        </w:tc>
        <w:tc>
          <w:tcPr>
            <w:tcW w:w="2026" w:type="dxa"/>
          </w:tcPr>
          <w:p>
            <w:pPr>
              <w:pStyle w:val="TableParagraph"/>
              <w:spacing w:line="210" w:lineRule="exact"/>
              <w:ind w:left="170"/>
              <w:rPr>
                <w:b/>
                <w:sz w:val="21"/>
              </w:rPr>
            </w:pPr>
            <w:r>
              <w:rPr>
                <w:b/>
                <w:w w:val="95"/>
                <w:sz w:val="21"/>
              </w:rPr>
              <w:t>毒品</w:t>
            </w:r>
          </w:p>
        </w:tc>
        <w:tc>
          <w:tcPr>
            <w:tcW w:w="7518" w:type="dxa"/>
          </w:tcPr>
          <w:p>
            <w:pPr>
              <w:pStyle w:val="TableParagraph"/>
              <w:spacing w:line="210" w:lineRule="exact"/>
              <w:ind w:left="169"/>
              <w:rPr>
                <w:sz w:val="21"/>
              </w:rPr>
            </w:pPr>
            <w:r>
              <w:rPr>
                <w:spacing w:val="-7"/>
                <w:sz w:val="21"/>
              </w:rPr>
              <w:t>指中华人民共和国刑法规定的鸦片、海洛因、甲基苯丙胺</w:t>
            </w:r>
            <w:r>
              <w:rPr>
                <w:sz w:val="21"/>
              </w:rPr>
              <w:t>（冰毒</w:t>
            </w:r>
            <w:r>
              <w:rPr>
                <w:spacing w:val="-105"/>
                <w:sz w:val="21"/>
              </w:rPr>
              <w:t>）</w:t>
            </w:r>
            <w:r>
              <w:rPr>
                <w:spacing w:val="-11"/>
                <w:sz w:val="21"/>
              </w:rPr>
              <w:t>、吗啡、大麻、</w:t>
            </w:r>
          </w:p>
          <w:p>
            <w:pPr>
              <w:pStyle w:val="TableParagraph"/>
              <w:spacing w:line="273" w:lineRule="auto" w:before="37"/>
              <w:ind w:left="169" w:right="153"/>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162" w:hRule="atLeast"/>
        </w:trPr>
        <w:tc>
          <w:tcPr>
            <w:tcW w:w="644" w:type="dxa"/>
          </w:tcPr>
          <w:p>
            <w:pPr>
              <w:pStyle w:val="TableParagraph"/>
              <w:spacing w:before="99"/>
              <w:ind w:left="50"/>
              <w:rPr>
                <w:b/>
                <w:sz w:val="21"/>
              </w:rPr>
            </w:pPr>
            <w:r>
              <w:rPr>
                <w:b/>
                <w:sz w:val="21"/>
              </w:rPr>
              <w:t>8.11</w:t>
            </w:r>
          </w:p>
        </w:tc>
        <w:tc>
          <w:tcPr>
            <w:tcW w:w="2026" w:type="dxa"/>
          </w:tcPr>
          <w:p>
            <w:pPr>
              <w:pStyle w:val="TableParagraph"/>
              <w:spacing w:before="99"/>
              <w:ind w:left="170"/>
              <w:rPr>
                <w:b/>
                <w:sz w:val="21"/>
              </w:rPr>
            </w:pPr>
            <w:r>
              <w:rPr>
                <w:b/>
                <w:sz w:val="21"/>
              </w:rPr>
              <w:t>酒后驾驶</w:t>
            </w:r>
          </w:p>
        </w:tc>
        <w:tc>
          <w:tcPr>
            <w:tcW w:w="7518" w:type="dxa"/>
          </w:tcPr>
          <w:p>
            <w:pPr>
              <w:pStyle w:val="TableParagraph"/>
              <w:spacing w:line="273" w:lineRule="auto" w:before="99"/>
              <w:ind w:left="169" w:right="15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8" w:hRule="atLeast"/>
        </w:trPr>
        <w:tc>
          <w:tcPr>
            <w:tcW w:w="644" w:type="dxa"/>
          </w:tcPr>
          <w:p>
            <w:pPr>
              <w:pStyle w:val="TableParagraph"/>
              <w:spacing w:before="99"/>
              <w:ind w:left="50"/>
              <w:rPr>
                <w:b/>
                <w:sz w:val="21"/>
              </w:rPr>
            </w:pPr>
            <w:r>
              <w:rPr>
                <w:b/>
                <w:sz w:val="21"/>
              </w:rPr>
              <w:t>8.12</w:t>
            </w:r>
          </w:p>
        </w:tc>
        <w:tc>
          <w:tcPr>
            <w:tcW w:w="2026" w:type="dxa"/>
          </w:tcPr>
          <w:p>
            <w:pPr>
              <w:pStyle w:val="TableParagraph"/>
              <w:spacing w:line="273" w:lineRule="auto" w:before="99"/>
              <w:ind w:left="170" w:right="166"/>
              <w:rPr>
                <w:b/>
                <w:sz w:val="21"/>
              </w:rPr>
            </w:pPr>
            <w:r>
              <w:rPr>
                <w:b/>
                <w:sz w:val="21"/>
              </w:rPr>
              <w:t>无合法有效驾驶证</w:t>
            </w:r>
            <w:r>
              <w:rPr>
                <w:b/>
                <w:w w:val="95"/>
                <w:sz w:val="21"/>
              </w:rPr>
              <w:t>驾驶</w:t>
            </w:r>
          </w:p>
        </w:tc>
        <w:tc>
          <w:tcPr>
            <w:tcW w:w="7518" w:type="dxa"/>
          </w:tcPr>
          <w:p>
            <w:pPr>
              <w:pStyle w:val="TableParagraph"/>
              <w:spacing w:before="99"/>
              <w:ind w:left="169"/>
              <w:rPr>
                <w:sz w:val="21"/>
              </w:rPr>
            </w:pPr>
            <w:r>
              <w:rPr>
                <w:sz w:val="21"/>
              </w:rPr>
              <w:t>指下列情形之一：</w:t>
            </w:r>
          </w:p>
          <w:p>
            <w:pPr>
              <w:pStyle w:val="TableParagraph"/>
              <w:spacing w:before="36"/>
              <w:ind w:left="169"/>
              <w:rPr>
                <w:sz w:val="21"/>
              </w:rPr>
            </w:pPr>
            <w:r>
              <w:rPr>
                <w:sz w:val="21"/>
              </w:rPr>
              <w:t>（1）没有驾驶证驾驶；</w:t>
            </w:r>
          </w:p>
          <w:p>
            <w:pPr>
              <w:pStyle w:val="TableParagraph"/>
              <w:spacing w:before="36"/>
              <w:ind w:left="169"/>
              <w:rPr>
                <w:sz w:val="21"/>
              </w:rPr>
            </w:pPr>
            <w:r>
              <w:rPr>
                <w:sz w:val="21"/>
              </w:rPr>
              <w:t>（2）驾驶与驾驶证准驾车型不相符合的车辆；</w:t>
            </w:r>
          </w:p>
          <w:p>
            <w:pPr>
              <w:pStyle w:val="TableParagraph"/>
              <w:spacing w:before="36"/>
              <w:ind w:left="169"/>
              <w:rPr>
                <w:sz w:val="21"/>
              </w:rPr>
            </w:pPr>
            <w:r>
              <w:rPr>
                <w:sz w:val="21"/>
              </w:rPr>
              <w:t>（3）持审验不合格的驾驶证驾驶；</w:t>
            </w:r>
          </w:p>
          <w:p>
            <w:pPr>
              <w:pStyle w:val="TableParagraph"/>
              <w:spacing w:line="273" w:lineRule="auto" w:before="36"/>
              <w:ind w:left="169" w:right="88"/>
              <w:rPr>
                <w:sz w:val="21"/>
              </w:rPr>
            </w:pPr>
            <w:r>
              <w:rPr>
                <w:sz w:val="21"/>
              </w:rPr>
              <w:t>（4）持学习驾驶证学习驾车时，无教练员随车指导，或不按指定时间、路线学习驾车。</w:t>
            </w:r>
          </w:p>
        </w:tc>
      </w:tr>
      <w:tr>
        <w:trPr>
          <w:trHeight w:val="1162" w:hRule="atLeast"/>
        </w:trPr>
        <w:tc>
          <w:tcPr>
            <w:tcW w:w="644" w:type="dxa"/>
          </w:tcPr>
          <w:p>
            <w:pPr>
              <w:pStyle w:val="TableParagraph"/>
              <w:spacing w:before="99"/>
              <w:ind w:left="50"/>
              <w:rPr>
                <w:b/>
                <w:sz w:val="21"/>
              </w:rPr>
            </w:pPr>
            <w:r>
              <w:rPr>
                <w:b/>
                <w:sz w:val="21"/>
              </w:rPr>
              <w:t>8.13</w:t>
            </w:r>
          </w:p>
        </w:tc>
        <w:tc>
          <w:tcPr>
            <w:tcW w:w="2026" w:type="dxa"/>
          </w:tcPr>
          <w:p>
            <w:pPr>
              <w:pStyle w:val="TableParagraph"/>
              <w:spacing w:before="99"/>
              <w:ind w:left="170"/>
              <w:rPr>
                <w:b/>
                <w:sz w:val="21"/>
              </w:rPr>
            </w:pPr>
            <w:r>
              <w:rPr>
                <w:b/>
                <w:w w:val="95"/>
                <w:sz w:val="21"/>
              </w:rPr>
              <w:t>无有效行驶证</w:t>
            </w:r>
          </w:p>
        </w:tc>
        <w:tc>
          <w:tcPr>
            <w:tcW w:w="7518" w:type="dxa"/>
          </w:tcPr>
          <w:p>
            <w:pPr>
              <w:pStyle w:val="TableParagraph"/>
              <w:spacing w:before="99"/>
              <w:ind w:left="169"/>
              <w:rPr>
                <w:sz w:val="21"/>
              </w:rPr>
            </w:pPr>
            <w:r>
              <w:rPr>
                <w:sz w:val="21"/>
              </w:rPr>
              <w:t>指下列情形之一：</w:t>
            </w:r>
          </w:p>
          <w:p>
            <w:pPr>
              <w:pStyle w:val="TableParagraph"/>
              <w:spacing w:before="36"/>
              <w:ind w:left="169"/>
              <w:rPr>
                <w:sz w:val="21"/>
              </w:rPr>
            </w:pPr>
            <w:r>
              <w:rPr>
                <w:sz w:val="21"/>
              </w:rPr>
              <w:t>（1）机动车被依法注销登记的；</w:t>
            </w:r>
          </w:p>
          <w:p>
            <w:pPr>
              <w:pStyle w:val="TableParagraph"/>
              <w:spacing w:before="36"/>
              <w:ind w:left="169"/>
              <w:rPr>
                <w:sz w:val="21"/>
              </w:rPr>
            </w:pPr>
            <w:r>
              <w:rPr>
                <w:sz w:val="21"/>
              </w:rPr>
              <w:t>（2）未依法按时进行或通过机动车安全技术检验。</w:t>
            </w:r>
          </w:p>
        </w:tc>
      </w:tr>
      <w:tr>
        <w:trPr>
          <w:trHeight w:val="850" w:hRule="atLeast"/>
        </w:trPr>
        <w:tc>
          <w:tcPr>
            <w:tcW w:w="644" w:type="dxa"/>
          </w:tcPr>
          <w:p>
            <w:pPr>
              <w:pStyle w:val="TableParagraph"/>
              <w:spacing w:before="99"/>
              <w:ind w:left="50"/>
              <w:rPr>
                <w:b/>
                <w:sz w:val="21"/>
              </w:rPr>
            </w:pPr>
            <w:r>
              <w:rPr>
                <w:b/>
                <w:sz w:val="21"/>
              </w:rPr>
              <w:t>8.14</w:t>
            </w:r>
          </w:p>
        </w:tc>
        <w:tc>
          <w:tcPr>
            <w:tcW w:w="2026" w:type="dxa"/>
          </w:tcPr>
          <w:p>
            <w:pPr>
              <w:pStyle w:val="TableParagraph"/>
              <w:spacing w:before="99"/>
              <w:ind w:left="170"/>
              <w:rPr>
                <w:b/>
                <w:sz w:val="21"/>
              </w:rPr>
            </w:pPr>
            <w:r>
              <w:rPr>
                <w:b/>
                <w:w w:val="95"/>
                <w:sz w:val="21"/>
              </w:rPr>
              <w:t>机动车</w:t>
            </w:r>
          </w:p>
        </w:tc>
        <w:tc>
          <w:tcPr>
            <w:tcW w:w="7518" w:type="dxa"/>
          </w:tcPr>
          <w:p>
            <w:pPr>
              <w:pStyle w:val="TableParagraph"/>
              <w:spacing w:line="273" w:lineRule="auto" w:before="99"/>
              <w:ind w:left="169" w:right="206"/>
              <w:rPr>
                <w:sz w:val="21"/>
              </w:rPr>
            </w:pPr>
            <w:r>
              <w:rPr>
                <w:sz w:val="21"/>
              </w:rPr>
              <w:t>指以动力装置驱动或牵引，上道路行驶的供人员乘用或用于运送物品以及进行工程专项作业的轮式车辆。</w:t>
            </w:r>
          </w:p>
        </w:tc>
      </w:tr>
      <w:tr>
        <w:trPr>
          <w:trHeight w:val="1475" w:hRule="atLeast"/>
        </w:trPr>
        <w:tc>
          <w:tcPr>
            <w:tcW w:w="644" w:type="dxa"/>
          </w:tcPr>
          <w:p>
            <w:pPr>
              <w:pStyle w:val="TableParagraph"/>
              <w:spacing w:before="99"/>
              <w:ind w:left="50"/>
              <w:rPr>
                <w:b/>
                <w:sz w:val="21"/>
              </w:rPr>
            </w:pPr>
            <w:r>
              <w:rPr>
                <w:b/>
                <w:sz w:val="21"/>
              </w:rPr>
              <w:t>8.15</w:t>
            </w:r>
          </w:p>
        </w:tc>
        <w:tc>
          <w:tcPr>
            <w:tcW w:w="2026" w:type="dxa"/>
          </w:tcPr>
          <w:p>
            <w:pPr>
              <w:pStyle w:val="TableParagraph"/>
              <w:spacing w:line="273" w:lineRule="auto" w:before="99"/>
              <w:ind w:left="170" w:right="166"/>
              <w:rPr>
                <w:b/>
                <w:sz w:val="21"/>
              </w:rPr>
            </w:pPr>
            <w:r>
              <w:rPr>
                <w:b/>
                <w:sz w:val="21"/>
              </w:rPr>
              <w:t>感染艾滋病病毒或</w:t>
            </w:r>
            <w:r>
              <w:rPr>
                <w:b/>
                <w:w w:val="95"/>
                <w:sz w:val="21"/>
              </w:rPr>
              <w:t>患艾滋病</w:t>
            </w:r>
          </w:p>
        </w:tc>
        <w:tc>
          <w:tcPr>
            <w:tcW w:w="7518" w:type="dxa"/>
          </w:tcPr>
          <w:p>
            <w:pPr>
              <w:pStyle w:val="TableParagraph"/>
              <w:spacing w:line="273" w:lineRule="auto" w:before="99"/>
              <w:ind w:left="169" w:right="154"/>
              <w:jc w:val="both"/>
              <w:rPr>
                <w:sz w:val="21"/>
              </w:rPr>
            </w:pPr>
            <w:r>
              <w:rPr>
                <w:spacing w:val="-7"/>
                <w:sz w:val="21"/>
              </w:rPr>
              <w:t>艾滋病病毒指人类免疫缺陷病毒，英文缩写为 </w:t>
            </w:r>
            <w:r>
              <w:rPr>
                <w:sz w:val="21"/>
              </w:rPr>
              <w:t>HIV</w:t>
            </w:r>
            <w:r>
              <w:rPr>
                <w:spacing w:val="-8"/>
                <w:sz w:val="21"/>
              </w:rPr>
              <w:t>。艾滋病指人类免疫缺陷病毒</w:t>
            </w:r>
            <w:r>
              <w:rPr>
                <w:spacing w:val="-11"/>
                <w:sz w:val="21"/>
              </w:rPr>
              <w:t>引起的获得性免疫缺陷综合征，英文缩写为 </w:t>
            </w:r>
            <w:r>
              <w:rPr>
                <w:sz w:val="21"/>
              </w:rPr>
              <w:t>AIDS。在人体血液或其他样本中检测到艾滋病病毒或其抗体呈阳性，没有出现临床症状或体征的，为感染艾滋病病毒；若同时出现了明显临床症状或体征的，为患艾滋病。</w:t>
            </w:r>
          </w:p>
        </w:tc>
      </w:tr>
      <w:tr>
        <w:trPr>
          <w:trHeight w:val="851" w:hRule="atLeast"/>
        </w:trPr>
        <w:tc>
          <w:tcPr>
            <w:tcW w:w="644" w:type="dxa"/>
          </w:tcPr>
          <w:p>
            <w:pPr>
              <w:pStyle w:val="TableParagraph"/>
              <w:spacing w:before="100"/>
              <w:ind w:left="50"/>
              <w:rPr>
                <w:b/>
                <w:sz w:val="21"/>
              </w:rPr>
            </w:pPr>
            <w:r>
              <w:rPr>
                <w:b/>
                <w:sz w:val="21"/>
              </w:rPr>
              <w:t>8.16</w:t>
            </w:r>
          </w:p>
        </w:tc>
        <w:tc>
          <w:tcPr>
            <w:tcW w:w="2026" w:type="dxa"/>
          </w:tcPr>
          <w:p>
            <w:pPr>
              <w:pStyle w:val="TableParagraph"/>
              <w:spacing w:before="100"/>
              <w:ind w:left="170"/>
              <w:rPr>
                <w:b/>
                <w:sz w:val="21"/>
              </w:rPr>
            </w:pPr>
            <w:r>
              <w:rPr>
                <w:b/>
                <w:sz w:val="21"/>
              </w:rPr>
              <w:t>现金价值</w:t>
            </w:r>
          </w:p>
        </w:tc>
        <w:tc>
          <w:tcPr>
            <w:tcW w:w="7518" w:type="dxa"/>
          </w:tcPr>
          <w:p>
            <w:pPr>
              <w:pStyle w:val="TableParagraph"/>
              <w:spacing w:line="273" w:lineRule="auto" w:before="100"/>
              <w:ind w:left="169" w:right="206"/>
              <w:rPr>
                <w:sz w:val="21"/>
              </w:rPr>
            </w:pPr>
            <w:r>
              <w:rPr>
                <w:sz w:val="21"/>
              </w:rPr>
              <w:t>指本附加合同所具有的价值，通常体现为解除合同时，根据精算原理计算的， 由我们退还的那部分金额。</w:t>
            </w:r>
          </w:p>
        </w:tc>
      </w:tr>
      <w:tr>
        <w:trPr>
          <w:trHeight w:val="1162" w:hRule="atLeast"/>
        </w:trPr>
        <w:tc>
          <w:tcPr>
            <w:tcW w:w="644" w:type="dxa"/>
          </w:tcPr>
          <w:p>
            <w:pPr>
              <w:pStyle w:val="TableParagraph"/>
              <w:spacing w:before="99"/>
              <w:ind w:left="50"/>
              <w:rPr>
                <w:b/>
                <w:sz w:val="21"/>
              </w:rPr>
            </w:pPr>
            <w:r>
              <w:rPr>
                <w:b/>
                <w:sz w:val="21"/>
              </w:rPr>
              <w:t>8.17</w:t>
            </w:r>
          </w:p>
        </w:tc>
        <w:tc>
          <w:tcPr>
            <w:tcW w:w="2026" w:type="dxa"/>
          </w:tcPr>
          <w:p>
            <w:pPr>
              <w:pStyle w:val="TableParagraph"/>
              <w:spacing w:before="99"/>
              <w:ind w:left="170"/>
              <w:rPr>
                <w:b/>
                <w:sz w:val="21"/>
              </w:rPr>
            </w:pPr>
            <w:r>
              <w:rPr>
                <w:b/>
                <w:sz w:val="21"/>
              </w:rPr>
              <w:t>医疗机构</w:t>
            </w:r>
          </w:p>
        </w:tc>
        <w:tc>
          <w:tcPr>
            <w:tcW w:w="7518" w:type="dxa"/>
          </w:tcPr>
          <w:p>
            <w:pPr>
              <w:pStyle w:val="TableParagraph"/>
              <w:spacing w:line="273" w:lineRule="auto" w:before="99"/>
              <w:ind w:left="169" w:right="206"/>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425" w:hRule="atLeast"/>
        </w:trPr>
        <w:tc>
          <w:tcPr>
            <w:tcW w:w="644" w:type="dxa"/>
          </w:tcPr>
          <w:p>
            <w:pPr>
              <w:pStyle w:val="TableParagraph"/>
              <w:spacing w:before="99"/>
              <w:ind w:left="50"/>
              <w:rPr>
                <w:b/>
                <w:sz w:val="21"/>
              </w:rPr>
            </w:pPr>
            <w:r>
              <w:rPr>
                <w:b/>
                <w:sz w:val="21"/>
              </w:rPr>
              <w:t>8.18</w:t>
            </w:r>
          </w:p>
        </w:tc>
        <w:tc>
          <w:tcPr>
            <w:tcW w:w="2026" w:type="dxa"/>
          </w:tcPr>
          <w:p>
            <w:pPr>
              <w:pStyle w:val="TableParagraph"/>
              <w:spacing w:before="99"/>
              <w:ind w:left="170"/>
              <w:rPr>
                <w:b/>
                <w:sz w:val="21"/>
              </w:rPr>
            </w:pPr>
            <w:r>
              <w:rPr>
                <w:b/>
                <w:w w:val="95"/>
                <w:sz w:val="21"/>
              </w:rPr>
              <w:t>利息</w:t>
            </w:r>
          </w:p>
        </w:tc>
        <w:tc>
          <w:tcPr>
            <w:tcW w:w="7518" w:type="dxa"/>
          </w:tcPr>
          <w:p>
            <w:pPr>
              <w:pStyle w:val="TableParagraph"/>
              <w:spacing w:before="99"/>
              <w:ind w:left="169"/>
              <w:rPr>
                <w:sz w:val="21"/>
              </w:rPr>
            </w:pPr>
            <w:r>
              <w:rPr>
                <w:sz w:val="21"/>
              </w:rPr>
              <w:t>本附加合同补交保险费的利息以“中国人民银行当月第一个营业日颁布的两年</w:t>
            </w:r>
          </w:p>
        </w:tc>
      </w:tr>
      <w:tr>
        <w:trPr>
          <w:trHeight w:val="260" w:hRule="atLeast"/>
        </w:trPr>
        <w:tc>
          <w:tcPr>
            <w:tcW w:w="644" w:type="dxa"/>
          </w:tcPr>
          <w:p>
            <w:pPr>
              <w:pStyle w:val="TableParagraph"/>
              <w:rPr>
                <w:rFonts w:ascii="Times New Roman"/>
                <w:sz w:val="18"/>
              </w:rPr>
            </w:pPr>
          </w:p>
        </w:tc>
        <w:tc>
          <w:tcPr>
            <w:tcW w:w="2026" w:type="dxa"/>
          </w:tcPr>
          <w:p>
            <w:pPr>
              <w:pStyle w:val="TableParagraph"/>
              <w:rPr>
                <w:rFonts w:ascii="Times New Roman"/>
                <w:sz w:val="18"/>
              </w:rPr>
            </w:pPr>
          </w:p>
        </w:tc>
        <w:tc>
          <w:tcPr>
            <w:tcW w:w="7518" w:type="dxa"/>
          </w:tcPr>
          <w:p>
            <w:pPr>
              <w:pStyle w:val="TableParagraph"/>
              <w:spacing w:line="241" w:lineRule="exact"/>
              <w:ind w:left="169"/>
              <w:rPr>
                <w:sz w:val="21"/>
              </w:rPr>
            </w:pPr>
            <w:r>
              <w:rPr>
                <w:sz w:val="21"/>
              </w:rPr>
              <w:t>期居民定期储蓄存款基准利率 + 2%”换算的月利率按月以单利累积计算。</w:t>
            </w:r>
          </w:p>
        </w:tc>
      </w:tr>
    </w:tbl>
    <w:sectPr>
      <w:pgSz w:w="11910" w:h="16840"/>
      <w:pgMar w:header="0" w:footer="442" w:top="1140" w:bottom="640" w:left="8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 w:name="Yu Gothic">
    <w:altName w:val="Yu Gothic"/>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102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315" w:hanging="211"/>
        <w:jc w:val="left"/>
      </w:pPr>
      <w:rPr>
        <w:rFonts w:hint="default" w:ascii="宋体" w:hAnsi="宋体" w:eastAsia="宋体" w:cs="宋体"/>
        <w:spacing w:val="-2"/>
        <w:w w:val="100"/>
        <w:sz w:val="21"/>
        <w:szCs w:val="21"/>
      </w:rPr>
    </w:lvl>
    <w:lvl w:ilvl="1">
      <w:start w:val="0"/>
      <w:numFmt w:val="bullet"/>
      <w:lvlText w:val="•"/>
      <w:lvlJc w:val="left"/>
      <w:pPr>
        <w:ind w:left="1029" w:hanging="211"/>
      </w:pPr>
      <w:rPr>
        <w:rFonts w:hint="default"/>
      </w:rPr>
    </w:lvl>
    <w:lvl w:ilvl="2">
      <w:start w:val="0"/>
      <w:numFmt w:val="bullet"/>
      <w:lvlText w:val="•"/>
      <w:lvlJc w:val="left"/>
      <w:pPr>
        <w:ind w:left="1739" w:hanging="211"/>
      </w:pPr>
      <w:rPr>
        <w:rFonts w:hint="default"/>
      </w:rPr>
    </w:lvl>
    <w:lvl w:ilvl="3">
      <w:start w:val="0"/>
      <w:numFmt w:val="bullet"/>
      <w:lvlText w:val="•"/>
      <w:lvlJc w:val="left"/>
      <w:pPr>
        <w:ind w:left="2449" w:hanging="211"/>
      </w:pPr>
      <w:rPr>
        <w:rFonts w:hint="default"/>
      </w:rPr>
    </w:lvl>
    <w:lvl w:ilvl="4">
      <w:start w:val="0"/>
      <w:numFmt w:val="bullet"/>
      <w:lvlText w:val="•"/>
      <w:lvlJc w:val="left"/>
      <w:pPr>
        <w:ind w:left="3159" w:hanging="211"/>
      </w:pPr>
      <w:rPr>
        <w:rFonts w:hint="default"/>
      </w:rPr>
    </w:lvl>
    <w:lvl w:ilvl="5">
      <w:start w:val="0"/>
      <w:numFmt w:val="bullet"/>
      <w:lvlText w:val="•"/>
      <w:lvlJc w:val="left"/>
      <w:pPr>
        <w:ind w:left="3869" w:hanging="211"/>
      </w:pPr>
      <w:rPr>
        <w:rFonts w:hint="default"/>
      </w:rPr>
    </w:lvl>
    <w:lvl w:ilvl="6">
      <w:start w:val="0"/>
      <w:numFmt w:val="bullet"/>
      <w:lvlText w:val="•"/>
      <w:lvlJc w:val="left"/>
      <w:pPr>
        <w:ind w:left="4579" w:hanging="211"/>
      </w:pPr>
      <w:rPr>
        <w:rFonts w:hint="default"/>
      </w:rPr>
    </w:lvl>
    <w:lvl w:ilvl="7">
      <w:start w:val="0"/>
      <w:numFmt w:val="bullet"/>
      <w:lvlText w:val="•"/>
      <w:lvlJc w:val="left"/>
      <w:pPr>
        <w:ind w:left="5289" w:hanging="211"/>
      </w:pPr>
      <w:rPr>
        <w:rFonts w:hint="default"/>
      </w:rPr>
    </w:lvl>
    <w:lvl w:ilvl="8">
      <w:start w:val="0"/>
      <w:numFmt w:val="bullet"/>
      <w:lvlText w:val="•"/>
      <w:lvlJc w:val="left"/>
      <w:pPr>
        <w:ind w:left="5999" w:hanging="211"/>
      </w:pPr>
      <w:rPr>
        <w:rFonts w:hint="default"/>
      </w:rPr>
    </w:lvl>
  </w:abstractNum>
  <w:abstractNum w:abstractNumId="13">
    <w:multiLevelType w:val="hybridMultilevel"/>
    <w:lvl w:ilvl="0">
      <w:start w:val="8"/>
      <w:numFmt w:val="decimal"/>
      <w:lvlText w:val="%1"/>
      <w:lvlJc w:val="left"/>
      <w:pPr>
        <w:ind w:left="2951" w:hanging="765"/>
        <w:jc w:val="left"/>
      </w:pPr>
      <w:rPr>
        <w:rFonts w:hint="default"/>
      </w:rPr>
    </w:lvl>
    <w:lvl w:ilvl="1">
      <w:start w:val="2"/>
      <w:numFmt w:val="decimal"/>
      <w:lvlText w:val="%1.%2"/>
      <w:lvlJc w:val="left"/>
      <w:pPr>
        <w:ind w:left="2951" w:hanging="765"/>
        <w:jc w:val="left"/>
      </w:pPr>
      <w:rPr>
        <w:rFonts w:hint="default" w:ascii="宋体" w:hAnsi="宋体" w:eastAsia="宋体" w:cs="宋体"/>
        <w:b/>
        <w:bCs/>
        <w:spacing w:val="0"/>
        <w:w w:val="99"/>
        <w:sz w:val="21"/>
        <w:szCs w:val="21"/>
      </w:rPr>
    </w:lvl>
    <w:lvl w:ilvl="2">
      <w:start w:val="0"/>
      <w:numFmt w:val="bullet"/>
      <w:lvlText w:val="•"/>
      <w:lvlJc w:val="left"/>
      <w:pPr>
        <w:ind w:left="4452" w:hanging="765"/>
      </w:pPr>
      <w:rPr>
        <w:rFonts w:hint="default"/>
      </w:rPr>
    </w:lvl>
    <w:lvl w:ilvl="3">
      <w:start w:val="0"/>
      <w:numFmt w:val="bullet"/>
      <w:lvlText w:val="•"/>
      <w:lvlJc w:val="left"/>
      <w:pPr>
        <w:ind w:left="5199" w:hanging="765"/>
      </w:pPr>
      <w:rPr>
        <w:rFonts w:hint="default"/>
      </w:rPr>
    </w:lvl>
    <w:lvl w:ilvl="4">
      <w:start w:val="0"/>
      <w:numFmt w:val="bullet"/>
      <w:lvlText w:val="•"/>
      <w:lvlJc w:val="left"/>
      <w:pPr>
        <w:ind w:left="5945" w:hanging="765"/>
      </w:pPr>
      <w:rPr>
        <w:rFonts w:hint="default"/>
      </w:rPr>
    </w:lvl>
    <w:lvl w:ilvl="5">
      <w:start w:val="0"/>
      <w:numFmt w:val="bullet"/>
      <w:lvlText w:val="•"/>
      <w:lvlJc w:val="left"/>
      <w:pPr>
        <w:ind w:left="6692" w:hanging="765"/>
      </w:pPr>
      <w:rPr>
        <w:rFonts w:hint="default"/>
      </w:rPr>
    </w:lvl>
    <w:lvl w:ilvl="6">
      <w:start w:val="0"/>
      <w:numFmt w:val="bullet"/>
      <w:lvlText w:val="•"/>
      <w:lvlJc w:val="left"/>
      <w:pPr>
        <w:ind w:left="7438" w:hanging="765"/>
      </w:pPr>
      <w:rPr>
        <w:rFonts w:hint="default"/>
      </w:rPr>
    </w:lvl>
    <w:lvl w:ilvl="7">
      <w:start w:val="0"/>
      <w:numFmt w:val="bullet"/>
      <w:lvlText w:val="•"/>
      <w:lvlJc w:val="left"/>
      <w:pPr>
        <w:ind w:left="8185" w:hanging="765"/>
      </w:pPr>
      <w:rPr>
        <w:rFonts w:hint="default"/>
      </w:rPr>
    </w:lvl>
    <w:lvl w:ilvl="8">
      <w:start w:val="0"/>
      <w:numFmt w:val="bullet"/>
      <w:lvlText w:val="•"/>
      <w:lvlJc w:val="left"/>
      <w:pPr>
        <w:ind w:left="8931" w:hanging="765"/>
      </w:pPr>
      <w:rPr>
        <w:rFonts w:hint="default"/>
      </w:rPr>
    </w:lvl>
  </w:abstractNum>
  <w:abstractNum w:abstractNumId="12">
    <w:multiLevelType w:val="hybridMultilevel"/>
    <w:lvl w:ilvl="0">
      <w:start w:val="7"/>
      <w:numFmt w:val="decimal"/>
      <w:lvlText w:val="%1"/>
      <w:lvlJc w:val="left"/>
      <w:pPr>
        <w:ind w:left="985" w:hanging="765"/>
        <w:jc w:val="left"/>
      </w:pPr>
      <w:rPr>
        <w:rFonts w:hint="default"/>
      </w:rPr>
    </w:lvl>
    <w:lvl w:ilvl="1">
      <w:start w:val="1"/>
      <w:numFmt w:val="decimal"/>
      <w:lvlText w:val="%1.%2"/>
      <w:lvlJc w:val="left"/>
      <w:pPr>
        <w:ind w:left="985" w:hanging="765"/>
        <w:jc w:val="left"/>
      </w:pPr>
      <w:rPr>
        <w:rFonts w:hint="default" w:ascii="宋体" w:hAnsi="宋体" w:eastAsia="宋体" w:cs="宋体"/>
        <w:b/>
        <w:bCs/>
        <w:spacing w:val="0"/>
        <w:w w:val="99"/>
        <w:sz w:val="21"/>
        <w:szCs w:val="21"/>
      </w:rPr>
    </w:lvl>
    <w:lvl w:ilvl="2">
      <w:start w:val="0"/>
      <w:numFmt w:val="bullet"/>
      <w:lvlText w:val="•"/>
      <w:lvlJc w:val="left"/>
      <w:pPr>
        <w:ind w:left="1360" w:hanging="765"/>
      </w:pPr>
      <w:rPr>
        <w:rFonts w:hint="default"/>
      </w:rPr>
    </w:lvl>
    <w:lvl w:ilvl="3">
      <w:start w:val="0"/>
      <w:numFmt w:val="bullet"/>
      <w:lvlText w:val="•"/>
      <w:lvlJc w:val="left"/>
      <w:pPr>
        <w:ind w:left="1551" w:hanging="765"/>
      </w:pPr>
      <w:rPr>
        <w:rFonts w:hint="default"/>
      </w:rPr>
    </w:lvl>
    <w:lvl w:ilvl="4">
      <w:start w:val="0"/>
      <w:numFmt w:val="bullet"/>
      <w:lvlText w:val="•"/>
      <w:lvlJc w:val="left"/>
      <w:pPr>
        <w:ind w:left="1741" w:hanging="765"/>
      </w:pPr>
      <w:rPr>
        <w:rFonts w:hint="default"/>
      </w:rPr>
    </w:lvl>
    <w:lvl w:ilvl="5">
      <w:start w:val="0"/>
      <w:numFmt w:val="bullet"/>
      <w:lvlText w:val="•"/>
      <w:lvlJc w:val="left"/>
      <w:pPr>
        <w:ind w:left="1931" w:hanging="765"/>
      </w:pPr>
      <w:rPr>
        <w:rFonts w:hint="default"/>
      </w:rPr>
    </w:lvl>
    <w:lvl w:ilvl="6">
      <w:start w:val="0"/>
      <w:numFmt w:val="bullet"/>
      <w:lvlText w:val="•"/>
      <w:lvlJc w:val="left"/>
      <w:pPr>
        <w:ind w:left="2122" w:hanging="765"/>
      </w:pPr>
      <w:rPr>
        <w:rFonts w:hint="default"/>
      </w:rPr>
    </w:lvl>
    <w:lvl w:ilvl="7">
      <w:start w:val="0"/>
      <w:numFmt w:val="bullet"/>
      <w:lvlText w:val="•"/>
      <w:lvlJc w:val="left"/>
      <w:pPr>
        <w:ind w:left="2312" w:hanging="765"/>
      </w:pPr>
      <w:rPr>
        <w:rFonts w:hint="default"/>
      </w:rPr>
    </w:lvl>
    <w:lvl w:ilvl="8">
      <w:start w:val="0"/>
      <w:numFmt w:val="bullet"/>
      <w:lvlText w:val="•"/>
      <w:lvlJc w:val="left"/>
      <w:pPr>
        <w:ind w:left="2502" w:hanging="765"/>
      </w:pPr>
      <w:rPr>
        <w:rFonts w:hint="default"/>
      </w:rPr>
    </w:lvl>
  </w:abstractNum>
  <w:abstractNum w:abstractNumId="11">
    <w:multiLevelType w:val="hybridMultilevel"/>
    <w:lvl w:ilvl="0">
      <w:start w:val="6"/>
      <w:numFmt w:val="decimal"/>
      <w:lvlText w:val="%1"/>
      <w:lvlJc w:val="left"/>
      <w:pPr>
        <w:ind w:left="3011" w:hanging="764"/>
        <w:jc w:val="left"/>
      </w:pPr>
      <w:rPr>
        <w:rFonts w:hint="default"/>
      </w:rPr>
    </w:lvl>
    <w:lvl w:ilvl="1">
      <w:start w:val="1"/>
      <w:numFmt w:val="decimal"/>
      <w:lvlText w:val="%1.%2"/>
      <w:lvlJc w:val="left"/>
      <w:pPr>
        <w:ind w:left="3011" w:hanging="764"/>
        <w:jc w:val="left"/>
      </w:pPr>
      <w:rPr>
        <w:rFonts w:hint="default" w:ascii="宋体" w:hAnsi="宋体" w:eastAsia="宋体" w:cs="宋体"/>
        <w:b/>
        <w:bCs/>
        <w:w w:val="99"/>
        <w:sz w:val="21"/>
        <w:szCs w:val="21"/>
      </w:rPr>
    </w:lvl>
    <w:lvl w:ilvl="2">
      <w:start w:val="0"/>
      <w:numFmt w:val="bullet"/>
      <w:lvlText w:val="•"/>
      <w:lvlJc w:val="left"/>
      <w:pPr>
        <w:ind w:left="4500" w:hanging="764"/>
      </w:pPr>
      <w:rPr>
        <w:rFonts w:hint="default"/>
      </w:rPr>
    </w:lvl>
    <w:lvl w:ilvl="3">
      <w:start w:val="0"/>
      <w:numFmt w:val="bullet"/>
      <w:lvlText w:val="•"/>
      <w:lvlJc w:val="left"/>
      <w:pPr>
        <w:ind w:left="5241" w:hanging="764"/>
      </w:pPr>
      <w:rPr>
        <w:rFonts w:hint="default"/>
      </w:rPr>
    </w:lvl>
    <w:lvl w:ilvl="4">
      <w:start w:val="0"/>
      <w:numFmt w:val="bullet"/>
      <w:lvlText w:val="•"/>
      <w:lvlJc w:val="left"/>
      <w:pPr>
        <w:ind w:left="5981" w:hanging="764"/>
      </w:pPr>
      <w:rPr>
        <w:rFonts w:hint="default"/>
      </w:rPr>
    </w:lvl>
    <w:lvl w:ilvl="5">
      <w:start w:val="0"/>
      <w:numFmt w:val="bullet"/>
      <w:lvlText w:val="•"/>
      <w:lvlJc w:val="left"/>
      <w:pPr>
        <w:ind w:left="6722" w:hanging="764"/>
      </w:pPr>
      <w:rPr>
        <w:rFonts w:hint="default"/>
      </w:rPr>
    </w:lvl>
    <w:lvl w:ilvl="6">
      <w:start w:val="0"/>
      <w:numFmt w:val="bullet"/>
      <w:lvlText w:val="•"/>
      <w:lvlJc w:val="left"/>
      <w:pPr>
        <w:ind w:left="7462" w:hanging="764"/>
      </w:pPr>
      <w:rPr>
        <w:rFonts w:hint="default"/>
      </w:rPr>
    </w:lvl>
    <w:lvl w:ilvl="7">
      <w:start w:val="0"/>
      <w:numFmt w:val="bullet"/>
      <w:lvlText w:val="•"/>
      <w:lvlJc w:val="left"/>
      <w:pPr>
        <w:ind w:left="8203" w:hanging="764"/>
      </w:pPr>
      <w:rPr>
        <w:rFonts w:hint="default"/>
      </w:rPr>
    </w:lvl>
    <w:lvl w:ilvl="8">
      <w:start w:val="0"/>
      <w:numFmt w:val="bullet"/>
      <w:lvlText w:val="•"/>
      <w:lvlJc w:val="left"/>
      <w:pPr>
        <w:ind w:left="8943" w:hanging="764"/>
      </w:pPr>
      <w:rPr>
        <w:rFonts w:hint="default"/>
      </w:rPr>
    </w:lvl>
  </w:abstractNum>
  <w:abstractNum w:abstractNumId="10">
    <w:multiLevelType w:val="hybridMultilevel"/>
    <w:lvl w:ilvl="0">
      <w:start w:val="0"/>
      <w:numFmt w:val="bullet"/>
      <w:lvlText w:val="◉"/>
      <w:lvlJc w:val="left"/>
      <w:pPr>
        <w:ind w:left="985" w:hanging="765"/>
      </w:pPr>
      <w:rPr>
        <w:rFonts w:hint="default" w:ascii="Yu Gothic" w:hAnsi="Yu Gothic" w:eastAsia="Yu Gothic" w:cs="Yu Gothic"/>
        <w:b/>
        <w:bCs/>
        <w:w w:val="89"/>
        <w:position w:val="-3"/>
        <w:sz w:val="40"/>
        <w:szCs w:val="40"/>
      </w:rPr>
    </w:lvl>
    <w:lvl w:ilvl="1">
      <w:start w:val="0"/>
      <w:numFmt w:val="bullet"/>
      <w:lvlText w:val="•"/>
      <w:lvlJc w:val="left"/>
      <w:pPr>
        <w:ind w:left="1924" w:hanging="765"/>
      </w:pPr>
      <w:rPr>
        <w:rFonts w:hint="default"/>
      </w:rPr>
    </w:lvl>
    <w:lvl w:ilvl="2">
      <w:start w:val="0"/>
      <w:numFmt w:val="bullet"/>
      <w:lvlText w:val="•"/>
      <w:lvlJc w:val="left"/>
      <w:pPr>
        <w:ind w:left="2868" w:hanging="765"/>
      </w:pPr>
      <w:rPr>
        <w:rFonts w:hint="default"/>
      </w:rPr>
    </w:lvl>
    <w:lvl w:ilvl="3">
      <w:start w:val="0"/>
      <w:numFmt w:val="bullet"/>
      <w:lvlText w:val="•"/>
      <w:lvlJc w:val="left"/>
      <w:pPr>
        <w:ind w:left="3813" w:hanging="765"/>
      </w:pPr>
      <w:rPr>
        <w:rFonts w:hint="default"/>
      </w:rPr>
    </w:lvl>
    <w:lvl w:ilvl="4">
      <w:start w:val="0"/>
      <w:numFmt w:val="bullet"/>
      <w:lvlText w:val="•"/>
      <w:lvlJc w:val="left"/>
      <w:pPr>
        <w:ind w:left="4757" w:hanging="765"/>
      </w:pPr>
      <w:rPr>
        <w:rFonts w:hint="default"/>
      </w:rPr>
    </w:lvl>
    <w:lvl w:ilvl="5">
      <w:start w:val="0"/>
      <w:numFmt w:val="bullet"/>
      <w:lvlText w:val="•"/>
      <w:lvlJc w:val="left"/>
      <w:pPr>
        <w:ind w:left="5702" w:hanging="765"/>
      </w:pPr>
      <w:rPr>
        <w:rFonts w:hint="default"/>
      </w:rPr>
    </w:lvl>
    <w:lvl w:ilvl="6">
      <w:start w:val="0"/>
      <w:numFmt w:val="bullet"/>
      <w:lvlText w:val="•"/>
      <w:lvlJc w:val="left"/>
      <w:pPr>
        <w:ind w:left="6646" w:hanging="765"/>
      </w:pPr>
      <w:rPr>
        <w:rFonts w:hint="default"/>
      </w:rPr>
    </w:lvl>
    <w:lvl w:ilvl="7">
      <w:start w:val="0"/>
      <w:numFmt w:val="bullet"/>
      <w:lvlText w:val="•"/>
      <w:lvlJc w:val="left"/>
      <w:pPr>
        <w:ind w:left="7591" w:hanging="765"/>
      </w:pPr>
      <w:rPr>
        <w:rFonts w:hint="default"/>
      </w:rPr>
    </w:lvl>
    <w:lvl w:ilvl="8">
      <w:start w:val="0"/>
      <w:numFmt w:val="bullet"/>
      <w:lvlText w:val="•"/>
      <w:lvlJc w:val="left"/>
      <w:pPr>
        <w:ind w:left="8535" w:hanging="765"/>
      </w:pPr>
      <w:rPr>
        <w:rFonts w:hint="default"/>
      </w:rPr>
    </w:lvl>
  </w:abstractNum>
  <w:abstractNum w:abstractNumId="9">
    <w:multiLevelType w:val="hybridMultilevel"/>
    <w:lvl w:ilvl="0">
      <w:start w:val="3"/>
      <w:numFmt w:val="decimal"/>
      <w:lvlText w:val="%1"/>
      <w:lvlJc w:val="left"/>
      <w:pPr>
        <w:ind w:left="3011" w:hanging="765"/>
        <w:jc w:val="left"/>
      </w:pPr>
      <w:rPr>
        <w:rFonts w:hint="default"/>
      </w:rPr>
    </w:lvl>
    <w:lvl w:ilvl="1">
      <w:start w:val="2"/>
      <w:numFmt w:val="decimal"/>
      <w:lvlText w:val="%1.%2"/>
      <w:lvlJc w:val="left"/>
      <w:pPr>
        <w:ind w:left="3011" w:hanging="765"/>
        <w:jc w:val="left"/>
      </w:pPr>
      <w:rPr>
        <w:rFonts w:hint="default" w:ascii="宋体" w:hAnsi="宋体" w:eastAsia="宋体" w:cs="宋体"/>
        <w:b/>
        <w:bCs/>
        <w:w w:val="99"/>
        <w:sz w:val="21"/>
        <w:szCs w:val="21"/>
      </w:rPr>
    </w:lvl>
    <w:lvl w:ilvl="2">
      <w:start w:val="0"/>
      <w:numFmt w:val="bullet"/>
      <w:lvlText w:val="•"/>
      <w:lvlJc w:val="left"/>
      <w:pPr>
        <w:ind w:left="4500" w:hanging="765"/>
      </w:pPr>
      <w:rPr>
        <w:rFonts w:hint="default"/>
      </w:rPr>
    </w:lvl>
    <w:lvl w:ilvl="3">
      <w:start w:val="0"/>
      <w:numFmt w:val="bullet"/>
      <w:lvlText w:val="•"/>
      <w:lvlJc w:val="left"/>
      <w:pPr>
        <w:ind w:left="5241" w:hanging="765"/>
      </w:pPr>
      <w:rPr>
        <w:rFonts w:hint="default"/>
      </w:rPr>
    </w:lvl>
    <w:lvl w:ilvl="4">
      <w:start w:val="0"/>
      <w:numFmt w:val="bullet"/>
      <w:lvlText w:val="•"/>
      <w:lvlJc w:val="left"/>
      <w:pPr>
        <w:ind w:left="5981" w:hanging="765"/>
      </w:pPr>
      <w:rPr>
        <w:rFonts w:hint="default"/>
      </w:rPr>
    </w:lvl>
    <w:lvl w:ilvl="5">
      <w:start w:val="0"/>
      <w:numFmt w:val="bullet"/>
      <w:lvlText w:val="•"/>
      <w:lvlJc w:val="left"/>
      <w:pPr>
        <w:ind w:left="6722" w:hanging="765"/>
      </w:pPr>
      <w:rPr>
        <w:rFonts w:hint="default"/>
      </w:rPr>
    </w:lvl>
    <w:lvl w:ilvl="6">
      <w:start w:val="0"/>
      <w:numFmt w:val="bullet"/>
      <w:lvlText w:val="•"/>
      <w:lvlJc w:val="left"/>
      <w:pPr>
        <w:ind w:left="7462" w:hanging="765"/>
      </w:pPr>
      <w:rPr>
        <w:rFonts w:hint="default"/>
      </w:rPr>
    </w:lvl>
    <w:lvl w:ilvl="7">
      <w:start w:val="0"/>
      <w:numFmt w:val="bullet"/>
      <w:lvlText w:val="•"/>
      <w:lvlJc w:val="left"/>
      <w:pPr>
        <w:ind w:left="8203" w:hanging="765"/>
      </w:pPr>
      <w:rPr>
        <w:rFonts w:hint="default"/>
      </w:rPr>
    </w:lvl>
    <w:lvl w:ilvl="8">
      <w:start w:val="0"/>
      <w:numFmt w:val="bullet"/>
      <w:lvlText w:val="•"/>
      <w:lvlJc w:val="left"/>
      <w:pPr>
        <w:ind w:left="8943" w:hanging="765"/>
      </w:pPr>
      <w:rPr>
        <w:rFonts w:hint="default"/>
      </w:rPr>
    </w:lvl>
  </w:abstractNum>
  <w:abstractNum w:abstractNumId="8">
    <w:multiLevelType w:val="hybridMultilevel"/>
    <w:lvl w:ilvl="0">
      <w:start w:val="2"/>
      <w:numFmt w:val="decimal"/>
      <w:lvlText w:val="%1"/>
      <w:lvlJc w:val="left"/>
      <w:pPr>
        <w:ind w:left="984" w:hanging="764"/>
        <w:jc w:val="left"/>
      </w:pPr>
      <w:rPr>
        <w:rFonts w:hint="default"/>
      </w:rPr>
    </w:lvl>
    <w:lvl w:ilvl="1">
      <w:start w:val="1"/>
      <w:numFmt w:val="decimal"/>
      <w:lvlText w:val="%1.%2"/>
      <w:lvlJc w:val="left"/>
      <w:pPr>
        <w:ind w:left="984" w:hanging="764"/>
        <w:jc w:val="left"/>
      </w:pPr>
      <w:rPr>
        <w:rFonts w:hint="default"/>
        <w:b/>
        <w:bCs/>
        <w:w w:val="99"/>
      </w:rPr>
    </w:lvl>
    <w:lvl w:ilvl="2">
      <w:start w:val="0"/>
      <w:numFmt w:val="bullet"/>
      <w:lvlText w:val="•"/>
      <w:lvlJc w:val="left"/>
      <w:pPr>
        <w:ind w:left="2868" w:hanging="764"/>
      </w:pPr>
      <w:rPr>
        <w:rFonts w:hint="default"/>
      </w:rPr>
    </w:lvl>
    <w:lvl w:ilvl="3">
      <w:start w:val="0"/>
      <w:numFmt w:val="bullet"/>
      <w:lvlText w:val="•"/>
      <w:lvlJc w:val="left"/>
      <w:pPr>
        <w:ind w:left="3813" w:hanging="764"/>
      </w:pPr>
      <w:rPr>
        <w:rFonts w:hint="default"/>
      </w:rPr>
    </w:lvl>
    <w:lvl w:ilvl="4">
      <w:start w:val="0"/>
      <w:numFmt w:val="bullet"/>
      <w:lvlText w:val="•"/>
      <w:lvlJc w:val="left"/>
      <w:pPr>
        <w:ind w:left="4757" w:hanging="764"/>
      </w:pPr>
      <w:rPr>
        <w:rFonts w:hint="default"/>
      </w:rPr>
    </w:lvl>
    <w:lvl w:ilvl="5">
      <w:start w:val="0"/>
      <w:numFmt w:val="bullet"/>
      <w:lvlText w:val="•"/>
      <w:lvlJc w:val="left"/>
      <w:pPr>
        <w:ind w:left="5702" w:hanging="764"/>
      </w:pPr>
      <w:rPr>
        <w:rFonts w:hint="default"/>
      </w:rPr>
    </w:lvl>
    <w:lvl w:ilvl="6">
      <w:start w:val="0"/>
      <w:numFmt w:val="bullet"/>
      <w:lvlText w:val="•"/>
      <w:lvlJc w:val="left"/>
      <w:pPr>
        <w:ind w:left="6646" w:hanging="764"/>
      </w:pPr>
      <w:rPr>
        <w:rFonts w:hint="default"/>
      </w:rPr>
    </w:lvl>
    <w:lvl w:ilvl="7">
      <w:start w:val="0"/>
      <w:numFmt w:val="bullet"/>
      <w:lvlText w:val="•"/>
      <w:lvlJc w:val="left"/>
      <w:pPr>
        <w:ind w:left="7591" w:hanging="764"/>
      </w:pPr>
      <w:rPr>
        <w:rFonts w:hint="default"/>
      </w:rPr>
    </w:lvl>
    <w:lvl w:ilvl="8">
      <w:start w:val="0"/>
      <w:numFmt w:val="bullet"/>
      <w:lvlText w:val="•"/>
      <w:lvlJc w:val="left"/>
      <w:pPr>
        <w:ind w:left="8535" w:hanging="764"/>
      </w:pPr>
      <w:rPr>
        <w:rFonts w:hint="default"/>
      </w:rPr>
    </w:lvl>
  </w:abstractNum>
  <w:abstractNum w:abstractNumId="7">
    <w:multiLevelType w:val="hybridMultilevel"/>
    <w:lvl w:ilvl="0">
      <w:start w:val="1"/>
      <w:numFmt w:val="decimal"/>
      <w:lvlText w:val="%1"/>
      <w:lvlJc w:val="left"/>
      <w:pPr>
        <w:ind w:left="984" w:hanging="764"/>
        <w:jc w:val="left"/>
      </w:pPr>
      <w:rPr>
        <w:rFonts w:hint="default"/>
      </w:rPr>
    </w:lvl>
    <w:lvl w:ilvl="1">
      <w:start w:val="1"/>
      <w:numFmt w:val="decimal"/>
      <w:lvlText w:val="%1.%2"/>
      <w:lvlJc w:val="left"/>
      <w:pPr>
        <w:ind w:left="3032" w:hanging="764"/>
        <w:jc w:val="left"/>
      </w:pPr>
      <w:rPr>
        <w:rFonts w:hint="default" w:ascii="宋体" w:hAnsi="宋体" w:eastAsia="宋体" w:cs="宋体"/>
        <w:b/>
        <w:bCs/>
        <w:w w:val="99"/>
        <w:sz w:val="21"/>
        <w:szCs w:val="21"/>
      </w:rPr>
    </w:lvl>
    <w:lvl w:ilvl="2">
      <w:start w:val="0"/>
      <w:numFmt w:val="bullet"/>
      <w:lvlText w:val="•"/>
      <w:lvlJc w:val="left"/>
      <w:pPr>
        <w:ind w:left="3860" w:hanging="764"/>
      </w:pPr>
      <w:rPr>
        <w:rFonts w:hint="default"/>
      </w:rPr>
    </w:lvl>
    <w:lvl w:ilvl="3">
      <w:start w:val="0"/>
      <w:numFmt w:val="bullet"/>
      <w:lvlText w:val="•"/>
      <w:lvlJc w:val="left"/>
      <w:pPr>
        <w:ind w:left="4680" w:hanging="764"/>
      </w:pPr>
      <w:rPr>
        <w:rFonts w:hint="default"/>
      </w:rPr>
    </w:lvl>
    <w:lvl w:ilvl="4">
      <w:start w:val="0"/>
      <w:numFmt w:val="bullet"/>
      <w:lvlText w:val="•"/>
      <w:lvlJc w:val="left"/>
      <w:pPr>
        <w:ind w:left="5501" w:hanging="764"/>
      </w:pPr>
      <w:rPr>
        <w:rFonts w:hint="default"/>
      </w:rPr>
    </w:lvl>
    <w:lvl w:ilvl="5">
      <w:start w:val="0"/>
      <w:numFmt w:val="bullet"/>
      <w:lvlText w:val="•"/>
      <w:lvlJc w:val="left"/>
      <w:pPr>
        <w:ind w:left="6321" w:hanging="764"/>
      </w:pPr>
      <w:rPr>
        <w:rFonts w:hint="default"/>
      </w:rPr>
    </w:lvl>
    <w:lvl w:ilvl="6">
      <w:start w:val="0"/>
      <w:numFmt w:val="bullet"/>
      <w:lvlText w:val="•"/>
      <w:lvlJc w:val="left"/>
      <w:pPr>
        <w:ind w:left="7142" w:hanging="764"/>
      </w:pPr>
      <w:rPr>
        <w:rFonts w:hint="default"/>
      </w:rPr>
    </w:lvl>
    <w:lvl w:ilvl="7">
      <w:start w:val="0"/>
      <w:numFmt w:val="bullet"/>
      <w:lvlText w:val="•"/>
      <w:lvlJc w:val="left"/>
      <w:pPr>
        <w:ind w:left="7962" w:hanging="764"/>
      </w:pPr>
      <w:rPr>
        <w:rFonts w:hint="default"/>
      </w:rPr>
    </w:lvl>
    <w:lvl w:ilvl="8">
      <w:start w:val="0"/>
      <w:numFmt w:val="bullet"/>
      <w:lvlText w:val="•"/>
      <w:lvlJc w:val="left"/>
      <w:pPr>
        <w:ind w:left="8783" w:hanging="764"/>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0" w:hanging="420"/>
      </w:pPr>
      <w:rPr>
        <w:rFonts w:hint="default"/>
      </w:rPr>
    </w:lvl>
    <w:lvl w:ilvl="3">
      <w:start w:val="0"/>
      <w:numFmt w:val="bullet"/>
      <w:lvlText w:val="•"/>
      <w:lvlJc w:val="left"/>
      <w:pPr>
        <w:ind w:left="3206" w:hanging="420"/>
      </w:pPr>
      <w:rPr>
        <w:rFonts w:hint="default"/>
      </w:rPr>
    </w:lvl>
    <w:lvl w:ilvl="4">
      <w:start w:val="0"/>
      <w:numFmt w:val="bullet"/>
      <w:lvlText w:val="•"/>
      <w:lvlJc w:val="left"/>
      <w:pPr>
        <w:ind w:left="3661" w:hanging="420"/>
      </w:pPr>
      <w:rPr>
        <w:rFonts w:hint="default"/>
      </w:rPr>
    </w:lvl>
    <w:lvl w:ilvl="5">
      <w:start w:val="0"/>
      <w:numFmt w:val="bullet"/>
      <w:lvlText w:val="•"/>
      <w:lvlJc w:val="left"/>
      <w:pPr>
        <w:ind w:left="4117" w:hanging="420"/>
      </w:pPr>
      <w:rPr>
        <w:rFonts w:hint="default"/>
      </w:rPr>
    </w:lvl>
    <w:lvl w:ilvl="6">
      <w:start w:val="0"/>
      <w:numFmt w:val="bullet"/>
      <w:lvlText w:val="•"/>
      <w:lvlJc w:val="left"/>
      <w:pPr>
        <w:ind w:left="4572" w:hanging="420"/>
      </w:pPr>
      <w:rPr>
        <w:rFonts w:hint="default"/>
      </w:rPr>
    </w:lvl>
    <w:lvl w:ilvl="7">
      <w:start w:val="0"/>
      <w:numFmt w:val="bullet"/>
      <w:lvlText w:val="•"/>
      <w:lvlJc w:val="left"/>
      <w:pPr>
        <w:ind w:left="5028" w:hanging="420"/>
      </w:pPr>
      <w:rPr>
        <w:rFonts w:hint="default"/>
      </w:rPr>
    </w:lvl>
    <w:lvl w:ilvl="8">
      <w:start w:val="0"/>
      <w:numFmt w:val="bullet"/>
      <w:lvlText w:val="•"/>
      <w:lvlJc w:val="left"/>
      <w:pPr>
        <w:ind w:left="5483" w:hanging="420"/>
      </w:pPr>
      <w:rPr>
        <w:rFonts w:hint="default"/>
      </w:rPr>
    </w:lvl>
  </w:abstractNum>
  <w:abstractNum w:abstractNumId="5">
    <w:multiLevelType w:val="hybridMultilevel"/>
    <w:lvl w:ilvl="0">
      <w:start w:val="6"/>
      <w:numFmt w:val="decimal"/>
      <w:lvlText w:val="%1"/>
      <w:lvlJc w:val="left"/>
      <w:pPr>
        <w:ind w:left="1848" w:hanging="419"/>
        <w:jc w:val="left"/>
      </w:pPr>
      <w:rPr>
        <w:rFonts w:hint="default"/>
      </w:rPr>
    </w:lvl>
    <w:lvl w:ilvl="1">
      <w:start w:val="1"/>
      <w:numFmt w:val="decimal"/>
      <w:lvlText w:val="%1.%2"/>
      <w:lvlJc w:val="left"/>
      <w:pPr>
        <w:ind w:left="1848" w:hanging="419"/>
        <w:jc w:val="left"/>
      </w:pPr>
      <w:rPr>
        <w:rFonts w:hint="default" w:ascii="宋体" w:hAnsi="宋体" w:eastAsia="宋体" w:cs="宋体"/>
        <w:spacing w:val="-1"/>
        <w:w w:val="100"/>
        <w:sz w:val="21"/>
        <w:szCs w:val="21"/>
      </w:rPr>
    </w:lvl>
    <w:lvl w:ilvl="2">
      <w:start w:val="0"/>
      <w:numFmt w:val="bullet"/>
      <w:lvlText w:val="•"/>
      <w:lvlJc w:val="left"/>
      <w:pPr>
        <w:ind w:left="2750" w:hanging="419"/>
      </w:pPr>
      <w:rPr>
        <w:rFonts w:hint="default"/>
      </w:rPr>
    </w:lvl>
    <w:lvl w:ilvl="3">
      <w:start w:val="0"/>
      <w:numFmt w:val="bullet"/>
      <w:lvlText w:val="•"/>
      <w:lvlJc w:val="left"/>
      <w:pPr>
        <w:ind w:left="3206" w:hanging="419"/>
      </w:pPr>
      <w:rPr>
        <w:rFonts w:hint="default"/>
      </w:rPr>
    </w:lvl>
    <w:lvl w:ilvl="4">
      <w:start w:val="0"/>
      <w:numFmt w:val="bullet"/>
      <w:lvlText w:val="•"/>
      <w:lvlJc w:val="left"/>
      <w:pPr>
        <w:ind w:left="3661" w:hanging="419"/>
      </w:pPr>
      <w:rPr>
        <w:rFonts w:hint="default"/>
      </w:rPr>
    </w:lvl>
    <w:lvl w:ilvl="5">
      <w:start w:val="0"/>
      <w:numFmt w:val="bullet"/>
      <w:lvlText w:val="•"/>
      <w:lvlJc w:val="left"/>
      <w:pPr>
        <w:ind w:left="4117" w:hanging="419"/>
      </w:pPr>
      <w:rPr>
        <w:rFonts w:hint="default"/>
      </w:rPr>
    </w:lvl>
    <w:lvl w:ilvl="6">
      <w:start w:val="0"/>
      <w:numFmt w:val="bullet"/>
      <w:lvlText w:val="•"/>
      <w:lvlJc w:val="left"/>
      <w:pPr>
        <w:ind w:left="4572" w:hanging="419"/>
      </w:pPr>
      <w:rPr>
        <w:rFonts w:hint="default"/>
      </w:rPr>
    </w:lvl>
    <w:lvl w:ilvl="7">
      <w:start w:val="0"/>
      <w:numFmt w:val="bullet"/>
      <w:lvlText w:val="•"/>
      <w:lvlJc w:val="left"/>
      <w:pPr>
        <w:ind w:left="5028" w:hanging="419"/>
      </w:pPr>
      <w:rPr>
        <w:rFonts w:hint="default"/>
      </w:rPr>
    </w:lvl>
    <w:lvl w:ilvl="8">
      <w:start w:val="0"/>
      <w:numFmt w:val="bullet"/>
      <w:lvlText w:val="•"/>
      <w:lvlJc w:val="left"/>
      <w:pPr>
        <w:ind w:left="5483" w:hanging="419"/>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50" w:hanging="420"/>
      </w:pPr>
      <w:rPr>
        <w:rFonts w:hint="default"/>
      </w:rPr>
    </w:lvl>
    <w:lvl w:ilvl="3">
      <w:start w:val="0"/>
      <w:numFmt w:val="bullet"/>
      <w:lvlText w:val="•"/>
      <w:lvlJc w:val="left"/>
      <w:pPr>
        <w:ind w:left="3206" w:hanging="420"/>
      </w:pPr>
      <w:rPr>
        <w:rFonts w:hint="default"/>
      </w:rPr>
    </w:lvl>
    <w:lvl w:ilvl="4">
      <w:start w:val="0"/>
      <w:numFmt w:val="bullet"/>
      <w:lvlText w:val="•"/>
      <w:lvlJc w:val="left"/>
      <w:pPr>
        <w:ind w:left="3661" w:hanging="420"/>
      </w:pPr>
      <w:rPr>
        <w:rFonts w:hint="default"/>
      </w:rPr>
    </w:lvl>
    <w:lvl w:ilvl="5">
      <w:start w:val="0"/>
      <w:numFmt w:val="bullet"/>
      <w:lvlText w:val="•"/>
      <w:lvlJc w:val="left"/>
      <w:pPr>
        <w:ind w:left="4117" w:hanging="420"/>
      </w:pPr>
      <w:rPr>
        <w:rFonts w:hint="default"/>
      </w:rPr>
    </w:lvl>
    <w:lvl w:ilvl="6">
      <w:start w:val="0"/>
      <w:numFmt w:val="bullet"/>
      <w:lvlText w:val="•"/>
      <w:lvlJc w:val="left"/>
      <w:pPr>
        <w:ind w:left="4572" w:hanging="420"/>
      </w:pPr>
      <w:rPr>
        <w:rFonts w:hint="default"/>
      </w:rPr>
    </w:lvl>
    <w:lvl w:ilvl="7">
      <w:start w:val="0"/>
      <w:numFmt w:val="bullet"/>
      <w:lvlText w:val="•"/>
      <w:lvlJc w:val="left"/>
      <w:pPr>
        <w:ind w:left="5028" w:hanging="420"/>
      </w:pPr>
      <w:rPr>
        <w:rFonts w:hint="default"/>
      </w:rPr>
    </w:lvl>
    <w:lvl w:ilvl="8">
      <w:start w:val="0"/>
      <w:numFmt w:val="bullet"/>
      <w:lvlText w:val="•"/>
      <w:lvlJc w:val="left"/>
      <w:pPr>
        <w:ind w:left="5483"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403" w:hanging="420"/>
      </w:pPr>
      <w:rPr>
        <w:rFonts w:hint="default"/>
      </w:rPr>
    </w:lvl>
    <w:lvl w:ilvl="4">
      <w:start w:val="0"/>
      <w:numFmt w:val="bullet"/>
      <w:lvlText w:val="•"/>
      <w:lvlJc w:val="left"/>
      <w:pPr>
        <w:ind w:left="5317" w:hanging="420"/>
      </w:pPr>
      <w:rPr>
        <w:rFonts w:hint="default"/>
      </w:rPr>
    </w:lvl>
    <w:lvl w:ilvl="5">
      <w:start w:val="0"/>
      <w:numFmt w:val="bullet"/>
      <w:lvlText w:val="•"/>
      <w:lvlJc w:val="left"/>
      <w:pPr>
        <w:ind w:left="6232" w:hanging="420"/>
      </w:pPr>
      <w:rPr>
        <w:rFonts w:hint="default"/>
      </w:rPr>
    </w:lvl>
    <w:lvl w:ilvl="6">
      <w:start w:val="0"/>
      <w:numFmt w:val="bullet"/>
      <w:lvlText w:val="•"/>
      <w:lvlJc w:val="left"/>
      <w:pPr>
        <w:ind w:left="7146" w:hanging="420"/>
      </w:pPr>
      <w:rPr>
        <w:rFonts w:hint="default"/>
      </w:rPr>
    </w:lvl>
    <w:lvl w:ilvl="7">
      <w:start w:val="0"/>
      <w:numFmt w:val="bullet"/>
      <w:lvlText w:val="•"/>
      <w:lvlJc w:val="left"/>
      <w:pPr>
        <w:ind w:left="8061" w:hanging="420"/>
      </w:pPr>
      <w:rPr>
        <w:rFonts w:hint="default"/>
      </w:rPr>
    </w:lvl>
    <w:lvl w:ilvl="8">
      <w:start w:val="0"/>
      <w:numFmt w:val="bullet"/>
      <w:lvlText w:val="•"/>
      <w:lvlJc w:val="left"/>
      <w:pPr>
        <w:ind w:left="8975"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122"/>
      <w:outlineLvl w:val="1"/>
    </w:pPr>
    <w:rPr>
      <w:rFonts w:ascii="宋体" w:hAnsi="宋体" w:eastAsia="宋体" w:cs="宋体"/>
      <w:b/>
      <w:bCs/>
      <w:sz w:val="44"/>
      <w:szCs w:val="44"/>
    </w:rPr>
  </w:style>
  <w:style w:styleId="Heading2" w:type="paragraph">
    <w:name w:val="Heading 2"/>
    <w:basedOn w:val="Normal"/>
    <w:uiPriority w:val="1"/>
    <w:qFormat/>
    <w:pPr>
      <w:spacing w:before="45"/>
      <w:ind w:left="98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31" w:right="271"/>
      <w:outlineLvl w:val="3"/>
    </w:pPr>
    <w:rPr>
      <w:rFonts w:ascii="黑体" w:hAnsi="黑体" w:eastAsia="黑体" w:cs="黑体"/>
      <w:i/>
      <w:sz w:val="22"/>
      <w:szCs w:val="22"/>
    </w:rPr>
  </w:style>
  <w:style w:styleId="Heading4" w:type="paragraph">
    <w:name w:val="Heading 4"/>
    <w:basedOn w:val="Normal"/>
    <w:uiPriority w:val="1"/>
    <w:qFormat/>
    <w:pPr>
      <w:spacing w:before="11"/>
      <w:ind w:left="10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&lt;4D6963726F736F667420576F7264202D20323031325F303231BBAACFC4B8BDBCD3B2ACBDF0E9D7CFEDD6D8B4F3BCB2B2A1B1A3CFD5CCF5BFEE&gt;</dc:title>
  <dcterms:created xsi:type="dcterms:W3CDTF">2018-10-20T02:36:07Z</dcterms:created>
  <dcterms:modified xsi:type="dcterms:W3CDTF">2018-10-20T02:36:07Z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