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3"/>
        <w:ind w:left="0"/>
        <w:rPr>
          <w:rFonts w:ascii="Times New Roman"/>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292" w:hRule="atLeast"/>
        </w:trPr>
        <w:tc>
          <w:tcPr>
            <w:tcW w:w="4659" w:type="dxa"/>
          </w:tcPr>
          <w:p>
            <w:pPr>
              <w:pStyle w:val="TableParagraph"/>
              <w:spacing w:before="0"/>
              <w:ind w:left="0"/>
              <w:rPr>
                <w:rFonts w:ascii="Times New Roman"/>
                <w:sz w:val="20"/>
              </w:rPr>
            </w:pPr>
          </w:p>
        </w:tc>
        <w:tc>
          <w:tcPr>
            <w:tcW w:w="4662" w:type="dxa"/>
          </w:tcPr>
          <w:p>
            <w:pPr>
              <w:pStyle w:val="TableParagraph"/>
              <w:spacing w:line="211" w:lineRule="exact" w:before="0"/>
              <w:ind w:left="1190"/>
              <w:rPr>
                <w:rFonts w:ascii="仿宋" w:eastAsia="仿宋" w:hint="eastAsia"/>
                <w:sz w:val="21"/>
              </w:rPr>
            </w:pPr>
            <w:r>
              <w:rPr>
                <w:rFonts w:ascii="仿宋" w:eastAsia="仿宋" w:hint="eastAsia"/>
                <w:sz w:val="21"/>
              </w:rPr>
              <w:t>中银三星人寿[2015]疾病保险 104 号</w:t>
            </w:r>
          </w:p>
        </w:tc>
      </w:tr>
      <w:tr>
        <w:trPr>
          <w:trHeight w:val="2403" w:hRule="atLeast"/>
        </w:trPr>
        <w:tc>
          <w:tcPr>
            <w:tcW w:w="9321" w:type="dxa"/>
            <w:gridSpan w:val="2"/>
          </w:tcPr>
          <w:p>
            <w:pPr>
              <w:pStyle w:val="TableParagraph"/>
              <w:tabs>
                <w:tab w:pos="7154" w:val="left" w:leader="none"/>
              </w:tabs>
              <w:spacing w:before="81"/>
              <w:ind w:left="2218"/>
              <w:jc w:val="center"/>
              <w:rPr>
                <w:b/>
                <w:sz w:val="32"/>
              </w:rPr>
            </w:pPr>
            <w:r>
              <w:rPr>
                <w:b/>
                <w:w w:val="95"/>
                <w:sz w:val="32"/>
              </w:rPr>
              <w:t>中银三星人寿保险有限公司</w:t>
              <w:tab/>
            </w:r>
            <w:r>
              <w:rPr>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b/>
                <w:sz w:val="32"/>
              </w:rPr>
            </w:r>
          </w:p>
          <w:p>
            <w:pPr>
              <w:pStyle w:val="TableParagraph"/>
              <w:tabs>
                <w:tab w:pos="6991" w:val="left" w:leader="none"/>
              </w:tabs>
              <w:spacing w:before="32"/>
              <w:ind w:left="2291"/>
              <w:jc w:val="center"/>
              <w:rPr>
                <w:rFonts w:ascii="仿宋" w:eastAsia="仿宋" w:hint="eastAsia"/>
                <w:sz w:val="21"/>
              </w:rPr>
            </w:pPr>
            <w:r>
              <w:rPr>
                <w:b/>
                <w:sz w:val="24"/>
              </w:rPr>
              <w:t>中银三星附加康利双赢重大疾病保险条款</w:t>
              <w:tab/>
            </w:r>
            <w:r>
              <w:rPr>
                <w:rFonts w:ascii="仿宋" w:eastAsia="仿宋" w:hint="eastAsia"/>
                <w:sz w:val="21"/>
              </w:rPr>
              <w:t>请扫</w:t>
            </w:r>
            <w:r>
              <w:rPr>
                <w:rFonts w:ascii="仿宋" w:eastAsia="仿宋" w:hint="eastAsia"/>
                <w:spacing w:val="-3"/>
                <w:sz w:val="21"/>
              </w:rPr>
              <w:t>描</w:t>
            </w:r>
            <w:r>
              <w:rPr>
                <w:rFonts w:ascii="仿宋" w:eastAsia="仿宋" w:hint="eastAsia"/>
                <w:sz w:val="21"/>
              </w:rPr>
              <w:t>以</w:t>
            </w:r>
            <w:r>
              <w:rPr>
                <w:rFonts w:ascii="仿宋" w:eastAsia="仿宋" w:hint="eastAsia"/>
                <w:spacing w:val="-3"/>
                <w:sz w:val="21"/>
              </w:rPr>
              <w:t>查</w:t>
            </w:r>
            <w:r>
              <w:rPr>
                <w:rFonts w:ascii="仿宋" w:eastAsia="仿宋" w:hint="eastAsia"/>
                <w:sz w:val="21"/>
              </w:rPr>
              <w:t>询</w:t>
            </w:r>
            <w:r>
              <w:rPr>
                <w:rFonts w:ascii="仿宋" w:eastAsia="仿宋" w:hint="eastAsia"/>
                <w:spacing w:val="-3"/>
                <w:sz w:val="21"/>
              </w:rPr>
              <w:t>验</w:t>
            </w:r>
            <w:r>
              <w:rPr>
                <w:rFonts w:ascii="仿宋" w:eastAsia="仿宋" w:hint="eastAsia"/>
                <w:sz w:val="21"/>
              </w:rPr>
              <w:t>证</w:t>
            </w:r>
            <w:r>
              <w:rPr>
                <w:rFonts w:ascii="仿宋" w:eastAsia="仿宋" w:hint="eastAsia"/>
                <w:spacing w:val="-3"/>
                <w:sz w:val="21"/>
              </w:rPr>
              <w:t>条</w:t>
            </w:r>
            <w:r>
              <w:rPr>
                <w:rFonts w:ascii="仿宋" w:eastAsia="仿宋" w:hint="eastAsia"/>
                <w:sz w:val="21"/>
              </w:rPr>
              <w:t>款</w:t>
            </w:r>
          </w:p>
          <w:p>
            <w:pPr>
              <w:pStyle w:val="TableParagraph"/>
              <w:spacing w:before="29"/>
              <w:ind w:left="2"/>
              <w:jc w:val="center"/>
              <w:rPr>
                <w:b/>
                <w:sz w:val="24"/>
              </w:rPr>
            </w:pPr>
            <w:r>
              <w:rPr>
                <w:b/>
                <w:sz w:val="24"/>
              </w:rPr>
              <w:t>（2015 年 9 月）</w:t>
            </w:r>
          </w:p>
        </w:tc>
      </w:tr>
      <w:tr>
        <w:trPr>
          <w:trHeight w:val="1112" w:hRule="atLeast"/>
        </w:trPr>
        <w:tc>
          <w:tcPr>
            <w:tcW w:w="9321" w:type="dxa"/>
            <w:gridSpan w:val="2"/>
          </w:tcPr>
          <w:p>
            <w:pPr>
              <w:pStyle w:val="TableParagraph"/>
              <w:spacing w:before="0"/>
              <w:ind w:left="0"/>
              <w:rPr>
                <w:rFonts w:ascii="Times New Roman"/>
                <w:sz w:val="20"/>
              </w:rPr>
            </w:pPr>
          </w:p>
          <w:p>
            <w:pPr>
              <w:pStyle w:val="TableParagraph"/>
              <w:spacing w:before="154"/>
              <w:ind w:left="1075"/>
              <w:rPr>
                <w:b/>
                <w:sz w:val="21"/>
              </w:rPr>
            </w:pPr>
            <w:r>
              <w:rPr>
                <w:b/>
                <w:sz w:val="21"/>
              </w:rPr>
              <w:t>在阅读条款正文之前，浏览一下条款目录有助于对条款结构有一个大致了解。</w:t>
            </w:r>
          </w:p>
        </w:tc>
      </w:tr>
      <w:tr>
        <w:trPr>
          <w:trHeight w:val="434" w:hRule="atLeast"/>
        </w:trPr>
        <w:tc>
          <w:tcPr>
            <w:tcW w:w="9321" w:type="dxa"/>
            <w:gridSpan w:val="2"/>
            <w:shd w:val="clear" w:color="auto" w:fill="CCCCCC"/>
          </w:tcPr>
          <w:p>
            <w:pPr>
              <w:pStyle w:val="TableParagraph"/>
              <w:spacing w:before="47"/>
              <w:ind w:left="1"/>
              <w:jc w:val="center"/>
              <w:rPr>
                <w:b/>
                <w:sz w:val="21"/>
              </w:rPr>
            </w:pPr>
            <w:r>
              <w:rPr>
                <w:b/>
                <w:sz w:val="21"/>
              </w:rPr>
              <w:t>条款目录</w:t>
            </w:r>
          </w:p>
        </w:tc>
      </w:tr>
      <w:tr>
        <w:trPr>
          <w:trHeight w:val="6956"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7"/>
              <w:ind w:left="108" w:right="1810"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 第十</w:t>
            </w:r>
            <w:r>
              <w:rPr>
                <w:spacing w:val="-3"/>
                <w:sz w:val="21"/>
              </w:rPr>
              <w:t>四</w:t>
            </w:r>
            <w:r>
              <w:rPr>
                <w:sz w:val="21"/>
              </w:rPr>
              <w:t>条</w:t>
              <w:tab/>
              <w:t>诉</w:t>
            </w:r>
            <w:r>
              <w:rPr>
                <w:spacing w:val="-3"/>
                <w:sz w:val="21"/>
              </w:rPr>
              <w:t>讼</w:t>
            </w:r>
            <w:r>
              <w:rPr>
                <w:sz w:val="21"/>
              </w:rPr>
              <w:t>时效 第十</w:t>
            </w:r>
            <w:r>
              <w:rPr>
                <w:spacing w:val="-3"/>
                <w:sz w:val="21"/>
              </w:rPr>
              <w:t>五</w:t>
            </w:r>
            <w:r>
              <w:rPr>
                <w:sz w:val="21"/>
              </w:rPr>
              <w:t>条</w:t>
              <w:tab/>
              <w:t>受</w:t>
            </w:r>
            <w:r>
              <w:rPr>
                <w:spacing w:val="-3"/>
                <w:sz w:val="21"/>
              </w:rPr>
              <w:t>益</w:t>
            </w:r>
            <w:r>
              <w:rPr>
                <w:sz w:val="21"/>
              </w:rPr>
              <w:t>人</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毒品</w:t>
            </w:r>
          </w:p>
          <w:p>
            <w:pPr>
              <w:pStyle w:val="TableParagraph"/>
              <w:tabs>
                <w:tab w:pos="1574" w:val="left" w:leader="none"/>
              </w:tabs>
              <w:ind w:left="523"/>
              <w:rPr>
                <w:sz w:val="21"/>
              </w:rPr>
            </w:pPr>
            <w:r>
              <w:rPr>
                <w:sz w:val="21"/>
              </w:rPr>
              <w:t>六</w:t>
              <w:tab/>
              <w:t>酒</w:t>
            </w:r>
            <w:r>
              <w:rPr>
                <w:spacing w:val="-3"/>
                <w:sz w:val="21"/>
              </w:rPr>
              <w:t>后</w:t>
            </w:r>
            <w:r>
              <w:rPr>
                <w:sz w:val="21"/>
              </w:rPr>
              <w:t>驾驶</w:t>
            </w:r>
          </w:p>
          <w:p>
            <w:pPr>
              <w:pStyle w:val="TableParagraph"/>
              <w:tabs>
                <w:tab w:pos="1574" w:val="left" w:leader="none"/>
              </w:tabs>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ind w:left="523"/>
              <w:rPr>
                <w:sz w:val="21"/>
              </w:rPr>
            </w:pPr>
            <w:r>
              <w:rPr>
                <w:sz w:val="21"/>
              </w:rPr>
              <w:t>八</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w:t>
              <w:tab/>
              <w:t>现</w:t>
            </w:r>
            <w:r>
              <w:rPr>
                <w:spacing w:val="-3"/>
                <w:sz w:val="21"/>
              </w:rPr>
              <w:t>金</w:t>
            </w:r>
            <w:r>
              <w:rPr>
                <w:sz w:val="21"/>
              </w:rPr>
              <w:t>价值</w:t>
            </w:r>
          </w:p>
          <w:p>
            <w:pPr>
              <w:pStyle w:val="TableParagraph"/>
              <w:tabs>
                <w:tab w:pos="1574" w:val="left" w:leader="none"/>
              </w:tabs>
              <w:ind w:left="523"/>
              <w:rPr>
                <w:sz w:val="21"/>
              </w:rPr>
            </w:pPr>
            <w:r>
              <w:rPr>
                <w:sz w:val="21"/>
              </w:rPr>
              <w:t>十一</w:t>
              <w:tab/>
              <w:t>专</w:t>
            </w:r>
            <w:r>
              <w:rPr>
                <w:spacing w:val="-3"/>
                <w:sz w:val="21"/>
              </w:rPr>
              <w:t>科</w:t>
            </w:r>
            <w:r>
              <w:rPr>
                <w:sz w:val="21"/>
              </w:rPr>
              <w:t>医生</w:t>
            </w:r>
          </w:p>
          <w:p>
            <w:pPr>
              <w:pStyle w:val="TableParagraph"/>
              <w:tabs>
                <w:tab w:pos="1574" w:val="left" w:leader="none"/>
              </w:tabs>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left="149" w:right="101"/>
              <w:jc w:val="both"/>
              <w:rPr>
                <w:sz w:val="21"/>
              </w:rPr>
            </w:pPr>
            <w:r>
              <w:rPr>
                <w:sz w:val="21"/>
              </w:rPr>
              <w:t>《中银三星附加康利双赢重大疾病保险》合同（以下简称“本附加合同”），依主保险合同（以下简称“主合同”）投保人的申请，经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4633"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left="149"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left="149" w:right="101"/>
              <w:jc w:val="both"/>
              <w:rPr>
                <w:sz w:val="21"/>
              </w:rPr>
            </w:pPr>
            <w:r>
              <w:rPr>
                <w:sz w:val="21"/>
              </w:rPr>
              <w:t>（见释义二）确诊患本附加合同所定义的</w:t>
            </w:r>
            <w:r>
              <w:rPr>
                <w:b/>
                <w:sz w:val="21"/>
              </w:rPr>
              <w:t>重大疾病</w:t>
            </w:r>
            <w:r>
              <w:rPr>
                <w:sz w:val="21"/>
              </w:rPr>
              <w:t>（见释义三）（无论一种或多种），本公司按照本附加合同的基本保险金额给付重大疾病保险金，本附加合同及其所附主合同同时终止。</w:t>
            </w:r>
          </w:p>
          <w:p>
            <w:pPr>
              <w:pStyle w:val="TableParagraph"/>
              <w:spacing w:line="300" w:lineRule="auto" w:before="16"/>
              <w:ind w:left="149" w:right="102"/>
              <w:jc w:val="both"/>
              <w:rPr>
                <w:sz w:val="21"/>
              </w:rPr>
            </w:pPr>
            <w:r>
              <w:rPr>
                <w:sz w:val="21"/>
              </w:rPr>
              <w:t>但因本附加合同有效期内发生的</w:t>
            </w:r>
            <w:r>
              <w:rPr>
                <w:b/>
                <w:sz w:val="21"/>
              </w:rPr>
              <w:t>意外伤害</w:t>
            </w:r>
            <w:r>
              <w:rPr>
                <w:sz w:val="21"/>
              </w:rPr>
              <w:t>（见释义四）导致重大疾病不受上述 90 日的限制。</w:t>
            </w:r>
          </w:p>
          <w:p>
            <w:pPr>
              <w:pStyle w:val="TableParagraph"/>
              <w:spacing w:line="300" w:lineRule="auto" w:before="16"/>
              <w:ind w:left="149" w:right="99"/>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本附加合同及其所附主合同的已交保险费，本附加合同及其所附主合</w:t>
            </w:r>
            <w:r>
              <w:rPr>
                <w:spacing w:val="-2"/>
                <w:sz w:val="21"/>
              </w:rPr>
              <w:t>同同时终止。</w:t>
            </w:r>
          </w:p>
          <w:p>
            <w:pPr>
              <w:pStyle w:val="TableParagraph"/>
              <w:spacing w:line="300" w:lineRule="auto" w:before="16"/>
              <w:ind w:left="149" w:right="104"/>
              <w:jc w:val="both"/>
              <w:rPr>
                <w:sz w:val="21"/>
              </w:rPr>
            </w:pPr>
            <w:r>
              <w:rPr>
                <w:sz w:val="21"/>
              </w:rPr>
              <w:t>本公司按本附加合同约定给付的重大疾病保险金以本附加合同基本保险金额为限。</w:t>
            </w:r>
          </w:p>
        </w:tc>
      </w:tr>
      <w:tr>
        <w:trPr>
          <w:trHeight w:val="3881" w:hRule="atLeast"/>
        </w:trPr>
        <w:tc>
          <w:tcPr>
            <w:tcW w:w="1070" w:type="dxa"/>
          </w:tcPr>
          <w:p>
            <w:pPr>
              <w:pStyle w:val="TableParagraph"/>
              <w:spacing w:before="174"/>
              <w:ind w:left="108"/>
              <w:rPr>
                <w:sz w:val="21"/>
              </w:rPr>
            </w:pPr>
            <w:r>
              <w:rPr>
                <w:sz w:val="21"/>
              </w:rPr>
              <w:t>第三条</w:t>
            </w:r>
          </w:p>
        </w:tc>
        <w:tc>
          <w:tcPr>
            <w:tcW w:w="1740" w:type="dxa"/>
          </w:tcPr>
          <w:p>
            <w:pPr>
              <w:pStyle w:val="TableParagraph"/>
              <w:spacing w:before="174"/>
              <w:ind w:left="329"/>
              <w:rPr>
                <w:sz w:val="21"/>
              </w:rPr>
            </w:pPr>
            <w:r>
              <w:rPr>
                <w:sz w:val="21"/>
              </w:rPr>
              <w:t>责任免除</w:t>
            </w:r>
          </w:p>
        </w:tc>
        <w:tc>
          <w:tcPr>
            <w:tcW w:w="6562" w:type="dxa"/>
          </w:tcPr>
          <w:p>
            <w:pPr>
              <w:pStyle w:val="TableParagraph"/>
              <w:spacing w:line="300" w:lineRule="auto" w:before="174"/>
              <w:ind w:left="149" w:right="104"/>
              <w:rPr>
                <w:sz w:val="21"/>
              </w:rPr>
            </w:pPr>
            <w:r>
              <w:rPr>
                <w:sz w:val="21"/>
              </w:rPr>
              <w:t>因下列情形之一或在效力中止期间被保险人患重大疾病、达到疾病状态或进行手术的，本公司不承担保险责任：</w:t>
            </w:r>
          </w:p>
          <w:p>
            <w:pPr>
              <w:pStyle w:val="TableParagraph"/>
              <w:spacing w:before="16"/>
              <w:ind w:left="149"/>
              <w:rPr>
                <w:sz w:val="21"/>
              </w:rPr>
            </w:pPr>
            <w:r>
              <w:rPr>
                <w:sz w:val="21"/>
              </w:rPr>
              <w:t>一、投保人对被保险人的故意杀害、故意伤害；</w:t>
            </w:r>
          </w:p>
          <w:p>
            <w:pPr>
              <w:pStyle w:val="TableParagraph"/>
              <w:spacing w:line="300" w:lineRule="auto"/>
              <w:ind w:left="608" w:right="275" w:hanging="459"/>
              <w:rPr>
                <w:sz w:val="21"/>
              </w:rPr>
            </w:pPr>
            <w:r>
              <w:rPr>
                <w:sz w:val="21"/>
              </w:rPr>
              <w:t>二、被保险人故意自伤、故意犯罪或者抗拒依法采取的刑事强制措施；</w:t>
            </w:r>
          </w:p>
          <w:p>
            <w:pPr>
              <w:pStyle w:val="TableParagraph"/>
              <w:spacing w:before="16"/>
              <w:ind w:left="149"/>
              <w:rPr>
                <w:sz w:val="21"/>
              </w:rPr>
            </w:pPr>
            <w:r>
              <w:rPr>
                <w:sz w:val="21"/>
              </w:rPr>
              <w:t>三、被保险人主动吸食或注射</w:t>
            </w:r>
            <w:r>
              <w:rPr>
                <w:b/>
                <w:sz w:val="21"/>
              </w:rPr>
              <w:t>毒品</w:t>
            </w:r>
            <w:r>
              <w:rPr>
                <w:sz w:val="21"/>
              </w:rPr>
              <w:t>（见释义五）；</w:t>
            </w:r>
          </w:p>
          <w:p>
            <w:pPr>
              <w:pStyle w:val="TableParagraph"/>
              <w:spacing w:line="300" w:lineRule="auto"/>
              <w:ind w:left="608" w:right="59"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300" w:lineRule="auto" w:before="15"/>
              <w:ind w:left="149" w:right="68"/>
              <w:rPr>
                <w:sz w:val="21"/>
              </w:rPr>
            </w:pPr>
            <w:r>
              <w:rPr>
                <w:sz w:val="21"/>
              </w:rPr>
              <w:t>五、战争、军事冲突、暴乱或武装叛乱；核爆炸、核辐射或核污染； 六、</w:t>
            </w:r>
            <w:r>
              <w:rPr>
                <w:b/>
                <w:sz w:val="21"/>
              </w:rPr>
              <w:t>先天性畸形、变形或染色体异常</w:t>
            </w:r>
            <w:r>
              <w:rPr>
                <w:sz w:val="21"/>
              </w:rPr>
              <w:t>(见释义九)。</w:t>
            </w:r>
          </w:p>
          <w:p>
            <w:pPr>
              <w:pStyle w:val="TableParagraph"/>
              <w:spacing w:line="255" w:lineRule="exact" w:before="15"/>
              <w:ind w:left="149"/>
              <w:rPr>
                <w:sz w:val="21"/>
              </w:rPr>
            </w:pPr>
            <w:r>
              <w:rPr>
                <w:sz w:val="21"/>
              </w:rPr>
              <w:t>发生上述第一项情形导致被保险人患重大疾病、达到疾病状态或进行</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1650"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ind w:left="149"/>
              <w:rPr>
                <w:b/>
                <w:sz w:val="21"/>
              </w:rPr>
            </w:pPr>
            <w:r>
              <w:rPr>
                <w:sz w:val="21"/>
              </w:rPr>
              <w:t>手术的，本附加合同终止，本公司向其他权利人退还本附加合同的</w:t>
            </w:r>
            <w:r>
              <w:rPr>
                <w:b/>
                <w:sz w:val="21"/>
              </w:rPr>
              <w:t>现</w:t>
            </w:r>
          </w:p>
          <w:p>
            <w:pPr>
              <w:pStyle w:val="TableParagraph"/>
              <w:ind w:left="149"/>
              <w:rPr>
                <w:sz w:val="21"/>
              </w:rPr>
            </w:pPr>
            <w:r>
              <w:rPr>
                <w:b/>
                <w:sz w:val="21"/>
              </w:rPr>
              <w:t>金价值</w:t>
            </w:r>
            <w:r>
              <w:rPr>
                <w:sz w:val="21"/>
              </w:rPr>
              <w:t>（见释义十）。</w:t>
            </w:r>
          </w:p>
          <w:p>
            <w:pPr>
              <w:pStyle w:val="TableParagraph"/>
              <w:spacing w:line="300" w:lineRule="auto"/>
              <w:ind w:left="149"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857"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2" w:type="dxa"/>
          </w:tcPr>
          <w:p>
            <w:pPr>
              <w:pStyle w:val="TableParagraph"/>
              <w:spacing w:line="300" w:lineRule="auto" w:before="2"/>
              <w:ind w:left="149" w:right="313"/>
              <w:rPr>
                <w:sz w:val="21"/>
              </w:rPr>
            </w:pPr>
            <w:r>
              <w:rPr>
                <w:sz w:val="21"/>
              </w:rPr>
              <w:t>本附加合同的基本保险金额由投保人与本公司约定并于保险单上载明。</w:t>
            </w:r>
          </w:p>
        </w:tc>
      </w:tr>
      <w:tr>
        <w:trPr>
          <w:trHeight w:val="1030"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before="174"/>
              <w:ind w:left="329"/>
              <w:rPr>
                <w:sz w:val="21"/>
              </w:rPr>
            </w:pPr>
            <w:r>
              <w:rPr>
                <w:sz w:val="21"/>
              </w:rPr>
              <w:t>保险金额</w:t>
            </w:r>
          </w:p>
        </w:tc>
        <w:tc>
          <w:tcPr>
            <w:tcW w:w="6562" w:type="dxa"/>
          </w:tcPr>
          <w:p>
            <w:pPr>
              <w:pStyle w:val="TableParagraph"/>
              <w:spacing w:line="300" w:lineRule="auto" w:before="174"/>
              <w:ind w:left="149" w:right="104"/>
              <w:rPr>
                <w:sz w:val="21"/>
              </w:rPr>
            </w:pPr>
            <w:r>
              <w:rPr>
                <w:sz w:val="21"/>
              </w:rPr>
              <w:t>本附加合同的保险金额是指本公司承担赔偿或者给付保险金责任的最高限额。</w:t>
            </w:r>
          </w:p>
        </w:tc>
      </w:tr>
      <w:tr>
        <w:trPr>
          <w:trHeight w:val="1716"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9" w:right="146"/>
              <w:rPr>
                <w:sz w:val="21"/>
              </w:rPr>
            </w:pPr>
            <w:r>
              <w:rPr>
                <w:sz w:val="21"/>
              </w:rPr>
              <w:t>基本保险金额变更</w:t>
            </w:r>
          </w:p>
        </w:tc>
        <w:tc>
          <w:tcPr>
            <w:tcW w:w="6562" w:type="dxa"/>
          </w:tcPr>
          <w:p>
            <w:pPr>
              <w:pStyle w:val="TableParagraph"/>
              <w:spacing w:line="300" w:lineRule="auto" w:before="174"/>
              <w:ind w:left="149" w:right="104"/>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372"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保险费</w:t>
            </w:r>
          </w:p>
        </w:tc>
        <w:tc>
          <w:tcPr>
            <w:tcW w:w="6562" w:type="dxa"/>
          </w:tcPr>
          <w:p>
            <w:pPr>
              <w:pStyle w:val="TableParagraph"/>
              <w:spacing w:before="174"/>
              <w:ind w:left="149"/>
              <w:rPr>
                <w:sz w:val="21"/>
              </w:rPr>
            </w:pPr>
            <w:r>
              <w:rPr>
                <w:sz w:val="21"/>
              </w:rPr>
              <w:t>本附加合同的保险费按照基本保险金额和约定的费率标准确定。</w:t>
            </w:r>
          </w:p>
          <w:p>
            <w:pPr>
              <w:pStyle w:val="TableParagraph"/>
              <w:spacing w:line="300" w:lineRule="auto"/>
              <w:ind w:left="149" w:right="104"/>
              <w:rPr>
                <w:sz w:val="21"/>
              </w:rPr>
            </w:pPr>
            <w:r>
              <w:rPr>
                <w:sz w:val="21"/>
              </w:rPr>
              <w:t>本附加合同的保险费交付方式、交费日期与主合同一致，本附加合同的保险费应与主合同一并交付。</w:t>
            </w:r>
          </w:p>
        </w:tc>
      </w:tr>
      <w:tr>
        <w:trPr>
          <w:trHeight w:val="2917" w:hRule="atLeast"/>
        </w:trPr>
        <w:tc>
          <w:tcPr>
            <w:tcW w:w="1070" w:type="dxa"/>
          </w:tcPr>
          <w:p>
            <w:pPr>
              <w:pStyle w:val="TableParagraph"/>
              <w:spacing w:before="174"/>
              <w:ind w:left="108"/>
              <w:rPr>
                <w:sz w:val="21"/>
              </w:rPr>
            </w:pPr>
            <w:r>
              <w:rPr>
                <w:sz w:val="21"/>
              </w:rPr>
              <w:t>第八条</w:t>
            </w:r>
          </w:p>
        </w:tc>
        <w:tc>
          <w:tcPr>
            <w:tcW w:w="1740" w:type="dxa"/>
          </w:tcPr>
          <w:p>
            <w:pPr>
              <w:pStyle w:val="TableParagraph"/>
              <w:spacing w:before="174"/>
              <w:ind w:left="329"/>
              <w:rPr>
                <w:sz w:val="21"/>
              </w:rPr>
            </w:pPr>
            <w:r>
              <w:rPr>
                <w:sz w:val="21"/>
              </w:rPr>
              <w:t>保险费率调整</w:t>
            </w:r>
          </w:p>
        </w:tc>
        <w:tc>
          <w:tcPr>
            <w:tcW w:w="6562" w:type="dxa"/>
          </w:tcPr>
          <w:p>
            <w:pPr>
              <w:pStyle w:val="TableParagraph"/>
              <w:spacing w:line="300" w:lineRule="auto" w:before="174"/>
              <w:ind w:left="149" w:right="104"/>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left="149" w:right="104"/>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left="149" w:right="104"/>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1993" w:hRule="atLeast"/>
        </w:trPr>
        <w:tc>
          <w:tcPr>
            <w:tcW w:w="1070" w:type="dxa"/>
          </w:tcPr>
          <w:p>
            <w:pPr>
              <w:pStyle w:val="TableParagraph"/>
              <w:spacing w:before="2"/>
              <w:ind w:left="108"/>
              <w:rPr>
                <w:sz w:val="21"/>
              </w:rPr>
            </w:pPr>
            <w:r>
              <w:rPr>
                <w:sz w:val="21"/>
              </w:rPr>
              <w:t>第九条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left="149" w:right="-15"/>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300" w:lineRule="auto" w:before="16"/>
              <w:ind w:left="149" w:right="104"/>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w:t>
            </w:r>
          </w:p>
          <w:p>
            <w:pPr>
              <w:pStyle w:val="TableParagraph"/>
              <w:spacing w:line="255" w:lineRule="exact" w:before="15"/>
              <w:ind w:left="149"/>
              <w:jc w:val="both"/>
              <w:rPr>
                <w:sz w:val="21"/>
              </w:rPr>
            </w:pPr>
            <w:r>
              <w:rPr>
                <w:sz w:val="21"/>
              </w:rPr>
              <w:t>的生效日载明于保险单上。</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791" w:hRule="atLeast"/>
        </w:trPr>
        <w:tc>
          <w:tcPr>
            <w:tcW w:w="1175" w:type="dxa"/>
          </w:tcPr>
          <w:p>
            <w:pPr>
              <w:pStyle w:val="TableParagraph"/>
              <w:spacing w:line="211" w:lineRule="exact" w:before="0"/>
              <w:ind w:left="108"/>
              <w:rPr>
                <w:sz w:val="21"/>
              </w:rPr>
            </w:pPr>
            <w:r>
              <w:rPr>
                <w:sz w:val="21"/>
              </w:rPr>
              <w:t>第十条</w:t>
            </w:r>
          </w:p>
        </w:tc>
        <w:tc>
          <w:tcPr>
            <w:tcW w:w="1636" w:type="dxa"/>
          </w:tcPr>
          <w:p>
            <w:pPr>
              <w:pStyle w:val="TableParagraph"/>
              <w:spacing w:line="211" w:lineRule="exact" w:before="0"/>
              <w:ind w:left="224"/>
              <w:rPr>
                <w:sz w:val="21"/>
              </w:rPr>
            </w:pPr>
            <w:r>
              <w:rPr>
                <w:sz w:val="21"/>
              </w:rPr>
              <w:t>保险期间</w:t>
            </w:r>
          </w:p>
        </w:tc>
        <w:tc>
          <w:tcPr>
            <w:tcW w:w="6563" w:type="dxa"/>
          </w:tcPr>
          <w:p>
            <w:pPr>
              <w:pStyle w:val="TableParagraph"/>
              <w:spacing w:line="211" w:lineRule="exact" w:before="0"/>
              <w:rPr>
                <w:sz w:val="21"/>
              </w:rPr>
            </w:pPr>
            <w:r>
              <w:rPr>
                <w:sz w:val="21"/>
              </w:rPr>
              <w:t>本附加合同的保险期间载明于保险单上，保险期间自本附加合同生效</w:t>
            </w:r>
          </w:p>
          <w:p>
            <w:pPr>
              <w:pStyle w:val="TableParagraph"/>
              <w:rPr>
                <w:sz w:val="21"/>
              </w:rPr>
            </w:pPr>
            <w:r>
              <w:rPr>
                <w:sz w:val="21"/>
              </w:rPr>
              <w:t>时起算。</w:t>
            </w:r>
          </w:p>
        </w:tc>
      </w:tr>
      <w:tr>
        <w:trPr>
          <w:trHeight w:val="2574" w:hRule="atLeast"/>
        </w:trPr>
        <w:tc>
          <w:tcPr>
            <w:tcW w:w="1175" w:type="dxa"/>
          </w:tcPr>
          <w:p>
            <w:pPr>
              <w:pStyle w:val="TableParagraph"/>
              <w:spacing w:before="174"/>
              <w:ind w:left="108"/>
              <w:rPr>
                <w:sz w:val="21"/>
              </w:rPr>
            </w:pPr>
            <w:r>
              <w:rPr>
                <w:sz w:val="21"/>
              </w:rPr>
              <w:t>第十一条</w:t>
            </w:r>
          </w:p>
        </w:tc>
        <w:tc>
          <w:tcPr>
            <w:tcW w:w="1636" w:type="dxa"/>
          </w:tcPr>
          <w:p>
            <w:pPr>
              <w:pStyle w:val="TableParagraph"/>
              <w:spacing w:before="174"/>
              <w:ind w:left="224"/>
              <w:rPr>
                <w:sz w:val="21"/>
              </w:rPr>
            </w:pPr>
            <w:r>
              <w:rPr>
                <w:sz w:val="21"/>
              </w:rPr>
              <w:t>附加合同终止</w:t>
            </w:r>
          </w:p>
        </w:tc>
        <w:tc>
          <w:tcPr>
            <w:tcW w:w="6563" w:type="dxa"/>
          </w:tcPr>
          <w:p>
            <w:pPr>
              <w:pStyle w:val="TableParagraph"/>
              <w:spacing w:before="174"/>
              <w:rPr>
                <w:sz w:val="21"/>
              </w:rPr>
            </w:pPr>
            <w:r>
              <w:rPr>
                <w:sz w:val="21"/>
              </w:rPr>
              <w:t>发生下列情形之一时，本附加合同终止：</w:t>
            </w:r>
          </w:p>
          <w:p>
            <w:pPr>
              <w:pStyle w:val="TableParagraph"/>
              <w:rPr>
                <w:sz w:val="21"/>
              </w:rPr>
            </w:pPr>
            <w:r>
              <w:rPr>
                <w:sz w:val="21"/>
              </w:rPr>
              <w:t>一、主合同保险期间届满、终止或变更为减额交清保险；</w:t>
            </w:r>
          </w:p>
          <w:p>
            <w:pPr>
              <w:pStyle w:val="TableParagraph"/>
              <w:spacing w:line="300" w:lineRule="auto"/>
              <w:ind w:right="106"/>
              <w:rPr>
                <w:sz w:val="21"/>
              </w:rPr>
            </w:pPr>
            <w:r>
              <w:rPr>
                <w:sz w:val="21"/>
              </w:rPr>
              <w:t>二、投保人申请解除本附加合同；申请解除本附加合同时，需同时解除主合同；</w:t>
            </w:r>
          </w:p>
          <w:p>
            <w:pPr>
              <w:pStyle w:val="TableParagraph"/>
              <w:spacing w:before="16"/>
              <w:rPr>
                <w:sz w:val="21"/>
              </w:rPr>
            </w:pPr>
            <w:r>
              <w:rPr>
                <w:sz w:val="21"/>
              </w:rPr>
              <w:t>三、本附加合同保险期间届满；</w:t>
            </w:r>
          </w:p>
          <w:p>
            <w:pPr>
              <w:pStyle w:val="TableParagraph"/>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3603"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right="106"/>
              <w:rPr>
                <w:sz w:val="21"/>
              </w:rPr>
            </w:pPr>
            <w:r>
              <w:rPr>
                <w:sz w:val="21"/>
              </w:rPr>
              <w:t>在申请重大疾病保险金时，重大疾病保险金受益人须填写保险金给付申请书，并提供下列证明和资料：</w:t>
            </w:r>
          </w:p>
          <w:p>
            <w:pPr>
              <w:pStyle w:val="TableParagraph"/>
              <w:spacing w:before="16"/>
              <w:rPr>
                <w:sz w:val="21"/>
              </w:rPr>
            </w:pPr>
            <w:r>
              <w:rPr>
                <w:sz w:val="21"/>
              </w:rPr>
              <w:t>一、保险合同；</w:t>
            </w:r>
          </w:p>
          <w:p>
            <w:pPr>
              <w:pStyle w:val="TableParagraph"/>
              <w:rPr>
                <w:sz w:val="21"/>
              </w:rPr>
            </w:pPr>
            <w:r>
              <w:rPr>
                <w:sz w:val="21"/>
              </w:rPr>
              <w:t>二、重大疾病保险金受益人的有效身份证件；</w:t>
            </w:r>
          </w:p>
          <w:p>
            <w:pPr>
              <w:pStyle w:val="TableParagraph"/>
              <w:spacing w:line="300" w:lineRule="auto"/>
              <w:ind w:left="607" w:right="104" w:hanging="459"/>
              <w:rPr>
                <w:sz w:val="21"/>
              </w:rPr>
            </w:pPr>
            <w:r>
              <w:rPr>
                <w:sz w:val="21"/>
              </w:rPr>
              <w:t>三、医院出具的被保险人病历资料，诊断证明，病理、血液及其他科学检验方法的检验报告；</w:t>
            </w:r>
          </w:p>
          <w:p>
            <w:pPr>
              <w:pStyle w:val="TableParagraph"/>
              <w:spacing w:line="300" w:lineRule="auto" w:before="16"/>
              <w:ind w:left="607" w:right="277" w:hanging="459"/>
              <w:rPr>
                <w:sz w:val="21"/>
              </w:rPr>
            </w:pPr>
            <w:r>
              <w:rPr>
                <w:sz w:val="21"/>
              </w:rPr>
              <w:t>四、重大疾病保险金受益人所能提供的与确认保险事故的时间、性质、原因、损失程度等相关的其他证明和资料。</w:t>
            </w:r>
          </w:p>
          <w:p>
            <w:pPr>
              <w:pStyle w:val="TableParagraph"/>
              <w:spacing w:line="300" w:lineRule="auto" w:before="16"/>
              <w:ind w:left="182" w:right="67"/>
              <w:rPr>
                <w:sz w:val="21"/>
              </w:rPr>
            </w:pPr>
            <w:r>
              <w:rPr>
                <w:sz w:val="21"/>
              </w:rPr>
              <w:t>以上证明和资料不完整的，本公司将及时一次性通知申请人补充提供有关证明和资料。</w:t>
            </w:r>
          </w:p>
        </w:tc>
      </w:tr>
      <w:tr>
        <w:trPr>
          <w:trHeight w:val="4119" w:hRule="atLeast"/>
        </w:trPr>
        <w:tc>
          <w:tcPr>
            <w:tcW w:w="1175" w:type="dxa"/>
          </w:tcPr>
          <w:p>
            <w:pPr>
              <w:pStyle w:val="TableParagraph"/>
              <w:spacing w:before="174"/>
              <w:ind w:left="108"/>
              <w:rPr>
                <w:sz w:val="21"/>
              </w:rPr>
            </w:pPr>
            <w:r>
              <w:rPr>
                <w:sz w:val="21"/>
              </w:rPr>
              <w:t>第十三条</w:t>
            </w:r>
          </w:p>
        </w:tc>
        <w:tc>
          <w:tcPr>
            <w:tcW w:w="1636" w:type="dxa"/>
          </w:tcPr>
          <w:p>
            <w:pPr>
              <w:pStyle w:val="TableParagraph"/>
              <w:spacing w:before="174"/>
              <w:ind w:left="224"/>
              <w:rPr>
                <w:sz w:val="21"/>
              </w:rPr>
            </w:pPr>
            <w:r>
              <w:rPr>
                <w:sz w:val="21"/>
              </w:rPr>
              <w:t>保险金给付</w:t>
            </w:r>
          </w:p>
        </w:tc>
        <w:tc>
          <w:tcPr>
            <w:tcW w:w="6563" w:type="dxa"/>
          </w:tcPr>
          <w:p>
            <w:pPr>
              <w:pStyle w:val="TableParagraph"/>
              <w:spacing w:line="300" w:lineRule="auto" w:before="174"/>
              <w:ind w:right="106"/>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right="203"/>
              <w:rPr>
                <w:sz w:val="21"/>
              </w:rPr>
            </w:pPr>
            <w:r>
              <w:rPr>
                <w:sz w:val="21"/>
              </w:rPr>
              <w:t>对属于保险责任的，本公司在与受益人达成给付保险金的协议后 10 日内，履行给付保险金义务。</w:t>
            </w:r>
          </w:p>
          <w:p>
            <w:pPr>
              <w:pStyle w:val="TableParagraph"/>
              <w:spacing w:line="300" w:lineRule="auto" w:before="16"/>
              <w:ind w:right="106"/>
              <w:jc w:val="both"/>
              <w:rPr>
                <w:sz w:val="21"/>
              </w:rPr>
            </w:pPr>
            <w:r>
              <w:rPr>
                <w:sz w:val="21"/>
              </w:rPr>
              <w:t>本公司未及时履行前款规定义务的，除支付保险金外，应当赔偿受益人因此受到的损失。</w:t>
            </w:r>
          </w:p>
          <w:p>
            <w:pPr>
              <w:pStyle w:val="TableParagraph"/>
              <w:spacing w:line="300" w:lineRule="auto" w:before="16"/>
              <w:ind w:right="106"/>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right="102"/>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791" w:hRule="atLeast"/>
        </w:trPr>
        <w:tc>
          <w:tcPr>
            <w:tcW w:w="1175" w:type="dxa"/>
          </w:tcPr>
          <w:p>
            <w:pPr>
              <w:pStyle w:val="TableParagraph"/>
              <w:spacing w:before="174"/>
              <w:ind w:left="108"/>
              <w:rPr>
                <w:sz w:val="21"/>
              </w:rPr>
            </w:pPr>
            <w:r>
              <w:rPr>
                <w:sz w:val="21"/>
              </w:rPr>
              <w:t>第十四条</w:t>
            </w:r>
          </w:p>
        </w:tc>
        <w:tc>
          <w:tcPr>
            <w:tcW w:w="1636" w:type="dxa"/>
          </w:tcPr>
          <w:p>
            <w:pPr>
              <w:pStyle w:val="TableParagraph"/>
              <w:spacing w:before="174"/>
              <w:ind w:left="224"/>
              <w:rPr>
                <w:sz w:val="21"/>
              </w:rPr>
            </w:pPr>
            <w:r>
              <w:rPr>
                <w:sz w:val="21"/>
              </w:rPr>
              <w:t>诉讼时效</w:t>
            </w:r>
          </w:p>
        </w:tc>
        <w:tc>
          <w:tcPr>
            <w:tcW w:w="6563" w:type="dxa"/>
          </w:tcPr>
          <w:p>
            <w:pPr>
              <w:pStyle w:val="TableParagraph"/>
              <w:spacing w:line="340" w:lineRule="atLeast" w:before="108"/>
              <w:ind w:right="106"/>
              <w:rPr>
                <w:sz w:val="21"/>
              </w:rPr>
            </w:pPr>
            <w:r>
              <w:rPr>
                <w:sz w:val="21"/>
              </w:rPr>
              <w:t>被保险人或受益人向本公司请求给付重大疾病保险金的诉讼时效期间为 2 年,自其知道或者应当知道保险事故发生之日起计算。</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4396" w:hRule="atLeast"/>
        </w:trPr>
        <w:tc>
          <w:tcPr>
            <w:tcW w:w="1175" w:type="dxa"/>
          </w:tcPr>
          <w:p>
            <w:pPr>
              <w:pStyle w:val="TableParagraph"/>
              <w:spacing w:line="211" w:lineRule="exact" w:before="0"/>
              <w:ind w:left="108"/>
              <w:rPr>
                <w:sz w:val="21"/>
              </w:rPr>
            </w:pPr>
            <w:r>
              <w:rPr>
                <w:sz w:val="21"/>
              </w:rPr>
              <w:t>第十五条</w:t>
            </w:r>
          </w:p>
        </w:tc>
        <w:tc>
          <w:tcPr>
            <w:tcW w:w="1426" w:type="dxa"/>
          </w:tcPr>
          <w:p>
            <w:pPr>
              <w:pStyle w:val="TableParagraph"/>
              <w:spacing w:line="211" w:lineRule="exact" w:before="0"/>
              <w:ind w:left="224"/>
              <w:rPr>
                <w:sz w:val="21"/>
              </w:rPr>
            </w:pPr>
            <w:r>
              <w:rPr>
                <w:sz w:val="21"/>
              </w:rPr>
              <w:t>受益人</w:t>
            </w:r>
          </w:p>
        </w:tc>
        <w:tc>
          <w:tcPr>
            <w:tcW w:w="6773" w:type="dxa"/>
          </w:tcPr>
          <w:p>
            <w:pPr>
              <w:pStyle w:val="TableParagraph"/>
              <w:spacing w:line="211" w:lineRule="exact" w:before="0"/>
              <w:ind w:left="358"/>
              <w:rPr>
                <w:sz w:val="21"/>
              </w:rPr>
            </w:pPr>
            <w:r>
              <w:rPr>
                <w:sz w:val="21"/>
              </w:rPr>
              <w:t>投保人或者被保险人可以指定一人或多人为受益人。除另有约定外，</w:t>
            </w:r>
          </w:p>
          <w:p>
            <w:pPr>
              <w:pStyle w:val="TableParagraph"/>
              <w:ind w:left="358"/>
              <w:rPr>
                <w:sz w:val="21"/>
              </w:rPr>
            </w:pPr>
            <w:r>
              <w:rPr>
                <w:sz w:val="21"/>
              </w:rPr>
              <w:t>重大疾病保险金的受益人为被保险人本人。</w:t>
            </w:r>
          </w:p>
          <w:p>
            <w:pPr>
              <w:pStyle w:val="TableParagraph"/>
              <w:spacing w:line="300" w:lineRule="auto"/>
              <w:ind w:left="358"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358" w:right="106"/>
              <w:rPr>
                <w:sz w:val="21"/>
              </w:rPr>
            </w:pPr>
            <w:r>
              <w:rPr>
                <w:sz w:val="21"/>
              </w:rPr>
              <w:t>被保险人为无民事行为能力人或限制民事行为能力人的，可以由其监护人指定受益人。</w:t>
            </w:r>
          </w:p>
          <w:p>
            <w:pPr>
              <w:pStyle w:val="TableParagraph"/>
              <w:spacing w:line="300" w:lineRule="auto" w:before="16"/>
              <w:ind w:left="358" w:right="106"/>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16"/>
              <w:ind w:left="358"/>
              <w:rPr>
                <w:sz w:val="21"/>
              </w:rPr>
            </w:pPr>
            <w:r>
              <w:rPr>
                <w:sz w:val="21"/>
              </w:rPr>
              <w:t>投保人指定和变更受益人时须经被保险人同意。</w:t>
            </w:r>
          </w:p>
          <w:p>
            <w:pPr>
              <w:pStyle w:val="TableParagraph"/>
              <w:spacing w:line="300" w:lineRule="auto" w:before="69"/>
              <w:ind w:left="358"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指中银三星人寿保险有限公司。</w:t>
            </w:r>
          </w:p>
        </w:tc>
      </w:tr>
      <w:tr>
        <w:trPr>
          <w:trHeight w:val="1372" w:hRule="atLeast"/>
        </w:trPr>
        <w:tc>
          <w:tcPr>
            <w:tcW w:w="1175" w:type="dxa"/>
          </w:tcPr>
          <w:p>
            <w:pPr>
              <w:pStyle w:val="TableParagraph"/>
              <w:spacing w:before="174"/>
              <w:ind w:left="116"/>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5597" w:hRule="atLeast"/>
        </w:trPr>
        <w:tc>
          <w:tcPr>
            <w:tcW w:w="1175" w:type="dxa"/>
          </w:tcPr>
          <w:p>
            <w:pPr>
              <w:pStyle w:val="TableParagraph"/>
              <w:spacing w:before="174"/>
              <w:ind w:left="116"/>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line="300" w:lineRule="auto" w:before="174"/>
              <w:ind w:left="358" w:right="1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8" w:val="left" w:leader="none"/>
              </w:tabs>
              <w:spacing w:before="16"/>
              <w:ind w:left="358"/>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8"/>
              <w:rPr>
                <w:sz w:val="21"/>
              </w:rPr>
            </w:pPr>
            <w:r>
              <w:rPr>
                <w:sz w:val="21"/>
              </w:rPr>
              <w:t>(1) 恶性肿瘤</w:t>
            </w:r>
          </w:p>
          <w:p>
            <w:pPr>
              <w:pStyle w:val="TableParagraph"/>
              <w:spacing w:line="300" w:lineRule="auto"/>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8"/>
              <w:rPr>
                <w:sz w:val="21"/>
              </w:rPr>
            </w:pPr>
            <w:r>
              <w:rPr>
                <w:sz w:val="21"/>
              </w:rPr>
              <w:t>下列疾病不在保障范围内：</w:t>
            </w:r>
          </w:p>
          <w:p>
            <w:pPr>
              <w:pStyle w:val="TableParagraph"/>
              <w:ind w:left="358"/>
              <w:rPr>
                <w:sz w:val="21"/>
              </w:rPr>
            </w:pPr>
            <w:r>
              <w:rPr>
                <w:sz w:val="21"/>
              </w:rPr>
              <w:t>① 原位癌；</w:t>
            </w:r>
          </w:p>
          <w:p>
            <w:pPr>
              <w:pStyle w:val="TableParagraph"/>
              <w:ind w:left="358"/>
              <w:rPr>
                <w:sz w:val="21"/>
              </w:rPr>
            </w:pPr>
            <w:r>
              <w:rPr>
                <w:sz w:val="21"/>
              </w:rPr>
              <w:t>② 相当于 Binet 分期方案 A 期程度的慢性淋巴细胞白血病；</w:t>
            </w:r>
          </w:p>
          <w:p>
            <w:pPr>
              <w:pStyle w:val="TableParagraph"/>
              <w:ind w:left="358"/>
              <w:rPr>
                <w:sz w:val="21"/>
              </w:rPr>
            </w:pPr>
            <w:r>
              <w:rPr>
                <w:sz w:val="21"/>
              </w:rPr>
              <w:t>③ 相当于 Ann Arbor 分期方案 I 期程度的何杰金氏病；</w:t>
            </w:r>
          </w:p>
          <w:p>
            <w:pPr>
              <w:pStyle w:val="TableParagraph"/>
              <w:spacing w:line="255" w:lineRule="exact"/>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spacing w:before="67"/>
      </w:pPr>
      <w:r>
        <w:rPr/>
        <w:t>⑥ 感染艾滋病病毒或患艾滋病期间所患恶性肿瘤。</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1"/>
          <w:sz w:val="21"/>
        </w:rPr>
        <w:t>终末期肾病</w:t>
      </w:r>
    </w:p>
    <w:p>
      <w:pPr>
        <w:pStyle w:val="BodyText"/>
      </w:pPr>
      <w:r>
        <w:rPr/>
        <w:t>指双肾功能慢性不可逆性衰竭，达到尿毒症期，经诊断后已经进行了</w:t>
      </w:r>
    </w:p>
    <w:p>
      <w:pPr>
        <w:spacing w:after="0"/>
        <w:sectPr>
          <w:pgSz w:w="11910" w:h="16840"/>
          <w:pgMar w:header="0" w:footer="919" w:top="1580" w:bottom="1100" w:left="1200" w:right="1240"/>
        </w:sectPr>
      </w:pPr>
    </w:p>
    <w:p>
      <w:pPr>
        <w:pStyle w:val="BodyText"/>
        <w:spacing w:before="12"/>
        <w:ind w:left="0"/>
        <w:rPr>
          <w:sz w:val="26"/>
        </w:rPr>
      </w:pPr>
    </w:p>
    <w:p>
      <w:pPr>
        <w:pStyle w:val="BodyText"/>
        <w:spacing w:before="36"/>
      </w:pPr>
      <w:r>
        <w:rPr/>
        <w:t>至少 90 天的规律性透析治疗或实施了肾脏移植手术。</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pPr>
      <w:r>
        <w:rPr/>
        <w:t>① 重度黄疸或黄疸迅速加重；</w:t>
      </w:r>
    </w:p>
    <w:p>
      <w:pPr>
        <w:pStyle w:val="BodyText"/>
        <w:spacing w:before="69"/>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pPr>
      <w:r>
        <w:rPr/>
        <w:t>② 实际实施了对脑肿瘤进行的放射治疗。</w:t>
      </w:r>
    </w:p>
    <w:p>
      <w:pPr>
        <w:pStyle w:val="BodyText"/>
        <w:spacing w:before="69"/>
      </w:pPr>
      <w:r>
        <w:rPr/>
        <w:t>脑垂体瘤、脑囊肿、脑血管性疾病不在保障范围内。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spacing w:after="0" w:line="300" w:lineRule="auto"/>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line="300" w:lineRule="auto" w:before="69"/>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pPr>
      <w:r>
        <w:rPr/>
        <w:t>③ 视野半径小于 5 度。</w:t>
      </w:r>
    </w:p>
    <w:p>
      <w:pPr>
        <w:pStyle w:val="BodyText"/>
        <w:spacing w:before="0"/>
        <w:ind w:left="0"/>
        <w:rPr>
          <w:sz w:val="20"/>
        </w:rPr>
      </w:pPr>
    </w:p>
    <w:p>
      <w:pPr>
        <w:pStyle w:val="BodyText"/>
        <w:spacing w:before="8"/>
        <w:ind w:left="0"/>
        <w:rPr>
          <w:sz w:val="20"/>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障碍，指脑损伤 180 天后，仍遗留下列一种或一种以上障碍：</w:t>
      </w:r>
    </w:p>
    <w:p>
      <w:pPr>
        <w:pStyle w:val="BodyText"/>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4"/>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语言能力丧失</w:t>
      </w:r>
    </w:p>
    <w:p>
      <w:pPr>
        <w:pStyle w:val="BodyText"/>
        <w:spacing w:line="300" w:lineRule="auto" w:before="69"/>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spacing w:after="0" w:line="240" w:lineRule="auto"/>
        <w:jc w:val="left"/>
        <w:rPr>
          <w:sz w:val="21"/>
        </w:rPr>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162" w:hanging="420"/>
      </w:pPr>
      <w:r>
        <w:rPr/>
        <w:t>2.</w:t>
        <w:tab/>
        <w:t>6</w:t>
      </w:r>
      <w:r>
        <w:rPr>
          <w:spacing w:val="-5"/>
        </w:rPr>
        <w:t> 种中国保险行业协会推荐范围以外的疾病是指符合下列条件的疾病：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严重多发性硬化</w:t>
      </w:r>
    </w:p>
    <w:p>
      <w:pPr>
        <w:pStyle w:val="BodyText"/>
        <w:spacing w:line="300" w:lineRule="auto"/>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spacing w:line="300" w:lineRule="auto"/>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spacing w:after="0" w:line="300" w:lineRule="auto"/>
        <w:sectPr>
          <w:pgSz w:w="11910" w:h="16840"/>
          <w:pgMar w:header="0" w:footer="919" w:top="1580" w:bottom="1180" w:left="1200" w:right="12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2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严重类风湿性关节炎</w:t>
      </w:r>
    </w:p>
    <w:p>
      <w:pPr>
        <w:pStyle w:val="BodyText"/>
        <w:spacing w:line="300" w:lineRule="auto" w:before="67"/>
        <w:ind w:right="209"/>
      </w:pPr>
      <w:r>
        <w:rPr/>
        <w:t>是指广泛的慢性渐进性的关节损害，伴有明显的关节畸形，必须具有下列所有情况：</w:t>
      </w:r>
    </w:p>
    <w:p>
      <w:pPr>
        <w:pStyle w:val="BodyText"/>
        <w:tabs>
          <w:tab w:pos="3468" w:val="left" w:leader="none"/>
        </w:tabs>
        <w:spacing w:before="15"/>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left="3469" w:right="209" w:hanging="420"/>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5"/>
        <w:ind w:left="3469" w:right="209" w:hanging="420"/>
      </w:pPr>
      <w:r>
        <w:rPr/>
        <w:t>③</w:t>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spacing w:after="0" w:line="300" w:lineRule="auto"/>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448" w:hRule="atLeast"/>
        </w:trPr>
        <w:tc>
          <w:tcPr>
            <w:tcW w:w="894" w:type="dxa"/>
          </w:tcPr>
          <w:p>
            <w:pPr>
              <w:pStyle w:val="TableParagraph"/>
              <w:spacing w:line="211" w:lineRule="exact" w:before="0"/>
              <w:ind w:left="0" w:right="69"/>
              <w:jc w:val="center"/>
              <w:rPr>
                <w:sz w:val="21"/>
              </w:rPr>
            </w:pPr>
            <w:r>
              <w:rPr>
                <w:w w:val="100"/>
                <w:sz w:val="21"/>
              </w:rPr>
              <w:t>四</w:t>
            </w:r>
          </w:p>
        </w:tc>
        <w:tc>
          <w:tcPr>
            <w:tcW w:w="1683" w:type="dxa"/>
          </w:tcPr>
          <w:p>
            <w:pPr>
              <w:pStyle w:val="TableParagraph"/>
              <w:spacing w:line="211" w:lineRule="exact" w:before="0"/>
              <w:ind w:left="270"/>
              <w:rPr>
                <w:sz w:val="21"/>
              </w:rPr>
            </w:pPr>
            <w:r>
              <w:rPr>
                <w:sz w:val="21"/>
              </w:rPr>
              <w:t>意外伤害</w:t>
            </w:r>
          </w:p>
        </w:tc>
        <w:tc>
          <w:tcPr>
            <w:tcW w:w="6765" w:type="dxa"/>
          </w:tcPr>
          <w:p>
            <w:pPr>
              <w:pStyle w:val="TableParagraph"/>
              <w:spacing w:line="211" w:lineRule="exact" w:before="0"/>
              <w:rPr>
                <w:sz w:val="21"/>
              </w:rPr>
            </w:pPr>
            <w:r>
              <w:rPr>
                <w:sz w:val="21"/>
              </w:rPr>
              <w:t>指外来的、突然的、非本意的、非疾病的使身体受到伤害的客观事件。</w:t>
            </w:r>
          </w:p>
        </w:tc>
      </w:tr>
      <w:tr>
        <w:trPr>
          <w:trHeight w:val="1715" w:hRule="atLeast"/>
        </w:trPr>
        <w:tc>
          <w:tcPr>
            <w:tcW w:w="894" w:type="dxa"/>
          </w:tcPr>
          <w:p>
            <w:pPr>
              <w:pStyle w:val="TableParagraph"/>
              <w:spacing w:before="174"/>
              <w:ind w:left="0" w:right="69"/>
              <w:jc w:val="center"/>
              <w:rPr>
                <w:sz w:val="21"/>
              </w:rPr>
            </w:pPr>
            <w:r>
              <w:rPr>
                <w:w w:val="100"/>
                <w:sz w:val="21"/>
              </w:rPr>
              <w:t>五</w:t>
            </w:r>
          </w:p>
        </w:tc>
        <w:tc>
          <w:tcPr>
            <w:tcW w:w="1683" w:type="dxa"/>
          </w:tcPr>
          <w:p>
            <w:pPr>
              <w:pStyle w:val="TableParagraph"/>
              <w:spacing w:before="174"/>
              <w:ind w:left="270"/>
              <w:rPr>
                <w:sz w:val="21"/>
              </w:rPr>
            </w:pPr>
            <w:r>
              <w:rPr>
                <w:sz w:val="21"/>
              </w:rPr>
              <w:t>毒品</w:t>
            </w:r>
          </w:p>
        </w:tc>
        <w:tc>
          <w:tcPr>
            <w:tcW w:w="6765" w:type="dxa"/>
          </w:tcPr>
          <w:p>
            <w:pPr>
              <w:pStyle w:val="TableParagraph"/>
              <w:spacing w:line="300" w:lineRule="auto" w:before="174"/>
              <w:ind w:right="308"/>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3" w:hRule="atLeast"/>
        </w:trPr>
        <w:tc>
          <w:tcPr>
            <w:tcW w:w="894" w:type="dxa"/>
          </w:tcPr>
          <w:p>
            <w:pPr>
              <w:pStyle w:val="TableParagraph"/>
              <w:spacing w:before="174"/>
              <w:ind w:left="0" w:right="69"/>
              <w:jc w:val="center"/>
              <w:rPr>
                <w:sz w:val="21"/>
              </w:rPr>
            </w:pPr>
            <w:r>
              <w:rPr>
                <w:w w:val="100"/>
                <w:sz w:val="21"/>
              </w:rPr>
              <w:t>六</w:t>
            </w:r>
          </w:p>
        </w:tc>
        <w:tc>
          <w:tcPr>
            <w:tcW w:w="1683" w:type="dxa"/>
          </w:tcPr>
          <w:p>
            <w:pPr>
              <w:pStyle w:val="TableParagraph"/>
              <w:spacing w:before="174"/>
              <w:ind w:left="270"/>
              <w:rPr>
                <w:sz w:val="21"/>
              </w:rPr>
            </w:pPr>
            <w:r>
              <w:rPr>
                <w:sz w:val="21"/>
              </w:rPr>
              <w:t>酒后驾驶</w:t>
            </w:r>
          </w:p>
        </w:tc>
        <w:tc>
          <w:tcPr>
            <w:tcW w:w="6765" w:type="dxa"/>
          </w:tcPr>
          <w:p>
            <w:pPr>
              <w:pStyle w:val="TableParagraph"/>
              <w:spacing w:line="300" w:lineRule="auto" w:before="174"/>
              <w:ind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spacing w:before="174"/>
              <w:ind w:left="0" w:right="69"/>
              <w:jc w:val="center"/>
              <w:rPr>
                <w:sz w:val="21"/>
              </w:rPr>
            </w:pPr>
            <w:r>
              <w:rPr>
                <w:w w:val="100"/>
                <w:sz w:val="21"/>
              </w:rPr>
              <w:t>七</w:t>
            </w:r>
          </w:p>
        </w:tc>
        <w:tc>
          <w:tcPr>
            <w:tcW w:w="1683" w:type="dxa"/>
          </w:tcPr>
          <w:p>
            <w:pPr>
              <w:pStyle w:val="TableParagraph"/>
              <w:spacing w:line="300" w:lineRule="auto" w:before="174"/>
              <w:ind w:left="270" w:right="147"/>
              <w:rPr>
                <w:sz w:val="21"/>
              </w:rPr>
            </w:pPr>
            <w:r>
              <w:rPr>
                <w:sz w:val="21"/>
              </w:rPr>
              <w:t>无合法有效驾驶证驾驶</w:t>
            </w:r>
          </w:p>
        </w:tc>
        <w:tc>
          <w:tcPr>
            <w:tcW w:w="6765" w:type="dxa"/>
          </w:tcPr>
          <w:p>
            <w:pPr>
              <w:pStyle w:val="TableParagraph"/>
              <w:spacing w:before="174"/>
              <w:rPr>
                <w:sz w:val="21"/>
              </w:rPr>
            </w:pPr>
            <w:r>
              <w:rPr>
                <w:sz w:val="21"/>
              </w:rPr>
              <w:t>指下列情形之一：</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4"/>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894" w:type="dxa"/>
          </w:tcPr>
          <w:p>
            <w:pPr>
              <w:pStyle w:val="TableParagraph"/>
              <w:spacing w:before="174"/>
              <w:ind w:left="0" w:right="69"/>
              <w:jc w:val="center"/>
              <w:rPr>
                <w:sz w:val="21"/>
              </w:rPr>
            </w:pPr>
            <w:r>
              <w:rPr>
                <w:w w:val="100"/>
                <w:sz w:val="21"/>
              </w:rPr>
              <w:t>八</w:t>
            </w:r>
          </w:p>
        </w:tc>
        <w:tc>
          <w:tcPr>
            <w:tcW w:w="1683" w:type="dxa"/>
          </w:tcPr>
          <w:p>
            <w:pPr>
              <w:pStyle w:val="TableParagraph"/>
              <w:spacing w:before="174"/>
              <w:ind w:left="270"/>
              <w:rPr>
                <w:sz w:val="21"/>
              </w:rPr>
            </w:pPr>
            <w:r>
              <w:rPr>
                <w:sz w:val="21"/>
              </w:rPr>
              <w:t>无有效行驶证</w:t>
            </w:r>
          </w:p>
        </w:tc>
        <w:tc>
          <w:tcPr>
            <w:tcW w:w="6765" w:type="dxa"/>
          </w:tcPr>
          <w:p>
            <w:pPr>
              <w:pStyle w:val="TableParagraph"/>
              <w:spacing w:before="174"/>
              <w:rPr>
                <w:sz w:val="21"/>
              </w:rPr>
            </w:pPr>
            <w:r>
              <w:rPr>
                <w:sz w:val="21"/>
              </w:rPr>
              <w:t>指下列情形之一：</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spacing w:before="174"/>
              <w:ind w:left="0" w:right="69"/>
              <w:jc w:val="center"/>
              <w:rPr>
                <w:sz w:val="21"/>
              </w:rPr>
            </w:pPr>
            <w:r>
              <w:rPr>
                <w:w w:val="100"/>
                <w:sz w:val="21"/>
              </w:rPr>
              <w:t>九</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5" w:type="dxa"/>
          </w:tcPr>
          <w:p>
            <w:pPr>
              <w:pStyle w:val="TableParagraph"/>
              <w:spacing w:line="300" w:lineRule="auto" w:before="174"/>
              <w:ind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left="0" w:right="69"/>
              <w:jc w:val="center"/>
              <w:rPr>
                <w:sz w:val="21"/>
              </w:rPr>
            </w:pPr>
            <w:r>
              <w:rPr>
                <w:w w:val="100"/>
                <w:sz w:val="21"/>
              </w:rPr>
              <w:t>十</w:t>
            </w:r>
          </w:p>
        </w:tc>
        <w:tc>
          <w:tcPr>
            <w:tcW w:w="1683" w:type="dxa"/>
          </w:tcPr>
          <w:p>
            <w:pPr>
              <w:pStyle w:val="TableParagraph"/>
              <w:spacing w:before="174"/>
              <w:ind w:left="270"/>
              <w:rPr>
                <w:sz w:val="21"/>
              </w:rPr>
            </w:pPr>
            <w:r>
              <w:rPr>
                <w:sz w:val="21"/>
              </w:rPr>
              <w:t>现金价值</w:t>
            </w:r>
          </w:p>
        </w:tc>
        <w:tc>
          <w:tcPr>
            <w:tcW w:w="6765" w:type="dxa"/>
          </w:tcPr>
          <w:p>
            <w:pPr>
              <w:pStyle w:val="TableParagraph"/>
              <w:spacing w:line="300" w:lineRule="auto" w:before="174"/>
              <w:ind w:right="308"/>
              <w:rPr>
                <w:sz w:val="21"/>
              </w:rPr>
            </w:pPr>
            <w:r>
              <w:rPr>
                <w:sz w:val="21"/>
              </w:rPr>
              <w:t>指保险单所具有的价值，通常体现为解除合同时，根据精算原理计算的，由本公司退还的那部分金额。</w:t>
            </w:r>
          </w:p>
        </w:tc>
      </w:tr>
      <w:tr>
        <w:trPr>
          <w:trHeight w:val="2508" w:hRule="atLeast"/>
        </w:trPr>
        <w:tc>
          <w:tcPr>
            <w:tcW w:w="894" w:type="dxa"/>
          </w:tcPr>
          <w:p>
            <w:pPr>
              <w:pStyle w:val="TableParagraph"/>
              <w:spacing w:before="174"/>
              <w:ind w:left="182" w:right="251"/>
              <w:jc w:val="center"/>
              <w:rPr>
                <w:sz w:val="21"/>
              </w:rPr>
            </w:pPr>
            <w:r>
              <w:rPr>
                <w:sz w:val="21"/>
              </w:rPr>
              <w:t>十一</w:t>
            </w:r>
          </w:p>
        </w:tc>
        <w:tc>
          <w:tcPr>
            <w:tcW w:w="1683" w:type="dxa"/>
          </w:tcPr>
          <w:p>
            <w:pPr>
              <w:pStyle w:val="TableParagraph"/>
              <w:spacing w:before="174"/>
              <w:ind w:left="270"/>
              <w:rPr>
                <w:sz w:val="21"/>
              </w:rPr>
            </w:pPr>
            <w:r>
              <w:rPr>
                <w:sz w:val="21"/>
              </w:rPr>
              <w:t>专科医生</w:t>
            </w:r>
          </w:p>
        </w:tc>
        <w:tc>
          <w:tcPr>
            <w:tcW w:w="6765" w:type="dxa"/>
          </w:tcPr>
          <w:p>
            <w:pPr>
              <w:pStyle w:val="TableParagraph"/>
              <w:spacing w:before="174"/>
              <w:rPr>
                <w:sz w:val="21"/>
              </w:rPr>
            </w:pPr>
            <w:r>
              <w:rPr>
                <w:sz w:val="21"/>
              </w:rPr>
              <w:t>专科医生应当同时满足以下四项资格条件：</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6"/>
              </w:numPr>
              <w:tabs>
                <w:tab w:pos="509" w:val="left" w:leader="none"/>
              </w:tabs>
              <w:spacing w:line="300" w:lineRule="auto" w:before="68"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6"/>
              </w:numPr>
              <w:tabs>
                <w:tab w:pos="509" w:val="left" w:leader="none"/>
              </w:tabs>
              <w:spacing w:line="300" w:lineRule="auto" w:before="16" w:after="0"/>
              <w:ind w:left="508" w:right="368" w:hanging="360"/>
              <w:jc w:val="left"/>
              <w:rPr>
                <w:sz w:val="21"/>
              </w:rPr>
            </w:pPr>
            <w:r>
              <w:rPr>
                <w:spacing w:val="-3"/>
                <w:sz w:val="21"/>
              </w:rPr>
              <w:t>具有有效的中华人民共和国主治医师或主治医师以上职称的《医师职称证书》；</w:t>
            </w:r>
          </w:p>
          <w:p>
            <w:pPr>
              <w:pStyle w:val="TableParagraph"/>
              <w:numPr>
                <w:ilvl w:val="0"/>
                <w:numId w:val="6"/>
              </w:numPr>
              <w:tabs>
                <w:tab w:pos="509" w:val="left" w:leader="none"/>
              </w:tabs>
              <w:spacing w:line="255" w:lineRule="exact" w:before="16" w:after="0"/>
              <w:ind w:left="508" w:right="0" w:hanging="360"/>
              <w:jc w:val="left"/>
              <w:rPr>
                <w:sz w:val="21"/>
              </w:rPr>
            </w:pPr>
            <w:r>
              <w:rPr>
                <w:spacing w:val="-3"/>
                <w:sz w:val="21"/>
              </w:rPr>
              <w:t>在二级或二级以上医院的相应科室从事临床工作三年以上。</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791" w:hRule="atLeast"/>
        </w:trPr>
        <w:tc>
          <w:tcPr>
            <w:tcW w:w="894" w:type="dxa"/>
          </w:tcPr>
          <w:p>
            <w:pPr>
              <w:pStyle w:val="TableParagraph"/>
              <w:spacing w:line="211" w:lineRule="exact" w:before="0"/>
              <w:ind w:left="182" w:right="251"/>
              <w:jc w:val="center"/>
              <w:rPr>
                <w:sz w:val="21"/>
              </w:rPr>
            </w:pPr>
            <w:r>
              <w:rPr>
                <w:sz w:val="21"/>
              </w:rPr>
              <w:t>十二</w:t>
            </w:r>
          </w:p>
        </w:tc>
        <w:tc>
          <w:tcPr>
            <w:tcW w:w="1683" w:type="dxa"/>
          </w:tcPr>
          <w:p>
            <w:pPr>
              <w:pStyle w:val="TableParagraph"/>
              <w:spacing w:line="211" w:lineRule="exact" w:before="0"/>
              <w:ind w:left="270"/>
              <w:rPr>
                <w:sz w:val="21"/>
              </w:rPr>
            </w:pPr>
            <w:r>
              <w:rPr>
                <w:sz w:val="21"/>
              </w:rPr>
              <w:t>肢体机能完全</w:t>
            </w:r>
          </w:p>
          <w:p>
            <w:pPr>
              <w:pStyle w:val="TableParagraph"/>
              <w:ind w:left="270"/>
              <w:rPr>
                <w:sz w:val="21"/>
              </w:rPr>
            </w:pPr>
            <w:r>
              <w:rPr>
                <w:sz w:val="21"/>
              </w:rPr>
              <w:t>丧失</w:t>
            </w:r>
          </w:p>
        </w:tc>
        <w:tc>
          <w:tcPr>
            <w:tcW w:w="6763" w:type="dxa"/>
          </w:tcPr>
          <w:p>
            <w:pPr>
              <w:pStyle w:val="TableParagraph"/>
              <w:spacing w:line="211" w:lineRule="exact" w:before="0"/>
              <w:rPr>
                <w:sz w:val="21"/>
              </w:rPr>
            </w:pPr>
            <w:r>
              <w:rPr>
                <w:sz w:val="21"/>
              </w:rPr>
              <w:t>指肢体的三大关节中的两大关节僵硬，或不能随意识活动。肢体是指</w:t>
            </w:r>
          </w:p>
          <w:p>
            <w:pPr>
              <w:pStyle w:val="TableParagraph"/>
              <w:rPr>
                <w:sz w:val="21"/>
              </w:rPr>
            </w:pPr>
            <w:r>
              <w:rPr>
                <w:sz w:val="21"/>
              </w:rPr>
              <w:t>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rPr>
                <w:sz w:val="21"/>
              </w:rPr>
            </w:pPr>
            <w:r>
              <w:rPr>
                <w:sz w:val="21"/>
              </w:rPr>
              <w:t>六项基本日常生活活动是指：</w:t>
            </w:r>
          </w:p>
          <w:p>
            <w:pPr>
              <w:pStyle w:val="TableParagraph"/>
              <w:numPr>
                <w:ilvl w:val="0"/>
                <w:numId w:val="7"/>
              </w:numPr>
              <w:tabs>
                <w:tab w:pos="568" w:val="left" w:leader="none"/>
                <w:tab w:pos="569" w:val="left" w:leader="none"/>
              </w:tabs>
              <w:spacing w:line="240" w:lineRule="auto" w:before="69" w:after="0"/>
              <w:ind w:left="568" w:right="0" w:hanging="420"/>
              <w:jc w:val="left"/>
              <w:rPr>
                <w:sz w:val="21"/>
              </w:rPr>
            </w:pPr>
            <w:r>
              <w:rPr>
                <w:spacing w:val="-3"/>
                <w:sz w:val="21"/>
              </w:rPr>
              <w:t>穿衣：自己能够穿衣及脱衣；</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00" w:lineRule="auto" w:before="174"/>
              <w:ind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2"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周岁</w:t>
            </w:r>
          </w:p>
        </w:tc>
        <w:tc>
          <w:tcPr>
            <w:tcW w:w="6763" w:type="dxa"/>
          </w:tcPr>
          <w:p>
            <w:pPr>
              <w:pStyle w:val="TableParagraph"/>
              <w:spacing w:line="340" w:lineRule="atLeast" w:before="108"/>
              <w:ind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46pt;height:11pt;mso-position-horizontal-relative:page;mso-position-vertical-relative:page;z-index:-18832" type="#_x0000_t202" filled="false" stroked="false">
          <v:textbox inset="0,0,0,0">
            <w:txbxContent>
              <w:p>
                <w:pPr>
                  <w:spacing w:line="200" w:lineRule="exact" w:before="0"/>
                  <w:ind w:left="20" w:right="0" w:firstLine="0"/>
                  <w:jc w:val="left"/>
                  <w:rPr>
                    <w:sz w:val="18"/>
                  </w:rPr>
                </w:pPr>
                <w:r>
                  <w:rPr>
                    <w:sz w:val="18"/>
                  </w:rPr>
                  <w:t>中银三星附加康利双赢重大疾病保险</w:t>
                </w:r>
              </w:p>
            </w:txbxContent>
          </v:textbox>
          <w10:wrap type="none"/>
        </v:shape>
      </w:pict>
    </w:r>
    <w:r>
      <w:rPr/>
      <w:pict>
        <v:shape style="position:absolute;margin-left:302.769989pt;margin-top:780.961609pt;width:20pt;height:11pt;mso-position-horizontal-relative:page;mso-position-vertical-relative:page;z-index:-18808"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5pt;margin-top:780.961609pt;width:83pt;height:11pt;mso-position-horizontal-relative:page;mso-position-vertical-relative:page;z-index:-1878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13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90" w:hanging="212"/>
      </w:pPr>
      <w:rPr>
        <w:rFonts w:hint="default"/>
      </w:rPr>
    </w:lvl>
    <w:lvl w:ilvl="2">
      <w:start w:val="0"/>
      <w:numFmt w:val="bullet"/>
      <w:lvlText w:val="•"/>
      <w:lvlJc w:val="left"/>
      <w:pPr>
        <w:ind w:left="4521" w:hanging="212"/>
      </w:pPr>
      <w:rPr>
        <w:rFonts w:hint="default"/>
      </w:rPr>
    </w:lvl>
    <w:lvl w:ilvl="3">
      <w:start w:val="0"/>
      <w:numFmt w:val="bullet"/>
      <w:lvlText w:val="•"/>
      <w:lvlJc w:val="left"/>
      <w:pPr>
        <w:ind w:left="5151" w:hanging="212"/>
      </w:pPr>
      <w:rPr>
        <w:rFonts w:hint="default"/>
      </w:rPr>
    </w:lvl>
    <w:lvl w:ilvl="4">
      <w:start w:val="0"/>
      <w:numFmt w:val="bullet"/>
      <w:lvlText w:val="•"/>
      <w:lvlJc w:val="left"/>
      <w:pPr>
        <w:ind w:left="5782" w:hanging="212"/>
      </w:pPr>
      <w:rPr>
        <w:rFonts w:hint="default"/>
      </w:rPr>
    </w:lvl>
    <w:lvl w:ilvl="5">
      <w:start w:val="0"/>
      <w:numFmt w:val="bullet"/>
      <w:lvlText w:val="•"/>
      <w:lvlJc w:val="left"/>
      <w:pPr>
        <w:ind w:left="6413" w:hanging="212"/>
      </w:pPr>
      <w:rPr>
        <w:rFonts w:hint="default"/>
      </w:rPr>
    </w:lvl>
    <w:lvl w:ilvl="6">
      <w:start w:val="0"/>
      <w:numFmt w:val="bullet"/>
      <w:lvlText w:val="•"/>
      <w:lvlJc w:val="left"/>
      <w:pPr>
        <w:ind w:left="7043" w:hanging="212"/>
      </w:pPr>
      <w:rPr>
        <w:rFonts w:hint="default"/>
      </w:rPr>
    </w:lvl>
    <w:lvl w:ilvl="7">
      <w:start w:val="0"/>
      <w:numFmt w:val="bullet"/>
      <w:lvlText w:val="•"/>
      <w:lvlJc w:val="left"/>
      <w:pPr>
        <w:ind w:left="7674" w:hanging="212"/>
      </w:pPr>
      <w:rPr>
        <w:rFonts w:hint="default"/>
      </w:rPr>
    </w:lvl>
    <w:lvl w:ilvl="8">
      <w:start w:val="0"/>
      <w:numFmt w:val="bullet"/>
      <w:lvlText w:val="•"/>
      <w:lvlJc w:val="left"/>
      <w:pPr>
        <w:ind w:left="830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2018-10-19T23:18:22Z</dcterms:created>
  <dcterms:modified xsi:type="dcterms:W3CDTF">2018-10-19T23:18:22Z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