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before="10"/>
        <w:ind w:left="0"/>
        <w:rPr>
          <w:rFonts w:ascii="Times New Roman"/>
          <w:sz w:val="18"/>
        </w:rPr>
      </w:pPr>
    </w:p>
    <w:p>
      <w:pPr>
        <w:pStyle w:val="BodyText"/>
        <w:spacing w:line="240" w:lineRule="auto"/>
        <w:ind w:left="340"/>
        <w:rPr>
          <w:rFonts w:ascii="Times New Roman"/>
          <w:sz w:val="20"/>
        </w:rPr>
      </w:pPr>
      <w:r>
        <w:rPr>
          <w:rFonts w:ascii="Times New Roman"/>
          <w:sz w:val="20"/>
        </w:rPr>
        <w:drawing>
          <wp:inline distT="0" distB="0" distL="0" distR="0">
            <wp:extent cx="1179576" cy="374903"/>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179576" cy="374903"/>
                    </a:xfrm>
                    <a:prstGeom prst="rect">
                      <a:avLst/>
                    </a:prstGeom>
                  </pic:spPr>
                </pic:pic>
              </a:graphicData>
            </a:graphic>
          </wp:inline>
        </w:drawing>
      </w:r>
      <w:r>
        <w:rPr>
          <w:rFonts w:ascii="Times New Roman"/>
          <w:sz w:val="20"/>
        </w:rPr>
      </w:r>
    </w:p>
    <w:p>
      <w:pPr>
        <w:spacing w:line="254" w:lineRule="exact" w:before="25"/>
        <w:ind w:left="8725" w:right="0" w:firstLine="0"/>
        <w:jc w:val="left"/>
        <w:rPr>
          <w:sz w:val="20"/>
        </w:rPr>
      </w:pPr>
      <w:r>
        <w:rPr/>
        <w:drawing>
          <wp:anchor distT="0" distB="0" distL="0" distR="0" allowOverlap="1" layoutInCell="1" locked="0" behindDoc="0" simplePos="0" relativeHeight="1048">
            <wp:simplePos x="0" y="0"/>
            <wp:positionH relativeFrom="page">
              <wp:posOffset>6124955</wp:posOffset>
            </wp:positionH>
            <wp:positionV relativeFrom="paragraph">
              <wp:posOffset>-512448</wp:posOffset>
            </wp:positionV>
            <wp:extent cx="723900" cy="705612"/>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3900" cy="705612"/>
                    </a:xfrm>
                    <a:prstGeom prst="rect">
                      <a:avLst/>
                    </a:prstGeom>
                  </pic:spPr>
                </pic:pic>
              </a:graphicData>
            </a:graphic>
          </wp:anchor>
        </w:drawing>
      </w:r>
      <w:r>
        <w:rPr>
          <w:w w:val="99"/>
          <w:sz w:val="20"/>
        </w:rPr>
        <w:t> </w:t>
      </w:r>
    </w:p>
    <w:p>
      <w:pPr>
        <w:spacing w:line="182" w:lineRule="auto" w:before="55"/>
        <w:ind w:left="8087" w:right="233" w:hanging="802"/>
        <w:jc w:val="right"/>
        <w:rPr>
          <w:sz w:val="20"/>
        </w:rPr>
      </w:pPr>
      <w:r>
        <w:rPr>
          <w:sz w:val="20"/>
        </w:rPr>
        <w:t>农银人寿[2012]疾病保险 088 号</w:t>
      </w:r>
      <w:r>
        <w:rPr>
          <w:w w:val="99"/>
          <w:sz w:val="20"/>
        </w:rPr>
        <w:t> </w:t>
      </w:r>
      <w:r>
        <w:rPr>
          <w:w w:val="95"/>
          <w:sz w:val="20"/>
        </w:rPr>
        <w:t>请扫描以查询验证条款 </w:t>
      </w:r>
    </w:p>
    <w:p>
      <w:pPr>
        <w:pStyle w:val="Heading1"/>
        <w:spacing w:line="516" w:lineRule="exact"/>
        <w:ind w:left="1938"/>
      </w:pPr>
      <w:r>
        <w:rPr/>
        <w:t>农银鸿康重大疾病保险（</w:t>
      </w:r>
      <w:r>
        <w:rPr>
          <w:rFonts w:ascii="等线" w:eastAsia="等线" w:hint="eastAsia"/>
        </w:rPr>
        <w:t>2013 </w:t>
      </w:r>
      <w:r>
        <w:rPr/>
        <w:t>）条款</w:t>
      </w:r>
    </w:p>
    <w:p>
      <w:pPr>
        <w:spacing w:before="71"/>
        <w:ind w:left="1898" w:right="1894" w:firstLine="0"/>
        <w:jc w:val="center"/>
        <w:rPr>
          <w:rFonts w:ascii="微软雅黑" w:eastAsia="微软雅黑" w:hint="eastAsia"/>
          <w:b/>
          <w:sz w:val="32"/>
        </w:rPr>
      </w:pPr>
      <w:r>
        <w:rPr>
          <w:rFonts w:ascii="微软雅黑" w:eastAsia="微软雅黑" w:hint="eastAsia"/>
          <w:b/>
          <w:sz w:val="32"/>
        </w:rPr>
        <w:t>阅  读  指 引</w:t>
      </w:r>
    </w:p>
    <w:p>
      <w:pPr>
        <w:pStyle w:val="BodyText"/>
        <w:spacing w:line="240" w:lineRule="auto" w:before="110"/>
        <w:ind w:left="2003" w:right="1894"/>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主</w:t>
      </w:r>
      <w:r>
        <w:rPr>
          <w:spacing w:val="-63"/>
          <w:w w:val="100"/>
          <w:position w:val="-7"/>
        </w:rPr>
        <w:t>．</w:t>
      </w:r>
      <w:r>
        <w:rPr>
          <w:spacing w:val="-152"/>
          <w:w w:val="100"/>
        </w:rPr>
        <w:t>险</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3"/>
          <w:w w:val="100"/>
        </w:rPr>
        <w:t>。</w:t>
      </w:r>
      <w:r>
        <w:rPr>
          <w:w w:val="100"/>
        </w:rPr>
        <w:t> </w:t>
      </w:r>
    </w:p>
    <w:p>
      <w:pPr>
        <w:pStyle w:val="Heading2"/>
        <w:tabs>
          <w:tab w:pos="1263" w:val="left" w:leader="none"/>
        </w:tabs>
        <w:spacing w:line="520" w:lineRule="exact" w:before="48"/>
      </w:pPr>
      <w:r>
        <w:rPr/>
        <w:drawing>
          <wp:anchor distT="0" distB="0" distL="0" distR="0" allowOverlap="1" layoutInCell="1" locked="0" behindDoc="1" simplePos="0" relativeHeight="268361351">
            <wp:simplePos x="0" y="0"/>
            <wp:positionH relativeFrom="page">
              <wp:posOffset>542544</wp:posOffset>
            </wp:positionH>
            <wp:positionV relativeFrom="paragraph">
              <wp:posOffset>21760</wp:posOffset>
            </wp:positionV>
            <wp:extent cx="6473952" cy="712470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473952" cy="7124700"/>
                    </a:xfrm>
                    <a:prstGeom prst="rect">
                      <a:avLst/>
                    </a:prstGeom>
                  </pic:spPr>
                </pic:pic>
              </a:graphicData>
            </a:graphic>
          </wp:anchor>
        </w:drawing>
      </w:r>
      <w:r>
        <w:rPr>
          <w:rFonts w:ascii="Times New Roman" w:eastAsia="Times New Roman"/>
          <w:position w:val="-11"/>
          <w:sz w:val="52"/>
        </w:rPr>
        <w:t>C</w:t>
        <w:tab/>
      </w:r>
      <w:r>
        <w:rPr>
          <w:spacing w:val="-1"/>
        </w:rPr>
        <w:t>您拥有的重要权益</w:t>
      </w:r>
    </w:p>
    <w:p>
      <w:pPr>
        <w:pStyle w:val="ListParagraph"/>
        <w:numPr>
          <w:ilvl w:val="0"/>
          <w:numId w:val="1"/>
        </w:numPr>
        <w:tabs>
          <w:tab w:pos="1645" w:val="left" w:leader="none"/>
          <w:tab w:pos="1646" w:val="left" w:leader="none"/>
        </w:tabs>
        <w:spacing w:line="211" w:lineRule="exact" w:before="0" w:after="0"/>
        <w:ind w:left="1645" w:right="0" w:hanging="422"/>
        <w:jc w:val="left"/>
        <w:rPr>
          <w:sz w:val="21"/>
        </w:rPr>
      </w:pPr>
      <w:r>
        <w:rPr>
          <w:rFonts w:ascii="仿宋" w:hAnsi="仿宋" w:eastAsia="仿宋" w:hint="eastAsia"/>
          <w:spacing w:val="-6"/>
          <w:sz w:val="21"/>
        </w:rPr>
        <w:t>签收本主险合同之日起 </w:t>
      </w:r>
      <w:r>
        <w:rPr>
          <w:rFonts w:ascii="仿宋" w:hAnsi="仿宋" w:eastAsia="仿宋" w:hint="eastAsia"/>
          <w:sz w:val="21"/>
        </w:rPr>
        <w:t>10</w:t>
      </w:r>
      <w:r>
        <w:rPr>
          <w:rFonts w:ascii="仿宋" w:hAnsi="仿宋" w:eastAsia="仿宋" w:hint="eastAsia"/>
          <w:spacing w:val="-18"/>
          <w:sz w:val="21"/>
        </w:rPr>
        <w:t> 日</w:t>
      </w:r>
      <w:r>
        <w:rPr>
          <w:rFonts w:ascii="仿宋" w:hAnsi="仿宋" w:eastAsia="仿宋" w:hint="eastAsia"/>
          <w:sz w:val="21"/>
        </w:rPr>
        <w:t>（</w:t>
      </w:r>
      <w:r>
        <w:rPr>
          <w:rFonts w:ascii="仿宋" w:hAnsi="仿宋" w:eastAsia="仿宋" w:hint="eastAsia"/>
          <w:spacing w:val="-3"/>
          <w:sz w:val="21"/>
        </w:rPr>
        <w:t>即犹豫期）内您若要求退保，我们将退还保险费</w:t>
      </w:r>
      <w:r>
        <w:rPr>
          <w:sz w:val="21"/>
        </w:rPr>
        <w:t>……1.4</w:t>
      </w:r>
    </w:p>
    <w:p>
      <w:pPr>
        <w:pStyle w:val="ListParagraph"/>
        <w:numPr>
          <w:ilvl w:val="0"/>
          <w:numId w:val="1"/>
        </w:numPr>
        <w:tabs>
          <w:tab w:pos="1645" w:val="left" w:leader="none"/>
          <w:tab w:pos="1646" w:val="left" w:leader="none"/>
          <w:tab w:pos="9630" w:val="right" w:leader="dot"/>
        </w:tabs>
        <w:spacing w:line="240" w:lineRule="auto" w:before="10" w:after="0"/>
        <w:ind w:left="1645" w:right="0" w:hanging="422"/>
        <w:jc w:val="left"/>
        <w:rPr>
          <w:sz w:val="21"/>
        </w:rPr>
      </w:pPr>
      <w:r>
        <w:rPr>
          <w:rFonts w:ascii="仿宋" w:eastAsia="仿宋" w:hint="eastAsia"/>
          <w:sz w:val="21"/>
        </w:rPr>
        <w:t>本主</w:t>
      </w:r>
      <w:r>
        <w:rPr>
          <w:rFonts w:ascii="仿宋" w:eastAsia="仿宋" w:hint="eastAsia"/>
          <w:spacing w:val="-3"/>
          <w:sz w:val="21"/>
        </w:rPr>
        <w:t>险</w:t>
      </w:r>
      <w:r>
        <w:rPr>
          <w:rFonts w:ascii="仿宋" w:eastAsia="仿宋" w:hint="eastAsia"/>
          <w:sz w:val="21"/>
        </w:rPr>
        <w:t>合</w:t>
      </w:r>
      <w:r>
        <w:rPr>
          <w:rFonts w:ascii="仿宋" w:eastAsia="仿宋" w:hint="eastAsia"/>
          <w:spacing w:val="-3"/>
          <w:sz w:val="21"/>
        </w:rPr>
        <w:t>同</w:t>
      </w:r>
      <w:r>
        <w:rPr>
          <w:rFonts w:ascii="仿宋" w:eastAsia="仿宋" w:hint="eastAsia"/>
          <w:sz w:val="21"/>
        </w:rPr>
        <w:t>提</w:t>
      </w:r>
      <w:r>
        <w:rPr>
          <w:rFonts w:ascii="仿宋" w:eastAsia="仿宋" w:hint="eastAsia"/>
          <w:spacing w:val="-3"/>
          <w:sz w:val="21"/>
        </w:rPr>
        <w:t>供</w:t>
      </w:r>
      <w:r>
        <w:rPr>
          <w:rFonts w:ascii="仿宋" w:eastAsia="仿宋" w:hint="eastAsia"/>
          <w:sz w:val="21"/>
        </w:rPr>
        <w:t>的</w:t>
      </w:r>
      <w:r>
        <w:rPr>
          <w:rFonts w:ascii="仿宋" w:eastAsia="仿宋" w:hint="eastAsia"/>
          <w:spacing w:val="-3"/>
          <w:sz w:val="21"/>
        </w:rPr>
        <w:t>保</w:t>
      </w:r>
      <w:r>
        <w:rPr>
          <w:rFonts w:ascii="仿宋" w:eastAsia="仿宋" w:hint="eastAsia"/>
          <w:sz w:val="21"/>
        </w:rPr>
        <w:t>障</w:t>
      </w:r>
      <w:r>
        <w:rPr>
          <w:rFonts w:ascii="仿宋" w:eastAsia="仿宋" w:hint="eastAsia"/>
          <w:spacing w:val="-3"/>
          <w:sz w:val="21"/>
        </w:rPr>
        <w:t>在</w:t>
      </w:r>
      <w:r>
        <w:rPr>
          <w:rFonts w:ascii="仿宋" w:eastAsia="仿宋" w:hint="eastAsia"/>
          <w:sz w:val="21"/>
        </w:rPr>
        <w:t>保险</w:t>
      </w:r>
      <w:r>
        <w:rPr>
          <w:rFonts w:ascii="仿宋" w:eastAsia="仿宋" w:hint="eastAsia"/>
          <w:spacing w:val="-3"/>
          <w:sz w:val="21"/>
        </w:rPr>
        <w:t>责</w:t>
      </w:r>
      <w:r>
        <w:rPr>
          <w:rFonts w:ascii="仿宋" w:eastAsia="仿宋" w:hint="eastAsia"/>
          <w:sz w:val="21"/>
        </w:rPr>
        <w:t>任</w:t>
      </w:r>
      <w:r>
        <w:rPr>
          <w:rFonts w:ascii="仿宋" w:eastAsia="仿宋" w:hint="eastAsia"/>
          <w:spacing w:val="-3"/>
          <w:sz w:val="21"/>
        </w:rPr>
        <w:t>条</w:t>
      </w:r>
      <w:r>
        <w:rPr>
          <w:rFonts w:ascii="仿宋" w:eastAsia="仿宋" w:hint="eastAsia"/>
          <w:sz w:val="21"/>
        </w:rPr>
        <w:t>款</w:t>
      </w:r>
      <w:r>
        <w:rPr>
          <w:rFonts w:ascii="仿宋" w:eastAsia="仿宋" w:hint="eastAsia"/>
          <w:spacing w:val="-3"/>
          <w:sz w:val="21"/>
        </w:rPr>
        <w:t>中</w:t>
      </w:r>
      <w:r>
        <w:rPr>
          <w:rFonts w:ascii="仿宋" w:eastAsia="仿宋" w:hint="eastAsia"/>
          <w:sz w:val="21"/>
        </w:rPr>
        <w:t>列明</w:t>
        <w:tab/>
      </w:r>
      <w:r>
        <w:rPr>
          <w:sz w:val="21"/>
        </w:rPr>
        <w:t>2.3</w:t>
      </w:r>
    </w:p>
    <w:p>
      <w:pPr>
        <w:pStyle w:val="ListParagraph"/>
        <w:numPr>
          <w:ilvl w:val="0"/>
          <w:numId w:val="1"/>
        </w:numPr>
        <w:tabs>
          <w:tab w:pos="1645" w:val="left" w:leader="none"/>
          <w:tab w:pos="1646" w:val="left" w:leader="none"/>
          <w:tab w:pos="9630" w:val="right" w:leader="dot"/>
        </w:tabs>
        <w:spacing w:line="274" w:lineRule="exact" w:before="9" w:after="0"/>
        <w:ind w:left="1645" w:right="0" w:hanging="422"/>
        <w:jc w:val="left"/>
        <w:rPr>
          <w:sz w:val="21"/>
        </w:rPr>
      </w:pPr>
      <w:r>
        <w:rPr>
          <w:rFonts w:ascii="仿宋" w:eastAsia="仿宋" w:hint="eastAsia"/>
          <w:sz w:val="21"/>
        </w:rPr>
        <w:t>您有</w:t>
      </w:r>
      <w:r>
        <w:rPr>
          <w:rFonts w:ascii="仿宋" w:eastAsia="仿宋" w:hint="eastAsia"/>
          <w:spacing w:val="-3"/>
          <w:sz w:val="21"/>
        </w:rPr>
        <w:t>退</w:t>
      </w:r>
      <w:r>
        <w:rPr>
          <w:rFonts w:ascii="仿宋" w:eastAsia="仿宋" w:hint="eastAsia"/>
          <w:sz w:val="21"/>
        </w:rPr>
        <w:t>保</w:t>
      </w:r>
      <w:r>
        <w:rPr>
          <w:rFonts w:ascii="仿宋" w:eastAsia="仿宋" w:hint="eastAsia"/>
          <w:spacing w:val="-3"/>
          <w:sz w:val="21"/>
        </w:rPr>
        <w:t>的</w:t>
      </w:r>
      <w:r>
        <w:rPr>
          <w:rFonts w:ascii="仿宋" w:eastAsia="仿宋" w:hint="eastAsia"/>
          <w:sz w:val="21"/>
        </w:rPr>
        <w:t>权利</w:t>
        <w:tab/>
      </w:r>
      <w:r>
        <w:rPr>
          <w:sz w:val="21"/>
        </w:rPr>
        <w:t>7</w:t>
      </w:r>
    </w:p>
    <w:p>
      <w:pPr>
        <w:pStyle w:val="Heading2"/>
        <w:tabs>
          <w:tab w:pos="1263" w:val="left" w:leader="none"/>
        </w:tabs>
        <w:spacing w:line="503" w:lineRule="exact"/>
      </w:pPr>
      <w:r>
        <w:rPr>
          <w:rFonts w:ascii="Times New Roman" w:eastAsia="Times New Roman"/>
          <w:position w:val="-11"/>
          <w:sz w:val="52"/>
        </w:rPr>
        <w:t>C</w:t>
        <w:tab/>
      </w:r>
      <w:r>
        <w:rPr>
          <w:spacing w:val="-1"/>
        </w:rPr>
        <w:t>您应当特别注意的事项</w:t>
      </w:r>
    </w:p>
    <w:p>
      <w:pPr>
        <w:pStyle w:val="ListParagraph"/>
        <w:numPr>
          <w:ilvl w:val="0"/>
          <w:numId w:val="2"/>
        </w:numPr>
        <w:tabs>
          <w:tab w:pos="1645" w:val="left" w:leader="none"/>
          <w:tab w:pos="1646" w:val="left" w:leader="none"/>
          <w:tab w:pos="9836" w:val="right" w:leader="dot"/>
        </w:tabs>
        <w:spacing w:line="210" w:lineRule="exact" w:before="0" w:after="0"/>
        <w:ind w:left="1645" w:right="0" w:hanging="422"/>
        <w:jc w:val="left"/>
        <w:rPr>
          <w:sz w:val="21"/>
        </w:rPr>
      </w:pPr>
      <w:r>
        <w:rPr>
          <w:rFonts w:ascii="仿宋" w:eastAsia="仿宋" w:hint="eastAsia"/>
          <w:sz w:val="21"/>
        </w:rPr>
        <w:t>在某</w:t>
      </w:r>
      <w:r>
        <w:rPr>
          <w:rFonts w:ascii="仿宋" w:eastAsia="仿宋" w:hint="eastAsia"/>
          <w:spacing w:val="-3"/>
          <w:sz w:val="21"/>
        </w:rPr>
        <w:t>些</w:t>
      </w:r>
      <w:r>
        <w:rPr>
          <w:rFonts w:ascii="仿宋" w:eastAsia="仿宋" w:hint="eastAsia"/>
          <w:sz w:val="21"/>
        </w:rPr>
        <w:t>情</w:t>
      </w:r>
      <w:r>
        <w:rPr>
          <w:rFonts w:ascii="仿宋" w:eastAsia="仿宋" w:hint="eastAsia"/>
          <w:spacing w:val="-3"/>
          <w:sz w:val="21"/>
        </w:rPr>
        <w:t>况</w:t>
      </w:r>
      <w:r>
        <w:rPr>
          <w:rFonts w:ascii="仿宋" w:eastAsia="仿宋" w:hint="eastAsia"/>
          <w:sz w:val="21"/>
        </w:rPr>
        <w:t>下</w:t>
      </w:r>
      <w:r>
        <w:rPr>
          <w:rFonts w:ascii="仿宋" w:eastAsia="仿宋" w:hint="eastAsia"/>
          <w:spacing w:val="-3"/>
          <w:sz w:val="21"/>
        </w:rPr>
        <w:t>，</w:t>
      </w:r>
      <w:r>
        <w:rPr>
          <w:rFonts w:ascii="仿宋" w:eastAsia="仿宋" w:hint="eastAsia"/>
          <w:sz w:val="21"/>
        </w:rPr>
        <w:t>我</w:t>
      </w:r>
      <w:r>
        <w:rPr>
          <w:rFonts w:ascii="仿宋" w:eastAsia="仿宋" w:hint="eastAsia"/>
          <w:spacing w:val="-3"/>
          <w:sz w:val="21"/>
        </w:rPr>
        <w:t>们</w:t>
      </w:r>
      <w:r>
        <w:rPr>
          <w:rFonts w:ascii="仿宋" w:eastAsia="仿宋" w:hint="eastAsia"/>
          <w:sz w:val="21"/>
        </w:rPr>
        <w:t>不</w:t>
      </w:r>
      <w:r>
        <w:rPr>
          <w:rFonts w:ascii="仿宋" w:eastAsia="仿宋" w:hint="eastAsia"/>
          <w:spacing w:val="-3"/>
          <w:sz w:val="21"/>
        </w:rPr>
        <w:t>承</w:t>
      </w:r>
      <w:r>
        <w:rPr>
          <w:rFonts w:ascii="仿宋" w:eastAsia="仿宋" w:hint="eastAsia"/>
          <w:sz w:val="21"/>
        </w:rPr>
        <w:t>担保</w:t>
      </w:r>
      <w:r>
        <w:rPr>
          <w:rFonts w:ascii="仿宋" w:eastAsia="仿宋" w:hint="eastAsia"/>
          <w:spacing w:val="-3"/>
          <w:sz w:val="21"/>
        </w:rPr>
        <w:t>险</w:t>
      </w:r>
      <w:r>
        <w:rPr>
          <w:rFonts w:ascii="仿宋" w:eastAsia="仿宋" w:hint="eastAsia"/>
          <w:sz w:val="21"/>
        </w:rPr>
        <w:t>责任</w:t>
        <w:tab/>
      </w:r>
      <w:r>
        <w:rPr>
          <w:sz w:val="21"/>
        </w:rPr>
        <w:t>2.4</w:t>
      </w:r>
    </w:p>
    <w:p>
      <w:pPr>
        <w:pStyle w:val="ListParagraph"/>
        <w:numPr>
          <w:ilvl w:val="0"/>
          <w:numId w:val="2"/>
        </w:numPr>
        <w:tabs>
          <w:tab w:pos="1645" w:val="left" w:leader="none"/>
          <w:tab w:pos="1646" w:val="left" w:leader="none"/>
          <w:tab w:pos="9836" w:val="right" w:leader="dot"/>
        </w:tabs>
        <w:spacing w:line="240" w:lineRule="auto" w:before="9" w:after="0"/>
        <w:ind w:left="1645" w:right="0" w:hanging="422"/>
        <w:jc w:val="left"/>
        <w:rPr>
          <w:sz w:val="21"/>
        </w:rPr>
      </w:pPr>
      <w:r>
        <w:rPr>
          <w:rFonts w:ascii="仿宋" w:eastAsia="仿宋" w:hint="eastAsia"/>
          <w:sz w:val="21"/>
        </w:rPr>
        <w:t>保险</w:t>
      </w:r>
      <w:r>
        <w:rPr>
          <w:rFonts w:ascii="仿宋" w:eastAsia="仿宋" w:hint="eastAsia"/>
          <w:spacing w:val="-3"/>
          <w:sz w:val="21"/>
        </w:rPr>
        <w:t>事</w:t>
      </w:r>
      <w:r>
        <w:rPr>
          <w:rFonts w:ascii="仿宋" w:eastAsia="仿宋" w:hint="eastAsia"/>
          <w:sz w:val="21"/>
        </w:rPr>
        <w:t>故</w:t>
      </w:r>
      <w:r>
        <w:rPr>
          <w:rFonts w:ascii="仿宋" w:eastAsia="仿宋" w:hint="eastAsia"/>
          <w:spacing w:val="-3"/>
          <w:sz w:val="21"/>
        </w:rPr>
        <w:t>发</w:t>
      </w:r>
      <w:r>
        <w:rPr>
          <w:rFonts w:ascii="仿宋" w:eastAsia="仿宋" w:hint="eastAsia"/>
          <w:sz w:val="21"/>
        </w:rPr>
        <w:t>生</w:t>
      </w:r>
      <w:r>
        <w:rPr>
          <w:rFonts w:ascii="仿宋" w:eastAsia="仿宋" w:hint="eastAsia"/>
          <w:spacing w:val="-3"/>
          <w:sz w:val="21"/>
        </w:rPr>
        <w:t>后</w:t>
      </w:r>
      <w:r>
        <w:rPr>
          <w:rFonts w:ascii="仿宋" w:eastAsia="仿宋" w:hint="eastAsia"/>
          <w:sz w:val="21"/>
        </w:rPr>
        <w:t>，</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及</w:t>
      </w:r>
      <w:r>
        <w:rPr>
          <w:rFonts w:ascii="仿宋" w:eastAsia="仿宋" w:hint="eastAsia"/>
          <w:sz w:val="21"/>
        </w:rPr>
        <w:t>时通</w:t>
      </w:r>
      <w:r>
        <w:rPr>
          <w:rFonts w:ascii="仿宋" w:eastAsia="仿宋" w:hint="eastAsia"/>
          <w:spacing w:val="-3"/>
          <w:sz w:val="21"/>
        </w:rPr>
        <w:t>知</w:t>
      </w:r>
      <w:r>
        <w:rPr>
          <w:rFonts w:ascii="仿宋" w:eastAsia="仿宋" w:hint="eastAsia"/>
          <w:sz w:val="21"/>
        </w:rPr>
        <w:t>我们</w:t>
        <w:tab/>
      </w:r>
      <w:r>
        <w:rPr>
          <w:sz w:val="21"/>
        </w:rPr>
        <w:t>3.2</w:t>
      </w:r>
    </w:p>
    <w:p>
      <w:pPr>
        <w:pStyle w:val="ListParagraph"/>
        <w:numPr>
          <w:ilvl w:val="0"/>
          <w:numId w:val="2"/>
        </w:numPr>
        <w:tabs>
          <w:tab w:pos="1645" w:val="left" w:leader="none"/>
          <w:tab w:pos="1646" w:val="left" w:leader="none"/>
          <w:tab w:pos="9836" w:val="right" w:leader="dot"/>
        </w:tabs>
        <w:spacing w:line="240" w:lineRule="auto" w:before="9" w:after="0"/>
        <w:ind w:left="1645" w:right="0" w:hanging="422"/>
        <w:jc w:val="left"/>
        <w:rPr>
          <w:sz w:val="21"/>
        </w:rPr>
      </w:pPr>
      <w:r>
        <w:rPr>
          <w:rFonts w:ascii="仿宋" w:eastAsia="仿宋" w:hint="eastAsia"/>
          <w:sz w:val="21"/>
        </w:rPr>
        <w:t>您应</w:t>
      </w:r>
      <w:r>
        <w:rPr>
          <w:rFonts w:ascii="仿宋" w:eastAsia="仿宋" w:hint="eastAsia"/>
          <w:spacing w:val="-3"/>
          <w:sz w:val="21"/>
        </w:rPr>
        <w:t>当</w:t>
      </w:r>
      <w:r>
        <w:rPr>
          <w:rFonts w:ascii="仿宋" w:eastAsia="仿宋" w:hint="eastAsia"/>
          <w:sz w:val="21"/>
        </w:rPr>
        <w:t>按</w:t>
      </w:r>
      <w:r>
        <w:rPr>
          <w:rFonts w:ascii="仿宋" w:eastAsia="仿宋" w:hint="eastAsia"/>
          <w:spacing w:val="-3"/>
          <w:sz w:val="21"/>
        </w:rPr>
        <w:t>时</w:t>
      </w:r>
      <w:r>
        <w:rPr>
          <w:rFonts w:ascii="仿宋" w:eastAsia="仿宋" w:hint="eastAsia"/>
          <w:sz w:val="21"/>
        </w:rPr>
        <w:t>支</w:t>
      </w:r>
      <w:r>
        <w:rPr>
          <w:rFonts w:ascii="仿宋" w:eastAsia="仿宋" w:hint="eastAsia"/>
          <w:spacing w:val="-3"/>
          <w:sz w:val="21"/>
        </w:rPr>
        <w:t>付</w:t>
      </w:r>
      <w:r>
        <w:rPr>
          <w:rFonts w:ascii="仿宋" w:eastAsia="仿宋" w:hint="eastAsia"/>
          <w:sz w:val="21"/>
        </w:rPr>
        <w:t>保</w:t>
      </w:r>
      <w:r>
        <w:rPr>
          <w:rFonts w:ascii="仿宋" w:eastAsia="仿宋" w:hint="eastAsia"/>
          <w:spacing w:val="-3"/>
          <w:sz w:val="21"/>
        </w:rPr>
        <w:t>险费</w:t>
        <w:tab/>
      </w:r>
      <w:r>
        <w:rPr>
          <w:sz w:val="21"/>
        </w:rPr>
        <w:t>4.1</w:t>
      </w:r>
    </w:p>
    <w:p>
      <w:pPr>
        <w:pStyle w:val="ListParagraph"/>
        <w:numPr>
          <w:ilvl w:val="0"/>
          <w:numId w:val="2"/>
        </w:numPr>
        <w:tabs>
          <w:tab w:pos="1645" w:val="left" w:leader="none"/>
          <w:tab w:pos="1646" w:val="left" w:leader="none"/>
          <w:tab w:pos="9630" w:val="right" w:leader="dot"/>
        </w:tabs>
        <w:spacing w:line="240" w:lineRule="auto" w:before="9" w:after="0"/>
        <w:ind w:left="1645" w:right="0" w:hanging="422"/>
        <w:jc w:val="left"/>
        <w:rPr>
          <w:sz w:val="21"/>
        </w:rPr>
      </w:pPr>
      <w:r>
        <w:rPr>
          <w:rFonts w:ascii="仿宋" w:eastAsia="仿宋" w:hint="eastAsia"/>
          <w:sz w:val="21"/>
        </w:rPr>
        <w:t>退保</w:t>
      </w:r>
      <w:r>
        <w:rPr>
          <w:rFonts w:ascii="仿宋" w:eastAsia="仿宋" w:hint="eastAsia"/>
          <w:spacing w:val="-3"/>
          <w:sz w:val="21"/>
        </w:rPr>
        <w:t>会</w:t>
      </w:r>
      <w:r>
        <w:rPr>
          <w:rFonts w:ascii="仿宋" w:eastAsia="仿宋" w:hint="eastAsia"/>
          <w:sz w:val="21"/>
        </w:rPr>
        <w:t>给</w:t>
      </w:r>
      <w:r>
        <w:rPr>
          <w:rFonts w:ascii="仿宋" w:eastAsia="仿宋" w:hint="eastAsia"/>
          <w:spacing w:val="-3"/>
          <w:sz w:val="21"/>
        </w:rPr>
        <w:t>您</w:t>
      </w:r>
      <w:r>
        <w:rPr>
          <w:rFonts w:ascii="仿宋" w:eastAsia="仿宋" w:hint="eastAsia"/>
          <w:sz w:val="21"/>
        </w:rPr>
        <w:t>造</w:t>
      </w:r>
      <w:r>
        <w:rPr>
          <w:rFonts w:ascii="仿宋" w:eastAsia="仿宋" w:hint="eastAsia"/>
          <w:spacing w:val="-3"/>
          <w:sz w:val="21"/>
        </w:rPr>
        <w:t>成</w:t>
      </w:r>
      <w:r>
        <w:rPr>
          <w:rFonts w:ascii="仿宋" w:eastAsia="仿宋" w:hint="eastAsia"/>
          <w:sz w:val="21"/>
        </w:rPr>
        <w:t>一</w:t>
      </w:r>
      <w:r>
        <w:rPr>
          <w:rFonts w:ascii="仿宋" w:eastAsia="仿宋" w:hint="eastAsia"/>
          <w:spacing w:val="-3"/>
          <w:sz w:val="21"/>
        </w:rPr>
        <w:t>定</w:t>
      </w:r>
      <w:r>
        <w:rPr>
          <w:rFonts w:ascii="仿宋" w:eastAsia="仿宋" w:hint="eastAsia"/>
          <w:sz w:val="21"/>
        </w:rPr>
        <w:t>的</w:t>
      </w:r>
      <w:r>
        <w:rPr>
          <w:rFonts w:ascii="仿宋" w:eastAsia="仿宋" w:hint="eastAsia"/>
          <w:spacing w:val="-3"/>
          <w:sz w:val="21"/>
        </w:rPr>
        <w:t>损</w:t>
      </w:r>
      <w:r>
        <w:rPr>
          <w:rFonts w:ascii="仿宋" w:eastAsia="仿宋" w:hint="eastAsia"/>
          <w:sz w:val="21"/>
        </w:rPr>
        <w:t>失，</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慎</w:t>
      </w:r>
      <w:r>
        <w:rPr>
          <w:rFonts w:ascii="仿宋" w:eastAsia="仿宋" w:hint="eastAsia"/>
          <w:sz w:val="21"/>
        </w:rPr>
        <w:t>重</w:t>
      </w:r>
      <w:r>
        <w:rPr>
          <w:rFonts w:ascii="仿宋" w:eastAsia="仿宋" w:hint="eastAsia"/>
          <w:spacing w:val="-3"/>
          <w:sz w:val="21"/>
        </w:rPr>
        <w:t>决策</w:t>
        <w:tab/>
      </w:r>
      <w:r>
        <w:rPr>
          <w:sz w:val="21"/>
        </w:rPr>
        <w:t>7</w:t>
      </w:r>
    </w:p>
    <w:p>
      <w:pPr>
        <w:pStyle w:val="ListParagraph"/>
        <w:numPr>
          <w:ilvl w:val="0"/>
          <w:numId w:val="2"/>
        </w:numPr>
        <w:tabs>
          <w:tab w:pos="1645" w:val="left" w:leader="none"/>
          <w:tab w:pos="1646" w:val="left" w:leader="none"/>
          <w:tab w:pos="9836" w:val="right" w:leader="dot"/>
        </w:tabs>
        <w:spacing w:line="240" w:lineRule="auto" w:before="9" w:after="0"/>
        <w:ind w:left="1645" w:right="0" w:hanging="422"/>
        <w:jc w:val="left"/>
        <w:rPr>
          <w:sz w:val="21"/>
        </w:rPr>
      </w:pPr>
      <w:r>
        <w:rPr>
          <w:rFonts w:ascii="仿宋" w:eastAsia="仿宋" w:hint="eastAsia"/>
          <w:sz w:val="21"/>
        </w:rPr>
        <w:t>您有</w:t>
      </w:r>
      <w:r>
        <w:rPr>
          <w:rFonts w:ascii="仿宋" w:eastAsia="仿宋" w:hint="eastAsia"/>
          <w:spacing w:val="-3"/>
          <w:sz w:val="21"/>
        </w:rPr>
        <w:t>如</w:t>
      </w:r>
      <w:r>
        <w:rPr>
          <w:rFonts w:ascii="仿宋" w:eastAsia="仿宋" w:hint="eastAsia"/>
          <w:sz w:val="21"/>
        </w:rPr>
        <w:t>实</w:t>
      </w:r>
      <w:r>
        <w:rPr>
          <w:rFonts w:ascii="仿宋" w:eastAsia="仿宋" w:hint="eastAsia"/>
          <w:spacing w:val="-3"/>
          <w:sz w:val="21"/>
        </w:rPr>
        <w:t>告</w:t>
      </w:r>
      <w:r>
        <w:rPr>
          <w:rFonts w:ascii="仿宋" w:eastAsia="仿宋" w:hint="eastAsia"/>
          <w:sz w:val="21"/>
        </w:rPr>
        <w:t>知</w:t>
      </w:r>
      <w:r>
        <w:rPr>
          <w:rFonts w:ascii="仿宋" w:eastAsia="仿宋" w:hint="eastAsia"/>
          <w:spacing w:val="-3"/>
          <w:sz w:val="21"/>
        </w:rPr>
        <w:t>的</w:t>
      </w:r>
      <w:r>
        <w:rPr>
          <w:rFonts w:ascii="仿宋" w:eastAsia="仿宋" w:hint="eastAsia"/>
          <w:sz w:val="21"/>
        </w:rPr>
        <w:t>义务</w:t>
        <w:tab/>
      </w:r>
      <w:r>
        <w:rPr>
          <w:sz w:val="21"/>
        </w:rPr>
        <w:t>8.1</w:t>
      </w:r>
    </w:p>
    <w:p>
      <w:pPr>
        <w:pStyle w:val="ListParagraph"/>
        <w:numPr>
          <w:ilvl w:val="0"/>
          <w:numId w:val="2"/>
        </w:numPr>
        <w:tabs>
          <w:tab w:pos="1645" w:val="left" w:leader="none"/>
          <w:tab w:pos="1646" w:val="left" w:leader="none"/>
          <w:tab w:pos="9836" w:val="right" w:leader="dot"/>
        </w:tabs>
        <w:spacing w:line="240" w:lineRule="auto" w:before="9" w:after="0"/>
        <w:ind w:left="1645" w:right="0" w:hanging="422"/>
        <w:jc w:val="left"/>
        <w:rPr>
          <w:sz w:val="21"/>
        </w:rPr>
      </w:pPr>
      <w:r>
        <w:rPr>
          <w:rFonts w:ascii="仿宋" w:eastAsia="仿宋" w:hint="eastAsia"/>
          <w:sz w:val="21"/>
        </w:rPr>
        <w:t>请您</w:t>
      </w:r>
      <w:r>
        <w:rPr>
          <w:rFonts w:ascii="仿宋" w:eastAsia="仿宋" w:hint="eastAsia"/>
          <w:spacing w:val="-3"/>
          <w:sz w:val="21"/>
        </w:rPr>
        <w:t>注</w:t>
      </w:r>
      <w:r>
        <w:rPr>
          <w:rFonts w:ascii="仿宋" w:eastAsia="仿宋" w:hint="eastAsia"/>
          <w:sz w:val="21"/>
        </w:rPr>
        <w:t>意</w:t>
      </w:r>
      <w:r>
        <w:rPr>
          <w:rFonts w:ascii="仿宋" w:eastAsia="仿宋" w:hint="eastAsia"/>
          <w:spacing w:val="-3"/>
          <w:sz w:val="21"/>
        </w:rPr>
        <w:t>导</w:t>
      </w:r>
      <w:r>
        <w:rPr>
          <w:rFonts w:ascii="仿宋" w:eastAsia="仿宋" w:hint="eastAsia"/>
          <w:sz w:val="21"/>
        </w:rPr>
        <w:t>致</w:t>
      </w:r>
      <w:r>
        <w:rPr>
          <w:rFonts w:ascii="仿宋" w:eastAsia="仿宋" w:hint="eastAsia"/>
          <w:spacing w:val="-3"/>
          <w:sz w:val="21"/>
        </w:rPr>
        <w:t>本</w:t>
      </w:r>
      <w:r>
        <w:rPr>
          <w:rFonts w:ascii="仿宋" w:eastAsia="仿宋" w:hint="eastAsia"/>
          <w:sz w:val="21"/>
        </w:rPr>
        <w:t>主</w:t>
      </w:r>
      <w:r>
        <w:rPr>
          <w:rFonts w:ascii="仿宋" w:eastAsia="仿宋" w:hint="eastAsia"/>
          <w:spacing w:val="-3"/>
          <w:sz w:val="21"/>
        </w:rPr>
        <w:t>险</w:t>
      </w:r>
      <w:r>
        <w:rPr>
          <w:rFonts w:ascii="仿宋" w:eastAsia="仿宋" w:hint="eastAsia"/>
          <w:sz w:val="21"/>
        </w:rPr>
        <w:t>合</w:t>
      </w:r>
      <w:r>
        <w:rPr>
          <w:rFonts w:ascii="仿宋" w:eastAsia="仿宋" w:hint="eastAsia"/>
          <w:spacing w:val="-3"/>
          <w:sz w:val="21"/>
        </w:rPr>
        <w:t>同</w:t>
      </w:r>
      <w:r>
        <w:rPr>
          <w:rFonts w:ascii="仿宋" w:eastAsia="仿宋" w:hint="eastAsia"/>
          <w:sz w:val="21"/>
        </w:rPr>
        <w:t>效力</w:t>
      </w:r>
      <w:r>
        <w:rPr>
          <w:rFonts w:ascii="仿宋" w:eastAsia="仿宋" w:hint="eastAsia"/>
          <w:spacing w:val="-3"/>
          <w:sz w:val="21"/>
        </w:rPr>
        <w:t>终</w:t>
      </w:r>
      <w:r>
        <w:rPr>
          <w:rFonts w:ascii="仿宋" w:eastAsia="仿宋" w:hint="eastAsia"/>
          <w:sz w:val="21"/>
        </w:rPr>
        <w:t>止</w:t>
      </w:r>
      <w:r>
        <w:rPr>
          <w:rFonts w:ascii="仿宋" w:eastAsia="仿宋" w:hint="eastAsia"/>
          <w:spacing w:val="-3"/>
          <w:sz w:val="21"/>
        </w:rPr>
        <w:t>的</w:t>
      </w:r>
      <w:r>
        <w:rPr>
          <w:rFonts w:ascii="仿宋" w:eastAsia="仿宋" w:hint="eastAsia"/>
          <w:sz w:val="21"/>
        </w:rPr>
        <w:t>其</w:t>
      </w:r>
      <w:r>
        <w:rPr>
          <w:rFonts w:ascii="仿宋" w:eastAsia="仿宋" w:hint="eastAsia"/>
          <w:spacing w:val="-3"/>
          <w:sz w:val="21"/>
        </w:rPr>
        <w:t>他</w:t>
      </w:r>
      <w:r>
        <w:rPr>
          <w:rFonts w:ascii="仿宋" w:eastAsia="仿宋" w:hint="eastAsia"/>
          <w:sz w:val="21"/>
        </w:rPr>
        <w:t>情况</w:t>
        <w:tab/>
      </w:r>
      <w:r>
        <w:rPr>
          <w:sz w:val="21"/>
        </w:rPr>
        <w:t>9.5</w:t>
      </w:r>
    </w:p>
    <w:p>
      <w:pPr>
        <w:pStyle w:val="ListParagraph"/>
        <w:numPr>
          <w:ilvl w:val="0"/>
          <w:numId w:val="2"/>
        </w:numPr>
        <w:tabs>
          <w:tab w:pos="1645" w:val="left" w:leader="none"/>
          <w:tab w:pos="1646" w:val="left" w:leader="none"/>
        </w:tabs>
        <w:spacing w:line="240" w:lineRule="auto" w:before="9" w:after="0"/>
        <w:ind w:left="1645" w:right="0" w:hanging="422"/>
        <w:jc w:val="left"/>
        <w:rPr>
          <w:sz w:val="21"/>
        </w:rPr>
      </w:pPr>
      <w:r>
        <w:rPr>
          <w:rFonts w:ascii="仿宋" w:hAnsi="仿宋" w:eastAsia="仿宋" w:hint="eastAsia"/>
          <w:spacing w:val="-2"/>
          <w:sz w:val="21"/>
        </w:rPr>
        <w:t>我们对一些重要术语进行了解释，并作了显著标识，请您注意 </w:t>
      </w:r>
      <w:r>
        <w:rPr>
          <w:sz w:val="21"/>
        </w:rPr>
        <w:t>…………………………10 </w:t>
      </w:r>
    </w:p>
    <w:p>
      <w:pPr>
        <w:pStyle w:val="ListParagraph"/>
        <w:numPr>
          <w:ilvl w:val="0"/>
          <w:numId w:val="2"/>
        </w:numPr>
        <w:tabs>
          <w:tab w:pos="1645" w:val="left" w:leader="none"/>
          <w:tab w:pos="1646" w:val="left" w:leader="none"/>
          <w:tab w:pos="9944" w:val="right" w:leader="dot"/>
        </w:tabs>
        <w:spacing w:line="274" w:lineRule="exact" w:before="9" w:after="0"/>
        <w:ind w:left="1645" w:right="0" w:hanging="422"/>
        <w:jc w:val="left"/>
        <w:rPr>
          <w:sz w:val="21"/>
        </w:rPr>
      </w:pPr>
      <w:r>
        <w:rPr>
          <w:rFonts w:ascii="仿宋" w:eastAsia="仿宋" w:hint="eastAsia"/>
          <w:sz w:val="21"/>
        </w:rPr>
        <w:t>保险</w:t>
      </w:r>
      <w:r>
        <w:rPr>
          <w:rFonts w:ascii="仿宋" w:eastAsia="仿宋" w:hint="eastAsia"/>
          <w:spacing w:val="-3"/>
          <w:sz w:val="21"/>
        </w:rPr>
        <w:t>条</w:t>
      </w:r>
      <w:r>
        <w:rPr>
          <w:rFonts w:ascii="仿宋" w:eastAsia="仿宋" w:hint="eastAsia"/>
          <w:sz w:val="21"/>
        </w:rPr>
        <w:t>款</w:t>
      </w:r>
      <w:r>
        <w:rPr>
          <w:rFonts w:ascii="仿宋" w:eastAsia="仿宋" w:hint="eastAsia"/>
          <w:spacing w:val="-3"/>
          <w:sz w:val="21"/>
        </w:rPr>
        <w:t>有</w:t>
      </w:r>
      <w:r>
        <w:rPr>
          <w:rFonts w:ascii="仿宋" w:eastAsia="仿宋" w:hint="eastAsia"/>
          <w:sz w:val="21"/>
        </w:rPr>
        <w:t>关</w:t>
      </w:r>
      <w:r>
        <w:rPr>
          <w:rFonts w:ascii="仿宋" w:eastAsia="仿宋" w:hint="eastAsia"/>
          <w:spacing w:val="-3"/>
          <w:sz w:val="21"/>
        </w:rPr>
        <w:t>重</w:t>
      </w:r>
      <w:r>
        <w:rPr>
          <w:rFonts w:ascii="仿宋" w:eastAsia="仿宋" w:hint="eastAsia"/>
          <w:sz w:val="21"/>
        </w:rPr>
        <w:t>大</w:t>
      </w:r>
      <w:r>
        <w:rPr>
          <w:rFonts w:ascii="仿宋" w:eastAsia="仿宋" w:hint="eastAsia"/>
          <w:spacing w:val="-3"/>
          <w:sz w:val="21"/>
        </w:rPr>
        <w:t>疾</w:t>
      </w:r>
      <w:r>
        <w:rPr>
          <w:rFonts w:ascii="仿宋" w:eastAsia="仿宋" w:hint="eastAsia"/>
          <w:sz w:val="21"/>
        </w:rPr>
        <w:t>病</w:t>
      </w:r>
      <w:r>
        <w:rPr>
          <w:rFonts w:ascii="仿宋" w:eastAsia="仿宋" w:hint="eastAsia"/>
          <w:spacing w:val="-3"/>
          <w:sz w:val="21"/>
        </w:rPr>
        <w:t>的</w:t>
      </w:r>
      <w:r>
        <w:rPr>
          <w:rFonts w:ascii="仿宋" w:eastAsia="仿宋" w:hint="eastAsia"/>
          <w:sz w:val="21"/>
        </w:rPr>
        <w:t>释义</w:t>
      </w:r>
      <w:r>
        <w:rPr>
          <w:rFonts w:ascii="仿宋" w:eastAsia="仿宋" w:hint="eastAsia"/>
          <w:spacing w:val="-3"/>
          <w:sz w:val="21"/>
        </w:rPr>
        <w:t>，</w:t>
      </w:r>
      <w:r>
        <w:rPr>
          <w:rFonts w:ascii="仿宋" w:eastAsia="仿宋" w:hint="eastAsia"/>
          <w:sz w:val="21"/>
        </w:rPr>
        <w:t>请</w:t>
      </w:r>
      <w:r>
        <w:rPr>
          <w:rFonts w:ascii="仿宋" w:eastAsia="仿宋" w:hint="eastAsia"/>
          <w:spacing w:val="-3"/>
          <w:sz w:val="21"/>
        </w:rPr>
        <w:t>您</w:t>
      </w:r>
      <w:r>
        <w:rPr>
          <w:rFonts w:ascii="仿宋" w:eastAsia="仿宋" w:hint="eastAsia"/>
          <w:sz w:val="21"/>
        </w:rPr>
        <w:t>留意</w:t>
        <w:tab/>
      </w:r>
      <w:r>
        <w:rPr>
          <w:sz w:val="21"/>
        </w:rPr>
        <w:t>10.4</w:t>
      </w:r>
    </w:p>
    <w:p>
      <w:pPr>
        <w:pStyle w:val="Heading2"/>
        <w:tabs>
          <w:tab w:pos="1263" w:val="left" w:leader="none"/>
        </w:tabs>
        <w:spacing w:line="484" w:lineRule="exact"/>
        <w:rPr>
          <w:rFonts w:ascii="宋体" w:eastAsia="宋体" w:hint="eastAsia"/>
          <w:b w:val="0"/>
        </w:rPr>
      </w:pPr>
      <w:r>
        <w:rPr>
          <w:rFonts w:ascii="Times New Roman" w:eastAsia="Times New Roman"/>
          <w:position w:val="-11"/>
          <w:sz w:val="52"/>
        </w:rPr>
        <w:t>C</w:t>
        <w:tab/>
      </w:r>
      <w:r>
        <w:rPr>
          <w:spacing w:val="-3"/>
        </w:rPr>
        <w:t>条款是保险合同的重要内容，为充分保障您的权益，请您仔细阅读本条款。</w:t>
      </w:r>
      <w:r>
        <w:rPr>
          <w:rFonts w:ascii="宋体" w:eastAsia="宋体" w:hint="eastAsia"/>
          <w:b w:val="0"/>
        </w:rPr>
        <w:t> </w:t>
      </w:r>
    </w:p>
    <w:p>
      <w:pPr>
        <w:tabs>
          <w:tab w:pos="1263" w:val="left" w:leader="none"/>
        </w:tabs>
        <w:spacing w:line="499" w:lineRule="exact" w:before="0"/>
        <w:ind w:left="255" w:right="0" w:firstLine="0"/>
        <w:jc w:val="left"/>
        <w:rPr>
          <w:sz w:val="21"/>
        </w:rPr>
      </w:pPr>
      <w:r>
        <w:rPr/>
        <w:pict>
          <v:shape style="position:absolute;margin-left:57.599998pt;margin-top:17.664703pt;width:480.15pt;height:304.8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9"/>
                    <w:gridCol w:w="3234"/>
                    <w:gridCol w:w="727"/>
                    <w:gridCol w:w="3272"/>
                  </w:tblGrid>
                  <w:tr>
                    <w:trPr>
                      <w:trHeight w:val="460" w:hRule="atLeast"/>
                    </w:trPr>
                    <w:tc>
                      <w:tcPr>
                        <w:tcW w:w="2359" w:type="dxa"/>
                        <w:tcBorders>
                          <w:top w:val="single" w:sz="4" w:space="0" w:color="000000"/>
                          <w:left w:val="single" w:sz="4" w:space="0" w:color="000000"/>
                        </w:tcBorders>
                      </w:tcPr>
                      <w:p>
                        <w:pPr>
                          <w:pStyle w:val="TableParagraph"/>
                          <w:spacing w:before="67"/>
                          <w:ind w:left="105"/>
                          <w:rPr>
                            <w:rFonts w:ascii="Microsoft JhengHei" w:eastAsia="Microsoft JhengHei" w:hint="eastAsia"/>
                            <w:b/>
                            <w:sz w:val="21"/>
                          </w:rPr>
                        </w:pPr>
                        <w:r>
                          <w:rPr>
                            <w:rFonts w:ascii="等线" w:eastAsia="等线" w:hint="eastAsia"/>
                            <w:b/>
                            <w:sz w:val="21"/>
                          </w:rPr>
                          <w:t>1.</w:t>
                        </w:r>
                        <w:r>
                          <w:rPr>
                            <w:rFonts w:ascii="Microsoft JhengHei" w:eastAsia="Microsoft JhengHei" w:hint="eastAsia"/>
                            <w:b/>
                            <w:sz w:val="21"/>
                          </w:rPr>
                          <w:t>您与我们订立的合同</w:t>
                        </w:r>
                      </w:p>
                    </w:tc>
                    <w:tc>
                      <w:tcPr>
                        <w:tcW w:w="3234" w:type="dxa"/>
                        <w:tcBorders>
                          <w:top w:val="single" w:sz="4" w:space="0" w:color="000000"/>
                        </w:tcBorders>
                      </w:tcPr>
                      <w:p>
                        <w:pPr>
                          <w:pStyle w:val="TableParagraph"/>
                          <w:spacing w:before="133"/>
                          <w:ind w:left="357"/>
                          <w:rPr>
                            <w:rFonts w:ascii="仿宋" w:eastAsia="仿宋" w:hint="eastAsia"/>
                            <w:sz w:val="21"/>
                          </w:rPr>
                        </w:pPr>
                        <w:r>
                          <w:rPr>
                            <w:rFonts w:ascii="仿宋" w:eastAsia="仿宋" w:hint="eastAsia"/>
                            <w:sz w:val="21"/>
                          </w:rPr>
                          <w:t>5.2 保险费自动垫交</w:t>
                        </w:r>
                      </w:p>
                    </w:tc>
                    <w:tc>
                      <w:tcPr>
                        <w:tcW w:w="727" w:type="dxa"/>
                        <w:tcBorders>
                          <w:top w:val="single" w:sz="4" w:space="0" w:color="000000"/>
                        </w:tcBorders>
                      </w:tcPr>
                      <w:p>
                        <w:pPr>
                          <w:pStyle w:val="TableParagraph"/>
                          <w:spacing w:before="133"/>
                          <w:ind w:left="152"/>
                          <w:rPr>
                            <w:rFonts w:ascii="仿宋"/>
                            <w:sz w:val="21"/>
                          </w:rPr>
                        </w:pPr>
                        <w:r>
                          <w:rPr>
                            <w:rFonts w:ascii="仿宋"/>
                            <w:sz w:val="21"/>
                          </w:rPr>
                          <w:t>10.5</w:t>
                        </w:r>
                      </w:p>
                    </w:tc>
                    <w:tc>
                      <w:tcPr>
                        <w:tcW w:w="3272" w:type="dxa"/>
                        <w:tcBorders>
                          <w:top w:val="single" w:sz="4" w:space="0" w:color="000000"/>
                          <w:right w:val="single" w:sz="4" w:space="0" w:color="000000"/>
                        </w:tcBorders>
                      </w:tcPr>
                      <w:p>
                        <w:pPr>
                          <w:pStyle w:val="TableParagraph"/>
                          <w:spacing w:before="133"/>
                          <w:ind w:left="56"/>
                          <w:rPr>
                            <w:rFonts w:ascii="仿宋" w:eastAsia="仿宋" w:hint="eastAsia"/>
                            <w:sz w:val="21"/>
                          </w:rPr>
                        </w:pPr>
                        <w:r>
                          <w:rPr>
                            <w:rFonts w:ascii="仿宋" w:eastAsia="仿宋" w:hint="eastAsia"/>
                            <w:sz w:val="21"/>
                          </w:rPr>
                          <w:t>医疗机构</w:t>
                        </w:r>
                      </w:p>
                    </w:tc>
                  </w:tr>
                  <w:tr>
                    <w:trPr>
                      <w:trHeight w:val="279" w:hRule="atLeast"/>
                    </w:trPr>
                    <w:tc>
                      <w:tcPr>
                        <w:tcW w:w="2359" w:type="dxa"/>
                        <w:tcBorders>
                          <w:left w:val="single" w:sz="4" w:space="0" w:color="000000"/>
                        </w:tcBorders>
                      </w:tcPr>
                      <w:p>
                        <w:pPr>
                          <w:pStyle w:val="TableParagraph"/>
                          <w:spacing w:line="229" w:lineRule="exact"/>
                          <w:ind w:left="316"/>
                          <w:rPr>
                            <w:rFonts w:ascii="仿宋" w:eastAsia="仿宋" w:hint="eastAsia"/>
                            <w:sz w:val="21"/>
                          </w:rPr>
                        </w:pPr>
                        <w:r>
                          <w:rPr>
                            <w:rFonts w:ascii="仿宋" w:eastAsia="仿宋" w:hint="eastAsia"/>
                            <w:sz w:val="21"/>
                          </w:rPr>
                          <w:t>1.1 合同构成</w:t>
                        </w:r>
                      </w:p>
                    </w:tc>
                    <w:tc>
                      <w:tcPr>
                        <w:tcW w:w="3234" w:type="dxa"/>
                      </w:tcPr>
                      <w:p>
                        <w:pPr>
                          <w:pStyle w:val="TableParagraph"/>
                          <w:spacing w:line="253" w:lineRule="exact"/>
                          <w:ind w:left="146"/>
                          <w:rPr>
                            <w:rFonts w:ascii="Microsoft JhengHei" w:eastAsia="Microsoft JhengHei" w:hint="eastAsia"/>
                            <w:b/>
                            <w:sz w:val="21"/>
                          </w:rPr>
                        </w:pPr>
                        <w:r>
                          <w:rPr>
                            <w:rFonts w:ascii="等线" w:eastAsia="等线" w:hint="eastAsia"/>
                            <w:b/>
                            <w:sz w:val="21"/>
                          </w:rPr>
                          <w:t>6.</w:t>
                        </w:r>
                        <w:r>
                          <w:rPr>
                            <w:rFonts w:ascii="Microsoft JhengHei" w:eastAsia="Microsoft JhengHei" w:hint="eastAsia"/>
                            <w:b/>
                            <w:sz w:val="21"/>
                          </w:rPr>
                          <w:t>合同效力的中止及恢复</w:t>
                        </w:r>
                      </w:p>
                    </w:tc>
                    <w:tc>
                      <w:tcPr>
                        <w:tcW w:w="727" w:type="dxa"/>
                      </w:tcPr>
                      <w:p>
                        <w:pPr>
                          <w:pStyle w:val="TableParagraph"/>
                          <w:spacing w:line="229" w:lineRule="exact"/>
                          <w:ind w:left="152"/>
                          <w:rPr>
                            <w:rFonts w:ascii="仿宋"/>
                            <w:sz w:val="21"/>
                          </w:rPr>
                        </w:pPr>
                        <w:r>
                          <w:rPr>
                            <w:rFonts w:ascii="仿宋"/>
                            <w:sz w:val="21"/>
                          </w:rPr>
                          <w:t>10.6</w:t>
                        </w:r>
                      </w:p>
                    </w:tc>
                    <w:tc>
                      <w:tcPr>
                        <w:tcW w:w="3272" w:type="dxa"/>
                        <w:tcBorders>
                          <w:right w:val="single" w:sz="4" w:space="0" w:color="000000"/>
                        </w:tcBorders>
                      </w:tcPr>
                      <w:p>
                        <w:pPr>
                          <w:pStyle w:val="TableParagraph"/>
                          <w:spacing w:line="229" w:lineRule="exact"/>
                          <w:ind w:left="56"/>
                          <w:rPr>
                            <w:rFonts w:ascii="仿宋" w:eastAsia="仿宋" w:hint="eastAsia"/>
                            <w:sz w:val="21"/>
                          </w:rPr>
                        </w:pPr>
                        <w:r>
                          <w:rPr>
                            <w:rFonts w:ascii="仿宋" w:eastAsia="仿宋" w:hint="eastAsia"/>
                            <w:sz w:val="21"/>
                          </w:rPr>
                          <w:t>重大疾病</w:t>
                        </w:r>
                      </w:p>
                    </w:tc>
                  </w:tr>
                  <w:tr>
                    <w:trPr>
                      <w:trHeight w:val="262" w:hRule="atLeast"/>
                    </w:trPr>
                    <w:tc>
                      <w:tcPr>
                        <w:tcW w:w="2359" w:type="dxa"/>
                        <w:tcBorders>
                          <w:left w:val="single" w:sz="4" w:space="0" w:color="000000"/>
                        </w:tcBorders>
                      </w:tcPr>
                      <w:p>
                        <w:pPr>
                          <w:pStyle w:val="TableParagraph"/>
                          <w:spacing w:line="228" w:lineRule="exact"/>
                          <w:ind w:left="316"/>
                          <w:rPr>
                            <w:rFonts w:ascii="仿宋" w:eastAsia="仿宋" w:hint="eastAsia"/>
                            <w:sz w:val="21"/>
                          </w:rPr>
                        </w:pPr>
                        <w:r>
                          <w:rPr>
                            <w:rFonts w:ascii="仿宋" w:eastAsia="仿宋" w:hint="eastAsia"/>
                            <w:sz w:val="21"/>
                          </w:rPr>
                          <w:t>1.2 合同成立与生效</w:t>
                        </w:r>
                      </w:p>
                    </w:tc>
                    <w:tc>
                      <w:tcPr>
                        <w:tcW w:w="3234" w:type="dxa"/>
                      </w:tcPr>
                      <w:p>
                        <w:pPr>
                          <w:pStyle w:val="TableParagraph"/>
                          <w:spacing w:line="228" w:lineRule="exact"/>
                          <w:ind w:left="357"/>
                          <w:rPr>
                            <w:rFonts w:ascii="仿宋" w:eastAsia="仿宋" w:hint="eastAsia"/>
                            <w:sz w:val="21"/>
                          </w:rPr>
                        </w:pPr>
                        <w:r>
                          <w:rPr>
                            <w:rFonts w:ascii="仿宋" w:eastAsia="仿宋" w:hint="eastAsia"/>
                            <w:sz w:val="21"/>
                          </w:rPr>
                          <w:t>6.1 效力中止</w:t>
                        </w:r>
                      </w:p>
                    </w:tc>
                    <w:tc>
                      <w:tcPr>
                        <w:tcW w:w="727" w:type="dxa"/>
                      </w:tcPr>
                      <w:p>
                        <w:pPr>
                          <w:pStyle w:val="TableParagraph"/>
                          <w:spacing w:line="228" w:lineRule="exact"/>
                          <w:ind w:left="152"/>
                          <w:rPr>
                            <w:rFonts w:ascii="仿宋"/>
                            <w:sz w:val="21"/>
                          </w:rPr>
                        </w:pPr>
                        <w:r>
                          <w:rPr>
                            <w:rFonts w:ascii="仿宋"/>
                            <w:sz w:val="21"/>
                          </w:rPr>
                          <w:t>10.7</w:t>
                        </w:r>
                      </w:p>
                    </w:tc>
                    <w:tc>
                      <w:tcPr>
                        <w:tcW w:w="3272" w:type="dxa"/>
                        <w:tcBorders>
                          <w:right w:val="single" w:sz="4" w:space="0" w:color="000000"/>
                        </w:tcBorders>
                      </w:tcPr>
                      <w:p>
                        <w:pPr>
                          <w:pStyle w:val="TableParagraph"/>
                          <w:spacing w:line="228" w:lineRule="exact"/>
                          <w:ind w:left="56"/>
                          <w:rPr>
                            <w:rFonts w:ascii="仿宋" w:eastAsia="仿宋" w:hint="eastAsia"/>
                            <w:sz w:val="21"/>
                          </w:rPr>
                        </w:pPr>
                        <w:r>
                          <w:rPr>
                            <w:rFonts w:ascii="仿宋" w:eastAsia="仿宋" w:hint="eastAsia"/>
                            <w:sz w:val="21"/>
                          </w:rPr>
                          <w:t>轻症疾病</w:t>
                        </w:r>
                      </w:p>
                    </w:tc>
                  </w:tr>
                  <w:tr>
                    <w:trPr>
                      <w:trHeight w:val="280" w:hRule="atLeast"/>
                    </w:trPr>
                    <w:tc>
                      <w:tcPr>
                        <w:tcW w:w="2359"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1.3 投保年龄</w:t>
                        </w:r>
                      </w:p>
                    </w:tc>
                    <w:tc>
                      <w:tcPr>
                        <w:tcW w:w="3234" w:type="dxa"/>
                      </w:tcPr>
                      <w:p>
                        <w:pPr>
                          <w:pStyle w:val="TableParagraph"/>
                          <w:spacing w:line="246" w:lineRule="exact"/>
                          <w:ind w:left="357"/>
                          <w:rPr>
                            <w:rFonts w:ascii="仿宋" w:eastAsia="仿宋" w:hint="eastAsia"/>
                            <w:sz w:val="21"/>
                          </w:rPr>
                        </w:pPr>
                        <w:r>
                          <w:rPr>
                            <w:rFonts w:ascii="仿宋" w:eastAsia="仿宋" w:hint="eastAsia"/>
                            <w:sz w:val="21"/>
                          </w:rPr>
                          <w:t>6.2 效力恢复</w:t>
                        </w:r>
                      </w:p>
                    </w:tc>
                    <w:tc>
                      <w:tcPr>
                        <w:tcW w:w="727" w:type="dxa"/>
                      </w:tcPr>
                      <w:p>
                        <w:pPr>
                          <w:pStyle w:val="TableParagraph"/>
                          <w:spacing w:line="246" w:lineRule="exact"/>
                          <w:ind w:left="152"/>
                          <w:rPr>
                            <w:rFonts w:ascii="仿宋"/>
                            <w:sz w:val="21"/>
                          </w:rPr>
                        </w:pPr>
                        <w:r>
                          <w:rPr>
                            <w:rFonts w:ascii="仿宋"/>
                            <w:sz w:val="21"/>
                          </w:rPr>
                          <w:t>10.8</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毒品</w:t>
                        </w:r>
                      </w:p>
                    </w:tc>
                  </w:tr>
                  <w:tr>
                    <w:trPr>
                      <w:trHeight w:val="296" w:hRule="atLeast"/>
                    </w:trPr>
                    <w:tc>
                      <w:tcPr>
                        <w:tcW w:w="2359"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1.4 犹豫期</w:t>
                        </w:r>
                      </w:p>
                    </w:tc>
                    <w:tc>
                      <w:tcPr>
                        <w:tcW w:w="3234" w:type="dxa"/>
                      </w:tcPr>
                      <w:p>
                        <w:pPr>
                          <w:pStyle w:val="TableParagraph"/>
                          <w:spacing w:line="270" w:lineRule="exact"/>
                          <w:ind w:left="146"/>
                          <w:rPr>
                            <w:rFonts w:ascii="Microsoft JhengHei" w:eastAsia="Microsoft JhengHei" w:hint="eastAsia"/>
                            <w:b/>
                            <w:sz w:val="21"/>
                          </w:rPr>
                        </w:pPr>
                        <w:r>
                          <w:rPr>
                            <w:rFonts w:ascii="等线" w:eastAsia="等线" w:hint="eastAsia"/>
                            <w:b/>
                            <w:sz w:val="21"/>
                          </w:rPr>
                          <w:t>7.</w:t>
                        </w:r>
                        <w:r>
                          <w:rPr>
                            <w:rFonts w:ascii="Microsoft JhengHei" w:eastAsia="Microsoft JhengHei" w:hint="eastAsia"/>
                            <w:b/>
                            <w:sz w:val="21"/>
                          </w:rPr>
                          <w:t>合同解除</w:t>
                        </w:r>
                      </w:p>
                    </w:tc>
                    <w:tc>
                      <w:tcPr>
                        <w:tcW w:w="727" w:type="dxa"/>
                      </w:tcPr>
                      <w:p>
                        <w:pPr>
                          <w:pStyle w:val="TableParagraph"/>
                          <w:spacing w:line="246" w:lineRule="exact"/>
                          <w:ind w:left="152"/>
                          <w:rPr>
                            <w:rFonts w:ascii="仿宋"/>
                            <w:sz w:val="21"/>
                          </w:rPr>
                        </w:pPr>
                        <w:r>
                          <w:rPr>
                            <w:rFonts w:ascii="仿宋"/>
                            <w:sz w:val="21"/>
                          </w:rPr>
                          <w:t>10.9</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酒后驾驶</w:t>
                        </w:r>
                      </w:p>
                    </w:tc>
                  </w:tr>
                  <w:tr>
                    <w:trPr>
                      <w:trHeight w:val="279" w:hRule="atLeast"/>
                    </w:trPr>
                    <w:tc>
                      <w:tcPr>
                        <w:tcW w:w="2359" w:type="dxa"/>
                        <w:tcBorders>
                          <w:left w:val="single" w:sz="4" w:space="0" w:color="000000"/>
                        </w:tcBorders>
                      </w:tcPr>
                      <w:p>
                        <w:pPr>
                          <w:pStyle w:val="TableParagraph"/>
                          <w:spacing w:line="252" w:lineRule="exact"/>
                          <w:ind w:left="105"/>
                          <w:rPr>
                            <w:rFonts w:ascii="Microsoft JhengHei" w:eastAsia="Microsoft JhengHei" w:hint="eastAsia"/>
                            <w:b/>
                            <w:sz w:val="21"/>
                          </w:rPr>
                        </w:pPr>
                        <w:r>
                          <w:rPr>
                            <w:rFonts w:ascii="等线" w:eastAsia="等线" w:hint="eastAsia"/>
                            <w:b/>
                            <w:sz w:val="21"/>
                          </w:rPr>
                          <w:t>2.</w:t>
                        </w:r>
                        <w:r>
                          <w:rPr>
                            <w:rFonts w:ascii="Microsoft JhengHei" w:eastAsia="Microsoft JhengHei" w:hint="eastAsia"/>
                            <w:b/>
                            <w:sz w:val="21"/>
                          </w:rPr>
                          <w:t>我们提供的保障</w:t>
                        </w:r>
                      </w:p>
                    </w:tc>
                    <w:tc>
                      <w:tcPr>
                        <w:tcW w:w="3234" w:type="dxa"/>
                      </w:tcPr>
                      <w:p>
                        <w:pPr>
                          <w:pStyle w:val="TableParagraph"/>
                          <w:spacing w:line="228" w:lineRule="exact"/>
                          <w:ind w:right="140"/>
                          <w:jc w:val="right"/>
                          <w:rPr>
                            <w:rFonts w:ascii="仿宋" w:eastAsia="仿宋" w:hint="eastAsia"/>
                            <w:sz w:val="21"/>
                          </w:rPr>
                        </w:pPr>
                        <w:r>
                          <w:rPr>
                            <w:rFonts w:ascii="仿宋" w:eastAsia="仿宋" w:hint="eastAsia"/>
                            <w:sz w:val="21"/>
                          </w:rPr>
                          <w:t>投保人解除合同的手续及风险</w:t>
                        </w:r>
                      </w:p>
                    </w:tc>
                    <w:tc>
                      <w:tcPr>
                        <w:tcW w:w="727" w:type="dxa"/>
                      </w:tcPr>
                      <w:p>
                        <w:pPr>
                          <w:pStyle w:val="TableParagraph"/>
                          <w:spacing w:line="228" w:lineRule="exact"/>
                          <w:ind w:left="152"/>
                          <w:rPr>
                            <w:rFonts w:ascii="仿宋"/>
                            <w:sz w:val="21"/>
                          </w:rPr>
                        </w:pPr>
                        <w:r>
                          <w:rPr>
                            <w:rFonts w:ascii="仿宋"/>
                            <w:sz w:val="21"/>
                          </w:rPr>
                          <w:t>10.10</w:t>
                        </w:r>
                      </w:p>
                    </w:tc>
                    <w:tc>
                      <w:tcPr>
                        <w:tcW w:w="3272" w:type="dxa"/>
                        <w:tcBorders>
                          <w:right w:val="single" w:sz="4" w:space="0" w:color="000000"/>
                        </w:tcBorders>
                      </w:tcPr>
                      <w:p>
                        <w:pPr>
                          <w:pStyle w:val="TableParagraph"/>
                          <w:spacing w:line="228" w:lineRule="exact"/>
                          <w:ind w:left="56"/>
                          <w:rPr>
                            <w:rFonts w:ascii="仿宋" w:eastAsia="仿宋" w:hint="eastAsia"/>
                            <w:sz w:val="21"/>
                          </w:rPr>
                        </w:pPr>
                        <w:r>
                          <w:rPr>
                            <w:rFonts w:ascii="仿宋" w:eastAsia="仿宋" w:hint="eastAsia"/>
                            <w:sz w:val="21"/>
                          </w:rPr>
                          <w:t>无合法有效驾驶证驾驶</w:t>
                        </w:r>
                      </w:p>
                    </w:tc>
                  </w:tr>
                  <w:tr>
                    <w:trPr>
                      <w:trHeight w:val="280" w:hRule="atLeast"/>
                    </w:trPr>
                    <w:tc>
                      <w:tcPr>
                        <w:tcW w:w="2359" w:type="dxa"/>
                        <w:tcBorders>
                          <w:left w:val="single" w:sz="4" w:space="0" w:color="000000"/>
                        </w:tcBorders>
                      </w:tcPr>
                      <w:p>
                        <w:pPr>
                          <w:pStyle w:val="TableParagraph"/>
                          <w:spacing w:line="229" w:lineRule="exact"/>
                          <w:ind w:left="316"/>
                          <w:rPr>
                            <w:rFonts w:ascii="仿宋" w:eastAsia="仿宋" w:hint="eastAsia"/>
                            <w:sz w:val="21"/>
                          </w:rPr>
                        </w:pPr>
                        <w:r>
                          <w:rPr>
                            <w:rFonts w:ascii="仿宋" w:eastAsia="仿宋" w:hint="eastAsia"/>
                            <w:sz w:val="21"/>
                          </w:rPr>
                          <w:t>2.1 保险金额</w:t>
                        </w:r>
                      </w:p>
                    </w:tc>
                    <w:tc>
                      <w:tcPr>
                        <w:tcW w:w="3234" w:type="dxa"/>
                      </w:tcPr>
                      <w:p>
                        <w:pPr>
                          <w:pStyle w:val="TableParagraph"/>
                          <w:spacing w:line="253" w:lineRule="exact"/>
                          <w:ind w:left="146"/>
                          <w:rPr>
                            <w:rFonts w:ascii="Microsoft JhengHei" w:eastAsia="Microsoft JhengHei" w:hint="eastAsia"/>
                            <w:b/>
                            <w:sz w:val="21"/>
                          </w:rPr>
                        </w:pPr>
                        <w:r>
                          <w:rPr>
                            <w:rFonts w:ascii="等线" w:eastAsia="等线" w:hint="eastAsia"/>
                            <w:b/>
                            <w:sz w:val="21"/>
                          </w:rPr>
                          <w:t>8.</w:t>
                        </w:r>
                        <w:r>
                          <w:rPr>
                            <w:rFonts w:ascii="Microsoft JhengHei" w:eastAsia="Microsoft JhengHei" w:hint="eastAsia"/>
                            <w:b/>
                            <w:sz w:val="21"/>
                          </w:rPr>
                          <w:t>如实告知</w:t>
                        </w:r>
                      </w:p>
                    </w:tc>
                    <w:tc>
                      <w:tcPr>
                        <w:tcW w:w="727" w:type="dxa"/>
                      </w:tcPr>
                      <w:p>
                        <w:pPr>
                          <w:pStyle w:val="TableParagraph"/>
                          <w:spacing w:line="229" w:lineRule="exact"/>
                          <w:ind w:left="152"/>
                          <w:rPr>
                            <w:rFonts w:ascii="仿宋"/>
                            <w:sz w:val="21"/>
                          </w:rPr>
                        </w:pPr>
                        <w:r>
                          <w:rPr>
                            <w:rFonts w:ascii="仿宋"/>
                            <w:sz w:val="21"/>
                          </w:rPr>
                          <w:t>10.11</w:t>
                        </w:r>
                      </w:p>
                    </w:tc>
                    <w:tc>
                      <w:tcPr>
                        <w:tcW w:w="3272" w:type="dxa"/>
                        <w:tcBorders>
                          <w:right w:val="single" w:sz="4" w:space="0" w:color="000000"/>
                        </w:tcBorders>
                      </w:tcPr>
                      <w:p>
                        <w:pPr>
                          <w:pStyle w:val="TableParagraph"/>
                          <w:spacing w:line="229" w:lineRule="exact"/>
                          <w:ind w:left="56"/>
                          <w:rPr>
                            <w:rFonts w:ascii="仿宋" w:eastAsia="仿宋" w:hint="eastAsia"/>
                            <w:sz w:val="21"/>
                          </w:rPr>
                        </w:pPr>
                        <w:r>
                          <w:rPr>
                            <w:rFonts w:ascii="仿宋" w:eastAsia="仿宋" w:hint="eastAsia"/>
                            <w:sz w:val="21"/>
                          </w:rPr>
                          <w:t>无有效行驶证</w:t>
                        </w:r>
                      </w:p>
                    </w:tc>
                  </w:tr>
                  <w:tr>
                    <w:trPr>
                      <w:trHeight w:val="262" w:hRule="atLeast"/>
                    </w:trPr>
                    <w:tc>
                      <w:tcPr>
                        <w:tcW w:w="2359" w:type="dxa"/>
                        <w:tcBorders>
                          <w:left w:val="single" w:sz="4" w:space="0" w:color="000000"/>
                        </w:tcBorders>
                      </w:tcPr>
                      <w:p>
                        <w:pPr>
                          <w:pStyle w:val="TableParagraph"/>
                          <w:spacing w:line="229" w:lineRule="exact"/>
                          <w:ind w:left="316"/>
                          <w:rPr>
                            <w:rFonts w:ascii="仿宋" w:eastAsia="仿宋" w:hint="eastAsia"/>
                            <w:sz w:val="21"/>
                          </w:rPr>
                        </w:pPr>
                        <w:r>
                          <w:rPr>
                            <w:rFonts w:ascii="仿宋" w:eastAsia="仿宋" w:hint="eastAsia"/>
                            <w:sz w:val="21"/>
                          </w:rPr>
                          <w:t>2.2 保险期间</w:t>
                        </w:r>
                      </w:p>
                    </w:tc>
                    <w:tc>
                      <w:tcPr>
                        <w:tcW w:w="3234" w:type="dxa"/>
                      </w:tcPr>
                      <w:p>
                        <w:pPr>
                          <w:pStyle w:val="TableParagraph"/>
                          <w:spacing w:line="229" w:lineRule="exact"/>
                          <w:ind w:left="357"/>
                          <w:rPr>
                            <w:rFonts w:ascii="仿宋" w:eastAsia="仿宋" w:hint="eastAsia"/>
                            <w:sz w:val="21"/>
                          </w:rPr>
                        </w:pPr>
                        <w:r>
                          <w:rPr>
                            <w:rFonts w:ascii="仿宋" w:eastAsia="仿宋" w:hint="eastAsia"/>
                            <w:sz w:val="21"/>
                          </w:rPr>
                          <w:t>8.1 明确说明和如实告知</w:t>
                        </w:r>
                      </w:p>
                    </w:tc>
                    <w:tc>
                      <w:tcPr>
                        <w:tcW w:w="727" w:type="dxa"/>
                      </w:tcPr>
                      <w:p>
                        <w:pPr>
                          <w:pStyle w:val="TableParagraph"/>
                          <w:spacing w:line="229" w:lineRule="exact"/>
                          <w:ind w:left="152"/>
                          <w:rPr>
                            <w:rFonts w:ascii="仿宋"/>
                            <w:sz w:val="21"/>
                          </w:rPr>
                        </w:pPr>
                        <w:r>
                          <w:rPr>
                            <w:rFonts w:ascii="仿宋"/>
                            <w:sz w:val="21"/>
                          </w:rPr>
                          <w:t>10.12</w:t>
                        </w:r>
                      </w:p>
                    </w:tc>
                    <w:tc>
                      <w:tcPr>
                        <w:tcW w:w="3272" w:type="dxa"/>
                        <w:tcBorders>
                          <w:right w:val="single" w:sz="4" w:space="0" w:color="000000"/>
                        </w:tcBorders>
                      </w:tcPr>
                      <w:p>
                        <w:pPr>
                          <w:pStyle w:val="TableParagraph"/>
                          <w:spacing w:line="229" w:lineRule="exact"/>
                          <w:ind w:left="56"/>
                          <w:rPr>
                            <w:rFonts w:ascii="仿宋" w:eastAsia="仿宋" w:hint="eastAsia"/>
                            <w:sz w:val="21"/>
                          </w:rPr>
                        </w:pPr>
                        <w:r>
                          <w:rPr>
                            <w:rFonts w:ascii="仿宋" w:eastAsia="仿宋" w:hint="eastAsia"/>
                            <w:sz w:val="21"/>
                          </w:rPr>
                          <w:t>机动车</w:t>
                        </w:r>
                      </w:p>
                    </w:tc>
                  </w:tr>
                  <w:tr>
                    <w:trPr>
                      <w:trHeight w:val="279" w:hRule="atLeast"/>
                    </w:trPr>
                    <w:tc>
                      <w:tcPr>
                        <w:tcW w:w="2359" w:type="dxa"/>
                        <w:tcBorders>
                          <w:left w:val="single" w:sz="4" w:space="0" w:color="000000"/>
                        </w:tcBorders>
                      </w:tcPr>
                      <w:p>
                        <w:pPr>
                          <w:pStyle w:val="TableParagraph"/>
                          <w:spacing w:line="245" w:lineRule="exact"/>
                          <w:ind w:left="316"/>
                          <w:rPr>
                            <w:rFonts w:ascii="仿宋" w:eastAsia="仿宋" w:hint="eastAsia"/>
                            <w:sz w:val="21"/>
                          </w:rPr>
                        </w:pPr>
                        <w:r>
                          <w:rPr>
                            <w:rFonts w:ascii="仿宋" w:eastAsia="仿宋" w:hint="eastAsia"/>
                            <w:sz w:val="21"/>
                          </w:rPr>
                          <w:t>2.3 保险责任</w:t>
                        </w:r>
                      </w:p>
                    </w:tc>
                    <w:tc>
                      <w:tcPr>
                        <w:tcW w:w="3234" w:type="dxa"/>
                      </w:tcPr>
                      <w:p>
                        <w:pPr>
                          <w:pStyle w:val="TableParagraph"/>
                          <w:spacing w:line="245" w:lineRule="exact"/>
                          <w:ind w:right="144"/>
                          <w:jc w:val="right"/>
                          <w:rPr>
                            <w:rFonts w:ascii="仿宋" w:eastAsia="仿宋" w:hint="eastAsia"/>
                            <w:sz w:val="21"/>
                          </w:rPr>
                        </w:pPr>
                        <w:r>
                          <w:rPr>
                            <w:rFonts w:ascii="仿宋" w:eastAsia="仿宋" w:hint="eastAsia"/>
                            <w:sz w:val="21"/>
                          </w:rPr>
                          <w:t>8.2 本公司合同解除权的限制</w:t>
                        </w:r>
                      </w:p>
                    </w:tc>
                    <w:tc>
                      <w:tcPr>
                        <w:tcW w:w="727" w:type="dxa"/>
                      </w:tcPr>
                      <w:p>
                        <w:pPr>
                          <w:pStyle w:val="TableParagraph"/>
                          <w:spacing w:line="245" w:lineRule="exact"/>
                          <w:ind w:left="152"/>
                          <w:rPr>
                            <w:rFonts w:ascii="仿宋"/>
                            <w:sz w:val="21"/>
                          </w:rPr>
                        </w:pPr>
                        <w:r>
                          <w:rPr>
                            <w:rFonts w:ascii="仿宋"/>
                            <w:sz w:val="21"/>
                          </w:rPr>
                          <w:t>10.13</w:t>
                        </w:r>
                      </w:p>
                    </w:tc>
                    <w:tc>
                      <w:tcPr>
                        <w:tcW w:w="3272" w:type="dxa"/>
                        <w:tcBorders>
                          <w:right w:val="single" w:sz="4" w:space="0" w:color="000000"/>
                        </w:tcBorders>
                      </w:tcPr>
                      <w:p>
                        <w:pPr>
                          <w:pStyle w:val="TableParagraph"/>
                          <w:spacing w:line="245" w:lineRule="exact"/>
                          <w:ind w:left="56"/>
                          <w:rPr>
                            <w:rFonts w:ascii="仿宋" w:eastAsia="仿宋" w:hint="eastAsia"/>
                            <w:sz w:val="21"/>
                          </w:rPr>
                        </w:pPr>
                        <w:r>
                          <w:rPr>
                            <w:rFonts w:ascii="仿宋" w:eastAsia="仿宋" w:hint="eastAsia"/>
                            <w:sz w:val="21"/>
                          </w:rPr>
                          <w:t>先天性畸形、变形或染色体异常</w:t>
                        </w:r>
                      </w:p>
                    </w:tc>
                  </w:tr>
                  <w:tr>
                    <w:trPr>
                      <w:trHeight w:val="297" w:hRule="atLeast"/>
                    </w:trPr>
                    <w:tc>
                      <w:tcPr>
                        <w:tcW w:w="2359"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2.4 责任免除</w:t>
                        </w:r>
                      </w:p>
                    </w:tc>
                    <w:tc>
                      <w:tcPr>
                        <w:tcW w:w="3234" w:type="dxa"/>
                      </w:tcPr>
                      <w:p>
                        <w:pPr>
                          <w:pStyle w:val="TableParagraph"/>
                          <w:spacing w:line="270" w:lineRule="exact"/>
                          <w:ind w:left="146"/>
                          <w:rPr>
                            <w:rFonts w:ascii="Microsoft JhengHei" w:eastAsia="Microsoft JhengHei" w:hint="eastAsia"/>
                            <w:b/>
                            <w:sz w:val="21"/>
                          </w:rPr>
                        </w:pPr>
                        <w:r>
                          <w:rPr>
                            <w:rFonts w:ascii="等线" w:eastAsia="等线" w:hint="eastAsia"/>
                            <w:b/>
                            <w:sz w:val="21"/>
                          </w:rPr>
                          <w:t>9.</w:t>
                        </w:r>
                        <w:r>
                          <w:rPr>
                            <w:rFonts w:ascii="Microsoft JhengHei" w:eastAsia="Microsoft JhengHei" w:hint="eastAsia"/>
                            <w:b/>
                            <w:sz w:val="21"/>
                          </w:rPr>
                          <w:t>其他需要关注的事项</w:t>
                        </w:r>
                      </w:p>
                    </w:tc>
                    <w:tc>
                      <w:tcPr>
                        <w:tcW w:w="727" w:type="dxa"/>
                      </w:tcPr>
                      <w:p>
                        <w:pPr>
                          <w:pStyle w:val="TableParagraph"/>
                          <w:spacing w:line="246" w:lineRule="exact"/>
                          <w:ind w:left="152"/>
                          <w:rPr>
                            <w:rFonts w:ascii="仿宋"/>
                            <w:sz w:val="21"/>
                          </w:rPr>
                        </w:pPr>
                        <w:r>
                          <w:rPr>
                            <w:rFonts w:ascii="仿宋"/>
                            <w:sz w:val="21"/>
                          </w:rPr>
                          <w:t>10.14</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遗传性疾病</w:t>
                        </w:r>
                      </w:p>
                    </w:tc>
                  </w:tr>
                  <w:tr>
                    <w:trPr>
                      <w:trHeight w:val="279" w:hRule="atLeast"/>
                    </w:trPr>
                    <w:tc>
                      <w:tcPr>
                        <w:tcW w:w="2359" w:type="dxa"/>
                        <w:tcBorders>
                          <w:left w:val="single" w:sz="4" w:space="0" w:color="000000"/>
                        </w:tcBorders>
                      </w:tcPr>
                      <w:p>
                        <w:pPr>
                          <w:pStyle w:val="TableParagraph"/>
                          <w:spacing w:line="253" w:lineRule="exact"/>
                          <w:ind w:left="105"/>
                          <w:rPr>
                            <w:rFonts w:ascii="Microsoft JhengHei" w:eastAsia="Microsoft JhengHei" w:hint="eastAsia"/>
                            <w:b/>
                            <w:sz w:val="21"/>
                          </w:rPr>
                        </w:pPr>
                        <w:r>
                          <w:rPr>
                            <w:rFonts w:ascii="等线" w:eastAsia="等线" w:hint="eastAsia"/>
                            <w:b/>
                            <w:sz w:val="21"/>
                          </w:rPr>
                          <w:t>3.</w:t>
                        </w:r>
                        <w:r>
                          <w:rPr>
                            <w:rFonts w:ascii="Microsoft JhengHei" w:eastAsia="Microsoft JhengHei" w:hint="eastAsia"/>
                            <w:b/>
                            <w:sz w:val="21"/>
                          </w:rPr>
                          <w:t>保险金的申请</w:t>
                        </w:r>
                      </w:p>
                    </w:tc>
                    <w:tc>
                      <w:tcPr>
                        <w:tcW w:w="3234" w:type="dxa"/>
                      </w:tcPr>
                      <w:p>
                        <w:pPr>
                          <w:pStyle w:val="TableParagraph"/>
                          <w:spacing w:line="229" w:lineRule="exact"/>
                          <w:ind w:left="357"/>
                          <w:rPr>
                            <w:rFonts w:ascii="仿宋" w:eastAsia="仿宋" w:hint="eastAsia"/>
                            <w:sz w:val="21"/>
                          </w:rPr>
                        </w:pPr>
                        <w:r>
                          <w:rPr>
                            <w:rFonts w:ascii="仿宋" w:eastAsia="仿宋" w:hint="eastAsia"/>
                            <w:sz w:val="21"/>
                          </w:rPr>
                          <w:t>9.1 年龄错误</w:t>
                        </w:r>
                      </w:p>
                    </w:tc>
                    <w:tc>
                      <w:tcPr>
                        <w:tcW w:w="727" w:type="dxa"/>
                      </w:tcPr>
                      <w:p>
                        <w:pPr>
                          <w:pStyle w:val="TableParagraph"/>
                          <w:spacing w:line="229" w:lineRule="exact"/>
                          <w:ind w:left="152"/>
                          <w:rPr>
                            <w:rFonts w:ascii="仿宋"/>
                            <w:sz w:val="21"/>
                          </w:rPr>
                        </w:pPr>
                        <w:r>
                          <w:rPr>
                            <w:rFonts w:ascii="仿宋"/>
                            <w:sz w:val="21"/>
                          </w:rPr>
                          <w:t>10.15</w:t>
                        </w:r>
                      </w:p>
                    </w:tc>
                    <w:tc>
                      <w:tcPr>
                        <w:tcW w:w="3272" w:type="dxa"/>
                        <w:tcBorders>
                          <w:right w:val="single" w:sz="4" w:space="0" w:color="000000"/>
                        </w:tcBorders>
                      </w:tcPr>
                      <w:p>
                        <w:pPr>
                          <w:pStyle w:val="TableParagraph"/>
                          <w:spacing w:line="229" w:lineRule="exact"/>
                          <w:ind w:left="56"/>
                          <w:rPr>
                            <w:rFonts w:ascii="仿宋" w:eastAsia="仿宋" w:hint="eastAsia"/>
                            <w:sz w:val="21"/>
                          </w:rPr>
                        </w:pPr>
                        <w:r>
                          <w:rPr>
                            <w:rFonts w:ascii="仿宋" w:eastAsia="仿宋" w:hint="eastAsia"/>
                            <w:sz w:val="21"/>
                          </w:rPr>
                          <w:t>现金价值</w:t>
                        </w:r>
                      </w:p>
                    </w:tc>
                  </w:tr>
                  <w:tr>
                    <w:trPr>
                      <w:trHeight w:val="262" w:hRule="atLeast"/>
                    </w:trPr>
                    <w:tc>
                      <w:tcPr>
                        <w:tcW w:w="2359" w:type="dxa"/>
                        <w:tcBorders>
                          <w:left w:val="single" w:sz="4" w:space="0" w:color="000000"/>
                        </w:tcBorders>
                      </w:tcPr>
                      <w:p>
                        <w:pPr>
                          <w:pStyle w:val="TableParagraph"/>
                          <w:spacing w:line="228" w:lineRule="exact"/>
                          <w:ind w:left="316"/>
                          <w:rPr>
                            <w:rFonts w:ascii="仿宋" w:eastAsia="仿宋" w:hint="eastAsia"/>
                            <w:sz w:val="21"/>
                          </w:rPr>
                        </w:pPr>
                        <w:r>
                          <w:rPr>
                            <w:rFonts w:ascii="仿宋" w:eastAsia="仿宋" w:hint="eastAsia"/>
                            <w:sz w:val="21"/>
                          </w:rPr>
                          <w:t>3.1 受益人</w:t>
                        </w:r>
                      </w:p>
                    </w:tc>
                    <w:tc>
                      <w:tcPr>
                        <w:tcW w:w="3234" w:type="dxa"/>
                      </w:tcPr>
                      <w:p>
                        <w:pPr>
                          <w:pStyle w:val="TableParagraph"/>
                          <w:spacing w:line="228" w:lineRule="exact"/>
                          <w:ind w:left="357"/>
                          <w:rPr>
                            <w:rFonts w:ascii="仿宋" w:eastAsia="仿宋" w:hint="eastAsia"/>
                            <w:sz w:val="21"/>
                          </w:rPr>
                        </w:pPr>
                        <w:r>
                          <w:rPr>
                            <w:rFonts w:ascii="仿宋" w:eastAsia="仿宋" w:hint="eastAsia"/>
                            <w:sz w:val="21"/>
                          </w:rPr>
                          <w:t>9.2 未还款项</w:t>
                        </w:r>
                      </w:p>
                    </w:tc>
                    <w:tc>
                      <w:tcPr>
                        <w:tcW w:w="727" w:type="dxa"/>
                      </w:tcPr>
                      <w:p>
                        <w:pPr>
                          <w:pStyle w:val="TableParagraph"/>
                          <w:spacing w:line="228" w:lineRule="exact"/>
                          <w:ind w:left="152"/>
                          <w:rPr>
                            <w:rFonts w:ascii="仿宋"/>
                            <w:sz w:val="21"/>
                          </w:rPr>
                        </w:pPr>
                        <w:r>
                          <w:rPr>
                            <w:rFonts w:ascii="仿宋"/>
                            <w:sz w:val="21"/>
                          </w:rPr>
                          <w:t>10.16</w:t>
                        </w:r>
                      </w:p>
                    </w:tc>
                    <w:tc>
                      <w:tcPr>
                        <w:tcW w:w="3272" w:type="dxa"/>
                        <w:tcBorders>
                          <w:right w:val="single" w:sz="4" w:space="0" w:color="000000"/>
                        </w:tcBorders>
                      </w:tcPr>
                      <w:p>
                        <w:pPr>
                          <w:pStyle w:val="TableParagraph"/>
                          <w:spacing w:line="228" w:lineRule="exact"/>
                          <w:ind w:left="56"/>
                          <w:rPr>
                            <w:rFonts w:ascii="仿宋" w:eastAsia="仿宋" w:hint="eastAsia"/>
                            <w:sz w:val="21"/>
                          </w:rPr>
                        </w:pPr>
                        <w:r>
                          <w:rPr>
                            <w:rFonts w:ascii="仿宋" w:eastAsia="仿宋" w:hint="eastAsia"/>
                            <w:sz w:val="21"/>
                          </w:rPr>
                          <w:t>利息</w:t>
                        </w:r>
                      </w:p>
                    </w:tc>
                  </w:tr>
                  <w:tr>
                    <w:trPr>
                      <w:trHeight w:val="280" w:hRule="atLeast"/>
                    </w:trPr>
                    <w:tc>
                      <w:tcPr>
                        <w:tcW w:w="2359"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3.2 保险事故通知</w:t>
                        </w:r>
                      </w:p>
                    </w:tc>
                    <w:tc>
                      <w:tcPr>
                        <w:tcW w:w="3234" w:type="dxa"/>
                      </w:tcPr>
                      <w:p>
                        <w:pPr>
                          <w:pStyle w:val="TableParagraph"/>
                          <w:spacing w:line="246" w:lineRule="exact"/>
                          <w:ind w:left="357"/>
                          <w:rPr>
                            <w:rFonts w:ascii="仿宋" w:eastAsia="仿宋" w:hint="eastAsia"/>
                            <w:sz w:val="21"/>
                          </w:rPr>
                        </w:pPr>
                        <w:r>
                          <w:rPr>
                            <w:rFonts w:ascii="仿宋" w:eastAsia="仿宋" w:hint="eastAsia"/>
                            <w:sz w:val="21"/>
                          </w:rPr>
                          <w:t>9.3 合同内容变更</w:t>
                        </w:r>
                      </w:p>
                    </w:tc>
                    <w:tc>
                      <w:tcPr>
                        <w:tcW w:w="727" w:type="dxa"/>
                      </w:tcPr>
                      <w:p>
                        <w:pPr>
                          <w:pStyle w:val="TableParagraph"/>
                          <w:spacing w:line="246" w:lineRule="exact"/>
                          <w:ind w:left="152"/>
                          <w:rPr>
                            <w:rFonts w:ascii="仿宋"/>
                            <w:sz w:val="21"/>
                          </w:rPr>
                        </w:pPr>
                        <w:r>
                          <w:rPr>
                            <w:rFonts w:ascii="仿宋"/>
                            <w:sz w:val="21"/>
                          </w:rPr>
                          <w:t>10.17</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保单周年日</w:t>
                        </w:r>
                      </w:p>
                    </w:tc>
                  </w:tr>
                  <w:tr>
                    <w:trPr>
                      <w:trHeight w:val="279" w:hRule="atLeast"/>
                    </w:trPr>
                    <w:tc>
                      <w:tcPr>
                        <w:tcW w:w="2359"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3.3 保险金申请</w:t>
                        </w:r>
                      </w:p>
                    </w:tc>
                    <w:tc>
                      <w:tcPr>
                        <w:tcW w:w="3234" w:type="dxa"/>
                      </w:tcPr>
                      <w:p>
                        <w:pPr>
                          <w:pStyle w:val="TableParagraph"/>
                          <w:spacing w:line="246" w:lineRule="exact"/>
                          <w:ind w:left="357"/>
                          <w:rPr>
                            <w:rFonts w:ascii="仿宋" w:eastAsia="仿宋" w:hint="eastAsia"/>
                            <w:sz w:val="21"/>
                          </w:rPr>
                        </w:pPr>
                        <w:r>
                          <w:rPr>
                            <w:rFonts w:ascii="仿宋" w:eastAsia="仿宋" w:hint="eastAsia"/>
                            <w:sz w:val="21"/>
                          </w:rPr>
                          <w:t>9.4 联系方式变更</w:t>
                        </w:r>
                      </w:p>
                    </w:tc>
                    <w:tc>
                      <w:tcPr>
                        <w:tcW w:w="727" w:type="dxa"/>
                      </w:tcPr>
                      <w:p>
                        <w:pPr>
                          <w:pStyle w:val="TableParagraph"/>
                          <w:spacing w:line="246" w:lineRule="exact"/>
                          <w:ind w:left="152"/>
                          <w:rPr>
                            <w:rFonts w:ascii="仿宋"/>
                            <w:sz w:val="21"/>
                          </w:rPr>
                        </w:pPr>
                        <w:r>
                          <w:rPr>
                            <w:rFonts w:ascii="仿宋"/>
                            <w:sz w:val="21"/>
                          </w:rPr>
                          <w:t>10.18</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专科医生</w:t>
                        </w:r>
                      </w:p>
                    </w:tc>
                  </w:tr>
                  <w:tr>
                    <w:trPr>
                      <w:trHeight w:val="279" w:hRule="atLeast"/>
                    </w:trPr>
                    <w:tc>
                      <w:tcPr>
                        <w:tcW w:w="2359" w:type="dxa"/>
                        <w:tcBorders>
                          <w:left w:val="single" w:sz="4" w:space="0" w:color="000000"/>
                        </w:tcBorders>
                      </w:tcPr>
                      <w:p>
                        <w:pPr>
                          <w:pStyle w:val="TableParagraph"/>
                          <w:spacing w:line="245" w:lineRule="exact"/>
                          <w:ind w:left="316"/>
                          <w:rPr>
                            <w:rFonts w:ascii="仿宋" w:eastAsia="仿宋" w:hint="eastAsia"/>
                            <w:sz w:val="21"/>
                          </w:rPr>
                        </w:pPr>
                        <w:r>
                          <w:rPr>
                            <w:rFonts w:ascii="仿宋" w:eastAsia="仿宋" w:hint="eastAsia"/>
                            <w:sz w:val="21"/>
                          </w:rPr>
                          <w:t>3.4 保险金给付</w:t>
                        </w:r>
                      </w:p>
                    </w:tc>
                    <w:tc>
                      <w:tcPr>
                        <w:tcW w:w="3234" w:type="dxa"/>
                      </w:tcPr>
                      <w:p>
                        <w:pPr>
                          <w:pStyle w:val="TableParagraph"/>
                          <w:spacing w:line="245" w:lineRule="exact"/>
                          <w:ind w:right="140"/>
                          <w:jc w:val="right"/>
                          <w:rPr>
                            <w:rFonts w:ascii="仿宋" w:eastAsia="仿宋" w:hint="eastAsia"/>
                            <w:sz w:val="21"/>
                          </w:rPr>
                        </w:pPr>
                        <w:r>
                          <w:rPr>
                            <w:rFonts w:ascii="仿宋" w:eastAsia="仿宋" w:hint="eastAsia"/>
                            <w:sz w:val="21"/>
                          </w:rPr>
                          <w:t>9.5 合同效力终止的其它情况</w:t>
                        </w:r>
                      </w:p>
                    </w:tc>
                    <w:tc>
                      <w:tcPr>
                        <w:tcW w:w="727" w:type="dxa"/>
                      </w:tcPr>
                      <w:p>
                        <w:pPr>
                          <w:pStyle w:val="TableParagraph"/>
                          <w:spacing w:line="245" w:lineRule="exact"/>
                          <w:ind w:left="152"/>
                          <w:rPr>
                            <w:rFonts w:ascii="仿宋"/>
                            <w:sz w:val="21"/>
                          </w:rPr>
                        </w:pPr>
                        <w:r>
                          <w:rPr>
                            <w:rFonts w:ascii="仿宋"/>
                            <w:sz w:val="21"/>
                          </w:rPr>
                          <w:t>10.19</w:t>
                        </w:r>
                      </w:p>
                    </w:tc>
                    <w:tc>
                      <w:tcPr>
                        <w:tcW w:w="3272" w:type="dxa"/>
                        <w:tcBorders>
                          <w:right w:val="single" w:sz="4" w:space="0" w:color="000000"/>
                        </w:tcBorders>
                      </w:tcPr>
                      <w:p>
                        <w:pPr>
                          <w:pStyle w:val="TableParagraph"/>
                          <w:spacing w:line="245" w:lineRule="exact"/>
                          <w:ind w:left="56"/>
                          <w:rPr>
                            <w:rFonts w:ascii="仿宋" w:eastAsia="仿宋" w:hint="eastAsia"/>
                            <w:sz w:val="21"/>
                          </w:rPr>
                        </w:pPr>
                        <w:r>
                          <w:rPr>
                            <w:rFonts w:ascii="仿宋" w:eastAsia="仿宋" w:hint="eastAsia"/>
                            <w:sz w:val="21"/>
                          </w:rPr>
                          <w:t>肢体机能完全丧失</w:t>
                        </w:r>
                      </w:p>
                    </w:tc>
                  </w:tr>
                  <w:tr>
                    <w:trPr>
                      <w:trHeight w:val="280" w:hRule="atLeast"/>
                    </w:trPr>
                    <w:tc>
                      <w:tcPr>
                        <w:tcW w:w="2359"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3.5 诉讼时效</w:t>
                        </w:r>
                      </w:p>
                    </w:tc>
                    <w:tc>
                      <w:tcPr>
                        <w:tcW w:w="3234" w:type="dxa"/>
                      </w:tcPr>
                      <w:p>
                        <w:pPr>
                          <w:pStyle w:val="TableParagraph"/>
                          <w:spacing w:line="246" w:lineRule="exact"/>
                          <w:ind w:left="357"/>
                          <w:rPr>
                            <w:rFonts w:ascii="仿宋" w:eastAsia="仿宋" w:hint="eastAsia"/>
                            <w:sz w:val="21"/>
                          </w:rPr>
                        </w:pPr>
                        <w:r>
                          <w:rPr>
                            <w:rFonts w:ascii="仿宋" w:eastAsia="仿宋" w:hint="eastAsia"/>
                            <w:sz w:val="21"/>
                          </w:rPr>
                          <w:t>9.6 争议处理</w:t>
                        </w:r>
                      </w:p>
                    </w:tc>
                    <w:tc>
                      <w:tcPr>
                        <w:tcW w:w="727" w:type="dxa"/>
                      </w:tcPr>
                      <w:p>
                        <w:pPr>
                          <w:pStyle w:val="TableParagraph"/>
                          <w:spacing w:line="246" w:lineRule="exact"/>
                          <w:ind w:left="152"/>
                          <w:rPr>
                            <w:rFonts w:ascii="仿宋"/>
                            <w:sz w:val="21"/>
                          </w:rPr>
                        </w:pPr>
                        <w:r>
                          <w:rPr>
                            <w:rFonts w:ascii="仿宋"/>
                            <w:sz w:val="21"/>
                          </w:rPr>
                          <w:t>10.20</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语言能力或咀嚼吞咽能力完全丧失</w:t>
                        </w:r>
                      </w:p>
                    </w:tc>
                  </w:tr>
                  <w:tr>
                    <w:trPr>
                      <w:trHeight w:val="296" w:hRule="atLeast"/>
                    </w:trPr>
                    <w:tc>
                      <w:tcPr>
                        <w:tcW w:w="2359" w:type="dxa"/>
                        <w:tcBorders>
                          <w:left w:val="single" w:sz="4" w:space="0" w:color="000000"/>
                        </w:tcBorders>
                      </w:tcPr>
                      <w:p>
                        <w:pPr>
                          <w:pStyle w:val="TableParagraph"/>
                          <w:spacing w:line="270" w:lineRule="exact"/>
                          <w:ind w:left="105"/>
                          <w:rPr>
                            <w:rFonts w:ascii="Microsoft JhengHei" w:eastAsia="Microsoft JhengHei" w:hint="eastAsia"/>
                            <w:b/>
                            <w:sz w:val="21"/>
                          </w:rPr>
                        </w:pPr>
                        <w:r>
                          <w:rPr>
                            <w:rFonts w:ascii="等线" w:eastAsia="等线" w:hint="eastAsia"/>
                            <w:b/>
                            <w:sz w:val="21"/>
                          </w:rPr>
                          <w:t>4.</w:t>
                        </w:r>
                        <w:r>
                          <w:rPr>
                            <w:rFonts w:ascii="Microsoft JhengHei" w:eastAsia="Microsoft JhengHei" w:hint="eastAsia"/>
                            <w:b/>
                            <w:sz w:val="21"/>
                          </w:rPr>
                          <w:t>保险费的支付</w:t>
                        </w:r>
                      </w:p>
                    </w:tc>
                    <w:tc>
                      <w:tcPr>
                        <w:tcW w:w="3234" w:type="dxa"/>
                      </w:tcPr>
                      <w:p>
                        <w:pPr>
                          <w:pStyle w:val="TableParagraph"/>
                          <w:spacing w:line="270" w:lineRule="exact"/>
                          <w:ind w:left="146"/>
                          <w:rPr>
                            <w:rFonts w:ascii="Microsoft JhengHei" w:eastAsia="Microsoft JhengHei" w:hint="eastAsia"/>
                            <w:b/>
                            <w:sz w:val="21"/>
                          </w:rPr>
                        </w:pPr>
                        <w:r>
                          <w:rPr>
                            <w:rFonts w:ascii="等线" w:eastAsia="等线" w:hint="eastAsia"/>
                            <w:b/>
                            <w:w w:val="105"/>
                            <w:sz w:val="21"/>
                          </w:rPr>
                          <w:t>10.</w:t>
                        </w:r>
                        <w:r>
                          <w:rPr>
                            <w:rFonts w:ascii="Microsoft JhengHei" w:eastAsia="Microsoft JhengHei" w:hint="eastAsia"/>
                            <w:b/>
                            <w:w w:val="105"/>
                            <w:sz w:val="21"/>
                          </w:rPr>
                          <w:t>释义</w:t>
                        </w:r>
                      </w:p>
                    </w:tc>
                    <w:tc>
                      <w:tcPr>
                        <w:tcW w:w="727" w:type="dxa"/>
                      </w:tcPr>
                      <w:p>
                        <w:pPr>
                          <w:pStyle w:val="TableParagraph"/>
                          <w:spacing w:line="246" w:lineRule="exact"/>
                          <w:ind w:left="152"/>
                          <w:rPr>
                            <w:rFonts w:ascii="仿宋"/>
                            <w:sz w:val="21"/>
                          </w:rPr>
                        </w:pPr>
                        <w:r>
                          <w:rPr>
                            <w:rFonts w:ascii="仿宋"/>
                            <w:sz w:val="21"/>
                          </w:rPr>
                          <w:t>10.21</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六项基本日常生活活动</w:t>
                        </w:r>
                      </w:p>
                    </w:tc>
                  </w:tr>
                  <w:tr>
                    <w:trPr>
                      <w:trHeight w:val="262" w:hRule="atLeast"/>
                    </w:trPr>
                    <w:tc>
                      <w:tcPr>
                        <w:tcW w:w="2359" w:type="dxa"/>
                        <w:tcBorders>
                          <w:left w:val="single" w:sz="4" w:space="0" w:color="000000"/>
                        </w:tcBorders>
                      </w:tcPr>
                      <w:p>
                        <w:pPr>
                          <w:pStyle w:val="TableParagraph"/>
                          <w:spacing w:line="228" w:lineRule="exact"/>
                          <w:ind w:left="316"/>
                          <w:rPr>
                            <w:rFonts w:ascii="仿宋" w:eastAsia="仿宋" w:hint="eastAsia"/>
                            <w:sz w:val="21"/>
                          </w:rPr>
                        </w:pPr>
                        <w:r>
                          <w:rPr>
                            <w:rFonts w:ascii="仿宋" w:eastAsia="仿宋" w:hint="eastAsia"/>
                            <w:sz w:val="21"/>
                          </w:rPr>
                          <w:t>4.1 保险费的支付</w:t>
                        </w:r>
                      </w:p>
                    </w:tc>
                    <w:tc>
                      <w:tcPr>
                        <w:tcW w:w="3234" w:type="dxa"/>
                      </w:tcPr>
                      <w:p>
                        <w:pPr>
                          <w:pStyle w:val="TableParagraph"/>
                          <w:spacing w:line="228" w:lineRule="exact"/>
                          <w:ind w:left="360"/>
                          <w:rPr>
                            <w:rFonts w:ascii="仿宋" w:eastAsia="仿宋" w:hint="eastAsia"/>
                            <w:sz w:val="21"/>
                          </w:rPr>
                        </w:pPr>
                        <w:r>
                          <w:rPr>
                            <w:rFonts w:ascii="仿宋" w:eastAsia="仿宋" w:hint="eastAsia"/>
                            <w:sz w:val="21"/>
                          </w:rPr>
                          <w:t>10.1 保单年度</w:t>
                        </w:r>
                      </w:p>
                    </w:tc>
                    <w:tc>
                      <w:tcPr>
                        <w:tcW w:w="727" w:type="dxa"/>
                      </w:tcPr>
                      <w:p>
                        <w:pPr>
                          <w:pStyle w:val="TableParagraph"/>
                          <w:spacing w:line="228" w:lineRule="exact"/>
                          <w:ind w:left="152"/>
                          <w:rPr>
                            <w:rFonts w:ascii="仿宋"/>
                            <w:sz w:val="21"/>
                          </w:rPr>
                        </w:pPr>
                        <w:r>
                          <w:rPr>
                            <w:rFonts w:ascii="仿宋"/>
                            <w:sz w:val="21"/>
                          </w:rPr>
                          <w:t>10.22</w:t>
                        </w:r>
                      </w:p>
                    </w:tc>
                    <w:tc>
                      <w:tcPr>
                        <w:tcW w:w="3272" w:type="dxa"/>
                        <w:tcBorders>
                          <w:right w:val="single" w:sz="4" w:space="0" w:color="000000"/>
                        </w:tcBorders>
                      </w:tcPr>
                      <w:p>
                        <w:pPr>
                          <w:pStyle w:val="TableParagraph"/>
                          <w:spacing w:line="228" w:lineRule="exact"/>
                          <w:ind w:left="56"/>
                          <w:rPr>
                            <w:rFonts w:ascii="仿宋" w:eastAsia="仿宋" w:hint="eastAsia"/>
                            <w:sz w:val="21"/>
                          </w:rPr>
                        </w:pPr>
                        <w:r>
                          <w:rPr>
                            <w:rFonts w:ascii="仿宋" w:eastAsia="仿宋" w:hint="eastAsia"/>
                            <w:sz w:val="21"/>
                          </w:rPr>
                          <w:t>永久不可逆</w:t>
                        </w:r>
                      </w:p>
                    </w:tc>
                  </w:tr>
                  <w:tr>
                    <w:trPr>
                      <w:trHeight w:val="280" w:hRule="atLeast"/>
                    </w:trPr>
                    <w:tc>
                      <w:tcPr>
                        <w:tcW w:w="2359"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4.2 宽限期</w:t>
                        </w:r>
                      </w:p>
                    </w:tc>
                    <w:tc>
                      <w:tcPr>
                        <w:tcW w:w="3234" w:type="dxa"/>
                      </w:tcPr>
                      <w:p>
                        <w:pPr>
                          <w:pStyle w:val="TableParagraph"/>
                          <w:spacing w:line="246" w:lineRule="exact"/>
                          <w:ind w:left="357"/>
                          <w:rPr>
                            <w:rFonts w:ascii="仿宋" w:eastAsia="仿宋" w:hint="eastAsia"/>
                            <w:sz w:val="21"/>
                          </w:rPr>
                        </w:pPr>
                        <w:r>
                          <w:rPr>
                            <w:rFonts w:ascii="仿宋" w:eastAsia="仿宋" w:hint="eastAsia"/>
                            <w:sz w:val="21"/>
                          </w:rPr>
                          <w:t>10.2 保险费约定支付日</w:t>
                        </w:r>
                      </w:p>
                    </w:tc>
                    <w:tc>
                      <w:tcPr>
                        <w:tcW w:w="727" w:type="dxa"/>
                      </w:tcPr>
                      <w:p>
                        <w:pPr>
                          <w:pStyle w:val="TableParagraph"/>
                          <w:rPr>
                            <w:rFonts w:ascii="Times New Roman"/>
                            <w:sz w:val="20"/>
                          </w:rPr>
                        </w:pPr>
                      </w:p>
                    </w:tc>
                    <w:tc>
                      <w:tcPr>
                        <w:tcW w:w="3272" w:type="dxa"/>
                        <w:tcBorders>
                          <w:right w:val="single" w:sz="4" w:space="0" w:color="000000"/>
                        </w:tcBorders>
                      </w:tcPr>
                      <w:p>
                        <w:pPr>
                          <w:pStyle w:val="TableParagraph"/>
                          <w:rPr>
                            <w:rFonts w:ascii="Times New Roman"/>
                            <w:sz w:val="20"/>
                          </w:rPr>
                        </w:pPr>
                      </w:p>
                    </w:tc>
                  </w:tr>
                  <w:tr>
                    <w:trPr>
                      <w:trHeight w:val="592" w:hRule="atLeast"/>
                    </w:trPr>
                    <w:tc>
                      <w:tcPr>
                        <w:tcW w:w="2359" w:type="dxa"/>
                        <w:tcBorders>
                          <w:left w:val="single" w:sz="4" w:space="0" w:color="000000"/>
                          <w:bottom w:val="single" w:sz="4" w:space="0" w:color="000000"/>
                        </w:tcBorders>
                      </w:tcPr>
                      <w:p>
                        <w:pPr>
                          <w:pStyle w:val="TableParagraph"/>
                          <w:spacing w:line="260" w:lineRule="exact"/>
                          <w:ind w:left="105"/>
                          <w:rPr>
                            <w:rFonts w:ascii="Microsoft JhengHei" w:eastAsia="Microsoft JhengHei" w:hint="eastAsia"/>
                            <w:b/>
                            <w:sz w:val="21"/>
                          </w:rPr>
                        </w:pPr>
                        <w:r>
                          <w:rPr>
                            <w:rFonts w:ascii="等线" w:eastAsia="等线" w:hint="eastAsia"/>
                            <w:b/>
                            <w:sz w:val="21"/>
                          </w:rPr>
                          <w:t>5.</w:t>
                        </w:r>
                        <w:r>
                          <w:rPr>
                            <w:rFonts w:ascii="Microsoft JhengHei" w:eastAsia="Microsoft JhengHei" w:hint="eastAsia"/>
                            <w:b/>
                            <w:sz w:val="21"/>
                          </w:rPr>
                          <w:t>现金价值权益</w:t>
                        </w:r>
                      </w:p>
                      <w:p>
                        <w:pPr>
                          <w:pStyle w:val="TableParagraph"/>
                          <w:spacing w:line="265" w:lineRule="exact"/>
                          <w:ind w:left="316"/>
                          <w:rPr>
                            <w:rFonts w:ascii="仿宋" w:eastAsia="仿宋" w:hint="eastAsia"/>
                            <w:sz w:val="21"/>
                          </w:rPr>
                        </w:pPr>
                        <w:r>
                          <w:rPr>
                            <w:rFonts w:ascii="仿宋" w:eastAsia="仿宋" w:hint="eastAsia"/>
                            <w:sz w:val="21"/>
                          </w:rPr>
                          <w:t>5.1 现金价值</w:t>
                        </w:r>
                      </w:p>
                    </w:tc>
                    <w:tc>
                      <w:tcPr>
                        <w:tcW w:w="3234" w:type="dxa"/>
                        <w:tcBorders>
                          <w:bottom w:val="single" w:sz="4" w:space="0" w:color="000000"/>
                        </w:tcBorders>
                      </w:tcPr>
                      <w:p>
                        <w:pPr>
                          <w:pStyle w:val="TableParagraph"/>
                          <w:numPr>
                            <w:ilvl w:val="1"/>
                            <w:numId w:val="3"/>
                          </w:numPr>
                          <w:tabs>
                            <w:tab w:pos="884" w:val="left" w:leader="none"/>
                          </w:tabs>
                          <w:spacing w:line="246" w:lineRule="exact" w:before="0" w:after="0"/>
                          <w:ind w:left="883" w:right="0" w:hanging="526"/>
                          <w:jc w:val="left"/>
                          <w:rPr>
                            <w:rFonts w:ascii="仿宋" w:eastAsia="仿宋" w:hint="eastAsia"/>
                            <w:sz w:val="21"/>
                          </w:rPr>
                        </w:pPr>
                        <w:r>
                          <w:rPr>
                            <w:rFonts w:ascii="仿宋" w:eastAsia="仿宋" w:hint="eastAsia"/>
                            <w:sz w:val="21"/>
                          </w:rPr>
                          <w:t>周岁</w:t>
                        </w:r>
                      </w:p>
                      <w:p>
                        <w:pPr>
                          <w:pStyle w:val="TableParagraph"/>
                          <w:numPr>
                            <w:ilvl w:val="1"/>
                            <w:numId w:val="3"/>
                          </w:numPr>
                          <w:tabs>
                            <w:tab w:pos="884" w:val="left" w:leader="none"/>
                          </w:tabs>
                          <w:spacing w:line="240" w:lineRule="auto" w:before="3" w:after="0"/>
                          <w:ind w:left="883" w:right="0" w:hanging="526"/>
                          <w:jc w:val="left"/>
                          <w:rPr>
                            <w:rFonts w:ascii="仿宋" w:eastAsia="仿宋" w:hint="eastAsia"/>
                            <w:sz w:val="21"/>
                          </w:rPr>
                        </w:pPr>
                        <w:r>
                          <w:rPr>
                            <w:rFonts w:ascii="仿宋" w:eastAsia="仿宋" w:hint="eastAsia"/>
                            <w:spacing w:val="-3"/>
                            <w:sz w:val="21"/>
                          </w:rPr>
                          <w:t>有效身份证件</w:t>
                        </w:r>
                      </w:p>
                    </w:tc>
                    <w:tc>
                      <w:tcPr>
                        <w:tcW w:w="727" w:type="dxa"/>
                        <w:tcBorders>
                          <w:bottom w:val="single" w:sz="4" w:space="0" w:color="000000"/>
                        </w:tcBorders>
                      </w:tcPr>
                      <w:p>
                        <w:pPr>
                          <w:pStyle w:val="TableParagraph"/>
                          <w:rPr>
                            <w:rFonts w:ascii="Times New Roman"/>
                            <w:sz w:val="20"/>
                          </w:rPr>
                        </w:pPr>
                      </w:p>
                    </w:tc>
                    <w:tc>
                      <w:tcPr>
                        <w:tcW w:w="3272" w:type="dxa"/>
                        <w:tcBorders>
                          <w:bottom w:val="single" w:sz="4" w:space="0" w:color="000000"/>
                          <w:right w:val="single" w:sz="4" w:space="0" w:color="000000"/>
                        </w:tcBorders>
                      </w:tcPr>
                      <w:p>
                        <w:pPr>
                          <w:pStyle w:val="TableParagraph"/>
                          <w:rPr>
                            <w:rFonts w:ascii="Times New Roman"/>
                            <w:sz w:val="20"/>
                          </w:rPr>
                        </w:pPr>
                      </w:p>
                    </w:tc>
                  </w:tr>
                </w:tbl>
                <w:p>
                  <w:pPr>
                    <w:pStyle w:val="BodyText"/>
                    <w:spacing w:line="240" w:lineRule="auto"/>
                    <w:ind w:left="0"/>
                  </w:pPr>
                </w:p>
              </w:txbxContent>
            </v:textbox>
            <w10:wrap type="none"/>
          </v:shape>
        </w:pict>
      </w:r>
      <w:r>
        <w:rPr>
          <w:rFonts w:ascii="Times New Roman" w:eastAsia="Times New Roman"/>
          <w:b/>
          <w:position w:val="-11"/>
          <w:sz w:val="52"/>
        </w:rPr>
        <w:t>C</w:t>
        <w:tab/>
      </w:r>
      <w:r>
        <w:rPr>
          <w:rFonts w:ascii="Microsoft JhengHei" w:eastAsia="Microsoft JhengHei" w:hint="eastAsia"/>
          <w:b/>
          <w:spacing w:val="-1"/>
          <w:sz w:val="21"/>
        </w:rPr>
        <w:t>条款目录</w:t>
      </w:r>
      <w:r>
        <w:rPr>
          <w:sz w:val="21"/>
        </w:rPr>
        <w:t> </w:t>
      </w:r>
    </w:p>
    <w:p>
      <w:pPr>
        <w:spacing w:after="0" w:line="499" w:lineRule="exact"/>
        <w:jc w:val="left"/>
        <w:rPr>
          <w:sz w:val="21"/>
        </w:rPr>
        <w:sectPr>
          <w:footerReference w:type="default" r:id="rId5"/>
          <w:type w:val="continuous"/>
          <w:pgSz w:w="11900" w:h="16840"/>
          <w:pgMar w:footer="924" w:top="360" w:bottom="1120" w:left="740" w:right="740"/>
        </w:sectPr>
      </w:pPr>
    </w:p>
    <w:p>
      <w:pPr>
        <w:pStyle w:val="Heading1"/>
        <w:spacing w:line="485" w:lineRule="exact"/>
        <w:ind w:left="2512" w:right="0"/>
        <w:jc w:val="left"/>
      </w:pPr>
      <w:r>
        <w:rPr/>
        <w:t>农银鸿康重大疾病保险（</w:t>
      </w:r>
      <w:r>
        <w:rPr>
          <w:rFonts w:ascii="等线" w:eastAsia="等线" w:hint="eastAsia"/>
        </w:rPr>
        <w:t>2013 </w:t>
      </w:r>
      <w:r>
        <w:rPr/>
        <w:t>）条款</w:t>
      </w:r>
    </w:p>
    <w:p>
      <w:pPr>
        <w:pStyle w:val="BodyText"/>
        <w:spacing w:line="240" w:lineRule="auto" w:before="11"/>
        <w:ind w:left="0"/>
        <w:rPr>
          <w:rFonts w:ascii="微软雅黑"/>
          <w:b/>
          <w:sz w:val="15"/>
        </w:rPr>
      </w:pPr>
    </w:p>
    <w:p>
      <w:pPr>
        <w:pStyle w:val="BodyText"/>
        <w:spacing w:line="273" w:lineRule="auto" w:before="37"/>
        <w:ind w:left="280" w:right="266" w:firstLine="420"/>
      </w:pPr>
      <w:r>
        <w:rPr>
          <w:spacing w:val="-8"/>
          <w:w w:val="100"/>
        </w:rPr>
        <w:t>在本条款中，“您”指投保人，“我们”指农银人寿保险股份有限公司，“本主险合同”指您与我们之</w:t>
      </w:r>
      <w:r>
        <w:rPr>
          <w:spacing w:val="-3"/>
        </w:rPr>
        <w:t>间订立的“农银鸿康重大疾病保险</w:t>
      </w:r>
      <w:r>
        <w:rPr/>
        <w:t>（2013）</w:t>
      </w:r>
      <w:r>
        <w:rPr>
          <w:spacing w:val="-3"/>
        </w:rPr>
        <w:t>合同”。 </w:t>
      </w:r>
    </w:p>
    <w:p>
      <w:pPr>
        <w:pStyle w:val="BodyText"/>
        <w:spacing w:line="185" w:lineRule="exact"/>
        <w:ind w:left="280"/>
      </w:pPr>
      <w:r>
        <w:rPr>
          <w:w w:val="100"/>
        </w:rPr>
        <w:t> </w:t>
      </w:r>
    </w:p>
    <w:p>
      <w:pPr>
        <w:tabs>
          <w:tab w:pos="975" w:val="left" w:leader="none"/>
        </w:tabs>
        <w:spacing w:line="421" w:lineRule="exact" w:before="0"/>
        <w:ind w:left="223" w:right="0" w:firstLine="0"/>
        <w:jc w:val="left"/>
        <w:rPr>
          <w:rFonts w:ascii="Microsoft JhengHei" w:eastAsia="Microsoft JhengHei" w:hint="eastAsia"/>
          <w:b/>
          <w:sz w:val="24"/>
        </w:rPr>
      </w:pPr>
      <w:r>
        <w:rPr>
          <w:rFonts w:ascii="Times New Roman" w:eastAsia="Times New Roman"/>
          <w:b/>
          <w:position w:val="-3"/>
          <w:sz w:val="40"/>
        </w:rPr>
        <w:t>u</w:t>
        <w:tab/>
      </w:r>
      <w:r>
        <w:rPr>
          <w:rFonts w:ascii="Microsoft JhengHei" w:eastAsia="Microsoft JhengHei" w:hint="eastAsia"/>
          <w:b/>
          <w:sz w:val="24"/>
        </w:rPr>
        <w:t>您与我们订立的合同</w:t>
      </w:r>
    </w:p>
    <w:p>
      <w:pPr>
        <w:pStyle w:val="BodyText"/>
        <w:tabs>
          <w:tab w:pos="975" w:val="left" w:leader="none"/>
          <w:tab w:pos="2934" w:val="left" w:leader="none"/>
        </w:tabs>
        <w:spacing w:line="192" w:lineRule="exact"/>
        <w:ind w:left="220"/>
      </w:pPr>
      <w:r>
        <w:rPr/>
        <w:pict>
          <v:group style="position:absolute;margin-left:45.599998pt;margin-top:1.768749pt;width:504.15pt;height:.5pt;mso-position-horizontal-relative:page;mso-position-vertical-relative:paragraph;z-index:-74008" coordorigin="912,35" coordsize="10083,10">
            <v:line style="position:absolute" from="912,40" to="1668,40" stroked="true" strokeweight=".48pt" strokecolor="#000000">
              <v:stroke dashstyle="solid"/>
            </v:line>
            <v:rect style="position:absolute;left:1668;top:35;width:10;height:10" filled="true" fillcolor="#000000" stroked="false">
              <v:fill type="solid"/>
            </v:rect>
            <v:line style="position:absolute" from="1678,40" to="3626,40" stroked="true" strokeweight=".48pt" strokecolor="#000000">
              <v:stroke dashstyle="solid"/>
            </v:line>
            <v:rect style="position:absolute;left:3626;top:35;width:10;height:10" filled="true" fillcolor="#000000" stroked="false">
              <v:fill type="solid"/>
            </v:rect>
            <v:line style="position:absolute" from="3636,40" to="10994,40" stroked="true" strokeweight=".48pt" strokecolor="#000000">
              <v:stroke dashstyle="solid"/>
            </v:line>
            <w10:wrap type="none"/>
          </v:group>
        </w:pict>
      </w:r>
      <w:r>
        <w:rPr>
          <w:w w:val="100"/>
        </w:rPr>
        <w:t> </w:t>
      </w:r>
      <w:r>
        <w:rPr/>
        <w:tab/>
      </w:r>
      <w:r>
        <w:rPr>
          <w:w w:val="100"/>
        </w:rPr>
        <w:t> </w:t>
      </w:r>
      <w:r>
        <w:rPr/>
        <w:tab/>
      </w:r>
      <w:r>
        <w:rPr>
          <w:w w:val="100"/>
        </w:rPr>
        <w:t> </w:t>
      </w:r>
    </w:p>
    <w:p>
      <w:pPr>
        <w:pStyle w:val="ListParagraph"/>
        <w:numPr>
          <w:ilvl w:val="1"/>
          <w:numId w:val="4"/>
        </w:numPr>
        <w:tabs>
          <w:tab w:pos="975" w:val="left" w:leader="none"/>
          <w:tab w:pos="976" w:val="left" w:leader="none"/>
          <w:tab w:pos="2934" w:val="left" w:leader="none"/>
        </w:tabs>
        <w:spacing w:line="306" w:lineRule="exact" w:before="0" w:after="0"/>
        <w:ind w:left="2934" w:right="0" w:hanging="2714"/>
        <w:jc w:val="left"/>
        <w:rPr>
          <w:sz w:val="21"/>
        </w:rPr>
      </w:pPr>
      <w:r>
        <w:rPr>
          <w:rFonts w:ascii="Microsoft JhengHei" w:eastAsia="Microsoft JhengHei" w:hint="eastAsia"/>
          <w:b/>
          <w:sz w:val="21"/>
        </w:rPr>
        <w:t>1</w:t>
        <w:tab/>
        <w:t>合同构成</w:t>
        <w:tab/>
      </w:r>
      <w:r>
        <w:rPr>
          <w:sz w:val="21"/>
        </w:rPr>
        <w:t>本主</w:t>
      </w:r>
      <w:r>
        <w:rPr>
          <w:spacing w:val="-3"/>
          <w:sz w:val="21"/>
        </w:rPr>
        <w:t>险</w:t>
      </w:r>
      <w:r>
        <w:rPr>
          <w:sz w:val="21"/>
        </w:rPr>
        <w:t>合</w:t>
      </w:r>
      <w:r>
        <w:rPr>
          <w:spacing w:val="-3"/>
          <w:sz w:val="21"/>
        </w:rPr>
        <w:t>同</w:t>
      </w:r>
      <w:r>
        <w:rPr>
          <w:sz w:val="21"/>
        </w:rPr>
        <w:t>是</w:t>
      </w:r>
      <w:r>
        <w:rPr>
          <w:spacing w:val="-3"/>
          <w:sz w:val="21"/>
        </w:rPr>
        <w:t>您</w:t>
      </w:r>
      <w:r>
        <w:rPr>
          <w:sz w:val="21"/>
        </w:rPr>
        <w:t>与</w:t>
      </w:r>
      <w:r>
        <w:rPr>
          <w:spacing w:val="-3"/>
          <w:sz w:val="21"/>
        </w:rPr>
        <w:t>我</w:t>
      </w:r>
      <w:r>
        <w:rPr>
          <w:sz w:val="21"/>
        </w:rPr>
        <w:t>们</w:t>
      </w:r>
      <w:r>
        <w:rPr>
          <w:spacing w:val="-3"/>
          <w:sz w:val="21"/>
        </w:rPr>
        <w:t>约</w:t>
      </w:r>
      <w:r>
        <w:rPr>
          <w:sz w:val="21"/>
        </w:rPr>
        <w:t>定保</w:t>
      </w:r>
      <w:r>
        <w:rPr>
          <w:spacing w:val="-3"/>
          <w:sz w:val="21"/>
        </w:rPr>
        <w:t>险</w:t>
      </w:r>
      <w:r>
        <w:rPr>
          <w:sz w:val="21"/>
        </w:rPr>
        <w:t>权</w:t>
      </w:r>
      <w:r>
        <w:rPr>
          <w:spacing w:val="-3"/>
          <w:sz w:val="21"/>
        </w:rPr>
        <w:t>利</w:t>
      </w:r>
      <w:r>
        <w:rPr>
          <w:sz w:val="21"/>
        </w:rPr>
        <w:t>义</w:t>
      </w:r>
      <w:r>
        <w:rPr>
          <w:spacing w:val="-3"/>
          <w:sz w:val="21"/>
        </w:rPr>
        <w:t>务</w:t>
      </w:r>
      <w:r>
        <w:rPr>
          <w:sz w:val="21"/>
        </w:rPr>
        <w:t>关</w:t>
      </w:r>
      <w:r>
        <w:rPr>
          <w:spacing w:val="-3"/>
          <w:sz w:val="21"/>
        </w:rPr>
        <w:t>系</w:t>
      </w:r>
      <w:r>
        <w:rPr>
          <w:sz w:val="21"/>
        </w:rPr>
        <w:t>的</w:t>
      </w:r>
      <w:r>
        <w:rPr>
          <w:spacing w:val="-3"/>
          <w:sz w:val="21"/>
        </w:rPr>
        <w:t>协</w:t>
      </w:r>
      <w:r>
        <w:rPr>
          <w:sz w:val="21"/>
        </w:rPr>
        <w:t>议，</w:t>
      </w:r>
      <w:r>
        <w:rPr>
          <w:spacing w:val="-3"/>
          <w:sz w:val="21"/>
        </w:rPr>
        <w:t>包</w:t>
      </w:r>
      <w:r>
        <w:rPr>
          <w:sz w:val="21"/>
        </w:rPr>
        <w:t>括</w:t>
      </w:r>
      <w:r>
        <w:rPr>
          <w:spacing w:val="-3"/>
          <w:sz w:val="21"/>
        </w:rPr>
        <w:t>本</w:t>
      </w:r>
      <w:r>
        <w:rPr>
          <w:sz w:val="21"/>
        </w:rPr>
        <w:t>保</w:t>
      </w:r>
      <w:r>
        <w:rPr>
          <w:spacing w:val="-3"/>
          <w:sz w:val="21"/>
        </w:rPr>
        <w:t>险</w:t>
      </w:r>
      <w:r>
        <w:rPr>
          <w:sz w:val="21"/>
        </w:rPr>
        <w:t>条</w:t>
      </w:r>
      <w:r>
        <w:rPr>
          <w:spacing w:val="-3"/>
          <w:sz w:val="21"/>
        </w:rPr>
        <w:t>款 </w:t>
      </w:r>
      <w:r>
        <w:rPr>
          <w:sz w:val="21"/>
        </w:rPr>
        <w:t>、</w:t>
      </w:r>
      <w:r>
        <w:rPr>
          <w:spacing w:val="-3"/>
          <w:sz w:val="21"/>
        </w:rPr>
        <w:t>保险</w:t>
      </w:r>
    </w:p>
    <w:p>
      <w:pPr>
        <w:pStyle w:val="BodyText"/>
        <w:spacing w:line="274" w:lineRule="exact" w:before="12"/>
        <w:ind w:left="2934" w:right="101"/>
      </w:pPr>
      <w:r>
        <w:rPr>
          <w:spacing w:val="-10"/>
        </w:rPr>
        <w:t>单或其他保险凭证、投保单、与本主险合同有关的投保文件、合法有效的声明、</w:t>
      </w:r>
      <w:r>
        <w:rPr>
          <w:spacing w:val="-5"/>
        </w:rPr>
        <w:t>批注、批单及其他您与我们共同认可的书面协议。</w:t>
      </w:r>
      <w:r>
        <w:rPr/>
        <w:t> </w:t>
      </w:r>
    </w:p>
    <w:p>
      <w:pPr>
        <w:pStyle w:val="BodyText"/>
        <w:tabs>
          <w:tab w:pos="975" w:val="left" w:leader="none"/>
          <w:tab w:pos="2934" w:val="left" w:leader="none"/>
        </w:tabs>
        <w:spacing w:line="151" w:lineRule="exact"/>
        <w:ind w:left="220"/>
      </w:pPr>
      <w:r>
        <w:rPr>
          <w:w w:val="100"/>
        </w:rPr>
        <w:t> </w:t>
      </w:r>
      <w:r>
        <w:rPr/>
        <w:tab/>
      </w:r>
      <w:r>
        <w:rPr>
          <w:w w:val="100"/>
        </w:rPr>
        <w:t> </w:t>
      </w:r>
      <w:r>
        <w:rPr/>
        <w:tab/>
      </w:r>
      <w:r>
        <w:rPr>
          <w:w w:val="100"/>
        </w:rPr>
        <w:t> </w:t>
      </w:r>
    </w:p>
    <w:p>
      <w:pPr>
        <w:pStyle w:val="ListParagraph"/>
        <w:numPr>
          <w:ilvl w:val="1"/>
          <w:numId w:val="4"/>
        </w:numPr>
        <w:tabs>
          <w:tab w:pos="975" w:val="left" w:leader="none"/>
          <w:tab w:pos="976" w:val="left" w:leader="none"/>
          <w:tab w:pos="2934" w:val="left" w:leader="none"/>
        </w:tabs>
        <w:spacing w:line="218" w:lineRule="auto" w:before="0" w:after="0"/>
        <w:ind w:left="2934" w:right="221" w:hanging="2714"/>
        <w:jc w:val="left"/>
        <w:rPr>
          <w:sz w:val="21"/>
        </w:rPr>
      </w:pPr>
      <w:r>
        <w:rPr>
          <w:rFonts w:ascii="Microsoft JhengHei" w:eastAsia="Microsoft JhengHei" w:hint="eastAsia"/>
          <w:b/>
          <w:sz w:val="21"/>
        </w:rPr>
        <w:t>2</w:t>
        <w:tab/>
        <w:t>合同成立与生效</w:t>
        <w:tab/>
      </w:r>
      <w:r>
        <w:rPr>
          <w:sz w:val="21"/>
        </w:rPr>
        <w:t>您提</w:t>
      </w:r>
      <w:r>
        <w:rPr>
          <w:spacing w:val="-3"/>
          <w:sz w:val="21"/>
        </w:rPr>
        <w:t>出</w:t>
      </w:r>
      <w:r>
        <w:rPr>
          <w:sz w:val="21"/>
        </w:rPr>
        <w:t>保</w:t>
      </w:r>
      <w:r>
        <w:rPr>
          <w:spacing w:val="-3"/>
          <w:sz w:val="21"/>
        </w:rPr>
        <w:t>险</w:t>
      </w:r>
      <w:r>
        <w:rPr>
          <w:sz w:val="21"/>
        </w:rPr>
        <w:t>申</w:t>
      </w:r>
      <w:r>
        <w:rPr>
          <w:spacing w:val="-3"/>
          <w:sz w:val="21"/>
        </w:rPr>
        <w:t>请</w:t>
      </w:r>
      <w:r>
        <w:rPr>
          <w:sz w:val="21"/>
        </w:rPr>
        <w:t>、</w:t>
      </w:r>
      <w:r>
        <w:rPr>
          <w:spacing w:val="-3"/>
          <w:sz w:val="21"/>
        </w:rPr>
        <w:t>我</w:t>
      </w:r>
      <w:r>
        <w:rPr>
          <w:sz w:val="21"/>
        </w:rPr>
        <w:t>们</w:t>
      </w:r>
      <w:r>
        <w:rPr>
          <w:spacing w:val="-3"/>
          <w:sz w:val="21"/>
        </w:rPr>
        <w:t>同</w:t>
      </w:r>
      <w:r>
        <w:rPr>
          <w:sz w:val="21"/>
        </w:rPr>
        <w:t>意承</w:t>
      </w:r>
      <w:r>
        <w:rPr>
          <w:spacing w:val="-3"/>
          <w:sz w:val="21"/>
        </w:rPr>
        <w:t>保</w:t>
      </w:r>
      <w:r>
        <w:rPr>
          <w:sz w:val="21"/>
        </w:rPr>
        <w:t>，</w:t>
      </w:r>
      <w:r>
        <w:rPr>
          <w:spacing w:val="-3"/>
          <w:sz w:val="21"/>
        </w:rPr>
        <w:t>本</w:t>
      </w:r>
      <w:r>
        <w:rPr>
          <w:sz w:val="21"/>
        </w:rPr>
        <w:t>主</w:t>
      </w:r>
      <w:r>
        <w:rPr>
          <w:spacing w:val="-3"/>
          <w:sz w:val="21"/>
        </w:rPr>
        <w:t>险</w:t>
      </w:r>
      <w:r>
        <w:rPr>
          <w:sz w:val="21"/>
        </w:rPr>
        <w:t>合</w:t>
      </w:r>
      <w:r>
        <w:rPr>
          <w:spacing w:val="-3"/>
          <w:sz w:val="21"/>
        </w:rPr>
        <w:t>同</w:t>
      </w:r>
      <w:r>
        <w:rPr>
          <w:sz w:val="21"/>
        </w:rPr>
        <w:t>成</w:t>
      </w:r>
      <w:r>
        <w:rPr>
          <w:spacing w:val="-3"/>
          <w:sz w:val="21"/>
        </w:rPr>
        <w:t>立</w:t>
      </w:r>
      <w:r>
        <w:rPr>
          <w:sz w:val="21"/>
        </w:rPr>
        <w:t>，本</w:t>
      </w:r>
      <w:r>
        <w:rPr>
          <w:spacing w:val="-3"/>
          <w:sz w:val="21"/>
        </w:rPr>
        <w:t>主</w:t>
      </w:r>
      <w:r>
        <w:rPr>
          <w:sz w:val="21"/>
        </w:rPr>
        <w:t>险</w:t>
      </w:r>
      <w:r>
        <w:rPr>
          <w:spacing w:val="-3"/>
          <w:sz w:val="21"/>
        </w:rPr>
        <w:t>合 </w:t>
      </w:r>
      <w:r>
        <w:rPr>
          <w:sz w:val="21"/>
        </w:rPr>
        <w:t>同</w:t>
      </w:r>
      <w:r>
        <w:rPr>
          <w:spacing w:val="-3"/>
          <w:sz w:val="21"/>
        </w:rPr>
        <w:t>的</w:t>
      </w:r>
      <w:r>
        <w:rPr>
          <w:sz w:val="21"/>
        </w:rPr>
        <w:t>成</w:t>
      </w:r>
      <w:r>
        <w:rPr>
          <w:spacing w:val="-3"/>
          <w:sz w:val="21"/>
        </w:rPr>
        <w:t>立</w:t>
      </w:r>
      <w:r>
        <w:rPr>
          <w:sz w:val="21"/>
        </w:rPr>
        <w:t>日</w:t>
      </w:r>
      <w:r>
        <w:rPr>
          <w:spacing w:val="-3"/>
          <w:sz w:val="21"/>
        </w:rPr>
        <w:t>以保</w:t>
      </w:r>
      <w:r>
        <w:rPr>
          <w:sz w:val="21"/>
        </w:rPr>
        <w:t>险单</w:t>
      </w:r>
      <w:r>
        <w:rPr>
          <w:spacing w:val="-3"/>
          <w:sz w:val="21"/>
        </w:rPr>
        <w:t>上</w:t>
      </w:r>
      <w:r>
        <w:rPr>
          <w:sz w:val="21"/>
        </w:rPr>
        <w:t>载</w:t>
      </w:r>
      <w:r>
        <w:rPr>
          <w:spacing w:val="-3"/>
          <w:sz w:val="21"/>
        </w:rPr>
        <w:t>明</w:t>
      </w:r>
      <w:r>
        <w:rPr>
          <w:sz w:val="21"/>
        </w:rPr>
        <w:t>的</w:t>
      </w:r>
      <w:r>
        <w:rPr>
          <w:spacing w:val="-3"/>
          <w:sz w:val="21"/>
        </w:rPr>
        <w:t>为</w:t>
      </w:r>
      <w:r>
        <w:rPr>
          <w:sz w:val="21"/>
        </w:rPr>
        <w:t>准。</w:t>
      </w:r>
    </w:p>
    <w:p>
      <w:pPr>
        <w:pStyle w:val="BodyText"/>
        <w:spacing w:line="237" w:lineRule="auto" w:before="13"/>
        <w:ind w:left="2934" w:right="221"/>
      </w:pPr>
      <w:r>
        <w:rPr/>
        <w:t>自本主险合同成立、我们收取首期保险费并签发保险单的次日零时起本主险合同生效，本主险合同的生效日以保险单上载明的为准。</w:t>
      </w:r>
    </w:p>
    <w:p>
      <w:pPr>
        <w:pStyle w:val="BodyText"/>
        <w:spacing w:line="189" w:lineRule="auto" w:before="56"/>
        <w:ind w:left="2934" w:right="103"/>
      </w:pPr>
      <w:r>
        <w:rPr>
          <w:spacing w:val="-3"/>
        </w:rPr>
        <w:t>除本主险合同另有约定外，我们自生效日零时起开始承担本主险合同约定的保</w:t>
      </w:r>
      <w:r>
        <w:rPr>
          <w:spacing w:val="-7"/>
          <w:w w:val="100"/>
        </w:rPr>
        <w:t>险责任。</w:t>
      </w:r>
      <w:r>
        <w:rPr>
          <w:rFonts w:ascii="Microsoft JhengHei" w:eastAsia="Microsoft JhengHei" w:hint="eastAsia"/>
          <w:b/>
          <w:spacing w:val="-5"/>
          <w:w w:val="100"/>
        </w:rPr>
        <w:t>保单年度</w:t>
      </w:r>
      <w:r>
        <w:rPr>
          <w:spacing w:val="-3"/>
          <w:w w:val="100"/>
        </w:rPr>
        <w:t>（</w:t>
      </w:r>
      <w:r>
        <w:rPr>
          <w:w w:val="100"/>
        </w:rPr>
        <w:t>见</w:t>
      </w:r>
      <w:r>
        <w:rPr>
          <w:spacing w:val="-53"/>
        </w:rPr>
        <w:t> </w:t>
      </w:r>
      <w:r>
        <w:rPr>
          <w:w w:val="100"/>
        </w:rPr>
        <w:t>1</w:t>
      </w:r>
      <w:r>
        <w:rPr>
          <w:spacing w:val="-3"/>
          <w:w w:val="100"/>
        </w:rPr>
        <w:t>0.</w:t>
      </w:r>
      <w:r>
        <w:rPr>
          <w:w w:val="100"/>
        </w:rPr>
        <w:t>1</w:t>
      </w:r>
      <w:r>
        <w:rPr>
          <w:spacing w:val="-106"/>
          <w:w w:val="100"/>
        </w:rPr>
        <w:t>）</w:t>
      </w:r>
      <w:r>
        <w:rPr>
          <w:spacing w:val="-24"/>
          <w:w w:val="100"/>
        </w:rPr>
        <w:t>、</w:t>
      </w:r>
      <w:r>
        <w:rPr>
          <w:rFonts w:ascii="Microsoft JhengHei" w:eastAsia="Microsoft JhengHei" w:hint="eastAsia"/>
          <w:b/>
          <w:spacing w:val="-3"/>
          <w:w w:val="100"/>
        </w:rPr>
        <w:t>保险费约定支付日</w:t>
      </w:r>
      <w:r>
        <w:rPr>
          <w:spacing w:val="-3"/>
          <w:w w:val="100"/>
        </w:rPr>
        <w:t>（</w:t>
      </w:r>
      <w:r>
        <w:rPr>
          <w:w w:val="100"/>
        </w:rPr>
        <w:t>见</w:t>
      </w:r>
      <w:r>
        <w:rPr>
          <w:spacing w:val="-53"/>
        </w:rPr>
        <w:t> </w:t>
      </w:r>
      <w:r>
        <w:rPr>
          <w:w w:val="100"/>
        </w:rPr>
        <w:t>10</w:t>
      </w:r>
      <w:r>
        <w:rPr>
          <w:spacing w:val="-3"/>
          <w:w w:val="100"/>
        </w:rPr>
        <w:t>.</w:t>
      </w:r>
      <w:r>
        <w:rPr>
          <w:w w:val="100"/>
        </w:rPr>
        <w:t>2</w:t>
      </w:r>
      <w:r>
        <w:rPr>
          <w:spacing w:val="-22"/>
          <w:w w:val="100"/>
        </w:rPr>
        <w:t>）</w:t>
      </w:r>
      <w:r>
        <w:rPr>
          <w:spacing w:val="-3"/>
          <w:w w:val="100"/>
        </w:rPr>
        <w:t>均以该日期计算。</w:t>
      </w:r>
    </w:p>
    <w:p>
      <w:pPr>
        <w:pStyle w:val="BodyText"/>
        <w:tabs>
          <w:tab w:pos="975" w:val="left" w:leader="none"/>
        </w:tabs>
        <w:spacing w:line="152" w:lineRule="exact"/>
        <w:ind w:left="220"/>
      </w:pPr>
      <w:r>
        <w:rPr>
          <w:w w:val="100"/>
        </w:rPr>
        <w:t> </w:t>
      </w:r>
      <w:r>
        <w:rPr/>
        <w:tab/>
      </w:r>
      <w:r>
        <w:rPr>
          <w:w w:val="100"/>
        </w:rPr>
        <w:t> </w:t>
      </w:r>
    </w:p>
    <w:p>
      <w:pPr>
        <w:pStyle w:val="ListParagraph"/>
        <w:numPr>
          <w:ilvl w:val="1"/>
          <w:numId w:val="4"/>
        </w:numPr>
        <w:tabs>
          <w:tab w:pos="975" w:val="left" w:leader="none"/>
          <w:tab w:pos="976" w:val="left" w:leader="none"/>
          <w:tab w:pos="2934" w:val="left" w:leader="none"/>
        </w:tabs>
        <w:spacing w:line="307" w:lineRule="exact" w:before="0" w:after="0"/>
        <w:ind w:left="2934" w:right="0" w:hanging="2714"/>
        <w:jc w:val="left"/>
        <w:rPr>
          <w:sz w:val="21"/>
        </w:rPr>
      </w:pPr>
      <w:r>
        <w:rPr>
          <w:rFonts w:ascii="Microsoft JhengHei" w:eastAsia="Microsoft JhengHei" w:hint="eastAsia"/>
          <w:b/>
          <w:sz w:val="21"/>
        </w:rPr>
        <w:t>3</w:t>
        <w:tab/>
        <w:t>投保年</w:t>
      </w:r>
      <w:r>
        <w:rPr>
          <w:rFonts w:ascii="Microsoft JhengHei" w:eastAsia="Microsoft JhengHei" w:hint="eastAsia"/>
          <w:b/>
          <w:spacing w:val="-3"/>
          <w:sz w:val="21"/>
        </w:rPr>
        <w:t>龄</w:t>
        <w:tab/>
      </w:r>
      <w:r>
        <w:rPr>
          <w:sz w:val="21"/>
        </w:rPr>
        <w:t>指投</w:t>
      </w:r>
      <w:r>
        <w:rPr>
          <w:spacing w:val="-3"/>
          <w:sz w:val="21"/>
        </w:rPr>
        <w:t>保</w:t>
      </w:r>
      <w:r>
        <w:rPr>
          <w:sz w:val="21"/>
        </w:rPr>
        <w:t>时</w:t>
      </w:r>
      <w:r>
        <w:rPr>
          <w:spacing w:val="-3"/>
          <w:sz w:val="21"/>
        </w:rPr>
        <w:t>被</w:t>
      </w:r>
      <w:r>
        <w:rPr>
          <w:sz w:val="21"/>
        </w:rPr>
        <w:t>保</w:t>
      </w:r>
      <w:r>
        <w:rPr>
          <w:spacing w:val="-3"/>
          <w:sz w:val="21"/>
        </w:rPr>
        <w:t>险</w:t>
      </w:r>
      <w:r>
        <w:rPr>
          <w:sz w:val="21"/>
        </w:rPr>
        <w:t>人</w:t>
      </w:r>
      <w:r>
        <w:rPr>
          <w:spacing w:val="-3"/>
          <w:sz w:val="21"/>
        </w:rPr>
        <w:t>的</w:t>
      </w:r>
      <w:r>
        <w:rPr>
          <w:sz w:val="21"/>
        </w:rPr>
        <w:t>年</w:t>
      </w:r>
      <w:r>
        <w:rPr>
          <w:spacing w:val="-3"/>
          <w:sz w:val="21"/>
        </w:rPr>
        <w:t>龄</w:t>
      </w:r>
      <w:r>
        <w:rPr>
          <w:spacing w:val="-10"/>
          <w:sz w:val="21"/>
        </w:rPr>
        <w:t>，</w:t>
      </w:r>
      <w:r>
        <w:rPr>
          <w:spacing w:val="-3"/>
          <w:sz w:val="21"/>
        </w:rPr>
        <w:t>投</w:t>
      </w:r>
      <w:r>
        <w:rPr>
          <w:sz w:val="21"/>
        </w:rPr>
        <w:t>保</w:t>
      </w:r>
      <w:r>
        <w:rPr>
          <w:spacing w:val="-3"/>
          <w:sz w:val="21"/>
        </w:rPr>
        <w:t>年</w:t>
      </w:r>
      <w:r>
        <w:rPr>
          <w:sz w:val="21"/>
        </w:rPr>
        <w:t>龄</w:t>
      </w:r>
      <w:r>
        <w:rPr>
          <w:spacing w:val="-3"/>
          <w:sz w:val="21"/>
        </w:rPr>
        <w:t>以</w:t>
      </w:r>
      <w:r>
        <w:rPr>
          <w:rFonts w:ascii="Microsoft JhengHei" w:eastAsia="Microsoft JhengHei" w:hint="eastAsia"/>
          <w:b/>
          <w:sz w:val="21"/>
        </w:rPr>
        <w:t>周</w:t>
      </w:r>
      <w:r>
        <w:rPr>
          <w:rFonts w:ascii="Microsoft JhengHei" w:eastAsia="Microsoft JhengHei" w:hint="eastAsia"/>
          <w:b/>
          <w:spacing w:val="-10"/>
          <w:sz w:val="21"/>
        </w:rPr>
        <w:t>岁</w:t>
      </w:r>
      <w:r>
        <w:rPr>
          <w:spacing w:val="-3"/>
          <w:sz w:val="21"/>
        </w:rPr>
        <w:t>（</w:t>
      </w:r>
      <w:r>
        <w:rPr>
          <w:sz w:val="21"/>
        </w:rPr>
        <w:t>见</w:t>
      </w:r>
      <w:r>
        <w:rPr>
          <w:spacing w:val="-39"/>
          <w:sz w:val="21"/>
        </w:rPr>
        <w:t> </w:t>
      </w:r>
      <w:r>
        <w:rPr>
          <w:spacing w:val="-4"/>
          <w:sz w:val="21"/>
        </w:rPr>
        <w:t>10.3）</w:t>
      </w:r>
      <w:r>
        <w:rPr>
          <w:sz w:val="21"/>
        </w:rPr>
        <w:t>计</w:t>
      </w:r>
      <w:r>
        <w:rPr>
          <w:spacing w:val="-3"/>
          <w:sz w:val="21"/>
        </w:rPr>
        <w:t>算</w:t>
      </w:r>
      <w:r>
        <w:rPr>
          <w:spacing w:val="-10"/>
          <w:sz w:val="21"/>
        </w:rPr>
        <w:t>，</w:t>
      </w:r>
      <w:r>
        <w:rPr>
          <w:spacing w:val="-3"/>
          <w:sz w:val="21"/>
        </w:rPr>
        <w:t>本</w:t>
      </w:r>
      <w:r>
        <w:rPr>
          <w:sz w:val="21"/>
        </w:rPr>
        <w:t>主</w:t>
      </w:r>
      <w:r>
        <w:rPr>
          <w:spacing w:val="-3"/>
          <w:sz w:val="21"/>
        </w:rPr>
        <w:t>险</w:t>
      </w:r>
      <w:r>
        <w:rPr>
          <w:sz w:val="21"/>
        </w:rPr>
        <w:t>合</w:t>
      </w:r>
      <w:r>
        <w:rPr>
          <w:spacing w:val="-3"/>
          <w:sz w:val="21"/>
        </w:rPr>
        <w:t>同</w:t>
      </w:r>
      <w:r>
        <w:rPr>
          <w:sz w:val="21"/>
        </w:rPr>
        <w:t>接受</w:t>
      </w:r>
    </w:p>
    <w:p>
      <w:pPr>
        <w:pStyle w:val="BodyText"/>
        <w:spacing w:line="261" w:lineRule="exact"/>
        <w:ind w:left="2934"/>
      </w:pPr>
      <w:r>
        <w:rPr/>
        <w:t>的投保年龄为 0 周岁（指出生满 30 日的婴儿）至 60 周岁。 </w:t>
      </w:r>
    </w:p>
    <w:p>
      <w:pPr>
        <w:pStyle w:val="BodyText"/>
        <w:tabs>
          <w:tab w:pos="975" w:val="left" w:leader="none"/>
        </w:tabs>
        <w:spacing w:line="177" w:lineRule="exact"/>
        <w:ind w:left="220"/>
      </w:pPr>
      <w:r>
        <w:rPr>
          <w:w w:val="100"/>
        </w:rPr>
        <w:t> </w:t>
      </w:r>
      <w:r>
        <w:rPr/>
        <w:tab/>
      </w:r>
      <w:r>
        <w:rPr>
          <w:w w:val="100"/>
        </w:rPr>
        <w:t> </w:t>
      </w:r>
    </w:p>
    <w:p>
      <w:pPr>
        <w:pStyle w:val="ListParagraph"/>
        <w:numPr>
          <w:ilvl w:val="1"/>
          <w:numId w:val="4"/>
        </w:numPr>
        <w:tabs>
          <w:tab w:pos="975" w:val="left" w:leader="none"/>
          <w:tab w:pos="976" w:val="left" w:leader="none"/>
          <w:tab w:pos="2934" w:val="left" w:leader="none"/>
        </w:tabs>
        <w:spacing w:line="307" w:lineRule="exact" w:before="0" w:after="0"/>
        <w:ind w:left="2934" w:right="0" w:hanging="2714"/>
        <w:jc w:val="left"/>
        <w:rPr>
          <w:sz w:val="21"/>
        </w:rPr>
      </w:pPr>
      <w:r>
        <w:rPr>
          <w:rFonts w:ascii="Microsoft JhengHei" w:eastAsia="Microsoft JhengHei" w:hint="eastAsia"/>
          <w:b/>
          <w:sz w:val="21"/>
        </w:rPr>
        <w:t>4</w:t>
        <w:tab/>
        <w:t>犹豫期</w:t>
        <w:tab/>
      </w:r>
      <w:r>
        <w:rPr>
          <w:sz w:val="21"/>
        </w:rPr>
        <w:t>自您</w:t>
      </w:r>
      <w:r>
        <w:rPr>
          <w:spacing w:val="-3"/>
          <w:sz w:val="21"/>
        </w:rPr>
        <w:t>签</w:t>
      </w:r>
      <w:r>
        <w:rPr>
          <w:sz w:val="21"/>
        </w:rPr>
        <w:t>收</w:t>
      </w:r>
      <w:r>
        <w:rPr>
          <w:spacing w:val="-3"/>
          <w:sz w:val="21"/>
        </w:rPr>
        <w:t>本</w:t>
      </w:r>
      <w:r>
        <w:rPr>
          <w:sz w:val="21"/>
        </w:rPr>
        <w:t>主</w:t>
      </w:r>
      <w:r>
        <w:rPr>
          <w:spacing w:val="-3"/>
          <w:sz w:val="21"/>
        </w:rPr>
        <w:t>险</w:t>
      </w:r>
      <w:r>
        <w:rPr>
          <w:sz w:val="21"/>
        </w:rPr>
        <w:t>合</w:t>
      </w:r>
      <w:r>
        <w:rPr>
          <w:spacing w:val="-3"/>
          <w:sz w:val="21"/>
        </w:rPr>
        <w:t>同</w:t>
      </w:r>
      <w:r>
        <w:rPr>
          <w:sz w:val="21"/>
        </w:rPr>
        <w:t>之</w:t>
      </w:r>
      <w:r>
        <w:rPr>
          <w:spacing w:val="-3"/>
          <w:sz w:val="21"/>
        </w:rPr>
        <w:t>日</w:t>
      </w:r>
      <w:r>
        <w:rPr>
          <w:sz w:val="21"/>
        </w:rPr>
        <w:t>起</w:t>
      </w:r>
      <w:r>
        <w:rPr>
          <w:spacing w:val="-34"/>
          <w:sz w:val="21"/>
        </w:rPr>
        <w:t>，</w:t>
      </w:r>
      <w:r>
        <w:rPr>
          <w:sz w:val="21"/>
        </w:rPr>
        <w:t>有</w:t>
      </w:r>
      <w:r>
        <w:rPr>
          <w:spacing w:val="-33"/>
          <w:sz w:val="21"/>
        </w:rPr>
        <w:t> </w:t>
      </w:r>
      <w:r>
        <w:rPr>
          <w:sz w:val="21"/>
        </w:rPr>
        <w:t>10</w:t>
      </w:r>
      <w:r>
        <w:rPr>
          <w:spacing w:val="-35"/>
          <w:sz w:val="21"/>
        </w:rPr>
        <w:t> </w:t>
      </w:r>
      <w:r>
        <w:rPr>
          <w:sz w:val="21"/>
        </w:rPr>
        <w:t>日</w:t>
      </w:r>
      <w:r>
        <w:rPr>
          <w:spacing w:val="-3"/>
          <w:sz w:val="21"/>
        </w:rPr>
        <w:t>的</w:t>
      </w:r>
      <w:r>
        <w:rPr>
          <w:sz w:val="21"/>
        </w:rPr>
        <w:t>犹</w:t>
      </w:r>
      <w:r>
        <w:rPr>
          <w:spacing w:val="-3"/>
          <w:sz w:val="21"/>
        </w:rPr>
        <w:t>豫</w:t>
      </w:r>
      <w:r>
        <w:rPr>
          <w:sz w:val="21"/>
        </w:rPr>
        <w:t>期</w:t>
      </w:r>
      <w:r>
        <w:rPr>
          <w:spacing w:val="-34"/>
          <w:sz w:val="21"/>
        </w:rPr>
        <w:t>。</w:t>
      </w:r>
      <w:r>
        <w:rPr>
          <w:spacing w:val="-3"/>
          <w:sz w:val="21"/>
        </w:rPr>
        <w:t>请</w:t>
      </w:r>
      <w:r>
        <w:rPr>
          <w:sz w:val="21"/>
        </w:rPr>
        <w:t>您认</w:t>
      </w:r>
      <w:r>
        <w:rPr>
          <w:spacing w:val="-3"/>
          <w:sz w:val="21"/>
        </w:rPr>
        <w:t>真</w:t>
      </w:r>
      <w:r>
        <w:rPr>
          <w:sz w:val="21"/>
        </w:rPr>
        <w:t>审</w:t>
      </w:r>
      <w:r>
        <w:rPr>
          <w:spacing w:val="-3"/>
          <w:sz w:val="21"/>
        </w:rPr>
        <w:t>视</w:t>
      </w:r>
      <w:r>
        <w:rPr>
          <w:sz w:val="21"/>
        </w:rPr>
        <w:t>本</w:t>
      </w:r>
      <w:r>
        <w:rPr>
          <w:spacing w:val="-3"/>
          <w:sz w:val="21"/>
        </w:rPr>
        <w:t>主</w:t>
      </w:r>
      <w:r>
        <w:rPr>
          <w:sz w:val="21"/>
        </w:rPr>
        <w:t>险</w:t>
      </w:r>
      <w:r>
        <w:rPr>
          <w:spacing w:val="-3"/>
          <w:sz w:val="21"/>
        </w:rPr>
        <w:t>合</w:t>
      </w:r>
      <w:r>
        <w:rPr>
          <w:sz w:val="21"/>
        </w:rPr>
        <w:t>同</w:t>
      </w:r>
      <w:r>
        <w:rPr>
          <w:spacing w:val="-34"/>
          <w:sz w:val="21"/>
        </w:rPr>
        <w:t>，</w:t>
      </w:r>
      <w:r>
        <w:rPr>
          <w:sz w:val="21"/>
        </w:rPr>
        <w:t>如</w:t>
      </w:r>
    </w:p>
    <w:p>
      <w:pPr>
        <w:pStyle w:val="BodyText"/>
        <w:spacing w:line="211" w:lineRule="auto" w:before="20"/>
        <w:ind w:left="2934" w:right="107"/>
        <w:jc w:val="both"/>
        <w:rPr>
          <w:rFonts w:ascii="Microsoft JhengHei" w:eastAsia="Microsoft JhengHei" w:hint="eastAsia"/>
          <w:b/>
        </w:rPr>
      </w:pPr>
      <w:r>
        <w:rPr>
          <w:spacing w:val="-9"/>
        </w:rPr>
        <w:t>果您认为本主险合同与您的需求不相符，您可以在此期间提出解除本主险合同， </w:t>
      </w:r>
      <w:r>
        <w:rPr>
          <w:spacing w:val="3"/>
        </w:rPr>
        <w:t>我们将在扣除       </w:t>
      </w:r>
      <w:r>
        <w:rPr/>
        <w:t>10</w:t>
      </w:r>
      <w:r>
        <w:rPr>
          <w:spacing w:val="-3"/>
        </w:rPr>
        <w:t>       元的工本费后退还您所支付的全部保险费。解除本主险合同时，您需要填写申请书，并提供您的保险合同及</w:t>
      </w:r>
      <w:r>
        <w:rPr>
          <w:rFonts w:ascii="Microsoft JhengHei" w:eastAsia="Microsoft JhengHei" w:hint="eastAsia"/>
          <w:b/>
          <w:spacing w:val="-2"/>
        </w:rPr>
        <w:t>有效身份证件</w:t>
      </w:r>
    </w:p>
    <w:p>
      <w:pPr>
        <w:pStyle w:val="Heading2"/>
        <w:spacing w:line="177" w:lineRule="auto"/>
        <w:ind w:left="2934" w:right="257"/>
      </w:pPr>
      <w:r>
        <w:rPr>
          <w:rFonts w:ascii="宋体" w:eastAsia="宋体" w:hint="eastAsia"/>
          <w:b w:val="0"/>
          <w:w w:val="100"/>
        </w:rPr>
        <w:t>（见</w:t>
      </w:r>
      <w:r>
        <w:rPr>
          <w:rFonts w:ascii="宋体" w:eastAsia="宋体" w:hint="eastAsia"/>
          <w:b w:val="0"/>
          <w:spacing w:val="-53"/>
        </w:rPr>
        <w:t> </w:t>
      </w:r>
      <w:r>
        <w:rPr>
          <w:rFonts w:ascii="宋体" w:eastAsia="宋体" w:hint="eastAsia"/>
          <w:b w:val="0"/>
          <w:spacing w:val="-3"/>
          <w:w w:val="100"/>
        </w:rPr>
        <w:t>1</w:t>
      </w:r>
      <w:r>
        <w:rPr>
          <w:rFonts w:ascii="宋体" w:eastAsia="宋体" w:hint="eastAsia"/>
          <w:b w:val="0"/>
          <w:w w:val="100"/>
        </w:rPr>
        <w:t>0.4</w:t>
      </w:r>
      <w:r>
        <w:rPr>
          <w:rFonts w:ascii="宋体" w:eastAsia="宋体" w:hint="eastAsia"/>
          <w:b w:val="0"/>
          <w:spacing w:val="-108"/>
          <w:w w:val="100"/>
        </w:rPr>
        <w:t>）</w:t>
      </w:r>
      <w:r>
        <w:rPr>
          <w:rFonts w:ascii="宋体" w:eastAsia="宋体" w:hint="eastAsia"/>
          <w:b w:val="0"/>
          <w:spacing w:val="-3"/>
          <w:w w:val="100"/>
        </w:rPr>
        <w:t>。</w:t>
      </w:r>
      <w:r>
        <w:rPr>
          <w:spacing w:val="-3"/>
          <w:w w:val="100"/>
        </w:rPr>
        <w:t>自我们收到您解除合同的书面申请时起，本主险合同即被解除，</w:t>
      </w:r>
      <w:r>
        <w:rPr>
          <w:spacing w:val="-3"/>
        </w:rPr>
        <w:t>合同解除前发生的保险事故我们不承担保险责任。</w:t>
      </w:r>
    </w:p>
    <w:p>
      <w:pPr>
        <w:pStyle w:val="BodyText"/>
        <w:tabs>
          <w:tab w:pos="975" w:val="left" w:leader="none"/>
          <w:tab w:pos="2934" w:val="left" w:leader="none"/>
        </w:tabs>
        <w:spacing w:line="173" w:lineRule="exact"/>
        <w:ind w:left="220"/>
      </w:pPr>
      <w:r>
        <w:rPr>
          <w:w w:val="100"/>
        </w:rPr>
        <w:t> </w:t>
      </w:r>
      <w:r>
        <w:rPr/>
        <w:tab/>
      </w:r>
      <w:r>
        <w:rPr>
          <w:w w:val="100"/>
        </w:rPr>
        <w:t> </w:t>
      </w:r>
      <w:r>
        <w:rPr/>
        <w:tab/>
      </w:r>
      <w:r>
        <w:rPr>
          <w:w w:val="100"/>
        </w:rPr>
        <w:t> </w:t>
      </w:r>
    </w:p>
    <w:p>
      <w:pPr>
        <w:tabs>
          <w:tab w:pos="975" w:val="left" w:leader="none"/>
        </w:tabs>
        <w:spacing w:line="446" w:lineRule="exact" w:before="0" w:after="11"/>
        <w:ind w:left="223" w:right="0" w:firstLine="0"/>
        <w:jc w:val="left"/>
        <w:rPr>
          <w:rFonts w:ascii="Microsoft JhengHei" w:eastAsia="Microsoft JhengHei" w:hint="eastAsia"/>
          <w:b/>
          <w:sz w:val="24"/>
        </w:rPr>
      </w:pPr>
      <w:r>
        <w:rPr>
          <w:rFonts w:ascii="Times New Roman" w:eastAsia="Times New Roman"/>
          <w:b/>
          <w:position w:val="-3"/>
          <w:sz w:val="40"/>
        </w:rPr>
        <w:t>v</w:t>
        <w:tab/>
      </w:r>
      <w:r>
        <w:rPr>
          <w:rFonts w:ascii="Microsoft JhengHei" w:eastAsia="Microsoft JhengHei" w:hint="eastAsia"/>
          <w:b/>
          <w:sz w:val="24"/>
        </w:rPr>
        <w:t>我们提供的保障</w:t>
      </w:r>
    </w:p>
    <w:p>
      <w:pPr>
        <w:pStyle w:val="BodyText"/>
        <w:spacing w:line="20" w:lineRule="exact"/>
        <w:ind w:left="107"/>
        <w:rPr>
          <w:rFonts w:ascii="Microsoft JhengHei"/>
          <w:sz w:val="2"/>
        </w:rPr>
      </w:pPr>
      <w:r>
        <w:rPr>
          <w:rFonts w:ascii="Times New Roman"/>
          <w:spacing w:val="5"/>
          <w:sz w:val="2"/>
        </w:rPr>
        <w:t> </w:t>
      </w:r>
      <w:r>
        <w:rPr>
          <w:rFonts w:ascii="Microsoft JhengHei"/>
          <w:spacing w:val="5"/>
          <w:sz w:val="2"/>
        </w:rPr>
        <w:pict>
          <v:group style="width:504.15pt;height:.5pt;mso-position-horizontal-relative:char;mso-position-vertical-relative:line" coordorigin="0,0" coordsize="10083,10">
            <v:line style="position:absolute" from="0,5" to="756,5" stroked="true" strokeweight=".48pt" strokecolor="#000000">
              <v:stroke dashstyle="solid"/>
            </v:line>
            <v:rect style="position:absolute;left:756;top:0;width:10;height:10" filled="true" fillcolor="#000000" stroked="false">
              <v:fill type="solid"/>
            </v:rect>
            <v:line style="position:absolute" from="766,5" to="2714,5" stroked="true" strokeweight=".48pt" strokecolor="#000000">
              <v:stroke dashstyle="solid"/>
            </v:line>
            <v:rect style="position:absolute;left:2714;top:0;width:10;height:10" filled="true" fillcolor="#000000" stroked="false">
              <v:fill type="solid"/>
            </v:rect>
            <v:line style="position:absolute" from="2724,5" to="10082,5" stroked="true" strokeweight=".48pt" strokecolor="#000000">
              <v:stroke dashstyle="solid"/>
            </v:line>
          </v:group>
        </w:pict>
      </w:r>
      <w:r>
        <w:rPr>
          <w:rFonts w:ascii="Microsoft JhengHei"/>
          <w:spacing w:val="5"/>
          <w:sz w:val="2"/>
        </w:rPr>
      </w:r>
    </w:p>
    <w:p>
      <w:pPr>
        <w:pStyle w:val="BodyText"/>
        <w:spacing w:line="165" w:lineRule="exact"/>
        <w:ind w:left="2934"/>
      </w:pPr>
      <w:r>
        <w:rPr>
          <w:w w:val="100"/>
        </w:rPr>
        <w:t> </w:t>
      </w:r>
    </w:p>
    <w:p>
      <w:pPr>
        <w:pStyle w:val="ListParagraph"/>
        <w:numPr>
          <w:ilvl w:val="1"/>
          <w:numId w:val="5"/>
        </w:numPr>
        <w:tabs>
          <w:tab w:pos="975" w:val="left" w:leader="none"/>
          <w:tab w:pos="976" w:val="left" w:leader="none"/>
          <w:tab w:pos="2934" w:val="left" w:leader="none"/>
        </w:tabs>
        <w:spacing w:line="307" w:lineRule="exact" w:before="0" w:after="0"/>
        <w:ind w:left="976" w:right="0" w:hanging="756"/>
        <w:jc w:val="left"/>
        <w:rPr>
          <w:sz w:val="21"/>
        </w:rPr>
      </w:pPr>
      <w:r>
        <w:rPr>
          <w:rFonts w:ascii="Microsoft JhengHei" w:eastAsia="Microsoft JhengHei" w:hint="eastAsia"/>
          <w:b/>
          <w:sz w:val="21"/>
        </w:rPr>
        <w:t>1</w:t>
        <w:tab/>
      </w:r>
      <w:r>
        <w:rPr>
          <w:rFonts w:ascii="Microsoft JhengHei" w:eastAsia="Microsoft JhengHei" w:hint="eastAsia"/>
          <w:b/>
          <w:spacing w:val="-1"/>
          <w:sz w:val="21"/>
        </w:rPr>
        <w:t>保险金</w:t>
      </w:r>
      <w:r>
        <w:rPr>
          <w:rFonts w:ascii="Microsoft JhengHei" w:eastAsia="Microsoft JhengHei" w:hint="eastAsia"/>
          <w:b/>
          <w:sz w:val="21"/>
        </w:rPr>
        <w:t>额</w:t>
        <w:tab/>
      </w:r>
      <w:r>
        <w:rPr>
          <w:sz w:val="21"/>
        </w:rPr>
        <w:t>（1）基</w:t>
      </w:r>
      <w:r>
        <w:rPr>
          <w:spacing w:val="-3"/>
          <w:sz w:val="21"/>
        </w:rPr>
        <w:t>本</w:t>
      </w:r>
      <w:r>
        <w:rPr>
          <w:sz w:val="21"/>
        </w:rPr>
        <w:t>保</w:t>
      </w:r>
      <w:r>
        <w:rPr>
          <w:spacing w:val="-3"/>
          <w:sz w:val="21"/>
        </w:rPr>
        <w:t>险</w:t>
      </w:r>
      <w:r>
        <w:rPr>
          <w:sz w:val="21"/>
        </w:rPr>
        <w:t>金</w:t>
      </w:r>
      <w:r>
        <w:rPr>
          <w:spacing w:val="-3"/>
          <w:sz w:val="21"/>
        </w:rPr>
        <w:t>额</w:t>
      </w:r>
      <w:r>
        <w:rPr>
          <w:sz w:val="21"/>
        </w:rPr>
        <w:t> </w:t>
      </w:r>
    </w:p>
    <w:p>
      <w:pPr>
        <w:pStyle w:val="BodyText"/>
        <w:spacing w:line="237" w:lineRule="auto"/>
        <w:ind w:left="2934" w:right="221"/>
      </w:pPr>
      <w:r>
        <w:rPr/>
        <w:t>本主险合同的基本保险金额由您在投保时与我们约定并在保险单上载明。若该金额发生变更，则以变更后的金额为基本保险金额。 </w:t>
      </w:r>
    </w:p>
    <w:p>
      <w:pPr>
        <w:pStyle w:val="BodyText"/>
        <w:spacing w:before="10"/>
        <w:ind w:left="2934"/>
        <w:jc w:val="both"/>
      </w:pPr>
      <w:r>
        <w:rPr/>
        <w:t>（2）保险金额 </w:t>
      </w:r>
    </w:p>
    <w:p>
      <w:pPr>
        <w:pStyle w:val="BodyText"/>
        <w:spacing w:line="247" w:lineRule="exact"/>
        <w:ind w:left="2934"/>
        <w:jc w:val="both"/>
      </w:pPr>
      <w:r>
        <w:rPr/>
        <w:t>保险金额是指我们根据本主险合同承担赔偿或者给付保险金责任的最高限额。 </w:t>
      </w:r>
    </w:p>
    <w:p>
      <w:pPr>
        <w:pStyle w:val="BodyText"/>
        <w:tabs>
          <w:tab w:pos="975" w:val="left" w:leader="none"/>
          <w:tab w:pos="2934" w:val="left" w:leader="none"/>
        </w:tabs>
        <w:spacing w:line="203" w:lineRule="exact"/>
        <w:ind w:left="220"/>
      </w:pPr>
      <w:r>
        <w:rPr>
          <w:w w:val="100"/>
        </w:rPr>
        <w:t> </w:t>
      </w:r>
      <w:r>
        <w:rPr/>
        <w:tab/>
      </w:r>
      <w:r>
        <w:rPr>
          <w:w w:val="100"/>
        </w:rPr>
        <w:t> </w:t>
      </w:r>
      <w:r>
        <w:rPr/>
        <w:tab/>
      </w:r>
      <w:r>
        <w:rPr>
          <w:w w:val="100"/>
        </w:rPr>
        <w:t> </w:t>
      </w:r>
    </w:p>
    <w:p>
      <w:pPr>
        <w:pStyle w:val="ListParagraph"/>
        <w:numPr>
          <w:ilvl w:val="1"/>
          <w:numId w:val="5"/>
        </w:numPr>
        <w:tabs>
          <w:tab w:pos="975" w:val="left" w:leader="none"/>
          <w:tab w:pos="976" w:val="left" w:leader="none"/>
          <w:tab w:pos="2934" w:val="left" w:leader="none"/>
        </w:tabs>
        <w:spacing w:line="307" w:lineRule="exact" w:before="0" w:after="0"/>
        <w:ind w:left="976" w:right="0" w:hanging="756"/>
        <w:jc w:val="left"/>
        <w:rPr>
          <w:sz w:val="21"/>
        </w:rPr>
      </w:pPr>
      <w:r>
        <w:rPr>
          <w:rFonts w:ascii="Microsoft JhengHei" w:eastAsia="Microsoft JhengHei" w:hint="eastAsia"/>
          <w:b/>
          <w:sz w:val="21"/>
        </w:rPr>
        <w:t>2</w:t>
        <w:tab/>
        <w:t>保险期间</w:t>
        <w:tab/>
      </w:r>
      <w:r>
        <w:rPr>
          <w:sz w:val="21"/>
        </w:rPr>
        <w:t>本主</w:t>
      </w:r>
      <w:r>
        <w:rPr>
          <w:spacing w:val="-3"/>
          <w:sz w:val="21"/>
        </w:rPr>
        <w:t>险</w:t>
      </w:r>
      <w:r>
        <w:rPr>
          <w:sz w:val="21"/>
        </w:rPr>
        <w:t>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由</w:t>
      </w:r>
      <w:r>
        <w:rPr>
          <w:sz w:val="21"/>
        </w:rPr>
        <w:t>您在</w:t>
      </w:r>
      <w:r>
        <w:rPr>
          <w:spacing w:val="-3"/>
          <w:sz w:val="21"/>
        </w:rPr>
        <w:t>投</w:t>
      </w:r>
      <w:r>
        <w:rPr>
          <w:sz w:val="21"/>
        </w:rPr>
        <w:t>保</w:t>
      </w:r>
      <w:r>
        <w:rPr>
          <w:spacing w:val="-3"/>
          <w:sz w:val="21"/>
        </w:rPr>
        <w:t>时</w:t>
      </w:r>
      <w:r>
        <w:rPr>
          <w:sz w:val="21"/>
        </w:rPr>
        <w:t>与</w:t>
      </w:r>
      <w:r>
        <w:rPr>
          <w:spacing w:val="-3"/>
          <w:sz w:val="21"/>
        </w:rPr>
        <w:t>我</w:t>
      </w:r>
      <w:r>
        <w:rPr>
          <w:sz w:val="21"/>
        </w:rPr>
        <w:t>们</w:t>
      </w:r>
      <w:r>
        <w:rPr>
          <w:spacing w:val="-3"/>
          <w:sz w:val="21"/>
        </w:rPr>
        <w:t>约</w:t>
      </w:r>
      <w:r>
        <w:rPr>
          <w:sz w:val="21"/>
        </w:rPr>
        <w:t>定</w:t>
      </w:r>
      <w:r>
        <w:rPr>
          <w:spacing w:val="-3"/>
          <w:sz w:val="21"/>
        </w:rPr>
        <w:t>，</w:t>
      </w:r>
      <w:r>
        <w:rPr>
          <w:sz w:val="21"/>
        </w:rPr>
        <w:t>并在</w:t>
      </w:r>
      <w:r>
        <w:rPr>
          <w:spacing w:val="-3"/>
          <w:sz w:val="21"/>
        </w:rPr>
        <w:t>我</w:t>
      </w:r>
      <w:r>
        <w:rPr>
          <w:sz w:val="21"/>
        </w:rPr>
        <w:t>们</w:t>
      </w:r>
      <w:r>
        <w:rPr>
          <w:spacing w:val="-3"/>
          <w:sz w:val="21"/>
        </w:rPr>
        <w:t>签</w:t>
      </w:r>
      <w:r>
        <w:rPr>
          <w:sz w:val="21"/>
        </w:rPr>
        <w:t>发</w:t>
      </w:r>
      <w:r>
        <w:rPr>
          <w:spacing w:val="-3"/>
          <w:sz w:val="21"/>
        </w:rPr>
        <w:t>的</w:t>
      </w:r>
      <w:r>
        <w:rPr>
          <w:sz w:val="21"/>
        </w:rPr>
        <w:t>保</w:t>
      </w:r>
      <w:r>
        <w:rPr>
          <w:spacing w:val="-3"/>
          <w:sz w:val="21"/>
        </w:rPr>
        <w:t>险 </w:t>
      </w:r>
      <w:r>
        <w:rPr>
          <w:sz w:val="21"/>
        </w:rPr>
        <w:t>单</w:t>
      </w:r>
      <w:r>
        <w:rPr>
          <w:spacing w:val="-3"/>
          <w:sz w:val="21"/>
        </w:rPr>
        <w:t>上载</w:t>
      </w:r>
    </w:p>
    <w:p>
      <w:pPr>
        <w:pStyle w:val="BodyText"/>
        <w:spacing w:line="235" w:lineRule="exact"/>
        <w:ind w:left="2934"/>
        <w:jc w:val="both"/>
      </w:pPr>
      <w:r>
        <w:rPr/>
        <w:t>明。 </w:t>
      </w:r>
    </w:p>
    <w:p>
      <w:pPr>
        <w:pStyle w:val="BodyText"/>
        <w:tabs>
          <w:tab w:pos="975" w:val="left" w:leader="none"/>
          <w:tab w:pos="2934" w:val="left" w:leader="none"/>
        </w:tabs>
        <w:spacing w:line="202" w:lineRule="exact"/>
        <w:ind w:left="220"/>
      </w:pPr>
      <w:r>
        <w:rPr>
          <w:w w:val="100"/>
        </w:rPr>
        <w:t> </w:t>
      </w:r>
      <w:r>
        <w:rPr/>
        <w:tab/>
      </w:r>
      <w:r>
        <w:rPr>
          <w:w w:val="100"/>
        </w:rPr>
        <w:t> </w:t>
      </w:r>
      <w:r>
        <w:rPr/>
        <w:tab/>
      </w:r>
      <w:r>
        <w:rPr>
          <w:w w:val="100"/>
        </w:rPr>
        <w:t> </w:t>
      </w:r>
    </w:p>
    <w:p>
      <w:pPr>
        <w:pStyle w:val="ListParagraph"/>
        <w:numPr>
          <w:ilvl w:val="1"/>
          <w:numId w:val="5"/>
        </w:numPr>
        <w:tabs>
          <w:tab w:pos="975" w:val="left" w:leader="none"/>
          <w:tab w:pos="976" w:val="left" w:leader="none"/>
          <w:tab w:pos="2934" w:val="left" w:leader="none"/>
        </w:tabs>
        <w:spacing w:line="320" w:lineRule="exact" w:before="0" w:after="0"/>
        <w:ind w:left="976" w:right="0" w:hanging="756"/>
        <w:jc w:val="left"/>
        <w:rPr>
          <w:sz w:val="21"/>
        </w:rPr>
      </w:pPr>
      <w:r>
        <w:rPr>
          <w:rFonts w:ascii="Microsoft JhengHei" w:eastAsia="Microsoft JhengHei" w:hint="eastAsia"/>
          <w:b/>
          <w:sz w:val="21"/>
        </w:rPr>
        <w:t>3</w:t>
        <w:tab/>
        <w:t>保险责任</w:t>
        <w:tab/>
      </w:r>
      <w:r>
        <w:rPr>
          <w:sz w:val="21"/>
        </w:rPr>
        <w:t>在保</w:t>
      </w:r>
      <w:r>
        <w:rPr>
          <w:spacing w:val="-3"/>
          <w:sz w:val="21"/>
        </w:rPr>
        <w:t>险</w:t>
      </w:r>
      <w:r>
        <w:rPr>
          <w:sz w:val="21"/>
        </w:rPr>
        <w:t>期</w:t>
      </w:r>
      <w:r>
        <w:rPr>
          <w:spacing w:val="-3"/>
          <w:sz w:val="21"/>
        </w:rPr>
        <w:t>间</w:t>
      </w:r>
      <w:r>
        <w:rPr>
          <w:sz w:val="21"/>
        </w:rPr>
        <w:t>内</w:t>
      </w:r>
      <w:r>
        <w:rPr>
          <w:spacing w:val="-3"/>
          <w:sz w:val="21"/>
        </w:rPr>
        <w:t>，</w:t>
      </w:r>
      <w:r>
        <w:rPr>
          <w:sz w:val="21"/>
        </w:rPr>
        <w:t>我</w:t>
      </w:r>
      <w:r>
        <w:rPr>
          <w:spacing w:val="-3"/>
          <w:sz w:val="21"/>
        </w:rPr>
        <w:t>们</w:t>
      </w:r>
      <w:r>
        <w:rPr>
          <w:sz w:val="21"/>
        </w:rPr>
        <w:t>承</w:t>
      </w:r>
      <w:r>
        <w:rPr>
          <w:spacing w:val="-3"/>
          <w:sz w:val="21"/>
        </w:rPr>
        <w:t>担</w:t>
      </w:r>
      <w:r>
        <w:rPr>
          <w:sz w:val="21"/>
        </w:rPr>
        <w:t>下列</w:t>
      </w:r>
      <w:r>
        <w:rPr>
          <w:spacing w:val="-3"/>
          <w:sz w:val="21"/>
        </w:rPr>
        <w:t>保</w:t>
      </w:r>
      <w:r>
        <w:rPr>
          <w:sz w:val="21"/>
        </w:rPr>
        <w:t>险</w:t>
      </w:r>
      <w:r>
        <w:rPr>
          <w:spacing w:val="-3"/>
          <w:sz w:val="21"/>
        </w:rPr>
        <w:t>责</w:t>
      </w:r>
      <w:r>
        <w:rPr>
          <w:sz w:val="21"/>
        </w:rPr>
        <w:t>任</w:t>
      </w:r>
      <w:r>
        <w:rPr>
          <w:spacing w:val="-3"/>
          <w:sz w:val="21"/>
        </w:rPr>
        <w:t>：</w:t>
      </w:r>
      <w:r>
        <w:rPr>
          <w:sz w:val="21"/>
        </w:rPr>
        <w:t> </w:t>
      </w:r>
    </w:p>
    <w:p>
      <w:pPr>
        <w:pStyle w:val="BodyText"/>
        <w:tabs>
          <w:tab w:pos="2934" w:val="left" w:leader="none"/>
        </w:tabs>
        <w:spacing w:line="194" w:lineRule="auto" w:before="132"/>
        <w:ind w:left="2934" w:right="271" w:hanging="1959"/>
      </w:pPr>
      <w:r>
        <w:rPr>
          <w:rFonts w:ascii="Microsoft JhengHei" w:eastAsia="Microsoft JhengHei" w:hint="eastAsia"/>
          <w:b/>
          <w:position w:val="2"/>
        </w:rPr>
        <w:t>重大</w:t>
      </w:r>
      <w:r>
        <w:rPr>
          <w:rFonts w:ascii="Microsoft JhengHei" w:eastAsia="Microsoft JhengHei" w:hint="eastAsia"/>
          <w:b/>
          <w:spacing w:val="-3"/>
          <w:position w:val="2"/>
        </w:rPr>
        <w:t>疾</w:t>
      </w:r>
      <w:r>
        <w:rPr>
          <w:rFonts w:ascii="Microsoft JhengHei" w:eastAsia="Microsoft JhengHei" w:hint="eastAsia"/>
          <w:b/>
          <w:position w:val="2"/>
        </w:rPr>
        <w:t>病保</w:t>
      </w:r>
      <w:r>
        <w:rPr>
          <w:rFonts w:ascii="Microsoft JhengHei" w:eastAsia="Microsoft JhengHei" w:hint="eastAsia"/>
          <w:b/>
          <w:spacing w:val="-3"/>
          <w:position w:val="2"/>
        </w:rPr>
        <w:t>险</w:t>
      </w:r>
      <w:r>
        <w:rPr>
          <w:rFonts w:ascii="Microsoft JhengHei" w:eastAsia="Microsoft JhengHei" w:hint="eastAsia"/>
          <w:b/>
          <w:position w:val="2"/>
        </w:rPr>
        <w:t>金</w:t>
        <w:tab/>
      </w:r>
      <w:r>
        <w:rPr/>
        <w:t>自本</w:t>
      </w:r>
      <w:r>
        <w:rPr>
          <w:spacing w:val="-3"/>
        </w:rPr>
        <w:t>主</w:t>
      </w:r>
      <w:r>
        <w:rPr/>
        <w:t>险</w:t>
      </w:r>
      <w:r>
        <w:rPr>
          <w:spacing w:val="-3"/>
        </w:rPr>
        <w:t>合</w:t>
      </w:r>
      <w:r>
        <w:rPr/>
        <w:t>同</w:t>
      </w:r>
      <w:r>
        <w:rPr>
          <w:spacing w:val="-3"/>
        </w:rPr>
        <w:t>生</w:t>
      </w:r>
      <w:r>
        <w:rPr/>
        <w:t>效</w:t>
      </w:r>
      <w:r>
        <w:rPr>
          <w:spacing w:val="-3"/>
        </w:rPr>
        <w:t>日</w:t>
      </w:r>
      <w:r>
        <w:rPr/>
        <w:t>或</w:t>
      </w:r>
      <w:r>
        <w:rPr>
          <w:spacing w:val="-3"/>
        </w:rPr>
        <w:t>最</w:t>
      </w:r>
      <w:r>
        <w:rPr/>
        <w:t>后复</w:t>
      </w:r>
      <w:r>
        <w:rPr>
          <w:spacing w:val="-3"/>
        </w:rPr>
        <w:t>效</w:t>
      </w:r>
      <w:r>
        <w:rPr/>
        <w:t>日</w:t>
      </w:r>
      <w:r>
        <w:rPr>
          <w:spacing w:val="-3"/>
        </w:rPr>
        <w:t>（</w:t>
      </w:r>
      <w:r>
        <w:rPr/>
        <w:t>以</w:t>
      </w:r>
      <w:r>
        <w:rPr>
          <w:spacing w:val="-3"/>
        </w:rPr>
        <w:t>较</w:t>
      </w:r>
      <w:r>
        <w:rPr/>
        <w:t>迟</w:t>
      </w:r>
      <w:r>
        <w:rPr>
          <w:spacing w:val="-3"/>
        </w:rPr>
        <w:t>者</w:t>
      </w:r>
      <w:r>
        <w:rPr/>
        <w:t>为</w:t>
      </w:r>
      <w:r>
        <w:rPr>
          <w:spacing w:val="-3"/>
        </w:rPr>
        <w:t>准</w:t>
      </w:r>
      <w:r>
        <w:rPr/>
        <w:t>）起</w:t>
      </w:r>
      <w:r>
        <w:rPr>
          <w:spacing w:val="-43"/>
        </w:rPr>
        <w:t> </w:t>
      </w:r>
      <w:r>
        <w:rPr/>
        <w:t>180</w:t>
      </w:r>
      <w:r>
        <w:rPr>
          <w:spacing w:val="-43"/>
        </w:rPr>
        <w:t> </w:t>
      </w:r>
      <w:r>
        <w:rPr>
          <w:spacing w:val="-3"/>
        </w:rPr>
        <w:t>日</w:t>
      </w:r>
      <w:r>
        <w:rPr/>
        <w:t>之</w:t>
      </w:r>
      <w:r>
        <w:rPr>
          <w:spacing w:val="-3"/>
        </w:rPr>
        <w:t>内</w:t>
      </w:r>
      <w:r>
        <w:rPr/>
        <w:t>(</w:t>
      </w:r>
      <w:r>
        <w:rPr>
          <w:spacing w:val="-3"/>
        </w:rPr>
        <w:t>含</w:t>
      </w:r>
      <w:r>
        <w:rPr/>
        <w:t>第</w:t>
      </w:r>
      <w:r>
        <w:rPr>
          <w:spacing w:val="-43"/>
        </w:rPr>
        <w:t> </w:t>
      </w:r>
      <w:r>
        <w:rPr/>
        <w:t>180日)，若</w:t>
      </w:r>
      <w:r>
        <w:rPr>
          <w:spacing w:val="-3"/>
        </w:rPr>
        <w:t>被</w:t>
      </w:r>
      <w:r>
        <w:rPr/>
        <w:t>保</w:t>
      </w:r>
      <w:r>
        <w:rPr>
          <w:spacing w:val="-3"/>
        </w:rPr>
        <w:t>险</w:t>
      </w:r>
      <w:r>
        <w:rPr/>
        <w:t>人</w:t>
      </w:r>
      <w:r>
        <w:rPr>
          <w:spacing w:val="-3"/>
        </w:rPr>
        <w:t>经</w:t>
      </w:r>
      <w:r>
        <w:rPr>
          <w:rFonts w:ascii="Microsoft JhengHei" w:eastAsia="Microsoft JhengHei" w:hint="eastAsia"/>
          <w:b/>
        </w:rPr>
        <w:t>医疗</w:t>
      </w:r>
      <w:r>
        <w:rPr>
          <w:rFonts w:ascii="Microsoft JhengHei" w:eastAsia="Microsoft JhengHei" w:hint="eastAsia"/>
          <w:b/>
          <w:spacing w:val="-3"/>
        </w:rPr>
        <w:t>机</w:t>
      </w:r>
      <w:r>
        <w:rPr>
          <w:rFonts w:ascii="Microsoft JhengHei" w:eastAsia="Microsoft JhengHei" w:hint="eastAsia"/>
          <w:b/>
        </w:rPr>
        <w:t>构</w:t>
      </w:r>
      <w:r>
        <w:rPr/>
        <w:t>（见</w:t>
      </w:r>
      <w:r>
        <w:rPr>
          <w:spacing w:val="-28"/>
        </w:rPr>
        <w:t> </w:t>
      </w:r>
      <w:r>
        <w:rPr/>
        <w:t>10.5）</w:t>
      </w:r>
      <w:r>
        <w:rPr>
          <w:spacing w:val="-3"/>
        </w:rPr>
        <w:t>确</w:t>
      </w:r>
      <w:r>
        <w:rPr/>
        <w:t>诊</w:t>
      </w:r>
      <w:r>
        <w:rPr>
          <w:spacing w:val="-3"/>
        </w:rPr>
        <w:t>，</w:t>
      </w:r>
      <w:r>
        <w:rPr/>
        <w:t>首</w:t>
      </w:r>
      <w:r>
        <w:rPr>
          <w:spacing w:val="-3"/>
        </w:rPr>
        <w:t>次</w:t>
      </w:r>
      <w:r>
        <w:rPr/>
        <w:t>患上</w:t>
      </w:r>
      <w:r>
        <w:rPr>
          <w:spacing w:val="-3"/>
        </w:rPr>
        <w:t>符</w:t>
      </w:r>
      <w:r>
        <w:rPr/>
        <w:t>合</w:t>
      </w:r>
      <w:r>
        <w:rPr>
          <w:spacing w:val="-3"/>
        </w:rPr>
        <w:t>本</w:t>
      </w:r>
      <w:r>
        <w:rPr/>
        <w:t>条</w:t>
      </w:r>
      <w:r>
        <w:rPr>
          <w:spacing w:val="-3"/>
        </w:rPr>
        <w:t>款</w:t>
      </w:r>
      <w:r>
        <w:rPr/>
        <w:t>定</w:t>
      </w:r>
      <w:r>
        <w:rPr>
          <w:spacing w:val="-3"/>
        </w:rPr>
        <w:t>义的</w:t>
      </w:r>
      <w:r>
        <w:rPr>
          <w:rFonts w:ascii="Microsoft JhengHei" w:eastAsia="Microsoft JhengHei" w:hint="eastAsia"/>
          <w:b/>
        </w:rPr>
        <w:t>重</w:t>
      </w:r>
      <w:r>
        <w:rPr>
          <w:rFonts w:ascii="Microsoft JhengHei" w:eastAsia="Microsoft JhengHei" w:hint="eastAsia"/>
          <w:b/>
          <w:w w:val="100"/>
        </w:rPr>
        <w:t>大疾病</w:t>
      </w:r>
      <w:r>
        <w:rPr>
          <w:spacing w:val="-3"/>
          <w:w w:val="100"/>
        </w:rPr>
        <w:t>（</w:t>
      </w:r>
      <w:r>
        <w:rPr>
          <w:w w:val="100"/>
        </w:rPr>
        <w:t>见</w:t>
      </w:r>
      <w:r>
        <w:rPr>
          <w:spacing w:val="-53"/>
        </w:rPr>
        <w:t> </w:t>
      </w:r>
      <w:r>
        <w:rPr>
          <w:w w:val="100"/>
        </w:rPr>
        <w:t>10</w:t>
      </w:r>
      <w:r>
        <w:rPr>
          <w:spacing w:val="-3"/>
          <w:w w:val="100"/>
        </w:rPr>
        <w:t>.</w:t>
      </w:r>
      <w:r>
        <w:rPr>
          <w:w w:val="100"/>
        </w:rPr>
        <w:t>6</w:t>
      </w:r>
      <w:r>
        <w:rPr>
          <w:spacing w:val="-106"/>
          <w:w w:val="100"/>
        </w:rPr>
        <w:t>）</w:t>
      </w:r>
      <w:r>
        <w:rPr>
          <w:spacing w:val="-3"/>
          <w:w w:val="100"/>
        </w:rPr>
        <w:t>，</w:t>
      </w:r>
      <w:r>
        <w:rPr>
          <w:w w:val="100"/>
        </w:rPr>
        <w:t>我</w:t>
      </w:r>
      <w:r>
        <w:rPr>
          <w:spacing w:val="-3"/>
          <w:w w:val="100"/>
        </w:rPr>
        <w:t>们</w:t>
      </w:r>
      <w:r>
        <w:rPr>
          <w:w w:val="100"/>
        </w:rPr>
        <w:t>将无</w:t>
      </w:r>
      <w:r>
        <w:rPr>
          <w:spacing w:val="-3"/>
          <w:w w:val="100"/>
        </w:rPr>
        <w:t>息</w:t>
      </w:r>
      <w:r>
        <w:rPr>
          <w:w w:val="100"/>
        </w:rPr>
        <w:t>返</w:t>
      </w:r>
      <w:r>
        <w:rPr>
          <w:spacing w:val="-3"/>
          <w:w w:val="100"/>
        </w:rPr>
        <w:t>还</w:t>
      </w:r>
      <w:r>
        <w:rPr>
          <w:w w:val="100"/>
        </w:rPr>
        <w:t>本</w:t>
      </w:r>
      <w:r>
        <w:rPr>
          <w:spacing w:val="-3"/>
          <w:w w:val="100"/>
        </w:rPr>
        <w:t>主</w:t>
      </w:r>
      <w:r>
        <w:rPr>
          <w:w w:val="100"/>
        </w:rPr>
        <w:t>险</w:t>
      </w:r>
      <w:r>
        <w:rPr>
          <w:spacing w:val="-3"/>
          <w:w w:val="100"/>
        </w:rPr>
        <w:t>合</w:t>
      </w:r>
      <w:r>
        <w:rPr>
          <w:w w:val="100"/>
        </w:rPr>
        <w:t>同</w:t>
      </w:r>
      <w:r>
        <w:rPr>
          <w:spacing w:val="-3"/>
          <w:w w:val="100"/>
        </w:rPr>
        <w:t>已</w:t>
      </w:r>
      <w:r>
        <w:rPr>
          <w:w w:val="100"/>
        </w:rPr>
        <w:t>收取</w:t>
      </w:r>
      <w:r>
        <w:rPr>
          <w:spacing w:val="-3"/>
          <w:w w:val="100"/>
        </w:rPr>
        <w:t>的</w:t>
      </w:r>
      <w:r>
        <w:rPr>
          <w:w w:val="100"/>
        </w:rPr>
        <w:t>保</w:t>
      </w:r>
      <w:r>
        <w:rPr>
          <w:spacing w:val="-3"/>
          <w:w w:val="100"/>
        </w:rPr>
        <w:t>险</w:t>
      </w:r>
      <w:r>
        <w:rPr>
          <w:w w:val="100"/>
        </w:rPr>
        <w:t>费</w:t>
      </w:r>
      <w:r>
        <w:rPr>
          <w:spacing w:val="-3"/>
          <w:w w:val="100"/>
        </w:rPr>
        <w:t>，</w:t>
      </w:r>
      <w:r>
        <w:rPr>
          <w:w w:val="100"/>
        </w:rPr>
        <w:t>本</w:t>
      </w:r>
      <w:r>
        <w:rPr>
          <w:spacing w:val="-3"/>
          <w:w w:val="100"/>
        </w:rPr>
        <w:t>主</w:t>
      </w:r>
      <w:r>
        <w:rPr>
          <w:w w:val="100"/>
        </w:rPr>
        <w:t>险</w:t>
      </w:r>
      <w:r>
        <w:rPr>
          <w:spacing w:val="-3"/>
          <w:w w:val="100"/>
        </w:rPr>
        <w:t>合同</w:t>
      </w:r>
      <w:r>
        <w:rPr/>
        <w:t>终止</w:t>
      </w:r>
      <w:r>
        <w:rPr>
          <w:spacing w:val="-3"/>
        </w:rPr>
        <w:t>。</w:t>
      </w:r>
      <w:r>
        <w:rPr/>
        <w:t> </w:t>
      </w:r>
    </w:p>
    <w:p>
      <w:pPr>
        <w:pStyle w:val="BodyText"/>
        <w:spacing w:line="237" w:lineRule="auto" w:before="1"/>
        <w:ind w:left="2934" w:right="209"/>
        <w:jc w:val="both"/>
      </w:pPr>
      <w:r>
        <w:rPr>
          <w:spacing w:val="-5"/>
        </w:rPr>
        <w:t>自本主险合同生效日或最后复效日</w:t>
      </w:r>
      <w:r>
        <w:rPr/>
        <w:t>（</w:t>
      </w:r>
      <w:r>
        <w:rPr>
          <w:spacing w:val="-3"/>
        </w:rPr>
        <w:t>以较迟者为准</w:t>
      </w:r>
      <w:r>
        <w:rPr>
          <w:spacing w:val="-22"/>
        </w:rPr>
        <w:t>）起 </w:t>
      </w:r>
      <w:r>
        <w:rPr/>
        <w:t>180</w:t>
      </w:r>
      <w:r>
        <w:rPr>
          <w:spacing w:val="-12"/>
        </w:rPr>
        <w:t> 日之后(不含第 </w:t>
      </w:r>
      <w:r>
        <w:rPr/>
        <w:t>180 </w:t>
      </w:r>
      <w:r>
        <w:rPr>
          <w:spacing w:val="-10"/>
        </w:rPr>
        <w:t>日)，若被保险人经医疗机构确诊，首次患上符合本条款定义的重大疾病，且自</w:t>
      </w:r>
      <w:r>
        <w:rPr>
          <w:spacing w:val="-13"/>
        </w:rPr>
        <w:t>确诊之日起 </w:t>
      </w:r>
      <w:r>
        <w:rPr/>
        <w:t>30</w:t>
      </w:r>
      <w:r>
        <w:rPr>
          <w:spacing w:val="-17"/>
        </w:rPr>
        <w:t> 日后</w:t>
      </w:r>
      <w:r>
        <w:rPr/>
        <w:t>（</w:t>
      </w:r>
      <w:r>
        <w:rPr>
          <w:spacing w:val="-13"/>
        </w:rPr>
        <w:t>不含第 </w:t>
      </w:r>
      <w:r>
        <w:rPr/>
        <w:t>30</w:t>
      </w:r>
      <w:r>
        <w:rPr>
          <w:spacing w:val="-24"/>
        </w:rPr>
        <w:t> 日</w:t>
      </w:r>
      <w:r>
        <w:rPr>
          <w:spacing w:val="-3"/>
        </w:rPr>
        <w:t>）仍生存，我们将按本主险合同的基本保险金额给付重大疾病保险金，本主险合同终止。</w:t>
      </w:r>
      <w:r>
        <w:rPr/>
        <w:t> </w:t>
      </w:r>
    </w:p>
    <w:p>
      <w:pPr>
        <w:pStyle w:val="BodyText"/>
        <w:spacing w:line="237" w:lineRule="auto" w:before="1"/>
        <w:ind w:left="2934" w:right="221"/>
      </w:pPr>
      <w:r>
        <w:rPr/>
        <w:t>被保险人经医疗机构确诊首次患上符合本条款定义的多种重大疾病的，重大疾病保险金的给付以本主险合同的基本保险金额为限。</w:t>
      </w:r>
    </w:p>
    <w:p>
      <w:pPr>
        <w:pStyle w:val="BodyText"/>
        <w:tabs>
          <w:tab w:pos="975" w:val="left" w:leader="none"/>
          <w:tab w:pos="2934" w:val="left" w:leader="none"/>
        </w:tabs>
        <w:spacing w:line="167" w:lineRule="exact"/>
        <w:ind w:left="220"/>
      </w:pPr>
      <w:r>
        <w:rPr>
          <w:w w:val="100"/>
        </w:rPr>
        <w:t> </w:t>
      </w:r>
      <w:r>
        <w:rPr/>
        <w:tab/>
      </w:r>
      <w:r>
        <w:rPr>
          <w:w w:val="100"/>
        </w:rPr>
        <w:t> </w:t>
      </w:r>
      <w:r>
        <w:rPr/>
        <w:tab/>
      </w:r>
      <w:r>
        <w:rPr>
          <w:w w:val="100"/>
        </w:rPr>
        <w:t> </w:t>
      </w:r>
    </w:p>
    <w:p>
      <w:pPr>
        <w:pStyle w:val="BodyText"/>
        <w:tabs>
          <w:tab w:pos="2934" w:val="left" w:leader="none"/>
        </w:tabs>
        <w:spacing w:line="310" w:lineRule="exact"/>
        <w:ind w:left="976"/>
      </w:pPr>
      <w:r>
        <w:rPr>
          <w:rFonts w:ascii="Microsoft JhengHei" w:eastAsia="Microsoft JhengHei" w:hint="eastAsia"/>
          <w:b/>
          <w:position w:val="2"/>
        </w:rPr>
        <w:t>轻症</w:t>
      </w:r>
      <w:r>
        <w:rPr>
          <w:rFonts w:ascii="Microsoft JhengHei" w:eastAsia="Microsoft JhengHei" w:hint="eastAsia"/>
          <w:b/>
          <w:spacing w:val="-3"/>
          <w:position w:val="2"/>
        </w:rPr>
        <w:t>疾</w:t>
      </w:r>
      <w:r>
        <w:rPr>
          <w:rFonts w:ascii="Microsoft JhengHei" w:eastAsia="Microsoft JhengHei" w:hint="eastAsia"/>
          <w:b/>
          <w:position w:val="2"/>
        </w:rPr>
        <w:t>病保</w:t>
      </w:r>
      <w:r>
        <w:rPr>
          <w:rFonts w:ascii="Microsoft JhengHei" w:eastAsia="Microsoft JhengHei" w:hint="eastAsia"/>
          <w:b/>
          <w:spacing w:val="-3"/>
          <w:position w:val="2"/>
        </w:rPr>
        <w:t>险</w:t>
      </w:r>
      <w:r>
        <w:rPr>
          <w:rFonts w:ascii="Microsoft JhengHei" w:eastAsia="Microsoft JhengHei" w:hint="eastAsia"/>
          <w:b/>
          <w:position w:val="2"/>
        </w:rPr>
        <w:t>金</w:t>
        <w:tab/>
      </w:r>
      <w:r>
        <w:rPr/>
        <w:t>自本</w:t>
      </w:r>
      <w:r>
        <w:rPr>
          <w:spacing w:val="-3"/>
        </w:rPr>
        <w:t>主</w:t>
      </w:r>
      <w:r>
        <w:rPr/>
        <w:t>险</w:t>
      </w:r>
      <w:r>
        <w:rPr>
          <w:spacing w:val="-3"/>
        </w:rPr>
        <w:t>合</w:t>
      </w:r>
      <w:r>
        <w:rPr/>
        <w:t>同</w:t>
      </w:r>
      <w:r>
        <w:rPr>
          <w:spacing w:val="-3"/>
        </w:rPr>
        <w:t>生</w:t>
      </w:r>
      <w:r>
        <w:rPr/>
        <w:t>效</w:t>
      </w:r>
      <w:r>
        <w:rPr>
          <w:spacing w:val="-3"/>
        </w:rPr>
        <w:t>日</w:t>
      </w:r>
      <w:r>
        <w:rPr/>
        <w:t>或</w:t>
      </w:r>
      <w:r>
        <w:rPr>
          <w:spacing w:val="-3"/>
        </w:rPr>
        <w:t>最</w:t>
      </w:r>
      <w:r>
        <w:rPr/>
        <w:t>后复</w:t>
      </w:r>
      <w:r>
        <w:rPr>
          <w:spacing w:val="-3"/>
        </w:rPr>
        <w:t>效</w:t>
      </w:r>
      <w:r>
        <w:rPr/>
        <w:t>日</w:t>
      </w:r>
      <w:r>
        <w:rPr>
          <w:spacing w:val="-3"/>
        </w:rPr>
        <w:t>（</w:t>
      </w:r>
      <w:r>
        <w:rPr/>
        <w:t>以</w:t>
      </w:r>
      <w:r>
        <w:rPr>
          <w:spacing w:val="-3"/>
        </w:rPr>
        <w:t>较</w:t>
      </w:r>
      <w:r>
        <w:rPr/>
        <w:t>迟</w:t>
      </w:r>
      <w:r>
        <w:rPr>
          <w:spacing w:val="-3"/>
        </w:rPr>
        <w:t>者</w:t>
      </w:r>
      <w:r>
        <w:rPr/>
        <w:t>为</w:t>
      </w:r>
      <w:r>
        <w:rPr>
          <w:spacing w:val="-3"/>
        </w:rPr>
        <w:t>准</w:t>
      </w:r>
      <w:r>
        <w:rPr/>
        <w:t>）起</w:t>
      </w:r>
      <w:r>
        <w:rPr>
          <w:spacing w:val="-41"/>
        </w:rPr>
        <w:t> </w:t>
      </w:r>
      <w:r>
        <w:rPr/>
        <w:t>180</w:t>
      </w:r>
      <w:r>
        <w:rPr>
          <w:spacing w:val="-41"/>
        </w:rPr>
        <w:t> </w:t>
      </w:r>
      <w:r>
        <w:rPr>
          <w:spacing w:val="-3"/>
        </w:rPr>
        <w:t>日</w:t>
      </w:r>
      <w:r>
        <w:rPr/>
        <w:t>之</w:t>
      </w:r>
      <w:r>
        <w:rPr>
          <w:spacing w:val="-3"/>
        </w:rPr>
        <w:t>内</w:t>
      </w:r>
      <w:r>
        <w:rPr/>
        <w:t>（</w:t>
      </w:r>
      <w:r>
        <w:rPr>
          <w:spacing w:val="-3"/>
        </w:rPr>
        <w:t>含</w:t>
      </w:r>
      <w:r>
        <w:rPr/>
        <w:t>第</w:t>
      </w:r>
      <w:r>
        <w:rPr>
          <w:spacing w:val="-41"/>
        </w:rPr>
        <w:t> </w:t>
      </w:r>
      <w:r>
        <w:rPr>
          <w:spacing w:val="-3"/>
        </w:rPr>
        <w:t>180</w:t>
      </w:r>
    </w:p>
    <w:p>
      <w:pPr>
        <w:spacing w:after="0" w:line="310" w:lineRule="exact"/>
        <w:sectPr>
          <w:footerReference w:type="default" r:id="rId9"/>
          <w:pgSz w:w="11900" w:h="16840"/>
          <w:pgMar w:footer="676" w:header="0" w:top="1220" w:bottom="860" w:left="800" w:right="800"/>
          <w:pgNumType w:start="2"/>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7"/>
        <w:gridCol w:w="1868"/>
        <w:gridCol w:w="7566"/>
      </w:tblGrid>
      <w:tr>
        <w:trPr>
          <w:trHeight w:val="245" w:hRule="atLeast"/>
        </w:trPr>
        <w:tc>
          <w:tcPr>
            <w:tcW w:w="2565" w:type="dxa"/>
            <w:gridSpan w:val="2"/>
            <w:vMerge w:val="restart"/>
          </w:tcPr>
          <w:p>
            <w:pPr>
              <w:pStyle w:val="TableParagraph"/>
              <w:rPr>
                <w:rFonts w:ascii="Times New Roman"/>
                <w:sz w:val="20"/>
              </w:rPr>
            </w:pPr>
          </w:p>
        </w:tc>
        <w:tc>
          <w:tcPr>
            <w:tcW w:w="7566" w:type="dxa"/>
          </w:tcPr>
          <w:p>
            <w:pPr>
              <w:pStyle w:val="TableParagraph"/>
              <w:spacing w:line="225" w:lineRule="exact"/>
              <w:ind w:left="257"/>
              <w:rPr>
                <w:sz w:val="21"/>
              </w:rPr>
            </w:pPr>
            <w:r>
              <w:rPr>
                <w:w w:val="100"/>
                <w:sz w:val="21"/>
              </w:rPr>
              <w:t>日</w:t>
            </w:r>
            <w:r>
              <w:rPr>
                <w:spacing w:val="-106"/>
                <w:w w:val="100"/>
                <w:sz w:val="21"/>
              </w:rPr>
              <w:t>）</w:t>
            </w:r>
            <w:r>
              <w:rPr>
                <w:spacing w:val="-3"/>
                <w:w w:val="100"/>
                <w:sz w:val="21"/>
              </w:rPr>
              <w:t>，若被保险人经医疗机构确诊，首次患上符合本条款定义的</w:t>
            </w:r>
            <w:r>
              <w:rPr>
                <w:rFonts w:ascii="Microsoft JhengHei" w:eastAsia="Microsoft JhengHei" w:hint="eastAsia"/>
                <w:b/>
                <w:w w:val="100"/>
                <w:sz w:val="21"/>
              </w:rPr>
              <w:t>轻症疾病</w:t>
            </w:r>
            <w:r>
              <w:rPr>
                <w:spacing w:val="-3"/>
                <w:w w:val="100"/>
                <w:sz w:val="21"/>
              </w:rPr>
              <w:t>（</w:t>
            </w:r>
            <w:r>
              <w:rPr>
                <w:w w:val="100"/>
                <w:sz w:val="21"/>
              </w:rPr>
              <w:t>见</w:t>
            </w:r>
          </w:p>
        </w:tc>
      </w:tr>
      <w:tr>
        <w:trPr>
          <w:trHeight w:val="272" w:hRule="atLeast"/>
        </w:trPr>
        <w:tc>
          <w:tcPr>
            <w:tcW w:w="2565" w:type="dxa"/>
            <w:gridSpan w:val="2"/>
            <w:vMerge/>
            <w:tcBorders>
              <w:top w:val="nil"/>
            </w:tcBorders>
          </w:tcPr>
          <w:p>
            <w:pPr>
              <w:rPr>
                <w:sz w:val="2"/>
                <w:szCs w:val="2"/>
              </w:rPr>
            </w:pPr>
          </w:p>
        </w:tc>
        <w:tc>
          <w:tcPr>
            <w:tcW w:w="7566" w:type="dxa"/>
          </w:tcPr>
          <w:p>
            <w:pPr>
              <w:pStyle w:val="TableParagraph"/>
              <w:spacing w:line="241" w:lineRule="exact"/>
              <w:ind w:left="257"/>
              <w:rPr>
                <w:sz w:val="21"/>
              </w:rPr>
            </w:pPr>
            <w:r>
              <w:rPr>
                <w:w w:val="100"/>
                <w:sz w:val="21"/>
              </w:rPr>
              <w:t>10.7</w:t>
            </w:r>
            <w:r>
              <w:rPr>
                <w:spacing w:val="-108"/>
                <w:w w:val="100"/>
                <w:sz w:val="21"/>
              </w:rPr>
              <w:t>）</w:t>
            </w:r>
            <w:r>
              <w:rPr>
                <w:spacing w:val="-3"/>
                <w:w w:val="100"/>
                <w:sz w:val="21"/>
              </w:rPr>
              <w:t>，我们不承担给付轻症疾病保险金的责任，本主险合同继续有效。</w:t>
            </w:r>
            <w:r>
              <w:rPr>
                <w:w w:val="100"/>
                <w:sz w:val="21"/>
              </w:rPr>
              <w:t> </w:t>
            </w:r>
          </w:p>
        </w:tc>
      </w:tr>
      <w:tr>
        <w:trPr>
          <w:trHeight w:val="272" w:hRule="atLeast"/>
        </w:trPr>
        <w:tc>
          <w:tcPr>
            <w:tcW w:w="2565" w:type="dxa"/>
            <w:gridSpan w:val="2"/>
            <w:vMerge/>
            <w:tcBorders>
              <w:top w:val="nil"/>
            </w:tcBorders>
          </w:tcPr>
          <w:p>
            <w:pPr>
              <w:rPr>
                <w:sz w:val="2"/>
                <w:szCs w:val="2"/>
              </w:rPr>
            </w:pPr>
          </w:p>
        </w:tc>
        <w:tc>
          <w:tcPr>
            <w:tcW w:w="7566" w:type="dxa"/>
          </w:tcPr>
          <w:p>
            <w:pPr>
              <w:pStyle w:val="TableParagraph"/>
              <w:spacing w:line="242" w:lineRule="exact"/>
              <w:ind w:left="257"/>
              <w:rPr>
                <w:sz w:val="21"/>
              </w:rPr>
            </w:pPr>
            <w:r>
              <w:rPr>
                <w:spacing w:val="-5"/>
                <w:sz w:val="21"/>
              </w:rPr>
              <w:t>自本主险合同生效日或最后复效日</w:t>
            </w:r>
            <w:r>
              <w:rPr>
                <w:sz w:val="21"/>
              </w:rPr>
              <w:t>（</w:t>
            </w:r>
            <w:r>
              <w:rPr>
                <w:spacing w:val="-3"/>
                <w:sz w:val="21"/>
              </w:rPr>
              <w:t>以较迟者为准</w:t>
            </w:r>
            <w:r>
              <w:rPr>
                <w:spacing w:val="-22"/>
                <w:sz w:val="21"/>
              </w:rPr>
              <w:t>）</w:t>
            </w:r>
            <w:r>
              <w:rPr>
                <w:spacing w:val="-21"/>
                <w:sz w:val="21"/>
              </w:rPr>
              <w:t>起 </w:t>
            </w:r>
            <w:r>
              <w:rPr>
                <w:sz w:val="21"/>
              </w:rPr>
              <w:t>180</w:t>
            </w:r>
            <w:r>
              <w:rPr>
                <w:spacing w:val="-12"/>
                <w:sz w:val="21"/>
              </w:rPr>
              <w:t> 日之后(不含第 </w:t>
            </w:r>
            <w:r>
              <w:rPr>
                <w:sz w:val="21"/>
              </w:rPr>
              <w:t>180</w:t>
            </w:r>
          </w:p>
        </w:tc>
      </w:tr>
      <w:tr>
        <w:trPr>
          <w:trHeight w:val="272" w:hRule="atLeast"/>
        </w:trPr>
        <w:tc>
          <w:tcPr>
            <w:tcW w:w="2565" w:type="dxa"/>
            <w:gridSpan w:val="2"/>
            <w:vMerge/>
            <w:tcBorders>
              <w:top w:val="nil"/>
            </w:tcBorders>
          </w:tcPr>
          <w:p>
            <w:pPr>
              <w:rPr>
                <w:sz w:val="2"/>
                <w:szCs w:val="2"/>
              </w:rPr>
            </w:pPr>
          </w:p>
        </w:tc>
        <w:tc>
          <w:tcPr>
            <w:tcW w:w="7566" w:type="dxa"/>
          </w:tcPr>
          <w:p>
            <w:pPr>
              <w:pStyle w:val="TableParagraph"/>
              <w:spacing w:line="241" w:lineRule="exact"/>
              <w:ind w:left="257"/>
              <w:rPr>
                <w:sz w:val="21"/>
              </w:rPr>
            </w:pPr>
            <w:r>
              <w:rPr>
                <w:sz w:val="21"/>
              </w:rPr>
              <w:t>日)，若被保险人经医疗机构确诊，首次患上符合本条款定义的轻症疾病，且自</w:t>
            </w:r>
          </w:p>
        </w:tc>
      </w:tr>
      <w:tr>
        <w:trPr>
          <w:trHeight w:val="272" w:hRule="atLeast"/>
        </w:trPr>
        <w:tc>
          <w:tcPr>
            <w:tcW w:w="2565" w:type="dxa"/>
            <w:gridSpan w:val="2"/>
            <w:vMerge/>
            <w:tcBorders>
              <w:top w:val="nil"/>
            </w:tcBorders>
          </w:tcPr>
          <w:p>
            <w:pPr>
              <w:rPr>
                <w:sz w:val="2"/>
                <w:szCs w:val="2"/>
              </w:rPr>
            </w:pPr>
          </w:p>
        </w:tc>
        <w:tc>
          <w:tcPr>
            <w:tcW w:w="7566" w:type="dxa"/>
          </w:tcPr>
          <w:p>
            <w:pPr>
              <w:pStyle w:val="TableParagraph"/>
              <w:spacing w:line="242" w:lineRule="exact"/>
              <w:ind w:left="257"/>
              <w:rPr>
                <w:sz w:val="21"/>
              </w:rPr>
            </w:pPr>
            <w:r>
              <w:rPr>
                <w:spacing w:val="-9"/>
                <w:sz w:val="21"/>
              </w:rPr>
              <w:t>确诊之日起 </w:t>
            </w:r>
            <w:r>
              <w:rPr>
                <w:sz w:val="21"/>
              </w:rPr>
              <w:t>30</w:t>
            </w:r>
            <w:r>
              <w:rPr>
                <w:spacing w:val="-17"/>
                <w:sz w:val="21"/>
              </w:rPr>
              <w:t> 日后</w:t>
            </w:r>
            <w:r>
              <w:rPr>
                <w:sz w:val="21"/>
              </w:rPr>
              <w:t>（</w:t>
            </w:r>
            <w:r>
              <w:rPr>
                <w:spacing w:val="-13"/>
                <w:sz w:val="21"/>
              </w:rPr>
              <w:t>不含第 </w:t>
            </w:r>
            <w:r>
              <w:rPr>
                <w:sz w:val="21"/>
              </w:rPr>
              <w:t>30</w:t>
            </w:r>
            <w:r>
              <w:rPr>
                <w:spacing w:val="-23"/>
                <w:sz w:val="21"/>
              </w:rPr>
              <w:t> 日</w:t>
            </w:r>
            <w:r>
              <w:rPr>
                <w:spacing w:val="-3"/>
                <w:sz w:val="21"/>
              </w:rPr>
              <w:t>）仍生存，我们将按本主险合同的基本保险</w:t>
            </w:r>
          </w:p>
        </w:tc>
      </w:tr>
      <w:tr>
        <w:trPr>
          <w:trHeight w:val="272" w:hRule="atLeast"/>
        </w:trPr>
        <w:tc>
          <w:tcPr>
            <w:tcW w:w="2565" w:type="dxa"/>
            <w:gridSpan w:val="2"/>
            <w:vMerge/>
            <w:tcBorders>
              <w:top w:val="nil"/>
            </w:tcBorders>
          </w:tcPr>
          <w:p>
            <w:pPr>
              <w:rPr>
                <w:sz w:val="2"/>
                <w:szCs w:val="2"/>
              </w:rPr>
            </w:pPr>
          </w:p>
        </w:tc>
        <w:tc>
          <w:tcPr>
            <w:tcW w:w="7566" w:type="dxa"/>
          </w:tcPr>
          <w:p>
            <w:pPr>
              <w:pStyle w:val="TableParagraph"/>
              <w:spacing w:line="241" w:lineRule="exact"/>
              <w:ind w:left="257"/>
              <w:rPr>
                <w:sz w:val="21"/>
              </w:rPr>
            </w:pPr>
            <w:r>
              <w:rPr>
                <w:spacing w:val="-6"/>
                <w:sz w:val="21"/>
              </w:rPr>
              <w:t>金额的 </w:t>
            </w:r>
            <w:r>
              <w:rPr>
                <w:sz w:val="21"/>
              </w:rPr>
              <w:t>20</w:t>
            </w:r>
            <w:r>
              <w:rPr>
                <w:spacing w:val="-6"/>
                <w:sz w:val="21"/>
              </w:rPr>
              <w:t>%给付轻症疾病保险金，轻症疾病保险责任终止，其他责任继续有效，</w:t>
            </w:r>
          </w:p>
        </w:tc>
      </w:tr>
      <w:tr>
        <w:trPr>
          <w:trHeight w:val="272" w:hRule="atLeast"/>
        </w:trPr>
        <w:tc>
          <w:tcPr>
            <w:tcW w:w="2565" w:type="dxa"/>
            <w:gridSpan w:val="2"/>
            <w:vMerge/>
            <w:tcBorders>
              <w:top w:val="nil"/>
            </w:tcBorders>
          </w:tcPr>
          <w:p>
            <w:pPr>
              <w:rPr>
                <w:sz w:val="2"/>
                <w:szCs w:val="2"/>
              </w:rPr>
            </w:pPr>
          </w:p>
        </w:tc>
        <w:tc>
          <w:tcPr>
            <w:tcW w:w="7566" w:type="dxa"/>
          </w:tcPr>
          <w:p>
            <w:pPr>
              <w:pStyle w:val="TableParagraph"/>
              <w:spacing w:line="242" w:lineRule="exact"/>
              <w:ind w:left="257"/>
              <w:rPr>
                <w:sz w:val="21"/>
              </w:rPr>
            </w:pPr>
            <w:r>
              <w:rPr>
                <w:sz w:val="21"/>
              </w:rPr>
              <w:t>基本保险金额保持不变。 </w:t>
            </w:r>
          </w:p>
        </w:tc>
      </w:tr>
      <w:tr>
        <w:trPr>
          <w:trHeight w:val="272" w:hRule="atLeast"/>
        </w:trPr>
        <w:tc>
          <w:tcPr>
            <w:tcW w:w="2565" w:type="dxa"/>
            <w:gridSpan w:val="2"/>
            <w:vMerge/>
            <w:tcBorders>
              <w:top w:val="nil"/>
            </w:tcBorders>
          </w:tcPr>
          <w:p>
            <w:pPr>
              <w:rPr>
                <w:sz w:val="2"/>
                <w:szCs w:val="2"/>
              </w:rPr>
            </w:pPr>
          </w:p>
        </w:tc>
        <w:tc>
          <w:tcPr>
            <w:tcW w:w="7566" w:type="dxa"/>
          </w:tcPr>
          <w:p>
            <w:pPr>
              <w:pStyle w:val="TableParagraph"/>
              <w:spacing w:line="241" w:lineRule="exact"/>
              <w:ind w:left="257"/>
              <w:rPr>
                <w:sz w:val="21"/>
              </w:rPr>
            </w:pPr>
            <w:r>
              <w:rPr>
                <w:sz w:val="21"/>
              </w:rPr>
              <w:t>被保险人经医疗机构确诊首次患上符合本条款定义的多种轻症疾病的，轻症疾</w:t>
            </w:r>
          </w:p>
        </w:tc>
      </w:tr>
      <w:tr>
        <w:trPr>
          <w:trHeight w:val="247" w:hRule="atLeast"/>
        </w:trPr>
        <w:tc>
          <w:tcPr>
            <w:tcW w:w="2565" w:type="dxa"/>
            <w:gridSpan w:val="2"/>
            <w:vMerge/>
            <w:tcBorders>
              <w:top w:val="nil"/>
            </w:tcBorders>
          </w:tcPr>
          <w:p>
            <w:pPr>
              <w:rPr>
                <w:sz w:val="2"/>
                <w:szCs w:val="2"/>
              </w:rPr>
            </w:pPr>
          </w:p>
        </w:tc>
        <w:tc>
          <w:tcPr>
            <w:tcW w:w="7566" w:type="dxa"/>
          </w:tcPr>
          <w:p>
            <w:pPr>
              <w:pStyle w:val="TableParagraph"/>
              <w:spacing w:line="227" w:lineRule="exact"/>
              <w:ind w:left="257"/>
              <w:rPr>
                <w:sz w:val="21"/>
              </w:rPr>
            </w:pPr>
            <w:r>
              <w:rPr>
                <w:sz w:val="21"/>
              </w:rPr>
              <w:t>病保险金的给付以本主险合同的基本保险金额的 20%为限。 </w:t>
            </w:r>
          </w:p>
        </w:tc>
      </w:tr>
      <w:tr>
        <w:trPr>
          <w:trHeight w:val="231" w:hRule="atLeast"/>
        </w:trPr>
        <w:tc>
          <w:tcPr>
            <w:tcW w:w="697" w:type="dxa"/>
          </w:tcPr>
          <w:p>
            <w:pPr>
              <w:pStyle w:val="TableParagraph"/>
              <w:spacing w:line="212" w:lineRule="exact"/>
              <w:ind w:left="107"/>
              <w:rPr>
                <w:sz w:val="21"/>
              </w:rPr>
            </w:pPr>
            <w:r>
              <w:rPr>
                <w:w w:val="100"/>
                <w:sz w:val="21"/>
              </w:rPr>
              <w:t> </w:t>
            </w:r>
          </w:p>
        </w:tc>
        <w:tc>
          <w:tcPr>
            <w:tcW w:w="1868" w:type="dxa"/>
          </w:tcPr>
          <w:p>
            <w:pPr>
              <w:pStyle w:val="TableParagraph"/>
              <w:spacing w:line="212" w:lineRule="exact"/>
              <w:ind w:left="166"/>
              <w:rPr>
                <w:sz w:val="21"/>
              </w:rPr>
            </w:pPr>
            <w:r>
              <w:rPr>
                <w:w w:val="100"/>
                <w:sz w:val="21"/>
              </w:rPr>
              <w:t> </w:t>
            </w:r>
          </w:p>
        </w:tc>
        <w:tc>
          <w:tcPr>
            <w:tcW w:w="7566" w:type="dxa"/>
          </w:tcPr>
          <w:p>
            <w:pPr>
              <w:pStyle w:val="TableParagraph"/>
              <w:spacing w:line="212" w:lineRule="exact"/>
              <w:ind w:left="257"/>
              <w:rPr>
                <w:sz w:val="21"/>
              </w:rPr>
            </w:pPr>
            <w:r>
              <w:rPr>
                <w:w w:val="100"/>
                <w:sz w:val="21"/>
              </w:rPr>
              <w:t> </w:t>
            </w:r>
          </w:p>
        </w:tc>
      </w:tr>
      <w:tr>
        <w:trPr>
          <w:trHeight w:val="273" w:hRule="atLeast"/>
        </w:trPr>
        <w:tc>
          <w:tcPr>
            <w:tcW w:w="697" w:type="dxa"/>
          </w:tcPr>
          <w:p>
            <w:pPr>
              <w:pStyle w:val="TableParagraph"/>
              <w:spacing w:line="254" w:lineRule="exact"/>
              <w:ind w:left="107"/>
              <w:rPr>
                <w:rFonts w:ascii="Microsoft JhengHei"/>
                <w:b/>
                <w:sz w:val="21"/>
              </w:rPr>
            </w:pPr>
            <w:r>
              <w:rPr>
                <w:rFonts w:ascii="Microsoft JhengHei"/>
                <w:b/>
                <w:w w:val="90"/>
                <w:sz w:val="21"/>
              </w:rPr>
              <w:t>2. 4</w:t>
            </w:r>
          </w:p>
        </w:tc>
        <w:tc>
          <w:tcPr>
            <w:tcW w:w="1868" w:type="dxa"/>
          </w:tcPr>
          <w:p>
            <w:pPr>
              <w:pStyle w:val="TableParagraph"/>
              <w:spacing w:line="254" w:lineRule="exact"/>
              <w:ind w:left="166"/>
              <w:rPr>
                <w:sz w:val="21"/>
              </w:rPr>
            </w:pPr>
            <w:r>
              <w:rPr>
                <w:rFonts w:ascii="Microsoft JhengHei" w:eastAsia="Microsoft JhengHei" w:hint="eastAsia"/>
                <w:b/>
                <w:sz w:val="21"/>
              </w:rPr>
              <w:t>责任免除</w:t>
            </w:r>
            <w:r>
              <w:rPr>
                <w:sz w:val="21"/>
              </w:rPr>
              <w:t> </w:t>
            </w:r>
          </w:p>
        </w:tc>
        <w:tc>
          <w:tcPr>
            <w:tcW w:w="7566" w:type="dxa"/>
          </w:tcPr>
          <w:p>
            <w:pPr>
              <w:pStyle w:val="TableParagraph"/>
              <w:spacing w:line="254" w:lineRule="exact"/>
              <w:ind w:left="257"/>
              <w:rPr>
                <w:rFonts w:ascii="Microsoft JhengHei" w:eastAsia="Microsoft JhengHei" w:hint="eastAsia"/>
                <w:b/>
                <w:sz w:val="21"/>
              </w:rPr>
            </w:pPr>
            <w:r>
              <w:rPr>
                <w:rFonts w:ascii="Microsoft JhengHei" w:eastAsia="Microsoft JhengHei" w:hint="eastAsia"/>
                <w:b/>
                <w:sz w:val="21"/>
              </w:rPr>
              <w:t>因下列情形之一导致被保险人发生疾病、达到疾病状态或进行手术的，我们不</w:t>
            </w:r>
          </w:p>
        </w:tc>
      </w:tr>
      <w:tr>
        <w:trPr>
          <w:trHeight w:val="260" w:hRule="atLeast"/>
        </w:trPr>
        <w:tc>
          <w:tcPr>
            <w:tcW w:w="697" w:type="dxa"/>
          </w:tcPr>
          <w:p>
            <w:pPr>
              <w:pStyle w:val="TableParagraph"/>
              <w:rPr>
                <w:rFonts w:ascii="Times New Roman"/>
                <w:sz w:val="18"/>
              </w:rPr>
            </w:pPr>
          </w:p>
        </w:tc>
        <w:tc>
          <w:tcPr>
            <w:tcW w:w="1868" w:type="dxa"/>
          </w:tcPr>
          <w:p>
            <w:pPr>
              <w:pStyle w:val="TableParagraph"/>
              <w:rPr>
                <w:rFonts w:ascii="Times New Roman"/>
                <w:sz w:val="18"/>
              </w:rPr>
            </w:pPr>
          </w:p>
        </w:tc>
        <w:tc>
          <w:tcPr>
            <w:tcW w:w="7566" w:type="dxa"/>
          </w:tcPr>
          <w:p>
            <w:pPr>
              <w:pStyle w:val="TableParagraph"/>
              <w:spacing w:line="240" w:lineRule="exact"/>
              <w:ind w:left="257"/>
              <w:rPr>
                <w:rFonts w:ascii="Microsoft JhengHei" w:eastAsia="Microsoft JhengHei" w:hint="eastAsia"/>
                <w:b/>
                <w:sz w:val="21"/>
              </w:rPr>
            </w:pPr>
            <w:r>
              <w:rPr>
                <w:rFonts w:ascii="Microsoft JhengHei" w:eastAsia="Microsoft JhengHei" w:hint="eastAsia"/>
                <w:b/>
                <w:sz w:val="21"/>
              </w:rPr>
              <w:t>承担给付保险金的责任：</w:t>
            </w:r>
          </w:p>
        </w:tc>
      </w:tr>
      <w:tr>
        <w:trPr>
          <w:trHeight w:val="279"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60" w:lineRule="exact"/>
              <w:ind w:left="257"/>
              <w:rPr>
                <w:rFonts w:ascii="Microsoft JhengHei" w:eastAsia="Microsoft JhengHei" w:hint="eastAsia"/>
                <w:b/>
                <w:sz w:val="21"/>
              </w:rPr>
            </w:pPr>
            <w:r>
              <w:rPr>
                <w:rFonts w:ascii="Microsoft JhengHei" w:eastAsia="Microsoft JhengHei" w:hint="eastAsia"/>
                <w:b/>
                <w:sz w:val="21"/>
              </w:rPr>
              <w:t>（1）投保人对被保险人的故意杀害、故意伤害；</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52" w:lineRule="exact"/>
              <w:ind w:left="257"/>
              <w:rPr>
                <w:rFonts w:ascii="Microsoft JhengHei" w:eastAsia="Microsoft JhengHei" w:hint="eastAsia"/>
                <w:b/>
                <w:sz w:val="21"/>
              </w:rPr>
            </w:pPr>
            <w:r>
              <w:rPr>
                <w:rFonts w:ascii="Microsoft JhengHei" w:eastAsia="Microsoft JhengHei" w:hint="eastAsia"/>
                <w:b/>
                <w:sz w:val="21"/>
              </w:rPr>
              <w:t>（2）被保险人故意自伤、故意犯罪或者抗拒依法采取的刑事强制措施；</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52" w:lineRule="exact"/>
              <w:ind w:left="257"/>
              <w:rPr>
                <w:rFonts w:ascii="Microsoft JhengHei" w:eastAsia="Microsoft JhengHei" w:hint="eastAsia"/>
                <w:b/>
                <w:sz w:val="21"/>
              </w:rPr>
            </w:pPr>
            <w:r>
              <w:rPr>
                <w:rFonts w:ascii="Microsoft JhengHei" w:eastAsia="Microsoft JhengHei" w:hint="eastAsia"/>
                <w:b/>
                <w:sz w:val="21"/>
              </w:rPr>
              <w:t>（3）</w:t>
            </w:r>
            <w:r>
              <w:rPr>
                <w:rFonts w:ascii="Microsoft JhengHei" w:eastAsia="Microsoft JhengHei" w:hint="eastAsia"/>
                <w:b/>
                <w:spacing w:val="-2"/>
                <w:sz w:val="21"/>
              </w:rPr>
              <w:t>被保险人主动吸食或注射毒品</w:t>
            </w:r>
            <w:r>
              <w:rPr>
                <w:rFonts w:ascii="Microsoft JhengHei" w:eastAsia="Microsoft JhengHei" w:hint="eastAsia"/>
                <w:b/>
                <w:sz w:val="21"/>
              </w:rPr>
              <w:t>（</w:t>
            </w:r>
            <w:r>
              <w:rPr>
                <w:rFonts w:ascii="Microsoft JhengHei" w:eastAsia="Microsoft JhengHei" w:hint="eastAsia"/>
                <w:b/>
                <w:spacing w:val="-14"/>
                <w:sz w:val="21"/>
              </w:rPr>
              <w:t>见 </w:t>
            </w:r>
            <w:r>
              <w:rPr>
                <w:rFonts w:ascii="Microsoft JhengHei" w:eastAsia="Microsoft JhengHei" w:hint="eastAsia"/>
                <w:b/>
                <w:sz w:val="21"/>
              </w:rPr>
              <w:t>10</w:t>
            </w:r>
            <w:r>
              <w:rPr>
                <w:rFonts w:ascii="Microsoft JhengHei" w:eastAsia="Microsoft JhengHei" w:hint="eastAsia"/>
                <w:b/>
                <w:spacing w:val="-21"/>
                <w:sz w:val="21"/>
              </w:rPr>
              <w:t>. </w:t>
            </w:r>
            <w:r>
              <w:rPr>
                <w:rFonts w:ascii="Microsoft JhengHei" w:eastAsia="Microsoft JhengHei" w:hint="eastAsia"/>
                <w:b/>
                <w:sz w:val="21"/>
              </w:rPr>
              <w:t>8 </w:t>
            </w:r>
            <w:r>
              <w:rPr>
                <w:rFonts w:ascii="Microsoft JhengHei" w:eastAsia="Microsoft JhengHei" w:hint="eastAsia"/>
                <w:b/>
                <w:spacing w:val="-106"/>
                <w:sz w:val="21"/>
              </w:rPr>
              <w:t>）；</w:t>
            </w:r>
          </w:p>
        </w:tc>
      </w:tr>
      <w:tr>
        <w:trPr>
          <w:trHeight w:val="253" w:hRule="atLeast"/>
        </w:trPr>
        <w:tc>
          <w:tcPr>
            <w:tcW w:w="697" w:type="dxa"/>
          </w:tcPr>
          <w:p>
            <w:pPr>
              <w:pStyle w:val="TableParagraph"/>
              <w:rPr>
                <w:rFonts w:ascii="Times New Roman"/>
                <w:sz w:val="18"/>
              </w:rPr>
            </w:pPr>
          </w:p>
        </w:tc>
        <w:tc>
          <w:tcPr>
            <w:tcW w:w="1868" w:type="dxa"/>
          </w:tcPr>
          <w:p>
            <w:pPr>
              <w:pStyle w:val="TableParagraph"/>
              <w:rPr>
                <w:rFonts w:ascii="Times New Roman"/>
                <w:sz w:val="18"/>
              </w:rPr>
            </w:pPr>
          </w:p>
        </w:tc>
        <w:tc>
          <w:tcPr>
            <w:tcW w:w="7566" w:type="dxa"/>
          </w:tcPr>
          <w:p>
            <w:pPr>
              <w:pStyle w:val="TableParagraph"/>
              <w:spacing w:line="234" w:lineRule="exact"/>
              <w:ind w:left="257"/>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4</w:t>
            </w:r>
            <w:r>
              <w:rPr>
                <w:rFonts w:ascii="Microsoft JhengHei" w:eastAsia="Microsoft JhengHei" w:hint="eastAsia"/>
                <w:b/>
                <w:w w:val="100"/>
                <w:sz w:val="21"/>
              </w:rPr>
              <w:t>）</w:t>
            </w:r>
            <w:r>
              <w:rPr>
                <w:rFonts w:ascii="Microsoft JhengHei" w:eastAsia="Microsoft JhengHei" w:hint="eastAsia"/>
                <w:b/>
                <w:spacing w:val="-1"/>
                <w:w w:val="100"/>
                <w:sz w:val="21"/>
              </w:rPr>
              <w:t>被保险人酒后驾驶</w:t>
            </w:r>
            <w:r>
              <w:rPr>
                <w:rFonts w:ascii="Microsoft JhengHei" w:eastAsia="Microsoft JhengHei" w:hint="eastAsia"/>
                <w:b/>
                <w:spacing w:val="-3"/>
                <w:w w:val="100"/>
                <w:sz w:val="21"/>
              </w:rPr>
              <w:t>（</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9</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1"/>
                <w:w w:val="100"/>
                <w:sz w:val="21"/>
              </w:rPr>
              <w:t>、无合法有效驾驶证驾驶</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10</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w w:val="100"/>
                <w:sz w:val="21"/>
              </w:rPr>
              <w:t>，或</w:t>
            </w:r>
          </w:p>
        </w:tc>
      </w:tr>
      <w:tr>
        <w:trPr>
          <w:trHeight w:val="290"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70" w:lineRule="exact"/>
              <w:ind w:left="763"/>
              <w:rPr>
                <w:rFonts w:ascii="Microsoft JhengHei" w:eastAsia="Microsoft JhengHei" w:hint="eastAsia"/>
                <w:b/>
                <w:sz w:val="21"/>
              </w:rPr>
            </w:pPr>
            <w:r>
              <w:rPr>
                <w:rFonts w:ascii="Microsoft JhengHei" w:eastAsia="Microsoft JhengHei" w:hint="eastAsia"/>
                <w:b/>
                <w:sz w:val="21"/>
              </w:rPr>
              <w:t>驾驶无有效行驶证</w:t>
            </w:r>
            <w:r>
              <w:rPr>
                <w:rFonts w:ascii="Microsoft JhengHei" w:eastAsia="Microsoft JhengHei" w:hint="eastAsia"/>
                <w:b/>
                <w:spacing w:val="-3"/>
                <w:sz w:val="21"/>
              </w:rPr>
              <w:t>（</w:t>
            </w:r>
            <w:r>
              <w:rPr>
                <w:rFonts w:ascii="Microsoft JhengHei" w:eastAsia="Microsoft JhengHei" w:hint="eastAsia"/>
                <w:b/>
                <w:spacing w:val="-17"/>
                <w:sz w:val="21"/>
              </w:rPr>
              <w:t>见 </w:t>
            </w:r>
            <w:r>
              <w:rPr>
                <w:rFonts w:ascii="Microsoft JhengHei" w:eastAsia="Microsoft JhengHei" w:hint="eastAsia"/>
                <w:b/>
                <w:sz w:val="21"/>
              </w:rPr>
              <w:t>10</w:t>
            </w:r>
            <w:r>
              <w:rPr>
                <w:rFonts w:ascii="Microsoft JhengHei" w:eastAsia="Microsoft JhengHei" w:hint="eastAsia"/>
                <w:b/>
                <w:spacing w:val="-22"/>
                <w:sz w:val="21"/>
              </w:rPr>
              <w:t>. </w:t>
            </w:r>
            <w:r>
              <w:rPr>
                <w:rFonts w:ascii="Microsoft JhengHei" w:eastAsia="Microsoft JhengHei" w:hint="eastAsia"/>
                <w:b/>
                <w:sz w:val="21"/>
              </w:rPr>
              <w:t>11 ）的机动车（</w:t>
            </w:r>
            <w:r>
              <w:rPr>
                <w:rFonts w:ascii="Microsoft JhengHei" w:eastAsia="Microsoft JhengHei" w:hint="eastAsia"/>
                <w:b/>
                <w:spacing w:val="-17"/>
                <w:sz w:val="21"/>
              </w:rPr>
              <w:t>见 </w:t>
            </w:r>
            <w:r>
              <w:rPr>
                <w:rFonts w:ascii="Microsoft JhengHei" w:eastAsia="Microsoft JhengHei" w:hint="eastAsia"/>
                <w:b/>
                <w:sz w:val="21"/>
              </w:rPr>
              <w:t>10</w:t>
            </w:r>
            <w:r>
              <w:rPr>
                <w:rFonts w:ascii="Microsoft JhengHei" w:eastAsia="Microsoft JhengHei" w:hint="eastAsia"/>
                <w:b/>
                <w:spacing w:val="-22"/>
                <w:sz w:val="21"/>
              </w:rPr>
              <w:t>. </w:t>
            </w:r>
            <w:r>
              <w:rPr>
                <w:rFonts w:ascii="Microsoft JhengHei" w:eastAsia="Microsoft JhengHei" w:hint="eastAsia"/>
                <w:b/>
                <w:sz w:val="21"/>
              </w:rPr>
              <w:t>12 </w:t>
            </w:r>
            <w:r>
              <w:rPr>
                <w:rFonts w:ascii="Microsoft JhengHei" w:eastAsia="Microsoft JhengHei" w:hint="eastAsia"/>
                <w:b/>
                <w:spacing w:val="-106"/>
                <w:sz w:val="21"/>
              </w:rPr>
              <w:t>）；</w:t>
            </w:r>
          </w:p>
        </w:tc>
      </w:tr>
      <w:tr>
        <w:trPr>
          <w:trHeight w:val="272" w:hRule="atLeast"/>
        </w:trPr>
        <w:tc>
          <w:tcPr>
            <w:tcW w:w="697" w:type="dxa"/>
          </w:tcPr>
          <w:p>
            <w:pPr>
              <w:pStyle w:val="TableParagraph"/>
              <w:rPr>
                <w:rFonts w:ascii="Times New Roman"/>
                <w:sz w:val="18"/>
              </w:rPr>
            </w:pPr>
          </w:p>
        </w:tc>
        <w:tc>
          <w:tcPr>
            <w:tcW w:w="1868" w:type="dxa"/>
          </w:tcPr>
          <w:p>
            <w:pPr>
              <w:pStyle w:val="TableParagraph"/>
              <w:rPr>
                <w:rFonts w:ascii="Times New Roman"/>
                <w:sz w:val="18"/>
              </w:rPr>
            </w:pPr>
          </w:p>
        </w:tc>
        <w:tc>
          <w:tcPr>
            <w:tcW w:w="7566" w:type="dxa"/>
          </w:tcPr>
          <w:p>
            <w:pPr>
              <w:pStyle w:val="TableParagraph"/>
              <w:spacing w:line="234" w:lineRule="exact"/>
              <w:ind w:left="257"/>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5</w:t>
            </w:r>
            <w:r>
              <w:rPr>
                <w:rFonts w:ascii="Microsoft JhengHei" w:eastAsia="Microsoft JhengHei" w:hint="eastAsia"/>
                <w:b/>
                <w:w w:val="100"/>
                <w:sz w:val="21"/>
              </w:rPr>
              <w:t>）</w:t>
            </w:r>
            <w:r>
              <w:rPr>
                <w:rFonts w:ascii="Microsoft JhengHei" w:eastAsia="Microsoft JhengHei" w:hint="eastAsia"/>
                <w:b/>
                <w:spacing w:val="-2"/>
                <w:w w:val="100"/>
                <w:sz w:val="21"/>
              </w:rPr>
              <w:t>先天性畸形、变形或染色体异常</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13</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2"/>
                <w:w w:val="100"/>
                <w:sz w:val="21"/>
              </w:rPr>
              <w:t>，遗传性疾病</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14</w:t>
            </w:r>
            <w:r>
              <w:rPr>
                <w:rFonts w:ascii="Microsoft JhengHei" w:eastAsia="Microsoft JhengHei" w:hint="eastAsia"/>
                <w:b/>
                <w:spacing w:val="-33"/>
                <w:sz w:val="21"/>
              </w:rPr>
              <w:t> </w:t>
            </w:r>
            <w:r>
              <w:rPr>
                <w:rFonts w:ascii="Microsoft JhengHei" w:eastAsia="Microsoft JhengHei" w:hint="eastAsia"/>
                <w:b/>
                <w:spacing w:val="-106"/>
                <w:w w:val="100"/>
                <w:sz w:val="21"/>
              </w:rPr>
              <w:t>）；</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52" w:lineRule="exact"/>
              <w:ind w:left="257"/>
              <w:rPr>
                <w:rFonts w:ascii="Microsoft JhengHei" w:eastAsia="Microsoft JhengHei" w:hint="eastAsia"/>
                <w:b/>
                <w:sz w:val="21"/>
              </w:rPr>
            </w:pPr>
            <w:r>
              <w:rPr>
                <w:rFonts w:ascii="Microsoft JhengHei" w:eastAsia="Microsoft JhengHei" w:hint="eastAsia"/>
                <w:b/>
                <w:sz w:val="21"/>
              </w:rPr>
              <w:t>（6）战争、军事冲突、暴乱或武装叛乱；</w:t>
            </w:r>
          </w:p>
        </w:tc>
      </w:tr>
      <w:tr>
        <w:trPr>
          <w:trHeight w:val="277"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57" w:lineRule="exact"/>
              <w:ind w:left="257"/>
              <w:rPr>
                <w:rFonts w:ascii="Microsoft JhengHei" w:eastAsia="Microsoft JhengHei" w:hint="eastAsia"/>
                <w:b/>
                <w:sz w:val="21"/>
              </w:rPr>
            </w:pPr>
            <w:r>
              <w:rPr>
                <w:rFonts w:ascii="Microsoft JhengHei" w:eastAsia="Microsoft JhengHei" w:hint="eastAsia"/>
                <w:b/>
                <w:w w:val="95"/>
                <w:sz w:val="21"/>
              </w:rPr>
              <w:t>（7）核爆炸、核辐射或核污染。</w:t>
            </w:r>
          </w:p>
        </w:tc>
      </w:tr>
      <w:tr>
        <w:trPr>
          <w:trHeight w:val="260" w:hRule="atLeast"/>
        </w:trPr>
        <w:tc>
          <w:tcPr>
            <w:tcW w:w="697" w:type="dxa"/>
          </w:tcPr>
          <w:p>
            <w:pPr>
              <w:pStyle w:val="TableParagraph"/>
              <w:rPr>
                <w:rFonts w:ascii="Times New Roman"/>
                <w:sz w:val="18"/>
              </w:rPr>
            </w:pPr>
          </w:p>
        </w:tc>
        <w:tc>
          <w:tcPr>
            <w:tcW w:w="1868" w:type="dxa"/>
          </w:tcPr>
          <w:p>
            <w:pPr>
              <w:pStyle w:val="TableParagraph"/>
              <w:rPr>
                <w:rFonts w:ascii="Times New Roman"/>
                <w:sz w:val="18"/>
              </w:rPr>
            </w:pPr>
          </w:p>
        </w:tc>
        <w:tc>
          <w:tcPr>
            <w:tcW w:w="7566" w:type="dxa"/>
          </w:tcPr>
          <w:p>
            <w:pPr>
              <w:pStyle w:val="TableParagraph"/>
              <w:spacing w:line="240" w:lineRule="exact"/>
              <w:ind w:left="257"/>
              <w:rPr>
                <w:rFonts w:ascii="Microsoft JhengHei" w:eastAsia="Microsoft JhengHei" w:hint="eastAsia"/>
                <w:b/>
                <w:sz w:val="21"/>
              </w:rPr>
            </w:pPr>
            <w:r>
              <w:rPr>
                <w:rFonts w:ascii="Microsoft JhengHei" w:eastAsia="Microsoft JhengHei" w:hint="eastAsia"/>
                <w:b/>
                <w:sz w:val="21"/>
              </w:rPr>
              <w:t>发生上述情形导致被保险人发生疾病、达到疾病状态或进行手术的，本主险合</w:t>
            </w:r>
          </w:p>
        </w:tc>
      </w:tr>
      <w:tr>
        <w:trPr>
          <w:trHeight w:val="463" w:hRule="atLeast"/>
        </w:trPr>
        <w:tc>
          <w:tcPr>
            <w:tcW w:w="697" w:type="dxa"/>
          </w:tcPr>
          <w:p>
            <w:pPr>
              <w:pStyle w:val="TableParagraph"/>
              <w:spacing w:before="9"/>
              <w:rPr>
                <w:sz w:val="14"/>
              </w:rPr>
            </w:pPr>
          </w:p>
          <w:p>
            <w:pPr>
              <w:pStyle w:val="TableParagraph"/>
              <w:spacing w:line="250" w:lineRule="exact" w:before="1"/>
              <w:ind w:left="107"/>
              <w:rPr>
                <w:sz w:val="21"/>
              </w:rPr>
            </w:pPr>
            <w:r>
              <w:rPr>
                <w:w w:val="100"/>
                <w:sz w:val="21"/>
              </w:rPr>
              <w:t> </w:t>
            </w:r>
          </w:p>
        </w:tc>
        <w:tc>
          <w:tcPr>
            <w:tcW w:w="1868" w:type="dxa"/>
          </w:tcPr>
          <w:p>
            <w:pPr>
              <w:pStyle w:val="TableParagraph"/>
              <w:spacing w:before="9"/>
              <w:rPr>
                <w:sz w:val="14"/>
              </w:rPr>
            </w:pPr>
          </w:p>
          <w:p>
            <w:pPr>
              <w:pStyle w:val="TableParagraph"/>
              <w:spacing w:line="250" w:lineRule="exact" w:before="1"/>
              <w:ind w:left="166"/>
              <w:rPr>
                <w:sz w:val="21"/>
              </w:rPr>
            </w:pPr>
            <w:r>
              <w:rPr>
                <w:w w:val="100"/>
                <w:sz w:val="21"/>
              </w:rPr>
              <w:t> </w:t>
            </w:r>
          </w:p>
        </w:tc>
        <w:tc>
          <w:tcPr>
            <w:tcW w:w="7566" w:type="dxa"/>
          </w:tcPr>
          <w:p>
            <w:pPr>
              <w:pStyle w:val="TableParagraph"/>
              <w:spacing w:line="232" w:lineRule="exact"/>
              <w:ind w:left="257"/>
              <w:rPr>
                <w:sz w:val="21"/>
              </w:rPr>
            </w:pPr>
            <w:r>
              <w:rPr>
                <w:rFonts w:ascii="Microsoft JhengHei" w:eastAsia="Microsoft JhengHei" w:hint="eastAsia"/>
                <w:b/>
                <w:spacing w:val="-2"/>
                <w:sz w:val="21"/>
              </w:rPr>
              <w:t>同终止，我们退还本主险合同的现金价值</w:t>
            </w:r>
            <w:r>
              <w:rPr>
                <w:rFonts w:ascii="Microsoft JhengHei" w:eastAsia="Microsoft JhengHei" w:hint="eastAsia"/>
                <w:b/>
                <w:sz w:val="21"/>
              </w:rPr>
              <w:t>（</w:t>
            </w:r>
            <w:r>
              <w:rPr>
                <w:rFonts w:ascii="Microsoft JhengHei" w:eastAsia="Microsoft JhengHei" w:hint="eastAsia"/>
                <w:b/>
                <w:spacing w:val="-13"/>
                <w:sz w:val="21"/>
              </w:rPr>
              <w:t>见 </w:t>
            </w:r>
            <w:r>
              <w:rPr>
                <w:rFonts w:ascii="Microsoft JhengHei" w:eastAsia="Microsoft JhengHei" w:hint="eastAsia"/>
                <w:b/>
                <w:sz w:val="21"/>
              </w:rPr>
              <w:t>10</w:t>
            </w:r>
            <w:r>
              <w:rPr>
                <w:rFonts w:ascii="Microsoft JhengHei" w:eastAsia="Microsoft JhengHei" w:hint="eastAsia"/>
                <w:b/>
                <w:spacing w:val="-21"/>
                <w:sz w:val="21"/>
              </w:rPr>
              <w:t>. </w:t>
            </w:r>
            <w:r>
              <w:rPr>
                <w:rFonts w:ascii="Microsoft JhengHei" w:eastAsia="Microsoft JhengHei" w:hint="eastAsia"/>
                <w:b/>
                <w:sz w:val="21"/>
              </w:rPr>
              <w:t>15 </w:t>
            </w:r>
            <w:r>
              <w:rPr>
                <w:rFonts w:ascii="Microsoft JhengHei" w:eastAsia="Microsoft JhengHei" w:hint="eastAsia"/>
                <w:b/>
                <w:spacing w:val="-106"/>
                <w:sz w:val="21"/>
              </w:rPr>
              <w:t>）</w:t>
            </w:r>
            <w:r>
              <w:rPr>
                <w:rFonts w:ascii="Microsoft JhengHei" w:eastAsia="Microsoft JhengHei" w:hint="eastAsia"/>
                <w:b/>
                <w:sz w:val="21"/>
              </w:rPr>
              <w:t>。</w:t>
            </w:r>
            <w:r>
              <w:rPr>
                <w:sz w:val="21"/>
              </w:rPr>
              <w:t> </w:t>
            </w:r>
          </w:p>
          <w:p>
            <w:pPr>
              <w:pStyle w:val="TableParagraph"/>
              <w:spacing w:line="211" w:lineRule="exact"/>
              <w:ind w:left="257"/>
              <w:rPr>
                <w:sz w:val="21"/>
              </w:rPr>
            </w:pPr>
            <w:r>
              <w:rPr>
                <w:w w:val="100"/>
                <w:sz w:val="21"/>
              </w:rPr>
              <w:t> </w:t>
            </w:r>
          </w:p>
        </w:tc>
      </w:tr>
      <w:tr>
        <w:trPr>
          <w:trHeight w:val="433" w:hRule="atLeast"/>
        </w:trPr>
        <w:tc>
          <w:tcPr>
            <w:tcW w:w="697" w:type="dxa"/>
            <w:tcBorders>
              <w:bottom w:val="single" w:sz="4" w:space="0" w:color="000000"/>
            </w:tcBorders>
          </w:tcPr>
          <w:p>
            <w:pPr>
              <w:pStyle w:val="TableParagraph"/>
              <w:spacing w:line="416" w:lineRule="exact"/>
              <w:ind w:left="109"/>
              <w:rPr>
                <w:rFonts w:ascii="Times New Roman"/>
                <w:b/>
                <w:sz w:val="40"/>
              </w:rPr>
            </w:pPr>
            <w:r>
              <w:rPr>
                <w:rFonts w:ascii="Times New Roman"/>
                <w:b/>
                <w:w w:val="100"/>
                <w:sz w:val="40"/>
              </w:rPr>
              <w:t>w</w:t>
            </w:r>
          </w:p>
        </w:tc>
        <w:tc>
          <w:tcPr>
            <w:tcW w:w="1868" w:type="dxa"/>
            <w:tcBorders>
              <w:bottom w:val="single" w:sz="4" w:space="0" w:color="000000"/>
            </w:tcBorders>
          </w:tcPr>
          <w:p>
            <w:pPr>
              <w:pStyle w:val="TableParagraph"/>
              <w:spacing w:line="372" w:lineRule="exact"/>
              <w:ind w:left="166"/>
              <w:rPr>
                <w:rFonts w:ascii="Microsoft JhengHei" w:eastAsia="Microsoft JhengHei" w:hint="eastAsia"/>
                <w:b/>
                <w:sz w:val="24"/>
              </w:rPr>
            </w:pPr>
            <w:r>
              <w:rPr>
                <w:rFonts w:ascii="Microsoft JhengHei" w:eastAsia="Microsoft JhengHei" w:hint="eastAsia"/>
                <w:b/>
                <w:sz w:val="24"/>
              </w:rPr>
              <w:t>保险金的申请</w:t>
            </w:r>
          </w:p>
        </w:tc>
        <w:tc>
          <w:tcPr>
            <w:tcW w:w="7566" w:type="dxa"/>
            <w:tcBorders>
              <w:bottom w:val="single" w:sz="4" w:space="0" w:color="000000"/>
            </w:tcBorders>
          </w:tcPr>
          <w:p>
            <w:pPr>
              <w:pStyle w:val="TableParagraph"/>
              <w:spacing w:before="66"/>
              <w:ind w:right="485"/>
              <w:jc w:val="right"/>
              <w:rPr>
                <w:sz w:val="21"/>
              </w:rPr>
            </w:pPr>
            <w:r>
              <w:rPr>
                <w:w w:val="100"/>
                <w:sz w:val="21"/>
              </w:rPr>
              <w:t> </w:t>
            </w:r>
          </w:p>
        </w:tc>
      </w:tr>
      <w:tr>
        <w:trPr>
          <w:trHeight w:val="209" w:hRule="atLeast"/>
        </w:trPr>
        <w:tc>
          <w:tcPr>
            <w:tcW w:w="697" w:type="dxa"/>
            <w:tcBorders>
              <w:top w:val="single" w:sz="4" w:space="0" w:color="000000"/>
            </w:tcBorders>
          </w:tcPr>
          <w:p>
            <w:pPr>
              <w:pStyle w:val="TableParagraph"/>
              <w:spacing w:line="187" w:lineRule="exact"/>
              <w:ind w:left="107"/>
              <w:rPr>
                <w:sz w:val="21"/>
              </w:rPr>
            </w:pPr>
            <w:r>
              <w:rPr>
                <w:w w:val="100"/>
                <w:sz w:val="21"/>
              </w:rPr>
              <w:t> </w:t>
            </w:r>
          </w:p>
        </w:tc>
        <w:tc>
          <w:tcPr>
            <w:tcW w:w="1868" w:type="dxa"/>
            <w:tcBorders>
              <w:top w:val="single" w:sz="4" w:space="0" w:color="000000"/>
            </w:tcBorders>
          </w:tcPr>
          <w:p>
            <w:pPr>
              <w:pStyle w:val="TableParagraph"/>
              <w:spacing w:line="187" w:lineRule="exact"/>
              <w:ind w:left="166"/>
              <w:rPr>
                <w:sz w:val="21"/>
              </w:rPr>
            </w:pPr>
            <w:r>
              <w:rPr>
                <w:w w:val="100"/>
                <w:sz w:val="21"/>
              </w:rPr>
              <w:t> </w:t>
            </w:r>
          </w:p>
        </w:tc>
        <w:tc>
          <w:tcPr>
            <w:tcW w:w="7566" w:type="dxa"/>
            <w:tcBorders>
              <w:top w:val="single" w:sz="4" w:space="0" w:color="000000"/>
            </w:tcBorders>
          </w:tcPr>
          <w:p>
            <w:pPr>
              <w:pStyle w:val="TableParagraph"/>
              <w:spacing w:line="187" w:lineRule="exact"/>
              <w:ind w:left="257"/>
              <w:rPr>
                <w:sz w:val="21"/>
              </w:rPr>
            </w:pPr>
            <w:r>
              <w:rPr>
                <w:w w:val="100"/>
                <w:sz w:val="21"/>
              </w:rPr>
              <w:t> </w:t>
            </w:r>
          </w:p>
        </w:tc>
      </w:tr>
      <w:tr>
        <w:trPr>
          <w:trHeight w:val="272" w:hRule="atLeast"/>
        </w:trPr>
        <w:tc>
          <w:tcPr>
            <w:tcW w:w="697" w:type="dxa"/>
          </w:tcPr>
          <w:p>
            <w:pPr>
              <w:pStyle w:val="TableParagraph"/>
              <w:spacing w:line="253" w:lineRule="exact"/>
              <w:ind w:left="107"/>
              <w:rPr>
                <w:rFonts w:ascii="Microsoft JhengHei"/>
                <w:b/>
                <w:sz w:val="21"/>
              </w:rPr>
            </w:pPr>
            <w:r>
              <w:rPr>
                <w:rFonts w:ascii="Microsoft JhengHei"/>
                <w:b/>
                <w:w w:val="90"/>
                <w:sz w:val="21"/>
              </w:rPr>
              <w:t>3. 1</w:t>
            </w:r>
          </w:p>
        </w:tc>
        <w:tc>
          <w:tcPr>
            <w:tcW w:w="1868" w:type="dxa"/>
          </w:tcPr>
          <w:p>
            <w:pPr>
              <w:pStyle w:val="TableParagraph"/>
              <w:spacing w:line="253" w:lineRule="exact"/>
              <w:ind w:left="166"/>
              <w:rPr>
                <w:rFonts w:ascii="Microsoft JhengHei" w:eastAsia="Microsoft JhengHei" w:hint="eastAsia"/>
                <w:b/>
                <w:sz w:val="21"/>
              </w:rPr>
            </w:pPr>
            <w:r>
              <w:rPr>
                <w:rFonts w:ascii="Microsoft JhengHei" w:eastAsia="Microsoft JhengHei" w:hint="eastAsia"/>
                <w:b/>
                <w:sz w:val="21"/>
              </w:rPr>
              <w:t>受益人</w:t>
            </w:r>
          </w:p>
        </w:tc>
        <w:tc>
          <w:tcPr>
            <w:tcW w:w="7566" w:type="dxa"/>
          </w:tcPr>
          <w:p>
            <w:pPr>
              <w:pStyle w:val="TableParagraph"/>
              <w:spacing w:line="235" w:lineRule="exact"/>
              <w:ind w:left="257"/>
              <w:rPr>
                <w:sz w:val="21"/>
              </w:rPr>
            </w:pPr>
            <w:r>
              <w:rPr>
                <w:sz w:val="21"/>
              </w:rPr>
              <w:t>除本主险合同另有指定外，轻症疾病保险金与重大疾病保险金的受益人为被保</w:t>
            </w:r>
          </w:p>
        </w:tc>
      </w:tr>
      <w:tr>
        <w:trPr>
          <w:trHeight w:val="264" w:hRule="atLeast"/>
        </w:trPr>
        <w:tc>
          <w:tcPr>
            <w:tcW w:w="697" w:type="dxa"/>
          </w:tcPr>
          <w:p>
            <w:pPr>
              <w:pStyle w:val="TableParagraph"/>
              <w:rPr>
                <w:rFonts w:ascii="Times New Roman"/>
                <w:sz w:val="18"/>
              </w:rPr>
            </w:pPr>
          </w:p>
        </w:tc>
        <w:tc>
          <w:tcPr>
            <w:tcW w:w="1868" w:type="dxa"/>
          </w:tcPr>
          <w:p>
            <w:pPr>
              <w:pStyle w:val="TableParagraph"/>
              <w:rPr>
                <w:rFonts w:ascii="Times New Roman"/>
                <w:sz w:val="18"/>
              </w:rPr>
            </w:pPr>
          </w:p>
        </w:tc>
        <w:tc>
          <w:tcPr>
            <w:tcW w:w="7566" w:type="dxa"/>
          </w:tcPr>
          <w:p>
            <w:pPr>
              <w:pStyle w:val="TableParagraph"/>
              <w:spacing w:line="234" w:lineRule="exact"/>
              <w:ind w:left="257"/>
              <w:rPr>
                <w:sz w:val="21"/>
              </w:rPr>
            </w:pPr>
            <w:r>
              <w:rPr>
                <w:sz w:val="21"/>
              </w:rPr>
              <w:t>险人本人。</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42" w:lineRule="exact"/>
              <w:ind w:left="257"/>
              <w:rPr>
                <w:sz w:val="21"/>
              </w:rPr>
            </w:pPr>
            <w:r>
              <w:rPr>
                <w:sz w:val="21"/>
              </w:rPr>
              <w:t>被保险人为无民事行为能力人或限制民事行为能力人的，可以由其监护人指定</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41" w:lineRule="exact"/>
              <w:ind w:left="257"/>
              <w:rPr>
                <w:sz w:val="21"/>
              </w:rPr>
            </w:pPr>
            <w:r>
              <w:rPr>
                <w:sz w:val="21"/>
              </w:rPr>
              <w:t>受益人。</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42" w:lineRule="exact"/>
              <w:ind w:left="257"/>
              <w:rPr>
                <w:sz w:val="21"/>
              </w:rPr>
            </w:pPr>
            <w:r>
              <w:rPr>
                <w:sz w:val="21"/>
              </w:rPr>
              <w:t>受益人为数人的，被保险人或者投保人可以确定受益顺序和受益份额；未确定</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41" w:lineRule="exact"/>
              <w:ind w:left="257"/>
              <w:rPr>
                <w:sz w:val="21"/>
              </w:rPr>
            </w:pPr>
            <w:r>
              <w:rPr>
                <w:sz w:val="21"/>
              </w:rPr>
              <w:t>受益份额的，受益人按照相等份额享有受益权。 </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42" w:lineRule="exact"/>
              <w:ind w:left="257"/>
              <w:rPr>
                <w:sz w:val="21"/>
              </w:rPr>
            </w:pPr>
            <w:r>
              <w:rPr>
                <w:sz w:val="21"/>
              </w:rPr>
              <w:t>您或者被保险人可以变更受益人并书面通知我们。我们收到变更受益人的书面</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41" w:lineRule="exact"/>
              <w:ind w:left="257"/>
              <w:rPr>
                <w:sz w:val="21"/>
              </w:rPr>
            </w:pPr>
            <w:r>
              <w:rPr>
                <w:sz w:val="21"/>
              </w:rPr>
              <w:t>通知后，在保险单或者其他保险凭证上批注或者附贴批单。 </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42" w:lineRule="exact"/>
              <w:ind w:left="257"/>
              <w:rPr>
                <w:sz w:val="21"/>
              </w:rPr>
            </w:pPr>
            <w:r>
              <w:rPr>
                <w:sz w:val="21"/>
              </w:rPr>
              <w:t>您指定或变更受益人时须经被保险人同意。 </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41" w:lineRule="exact"/>
              <w:ind w:left="257"/>
              <w:rPr>
                <w:sz w:val="21"/>
              </w:rPr>
            </w:pPr>
            <w:r>
              <w:rPr>
                <w:sz w:val="21"/>
              </w:rPr>
              <w:t>被保险人身故后，遇有下列情形之一的，保险金作为被保险人的遗产，由我们</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42" w:lineRule="exact"/>
              <w:ind w:left="257"/>
              <w:rPr>
                <w:sz w:val="21"/>
              </w:rPr>
            </w:pPr>
            <w:r>
              <w:rPr>
                <w:sz w:val="21"/>
              </w:rPr>
              <w:t>依照《中华人民共和国继承法》的规定履行给付保险金的义务： </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41" w:lineRule="exact"/>
              <w:ind w:left="257"/>
              <w:rPr>
                <w:sz w:val="21"/>
              </w:rPr>
            </w:pPr>
            <w:r>
              <w:rPr>
                <w:sz w:val="21"/>
              </w:rPr>
              <w:t>（1）没有指定受益人，或者受益人指定不明无法确定的；  </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42" w:lineRule="exact"/>
              <w:ind w:left="257"/>
              <w:rPr>
                <w:sz w:val="21"/>
              </w:rPr>
            </w:pPr>
            <w:r>
              <w:rPr>
                <w:sz w:val="21"/>
              </w:rPr>
              <w:t>（2）受益人先于被保险人身故，没有其他受益人的； </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41" w:lineRule="exact"/>
              <w:ind w:left="257"/>
              <w:rPr>
                <w:sz w:val="21"/>
              </w:rPr>
            </w:pPr>
            <w:r>
              <w:rPr>
                <w:sz w:val="21"/>
              </w:rPr>
              <w:t>（3）受益人依法丧失受益权或者放弃受益权，没有其他受益人的。 </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42" w:lineRule="exact"/>
              <w:ind w:left="257"/>
              <w:rPr>
                <w:sz w:val="21"/>
              </w:rPr>
            </w:pPr>
            <w:r>
              <w:rPr>
                <w:sz w:val="21"/>
              </w:rPr>
              <w:t>受益人与被保险人在同一事件中身故，且不能确定身故顺序的，推定受益人身</w:t>
            </w:r>
          </w:p>
        </w:tc>
      </w:tr>
      <w:tr>
        <w:trPr>
          <w:trHeight w:val="271"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41" w:lineRule="exact"/>
              <w:ind w:left="257"/>
              <w:rPr>
                <w:sz w:val="21"/>
              </w:rPr>
            </w:pPr>
            <w:r>
              <w:rPr>
                <w:sz w:val="21"/>
              </w:rPr>
              <w:t>故在先。 </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52" w:lineRule="exact"/>
              <w:ind w:left="257"/>
              <w:rPr>
                <w:rFonts w:ascii="Microsoft JhengHei" w:eastAsia="Microsoft JhengHei" w:hint="eastAsia"/>
                <w:b/>
                <w:sz w:val="21"/>
              </w:rPr>
            </w:pPr>
            <w:r>
              <w:rPr>
                <w:rFonts w:ascii="Microsoft JhengHei" w:eastAsia="Microsoft JhengHei" w:hint="eastAsia"/>
                <w:b/>
                <w:spacing w:val="-10"/>
                <w:sz w:val="21"/>
              </w:rPr>
              <w:t>受益人故意造成被保险人死亡、伤残、疾病的，或者故意杀害被保险人未遂的，</w:t>
            </w:r>
          </w:p>
        </w:tc>
      </w:tr>
      <w:tr>
        <w:trPr>
          <w:trHeight w:val="247" w:hRule="atLeast"/>
        </w:trPr>
        <w:tc>
          <w:tcPr>
            <w:tcW w:w="697" w:type="dxa"/>
          </w:tcPr>
          <w:p>
            <w:pPr>
              <w:pStyle w:val="TableParagraph"/>
              <w:rPr>
                <w:rFonts w:ascii="Times New Roman"/>
                <w:sz w:val="18"/>
              </w:rPr>
            </w:pPr>
          </w:p>
        </w:tc>
        <w:tc>
          <w:tcPr>
            <w:tcW w:w="1868" w:type="dxa"/>
          </w:tcPr>
          <w:p>
            <w:pPr>
              <w:pStyle w:val="TableParagraph"/>
              <w:rPr>
                <w:rFonts w:ascii="Times New Roman"/>
                <w:sz w:val="18"/>
              </w:rPr>
            </w:pPr>
          </w:p>
        </w:tc>
        <w:tc>
          <w:tcPr>
            <w:tcW w:w="7566" w:type="dxa"/>
          </w:tcPr>
          <w:p>
            <w:pPr>
              <w:pStyle w:val="TableParagraph"/>
              <w:spacing w:line="227" w:lineRule="exact"/>
              <w:ind w:left="257"/>
              <w:rPr>
                <w:rFonts w:ascii="Microsoft JhengHei" w:eastAsia="Microsoft JhengHei" w:hint="eastAsia"/>
                <w:b/>
                <w:sz w:val="21"/>
              </w:rPr>
            </w:pPr>
            <w:r>
              <w:rPr>
                <w:rFonts w:ascii="Microsoft JhengHei" w:eastAsia="Microsoft JhengHei" w:hint="eastAsia"/>
                <w:b/>
                <w:sz w:val="21"/>
              </w:rPr>
              <w:t>该受益人丧失受益权。</w:t>
            </w:r>
          </w:p>
        </w:tc>
      </w:tr>
      <w:tr>
        <w:trPr>
          <w:trHeight w:val="231" w:hRule="atLeast"/>
        </w:trPr>
        <w:tc>
          <w:tcPr>
            <w:tcW w:w="697" w:type="dxa"/>
          </w:tcPr>
          <w:p>
            <w:pPr>
              <w:pStyle w:val="TableParagraph"/>
              <w:spacing w:line="212" w:lineRule="exact"/>
              <w:ind w:left="107"/>
              <w:rPr>
                <w:sz w:val="21"/>
              </w:rPr>
            </w:pPr>
            <w:r>
              <w:rPr>
                <w:w w:val="100"/>
                <w:sz w:val="21"/>
              </w:rPr>
              <w:t> </w:t>
            </w:r>
          </w:p>
        </w:tc>
        <w:tc>
          <w:tcPr>
            <w:tcW w:w="1868" w:type="dxa"/>
          </w:tcPr>
          <w:p>
            <w:pPr>
              <w:pStyle w:val="TableParagraph"/>
              <w:spacing w:line="212" w:lineRule="exact"/>
              <w:ind w:left="166"/>
              <w:rPr>
                <w:sz w:val="21"/>
              </w:rPr>
            </w:pPr>
            <w:r>
              <w:rPr>
                <w:w w:val="100"/>
                <w:sz w:val="21"/>
              </w:rPr>
              <w:t> </w:t>
            </w:r>
          </w:p>
        </w:tc>
        <w:tc>
          <w:tcPr>
            <w:tcW w:w="7566" w:type="dxa"/>
          </w:tcPr>
          <w:p>
            <w:pPr>
              <w:pStyle w:val="TableParagraph"/>
              <w:spacing w:line="212" w:lineRule="exact"/>
              <w:ind w:left="257"/>
              <w:rPr>
                <w:sz w:val="21"/>
              </w:rPr>
            </w:pPr>
            <w:r>
              <w:rPr>
                <w:w w:val="100"/>
                <w:sz w:val="21"/>
              </w:rPr>
              <w:t> </w:t>
            </w:r>
          </w:p>
        </w:tc>
      </w:tr>
      <w:tr>
        <w:trPr>
          <w:trHeight w:val="273" w:hRule="atLeast"/>
        </w:trPr>
        <w:tc>
          <w:tcPr>
            <w:tcW w:w="697" w:type="dxa"/>
          </w:tcPr>
          <w:p>
            <w:pPr>
              <w:pStyle w:val="TableParagraph"/>
              <w:spacing w:line="254" w:lineRule="exact"/>
              <w:ind w:left="107"/>
              <w:rPr>
                <w:rFonts w:ascii="Microsoft JhengHei"/>
                <w:b/>
                <w:sz w:val="21"/>
              </w:rPr>
            </w:pPr>
            <w:r>
              <w:rPr>
                <w:rFonts w:ascii="Microsoft JhengHei"/>
                <w:b/>
                <w:w w:val="90"/>
                <w:sz w:val="21"/>
              </w:rPr>
              <w:t>3. 2</w:t>
            </w:r>
          </w:p>
        </w:tc>
        <w:tc>
          <w:tcPr>
            <w:tcW w:w="1868" w:type="dxa"/>
          </w:tcPr>
          <w:p>
            <w:pPr>
              <w:pStyle w:val="TableParagraph"/>
              <w:spacing w:line="254" w:lineRule="exact"/>
              <w:ind w:left="166"/>
              <w:rPr>
                <w:rFonts w:ascii="Microsoft JhengHei" w:eastAsia="Microsoft JhengHei" w:hint="eastAsia"/>
                <w:b/>
                <w:sz w:val="21"/>
              </w:rPr>
            </w:pPr>
            <w:r>
              <w:rPr>
                <w:rFonts w:ascii="Microsoft JhengHei" w:eastAsia="Microsoft JhengHei" w:hint="eastAsia"/>
                <w:b/>
                <w:sz w:val="21"/>
              </w:rPr>
              <w:t>保险事故通知</w:t>
            </w:r>
          </w:p>
        </w:tc>
        <w:tc>
          <w:tcPr>
            <w:tcW w:w="7566" w:type="dxa"/>
          </w:tcPr>
          <w:p>
            <w:pPr>
              <w:pStyle w:val="TableParagraph"/>
              <w:spacing w:line="236" w:lineRule="exact"/>
              <w:ind w:left="257"/>
              <w:rPr>
                <w:sz w:val="21"/>
              </w:rPr>
            </w:pPr>
            <w:r>
              <w:rPr>
                <w:sz w:val="21"/>
              </w:rPr>
              <w:t>请您或受益人在知道保险事故发生后 10 日内通知我们。 </w:t>
            </w:r>
          </w:p>
        </w:tc>
      </w:tr>
      <w:tr>
        <w:trPr>
          <w:trHeight w:val="264" w:hRule="atLeast"/>
        </w:trPr>
        <w:tc>
          <w:tcPr>
            <w:tcW w:w="697" w:type="dxa"/>
          </w:tcPr>
          <w:p>
            <w:pPr>
              <w:pStyle w:val="TableParagraph"/>
              <w:rPr>
                <w:rFonts w:ascii="Times New Roman"/>
                <w:sz w:val="18"/>
              </w:rPr>
            </w:pPr>
          </w:p>
        </w:tc>
        <w:tc>
          <w:tcPr>
            <w:tcW w:w="1868" w:type="dxa"/>
          </w:tcPr>
          <w:p>
            <w:pPr>
              <w:pStyle w:val="TableParagraph"/>
              <w:rPr>
                <w:rFonts w:ascii="Times New Roman"/>
                <w:sz w:val="18"/>
              </w:rPr>
            </w:pPr>
          </w:p>
        </w:tc>
        <w:tc>
          <w:tcPr>
            <w:tcW w:w="7566" w:type="dxa"/>
          </w:tcPr>
          <w:p>
            <w:pPr>
              <w:pStyle w:val="TableParagraph"/>
              <w:spacing w:line="245" w:lineRule="exact"/>
              <w:ind w:left="257"/>
              <w:rPr>
                <w:rFonts w:ascii="Microsoft JhengHei" w:eastAsia="Microsoft JhengHei" w:hint="eastAsia"/>
                <w:b/>
                <w:sz w:val="21"/>
              </w:rPr>
            </w:pPr>
            <w:r>
              <w:rPr>
                <w:rFonts w:ascii="Microsoft JhengHei" w:eastAsia="Microsoft JhengHei" w:hint="eastAsia"/>
                <w:b/>
                <w:spacing w:val="-8"/>
                <w:sz w:val="21"/>
              </w:rPr>
              <w:t>如果您或受益人故意或者因重大过失未及时通知，致使保险事故的性质、原因、</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52" w:lineRule="exact"/>
              <w:ind w:left="257"/>
              <w:rPr>
                <w:rFonts w:ascii="Microsoft JhengHei" w:eastAsia="Microsoft JhengHei" w:hint="eastAsia"/>
                <w:b/>
                <w:sz w:val="21"/>
              </w:rPr>
            </w:pPr>
            <w:r>
              <w:rPr>
                <w:rFonts w:ascii="Microsoft JhengHei" w:eastAsia="Microsoft JhengHei" w:hint="eastAsia"/>
                <w:b/>
                <w:sz w:val="21"/>
              </w:rPr>
              <w:t>损失程度等难以确定的，我们对无法确定的部分，不承担给付保险金的责任，</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41" w:lineRule="exact"/>
              <w:ind w:left="257"/>
              <w:rPr>
                <w:sz w:val="21"/>
              </w:rPr>
            </w:pPr>
            <w:r>
              <w:rPr>
                <w:sz w:val="21"/>
              </w:rPr>
              <w:t>但我们通过其他途径已经及时知道或者应当及时知道保险事故发生的或者虽未</w:t>
            </w:r>
          </w:p>
        </w:tc>
      </w:tr>
      <w:tr>
        <w:trPr>
          <w:trHeight w:val="247" w:hRule="atLeast"/>
        </w:trPr>
        <w:tc>
          <w:tcPr>
            <w:tcW w:w="697" w:type="dxa"/>
          </w:tcPr>
          <w:p>
            <w:pPr>
              <w:pStyle w:val="TableParagraph"/>
              <w:rPr>
                <w:rFonts w:ascii="Times New Roman"/>
                <w:sz w:val="18"/>
              </w:rPr>
            </w:pPr>
          </w:p>
        </w:tc>
        <w:tc>
          <w:tcPr>
            <w:tcW w:w="1868" w:type="dxa"/>
          </w:tcPr>
          <w:p>
            <w:pPr>
              <w:pStyle w:val="TableParagraph"/>
              <w:rPr>
                <w:rFonts w:ascii="Times New Roman"/>
                <w:sz w:val="18"/>
              </w:rPr>
            </w:pPr>
          </w:p>
        </w:tc>
        <w:tc>
          <w:tcPr>
            <w:tcW w:w="7566" w:type="dxa"/>
          </w:tcPr>
          <w:p>
            <w:pPr>
              <w:pStyle w:val="TableParagraph"/>
              <w:spacing w:line="227" w:lineRule="exact"/>
              <w:ind w:left="257"/>
              <w:rPr>
                <w:sz w:val="21"/>
              </w:rPr>
            </w:pPr>
            <w:r>
              <w:rPr>
                <w:sz w:val="21"/>
              </w:rPr>
              <w:t>及时通知但不影响我们确定保险事故的性质、原因、损失程度除外。 </w:t>
            </w:r>
          </w:p>
        </w:tc>
      </w:tr>
      <w:tr>
        <w:trPr>
          <w:trHeight w:val="231" w:hRule="atLeast"/>
        </w:trPr>
        <w:tc>
          <w:tcPr>
            <w:tcW w:w="697" w:type="dxa"/>
          </w:tcPr>
          <w:p>
            <w:pPr>
              <w:pStyle w:val="TableParagraph"/>
              <w:spacing w:line="212" w:lineRule="exact"/>
              <w:ind w:left="107"/>
              <w:rPr>
                <w:sz w:val="21"/>
              </w:rPr>
            </w:pPr>
            <w:r>
              <w:rPr>
                <w:w w:val="100"/>
                <w:sz w:val="21"/>
              </w:rPr>
              <w:t> </w:t>
            </w:r>
          </w:p>
        </w:tc>
        <w:tc>
          <w:tcPr>
            <w:tcW w:w="1868" w:type="dxa"/>
          </w:tcPr>
          <w:p>
            <w:pPr>
              <w:pStyle w:val="TableParagraph"/>
              <w:spacing w:line="212" w:lineRule="exact"/>
              <w:ind w:left="166"/>
              <w:rPr>
                <w:sz w:val="21"/>
              </w:rPr>
            </w:pPr>
            <w:r>
              <w:rPr>
                <w:w w:val="100"/>
                <w:sz w:val="21"/>
              </w:rPr>
              <w:t> </w:t>
            </w:r>
          </w:p>
        </w:tc>
        <w:tc>
          <w:tcPr>
            <w:tcW w:w="7566" w:type="dxa"/>
          </w:tcPr>
          <w:p>
            <w:pPr>
              <w:pStyle w:val="TableParagraph"/>
              <w:spacing w:line="212" w:lineRule="exact"/>
              <w:ind w:left="257"/>
              <w:rPr>
                <w:sz w:val="21"/>
              </w:rPr>
            </w:pPr>
            <w:r>
              <w:rPr>
                <w:w w:val="100"/>
                <w:sz w:val="21"/>
              </w:rPr>
              <w:t> </w:t>
            </w:r>
          </w:p>
        </w:tc>
      </w:tr>
      <w:tr>
        <w:trPr>
          <w:trHeight w:val="251" w:hRule="atLeast"/>
        </w:trPr>
        <w:tc>
          <w:tcPr>
            <w:tcW w:w="697" w:type="dxa"/>
          </w:tcPr>
          <w:p>
            <w:pPr>
              <w:pStyle w:val="TableParagraph"/>
              <w:spacing w:line="232" w:lineRule="exact"/>
              <w:ind w:left="107"/>
              <w:rPr>
                <w:sz w:val="21"/>
              </w:rPr>
            </w:pPr>
            <w:r>
              <w:rPr>
                <w:rFonts w:ascii="Microsoft JhengHei"/>
                <w:b/>
                <w:w w:val="90"/>
                <w:sz w:val="21"/>
              </w:rPr>
              <w:t>3. 3</w:t>
            </w:r>
            <w:r>
              <w:rPr>
                <w:rFonts w:ascii="Microsoft JhengHei"/>
                <w:b/>
                <w:sz w:val="21"/>
              </w:rPr>
              <w:t> </w:t>
            </w:r>
            <w:r>
              <w:rPr>
                <w:w w:val="100"/>
                <w:sz w:val="21"/>
              </w:rPr>
              <w:t> </w:t>
            </w:r>
          </w:p>
        </w:tc>
        <w:tc>
          <w:tcPr>
            <w:tcW w:w="1868" w:type="dxa"/>
          </w:tcPr>
          <w:p>
            <w:pPr>
              <w:pStyle w:val="TableParagraph"/>
              <w:spacing w:line="232" w:lineRule="exact"/>
              <w:ind w:left="167"/>
              <w:rPr>
                <w:rFonts w:ascii="Microsoft JhengHei" w:eastAsia="Microsoft JhengHei" w:hint="eastAsia"/>
                <w:b/>
                <w:sz w:val="21"/>
              </w:rPr>
            </w:pPr>
            <w:r>
              <w:rPr>
                <w:rFonts w:ascii="Microsoft JhengHei" w:eastAsia="Microsoft JhengHei" w:hint="eastAsia"/>
                <w:b/>
                <w:sz w:val="21"/>
              </w:rPr>
              <w:t>保险金申请</w:t>
            </w:r>
          </w:p>
        </w:tc>
        <w:tc>
          <w:tcPr>
            <w:tcW w:w="7566" w:type="dxa"/>
          </w:tcPr>
          <w:p>
            <w:pPr>
              <w:pStyle w:val="TableParagraph"/>
              <w:spacing w:line="232" w:lineRule="exact"/>
              <w:ind w:left="271"/>
              <w:rPr>
                <w:sz w:val="21"/>
              </w:rPr>
            </w:pPr>
            <w:r>
              <w:rPr>
                <w:sz w:val="21"/>
              </w:rPr>
              <w:t>在申请保险金时，请按照下列方式办理： </w:t>
            </w:r>
          </w:p>
        </w:tc>
      </w:tr>
    </w:tbl>
    <w:p>
      <w:pPr>
        <w:spacing w:after="0" w:line="232" w:lineRule="exact"/>
        <w:rPr>
          <w:sz w:val="21"/>
        </w:rPr>
        <w:sectPr>
          <w:pgSz w:w="11900" w:h="16840"/>
          <w:pgMar w:header="0" w:footer="676" w:top="1220" w:bottom="860" w:left="800" w:right="740"/>
        </w:sectPr>
      </w:pPr>
    </w:p>
    <w:p>
      <w:pPr>
        <w:pStyle w:val="Heading2"/>
        <w:spacing w:line="182" w:lineRule="auto" w:before="161"/>
        <w:ind w:left="976"/>
      </w:pPr>
      <w:r>
        <w:rPr/>
        <w:t>重大疾病保险金申请</w:t>
      </w:r>
    </w:p>
    <w:p>
      <w:pPr>
        <w:spacing w:line="211" w:lineRule="exact" w:before="0"/>
        <w:ind w:left="247" w:right="0" w:firstLine="0"/>
        <w:jc w:val="left"/>
        <w:rPr>
          <w:sz w:val="21"/>
        </w:rPr>
      </w:pPr>
      <w:r>
        <w:rPr/>
        <w:br w:type="column"/>
      </w:r>
      <w:r>
        <w:rPr>
          <w:w w:val="100"/>
          <w:sz w:val="21"/>
        </w:rPr>
        <w:t> </w:t>
      </w:r>
    </w:p>
    <w:p>
      <w:pPr>
        <w:pStyle w:val="BodyText"/>
        <w:spacing w:line="221" w:lineRule="exact"/>
        <w:ind w:left="233"/>
      </w:pPr>
      <w:r>
        <w:rPr/>
        <w:t>在申请重大疾病保险金时，申请人须填写保险金给付申请书，并提供下列证明</w:t>
      </w:r>
    </w:p>
    <w:p>
      <w:pPr>
        <w:pStyle w:val="BodyText"/>
        <w:spacing w:line="273" w:lineRule="exact"/>
        <w:ind w:left="233"/>
      </w:pPr>
      <w:r>
        <w:rPr/>
        <w:t>和资料： </w:t>
      </w:r>
    </w:p>
    <w:p>
      <w:pPr>
        <w:spacing w:after="0" w:line="273" w:lineRule="exact"/>
        <w:sectPr>
          <w:type w:val="continuous"/>
          <w:pgSz w:w="11900" w:h="16840"/>
          <w:pgMar w:top="360" w:bottom="1120" w:left="800" w:right="740"/>
          <w:cols w:num="2" w:equalWidth="0">
            <w:col w:w="2661" w:space="40"/>
            <w:col w:w="7659"/>
          </w:cols>
        </w:sectPr>
      </w:pPr>
    </w:p>
    <w:p>
      <w:pPr>
        <w:pStyle w:val="BodyText"/>
        <w:spacing w:line="240" w:lineRule="auto"/>
        <w:ind w:left="0"/>
        <w:rPr>
          <w:sz w:val="22"/>
        </w:rPr>
      </w:pPr>
    </w:p>
    <w:p>
      <w:pPr>
        <w:pStyle w:val="BodyText"/>
        <w:spacing w:line="240" w:lineRule="auto"/>
        <w:ind w:left="0"/>
        <w:rPr>
          <w:sz w:val="22"/>
        </w:rPr>
      </w:pPr>
    </w:p>
    <w:p>
      <w:pPr>
        <w:pStyle w:val="BodyText"/>
        <w:spacing w:line="240" w:lineRule="auto"/>
        <w:ind w:left="0"/>
        <w:rPr>
          <w:sz w:val="22"/>
        </w:rPr>
      </w:pPr>
    </w:p>
    <w:p>
      <w:pPr>
        <w:pStyle w:val="BodyText"/>
        <w:spacing w:line="240" w:lineRule="auto"/>
        <w:ind w:left="0"/>
        <w:rPr>
          <w:sz w:val="22"/>
        </w:rPr>
      </w:pPr>
    </w:p>
    <w:p>
      <w:pPr>
        <w:pStyle w:val="BodyText"/>
        <w:spacing w:line="240" w:lineRule="auto"/>
        <w:ind w:left="0"/>
        <w:rPr>
          <w:sz w:val="22"/>
        </w:rPr>
      </w:pPr>
    </w:p>
    <w:p>
      <w:pPr>
        <w:pStyle w:val="BodyText"/>
        <w:spacing w:line="240" w:lineRule="auto" w:before="10"/>
        <w:ind w:left="0"/>
        <w:rPr>
          <w:sz w:val="30"/>
        </w:rPr>
      </w:pPr>
    </w:p>
    <w:p>
      <w:pPr>
        <w:pStyle w:val="Heading2"/>
        <w:spacing w:line="182" w:lineRule="auto" w:before="1"/>
        <w:ind w:left="976"/>
      </w:pPr>
      <w:r>
        <w:rPr/>
        <w:t>轻症疾病保险金申请</w:t>
      </w:r>
    </w:p>
    <w:p>
      <w:pPr>
        <w:pStyle w:val="BodyText"/>
        <w:spacing w:line="273" w:lineRule="exact" w:before="7"/>
        <w:ind w:left="233"/>
      </w:pPr>
      <w:r>
        <w:rPr/>
        <w:br w:type="column"/>
      </w:r>
      <w:r>
        <w:rPr/>
        <w:t>（1）保险合同； </w:t>
      </w:r>
    </w:p>
    <w:p>
      <w:pPr>
        <w:pStyle w:val="BodyText"/>
        <w:spacing w:line="239" w:lineRule="exact"/>
        <w:ind w:left="233"/>
      </w:pPr>
      <w:r>
        <w:rPr/>
        <w:t>（2）申请人的有效身份证件； </w:t>
      </w:r>
    </w:p>
    <w:p>
      <w:pPr>
        <w:pStyle w:val="BodyText"/>
        <w:spacing w:line="218" w:lineRule="auto"/>
        <w:ind w:left="737" w:right="188" w:hanging="504"/>
      </w:pPr>
      <w:r>
        <w:rPr/>
        <w:t>（3）医疗机构根据本主险合同释义中“</w:t>
      </w:r>
      <w:r>
        <w:rPr>
          <w:rFonts w:ascii="Microsoft JhengHei" w:hAnsi="Microsoft JhengHei" w:eastAsia="Microsoft JhengHei" w:hint="eastAsia"/>
          <w:b/>
        </w:rPr>
        <w:t>10. 6 重大疾病</w:t>
      </w:r>
      <w:r>
        <w:rPr/>
        <w:t>”定义，出具的被保险人的病历、必要病理检验、血液检验及其他科学诊断报告或手术证明； </w:t>
      </w:r>
    </w:p>
    <w:p>
      <w:pPr>
        <w:pStyle w:val="BodyText"/>
        <w:ind w:left="247"/>
      </w:pPr>
      <w:r>
        <w:rPr/>
        <w:t>（4）所能够提供的与确认保险事故的性质、原因、伤害程度等有关的其他证明</w:t>
      </w:r>
    </w:p>
    <w:p>
      <w:pPr>
        <w:pStyle w:val="BodyText"/>
        <w:spacing w:line="247" w:lineRule="exact"/>
        <w:ind w:left="233"/>
      </w:pPr>
      <w:r>
        <w:rPr/>
        <w:t>和资料。 </w:t>
      </w:r>
    </w:p>
    <w:p>
      <w:pPr>
        <w:pStyle w:val="BodyText"/>
        <w:spacing w:line="236" w:lineRule="exact"/>
        <w:ind w:left="233"/>
      </w:pPr>
      <w:r>
        <w:rPr>
          <w:w w:val="100"/>
        </w:rPr>
        <w:t> </w:t>
      </w:r>
    </w:p>
    <w:p>
      <w:pPr>
        <w:pStyle w:val="BodyText"/>
        <w:spacing w:line="262" w:lineRule="exact"/>
        <w:ind w:left="233"/>
      </w:pPr>
      <w:r>
        <w:rPr/>
        <w:t>在申请轻症疾病保险金时，申请人须填写保险金给付申请书，并提供下列证明</w:t>
      </w:r>
    </w:p>
    <w:p>
      <w:pPr>
        <w:pStyle w:val="BodyText"/>
        <w:ind w:left="233"/>
      </w:pPr>
      <w:r>
        <w:rPr/>
        <w:t>和资料： </w:t>
      </w:r>
    </w:p>
    <w:p>
      <w:pPr>
        <w:pStyle w:val="BodyText"/>
        <w:ind w:left="233"/>
      </w:pPr>
      <w:r>
        <w:rPr/>
        <w:t>（1）保险合同； </w:t>
      </w:r>
    </w:p>
    <w:p>
      <w:pPr>
        <w:pStyle w:val="BodyText"/>
        <w:spacing w:line="239" w:lineRule="exact"/>
        <w:ind w:left="233"/>
      </w:pPr>
      <w:r>
        <w:rPr/>
        <w:t>（2）申请人的有效身份证件； </w:t>
      </w:r>
    </w:p>
    <w:p>
      <w:pPr>
        <w:pStyle w:val="BodyText"/>
        <w:spacing w:line="220" w:lineRule="auto"/>
        <w:ind w:left="737" w:right="188" w:hanging="504"/>
      </w:pPr>
      <w:r>
        <w:rPr/>
        <w:t>（3）医疗机构根据本主险合同释义中“</w:t>
      </w:r>
      <w:r>
        <w:rPr>
          <w:rFonts w:ascii="Microsoft JhengHei" w:hAnsi="Microsoft JhengHei" w:eastAsia="Microsoft JhengHei" w:hint="eastAsia"/>
          <w:b/>
        </w:rPr>
        <w:t>10. 7 轻症疾病</w:t>
      </w:r>
      <w:r>
        <w:rPr/>
        <w:t>”定义，出具的被保险人的病历、必要病理检验、血液检验及其他科学诊断报告或手术证明； </w:t>
      </w:r>
    </w:p>
    <w:p>
      <w:pPr>
        <w:pStyle w:val="BodyText"/>
        <w:spacing w:line="271" w:lineRule="exact" w:before="6"/>
        <w:ind w:left="233"/>
      </w:pPr>
      <w:r>
        <w:rPr/>
        <w:t>（4）所能够提供的与确认保险事故的性质、原因、伤害程度等有关的其他证明</w:t>
      </w:r>
    </w:p>
    <w:p>
      <w:pPr>
        <w:pStyle w:val="BodyText"/>
        <w:spacing w:line="274" w:lineRule="exact"/>
        <w:ind w:left="737"/>
      </w:pPr>
      <w:r>
        <w:rPr/>
        <w:t>和资料。 </w:t>
      </w:r>
    </w:p>
    <w:p>
      <w:pPr>
        <w:spacing w:after="0" w:line="274" w:lineRule="exact"/>
        <w:sectPr>
          <w:pgSz w:w="11900" w:h="16840"/>
          <w:pgMar w:header="0" w:footer="676" w:top="1160" w:bottom="860" w:left="800" w:right="800"/>
          <w:cols w:num="2" w:equalWidth="0">
            <w:col w:w="2661" w:space="40"/>
            <w:col w:w="7599"/>
          </w:cols>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1932"/>
        <w:gridCol w:w="7517"/>
      </w:tblGrid>
      <w:tr>
        <w:trPr>
          <w:trHeight w:val="1011" w:hRule="atLeast"/>
        </w:trPr>
        <w:tc>
          <w:tcPr>
            <w:tcW w:w="634" w:type="dxa"/>
          </w:tcPr>
          <w:p>
            <w:pPr>
              <w:pStyle w:val="TableParagraph"/>
              <w:spacing w:line="198" w:lineRule="exact"/>
              <w:ind w:left="107"/>
              <w:rPr>
                <w:sz w:val="21"/>
              </w:rPr>
            </w:pPr>
            <w:r>
              <w:rPr>
                <w:w w:val="100"/>
                <w:sz w:val="21"/>
              </w:rPr>
              <w:t> </w:t>
            </w:r>
          </w:p>
          <w:p>
            <w:pPr>
              <w:pStyle w:val="TableParagraph"/>
              <w:spacing w:line="262" w:lineRule="exact"/>
              <w:ind w:left="107"/>
              <w:rPr>
                <w:sz w:val="21"/>
              </w:rPr>
            </w:pPr>
            <w:r>
              <w:rPr>
                <w:w w:val="100"/>
                <w:sz w:val="21"/>
              </w:rPr>
              <w:t> </w:t>
            </w:r>
          </w:p>
        </w:tc>
        <w:tc>
          <w:tcPr>
            <w:tcW w:w="1932" w:type="dxa"/>
          </w:tcPr>
          <w:p>
            <w:pPr>
              <w:pStyle w:val="TableParagraph"/>
              <w:spacing w:before="100"/>
              <w:ind w:left="230"/>
              <w:rPr>
                <w:rFonts w:ascii="Microsoft JhengHei" w:eastAsia="Microsoft JhengHei" w:hint="eastAsia"/>
                <w:b/>
                <w:sz w:val="21"/>
              </w:rPr>
            </w:pPr>
            <w:r>
              <w:rPr>
                <w:rFonts w:ascii="Microsoft JhengHei" w:eastAsia="Microsoft JhengHei" w:hint="eastAsia"/>
                <w:b/>
                <w:sz w:val="21"/>
              </w:rPr>
              <w:t>特别注意事项</w:t>
            </w:r>
          </w:p>
        </w:tc>
        <w:tc>
          <w:tcPr>
            <w:tcW w:w="7517" w:type="dxa"/>
          </w:tcPr>
          <w:p>
            <w:pPr>
              <w:pStyle w:val="TableParagraph"/>
              <w:spacing w:line="198" w:lineRule="exact"/>
              <w:ind w:left="256"/>
              <w:rPr>
                <w:sz w:val="21"/>
              </w:rPr>
            </w:pPr>
            <w:r>
              <w:rPr>
                <w:w w:val="100"/>
                <w:sz w:val="21"/>
              </w:rPr>
              <w:t> </w:t>
            </w:r>
          </w:p>
          <w:p>
            <w:pPr>
              <w:pStyle w:val="TableParagraph"/>
              <w:ind w:left="256" w:right="113"/>
              <w:rPr>
                <w:sz w:val="21"/>
              </w:rPr>
            </w:pPr>
            <w:r>
              <w:rPr>
                <w:spacing w:val="-3"/>
                <w:sz w:val="21"/>
              </w:rPr>
              <w:t>保险金作为被保险人遗产时，必须提供可证明合法继承权的相关权利文件。 以上证明和资料不完整的，我们将及时一次性通知申请人补充提供有关证明和</w:t>
            </w:r>
          </w:p>
          <w:p>
            <w:pPr>
              <w:pStyle w:val="TableParagraph"/>
              <w:spacing w:line="257" w:lineRule="exact" w:before="12"/>
              <w:ind w:left="256"/>
              <w:rPr>
                <w:sz w:val="21"/>
              </w:rPr>
            </w:pPr>
            <w:r>
              <w:rPr>
                <w:sz w:val="21"/>
              </w:rPr>
              <w:t>资料。</w:t>
            </w:r>
          </w:p>
        </w:tc>
      </w:tr>
      <w:tr>
        <w:trPr>
          <w:trHeight w:val="231" w:hRule="atLeast"/>
        </w:trPr>
        <w:tc>
          <w:tcPr>
            <w:tcW w:w="634" w:type="dxa"/>
          </w:tcPr>
          <w:p>
            <w:pPr>
              <w:pStyle w:val="TableParagraph"/>
              <w:spacing w:line="212" w:lineRule="exact"/>
              <w:ind w:left="107"/>
              <w:rPr>
                <w:sz w:val="21"/>
              </w:rPr>
            </w:pPr>
            <w:r>
              <w:rPr>
                <w:w w:val="100"/>
                <w:sz w:val="21"/>
              </w:rPr>
              <w:t> </w:t>
            </w:r>
          </w:p>
        </w:tc>
        <w:tc>
          <w:tcPr>
            <w:tcW w:w="1932" w:type="dxa"/>
          </w:tcPr>
          <w:p>
            <w:pPr>
              <w:pStyle w:val="TableParagraph"/>
              <w:spacing w:line="212" w:lineRule="exact"/>
              <w:ind w:left="230"/>
              <w:rPr>
                <w:sz w:val="21"/>
              </w:rPr>
            </w:pPr>
            <w:r>
              <w:rPr>
                <w:w w:val="100"/>
                <w:sz w:val="21"/>
              </w:rPr>
              <w:t> </w:t>
            </w:r>
          </w:p>
        </w:tc>
        <w:tc>
          <w:tcPr>
            <w:tcW w:w="7517" w:type="dxa"/>
          </w:tcPr>
          <w:p>
            <w:pPr>
              <w:pStyle w:val="TableParagraph"/>
              <w:spacing w:line="212" w:lineRule="exact"/>
              <w:ind w:left="256"/>
              <w:rPr>
                <w:sz w:val="21"/>
              </w:rPr>
            </w:pPr>
            <w:r>
              <w:rPr>
                <w:w w:val="100"/>
                <w:sz w:val="21"/>
              </w:rPr>
              <w:t> </w:t>
            </w:r>
          </w:p>
        </w:tc>
      </w:tr>
      <w:tr>
        <w:trPr>
          <w:trHeight w:val="273" w:hRule="atLeast"/>
        </w:trPr>
        <w:tc>
          <w:tcPr>
            <w:tcW w:w="634" w:type="dxa"/>
          </w:tcPr>
          <w:p>
            <w:pPr>
              <w:pStyle w:val="TableParagraph"/>
              <w:spacing w:line="254" w:lineRule="exact"/>
              <w:ind w:left="107"/>
              <w:rPr>
                <w:rFonts w:ascii="Microsoft JhengHei"/>
                <w:b/>
                <w:sz w:val="21"/>
              </w:rPr>
            </w:pPr>
            <w:r>
              <w:rPr>
                <w:rFonts w:ascii="Microsoft JhengHei"/>
                <w:b/>
                <w:w w:val="90"/>
                <w:sz w:val="21"/>
              </w:rPr>
              <w:t>3. 4</w:t>
            </w:r>
          </w:p>
        </w:tc>
        <w:tc>
          <w:tcPr>
            <w:tcW w:w="1932" w:type="dxa"/>
          </w:tcPr>
          <w:p>
            <w:pPr>
              <w:pStyle w:val="TableParagraph"/>
              <w:spacing w:line="254" w:lineRule="exact"/>
              <w:ind w:left="230"/>
              <w:rPr>
                <w:rFonts w:ascii="Microsoft JhengHei" w:eastAsia="Microsoft JhengHei" w:hint="eastAsia"/>
                <w:b/>
                <w:sz w:val="21"/>
              </w:rPr>
            </w:pPr>
            <w:r>
              <w:rPr>
                <w:rFonts w:ascii="Microsoft JhengHei" w:eastAsia="Microsoft JhengHei" w:hint="eastAsia"/>
                <w:b/>
                <w:sz w:val="21"/>
              </w:rPr>
              <w:t>保险金给付</w:t>
            </w:r>
          </w:p>
        </w:tc>
        <w:tc>
          <w:tcPr>
            <w:tcW w:w="7517" w:type="dxa"/>
          </w:tcPr>
          <w:p>
            <w:pPr>
              <w:pStyle w:val="TableParagraph"/>
              <w:spacing w:line="235" w:lineRule="exact"/>
              <w:ind w:left="256"/>
              <w:rPr>
                <w:sz w:val="21"/>
              </w:rPr>
            </w:pPr>
            <w:r>
              <w:rPr>
                <w:sz w:val="21"/>
              </w:rPr>
              <w:t>我们在收到保险金给付申请书及本主险合同约定的证明和资料后，将在 5 日内</w:t>
            </w:r>
          </w:p>
        </w:tc>
      </w:tr>
      <w:tr>
        <w:trPr>
          <w:trHeight w:val="264" w:hRule="atLeast"/>
        </w:trPr>
        <w:tc>
          <w:tcPr>
            <w:tcW w:w="634" w:type="dxa"/>
          </w:tcPr>
          <w:p>
            <w:pPr>
              <w:pStyle w:val="TableParagraph"/>
              <w:rPr>
                <w:rFonts w:ascii="Times New Roman"/>
                <w:sz w:val="18"/>
              </w:rPr>
            </w:pPr>
          </w:p>
        </w:tc>
        <w:tc>
          <w:tcPr>
            <w:tcW w:w="1932" w:type="dxa"/>
          </w:tcPr>
          <w:p>
            <w:pPr>
              <w:pStyle w:val="TableParagraph"/>
              <w:rPr>
                <w:rFonts w:ascii="Times New Roman"/>
                <w:sz w:val="18"/>
              </w:rPr>
            </w:pPr>
          </w:p>
        </w:tc>
        <w:tc>
          <w:tcPr>
            <w:tcW w:w="7517" w:type="dxa"/>
          </w:tcPr>
          <w:p>
            <w:pPr>
              <w:pStyle w:val="TableParagraph"/>
              <w:spacing w:line="235" w:lineRule="exact"/>
              <w:ind w:left="256"/>
              <w:rPr>
                <w:sz w:val="21"/>
              </w:rPr>
            </w:pPr>
            <w:r>
              <w:rPr>
                <w:spacing w:val="-10"/>
                <w:sz w:val="21"/>
              </w:rPr>
              <w:t>作出核定；情形复杂的，在 </w:t>
            </w:r>
            <w:r>
              <w:rPr>
                <w:sz w:val="21"/>
              </w:rPr>
              <w:t>30</w:t>
            </w:r>
            <w:r>
              <w:rPr>
                <w:spacing w:val="-11"/>
                <w:sz w:val="21"/>
              </w:rPr>
              <w:t> 日内作出核定。对属于保险责任的，我们在与受</w:t>
            </w:r>
          </w:p>
        </w:tc>
      </w:tr>
      <w:tr>
        <w:trPr>
          <w:trHeight w:val="27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41" w:lineRule="exact"/>
              <w:ind w:left="256"/>
              <w:rPr>
                <w:sz w:val="21"/>
              </w:rPr>
            </w:pPr>
            <w:r>
              <w:rPr>
                <w:sz w:val="21"/>
              </w:rPr>
              <w:t>益人达成给付保险金的协议后 10 日内，履行给付保险金义务。 </w:t>
            </w:r>
          </w:p>
        </w:tc>
      </w:tr>
      <w:tr>
        <w:trPr>
          <w:trHeight w:val="27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42" w:lineRule="exact"/>
              <w:ind w:left="256"/>
              <w:rPr>
                <w:sz w:val="21"/>
              </w:rPr>
            </w:pPr>
            <w:r>
              <w:rPr>
                <w:sz w:val="21"/>
              </w:rPr>
              <w:t>我们未及时履行前款规定义务的，除支付保险金外，应当赔偿受益人因此受到</w:t>
            </w:r>
          </w:p>
        </w:tc>
      </w:tr>
      <w:tr>
        <w:trPr>
          <w:trHeight w:val="266" w:hRule="atLeast"/>
        </w:trPr>
        <w:tc>
          <w:tcPr>
            <w:tcW w:w="634" w:type="dxa"/>
          </w:tcPr>
          <w:p>
            <w:pPr>
              <w:pStyle w:val="TableParagraph"/>
              <w:rPr>
                <w:rFonts w:ascii="Times New Roman"/>
                <w:sz w:val="18"/>
              </w:rPr>
            </w:pPr>
          </w:p>
        </w:tc>
        <w:tc>
          <w:tcPr>
            <w:tcW w:w="1932" w:type="dxa"/>
          </w:tcPr>
          <w:p>
            <w:pPr>
              <w:pStyle w:val="TableParagraph"/>
              <w:rPr>
                <w:rFonts w:ascii="Times New Roman"/>
                <w:sz w:val="18"/>
              </w:rPr>
            </w:pPr>
          </w:p>
        </w:tc>
        <w:tc>
          <w:tcPr>
            <w:tcW w:w="7517" w:type="dxa"/>
          </w:tcPr>
          <w:p>
            <w:pPr>
              <w:pStyle w:val="TableParagraph"/>
              <w:spacing w:line="241" w:lineRule="exact"/>
              <w:ind w:left="256"/>
              <w:rPr>
                <w:sz w:val="21"/>
              </w:rPr>
            </w:pPr>
            <w:r>
              <w:rPr>
                <w:sz w:val="21"/>
              </w:rPr>
              <w:t>的损失。 </w:t>
            </w:r>
          </w:p>
        </w:tc>
      </w:tr>
      <w:tr>
        <w:trPr>
          <w:trHeight w:val="284"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65" w:lineRule="exact"/>
              <w:ind w:left="256"/>
              <w:rPr>
                <w:rFonts w:ascii="Microsoft JhengHei" w:eastAsia="Microsoft JhengHei" w:hint="eastAsia"/>
                <w:b/>
                <w:sz w:val="21"/>
              </w:rPr>
            </w:pPr>
            <w:r>
              <w:rPr>
                <w:rFonts w:ascii="Microsoft JhengHei" w:eastAsia="Microsoft JhengHei" w:hint="eastAsia"/>
                <w:b/>
                <w:sz w:val="21"/>
              </w:rPr>
              <w:t>对不属于保险责任的，我们自作出核定之日起 3 日内向受益人发出拒绝给付保</w:t>
            </w:r>
          </w:p>
        </w:tc>
      </w:tr>
      <w:tr>
        <w:trPr>
          <w:trHeight w:val="264" w:hRule="atLeast"/>
        </w:trPr>
        <w:tc>
          <w:tcPr>
            <w:tcW w:w="634" w:type="dxa"/>
          </w:tcPr>
          <w:p>
            <w:pPr>
              <w:pStyle w:val="TableParagraph"/>
              <w:rPr>
                <w:rFonts w:ascii="Times New Roman"/>
                <w:sz w:val="18"/>
              </w:rPr>
            </w:pPr>
          </w:p>
        </w:tc>
        <w:tc>
          <w:tcPr>
            <w:tcW w:w="1932" w:type="dxa"/>
          </w:tcPr>
          <w:p>
            <w:pPr>
              <w:pStyle w:val="TableParagraph"/>
              <w:rPr>
                <w:rFonts w:ascii="Times New Roman"/>
                <w:sz w:val="18"/>
              </w:rPr>
            </w:pPr>
          </w:p>
        </w:tc>
        <w:tc>
          <w:tcPr>
            <w:tcW w:w="7517" w:type="dxa"/>
          </w:tcPr>
          <w:p>
            <w:pPr>
              <w:pStyle w:val="TableParagraph"/>
              <w:spacing w:line="245" w:lineRule="exact"/>
              <w:ind w:left="256"/>
              <w:rPr>
                <w:rFonts w:ascii="Microsoft JhengHei" w:eastAsia="Microsoft JhengHei" w:hint="eastAsia"/>
                <w:b/>
                <w:sz w:val="21"/>
              </w:rPr>
            </w:pPr>
            <w:r>
              <w:rPr>
                <w:rFonts w:ascii="Microsoft JhengHei" w:eastAsia="Microsoft JhengHei" w:hint="eastAsia"/>
                <w:b/>
                <w:sz w:val="21"/>
              </w:rPr>
              <w:t>险金通知书并说明理由。</w:t>
            </w:r>
          </w:p>
        </w:tc>
      </w:tr>
      <w:tr>
        <w:trPr>
          <w:trHeight w:val="27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41" w:lineRule="exact"/>
              <w:ind w:left="256"/>
              <w:rPr>
                <w:sz w:val="21"/>
              </w:rPr>
            </w:pPr>
            <w:r>
              <w:rPr>
                <w:spacing w:val="-5"/>
                <w:sz w:val="21"/>
              </w:rPr>
              <w:t>我们在收到保险金给付申请书及有关证明和资料之日起 </w:t>
            </w:r>
            <w:r>
              <w:rPr>
                <w:sz w:val="21"/>
              </w:rPr>
              <w:t>60</w:t>
            </w:r>
            <w:r>
              <w:rPr>
                <w:spacing w:val="-17"/>
                <w:sz w:val="21"/>
              </w:rPr>
              <w:t> 日内，对给付保险金</w:t>
            </w:r>
          </w:p>
        </w:tc>
      </w:tr>
      <w:tr>
        <w:trPr>
          <w:trHeight w:val="27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42" w:lineRule="exact"/>
              <w:ind w:left="256"/>
              <w:rPr>
                <w:sz w:val="21"/>
              </w:rPr>
            </w:pPr>
            <w:r>
              <w:rPr>
                <w:sz w:val="21"/>
              </w:rPr>
              <w:t>的数额不能确定的，根据已有证明和资料可以确定的数额先予支付；我们最终</w:t>
            </w:r>
          </w:p>
        </w:tc>
      </w:tr>
      <w:tr>
        <w:trPr>
          <w:trHeight w:val="247" w:hRule="atLeast"/>
        </w:trPr>
        <w:tc>
          <w:tcPr>
            <w:tcW w:w="634" w:type="dxa"/>
          </w:tcPr>
          <w:p>
            <w:pPr>
              <w:pStyle w:val="TableParagraph"/>
              <w:rPr>
                <w:rFonts w:ascii="Times New Roman"/>
                <w:sz w:val="18"/>
              </w:rPr>
            </w:pPr>
          </w:p>
        </w:tc>
        <w:tc>
          <w:tcPr>
            <w:tcW w:w="1932" w:type="dxa"/>
          </w:tcPr>
          <w:p>
            <w:pPr>
              <w:pStyle w:val="TableParagraph"/>
              <w:rPr>
                <w:rFonts w:ascii="Times New Roman"/>
                <w:sz w:val="18"/>
              </w:rPr>
            </w:pPr>
          </w:p>
        </w:tc>
        <w:tc>
          <w:tcPr>
            <w:tcW w:w="7517" w:type="dxa"/>
          </w:tcPr>
          <w:p>
            <w:pPr>
              <w:pStyle w:val="TableParagraph"/>
              <w:spacing w:line="227" w:lineRule="exact"/>
              <w:ind w:left="256"/>
              <w:rPr>
                <w:sz w:val="21"/>
              </w:rPr>
            </w:pPr>
            <w:r>
              <w:rPr>
                <w:sz w:val="21"/>
              </w:rPr>
              <w:t>确定给付保险金的数额后，将支付相应的差额。</w:t>
            </w:r>
          </w:p>
        </w:tc>
      </w:tr>
      <w:tr>
        <w:trPr>
          <w:trHeight w:val="231" w:hRule="atLeast"/>
        </w:trPr>
        <w:tc>
          <w:tcPr>
            <w:tcW w:w="634" w:type="dxa"/>
          </w:tcPr>
          <w:p>
            <w:pPr>
              <w:pStyle w:val="TableParagraph"/>
              <w:spacing w:line="212" w:lineRule="exact"/>
              <w:ind w:left="107"/>
              <w:rPr>
                <w:sz w:val="21"/>
              </w:rPr>
            </w:pPr>
            <w:r>
              <w:rPr>
                <w:w w:val="100"/>
                <w:sz w:val="21"/>
              </w:rPr>
              <w:t> </w:t>
            </w:r>
          </w:p>
        </w:tc>
        <w:tc>
          <w:tcPr>
            <w:tcW w:w="1932" w:type="dxa"/>
          </w:tcPr>
          <w:p>
            <w:pPr>
              <w:pStyle w:val="TableParagraph"/>
              <w:spacing w:line="212" w:lineRule="exact"/>
              <w:ind w:left="230"/>
              <w:rPr>
                <w:sz w:val="21"/>
              </w:rPr>
            </w:pPr>
            <w:r>
              <w:rPr>
                <w:w w:val="100"/>
                <w:sz w:val="21"/>
              </w:rPr>
              <w:t> </w:t>
            </w:r>
          </w:p>
        </w:tc>
        <w:tc>
          <w:tcPr>
            <w:tcW w:w="7517" w:type="dxa"/>
          </w:tcPr>
          <w:p>
            <w:pPr>
              <w:pStyle w:val="TableParagraph"/>
              <w:spacing w:line="212" w:lineRule="exact"/>
              <w:ind w:left="256"/>
              <w:rPr>
                <w:sz w:val="21"/>
              </w:rPr>
            </w:pPr>
            <w:r>
              <w:rPr>
                <w:w w:val="100"/>
                <w:sz w:val="21"/>
              </w:rPr>
              <w:t> </w:t>
            </w:r>
          </w:p>
        </w:tc>
      </w:tr>
      <w:tr>
        <w:trPr>
          <w:trHeight w:val="274" w:hRule="atLeast"/>
        </w:trPr>
        <w:tc>
          <w:tcPr>
            <w:tcW w:w="634" w:type="dxa"/>
          </w:tcPr>
          <w:p>
            <w:pPr>
              <w:pStyle w:val="TableParagraph"/>
              <w:spacing w:line="254" w:lineRule="exact"/>
              <w:ind w:left="107"/>
              <w:rPr>
                <w:rFonts w:ascii="Microsoft JhengHei"/>
                <w:b/>
                <w:sz w:val="21"/>
              </w:rPr>
            </w:pPr>
            <w:r>
              <w:rPr>
                <w:rFonts w:ascii="Microsoft JhengHei"/>
                <w:b/>
                <w:w w:val="90"/>
                <w:sz w:val="21"/>
              </w:rPr>
              <w:t>3. 5</w:t>
            </w:r>
          </w:p>
        </w:tc>
        <w:tc>
          <w:tcPr>
            <w:tcW w:w="1932" w:type="dxa"/>
          </w:tcPr>
          <w:p>
            <w:pPr>
              <w:pStyle w:val="TableParagraph"/>
              <w:spacing w:line="254" w:lineRule="exact"/>
              <w:ind w:left="230"/>
              <w:rPr>
                <w:rFonts w:ascii="Microsoft JhengHei" w:eastAsia="Microsoft JhengHei" w:hint="eastAsia"/>
                <w:b/>
                <w:sz w:val="21"/>
              </w:rPr>
            </w:pPr>
            <w:r>
              <w:rPr>
                <w:rFonts w:ascii="Microsoft JhengHei" w:eastAsia="Microsoft JhengHei" w:hint="eastAsia"/>
                <w:b/>
                <w:sz w:val="21"/>
              </w:rPr>
              <w:t>诉讼时效</w:t>
            </w:r>
          </w:p>
        </w:tc>
        <w:tc>
          <w:tcPr>
            <w:tcW w:w="7517" w:type="dxa"/>
          </w:tcPr>
          <w:p>
            <w:pPr>
              <w:pStyle w:val="TableParagraph"/>
              <w:spacing w:line="251" w:lineRule="exact"/>
              <w:ind w:left="256"/>
              <w:rPr>
                <w:sz w:val="21"/>
              </w:rPr>
            </w:pPr>
            <w:r>
              <w:rPr>
                <w:sz w:val="21"/>
              </w:rPr>
              <w:t>受益人向我们请求给付保险金的诉讼时效期间为 </w:t>
            </w:r>
            <w:r>
              <w:rPr>
                <w:rFonts w:ascii="Times New Roman" w:eastAsia="Times New Roman"/>
                <w:sz w:val="21"/>
              </w:rPr>
              <w:t>2 </w:t>
            </w:r>
            <w:r>
              <w:rPr>
                <w:sz w:val="21"/>
              </w:rPr>
              <w:t>年，自其知道或者应当知道</w:t>
            </w:r>
          </w:p>
        </w:tc>
      </w:tr>
      <w:tr>
        <w:trPr>
          <w:trHeight w:val="239" w:hRule="atLeast"/>
        </w:trPr>
        <w:tc>
          <w:tcPr>
            <w:tcW w:w="634" w:type="dxa"/>
          </w:tcPr>
          <w:p>
            <w:pPr>
              <w:pStyle w:val="TableParagraph"/>
              <w:rPr>
                <w:rFonts w:ascii="Times New Roman"/>
                <w:sz w:val="16"/>
              </w:rPr>
            </w:pPr>
          </w:p>
        </w:tc>
        <w:tc>
          <w:tcPr>
            <w:tcW w:w="1932" w:type="dxa"/>
          </w:tcPr>
          <w:p>
            <w:pPr>
              <w:pStyle w:val="TableParagraph"/>
              <w:rPr>
                <w:rFonts w:ascii="Times New Roman"/>
                <w:sz w:val="16"/>
              </w:rPr>
            </w:pPr>
          </w:p>
        </w:tc>
        <w:tc>
          <w:tcPr>
            <w:tcW w:w="7517" w:type="dxa"/>
          </w:tcPr>
          <w:p>
            <w:pPr>
              <w:pStyle w:val="TableParagraph"/>
              <w:spacing w:line="219" w:lineRule="exact"/>
              <w:ind w:left="256"/>
              <w:rPr>
                <w:sz w:val="21"/>
              </w:rPr>
            </w:pPr>
            <w:r>
              <w:rPr>
                <w:sz w:val="21"/>
              </w:rPr>
              <w:t>保险事故发生之日起计算。</w:t>
            </w:r>
          </w:p>
        </w:tc>
      </w:tr>
      <w:tr>
        <w:trPr>
          <w:trHeight w:val="642" w:hRule="atLeast"/>
        </w:trPr>
        <w:tc>
          <w:tcPr>
            <w:tcW w:w="634" w:type="dxa"/>
            <w:tcBorders>
              <w:bottom w:val="single" w:sz="4" w:space="0" w:color="000000"/>
            </w:tcBorders>
          </w:tcPr>
          <w:p>
            <w:pPr>
              <w:pStyle w:val="TableParagraph"/>
              <w:spacing w:line="202" w:lineRule="exact"/>
              <w:ind w:left="107"/>
              <w:rPr>
                <w:sz w:val="21"/>
              </w:rPr>
            </w:pPr>
            <w:r>
              <w:rPr>
                <w:w w:val="100"/>
                <w:sz w:val="21"/>
              </w:rPr>
              <w:t> </w:t>
            </w:r>
          </w:p>
          <w:p>
            <w:pPr>
              <w:pStyle w:val="TableParagraph"/>
              <w:spacing w:line="425" w:lineRule="exact"/>
              <w:ind w:left="111"/>
              <w:rPr>
                <w:rFonts w:ascii="Times New Roman"/>
                <w:b/>
                <w:sz w:val="40"/>
              </w:rPr>
            </w:pPr>
            <w:r>
              <w:rPr>
                <w:rFonts w:ascii="Times New Roman"/>
                <w:b/>
                <w:w w:val="100"/>
                <w:sz w:val="40"/>
              </w:rPr>
              <w:t>x</w:t>
            </w:r>
          </w:p>
        </w:tc>
        <w:tc>
          <w:tcPr>
            <w:tcW w:w="1932" w:type="dxa"/>
            <w:tcBorders>
              <w:bottom w:val="single" w:sz="4" w:space="0" w:color="000000"/>
            </w:tcBorders>
          </w:tcPr>
          <w:p>
            <w:pPr>
              <w:pStyle w:val="TableParagraph"/>
              <w:spacing w:line="190" w:lineRule="exact"/>
              <w:ind w:left="230"/>
              <w:rPr>
                <w:sz w:val="21"/>
              </w:rPr>
            </w:pPr>
            <w:r>
              <w:rPr>
                <w:w w:val="100"/>
                <w:sz w:val="21"/>
              </w:rPr>
              <w:t> </w:t>
            </w:r>
          </w:p>
          <w:p>
            <w:pPr>
              <w:pStyle w:val="TableParagraph"/>
              <w:spacing w:line="391" w:lineRule="exact"/>
              <w:ind w:left="230"/>
              <w:rPr>
                <w:rFonts w:ascii="Microsoft JhengHei" w:eastAsia="Microsoft JhengHei" w:hint="eastAsia"/>
                <w:b/>
                <w:sz w:val="24"/>
              </w:rPr>
            </w:pPr>
            <w:r>
              <w:rPr>
                <w:rFonts w:ascii="Microsoft JhengHei" w:eastAsia="Microsoft JhengHei" w:hint="eastAsia"/>
                <w:b/>
                <w:sz w:val="24"/>
              </w:rPr>
              <w:t>保险费的支付</w:t>
            </w:r>
          </w:p>
        </w:tc>
        <w:tc>
          <w:tcPr>
            <w:tcW w:w="7517" w:type="dxa"/>
            <w:tcBorders>
              <w:bottom w:val="single" w:sz="4" w:space="0" w:color="000000"/>
            </w:tcBorders>
          </w:tcPr>
          <w:p>
            <w:pPr>
              <w:pStyle w:val="TableParagraph"/>
              <w:spacing w:line="216" w:lineRule="exact"/>
              <w:ind w:left="256"/>
              <w:rPr>
                <w:sz w:val="21"/>
              </w:rPr>
            </w:pPr>
            <w:r>
              <w:rPr>
                <w:w w:val="100"/>
                <w:sz w:val="21"/>
              </w:rPr>
              <w:t> </w:t>
            </w:r>
          </w:p>
        </w:tc>
      </w:tr>
      <w:tr>
        <w:trPr>
          <w:trHeight w:val="210" w:hRule="atLeast"/>
        </w:trPr>
        <w:tc>
          <w:tcPr>
            <w:tcW w:w="634" w:type="dxa"/>
            <w:tcBorders>
              <w:top w:val="single" w:sz="4" w:space="0" w:color="000000"/>
            </w:tcBorders>
          </w:tcPr>
          <w:p>
            <w:pPr>
              <w:pStyle w:val="TableParagraph"/>
              <w:spacing w:line="186" w:lineRule="exact"/>
              <w:ind w:left="107"/>
              <w:rPr>
                <w:sz w:val="21"/>
              </w:rPr>
            </w:pPr>
            <w:r>
              <w:rPr>
                <w:w w:val="100"/>
                <w:sz w:val="21"/>
              </w:rPr>
              <w:t> </w:t>
            </w:r>
          </w:p>
        </w:tc>
        <w:tc>
          <w:tcPr>
            <w:tcW w:w="1932" w:type="dxa"/>
            <w:tcBorders>
              <w:top w:val="single" w:sz="4" w:space="0" w:color="000000"/>
            </w:tcBorders>
          </w:tcPr>
          <w:p>
            <w:pPr>
              <w:pStyle w:val="TableParagraph"/>
              <w:spacing w:line="186" w:lineRule="exact"/>
              <w:ind w:left="230"/>
              <w:rPr>
                <w:sz w:val="21"/>
              </w:rPr>
            </w:pPr>
            <w:r>
              <w:rPr>
                <w:w w:val="100"/>
                <w:sz w:val="21"/>
              </w:rPr>
              <w:t> </w:t>
            </w:r>
          </w:p>
        </w:tc>
        <w:tc>
          <w:tcPr>
            <w:tcW w:w="7517" w:type="dxa"/>
            <w:tcBorders>
              <w:top w:val="single" w:sz="4" w:space="0" w:color="000000"/>
            </w:tcBorders>
          </w:tcPr>
          <w:p>
            <w:pPr>
              <w:pStyle w:val="TableParagraph"/>
              <w:spacing w:line="186" w:lineRule="exact"/>
              <w:ind w:left="256"/>
              <w:rPr>
                <w:sz w:val="21"/>
              </w:rPr>
            </w:pPr>
            <w:r>
              <w:rPr>
                <w:w w:val="100"/>
                <w:sz w:val="21"/>
              </w:rPr>
              <w:t> </w:t>
            </w:r>
          </w:p>
        </w:tc>
      </w:tr>
      <w:tr>
        <w:trPr>
          <w:trHeight w:val="273" w:hRule="atLeast"/>
        </w:trPr>
        <w:tc>
          <w:tcPr>
            <w:tcW w:w="634" w:type="dxa"/>
          </w:tcPr>
          <w:p>
            <w:pPr>
              <w:pStyle w:val="TableParagraph"/>
              <w:spacing w:line="254" w:lineRule="exact"/>
              <w:ind w:left="107"/>
              <w:rPr>
                <w:rFonts w:ascii="Microsoft JhengHei"/>
                <w:b/>
                <w:sz w:val="21"/>
              </w:rPr>
            </w:pPr>
            <w:r>
              <w:rPr>
                <w:rFonts w:ascii="Microsoft JhengHei"/>
                <w:b/>
                <w:w w:val="90"/>
                <w:sz w:val="21"/>
              </w:rPr>
              <w:t>4. 1</w:t>
            </w:r>
          </w:p>
        </w:tc>
        <w:tc>
          <w:tcPr>
            <w:tcW w:w="1932" w:type="dxa"/>
          </w:tcPr>
          <w:p>
            <w:pPr>
              <w:pStyle w:val="TableParagraph"/>
              <w:spacing w:line="254" w:lineRule="exact"/>
              <w:ind w:left="230"/>
              <w:rPr>
                <w:rFonts w:ascii="Microsoft JhengHei" w:eastAsia="Microsoft JhengHei" w:hint="eastAsia"/>
                <w:b/>
                <w:sz w:val="21"/>
              </w:rPr>
            </w:pPr>
            <w:r>
              <w:rPr>
                <w:rFonts w:ascii="Microsoft JhengHei" w:eastAsia="Microsoft JhengHei" w:hint="eastAsia"/>
                <w:b/>
                <w:sz w:val="21"/>
              </w:rPr>
              <w:t>保险费的支付</w:t>
            </w:r>
          </w:p>
        </w:tc>
        <w:tc>
          <w:tcPr>
            <w:tcW w:w="7517" w:type="dxa"/>
          </w:tcPr>
          <w:p>
            <w:pPr>
              <w:pStyle w:val="TableParagraph"/>
              <w:spacing w:line="236" w:lineRule="exact"/>
              <w:ind w:left="256"/>
              <w:rPr>
                <w:sz w:val="21"/>
              </w:rPr>
            </w:pPr>
            <w:r>
              <w:rPr>
                <w:sz w:val="21"/>
              </w:rPr>
              <w:t>本主险合同的交费方式和交费期间由您和我们约定并在保险单上载明。 </w:t>
            </w:r>
          </w:p>
        </w:tc>
      </w:tr>
      <w:tr>
        <w:trPr>
          <w:trHeight w:val="264" w:hRule="atLeast"/>
        </w:trPr>
        <w:tc>
          <w:tcPr>
            <w:tcW w:w="634" w:type="dxa"/>
          </w:tcPr>
          <w:p>
            <w:pPr>
              <w:pStyle w:val="TableParagraph"/>
              <w:rPr>
                <w:rFonts w:ascii="Times New Roman"/>
                <w:sz w:val="18"/>
              </w:rPr>
            </w:pPr>
          </w:p>
        </w:tc>
        <w:tc>
          <w:tcPr>
            <w:tcW w:w="1932" w:type="dxa"/>
          </w:tcPr>
          <w:p>
            <w:pPr>
              <w:pStyle w:val="TableParagraph"/>
              <w:rPr>
                <w:rFonts w:ascii="Times New Roman"/>
                <w:sz w:val="18"/>
              </w:rPr>
            </w:pPr>
          </w:p>
        </w:tc>
        <w:tc>
          <w:tcPr>
            <w:tcW w:w="7517" w:type="dxa"/>
          </w:tcPr>
          <w:p>
            <w:pPr>
              <w:pStyle w:val="TableParagraph"/>
              <w:spacing w:line="234" w:lineRule="exact"/>
              <w:ind w:left="256"/>
              <w:rPr>
                <w:sz w:val="21"/>
              </w:rPr>
            </w:pPr>
            <w:r>
              <w:rPr>
                <w:sz w:val="21"/>
              </w:rPr>
              <w:t>分期支付保险费的，在支付首期保险费后，您应当按照约定，在保险费约定支</w:t>
            </w:r>
          </w:p>
        </w:tc>
      </w:tr>
      <w:tr>
        <w:trPr>
          <w:trHeight w:val="27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42" w:lineRule="exact"/>
              <w:ind w:left="256"/>
              <w:rPr>
                <w:sz w:val="21"/>
              </w:rPr>
            </w:pPr>
            <w:r>
              <w:rPr>
                <w:sz w:val="21"/>
              </w:rPr>
              <w:t>付日支付其余各期的保险费。 </w:t>
            </w:r>
          </w:p>
        </w:tc>
      </w:tr>
      <w:tr>
        <w:trPr>
          <w:trHeight w:val="27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41" w:lineRule="exact"/>
              <w:ind w:left="256"/>
              <w:rPr>
                <w:sz w:val="21"/>
              </w:rPr>
            </w:pPr>
            <w:r>
              <w:rPr>
                <w:spacing w:val="-10"/>
                <w:sz w:val="21"/>
              </w:rPr>
              <w:t>我们保留提高和降低保险费率的权利，并在提高和降低保险费率前 </w:t>
            </w:r>
            <w:r>
              <w:rPr>
                <w:sz w:val="21"/>
              </w:rPr>
              <w:t>30</w:t>
            </w:r>
            <w:r>
              <w:rPr>
                <w:spacing w:val="-9"/>
                <w:sz w:val="21"/>
              </w:rPr>
              <w:t> 日书面通</w:t>
            </w:r>
          </w:p>
        </w:tc>
      </w:tr>
      <w:tr>
        <w:trPr>
          <w:trHeight w:val="27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42" w:lineRule="exact"/>
              <w:ind w:left="256"/>
              <w:rPr>
                <w:sz w:val="21"/>
              </w:rPr>
            </w:pPr>
            <w:r>
              <w:rPr>
                <w:sz w:val="21"/>
              </w:rPr>
              <w:t>知您。保险费率的调整针对所有被保险人或同一投保年龄的所有被保险人。我</w:t>
            </w:r>
          </w:p>
        </w:tc>
      </w:tr>
      <w:tr>
        <w:trPr>
          <w:trHeight w:val="247" w:hRule="atLeast"/>
        </w:trPr>
        <w:tc>
          <w:tcPr>
            <w:tcW w:w="634" w:type="dxa"/>
          </w:tcPr>
          <w:p>
            <w:pPr>
              <w:pStyle w:val="TableParagraph"/>
              <w:rPr>
                <w:rFonts w:ascii="Times New Roman"/>
                <w:sz w:val="18"/>
              </w:rPr>
            </w:pPr>
          </w:p>
        </w:tc>
        <w:tc>
          <w:tcPr>
            <w:tcW w:w="1932" w:type="dxa"/>
          </w:tcPr>
          <w:p>
            <w:pPr>
              <w:pStyle w:val="TableParagraph"/>
              <w:rPr>
                <w:rFonts w:ascii="Times New Roman"/>
                <w:sz w:val="18"/>
              </w:rPr>
            </w:pPr>
          </w:p>
        </w:tc>
        <w:tc>
          <w:tcPr>
            <w:tcW w:w="7517" w:type="dxa"/>
          </w:tcPr>
          <w:p>
            <w:pPr>
              <w:pStyle w:val="TableParagraph"/>
              <w:spacing w:line="227" w:lineRule="exact"/>
              <w:ind w:left="256"/>
              <w:rPr>
                <w:sz w:val="21"/>
              </w:rPr>
            </w:pPr>
            <w:r>
              <w:rPr>
                <w:sz w:val="21"/>
              </w:rPr>
              <w:t>们进行保险费率调整后，请您按调整后的保险费交付以后各期保险费。 </w:t>
            </w:r>
          </w:p>
        </w:tc>
      </w:tr>
      <w:tr>
        <w:trPr>
          <w:trHeight w:val="231" w:hRule="atLeast"/>
        </w:trPr>
        <w:tc>
          <w:tcPr>
            <w:tcW w:w="634" w:type="dxa"/>
          </w:tcPr>
          <w:p>
            <w:pPr>
              <w:pStyle w:val="TableParagraph"/>
              <w:spacing w:line="212" w:lineRule="exact"/>
              <w:ind w:left="107"/>
              <w:rPr>
                <w:sz w:val="21"/>
              </w:rPr>
            </w:pPr>
            <w:r>
              <w:rPr>
                <w:w w:val="100"/>
                <w:sz w:val="21"/>
              </w:rPr>
              <w:t> </w:t>
            </w:r>
          </w:p>
        </w:tc>
        <w:tc>
          <w:tcPr>
            <w:tcW w:w="1932" w:type="dxa"/>
          </w:tcPr>
          <w:p>
            <w:pPr>
              <w:pStyle w:val="TableParagraph"/>
              <w:spacing w:line="212" w:lineRule="exact"/>
              <w:ind w:left="230"/>
              <w:rPr>
                <w:sz w:val="21"/>
              </w:rPr>
            </w:pPr>
            <w:r>
              <w:rPr>
                <w:w w:val="100"/>
                <w:sz w:val="21"/>
              </w:rPr>
              <w:t> </w:t>
            </w:r>
          </w:p>
        </w:tc>
        <w:tc>
          <w:tcPr>
            <w:tcW w:w="7517" w:type="dxa"/>
          </w:tcPr>
          <w:p>
            <w:pPr>
              <w:pStyle w:val="TableParagraph"/>
              <w:spacing w:line="212" w:lineRule="exact"/>
              <w:ind w:left="256"/>
              <w:rPr>
                <w:sz w:val="21"/>
              </w:rPr>
            </w:pPr>
            <w:r>
              <w:rPr>
                <w:w w:val="100"/>
                <w:sz w:val="21"/>
              </w:rPr>
              <w:t> </w:t>
            </w:r>
          </w:p>
        </w:tc>
      </w:tr>
      <w:tr>
        <w:trPr>
          <w:trHeight w:val="272" w:hRule="atLeast"/>
        </w:trPr>
        <w:tc>
          <w:tcPr>
            <w:tcW w:w="634" w:type="dxa"/>
          </w:tcPr>
          <w:p>
            <w:pPr>
              <w:pStyle w:val="TableParagraph"/>
              <w:spacing w:line="253" w:lineRule="exact"/>
              <w:ind w:left="107"/>
              <w:rPr>
                <w:rFonts w:ascii="Microsoft JhengHei"/>
                <w:b/>
                <w:sz w:val="21"/>
              </w:rPr>
            </w:pPr>
            <w:r>
              <w:rPr>
                <w:rFonts w:ascii="Microsoft JhengHei"/>
                <w:b/>
                <w:w w:val="90"/>
                <w:sz w:val="21"/>
              </w:rPr>
              <w:t>4. 2</w:t>
            </w:r>
          </w:p>
        </w:tc>
        <w:tc>
          <w:tcPr>
            <w:tcW w:w="1932" w:type="dxa"/>
          </w:tcPr>
          <w:p>
            <w:pPr>
              <w:pStyle w:val="TableParagraph"/>
              <w:spacing w:line="253" w:lineRule="exact"/>
              <w:ind w:left="230"/>
              <w:rPr>
                <w:rFonts w:ascii="Microsoft JhengHei" w:eastAsia="Microsoft JhengHei" w:hint="eastAsia"/>
                <w:b/>
                <w:sz w:val="21"/>
              </w:rPr>
            </w:pPr>
            <w:r>
              <w:rPr>
                <w:rFonts w:ascii="Microsoft JhengHei" w:eastAsia="Microsoft JhengHei" w:hint="eastAsia"/>
                <w:b/>
                <w:sz w:val="21"/>
              </w:rPr>
              <w:t>宽限期</w:t>
            </w:r>
          </w:p>
        </w:tc>
        <w:tc>
          <w:tcPr>
            <w:tcW w:w="7517" w:type="dxa"/>
          </w:tcPr>
          <w:p>
            <w:pPr>
              <w:pStyle w:val="TableParagraph"/>
              <w:spacing w:line="235" w:lineRule="exact"/>
              <w:ind w:left="256"/>
              <w:rPr>
                <w:sz w:val="21"/>
              </w:rPr>
            </w:pPr>
            <w:r>
              <w:rPr>
                <w:sz w:val="21"/>
              </w:rPr>
              <w:t>分期支付保险费的，您支付首期保险费后，除本主险合同另有约定外，如果您</w:t>
            </w:r>
          </w:p>
        </w:tc>
      </w:tr>
      <w:tr>
        <w:trPr>
          <w:trHeight w:val="264" w:hRule="atLeast"/>
        </w:trPr>
        <w:tc>
          <w:tcPr>
            <w:tcW w:w="634" w:type="dxa"/>
          </w:tcPr>
          <w:p>
            <w:pPr>
              <w:pStyle w:val="TableParagraph"/>
              <w:rPr>
                <w:rFonts w:ascii="Times New Roman"/>
                <w:sz w:val="18"/>
              </w:rPr>
            </w:pPr>
          </w:p>
        </w:tc>
        <w:tc>
          <w:tcPr>
            <w:tcW w:w="1932" w:type="dxa"/>
          </w:tcPr>
          <w:p>
            <w:pPr>
              <w:pStyle w:val="TableParagraph"/>
              <w:rPr>
                <w:rFonts w:ascii="Times New Roman"/>
                <w:sz w:val="18"/>
              </w:rPr>
            </w:pPr>
          </w:p>
        </w:tc>
        <w:tc>
          <w:tcPr>
            <w:tcW w:w="7517" w:type="dxa"/>
          </w:tcPr>
          <w:p>
            <w:pPr>
              <w:pStyle w:val="TableParagraph"/>
              <w:spacing w:line="234" w:lineRule="exact"/>
              <w:ind w:left="256"/>
              <w:rPr>
                <w:sz w:val="21"/>
              </w:rPr>
            </w:pPr>
            <w:r>
              <w:rPr>
                <w:spacing w:val="-10"/>
                <w:sz w:val="21"/>
              </w:rPr>
              <w:t>到期未支付保险费，自保险费约定支付日的次日零时起 </w:t>
            </w:r>
            <w:r>
              <w:rPr>
                <w:sz w:val="21"/>
              </w:rPr>
              <w:t>60</w:t>
            </w:r>
            <w:r>
              <w:rPr>
                <w:spacing w:val="-11"/>
                <w:sz w:val="21"/>
              </w:rPr>
              <w:t> 日为宽限期。宽限期</w:t>
            </w:r>
          </w:p>
        </w:tc>
      </w:tr>
      <w:tr>
        <w:trPr>
          <w:trHeight w:val="27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42" w:lineRule="exact"/>
              <w:ind w:left="256"/>
              <w:rPr>
                <w:sz w:val="21"/>
              </w:rPr>
            </w:pPr>
            <w:r>
              <w:rPr>
                <w:sz w:val="21"/>
              </w:rPr>
              <w:t>内发生的保险事故，我们仍会承担保险责任，但在给付保险金时会扣减您欠交</w:t>
            </w:r>
          </w:p>
        </w:tc>
      </w:tr>
      <w:tr>
        <w:trPr>
          <w:trHeight w:val="27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41" w:lineRule="exact"/>
              <w:ind w:left="256"/>
              <w:rPr>
                <w:sz w:val="21"/>
              </w:rPr>
            </w:pPr>
            <w:r>
              <w:rPr>
                <w:sz w:val="21"/>
              </w:rPr>
              <w:t>的保险费。 </w:t>
            </w:r>
          </w:p>
        </w:tc>
      </w:tr>
      <w:tr>
        <w:trPr>
          <w:trHeight w:val="27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52" w:lineRule="exact"/>
              <w:ind w:left="256"/>
              <w:rPr>
                <w:rFonts w:ascii="Microsoft JhengHei" w:eastAsia="Microsoft JhengHei" w:hint="eastAsia"/>
                <w:b/>
                <w:sz w:val="21"/>
              </w:rPr>
            </w:pPr>
            <w:r>
              <w:rPr>
                <w:rFonts w:ascii="Microsoft JhengHei" w:eastAsia="Microsoft JhengHei" w:hint="eastAsia"/>
                <w:b/>
                <w:sz w:val="21"/>
              </w:rPr>
              <w:t>若您在宽限期结束之后仍未支付保险费，则本主险合同自宽限期满的次日零时</w:t>
            </w:r>
          </w:p>
        </w:tc>
      </w:tr>
      <w:tr>
        <w:trPr>
          <w:trHeight w:val="247" w:hRule="atLeast"/>
        </w:trPr>
        <w:tc>
          <w:tcPr>
            <w:tcW w:w="634" w:type="dxa"/>
          </w:tcPr>
          <w:p>
            <w:pPr>
              <w:pStyle w:val="TableParagraph"/>
              <w:rPr>
                <w:rFonts w:ascii="Times New Roman"/>
                <w:sz w:val="18"/>
              </w:rPr>
            </w:pPr>
          </w:p>
        </w:tc>
        <w:tc>
          <w:tcPr>
            <w:tcW w:w="1932" w:type="dxa"/>
          </w:tcPr>
          <w:p>
            <w:pPr>
              <w:pStyle w:val="TableParagraph"/>
              <w:rPr>
                <w:rFonts w:ascii="Times New Roman"/>
                <w:sz w:val="18"/>
              </w:rPr>
            </w:pPr>
          </w:p>
        </w:tc>
        <w:tc>
          <w:tcPr>
            <w:tcW w:w="7517" w:type="dxa"/>
          </w:tcPr>
          <w:p>
            <w:pPr>
              <w:pStyle w:val="TableParagraph"/>
              <w:spacing w:line="227" w:lineRule="exact"/>
              <w:ind w:left="256"/>
              <w:rPr>
                <w:rFonts w:ascii="Microsoft JhengHei" w:eastAsia="Microsoft JhengHei" w:hint="eastAsia"/>
                <w:b/>
                <w:sz w:val="21"/>
              </w:rPr>
            </w:pPr>
            <w:r>
              <w:rPr>
                <w:rFonts w:ascii="Microsoft JhengHei" w:eastAsia="Microsoft JhengHei" w:hint="eastAsia"/>
                <w:b/>
                <w:sz w:val="21"/>
              </w:rPr>
              <w:t>起效力中止。</w:t>
            </w:r>
          </w:p>
        </w:tc>
      </w:tr>
      <w:tr>
        <w:trPr>
          <w:trHeight w:val="643" w:hRule="atLeast"/>
        </w:trPr>
        <w:tc>
          <w:tcPr>
            <w:tcW w:w="634" w:type="dxa"/>
            <w:tcBorders>
              <w:bottom w:val="single" w:sz="4" w:space="0" w:color="000000"/>
            </w:tcBorders>
          </w:tcPr>
          <w:p>
            <w:pPr>
              <w:pStyle w:val="TableParagraph"/>
              <w:spacing w:line="203" w:lineRule="exact"/>
              <w:ind w:left="107"/>
              <w:rPr>
                <w:sz w:val="21"/>
              </w:rPr>
            </w:pPr>
            <w:r>
              <w:rPr>
                <w:w w:val="100"/>
                <w:sz w:val="21"/>
              </w:rPr>
              <w:t> </w:t>
            </w:r>
          </w:p>
          <w:p>
            <w:pPr>
              <w:pStyle w:val="TableParagraph"/>
              <w:spacing w:line="425" w:lineRule="exact"/>
              <w:ind w:left="111"/>
              <w:rPr>
                <w:rFonts w:ascii="Times New Roman"/>
                <w:b/>
                <w:sz w:val="40"/>
              </w:rPr>
            </w:pPr>
            <w:r>
              <w:rPr>
                <w:rFonts w:ascii="Times New Roman"/>
                <w:b/>
                <w:w w:val="100"/>
                <w:sz w:val="40"/>
              </w:rPr>
              <w:t>y</w:t>
            </w:r>
          </w:p>
        </w:tc>
        <w:tc>
          <w:tcPr>
            <w:tcW w:w="1932" w:type="dxa"/>
            <w:tcBorders>
              <w:bottom w:val="single" w:sz="4" w:space="0" w:color="000000"/>
            </w:tcBorders>
          </w:tcPr>
          <w:p>
            <w:pPr>
              <w:pStyle w:val="TableParagraph"/>
              <w:spacing w:line="191" w:lineRule="exact"/>
              <w:ind w:left="230"/>
              <w:rPr>
                <w:sz w:val="21"/>
              </w:rPr>
            </w:pPr>
            <w:r>
              <w:rPr>
                <w:w w:val="100"/>
                <w:sz w:val="21"/>
              </w:rPr>
              <w:t> </w:t>
            </w:r>
          </w:p>
          <w:p>
            <w:pPr>
              <w:pStyle w:val="TableParagraph"/>
              <w:spacing w:line="391" w:lineRule="exact"/>
              <w:ind w:left="230"/>
              <w:rPr>
                <w:rFonts w:ascii="Microsoft JhengHei" w:eastAsia="Microsoft JhengHei" w:hint="eastAsia"/>
                <w:b/>
                <w:sz w:val="24"/>
              </w:rPr>
            </w:pPr>
            <w:r>
              <w:rPr>
                <w:rFonts w:ascii="Microsoft JhengHei" w:eastAsia="Microsoft JhengHei" w:hint="eastAsia"/>
                <w:b/>
                <w:sz w:val="24"/>
              </w:rPr>
              <w:t>现金价值权益</w:t>
            </w:r>
          </w:p>
        </w:tc>
        <w:tc>
          <w:tcPr>
            <w:tcW w:w="7517" w:type="dxa"/>
            <w:tcBorders>
              <w:bottom w:val="single" w:sz="4" w:space="0" w:color="000000"/>
            </w:tcBorders>
          </w:tcPr>
          <w:p>
            <w:pPr>
              <w:pStyle w:val="TableParagraph"/>
              <w:spacing w:line="217" w:lineRule="exact"/>
              <w:ind w:left="256"/>
              <w:rPr>
                <w:sz w:val="21"/>
              </w:rPr>
            </w:pPr>
            <w:r>
              <w:rPr>
                <w:w w:val="100"/>
                <w:sz w:val="21"/>
              </w:rPr>
              <w:t> </w:t>
            </w:r>
          </w:p>
        </w:tc>
      </w:tr>
      <w:tr>
        <w:trPr>
          <w:trHeight w:val="209" w:hRule="atLeast"/>
        </w:trPr>
        <w:tc>
          <w:tcPr>
            <w:tcW w:w="634" w:type="dxa"/>
            <w:tcBorders>
              <w:top w:val="single" w:sz="4" w:space="0" w:color="000000"/>
            </w:tcBorders>
          </w:tcPr>
          <w:p>
            <w:pPr>
              <w:pStyle w:val="TableParagraph"/>
              <w:spacing w:line="185" w:lineRule="exact"/>
              <w:ind w:left="107"/>
              <w:rPr>
                <w:sz w:val="21"/>
              </w:rPr>
            </w:pPr>
            <w:r>
              <w:rPr>
                <w:w w:val="100"/>
                <w:sz w:val="21"/>
              </w:rPr>
              <w:t> </w:t>
            </w:r>
          </w:p>
        </w:tc>
        <w:tc>
          <w:tcPr>
            <w:tcW w:w="1932" w:type="dxa"/>
            <w:tcBorders>
              <w:top w:val="single" w:sz="4" w:space="0" w:color="000000"/>
            </w:tcBorders>
          </w:tcPr>
          <w:p>
            <w:pPr>
              <w:pStyle w:val="TableParagraph"/>
              <w:spacing w:line="185" w:lineRule="exact"/>
              <w:ind w:left="230"/>
              <w:rPr>
                <w:sz w:val="21"/>
              </w:rPr>
            </w:pPr>
            <w:r>
              <w:rPr>
                <w:w w:val="100"/>
                <w:sz w:val="21"/>
              </w:rPr>
              <w:t> </w:t>
            </w:r>
          </w:p>
        </w:tc>
        <w:tc>
          <w:tcPr>
            <w:tcW w:w="7517" w:type="dxa"/>
            <w:tcBorders>
              <w:top w:val="single" w:sz="4" w:space="0" w:color="000000"/>
            </w:tcBorders>
          </w:tcPr>
          <w:p>
            <w:pPr>
              <w:pStyle w:val="TableParagraph"/>
              <w:spacing w:line="185" w:lineRule="exact"/>
              <w:ind w:left="256"/>
              <w:rPr>
                <w:sz w:val="21"/>
              </w:rPr>
            </w:pPr>
            <w:r>
              <w:rPr>
                <w:w w:val="100"/>
                <w:sz w:val="21"/>
              </w:rPr>
              <w:t> </w:t>
            </w:r>
          </w:p>
        </w:tc>
      </w:tr>
      <w:tr>
        <w:trPr>
          <w:trHeight w:val="273" w:hRule="atLeast"/>
        </w:trPr>
        <w:tc>
          <w:tcPr>
            <w:tcW w:w="634" w:type="dxa"/>
          </w:tcPr>
          <w:p>
            <w:pPr>
              <w:pStyle w:val="TableParagraph"/>
              <w:spacing w:line="254" w:lineRule="exact"/>
              <w:ind w:left="107"/>
              <w:rPr>
                <w:rFonts w:ascii="Microsoft JhengHei"/>
                <w:b/>
                <w:sz w:val="21"/>
              </w:rPr>
            </w:pPr>
            <w:r>
              <w:rPr>
                <w:rFonts w:ascii="Microsoft JhengHei"/>
                <w:b/>
                <w:w w:val="90"/>
                <w:sz w:val="21"/>
              </w:rPr>
              <w:t>5. 1</w:t>
            </w:r>
          </w:p>
        </w:tc>
        <w:tc>
          <w:tcPr>
            <w:tcW w:w="1932" w:type="dxa"/>
          </w:tcPr>
          <w:p>
            <w:pPr>
              <w:pStyle w:val="TableParagraph"/>
              <w:spacing w:line="254" w:lineRule="exact"/>
              <w:ind w:left="230"/>
              <w:rPr>
                <w:rFonts w:ascii="Microsoft JhengHei" w:eastAsia="Microsoft JhengHei" w:hint="eastAsia"/>
                <w:b/>
                <w:sz w:val="21"/>
              </w:rPr>
            </w:pPr>
            <w:r>
              <w:rPr>
                <w:rFonts w:ascii="Microsoft JhengHei" w:eastAsia="Microsoft JhengHei" w:hint="eastAsia"/>
                <w:b/>
                <w:sz w:val="21"/>
              </w:rPr>
              <w:t>现金价值</w:t>
            </w:r>
          </w:p>
        </w:tc>
        <w:tc>
          <w:tcPr>
            <w:tcW w:w="7517" w:type="dxa"/>
          </w:tcPr>
          <w:p>
            <w:pPr>
              <w:pStyle w:val="TableParagraph"/>
              <w:spacing w:line="235" w:lineRule="exact"/>
              <w:ind w:left="256"/>
              <w:rPr>
                <w:sz w:val="21"/>
              </w:rPr>
            </w:pPr>
            <w:r>
              <w:rPr>
                <w:spacing w:val="-7"/>
                <w:sz w:val="21"/>
              </w:rPr>
              <w:t>本主险合同保单年度末的现金价值会在保险单上载明。保单年度内的现金价值，</w:t>
            </w:r>
          </w:p>
        </w:tc>
      </w:tr>
      <w:tr>
        <w:trPr>
          <w:trHeight w:val="234" w:hRule="atLeast"/>
        </w:trPr>
        <w:tc>
          <w:tcPr>
            <w:tcW w:w="634" w:type="dxa"/>
          </w:tcPr>
          <w:p>
            <w:pPr>
              <w:pStyle w:val="TableParagraph"/>
              <w:rPr>
                <w:rFonts w:ascii="Times New Roman"/>
                <w:sz w:val="16"/>
              </w:rPr>
            </w:pPr>
          </w:p>
        </w:tc>
        <w:tc>
          <w:tcPr>
            <w:tcW w:w="1932" w:type="dxa"/>
          </w:tcPr>
          <w:p>
            <w:pPr>
              <w:pStyle w:val="TableParagraph"/>
              <w:rPr>
                <w:rFonts w:ascii="Times New Roman"/>
                <w:sz w:val="16"/>
              </w:rPr>
            </w:pPr>
          </w:p>
        </w:tc>
        <w:tc>
          <w:tcPr>
            <w:tcW w:w="7517" w:type="dxa"/>
          </w:tcPr>
          <w:p>
            <w:pPr>
              <w:pStyle w:val="TableParagraph"/>
              <w:spacing w:line="215" w:lineRule="exact"/>
              <w:ind w:left="256"/>
              <w:rPr>
                <w:sz w:val="21"/>
              </w:rPr>
            </w:pPr>
            <w:r>
              <w:rPr>
                <w:sz w:val="21"/>
              </w:rPr>
              <w:t>您可以向我们咨询。 </w:t>
            </w:r>
          </w:p>
        </w:tc>
      </w:tr>
    </w:tbl>
    <w:p>
      <w:pPr>
        <w:spacing w:after="0" w:line="215" w:lineRule="exact"/>
        <w:rPr>
          <w:sz w:val="21"/>
        </w:rPr>
        <w:sectPr>
          <w:type w:val="continuous"/>
          <w:pgSz w:w="11900" w:h="16840"/>
          <w:pgMar w:top="360" w:bottom="112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2054"/>
        <w:gridCol w:w="7394"/>
      </w:tblGrid>
      <w:tr>
        <w:trPr>
          <w:trHeight w:val="225" w:hRule="atLeast"/>
        </w:trPr>
        <w:tc>
          <w:tcPr>
            <w:tcW w:w="634" w:type="dxa"/>
          </w:tcPr>
          <w:p>
            <w:pPr>
              <w:pStyle w:val="TableParagraph"/>
              <w:rPr>
                <w:rFonts w:ascii="Times New Roman"/>
                <w:sz w:val="16"/>
              </w:rPr>
            </w:pPr>
          </w:p>
        </w:tc>
        <w:tc>
          <w:tcPr>
            <w:tcW w:w="2054" w:type="dxa"/>
          </w:tcPr>
          <w:p>
            <w:pPr>
              <w:pStyle w:val="TableParagraph"/>
              <w:rPr>
                <w:rFonts w:ascii="Times New Roman"/>
                <w:sz w:val="16"/>
              </w:rPr>
            </w:pPr>
          </w:p>
        </w:tc>
        <w:tc>
          <w:tcPr>
            <w:tcW w:w="7394" w:type="dxa"/>
          </w:tcPr>
          <w:p>
            <w:pPr>
              <w:pStyle w:val="TableParagraph"/>
              <w:spacing w:line="206" w:lineRule="exact"/>
              <w:ind w:left="134"/>
              <w:rPr>
                <w:sz w:val="21"/>
              </w:rPr>
            </w:pPr>
            <w:r>
              <w:rPr>
                <w:w w:val="100"/>
                <w:sz w:val="21"/>
              </w:rPr>
              <w:t> </w:t>
            </w:r>
          </w:p>
        </w:tc>
      </w:tr>
      <w:tr>
        <w:trPr>
          <w:trHeight w:val="273" w:hRule="atLeast"/>
        </w:trPr>
        <w:tc>
          <w:tcPr>
            <w:tcW w:w="634" w:type="dxa"/>
          </w:tcPr>
          <w:p>
            <w:pPr>
              <w:pStyle w:val="TableParagraph"/>
              <w:spacing w:line="254" w:lineRule="exact"/>
              <w:ind w:left="107"/>
              <w:rPr>
                <w:rFonts w:ascii="Microsoft JhengHei"/>
                <w:b/>
                <w:sz w:val="21"/>
              </w:rPr>
            </w:pPr>
            <w:r>
              <w:rPr>
                <w:rFonts w:ascii="Microsoft JhengHei"/>
                <w:b/>
                <w:w w:val="90"/>
                <w:sz w:val="21"/>
              </w:rPr>
              <w:t>5. 2</w:t>
            </w:r>
          </w:p>
        </w:tc>
        <w:tc>
          <w:tcPr>
            <w:tcW w:w="2054" w:type="dxa"/>
          </w:tcPr>
          <w:p>
            <w:pPr>
              <w:pStyle w:val="TableParagraph"/>
              <w:spacing w:line="254" w:lineRule="exact"/>
              <w:ind w:left="230"/>
              <w:rPr>
                <w:rFonts w:ascii="Microsoft JhengHei" w:eastAsia="Microsoft JhengHei" w:hint="eastAsia"/>
                <w:b/>
                <w:sz w:val="21"/>
              </w:rPr>
            </w:pPr>
            <w:r>
              <w:rPr>
                <w:rFonts w:ascii="Microsoft JhengHei" w:eastAsia="Microsoft JhengHei" w:hint="eastAsia"/>
                <w:b/>
                <w:sz w:val="21"/>
              </w:rPr>
              <w:t>保险费自动垫交</w:t>
            </w:r>
          </w:p>
        </w:tc>
        <w:tc>
          <w:tcPr>
            <w:tcW w:w="7394" w:type="dxa"/>
          </w:tcPr>
          <w:p>
            <w:pPr>
              <w:pStyle w:val="TableParagraph"/>
              <w:spacing w:line="235" w:lineRule="exact"/>
              <w:ind w:left="134"/>
              <w:rPr>
                <w:sz w:val="21"/>
              </w:rPr>
            </w:pPr>
            <w:r>
              <w:rPr>
                <w:sz w:val="21"/>
              </w:rPr>
              <w:t>您可选择使用现金价值的保险费自动垫交功能。 </w:t>
            </w:r>
          </w:p>
        </w:tc>
      </w:tr>
      <w:tr>
        <w:trPr>
          <w:trHeight w:val="260" w:hRule="atLeast"/>
        </w:trPr>
        <w:tc>
          <w:tcPr>
            <w:tcW w:w="634" w:type="dxa"/>
          </w:tcPr>
          <w:p>
            <w:pPr>
              <w:pStyle w:val="TableParagraph"/>
              <w:rPr>
                <w:rFonts w:ascii="Times New Roman"/>
                <w:sz w:val="18"/>
              </w:rPr>
            </w:pPr>
          </w:p>
        </w:tc>
        <w:tc>
          <w:tcPr>
            <w:tcW w:w="2054" w:type="dxa"/>
          </w:tcPr>
          <w:p>
            <w:pPr>
              <w:pStyle w:val="TableParagraph"/>
              <w:rPr>
                <w:rFonts w:ascii="Times New Roman"/>
                <w:sz w:val="18"/>
              </w:rPr>
            </w:pPr>
          </w:p>
        </w:tc>
        <w:tc>
          <w:tcPr>
            <w:tcW w:w="7394" w:type="dxa"/>
          </w:tcPr>
          <w:p>
            <w:pPr>
              <w:pStyle w:val="TableParagraph"/>
              <w:spacing w:line="235" w:lineRule="exact"/>
              <w:ind w:left="134"/>
              <w:rPr>
                <w:sz w:val="21"/>
              </w:rPr>
            </w:pPr>
            <w:r>
              <w:rPr>
                <w:sz w:val="21"/>
              </w:rPr>
              <w:t>如果您在宽限期结束时仍未支付保险费，我们将以本主险合同的现金价值扣除</w:t>
            </w:r>
          </w:p>
        </w:tc>
      </w:tr>
      <w:tr>
        <w:trPr>
          <w:trHeight w:val="284"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65" w:lineRule="exact"/>
              <w:ind w:left="134"/>
              <w:rPr>
                <w:sz w:val="21"/>
              </w:rPr>
            </w:pPr>
            <w:r>
              <w:rPr>
                <w:sz w:val="21"/>
              </w:rPr>
              <w:t>“</w:t>
            </w:r>
            <w:r>
              <w:rPr>
                <w:rFonts w:ascii="Microsoft JhengHei" w:hAnsi="Microsoft JhengHei" w:eastAsia="Microsoft JhengHei" w:hint="eastAsia"/>
                <w:b/>
                <w:sz w:val="21"/>
              </w:rPr>
              <w:t>9. 2 未还款项</w:t>
            </w:r>
            <w:r>
              <w:rPr>
                <w:sz w:val="21"/>
              </w:rPr>
              <w:t>”中规定的欠款之后的余额自动垫交到期应交的保险费，本主</w:t>
            </w:r>
          </w:p>
        </w:tc>
      </w:tr>
      <w:tr>
        <w:trPr>
          <w:trHeight w:val="264" w:hRule="atLeast"/>
        </w:trPr>
        <w:tc>
          <w:tcPr>
            <w:tcW w:w="634" w:type="dxa"/>
          </w:tcPr>
          <w:p>
            <w:pPr>
              <w:pStyle w:val="TableParagraph"/>
              <w:rPr>
                <w:rFonts w:ascii="Times New Roman"/>
                <w:sz w:val="18"/>
              </w:rPr>
            </w:pPr>
          </w:p>
        </w:tc>
        <w:tc>
          <w:tcPr>
            <w:tcW w:w="2054" w:type="dxa"/>
          </w:tcPr>
          <w:p>
            <w:pPr>
              <w:pStyle w:val="TableParagraph"/>
              <w:rPr>
                <w:rFonts w:ascii="Times New Roman"/>
                <w:sz w:val="18"/>
              </w:rPr>
            </w:pPr>
          </w:p>
        </w:tc>
        <w:tc>
          <w:tcPr>
            <w:tcW w:w="7394" w:type="dxa"/>
          </w:tcPr>
          <w:p>
            <w:pPr>
              <w:pStyle w:val="TableParagraph"/>
              <w:spacing w:line="235" w:lineRule="exact"/>
              <w:ind w:left="134"/>
              <w:rPr>
                <w:sz w:val="21"/>
              </w:rPr>
            </w:pPr>
            <w:r>
              <w:rPr>
                <w:sz w:val="21"/>
              </w:rPr>
              <w:t>险合同继续有效。当现金价值的余额不足以垫交到期应交的保险费时，我们将</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41" w:lineRule="exact"/>
              <w:ind w:left="134"/>
              <w:rPr>
                <w:sz w:val="21"/>
              </w:rPr>
            </w:pPr>
            <w:r>
              <w:rPr>
                <w:sz w:val="21"/>
              </w:rPr>
              <w:t>根据现金价值的余额计算本主险合同可以继续有效的天数，本主险合同在此期</w:t>
            </w:r>
          </w:p>
        </w:tc>
      </w:tr>
      <w:tr>
        <w:trPr>
          <w:trHeight w:val="247" w:hRule="atLeast"/>
        </w:trPr>
        <w:tc>
          <w:tcPr>
            <w:tcW w:w="634" w:type="dxa"/>
          </w:tcPr>
          <w:p>
            <w:pPr>
              <w:pStyle w:val="TableParagraph"/>
              <w:rPr>
                <w:rFonts w:ascii="Times New Roman"/>
                <w:sz w:val="18"/>
              </w:rPr>
            </w:pPr>
          </w:p>
        </w:tc>
        <w:tc>
          <w:tcPr>
            <w:tcW w:w="2054" w:type="dxa"/>
          </w:tcPr>
          <w:p>
            <w:pPr>
              <w:pStyle w:val="TableParagraph"/>
              <w:rPr>
                <w:rFonts w:ascii="Times New Roman"/>
                <w:sz w:val="18"/>
              </w:rPr>
            </w:pPr>
          </w:p>
        </w:tc>
        <w:tc>
          <w:tcPr>
            <w:tcW w:w="7394" w:type="dxa"/>
          </w:tcPr>
          <w:p>
            <w:pPr>
              <w:pStyle w:val="TableParagraph"/>
              <w:spacing w:line="227" w:lineRule="exact"/>
              <w:ind w:left="134"/>
              <w:rPr>
                <w:sz w:val="21"/>
              </w:rPr>
            </w:pPr>
            <w:r>
              <w:rPr>
                <w:sz w:val="21"/>
              </w:rPr>
              <w:t>间继续有效。当现金价值余额为零时，本主险合同效力中止。</w:t>
            </w:r>
            <w:r>
              <w:rPr>
                <w:color w:val="FF0000"/>
                <w:sz w:val="21"/>
              </w:rPr>
              <w:t> </w:t>
            </w:r>
          </w:p>
        </w:tc>
      </w:tr>
      <w:tr>
        <w:trPr>
          <w:trHeight w:val="216" w:hRule="atLeast"/>
        </w:trPr>
        <w:tc>
          <w:tcPr>
            <w:tcW w:w="634" w:type="dxa"/>
          </w:tcPr>
          <w:p>
            <w:pPr>
              <w:pStyle w:val="TableParagraph"/>
              <w:spacing w:line="196" w:lineRule="exact"/>
              <w:ind w:left="107"/>
              <w:rPr>
                <w:sz w:val="21"/>
              </w:rPr>
            </w:pPr>
            <w:r>
              <w:rPr>
                <w:w w:val="100"/>
                <w:sz w:val="21"/>
              </w:rPr>
              <w:t> </w:t>
            </w:r>
          </w:p>
        </w:tc>
        <w:tc>
          <w:tcPr>
            <w:tcW w:w="2054" w:type="dxa"/>
          </w:tcPr>
          <w:p>
            <w:pPr>
              <w:pStyle w:val="TableParagraph"/>
              <w:spacing w:line="196" w:lineRule="exact"/>
              <w:ind w:left="230"/>
              <w:rPr>
                <w:sz w:val="21"/>
              </w:rPr>
            </w:pPr>
            <w:r>
              <w:rPr>
                <w:w w:val="100"/>
                <w:sz w:val="21"/>
              </w:rPr>
              <w:t> </w:t>
            </w:r>
          </w:p>
        </w:tc>
        <w:tc>
          <w:tcPr>
            <w:tcW w:w="7394" w:type="dxa"/>
          </w:tcPr>
          <w:p>
            <w:pPr>
              <w:pStyle w:val="TableParagraph"/>
              <w:spacing w:line="196" w:lineRule="exact"/>
              <w:ind w:left="134"/>
              <w:rPr>
                <w:sz w:val="21"/>
              </w:rPr>
            </w:pPr>
            <w:r>
              <w:rPr>
                <w:w w:val="100"/>
                <w:sz w:val="21"/>
              </w:rPr>
              <w:t> </w:t>
            </w:r>
          </w:p>
        </w:tc>
      </w:tr>
      <w:tr>
        <w:trPr>
          <w:trHeight w:val="428" w:hRule="atLeast"/>
        </w:trPr>
        <w:tc>
          <w:tcPr>
            <w:tcW w:w="10082" w:type="dxa"/>
            <w:gridSpan w:val="3"/>
          </w:tcPr>
          <w:p>
            <w:pPr>
              <w:pStyle w:val="TableParagraph"/>
              <w:tabs>
                <w:tab w:pos="863" w:val="left" w:leader="none"/>
              </w:tabs>
              <w:spacing w:line="409" w:lineRule="exact"/>
              <w:ind w:left="112"/>
              <w:rPr>
                <w:rFonts w:ascii="Microsoft JhengHei" w:eastAsia="Microsoft JhengHei" w:hint="eastAsia"/>
                <w:b/>
                <w:sz w:val="24"/>
              </w:rPr>
            </w:pPr>
            <w:r>
              <w:rPr>
                <w:rFonts w:ascii="Times New Roman" w:eastAsia="Times New Roman"/>
                <w:b/>
                <w:position w:val="-3"/>
                <w:sz w:val="40"/>
              </w:rPr>
              <w:t>z</w:t>
              <w:tab/>
            </w:r>
            <w:r>
              <w:rPr>
                <w:rFonts w:ascii="Microsoft JhengHei" w:eastAsia="Microsoft JhengHei" w:hint="eastAsia"/>
                <w:b/>
                <w:sz w:val="24"/>
              </w:rPr>
              <w:t>合同效力的中止及恢复</w:t>
            </w:r>
          </w:p>
        </w:tc>
      </w:tr>
      <w:tr>
        <w:trPr>
          <w:trHeight w:val="207" w:hRule="atLeast"/>
        </w:trPr>
        <w:tc>
          <w:tcPr>
            <w:tcW w:w="634" w:type="dxa"/>
            <w:tcBorders>
              <w:top w:val="single" w:sz="4" w:space="0" w:color="000000"/>
            </w:tcBorders>
          </w:tcPr>
          <w:p>
            <w:pPr>
              <w:pStyle w:val="TableParagraph"/>
              <w:spacing w:line="186" w:lineRule="exact"/>
              <w:ind w:left="107"/>
              <w:rPr>
                <w:sz w:val="21"/>
              </w:rPr>
            </w:pPr>
            <w:r>
              <w:rPr>
                <w:w w:val="100"/>
                <w:sz w:val="21"/>
              </w:rPr>
              <w:t> </w:t>
            </w:r>
          </w:p>
        </w:tc>
        <w:tc>
          <w:tcPr>
            <w:tcW w:w="2054" w:type="dxa"/>
            <w:tcBorders>
              <w:top w:val="single" w:sz="4" w:space="0" w:color="000000"/>
            </w:tcBorders>
          </w:tcPr>
          <w:p>
            <w:pPr>
              <w:pStyle w:val="TableParagraph"/>
              <w:spacing w:line="186" w:lineRule="exact"/>
              <w:ind w:left="230"/>
              <w:rPr>
                <w:sz w:val="21"/>
              </w:rPr>
            </w:pPr>
            <w:r>
              <w:rPr>
                <w:w w:val="100"/>
                <w:sz w:val="21"/>
              </w:rPr>
              <w:t> </w:t>
            </w:r>
          </w:p>
        </w:tc>
        <w:tc>
          <w:tcPr>
            <w:tcW w:w="7394" w:type="dxa"/>
            <w:tcBorders>
              <w:top w:val="single" w:sz="4" w:space="0" w:color="000000"/>
            </w:tcBorders>
          </w:tcPr>
          <w:p>
            <w:pPr>
              <w:pStyle w:val="TableParagraph"/>
              <w:spacing w:line="186" w:lineRule="exact"/>
              <w:ind w:left="134"/>
              <w:rPr>
                <w:sz w:val="21"/>
              </w:rPr>
            </w:pPr>
            <w:r>
              <w:rPr>
                <w:w w:val="100"/>
                <w:sz w:val="21"/>
              </w:rPr>
              <w:t> </w:t>
            </w:r>
          </w:p>
        </w:tc>
      </w:tr>
      <w:tr>
        <w:trPr>
          <w:trHeight w:val="248" w:hRule="atLeast"/>
        </w:trPr>
        <w:tc>
          <w:tcPr>
            <w:tcW w:w="634" w:type="dxa"/>
          </w:tcPr>
          <w:p>
            <w:pPr>
              <w:pStyle w:val="TableParagraph"/>
              <w:spacing w:line="229" w:lineRule="exact"/>
              <w:ind w:left="107"/>
              <w:rPr>
                <w:rFonts w:ascii="Microsoft JhengHei"/>
                <w:b/>
                <w:sz w:val="21"/>
              </w:rPr>
            </w:pPr>
            <w:r>
              <w:rPr>
                <w:rFonts w:ascii="Microsoft JhengHei"/>
                <w:b/>
                <w:w w:val="90"/>
                <w:sz w:val="21"/>
              </w:rPr>
              <w:t>6. 1</w:t>
            </w:r>
          </w:p>
        </w:tc>
        <w:tc>
          <w:tcPr>
            <w:tcW w:w="2054" w:type="dxa"/>
          </w:tcPr>
          <w:p>
            <w:pPr>
              <w:pStyle w:val="TableParagraph"/>
              <w:spacing w:line="229" w:lineRule="exact"/>
              <w:ind w:left="230"/>
              <w:rPr>
                <w:rFonts w:ascii="Microsoft JhengHei" w:eastAsia="Microsoft JhengHei" w:hint="eastAsia"/>
                <w:b/>
                <w:sz w:val="21"/>
              </w:rPr>
            </w:pPr>
            <w:r>
              <w:rPr>
                <w:rFonts w:ascii="Microsoft JhengHei" w:eastAsia="Microsoft JhengHei" w:hint="eastAsia"/>
                <w:b/>
                <w:sz w:val="21"/>
              </w:rPr>
              <w:t>效力中止</w:t>
            </w:r>
          </w:p>
        </w:tc>
        <w:tc>
          <w:tcPr>
            <w:tcW w:w="7394" w:type="dxa"/>
          </w:tcPr>
          <w:p>
            <w:pPr>
              <w:pStyle w:val="TableParagraph"/>
              <w:spacing w:line="229" w:lineRule="exact"/>
              <w:ind w:left="148"/>
              <w:rPr>
                <w:rFonts w:ascii="Microsoft JhengHei" w:eastAsia="Microsoft JhengHei" w:hint="eastAsia"/>
                <w:b/>
                <w:sz w:val="21"/>
              </w:rPr>
            </w:pPr>
            <w:r>
              <w:rPr>
                <w:rFonts w:ascii="Microsoft JhengHei" w:eastAsia="Microsoft JhengHei" w:hint="eastAsia"/>
                <w:b/>
                <w:sz w:val="21"/>
              </w:rPr>
              <w:t>在本主险合同效力中止期间，我们不承担保险责任。</w:t>
            </w:r>
          </w:p>
        </w:tc>
      </w:tr>
      <w:tr>
        <w:trPr>
          <w:trHeight w:val="224" w:hRule="atLeast"/>
        </w:trPr>
        <w:tc>
          <w:tcPr>
            <w:tcW w:w="634" w:type="dxa"/>
          </w:tcPr>
          <w:p>
            <w:pPr>
              <w:pStyle w:val="TableParagraph"/>
              <w:spacing w:line="204" w:lineRule="exact"/>
              <w:ind w:left="107"/>
              <w:rPr>
                <w:sz w:val="21"/>
              </w:rPr>
            </w:pPr>
            <w:r>
              <w:rPr>
                <w:w w:val="100"/>
                <w:sz w:val="21"/>
              </w:rPr>
              <w:t> </w:t>
            </w:r>
          </w:p>
        </w:tc>
        <w:tc>
          <w:tcPr>
            <w:tcW w:w="2054" w:type="dxa"/>
          </w:tcPr>
          <w:p>
            <w:pPr>
              <w:pStyle w:val="TableParagraph"/>
              <w:spacing w:line="204" w:lineRule="exact"/>
              <w:ind w:left="230"/>
              <w:rPr>
                <w:sz w:val="21"/>
              </w:rPr>
            </w:pPr>
            <w:r>
              <w:rPr>
                <w:w w:val="100"/>
                <w:sz w:val="21"/>
              </w:rPr>
              <w:t> </w:t>
            </w:r>
          </w:p>
        </w:tc>
        <w:tc>
          <w:tcPr>
            <w:tcW w:w="7394" w:type="dxa"/>
          </w:tcPr>
          <w:p>
            <w:pPr>
              <w:pStyle w:val="TableParagraph"/>
              <w:spacing w:line="204" w:lineRule="exact"/>
              <w:ind w:left="134"/>
              <w:rPr>
                <w:sz w:val="21"/>
              </w:rPr>
            </w:pPr>
            <w:r>
              <w:rPr>
                <w:w w:val="100"/>
                <w:sz w:val="21"/>
              </w:rPr>
              <w:t> </w:t>
            </w:r>
          </w:p>
        </w:tc>
      </w:tr>
      <w:tr>
        <w:trPr>
          <w:trHeight w:val="274" w:hRule="atLeast"/>
        </w:trPr>
        <w:tc>
          <w:tcPr>
            <w:tcW w:w="634" w:type="dxa"/>
          </w:tcPr>
          <w:p>
            <w:pPr>
              <w:pStyle w:val="TableParagraph"/>
              <w:spacing w:line="254" w:lineRule="exact"/>
              <w:ind w:left="107"/>
              <w:rPr>
                <w:rFonts w:ascii="Microsoft JhengHei"/>
                <w:b/>
                <w:sz w:val="21"/>
              </w:rPr>
            </w:pPr>
            <w:r>
              <w:rPr>
                <w:rFonts w:ascii="Microsoft JhengHei"/>
                <w:b/>
                <w:w w:val="90"/>
                <w:sz w:val="21"/>
              </w:rPr>
              <w:t>6. 2</w:t>
            </w:r>
          </w:p>
        </w:tc>
        <w:tc>
          <w:tcPr>
            <w:tcW w:w="2054" w:type="dxa"/>
          </w:tcPr>
          <w:p>
            <w:pPr>
              <w:pStyle w:val="TableParagraph"/>
              <w:spacing w:line="254" w:lineRule="exact"/>
              <w:ind w:left="230"/>
              <w:rPr>
                <w:rFonts w:ascii="Microsoft JhengHei" w:eastAsia="Microsoft JhengHei" w:hint="eastAsia"/>
                <w:b/>
                <w:sz w:val="21"/>
              </w:rPr>
            </w:pPr>
            <w:r>
              <w:rPr>
                <w:rFonts w:ascii="Microsoft JhengHei" w:eastAsia="Microsoft JhengHei" w:hint="eastAsia"/>
                <w:b/>
                <w:sz w:val="21"/>
              </w:rPr>
              <w:t>效力恢复</w:t>
            </w:r>
          </w:p>
        </w:tc>
        <w:tc>
          <w:tcPr>
            <w:tcW w:w="7394" w:type="dxa"/>
          </w:tcPr>
          <w:p>
            <w:pPr>
              <w:pStyle w:val="TableParagraph"/>
              <w:spacing w:line="252" w:lineRule="exact"/>
              <w:ind w:left="134"/>
              <w:rPr>
                <w:sz w:val="21"/>
              </w:rPr>
            </w:pPr>
            <w:r>
              <w:rPr>
                <w:sz w:val="21"/>
              </w:rPr>
              <w:t>本主险合同效力中止后 </w:t>
            </w:r>
            <w:r>
              <w:rPr>
                <w:rFonts w:ascii="Times New Roman" w:eastAsia="Times New Roman"/>
                <w:sz w:val="21"/>
              </w:rPr>
              <w:t>2 </w:t>
            </w:r>
            <w:r>
              <w:rPr>
                <w:sz w:val="21"/>
              </w:rPr>
              <w:t>年内，您可以申请恢复本主险合同效力。经我们与您</w:t>
            </w:r>
          </w:p>
        </w:tc>
      </w:tr>
      <w:tr>
        <w:trPr>
          <w:trHeight w:val="259" w:hRule="atLeast"/>
        </w:trPr>
        <w:tc>
          <w:tcPr>
            <w:tcW w:w="634" w:type="dxa"/>
          </w:tcPr>
          <w:p>
            <w:pPr>
              <w:pStyle w:val="TableParagraph"/>
              <w:rPr>
                <w:rFonts w:ascii="Times New Roman"/>
                <w:sz w:val="18"/>
              </w:rPr>
            </w:pPr>
          </w:p>
        </w:tc>
        <w:tc>
          <w:tcPr>
            <w:tcW w:w="2054" w:type="dxa"/>
          </w:tcPr>
          <w:p>
            <w:pPr>
              <w:pStyle w:val="TableParagraph"/>
              <w:rPr>
                <w:rFonts w:ascii="Times New Roman"/>
                <w:sz w:val="18"/>
              </w:rPr>
            </w:pPr>
          </w:p>
        </w:tc>
        <w:tc>
          <w:tcPr>
            <w:tcW w:w="7394" w:type="dxa"/>
          </w:tcPr>
          <w:p>
            <w:pPr>
              <w:pStyle w:val="TableParagraph"/>
              <w:spacing w:line="233" w:lineRule="exact"/>
              <w:ind w:left="134"/>
              <w:rPr>
                <w:sz w:val="21"/>
              </w:rPr>
            </w:pPr>
            <w:r>
              <w:rPr>
                <w:sz w:val="21"/>
              </w:rPr>
              <w:t>协商并达成协议，自您补交保险费之日起，本主险合同效力恢复。</w:t>
            </w:r>
          </w:p>
        </w:tc>
      </w:tr>
      <w:tr>
        <w:trPr>
          <w:trHeight w:val="283"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64" w:lineRule="exact"/>
              <w:ind w:left="134"/>
              <w:rPr>
                <w:rFonts w:ascii="Microsoft JhengHei" w:eastAsia="Microsoft JhengHei" w:hint="eastAsia"/>
                <w:b/>
                <w:sz w:val="21"/>
              </w:rPr>
            </w:pPr>
            <w:r>
              <w:rPr>
                <w:rFonts w:ascii="Microsoft JhengHei" w:eastAsia="Microsoft JhengHei" w:hint="eastAsia"/>
                <w:b/>
                <w:sz w:val="21"/>
              </w:rPr>
              <w:t>自本主险合同效力中止之日起满 </w:t>
            </w:r>
            <w:r>
              <w:rPr>
                <w:rFonts w:ascii="Times New Roman" w:eastAsia="Times New Roman"/>
                <w:b/>
                <w:sz w:val="21"/>
              </w:rPr>
              <w:t>2 </w:t>
            </w:r>
            <w:r>
              <w:rPr>
                <w:rFonts w:ascii="Microsoft JhengHei" w:eastAsia="Microsoft JhengHei" w:hint="eastAsia"/>
                <w:b/>
                <w:sz w:val="21"/>
              </w:rPr>
              <w:t>年您和我们未达成协议的，我们有权解除本</w:t>
            </w:r>
          </w:p>
        </w:tc>
      </w:tr>
      <w:tr>
        <w:trPr>
          <w:trHeight w:val="239" w:hRule="atLeast"/>
        </w:trPr>
        <w:tc>
          <w:tcPr>
            <w:tcW w:w="634" w:type="dxa"/>
          </w:tcPr>
          <w:p>
            <w:pPr>
              <w:pStyle w:val="TableParagraph"/>
              <w:rPr>
                <w:rFonts w:ascii="Times New Roman"/>
                <w:sz w:val="16"/>
              </w:rPr>
            </w:pPr>
          </w:p>
        </w:tc>
        <w:tc>
          <w:tcPr>
            <w:tcW w:w="2054" w:type="dxa"/>
          </w:tcPr>
          <w:p>
            <w:pPr>
              <w:pStyle w:val="TableParagraph"/>
              <w:rPr>
                <w:rFonts w:ascii="Times New Roman"/>
                <w:sz w:val="16"/>
              </w:rPr>
            </w:pPr>
          </w:p>
        </w:tc>
        <w:tc>
          <w:tcPr>
            <w:tcW w:w="7394" w:type="dxa"/>
          </w:tcPr>
          <w:p>
            <w:pPr>
              <w:pStyle w:val="TableParagraph"/>
              <w:spacing w:line="219" w:lineRule="exact"/>
              <w:ind w:left="134"/>
              <w:rPr>
                <w:rFonts w:ascii="Microsoft JhengHei" w:eastAsia="Microsoft JhengHei" w:hint="eastAsia"/>
                <w:b/>
                <w:sz w:val="21"/>
              </w:rPr>
            </w:pPr>
            <w:r>
              <w:rPr>
                <w:rFonts w:ascii="Microsoft JhengHei" w:eastAsia="Microsoft JhengHei" w:hint="eastAsia"/>
                <w:b/>
                <w:sz w:val="21"/>
              </w:rPr>
              <w:t>主险合同。我们解除合同的，向您退还本主险合同效力中止时的现金价值。</w:t>
            </w:r>
          </w:p>
        </w:tc>
      </w:tr>
      <w:tr>
        <w:trPr>
          <w:trHeight w:val="210" w:hRule="atLeast"/>
        </w:trPr>
        <w:tc>
          <w:tcPr>
            <w:tcW w:w="634" w:type="dxa"/>
          </w:tcPr>
          <w:p>
            <w:pPr>
              <w:pStyle w:val="TableParagraph"/>
              <w:rPr>
                <w:rFonts w:ascii="Times New Roman"/>
                <w:sz w:val="14"/>
              </w:rPr>
            </w:pPr>
          </w:p>
        </w:tc>
        <w:tc>
          <w:tcPr>
            <w:tcW w:w="2054" w:type="dxa"/>
          </w:tcPr>
          <w:p>
            <w:pPr>
              <w:pStyle w:val="TableParagraph"/>
              <w:rPr>
                <w:rFonts w:ascii="Times New Roman"/>
                <w:sz w:val="14"/>
              </w:rPr>
            </w:pPr>
          </w:p>
        </w:tc>
        <w:tc>
          <w:tcPr>
            <w:tcW w:w="7394" w:type="dxa"/>
          </w:tcPr>
          <w:p>
            <w:pPr>
              <w:pStyle w:val="TableParagraph"/>
              <w:spacing w:line="191" w:lineRule="exact"/>
              <w:ind w:left="134"/>
              <w:rPr>
                <w:sz w:val="21"/>
              </w:rPr>
            </w:pPr>
            <w:r>
              <w:rPr>
                <w:w w:val="100"/>
                <w:sz w:val="21"/>
              </w:rPr>
              <w:t> </w:t>
            </w:r>
          </w:p>
        </w:tc>
      </w:tr>
      <w:tr>
        <w:trPr>
          <w:trHeight w:val="433" w:hRule="atLeast"/>
        </w:trPr>
        <w:tc>
          <w:tcPr>
            <w:tcW w:w="634" w:type="dxa"/>
            <w:tcBorders>
              <w:bottom w:val="single" w:sz="4" w:space="0" w:color="000000"/>
            </w:tcBorders>
          </w:tcPr>
          <w:p>
            <w:pPr>
              <w:pStyle w:val="TableParagraph"/>
              <w:spacing w:line="416" w:lineRule="exact"/>
              <w:ind w:left="112"/>
              <w:rPr>
                <w:rFonts w:ascii="Times New Roman"/>
                <w:b/>
                <w:sz w:val="40"/>
              </w:rPr>
            </w:pPr>
            <w:r>
              <w:rPr>
                <w:rFonts w:ascii="Times New Roman"/>
                <w:b/>
                <w:w w:val="100"/>
                <w:sz w:val="40"/>
              </w:rPr>
              <w:t>{</w:t>
            </w:r>
          </w:p>
        </w:tc>
        <w:tc>
          <w:tcPr>
            <w:tcW w:w="2054" w:type="dxa"/>
            <w:tcBorders>
              <w:bottom w:val="single" w:sz="4" w:space="0" w:color="000000"/>
            </w:tcBorders>
          </w:tcPr>
          <w:p>
            <w:pPr>
              <w:pStyle w:val="TableParagraph"/>
              <w:spacing w:line="372" w:lineRule="exact"/>
              <w:ind w:left="230"/>
              <w:rPr>
                <w:rFonts w:ascii="Microsoft JhengHei" w:eastAsia="Microsoft JhengHei" w:hint="eastAsia"/>
                <w:b/>
                <w:sz w:val="24"/>
              </w:rPr>
            </w:pPr>
            <w:r>
              <w:rPr>
                <w:rFonts w:ascii="Microsoft JhengHei" w:eastAsia="Microsoft JhengHei" w:hint="eastAsia"/>
                <w:b/>
                <w:sz w:val="24"/>
              </w:rPr>
              <w:t>合同解除</w:t>
            </w:r>
          </w:p>
        </w:tc>
        <w:tc>
          <w:tcPr>
            <w:tcW w:w="7394" w:type="dxa"/>
            <w:tcBorders>
              <w:bottom w:val="single" w:sz="4" w:space="0" w:color="000000"/>
            </w:tcBorders>
          </w:tcPr>
          <w:p>
            <w:pPr>
              <w:pStyle w:val="TableParagraph"/>
              <w:spacing w:before="66"/>
              <w:ind w:right="676"/>
              <w:jc w:val="right"/>
              <w:rPr>
                <w:sz w:val="21"/>
              </w:rPr>
            </w:pPr>
            <w:r>
              <w:rPr>
                <w:w w:val="100"/>
                <w:sz w:val="21"/>
              </w:rPr>
              <w:t> </w:t>
            </w:r>
          </w:p>
        </w:tc>
      </w:tr>
      <w:tr>
        <w:trPr>
          <w:trHeight w:val="214" w:hRule="atLeast"/>
        </w:trPr>
        <w:tc>
          <w:tcPr>
            <w:tcW w:w="634" w:type="dxa"/>
            <w:tcBorders>
              <w:top w:val="single" w:sz="4" w:space="0" w:color="000000"/>
            </w:tcBorders>
          </w:tcPr>
          <w:p>
            <w:pPr>
              <w:pStyle w:val="TableParagraph"/>
              <w:spacing w:line="192" w:lineRule="exact"/>
              <w:ind w:left="107"/>
              <w:rPr>
                <w:sz w:val="21"/>
              </w:rPr>
            </w:pPr>
            <w:r>
              <w:rPr>
                <w:w w:val="100"/>
                <w:sz w:val="21"/>
              </w:rPr>
              <w:t> </w:t>
            </w:r>
          </w:p>
        </w:tc>
        <w:tc>
          <w:tcPr>
            <w:tcW w:w="2054" w:type="dxa"/>
            <w:tcBorders>
              <w:top w:val="single" w:sz="4" w:space="0" w:color="000000"/>
            </w:tcBorders>
          </w:tcPr>
          <w:p>
            <w:pPr>
              <w:pStyle w:val="TableParagraph"/>
              <w:spacing w:line="192" w:lineRule="exact"/>
              <w:ind w:left="230"/>
              <w:rPr>
                <w:sz w:val="21"/>
              </w:rPr>
            </w:pPr>
            <w:r>
              <w:rPr>
                <w:w w:val="100"/>
                <w:sz w:val="21"/>
              </w:rPr>
              <w:t> </w:t>
            </w:r>
          </w:p>
        </w:tc>
        <w:tc>
          <w:tcPr>
            <w:tcW w:w="7394" w:type="dxa"/>
            <w:tcBorders>
              <w:top w:val="single" w:sz="4" w:space="0" w:color="000000"/>
            </w:tcBorders>
          </w:tcPr>
          <w:p>
            <w:pPr>
              <w:pStyle w:val="TableParagraph"/>
              <w:spacing w:line="192" w:lineRule="exact"/>
              <w:ind w:left="134"/>
              <w:rPr>
                <w:sz w:val="21"/>
              </w:rPr>
            </w:pPr>
            <w:r>
              <w:rPr>
                <w:w w:val="100"/>
                <w:sz w:val="21"/>
              </w:rPr>
              <w:t> </w:t>
            </w:r>
          </w:p>
        </w:tc>
      </w:tr>
      <w:tr>
        <w:trPr>
          <w:trHeight w:val="260" w:hRule="atLeast"/>
        </w:trPr>
        <w:tc>
          <w:tcPr>
            <w:tcW w:w="634" w:type="dxa"/>
          </w:tcPr>
          <w:p>
            <w:pPr>
              <w:pStyle w:val="TableParagraph"/>
              <w:rPr>
                <w:rFonts w:ascii="Times New Roman"/>
                <w:sz w:val="18"/>
              </w:rPr>
            </w:pPr>
          </w:p>
        </w:tc>
        <w:tc>
          <w:tcPr>
            <w:tcW w:w="2054" w:type="dxa"/>
          </w:tcPr>
          <w:p>
            <w:pPr>
              <w:pStyle w:val="TableParagraph"/>
              <w:spacing w:line="240" w:lineRule="exact"/>
              <w:ind w:left="230"/>
              <w:rPr>
                <w:rFonts w:ascii="Microsoft JhengHei" w:eastAsia="Microsoft JhengHei" w:hint="eastAsia"/>
                <w:b/>
                <w:sz w:val="21"/>
              </w:rPr>
            </w:pPr>
            <w:r>
              <w:rPr>
                <w:rFonts w:ascii="Microsoft JhengHei" w:eastAsia="Microsoft JhengHei" w:hint="eastAsia"/>
                <w:b/>
                <w:sz w:val="21"/>
              </w:rPr>
              <w:t>投保人解除合同的</w:t>
            </w:r>
          </w:p>
        </w:tc>
        <w:tc>
          <w:tcPr>
            <w:tcW w:w="7394" w:type="dxa"/>
          </w:tcPr>
          <w:p>
            <w:pPr>
              <w:pStyle w:val="TableParagraph"/>
              <w:spacing w:line="230" w:lineRule="exact"/>
              <w:ind w:left="134"/>
              <w:rPr>
                <w:sz w:val="21"/>
              </w:rPr>
            </w:pPr>
            <w:r>
              <w:rPr>
                <w:sz w:val="21"/>
              </w:rPr>
              <w:t>如您在犹豫期后申请解除本主险合同，请填写保险合同变更申请书并提供下列</w:t>
            </w:r>
          </w:p>
        </w:tc>
      </w:tr>
      <w:tr>
        <w:trPr>
          <w:trHeight w:val="272" w:hRule="atLeast"/>
        </w:trPr>
        <w:tc>
          <w:tcPr>
            <w:tcW w:w="634" w:type="dxa"/>
          </w:tcPr>
          <w:p>
            <w:pPr>
              <w:pStyle w:val="TableParagraph"/>
              <w:rPr>
                <w:rFonts w:ascii="Times New Roman"/>
                <w:sz w:val="20"/>
              </w:rPr>
            </w:pPr>
          </w:p>
        </w:tc>
        <w:tc>
          <w:tcPr>
            <w:tcW w:w="2054" w:type="dxa"/>
          </w:tcPr>
          <w:p>
            <w:pPr>
              <w:pStyle w:val="TableParagraph"/>
              <w:spacing w:line="252" w:lineRule="exact"/>
              <w:ind w:left="230"/>
              <w:rPr>
                <w:rFonts w:ascii="Microsoft JhengHei" w:eastAsia="Microsoft JhengHei" w:hint="eastAsia"/>
                <w:b/>
                <w:sz w:val="21"/>
              </w:rPr>
            </w:pPr>
            <w:r>
              <w:rPr>
                <w:rFonts w:ascii="Microsoft JhengHei" w:eastAsia="Microsoft JhengHei" w:hint="eastAsia"/>
                <w:b/>
                <w:sz w:val="21"/>
              </w:rPr>
              <w:t>手续及风险</w:t>
            </w:r>
          </w:p>
        </w:tc>
        <w:tc>
          <w:tcPr>
            <w:tcW w:w="7394" w:type="dxa"/>
          </w:tcPr>
          <w:p>
            <w:pPr>
              <w:pStyle w:val="TableParagraph"/>
              <w:spacing w:line="241" w:lineRule="exact"/>
              <w:ind w:left="134"/>
              <w:rPr>
                <w:sz w:val="21"/>
              </w:rPr>
            </w:pPr>
            <w:r>
              <w:rPr>
                <w:sz w:val="21"/>
              </w:rPr>
              <w:t>资料： </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42" w:lineRule="exact"/>
              <w:ind w:left="134"/>
              <w:rPr>
                <w:sz w:val="21"/>
              </w:rPr>
            </w:pPr>
            <w:r>
              <w:rPr>
                <w:sz w:val="21"/>
              </w:rPr>
              <w:t>（1）保险合同； </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41" w:lineRule="exact"/>
              <w:ind w:left="134"/>
              <w:rPr>
                <w:sz w:val="21"/>
              </w:rPr>
            </w:pPr>
            <w:r>
              <w:rPr>
                <w:sz w:val="21"/>
              </w:rPr>
              <w:t>（2）您的有效身份证件。 </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42" w:lineRule="exact"/>
              <w:ind w:left="134"/>
              <w:rPr>
                <w:sz w:val="21"/>
              </w:rPr>
            </w:pPr>
            <w:r>
              <w:rPr>
                <w:sz w:val="21"/>
              </w:rPr>
              <w:t>自我们收到保险合同变更申请书时起，本主险合同终止。我们自收到保险合同</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41" w:lineRule="exact"/>
              <w:ind w:left="134"/>
              <w:rPr>
                <w:sz w:val="21"/>
              </w:rPr>
            </w:pPr>
            <w:r>
              <w:rPr>
                <w:sz w:val="21"/>
              </w:rPr>
              <w:t>变更申请书之日起 30 日内向您退还本主险合同的现金价值。 </w:t>
            </w:r>
          </w:p>
        </w:tc>
      </w:tr>
      <w:tr>
        <w:trPr>
          <w:trHeight w:val="247" w:hRule="atLeast"/>
        </w:trPr>
        <w:tc>
          <w:tcPr>
            <w:tcW w:w="634" w:type="dxa"/>
          </w:tcPr>
          <w:p>
            <w:pPr>
              <w:pStyle w:val="TableParagraph"/>
              <w:rPr>
                <w:rFonts w:ascii="Times New Roman"/>
                <w:sz w:val="18"/>
              </w:rPr>
            </w:pPr>
          </w:p>
        </w:tc>
        <w:tc>
          <w:tcPr>
            <w:tcW w:w="2054" w:type="dxa"/>
          </w:tcPr>
          <w:p>
            <w:pPr>
              <w:pStyle w:val="TableParagraph"/>
              <w:rPr>
                <w:rFonts w:ascii="Times New Roman"/>
                <w:sz w:val="18"/>
              </w:rPr>
            </w:pPr>
          </w:p>
        </w:tc>
        <w:tc>
          <w:tcPr>
            <w:tcW w:w="7394" w:type="dxa"/>
          </w:tcPr>
          <w:p>
            <w:pPr>
              <w:pStyle w:val="TableParagraph"/>
              <w:spacing w:line="227" w:lineRule="exact"/>
              <w:ind w:left="134"/>
              <w:rPr>
                <w:rFonts w:ascii="Microsoft JhengHei" w:eastAsia="Microsoft JhengHei" w:hint="eastAsia"/>
                <w:b/>
                <w:sz w:val="21"/>
              </w:rPr>
            </w:pPr>
            <w:r>
              <w:rPr>
                <w:rFonts w:ascii="Microsoft JhengHei" w:eastAsia="Microsoft JhengHei" w:hint="eastAsia"/>
                <w:b/>
                <w:sz w:val="21"/>
              </w:rPr>
              <w:t>您在犹豫期后解除合同会遭受一定损失。</w:t>
            </w:r>
          </w:p>
        </w:tc>
      </w:tr>
      <w:tr>
        <w:trPr>
          <w:trHeight w:val="210" w:hRule="atLeast"/>
        </w:trPr>
        <w:tc>
          <w:tcPr>
            <w:tcW w:w="634" w:type="dxa"/>
          </w:tcPr>
          <w:p>
            <w:pPr>
              <w:pStyle w:val="TableParagraph"/>
              <w:spacing w:line="191" w:lineRule="exact"/>
              <w:ind w:left="107"/>
              <w:rPr>
                <w:sz w:val="21"/>
              </w:rPr>
            </w:pPr>
            <w:r>
              <w:rPr>
                <w:w w:val="100"/>
                <w:sz w:val="21"/>
              </w:rPr>
              <w:t> </w:t>
            </w:r>
          </w:p>
        </w:tc>
        <w:tc>
          <w:tcPr>
            <w:tcW w:w="2054" w:type="dxa"/>
          </w:tcPr>
          <w:p>
            <w:pPr>
              <w:pStyle w:val="TableParagraph"/>
              <w:spacing w:line="191" w:lineRule="exact"/>
              <w:ind w:left="230"/>
              <w:rPr>
                <w:sz w:val="21"/>
              </w:rPr>
            </w:pPr>
            <w:r>
              <w:rPr>
                <w:w w:val="100"/>
                <w:sz w:val="21"/>
              </w:rPr>
              <w:t> </w:t>
            </w:r>
          </w:p>
        </w:tc>
        <w:tc>
          <w:tcPr>
            <w:tcW w:w="7394" w:type="dxa"/>
          </w:tcPr>
          <w:p>
            <w:pPr>
              <w:pStyle w:val="TableParagraph"/>
              <w:spacing w:line="191" w:lineRule="exact"/>
              <w:ind w:left="134"/>
              <w:rPr>
                <w:sz w:val="21"/>
              </w:rPr>
            </w:pPr>
            <w:r>
              <w:rPr>
                <w:w w:val="100"/>
                <w:sz w:val="21"/>
              </w:rPr>
              <w:t> </w:t>
            </w:r>
          </w:p>
        </w:tc>
      </w:tr>
      <w:tr>
        <w:trPr>
          <w:trHeight w:val="433" w:hRule="atLeast"/>
        </w:trPr>
        <w:tc>
          <w:tcPr>
            <w:tcW w:w="634" w:type="dxa"/>
            <w:tcBorders>
              <w:bottom w:val="single" w:sz="4" w:space="0" w:color="000000"/>
            </w:tcBorders>
          </w:tcPr>
          <w:p>
            <w:pPr>
              <w:pStyle w:val="TableParagraph"/>
              <w:spacing w:line="416" w:lineRule="exact"/>
              <w:ind w:left="114"/>
              <w:rPr>
                <w:rFonts w:ascii="Times New Roman"/>
                <w:b/>
                <w:sz w:val="40"/>
              </w:rPr>
            </w:pPr>
            <w:r>
              <w:rPr>
                <w:rFonts w:ascii="Times New Roman"/>
                <w:b/>
                <w:w w:val="100"/>
                <w:sz w:val="40"/>
              </w:rPr>
              <w:t>|</w:t>
            </w:r>
          </w:p>
        </w:tc>
        <w:tc>
          <w:tcPr>
            <w:tcW w:w="2054" w:type="dxa"/>
            <w:tcBorders>
              <w:bottom w:val="single" w:sz="4" w:space="0" w:color="000000"/>
            </w:tcBorders>
          </w:tcPr>
          <w:p>
            <w:pPr>
              <w:pStyle w:val="TableParagraph"/>
              <w:spacing w:line="372" w:lineRule="exact"/>
              <w:ind w:left="230"/>
              <w:rPr>
                <w:rFonts w:ascii="Microsoft JhengHei" w:eastAsia="Microsoft JhengHei" w:hint="eastAsia"/>
                <w:b/>
                <w:sz w:val="24"/>
              </w:rPr>
            </w:pPr>
            <w:r>
              <w:rPr>
                <w:rFonts w:ascii="Microsoft JhengHei" w:eastAsia="Microsoft JhengHei" w:hint="eastAsia"/>
                <w:b/>
                <w:sz w:val="24"/>
              </w:rPr>
              <w:t>如实告知</w:t>
            </w:r>
          </w:p>
        </w:tc>
        <w:tc>
          <w:tcPr>
            <w:tcW w:w="7394" w:type="dxa"/>
            <w:tcBorders>
              <w:bottom w:val="single" w:sz="4" w:space="0" w:color="000000"/>
            </w:tcBorders>
          </w:tcPr>
          <w:p>
            <w:pPr>
              <w:pStyle w:val="TableParagraph"/>
              <w:spacing w:before="66"/>
              <w:ind w:right="1039"/>
              <w:jc w:val="right"/>
              <w:rPr>
                <w:sz w:val="21"/>
              </w:rPr>
            </w:pPr>
            <w:r>
              <w:rPr>
                <w:w w:val="100"/>
                <w:sz w:val="21"/>
              </w:rPr>
              <w:t> </w:t>
            </w:r>
          </w:p>
        </w:tc>
      </w:tr>
      <w:tr>
        <w:trPr>
          <w:trHeight w:val="209" w:hRule="atLeast"/>
        </w:trPr>
        <w:tc>
          <w:tcPr>
            <w:tcW w:w="634" w:type="dxa"/>
            <w:tcBorders>
              <w:top w:val="single" w:sz="4" w:space="0" w:color="000000"/>
            </w:tcBorders>
          </w:tcPr>
          <w:p>
            <w:pPr>
              <w:pStyle w:val="TableParagraph"/>
              <w:spacing w:line="187" w:lineRule="exact"/>
              <w:ind w:left="107"/>
              <w:rPr>
                <w:sz w:val="21"/>
              </w:rPr>
            </w:pPr>
            <w:r>
              <w:rPr>
                <w:w w:val="100"/>
                <w:sz w:val="21"/>
              </w:rPr>
              <w:t> </w:t>
            </w:r>
          </w:p>
        </w:tc>
        <w:tc>
          <w:tcPr>
            <w:tcW w:w="2054" w:type="dxa"/>
            <w:tcBorders>
              <w:top w:val="single" w:sz="4" w:space="0" w:color="000000"/>
            </w:tcBorders>
          </w:tcPr>
          <w:p>
            <w:pPr>
              <w:pStyle w:val="TableParagraph"/>
              <w:spacing w:line="187" w:lineRule="exact"/>
              <w:ind w:left="230"/>
              <w:rPr>
                <w:sz w:val="21"/>
              </w:rPr>
            </w:pPr>
            <w:r>
              <w:rPr>
                <w:w w:val="100"/>
                <w:sz w:val="21"/>
              </w:rPr>
              <w:t> </w:t>
            </w:r>
          </w:p>
        </w:tc>
        <w:tc>
          <w:tcPr>
            <w:tcW w:w="7394" w:type="dxa"/>
            <w:tcBorders>
              <w:top w:val="single" w:sz="4" w:space="0" w:color="000000"/>
            </w:tcBorders>
          </w:tcPr>
          <w:p>
            <w:pPr>
              <w:pStyle w:val="TableParagraph"/>
              <w:spacing w:line="187" w:lineRule="exact"/>
              <w:ind w:left="134"/>
              <w:rPr>
                <w:sz w:val="21"/>
              </w:rPr>
            </w:pPr>
            <w:r>
              <w:rPr>
                <w:w w:val="100"/>
                <w:sz w:val="21"/>
              </w:rPr>
              <w:t> </w:t>
            </w:r>
          </w:p>
        </w:tc>
      </w:tr>
      <w:tr>
        <w:trPr>
          <w:trHeight w:val="272" w:hRule="atLeast"/>
        </w:trPr>
        <w:tc>
          <w:tcPr>
            <w:tcW w:w="634" w:type="dxa"/>
          </w:tcPr>
          <w:p>
            <w:pPr>
              <w:pStyle w:val="TableParagraph"/>
              <w:spacing w:line="253" w:lineRule="exact"/>
              <w:ind w:left="107"/>
              <w:rPr>
                <w:rFonts w:ascii="Microsoft JhengHei"/>
                <w:b/>
                <w:sz w:val="21"/>
              </w:rPr>
            </w:pPr>
            <w:r>
              <w:rPr>
                <w:rFonts w:ascii="Microsoft JhengHei"/>
                <w:b/>
                <w:w w:val="90"/>
                <w:sz w:val="21"/>
              </w:rPr>
              <w:t>8. 1</w:t>
            </w:r>
          </w:p>
        </w:tc>
        <w:tc>
          <w:tcPr>
            <w:tcW w:w="2054" w:type="dxa"/>
          </w:tcPr>
          <w:p>
            <w:pPr>
              <w:pStyle w:val="TableParagraph"/>
              <w:spacing w:line="253" w:lineRule="exact"/>
              <w:ind w:left="230"/>
              <w:rPr>
                <w:rFonts w:ascii="Microsoft JhengHei" w:eastAsia="Microsoft JhengHei" w:hint="eastAsia"/>
                <w:b/>
                <w:sz w:val="21"/>
              </w:rPr>
            </w:pPr>
            <w:r>
              <w:rPr>
                <w:rFonts w:ascii="Microsoft JhengHei" w:eastAsia="Microsoft JhengHei" w:hint="eastAsia"/>
                <w:b/>
                <w:sz w:val="21"/>
              </w:rPr>
              <w:t>明确说明和如实告</w:t>
            </w:r>
          </w:p>
        </w:tc>
        <w:tc>
          <w:tcPr>
            <w:tcW w:w="7394" w:type="dxa"/>
          </w:tcPr>
          <w:p>
            <w:pPr>
              <w:pStyle w:val="TableParagraph"/>
              <w:spacing w:line="235" w:lineRule="exact"/>
              <w:ind w:left="134"/>
              <w:rPr>
                <w:sz w:val="21"/>
              </w:rPr>
            </w:pPr>
            <w:r>
              <w:rPr>
                <w:sz w:val="21"/>
              </w:rPr>
              <w:t>订立本主险合同时，我们应向您说明本主险合同的内容。对保险条款中免除我</w:t>
            </w:r>
          </w:p>
        </w:tc>
      </w:tr>
      <w:tr>
        <w:trPr>
          <w:trHeight w:val="264" w:hRule="atLeast"/>
        </w:trPr>
        <w:tc>
          <w:tcPr>
            <w:tcW w:w="634" w:type="dxa"/>
          </w:tcPr>
          <w:p>
            <w:pPr>
              <w:pStyle w:val="TableParagraph"/>
              <w:rPr>
                <w:rFonts w:ascii="Times New Roman"/>
                <w:sz w:val="18"/>
              </w:rPr>
            </w:pPr>
          </w:p>
        </w:tc>
        <w:tc>
          <w:tcPr>
            <w:tcW w:w="2054" w:type="dxa"/>
          </w:tcPr>
          <w:p>
            <w:pPr>
              <w:pStyle w:val="TableParagraph"/>
              <w:spacing w:line="245" w:lineRule="exact"/>
              <w:ind w:left="230"/>
              <w:rPr>
                <w:rFonts w:ascii="Microsoft JhengHei" w:eastAsia="Microsoft JhengHei" w:hint="eastAsia"/>
                <w:b/>
                <w:sz w:val="21"/>
              </w:rPr>
            </w:pPr>
            <w:r>
              <w:rPr>
                <w:rFonts w:ascii="Microsoft JhengHei" w:eastAsia="Microsoft JhengHei" w:hint="eastAsia"/>
                <w:b/>
                <w:w w:val="100"/>
                <w:sz w:val="21"/>
              </w:rPr>
              <w:t>知</w:t>
            </w:r>
          </w:p>
        </w:tc>
        <w:tc>
          <w:tcPr>
            <w:tcW w:w="7394" w:type="dxa"/>
          </w:tcPr>
          <w:p>
            <w:pPr>
              <w:pStyle w:val="TableParagraph"/>
              <w:spacing w:line="234" w:lineRule="exact"/>
              <w:ind w:left="134"/>
              <w:rPr>
                <w:sz w:val="21"/>
              </w:rPr>
            </w:pPr>
            <w:r>
              <w:rPr>
                <w:sz w:val="21"/>
              </w:rPr>
              <w:t>们责任的条款，我们在订立合同时应当在投保单、保险单或者其他保险凭证上</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42" w:lineRule="exact"/>
              <w:ind w:left="134"/>
              <w:rPr>
                <w:sz w:val="21"/>
              </w:rPr>
            </w:pPr>
            <w:r>
              <w:rPr>
                <w:sz w:val="21"/>
              </w:rPr>
              <w:t>作出足以引起您注意的提示，并对该条款的内容以书面或者口头形式向您作出</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41" w:lineRule="exact"/>
              <w:ind w:left="134"/>
              <w:rPr>
                <w:sz w:val="21"/>
              </w:rPr>
            </w:pPr>
            <w:r>
              <w:rPr>
                <w:sz w:val="21"/>
              </w:rPr>
              <w:t>明确说明，未作提示或者明确说明的，该条款不产生效力。我们会就您和被保</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42" w:lineRule="exact"/>
              <w:ind w:left="134"/>
              <w:rPr>
                <w:sz w:val="21"/>
              </w:rPr>
            </w:pPr>
            <w:r>
              <w:rPr>
                <w:sz w:val="21"/>
              </w:rPr>
              <w:t>险人的有关情况提出询问，您应当如实告知。 </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如果您故意或因重大过失未履行如实告知义务，足以影响我们决定是否同意承</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保或者提高保险费率的，我们有权解除本主险合同。</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如果您故意不履行如实告知义务，对于本主险合同解除前发生的保险事故，我</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们不承担给付保险金的责任，并不退还保险费。</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如果您因重大过失未履行如实告知义务，对保险事故的发生有严重影响的，对</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于本主险合同解除前发生的保险事故，我们不承担给付保险金的责任，但退还</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保险费。</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42" w:lineRule="exact"/>
              <w:ind w:left="134"/>
              <w:rPr>
                <w:sz w:val="21"/>
              </w:rPr>
            </w:pPr>
            <w:r>
              <w:rPr>
                <w:sz w:val="21"/>
              </w:rPr>
              <w:t>我们在本主险合同订立时已经知道您未如实告知的情况的，我们不得解除本主</w:t>
            </w:r>
          </w:p>
        </w:tc>
      </w:tr>
      <w:tr>
        <w:trPr>
          <w:trHeight w:val="247" w:hRule="atLeast"/>
        </w:trPr>
        <w:tc>
          <w:tcPr>
            <w:tcW w:w="634" w:type="dxa"/>
          </w:tcPr>
          <w:p>
            <w:pPr>
              <w:pStyle w:val="TableParagraph"/>
              <w:rPr>
                <w:rFonts w:ascii="Times New Roman"/>
                <w:sz w:val="18"/>
              </w:rPr>
            </w:pPr>
          </w:p>
        </w:tc>
        <w:tc>
          <w:tcPr>
            <w:tcW w:w="2054" w:type="dxa"/>
          </w:tcPr>
          <w:p>
            <w:pPr>
              <w:pStyle w:val="TableParagraph"/>
              <w:rPr>
                <w:rFonts w:ascii="Times New Roman"/>
                <w:sz w:val="18"/>
              </w:rPr>
            </w:pPr>
          </w:p>
        </w:tc>
        <w:tc>
          <w:tcPr>
            <w:tcW w:w="7394" w:type="dxa"/>
          </w:tcPr>
          <w:p>
            <w:pPr>
              <w:pStyle w:val="TableParagraph"/>
              <w:spacing w:line="227" w:lineRule="exact"/>
              <w:ind w:left="134"/>
              <w:rPr>
                <w:sz w:val="21"/>
              </w:rPr>
            </w:pPr>
            <w:r>
              <w:rPr>
                <w:sz w:val="21"/>
              </w:rPr>
              <w:t>险合同；发生保险事故的，我们承担给付保险金的责任。 </w:t>
            </w:r>
          </w:p>
        </w:tc>
      </w:tr>
      <w:tr>
        <w:trPr>
          <w:trHeight w:val="231" w:hRule="atLeast"/>
        </w:trPr>
        <w:tc>
          <w:tcPr>
            <w:tcW w:w="634" w:type="dxa"/>
          </w:tcPr>
          <w:p>
            <w:pPr>
              <w:pStyle w:val="TableParagraph"/>
              <w:rPr>
                <w:rFonts w:ascii="Times New Roman"/>
                <w:sz w:val="16"/>
              </w:rPr>
            </w:pPr>
          </w:p>
        </w:tc>
        <w:tc>
          <w:tcPr>
            <w:tcW w:w="2054" w:type="dxa"/>
          </w:tcPr>
          <w:p>
            <w:pPr>
              <w:pStyle w:val="TableParagraph"/>
              <w:rPr>
                <w:rFonts w:ascii="Times New Roman"/>
                <w:sz w:val="16"/>
              </w:rPr>
            </w:pPr>
          </w:p>
        </w:tc>
        <w:tc>
          <w:tcPr>
            <w:tcW w:w="7394" w:type="dxa"/>
          </w:tcPr>
          <w:p>
            <w:pPr>
              <w:pStyle w:val="TableParagraph"/>
              <w:spacing w:line="212" w:lineRule="exact"/>
              <w:ind w:left="134"/>
              <w:rPr>
                <w:sz w:val="21"/>
              </w:rPr>
            </w:pPr>
            <w:r>
              <w:rPr>
                <w:w w:val="100"/>
                <w:sz w:val="21"/>
              </w:rPr>
              <w:t> </w:t>
            </w:r>
          </w:p>
        </w:tc>
      </w:tr>
      <w:tr>
        <w:trPr>
          <w:trHeight w:val="267" w:hRule="atLeast"/>
        </w:trPr>
        <w:tc>
          <w:tcPr>
            <w:tcW w:w="634" w:type="dxa"/>
          </w:tcPr>
          <w:p>
            <w:pPr>
              <w:pStyle w:val="TableParagraph"/>
              <w:spacing w:line="248" w:lineRule="exact"/>
              <w:ind w:left="107"/>
              <w:rPr>
                <w:rFonts w:ascii="Microsoft JhengHei"/>
                <w:b/>
                <w:sz w:val="21"/>
              </w:rPr>
            </w:pPr>
            <w:r>
              <w:rPr>
                <w:rFonts w:ascii="Microsoft JhengHei"/>
                <w:b/>
                <w:w w:val="90"/>
                <w:sz w:val="21"/>
              </w:rPr>
              <w:t>8. 2</w:t>
            </w:r>
          </w:p>
        </w:tc>
        <w:tc>
          <w:tcPr>
            <w:tcW w:w="2054" w:type="dxa"/>
          </w:tcPr>
          <w:p>
            <w:pPr>
              <w:pStyle w:val="TableParagraph"/>
              <w:spacing w:line="248" w:lineRule="exact"/>
              <w:ind w:left="230"/>
              <w:rPr>
                <w:rFonts w:ascii="Microsoft JhengHei" w:eastAsia="Microsoft JhengHei" w:hint="eastAsia"/>
                <w:b/>
                <w:sz w:val="21"/>
              </w:rPr>
            </w:pPr>
            <w:r>
              <w:rPr>
                <w:rFonts w:ascii="Microsoft JhengHei" w:eastAsia="Microsoft JhengHei" w:hint="eastAsia"/>
                <w:b/>
                <w:sz w:val="21"/>
              </w:rPr>
              <w:t>本公司合同解除权</w:t>
            </w:r>
          </w:p>
        </w:tc>
        <w:tc>
          <w:tcPr>
            <w:tcW w:w="7394" w:type="dxa"/>
          </w:tcPr>
          <w:p>
            <w:pPr>
              <w:pStyle w:val="TableParagraph"/>
              <w:spacing w:line="248" w:lineRule="exact"/>
              <w:ind w:left="134"/>
              <w:rPr>
                <w:rFonts w:ascii="Microsoft JhengHei" w:hAnsi="Microsoft JhengHei" w:eastAsia="Microsoft JhengHei" w:hint="eastAsia"/>
                <w:b/>
                <w:sz w:val="21"/>
              </w:rPr>
            </w:pPr>
            <w:r>
              <w:rPr>
                <w:rFonts w:ascii="Microsoft JhengHei" w:hAnsi="Microsoft JhengHei" w:eastAsia="Microsoft JhengHei" w:hint="eastAsia"/>
                <w:b/>
                <w:sz w:val="21"/>
              </w:rPr>
              <w:t>“8. 1 明确说明和如实告知”规定的合同解除权，自我们知道有解除事由之日</w:t>
            </w:r>
          </w:p>
        </w:tc>
      </w:tr>
      <w:tr>
        <w:trPr>
          <w:trHeight w:val="277" w:hRule="atLeast"/>
        </w:trPr>
        <w:tc>
          <w:tcPr>
            <w:tcW w:w="634" w:type="dxa"/>
          </w:tcPr>
          <w:p>
            <w:pPr>
              <w:pStyle w:val="TableParagraph"/>
              <w:rPr>
                <w:rFonts w:ascii="Times New Roman"/>
                <w:sz w:val="20"/>
              </w:rPr>
            </w:pPr>
          </w:p>
        </w:tc>
        <w:tc>
          <w:tcPr>
            <w:tcW w:w="2054" w:type="dxa"/>
          </w:tcPr>
          <w:p>
            <w:pPr>
              <w:pStyle w:val="TableParagraph"/>
              <w:spacing w:line="257" w:lineRule="exact"/>
              <w:ind w:left="230"/>
              <w:rPr>
                <w:rFonts w:ascii="Microsoft JhengHei" w:eastAsia="Microsoft JhengHei" w:hint="eastAsia"/>
                <w:b/>
                <w:sz w:val="21"/>
              </w:rPr>
            </w:pPr>
            <w:r>
              <w:rPr>
                <w:rFonts w:ascii="Microsoft JhengHei" w:eastAsia="Microsoft JhengHei" w:hint="eastAsia"/>
                <w:b/>
                <w:sz w:val="21"/>
              </w:rPr>
              <w:t>的限制</w:t>
            </w:r>
          </w:p>
        </w:tc>
        <w:tc>
          <w:tcPr>
            <w:tcW w:w="7394" w:type="dxa"/>
          </w:tcPr>
          <w:p>
            <w:pPr>
              <w:pStyle w:val="TableParagraph"/>
              <w:spacing w:line="257" w:lineRule="exact"/>
              <w:ind w:left="134"/>
              <w:rPr>
                <w:rFonts w:ascii="Microsoft JhengHei" w:eastAsia="Microsoft JhengHei" w:hint="eastAsia"/>
                <w:b/>
                <w:sz w:val="21"/>
              </w:rPr>
            </w:pPr>
            <w:r>
              <w:rPr>
                <w:rFonts w:ascii="Microsoft JhengHei" w:eastAsia="Microsoft JhengHei" w:hint="eastAsia"/>
                <w:b/>
                <w:sz w:val="21"/>
              </w:rPr>
              <w:t>起，超过 30 日不行使而消灭。自本主险合同成立之日起超过 2 年的，我们不</w:t>
            </w:r>
          </w:p>
        </w:tc>
      </w:tr>
      <w:tr>
        <w:trPr>
          <w:trHeight w:val="239" w:hRule="atLeast"/>
        </w:trPr>
        <w:tc>
          <w:tcPr>
            <w:tcW w:w="634" w:type="dxa"/>
          </w:tcPr>
          <w:p>
            <w:pPr>
              <w:pStyle w:val="TableParagraph"/>
              <w:rPr>
                <w:rFonts w:ascii="Times New Roman"/>
                <w:sz w:val="16"/>
              </w:rPr>
            </w:pPr>
          </w:p>
        </w:tc>
        <w:tc>
          <w:tcPr>
            <w:tcW w:w="2054" w:type="dxa"/>
          </w:tcPr>
          <w:p>
            <w:pPr>
              <w:pStyle w:val="TableParagraph"/>
              <w:rPr>
                <w:rFonts w:ascii="Times New Roman"/>
                <w:sz w:val="16"/>
              </w:rPr>
            </w:pPr>
          </w:p>
        </w:tc>
        <w:tc>
          <w:tcPr>
            <w:tcW w:w="7394" w:type="dxa"/>
          </w:tcPr>
          <w:p>
            <w:pPr>
              <w:pStyle w:val="TableParagraph"/>
              <w:spacing w:line="220" w:lineRule="exact"/>
              <w:ind w:left="134"/>
              <w:rPr>
                <w:rFonts w:ascii="Microsoft JhengHei" w:eastAsia="Microsoft JhengHei" w:hint="eastAsia"/>
                <w:b/>
                <w:sz w:val="21"/>
              </w:rPr>
            </w:pPr>
            <w:r>
              <w:rPr>
                <w:rFonts w:ascii="Microsoft JhengHei" w:eastAsia="Microsoft JhengHei" w:hint="eastAsia"/>
                <w:b/>
                <w:sz w:val="21"/>
              </w:rPr>
              <w:t>得解除本主险合同；发生保险事故的，我们承担给付保险金的责任。</w:t>
            </w:r>
          </w:p>
        </w:tc>
      </w:tr>
      <w:tr>
        <w:trPr>
          <w:trHeight w:val="216" w:hRule="atLeast"/>
        </w:trPr>
        <w:tc>
          <w:tcPr>
            <w:tcW w:w="634" w:type="dxa"/>
          </w:tcPr>
          <w:p>
            <w:pPr>
              <w:pStyle w:val="TableParagraph"/>
              <w:spacing w:line="196" w:lineRule="exact"/>
              <w:ind w:left="107"/>
              <w:rPr>
                <w:sz w:val="21"/>
              </w:rPr>
            </w:pPr>
            <w:r>
              <w:rPr>
                <w:w w:val="100"/>
                <w:sz w:val="21"/>
              </w:rPr>
              <w:t> </w:t>
            </w:r>
          </w:p>
        </w:tc>
        <w:tc>
          <w:tcPr>
            <w:tcW w:w="2054" w:type="dxa"/>
          </w:tcPr>
          <w:p>
            <w:pPr>
              <w:pStyle w:val="TableParagraph"/>
              <w:spacing w:line="196" w:lineRule="exact"/>
              <w:ind w:left="230"/>
              <w:rPr>
                <w:sz w:val="21"/>
              </w:rPr>
            </w:pPr>
            <w:r>
              <w:rPr>
                <w:w w:val="100"/>
                <w:sz w:val="21"/>
              </w:rPr>
              <w:t> </w:t>
            </w:r>
          </w:p>
        </w:tc>
        <w:tc>
          <w:tcPr>
            <w:tcW w:w="7394" w:type="dxa"/>
          </w:tcPr>
          <w:p>
            <w:pPr>
              <w:pStyle w:val="TableParagraph"/>
              <w:spacing w:line="196" w:lineRule="exact"/>
              <w:ind w:left="134"/>
              <w:rPr>
                <w:sz w:val="21"/>
              </w:rPr>
            </w:pPr>
            <w:r>
              <w:rPr>
                <w:w w:val="100"/>
                <w:sz w:val="21"/>
              </w:rPr>
              <w:t> </w:t>
            </w:r>
          </w:p>
        </w:tc>
      </w:tr>
      <w:tr>
        <w:trPr>
          <w:trHeight w:val="428" w:hRule="atLeast"/>
        </w:trPr>
        <w:tc>
          <w:tcPr>
            <w:tcW w:w="10082" w:type="dxa"/>
            <w:gridSpan w:val="3"/>
          </w:tcPr>
          <w:p>
            <w:pPr>
              <w:pStyle w:val="TableParagraph"/>
              <w:tabs>
                <w:tab w:pos="863" w:val="left" w:leader="none"/>
              </w:tabs>
              <w:spacing w:line="409" w:lineRule="exact"/>
              <w:ind w:left="112"/>
              <w:rPr>
                <w:rFonts w:ascii="Microsoft JhengHei" w:eastAsia="Microsoft JhengHei" w:hint="eastAsia"/>
                <w:b/>
                <w:sz w:val="24"/>
              </w:rPr>
            </w:pPr>
            <w:r>
              <w:rPr>
                <w:rFonts w:ascii="Times New Roman" w:eastAsia="Times New Roman"/>
                <w:b/>
                <w:position w:val="-3"/>
                <w:sz w:val="40"/>
              </w:rPr>
              <w:t>}</w:t>
              <w:tab/>
            </w:r>
            <w:r>
              <w:rPr>
                <w:rFonts w:ascii="Microsoft JhengHei" w:eastAsia="Microsoft JhengHei" w:hint="eastAsia"/>
                <w:b/>
                <w:sz w:val="24"/>
              </w:rPr>
              <w:t>其他需要关注的事项</w:t>
            </w:r>
          </w:p>
        </w:tc>
      </w:tr>
      <w:tr>
        <w:trPr>
          <w:trHeight w:val="207" w:hRule="atLeast"/>
        </w:trPr>
        <w:tc>
          <w:tcPr>
            <w:tcW w:w="634" w:type="dxa"/>
            <w:tcBorders>
              <w:top w:val="single" w:sz="4" w:space="0" w:color="000000"/>
            </w:tcBorders>
          </w:tcPr>
          <w:p>
            <w:pPr>
              <w:pStyle w:val="TableParagraph"/>
              <w:spacing w:line="186" w:lineRule="exact"/>
              <w:ind w:left="107"/>
              <w:rPr>
                <w:sz w:val="21"/>
              </w:rPr>
            </w:pPr>
            <w:r>
              <w:rPr>
                <w:w w:val="100"/>
                <w:sz w:val="21"/>
              </w:rPr>
              <w:t> </w:t>
            </w:r>
          </w:p>
        </w:tc>
        <w:tc>
          <w:tcPr>
            <w:tcW w:w="2054" w:type="dxa"/>
            <w:tcBorders>
              <w:top w:val="single" w:sz="4" w:space="0" w:color="000000"/>
            </w:tcBorders>
          </w:tcPr>
          <w:p>
            <w:pPr>
              <w:pStyle w:val="TableParagraph"/>
              <w:spacing w:line="186" w:lineRule="exact"/>
              <w:ind w:left="230"/>
              <w:rPr>
                <w:sz w:val="21"/>
              </w:rPr>
            </w:pPr>
            <w:r>
              <w:rPr>
                <w:w w:val="100"/>
                <w:sz w:val="21"/>
              </w:rPr>
              <w:t> </w:t>
            </w:r>
          </w:p>
        </w:tc>
        <w:tc>
          <w:tcPr>
            <w:tcW w:w="7394" w:type="dxa"/>
            <w:tcBorders>
              <w:top w:val="single" w:sz="4" w:space="0" w:color="000000"/>
            </w:tcBorders>
          </w:tcPr>
          <w:p>
            <w:pPr>
              <w:pStyle w:val="TableParagraph"/>
              <w:spacing w:line="186" w:lineRule="exact"/>
              <w:ind w:left="134"/>
              <w:rPr>
                <w:sz w:val="21"/>
              </w:rPr>
            </w:pPr>
            <w:r>
              <w:rPr>
                <w:w w:val="100"/>
                <w:sz w:val="21"/>
              </w:rPr>
              <w:t> </w:t>
            </w:r>
          </w:p>
        </w:tc>
      </w:tr>
      <w:tr>
        <w:trPr>
          <w:trHeight w:val="273" w:hRule="atLeast"/>
        </w:trPr>
        <w:tc>
          <w:tcPr>
            <w:tcW w:w="634" w:type="dxa"/>
          </w:tcPr>
          <w:p>
            <w:pPr>
              <w:pStyle w:val="TableParagraph"/>
              <w:spacing w:line="254" w:lineRule="exact"/>
              <w:ind w:left="107"/>
              <w:rPr>
                <w:rFonts w:ascii="Microsoft JhengHei"/>
                <w:b/>
                <w:sz w:val="21"/>
              </w:rPr>
            </w:pPr>
            <w:r>
              <w:rPr>
                <w:rFonts w:ascii="Microsoft JhengHei"/>
                <w:b/>
                <w:w w:val="90"/>
                <w:sz w:val="21"/>
              </w:rPr>
              <w:t>9. 1</w:t>
            </w:r>
          </w:p>
        </w:tc>
        <w:tc>
          <w:tcPr>
            <w:tcW w:w="2054" w:type="dxa"/>
          </w:tcPr>
          <w:p>
            <w:pPr>
              <w:pStyle w:val="TableParagraph"/>
              <w:spacing w:line="254" w:lineRule="exact"/>
              <w:ind w:left="230"/>
              <w:rPr>
                <w:rFonts w:ascii="Microsoft JhengHei" w:eastAsia="Microsoft JhengHei" w:hint="eastAsia"/>
                <w:b/>
                <w:sz w:val="21"/>
              </w:rPr>
            </w:pPr>
            <w:r>
              <w:rPr>
                <w:rFonts w:ascii="Microsoft JhengHei" w:eastAsia="Microsoft JhengHei" w:hint="eastAsia"/>
                <w:b/>
                <w:sz w:val="21"/>
              </w:rPr>
              <w:t>年龄错误</w:t>
            </w:r>
          </w:p>
        </w:tc>
        <w:tc>
          <w:tcPr>
            <w:tcW w:w="7394" w:type="dxa"/>
          </w:tcPr>
          <w:p>
            <w:pPr>
              <w:pStyle w:val="TableParagraph"/>
              <w:spacing w:line="236" w:lineRule="exact"/>
              <w:ind w:left="136"/>
              <w:rPr>
                <w:sz w:val="21"/>
              </w:rPr>
            </w:pPr>
            <w:r>
              <w:rPr>
                <w:sz w:val="21"/>
              </w:rPr>
              <w:t>您在申请投保时，应将与有效身份证件相符的被保险人的出生日期在投保单上</w:t>
            </w:r>
          </w:p>
        </w:tc>
      </w:tr>
      <w:tr>
        <w:trPr>
          <w:trHeight w:val="264" w:hRule="atLeast"/>
        </w:trPr>
        <w:tc>
          <w:tcPr>
            <w:tcW w:w="634" w:type="dxa"/>
          </w:tcPr>
          <w:p>
            <w:pPr>
              <w:pStyle w:val="TableParagraph"/>
              <w:rPr>
                <w:rFonts w:ascii="Times New Roman"/>
                <w:sz w:val="18"/>
              </w:rPr>
            </w:pPr>
          </w:p>
        </w:tc>
        <w:tc>
          <w:tcPr>
            <w:tcW w:w="2054" w:type="dxa"/>
          </w:tcPr>
          <w:p>
            <w:pPr>
              <w:pStyle w:val="TableParagraph"/>
              <w:rPr>
                <w:rFonts w:ascii="Times New Roman"/>
                <w:sz w:val="18"/>
              </w:rPr>
            </w:pPr>
          </w:p>
        </w:tc>
        <w:tc>
          <w:tcPr>
            <w:tcW w:w="7394" w:type="dxa"/>
          </w:tcPr>
          <w:p>
            <w:pPr>
              <w:pStyle w:val="TableParagraph"/>
              <w:spacing w:line="234" w:lineRule="exact"/>
              <w:ind w:left="134"/>
              <w:rPr>
                <w:sz w:val="21"/>
              </w:rPr>
            </w:pPr>
            <w:r>
              <w:rPr>
                <w:sz w:val="21"/>
              </w:rPr>
              <w:t>填明，如果发生错误按照下列方式办理： </w:t>
            </w:r>
          </w:p>
        </w:tc>
      </w:tr>
      <w:tr>
        <w:trPr>
          <w:trHeight w:val="242" w:hRule="atLeast"/>
        </w:trPr>
        <w:tc>
          <w:tcPr>
            <w:tcW w:w="634" w:type="dxa"/>
          </w:tcPr>
          <w:p>
            <w:pPr>
              <w:pStyle w:val="TableParagraph"/>
              <w:rPr>
                <w:rFonts w:ascii="Times New Roman"/>
                <w:sz w:val="16"/>
              </w:rPr>
            </w:pPr>
          </w:p>
        </w:tc>
        <w:tc>
          <w:tcPr>
            <w:tcW w:w="2054" w:type="dxa"/>
          </w:tcPr>
          <w:p>
            <w:pPr>
              <w:pStyle w:val="TableParagraph"/>
              <w:rPr>
                <w:rFonts w:ascii="Times New Roman"/>
                <w:sz w:val="16"/>
              </w:rPr>
            </w:pPr>
          </w:p>
        </w:tc>
        <w:tc>
          <w:tcPr>
            <w:tcW w:w="7394" w:type="dxa"/>
          </w:tcPr>
          <w:p>
            <w:pPr>
              <w:pStyle w:val="TableParagraph"/>
              <w:spacing w:line="222" w:lineRule="exact"/>
              <w:ind w:left="134"/>
              <w:rPr>
                <w:rFonts w:ascii="Microsoft JhengHei" w:eastAsia="Microsoft JhengHei" w:hint="eastAsia"/>
                <w:b/>
                <w:sz w:val="21"/>
              </w:rPr>
            </w:pPr>
            <w:r>
              <w:rPr>
                <w:sz w:val="21"/>
              </w:rPr>
              <w:t>（1）</w:t>
            </w:r>
            <w:r>
              <w:rPr>
                <w:rFonts w:ascii="Microsoft JhengHei" w:eastAsia="Microsoft JhengHei" w:hint="eastAsia"/>
                <w:b/>
                <w:sz w:val="21"/>
              </w:rPr>
              <w:t>您申报的被保险人年龄不真实，并且其真实年龄不符合本主险合同约定</w:t>
            </w:r>
          </w:p>
        </w:tc>
      </w:tr>
    </w:tbl>
    <w:p>
      <w:pPr>
        <w:spacing w:after="0" w:line="222" w:lineRule="exact"/>
        <w:rPr>
          <w:rFonts w:ascii="Microsoft JhengHei" w:eastAsia="Microsoft JhengHei" w:hint="eastAsia"/>
          <w:sz w:val="21"/>
        </w:rPr>
        <w:sectPr>
          <w:pgSz w:w="11900" w:h="16840"/>
          <w:pgMar w:header="0" w:footer="676" w:top="1180" w:bottom="860" w:left="800" w:right="800"/>
        </w:sectPr>
      </w:pPr>
    </w:p>
    <w:p>
      <w:pPr>
        <w:pStyle w:val="Heading2"/>
        <w:spacing w:line="180" w:lineRule="auto" w:before="32"/>
        <w:ind w:left="3457" w:right="211"/>
        <w:jc w:val="both"/>
      </w:pPr>
      <w:r>
        <w:rPr>
          <w:spacing w:val="-3"/>
        </w:rPr>
        <w:t>投保年龄限制的，在保险事故发生之前我们有权解除本主险合同，并向</w:t>
      </w:r>
      <w:r>
        <w:rPr>
          <w:spacing w:val="-8"/>
        </w:rPr>
        <w:t>您退还本主险合同的现金价值。我们行使合同解除权适用“</w:t>
      </w:r>
      <w:r>
        <w:rPr/>
        <w:t>8</w:t>
      </w:r>
      <w:r>
        <w:rPr>
          <w:spacing w:val="-14"/>
        </w:rPr>
        <w:t>. </w:t>
      </w:r>
      <w:r>
        <w:rPr/>
        <w:t>2</w:t>
      </w:r>
      <w:r>
        <w:rPr>
          <w:spacing w:val="3"/>
        </w:rPr>
        <w:t> 本公司合</w:t>
      </w:r>
      <w:r>
        <w:rPr/>
        <w:t>同解除权的限制”的规定。</w:t>
      </w:r>
    </w:p>
    <w:p>
      <w:pPr>
        <w:spacing w:line="180" w:lineRule="auto" w:before="0"/>
        <w:ind w:left="3457" w:right="302" w:hanging="524"/>
        <w:jc w:val="both"/>
        <w:rPr>
          <w:sz w:val="21"/>
        </w:rPr>
      </w:pPr>
      <w:r>
        <w:rPr>
          <w:sz w:val="21"/>
        </w:rPr>
        <w:t>（2）</w:t>
      </w:r>
      <w:r>
        <w:rPr>
          <w:rFonts w:ascii="Microsoft JhengHei" w:eastAsia="Microsoft JhengHei" w:hint="eastAsia"/>
          <w:b/>
          <w:sz w:val="21"/>
        </w:rPr>
        <w:t>您申报的被保险人年龄不真实，致使您实付保险费少于应付保险费的， 我们有权更正并要求您补交保险费。若已经发生保险事故，在给付保险金时按实付保险费和应付保险费的比例给付</w:t>
      </w:r>
      <w:r>
        <w:rPr>
          <w:sz w:val="21"/>
        </w:rPr>
        <w:t>。 </w:t>
      </w:r>
    </w:p>
    <w:p>
      <w:pPr>
        <w:pStyle w:val="BodyText"/>
        <w:spacing w:before="5"/>
        <w:ind w:left="3460" w:right="242" w:hanging="526"/>
        <w:jc w:val="both"/>
      </w:pPr>
      <w:r>
        <w:rPr>
          <w:spacing w:val="-12"/>
        </w:rPr>
        <w:t>（3）</w:t>
      </w:r>
      <w:r>
        <w:rPr>
          <w:spacing w:val="-8"/>
        </w:rPr>
        <w:t>您申报的被保险人年龄不真实，致使您实付保险费多于应付保险费的，我</w:t>
      </w:r>
      <w:r>
        <w:rPr>
          <w:spacing w:val="-3"/>
        </w:rPr>
        <w:t>们会将多收的保险费退还给您。</w:t>
      </w:r>
      <w:r>
        <w:rPr/>
        <w:t> </w:t>
      </w: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2054"/>
        <w:gridCol w:w="7389"/>
      </w:tblGrid>
      <w:tr>
        <w:trPr>
          <w:trHeight w:val="1011" w:hRule="atLeast"/>
        </w:trPr>
        <w:tc>
          <w:tcPr>
            <w:tcW w:w="576" w:type="dxa"/>
          </w:tcPr>
          <w:p>
            <w:pPr>
              <w:pStyle w:val="TableParagraph"/>
              <w:spacing w:line="152" w:lineRule="exact"/>
              <w:ind w:left="50"/>
              <w:rPr>
                <w:sz w:val="21"/>
              </w:rPr>
            </w:pPr>
            <w:r>
              <w:rPr>
                <w:w w:val="100"/>
                <w:sz w:val="21"/>
              </w:rPr>
              <w:t> </w:t>
            </w:r>
          </w:p>
          <w:p>
            <w:pPr>
              <w:pStyle w:val="TableParagraph"/>
              <w:spacing w:line="320" w:lineRule="exact"/>
              <w:ind w:left="50"/>
              <w:rPr>
                <w:rFonts w:ascii="Microsoft JhengHei"/>
                <w:b/>
                <w:sz w:val="21"/>
              </w:rPr>
            </w:pPr>
            <w:r>
              <w:rPr>
                <w:rFonts w:ascii="Microsoft JhengHei"/>
                <w:b/>
                <w:w w:val="90"/>
                <w:sz w:val="21"/>
              </w:rPr>
              <w:t>9. 2</w:t>
            </w:r>
          </w:p>
        </w:tc>
        <w:tc>
          <w:tcPr>
            <w:tcW w:w="2054" w:type="dxa"/>
          </w:tcPr>
          <w:p>
            <w:pPr>
              <w:pStyle w:val="TableParagraph"/>
              <w:spacing w:line="152" w:lineRule="exact"/>
              <w:ind w:left="230"/>
              <w:rPr>
                <w:sz w:val="21"/>
              </w:rPr>
            </w:pPr>
            <w:r>
              <w:rPr>
                <w:w w:val="100"/>
                <w:sz w:val="21"/>
              </w:rPr>
              <w:t> </w:t>
            </w:r>
          </w:p>
          <w:p>
            <w:pPr>
              <w:pStyle w:val="TableParagraph"/>
              <w:spacing w:line="320" w:lineRule="exact"/>
              <w:ind w:left="230"/>
              <w:rPr>
                <w:rFonts w:ascii="Microsoft JhengHei" w:eastAsia="Microsoft JhengHei" w:hint="eastAsia"/>
                <w:b/>
                <w:sz w:val="21"/>
              </w:rPr>
            </w:pPr>
            <w:r>
              <w:rPr>
                <w:rFonts w:ascii="Microsoft JhengHei" w:eastAsia="Microsoft JhengHei" w:hint="eastAsia"/>
                <w:b/>
                <w:sz w:val="21"/>
              </w:rPr>
              <w:t>未还款项</w:t>
            </w:r>
          </w:p>
        </w:tc>
        <w:tc>
          <w:tcPr>
            <w:tcW w:w="7389" w:type="dxa"/>
          </w:tcPr>
          <w:p>
            <w:pPr>
              <w:pStyle w:val="TableParagraph"/>
              <w:spacing w:line="152" w:lineRule="exact"/>
              <w:ind w:left="134"/>
              <w:rPr>
                <w:sz w:val="21"/>
              </w:rPr>
            </w:pPr>
            <w:r>
              <w:rPr>
                <w:w w:val="100"/>
                <w:sz w:val="21"/>
              </w:rPr>
              <w:t> </w:t>
            </w:r>
          </w:p>
          <w:p>
            <w:pPr>
              <w:pStyle w:val="TableParagraph"/>
              <w:spacing w:line="307" w:lineRule="exact"/>
              <w:ind w:left="134"/>
              <w:rPr>
                <w:sz w:val="21"/>
              </w:rPr>
            </w:pPr>
            <w:r>
              <w:rPr>
                <w:spacing w:val="-3"/>
                <w:w w:val="100"/>
                <w:sz w:val="21"/>
              </w:rPr>
              <w:t>未还款项包括保险费自动垫交的欠款及</w:t>
            </w:r>
            <w:r>
              <w:rPr>
                <w:rFonts w:ascii="Microsoft JhengHei" w:eastAsia="Microsoft JhengHei" w:hint="eastAsia"/>
                <w:b/>
                <w:spacing w:val="-11"/>
                <w:w w:val="100"/>
                <w:sz w:val="21"/>
              </w:rPr>
              <w:t>利息</w:t>
            </w:r>
            <w:r>
              <w:rPr>
                <w:w w:val="100"/>
                <w:sz w:val="21"/>
              </w:rPr>
              <w:t>（见</w:t>
            </w:r>
            <w:r>
              <w:rPr>
                <w:spacing w:val="-53"/>
                <w:sz w:val="21"/>
              </w:rPr>
              <w:t> </w:t>
            </w:r>
            <w:r>
              <w:rPr>
                <w:spacing w:val="-3"/>
                <w:w w:val="100"/>
                <w:sz w:val="21"/>
              </w:rPr>
              <w:t>1</w:t>
            </w:r>
            <w:r>
              <w:rPr>
                <w:w w:val="100"/>
                <w:sz w:val="21"/>
              </w:rPr>
              <w:t>0</w:t>
            </w:r>
            <w:r>
              <w:rPr>
                <w:spacing w:val="-3"/>
                <w:w w:val="100"/>
                <w:sz w:val="21"/>
              </w:rPr>
              <w:t>.</w:t>
            </w:r>
            <w:r>
              <w:rPr>
                <w:w w:val="100"/>
                <w:sz w:val="21"/>
              </w:rPr>
              <w:t>16</w:t>
            </w:r>
            <w:r>
              <w:rPr>
                <w:spacing w:val="-106"/>
                <w:w w:val="100"/>
                <w:sz w:val="21"/>
              </w:rPr>
              <w:t>）</w:t>
            </w:r>
            <w:r>
              <w:rPr>
                <w:spacing w:val="-6"/>
                <w:w w:val="100"/>
                <w:sz w:val="21"/>
              </w:rPr>
              <w:t>、欠交的保险费及其它</w:t>
            </w:r>
          </w:p>
          <w:p>
            <w:pPr>
              <w:pStyle w:val="TableParagraph"/>
              <w:spacing w:line="237" w:lineRule="auto"/>
              <w:ind w:left="134" w:right="107"/>
              <w:rPr>
                <w:sz w:val="21"/>
              </w:rPr>
            </w:pPr>
            <w:r>
              <w:rPr>
                <w:sz w:val="21"/>
              </w:rPr>
              <w:t>欠款。我们在给付各项保险金、退还现金价值或返还保险费时，会在扣除上述各项欠款后给付。 </w:t>
            </w:r>
          </w:p>
        </w:tc>
      </w:tr>
      <w:tr>
        <w:trPr>
          <w:trHeight w:val="231" w:hRule="atLeast"/>
        </w:trPr>
        <w:tc>
          <w:tcPr>
            <w:tcW w:w="576" w:type="dxa"/>
          </w:tcPr>
          <w:p>
            <w:pPr>
              <w:pStyle w:val="TableParagraph"/>
              <w:spacing w:line="204" w:lineRule="exact"/>
              <w:ind w:left="50"/>
              <w:rPr>
                <w:sz w:val="21"/>
              </w:rPr>
            </w:pPr>
            <w:r>
              <w:rPr>
                <w:w w:val="100"/>
                <w:sz w:val="21"/>
              </w:rPr>
              <w:t> </w:t>
            </w:r>
          </w:p>
        </w:tc>
        <w:tc>
          <w:tcPr>
            <w:tcW w:w="2054" w:type="dxa"/>
          </w:tcPr>
          <w:p>
            <w:pPr>
              <w:pStyle w:val="TableParagraph"/>
              <w:spacing w:line="204" w:lineRule="exact"/>
              <w:ind w:left="230"/>
              <w:rPr>
                <w:sz w:val="21"/>
              </w:rPr>
            </w:pPr>
            <w:r>
              <w:rPr>
                <w:w w:val="100"/>
                <w:sz w:val="21"/>
              </w:rPr>
              <w:t> </w:t>
            </w:r>
          </w:p>
        </w:tc>
        <w:tc>
          <w:tcPr>
            <w:tcW w:w="7389" w:type="dxa"/>
          </w:tcPr>
          <w:p>
            <w:pPr>
              <w:pStyle w:val="TableParagraph"/>
              <w:spacing w:line="204" w:lineRule="exact"/>
              <w:ind w:left="134"/>
              <w:rPr>
                <w:sz w:val="21"/>
              </w:rPr>
            </w:pPr>
            <w:r>
              <w:rPr>
                <w:w w:val="100"/>
                <w:sz w:val="21"/>
              </w:rPr>
              <w:t> </w:t>
            </w:r>
          </w:p>
        </w:tc>
      </w:tr>
      <w:tr>
        <w:trPr>
          <w:trHeight w:val="272" w:hRule="atLeast"/>
        </w:trPr>
        <w:tc>
          <w:tcPr>
            <w:tcW w:w="576" w:type="dxa"/>
          </w:tcPr>
          <w:p>
            <w:pPr>
              <w:pStyle w:val="TableParagraph"/>
              <w:spacing w:line="246" w:lineRule="exact"/>
              <w:ind w:left="50"/>
              <w:rPr>
                <w:rFonts w:ascii="Microsoft JhengHei"/>
                <w:b/>
                <w:sz w:val="21"/>
              </w:rPr>
            </w:pPr>
            <w:r>
              <w:rPr>
                <w:rFonts w:ascii="Microsoft JhengHei"/>
                <w:b/>
                <w:w w:val="90"/>
                <w:sz w:val="21"/>
              </w:rPr>
              <w:t>9. 3</w:t>
            </w:r>
          </w:p>
        </w:tc>
        <w:tc>
          <w:tcPr>
            <w:tcW w:w="2054" w:type="dxa"/>
          </w:tcPr>
          <w:p>
            <w:pPr>
              <w:pStyle w:val="TableParagraph"/>
              <w:spacing w:line="246" w:lineRule="exact"/>
              <w:ind w:left="230"/>
              <w:rPr>
                <w:rFonts w:ascii="Microsoft JhengHei" w:eastAsia="Microsoft JhengHei" w:hint="eastAsia"/>
                <w:b/>
                <w:sz w:val="21"/>
              </w:rPr>
            </w:pPr>
            <w:r>
              <w:rPr>
                <w:rFonts w:ascii="Microsoft JhengHei" w:eastAsia="Microsoft JhengHei" w:hint="eastAsia"/>
                <w:b/>
                <w:sz w:val="21"/>
              </w:rPr>
              <w:t>合同内容变更</w:t>
            </w:r>
          </w:p>
        </w:tc>
        <w:tc>
          <w:tcPr>
            <w:tcW w:w="7389" w:type="dxa"/>
          </w:tcPr>
          <w:p>
            <w:pPr>
              <w:pStyle w:val="TableParagraph"/>
              <w:spacing w:line="222" w:lineRule="exact"/>
              <w:ind w:left="134"/>
              <w:rPr>
                <w:sz w:val="21"/>
              </w:rPr>
            </w:pPr>
            <w:r>
              <w:rPr>
                <w:sz w:val="21"/>
              </w:rPr>
              <w:t>在本主险合同有效期内，经您与我们协商一致，可以变更本主险合同的有关内</w:t>
            </w:r>
          </w:p>
        </w:tc>
      </w:tr>
      <w:tr>
        <w:trPr>
          <w:trHeight w:val="264" w:hRule="atLeast"/>
        </w:trPr>
        <w:tc>
          <w:tcPr>
            <w:tcW w:w="576" w:type="dxa"/>
          </w:tcPr>
          <w:p>
            <w:pPr>
              <w:pStyle w:val="TableParagraph"/>
              <w:rPr>
                <w:rFonts w:ascii="Times New Roman"/>
                <w:sz w:val="18"/>
              </w:rPr>
            </w:pPr>
          </w:p>
        </w:tc>
        <w:tc>
          <w:tcPr>
            <w:tcW w:w="2054" w:type="dxa"/>
          </w:tcPr>
          <w:p>
            <w:pPr>
              <w:pStyle w:val="TableParagraph"/>
              <w:rPr>
                <w:rFonts w:ascii="Times New Roman"/>
                <w:sz w:val="18"/>
              </w:rPr>
            </w:pPr>
          </w:p>
        </w:tc>
        <w:tc>
          <w:tcPr>
            <w:tcW w:w="7389" w:type="dxa"/>
          </w:tcPr>
          <w:p>
            <w:pPr>
              <w:pStyle w:val="TableParagraph"/>
              <w:spacing w:line="220" w:lineRule="exact"/>
              <w:ind w:left="134"/>
              <w:rPr>
                <w:sz w:val="21"/>
              </w:rPr>
            </w:pPr>
            <w:r>
              <w:rPr>
                <w:sz w:val="21"/>
              </w:rPr>
              <w:t>容。变更本主险合同的，应当由我们在保险单或者其他保险凭证上批注或者附</w:t>
            </w:r>
          </w:p>
        </w:tc>
      </w:tr>
      <w:tr>
        <w:trPr>
          <w:trHeight w:val="478" w:hRule="atLeast"/>
        </w:trPr>
        <w:tc>
          <w:tcPr>
            <w:tcW w:w="576" w:type="dxa"/>
          </w:tcPr>
          <w:p>
            <w:pPr>
              <w:pStyle w:val="TableParagraph"/>
              <w:spacing w:before="175"/>
              <w:ind w:left="50"/>
              <w:rPr>
                <w:sz w:val="21"/>
              </w:rPr>
            </w:pPr>
            <w:r>
              <w:rPr>
                <w:w w:val="100"/>
                <w:sz w:val="21"/>
              </w:rPr>
              <w:t> </w:t>
            </w:r>
          </w:p>
        </w:tc>
        <w:tc>
          <w:tcPr>
            <w:tcW w:w="2054" w:type="dxa"/>
          </w:tcPr>
          <w:p>
            <w:pPr>
              <w:pStyle w:val="TableParagraph"/>
              <w:spacing w:before="175"/>
              <w:ind w:left="230"/>
              <w:rPr>
                <w:sz w:val="21"/>
              </w:rPr>
            </w:pPr>
            <w:r>
              <w:rPr>
                <w:w w:val="100"/>
                <w:sz w:val="21"/>
              </w:rPr>
              <w:t> </w:t>
            </w:r>
          </w:p>
        </w:tc>
        <w:tc>
          <w:tcPr>
            <w:tcW w:w="7389" w:type="dxa"/>
          </w:tcPr>
          <w:p>
            <w:pPr>
              <w:pStyle w:val="TableParagraph"/>
              <w:spacing w:line="202" w:lineRule="exact"/>
              <w:ind w:left="134"/>
              <w:rPr>
                <w:sz w:val="21"/>
              </w:rPr>
            </w:pPr>
            <w:r>
              <w:rPr>
                <w:sz w:val="21"/>
              </w:rPr>
              <w:t>贴批单，也可以由您与我们订立书面的变更协议。 </w:t>
            </w:r>
          </w:p>
          <w:p>
            <w:pPr>
              <w:pStyle w:val="TableParagraph"/>
              <w:spacing w:line="248" w:lineRule="exact"/>
              <w:ind w:left="134"/>
              <w:rPr>
                <w:sz w:val="21"/>
              </w:rPr>
            </w:pPr>
            <w:r>
              <w:rPr>
                <w:w w:val="100"/>
                <w:sz w:val="21"/>
              </w:rPr>
              <w:t> </w:t>
            </w:r>
          </w:p>
        </w:tc>
      </w:tr>
      <w:tr>
        <w:trPr>
          <w:trHeight w:val="273" w:hRule="atLeast"/>
        </w:trPr>
        <w:tc>
          <w:tcPr>
            <w:tcW w:w="576" w:type="dxa"/>
          </w:tcPr>
          <w:p>
            <w:pPr>
              <w:pStyle w:val="TableParagraph"/>
              <w:spacing w:line="247" w:lineRule="exact"/>
              <w:ind w:left="50"/>
              <w:rPr>
                <w:rFonts w:ascii="Microsoft JhengHei"/>
                <w:b/>
                <w:sz w:val="21"/>
              </w:rPr>
            </w:pPr>
            <w:r>
              <w:rPr>
                <w:rFonts w:ascii="Microsoft JhengHei"/>
                <w:b/>
                <w:w w:val="90"/>
                <w:sz w:val="21"/>
              </w:rPr>
              <w:t>9. 4</w:t>
            </w:r>
          </w:p>
        </w:tc>
        <w:tc>
          <w:tcPr>
            <w:tcW w:w="2054" w:type="dxa"/>
          </w:tcPr>
          <w:p>
            <w:pPr>
              <w:pStyle w:val="TableParagraph"/>
              <w:spacing w:line="247" w:lineRule="exact"/>
              <w:ind w:left="230"/>
              <w:rPr>
                <w:rFonts w:ascii="Microsoft JhengHei" w:eastAsia="Microsoft JhengHei" w:hint="eastAsia"/>
                <w:b/>
                <w:sz w:val="21"/>
              </w:rPr>
            </w:pPr>
            <w:r>
              <w:rPr>
                <w:rFonts w:ascii="Microsoft JhengHei" w:eastAsia="Microsoft JhengHei" w:hint="eastAsia"/>
                <w:b/>
                <w:sz w:val="21"/>
              </w:rPr>
              <w:t>联系方式变更</w:t>
            </w:r>
          </w:p>
        </w:tc>
        <w:tc>
          <w:tcPr>
            <w:tcW w:w="7389" w:type="dxa"/>
          </w:tcPr>
          <w:p>
            <w:pPr>
              <w:pStyle w:val="TableParagraph"/>
              <w:spacing w:line="223" w:lineRule="exact"/>
              <w:ind w:left="134"/>
              <w:rPr>
                <w:sz w:val="21"/>
              </w:rPr>
            </w:pPr>
            <w:r>
              <w:rPr>
                <w:sz w:val="21"/>
              </w:rPr>
              <w:t>为了保障您的合法权益，您的住所、通讯地址或电话等联系方式变更时，请及</w:t>
            </w:r>
          </w:p>
        </w:tc>
      </w:tr>
      <w:tr>
        <w:trPr>
          <w:trHeight w:val="264" w:hRule="atLeast"/>
        </w:trPr>
        <w:tc>
          <w:tcPr>
            <w:tcW w:w="576" w:type="dxa"/>
          </w:tcPr>
          <w:p>
            <w:pPr>
              <w:pStyle w:val="TableParagraph"/>
              <w:rPr>
                <w:rFonts w:ascii="Times New Roman"/>
                <w:sz w:val="18"/>
              </w:rPr>
            </w:pPr>
          </w:p>
        </w:tc>
        <w:tc>
          <w:tcPr>
            <w:tcW w:w="2054" w:type="dxa"/>
          </w:tcPr>
          <w:p>
            <w:pPr>
              <w:pStyle w:val="TableParagraph"/>
              <w:rPr>
                <w:rFonts w:ascii="Times New Roman"/>
                <w:sz w:val="18"/>
              </w:rPr>
            </w:pPr>
          </w:p>
        </w:tc>
        <w:tc>
          <w:tcPr>
            <w:tcW w:w="7389" w:type="dxa"/>
          </w:tcPr>
          <w:p>
            <w:pPr>
              <w:pStyle w:val="TableParagraph"/>
              <w:spacing w:line="220" w:lineRule="exact"/>
              <w:ind w:left="134"/>
              <w:rPr>
                <w:sz w:val="21"/>
              </w:rPr>
            </w:pPr>
            <w:r>
              <w:rPr>
                <w:sz w:val="21"/>
              </w:rPr>
              <w:t>时以书面形式或双方认可的其他形式通知我们。若您未以书面形式或双方认可</w:t>
            </w:r>
          </w:p>
        </w:tc>
      </w:tr>
      <w:tr>
        <w:trPr>
          <w:trHeight w:val="272"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89" w:type="dxa"/>
          </w:tcPr>
          <w:p>
            <w:pPr>
              <w:pStyle w:val="TableParagraph"/>
              <w:spacing w:line="229" w:lineRule="exact"/>
              <w:ind w:left="134"/>
              <w:rPr>
                <w:sz w:val="21"/>
              </w:rPr>
            </w:pPr>
            <w:r>
              <w:rPr>
                <w:sz w:val="21"/>
              </w:rPr>
              <w:t>的其他形式通知我们，我们按本主险合同载明的最后住所或通讯地址所发送的</w:t>
            </w:r>
          </w:p>
        </w:tc>
      </w:tr>
      <w:tr>
        <w:trPr>
          <w:trHeight w:val="478" w:hRule="atLeast"/>
        </w:trPr>
        <w:tc>
          <w:tcPr>
            <w:tcW w:w="576" w:type="dxa"/>
          </w:tcPr>
          <w:p>
            <w:pPr>
              <w:pStyle w:val="TableParagraph"/>
              <w:spacing w:before="176"/>
              <w:ind w:left="50"/>
              <w:rPr>
                <w:sz w:val="21"/>
              </w:rPr>
            </w:pPr>
            <w:r>
              <w:rPr>
                <w:w w:val="100"/>
                <w:sz w:val="21"/>
              </w:rPr>
              <w:t> </w:t>
            </w:r>
          </w:p>
        </w:tc>
        <w:tc>
          <w:tcPr>
            <w:tcW w:w="2054" w:type="dxa"/>
          </w:tcPr>
          <w:p>
            <w:pPr>
              <w:pStyle w:val="TableParagraph"/>
              <w:spacing w:before="176"/>
              <w:ind w:left="230"/>
              <w:rPr>
                <w:sz w:val="21"/>
              </w:rPr>
            </w:pPr>
            <w:r>
              <w:rPr>
                <w:w w:val="100"/>
                <w:sz w:val="21"/>
              </w:rPr>
              <w:t> </w:t>
            </w:r>
          </w:p>
        </w:tc>
        <w:tc>
          <w:tcPr>
            <w:tcW w:w="7389" w:type="dxa"/>
          </w:tcPr>
          <w:p>
            <w:pPr>
              <w:pStyle w:val="TableParagraph"/>
              <w:spacing w:line="202" w:lineRule="exact"/>
              <w:ind w:left="134"/>
              <w:rPr>
                <w:sz w:val="21"/>
              </w:rPr>
            </w:pPr>
            <w:r>
              <w:rPr>
                <w:sz w:val="21"/>
              </w:rPr>
              <w:t>有关通知，均视为已送达给您。 </w:t>
            </w:r>
          </w:p>
          <w:p>
            <w:pPr>
              <w:pStyle w:val="TableParagraph"/>
              <w:spacing w:line="249" w:lineRule="exact"/>
              <w:ind w:left="134"/>
              <w:rPr>
                <w:sz w:val="21"/>
              </w:rPr>
            </w:pPr>
            <w:r>
              <w:rPr>
                <w:w w:val="100"/>
                <w:sz w:val="21"/>
              </w:rPr>
              <w:t> </w:t>
            </w:r>
          </w:p>
        </w:tc>
      </w:tr>
      <w:tr>
        <w:trPr>
          <w:trHeight w:val="272" w:hRule="atLeast"/>
        </w:trPr>
        <w:tc>
          <w:tcPr>
            <w:tcW w:w="576" w:type="dxa"/>
          </w:tcPr>
          <w:p>
            <w:pPr>
              <w:pStyle w:val="TableParagraph"/>
              <w:spacing w:line="246" w:lineRule="exact"/>
              <w:ind w:left="50"/>
              <w:rPr>
                <w:rFonts w:ascii="Microsoft JhengHei"/>
                <w:b/>
                <w:sz w:val="21"/>
              </w:rPr>
            </w:pPr>
            <w:r>
              <w:rPr>
                <w:rFonts w:ascii="Microsoft JhengHei"/>
                <w:b/>
                <w:w w:val="90"/>
                <w:sz w:val="21"/>
              </w:rPr>
              <w:t>9. 5</w:t>
            </w:r>
          </w:p>
        </w:tc>
        <w:tc>
          <w:tcPr>
            <w:tcW w:w="2054" w:type="dxa"/>
          </w:tcPr>
          <w:p>
            <w:pPr>
              <w:pStyle w:val="TableParagraph"/>
              <w:spacing w:line="246" w:lineRule="exact"/>
              <w:ind w:left="230"/>
              <w:rPr>
                <w:rFonts w:ascii="Microsoft JhengHei" w:eastAsia="Microsoft JhengHei" w:hint="eastAsia"/>
                <w:b/>
                <w:sz w:val="21"/>
              </w:rPr>
            </w:pPr>
            <w:r>
              <w:rPr>
                <w:rFonts w:ascii="Microsoft JhengHei" w:eastAsia="Microsoft JhengHei" w:hint="eastAsia"/>
                <w:b/>
                <w:sz w:val="21"/>
              </w:rPr>
              <w:t>合同效力终止的其</w:t>
            </w:r>
          </w:p>
        </w:tc>
        <w:tc>
          <w:tcPr>
            <w:tcW w:w="7389" w:type="dxa"/>
          </w:tcPr>
          <w:p>
            <w:pPr>
              <w:pStyle w:val="TableParagraph"/>
              <w:spacing w:line="246" w:lineRule="exact"/>
              <w:ind w:left="134"/>
              <w:rPr>
                <w:rFonts w:ascii="Microsoft JhengHei" w:hAnsi="Microsoft JhengHei" w:eastAsia="Microsoft JhengHei" w:hint="eastAsia"/>
                <w:b/>
                <w:sz w:val="21"/>
              </w:rPr>
            </w:pPr>
            <w:r>
              <w:rPr>
                <w:rFonts w:ascii="Microsoft JhengHei" w:hAnsi="Microsoft JhengHei" w:eastAsia="Microsoft JhengHei" w:hint="eastAsia"/>
                <w:b/>
                <w:sz w:val="21"/>
              </w:rPr>
              <w:t>除“2. 3  保险责任”中约定的合同效力终止情况之外，发生下述情况的，本主</w:t>
            </w:r>
          </w:p>
        </w:tc>
      </w:tr>
      <w:tr>
        <w:trPr>
          <w:trHeight w:val="260" w:hRule="atLeast"/>
        </w:trPr>
        <w:tc>
          <w:tcPr>
            <w:tcW w:w="576" w:type="dxa"/>
          </w:tcPr>
          <w:p>
            <w:pPr>
              <w:pStyle w:val="TableParagraph"/>
              <w:rPr>
                <w:rFonts w:ascii="Times New Roman"/>
                <w:sz w:val="18"/>
              </w:rPr>
            </w:pPr>
          </w:p>
        </w:tc>
        <w:tc>
          <w:tcPr>
            <w:tcW w:w="2054" w:type="dxa"/>
          </w:tcPr>
          <w:p>
            <w:pPr>
              <w:pStyle w:val="TableParagraph"/>
              <w:spacing w:line="240" w:lineRule="exact"/>
              <w:ind w:left="230"/>
              <w:rPr>
                <w:rFonts w:ascii="Microsoft JhengHei" w:eastAsia="Microsoft JhengHei" w:hint="eastAsia"/>
                <w:b/>
                <w:sz w:val="21"/>
              </w:rPr>
            </w:pPr>
            <w:r>
              <w:rPr>
                <w:rFonts w:ascii="Microsoft JhengHei" w:eastAsia="Microsoft JhengHei" w:hint="eastAsia"/>
                <w:b/>
                <w:sz w:val="21"/>
              </w:rPr>
              <w:t>它情况</w:t>
            </w:r>
          </w:p>
        </w:tc>
        <w:tc>
          <w:tcPr>
            <w:tcW w:w="7389" w:type="dxa"/>
          </w:tcPr>
          <w:p>
            <w:pPr>
              <w:pStyle w:val="TableParagraph"/>
              <w:spacing w:line="240" w:lineRule="exact"/>
              <w:ind w:left="134"/>
              <w:rPr>
                <w:rFonts w:ascii="Microsoft JhengHei" w:eastAsia="Microsoft JhengHei" w:hint="eastAsia"/>
                <w:b/>
                <w:sz w:val="21"/>
              </w:rPr>
            </w:pPr>
            <w:r>
              <w:rPr>
                <w:rFonts w:ascii="Microsoft JhengHei" w:eastAsia="Microsoft JhengHei" w:hint="eastAsia"/>
                <w:b/>
                <w:sz w:val="21"/>
              </w:rPr>
              <w:t>险合同效力终止：</w:t>
            </w:r>
          </w:p>
        </w:tc>
      </w:tr>
      <w:tr>
        <w:trPr>
          <w:trHeight w:val="279"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89" w:type="dxa"/>
          </w:tcPr>
          <w:p>
            <w:pPr>
              <w:pStyle w:val="TableParagraph"/>
              <w:spacing w:line="258" w:lineRule="exact"/>
              <w:ind w:left="134"/>
              <w:rPr>
                <w:rFonts w:ascii="Microsoft JhengHei" w:eastAsia="Microsoft JhengHei" w:hint="eastAsia"/>
                <w:b/>
                <w:sz w:val="21"/>
              </w:rPr>
            </w:pPr>
            <w:r>
              <w:rPr>
                <w:rFonts w:ascii="Microsoft JhengHei" w:eastAsia="Microsoft JhengHei" w:hint="eastAsia"/>
                <w:b/>
                <w:w w:val="95"/>
                <w:sz w:val="21"/>
              </w:rPr>
              <w:t>（1）被保险人身故；</w:t>
            </w:r>
          </w:p>
        </w:tc>
      </w:tr>
      <w:tr>
        <w:trPr>
          <w:trHeight w:val="277"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89" w:type="dxa"/>
          </w:tcPr>
          <w:p>
            <w:pPr>
              <w:pStyle w:val="TableParagraph"/>
              <w:spacing w:line="249" w:lineRule="exact"/>
              <w:ind w:left="134"/>
              <w:rPr>
                <w:rFonts w:ascii="Microsoft JhengHei" w:eastAsia="Microsoft JhengHei" w:hint="eastAsia"/>
                <w:b/>
                <w:sz w:val="21"/>
              </w:rPr>
            </w:pPr>
            <w:r>
              <w:rPr>
                <w:rFonts w:ascii="Microsoft JhengHei" w:eastAsia="Microsoft JhengHei" w:hint="eastAsia"/>
                <w:b/>
                <w:sz w:val="21"/>
              </w:rPr>
              <w:t>（2）法律规定或当事人约定终止的其他情形。</w:t>
            </w:r>
          </w:p>
        </w:tc>
      </w:tr>
      <w:tr>
        <w:trPr>
          <w:trHeight w:val="264" w:hRule="atLeast"/>
        </w:trPr>
        <w:tc>
          <w:tcPr>
            <w:tcW w:w="576" w:type="dxa"/>
          </w:tcPr>
          <w:p>
            <w:pPr>
              <w:pStyle w:val="TableParagraph"/>
              <w:rPr>
                <w:rFonts w:ascii="Times New Roman"/>
                <w:sz w:val="18"/>
              </w:rPr>
            </w:pPr>
          </w:p>
        </w:tc>
        <w:tc>
          <w:tcPr>
            <w:tcW w:w="2054" w:type="dxa"/>
          </w:tcPr>
          <w:p>
            <w:pPr>
              <w:pStyle w:val="TableParagraph"/>
              <w:rPr>
                <w:rFonts w:ascii="Times New Roman"/>
                <w:sz w:val="18"/>
              </w:rPr>
            </w:pPr>
          </w:p>
        </w:tc>
        <w:tc>
          <w:tcPr>
            <w:tcW w:w="7389" w:type="dxa"/>
          </w:tcPr>
          <w:p>
            <w:pPr>
              <w:pStyle w:val="TableParagraph"/>
              <w:spacing w:line="245" w:lineRule="exact"/>
              <w:ind w:left="134"/>
              <w:rPr>
                <w:rFonts w:ascii="Microsoft JhengHei" w:eastAsia="Microsoft JhengHei" w:hint="eastAsia"/>
                <w:b/>
                <w:sz w:val="21"/>
              </w:rPr>
            </w:pPr>
            <w:r>
              <w:rPr>
                <w:rFonts w:ascii="Microsoft JhengHei" w:eastAsia="Microsoft JhengHei" w:hint="eastAsia"/>
                <w:b/>
                <w:sz w:val="21"/>
              </w:rPr>
              <w:t>本主险合同由于上述情况在保险期间届满前终止的，我们将向您退还本主险合</w:t>
            </w:r>
          </w:p>
        </w:tc>
      </w:tr>
      <w:tr>
        <w:trPr>
          <w:trHeight w:val="478" w:hRule="atLeast"/>
        </w:trPr>
        <w:tc>
          <w:tcPr>
            <w:tcW w:w="576" w:type="dxa"/>
          </w:tcPr>
          <w:p>
            <w:pPr>
              <w:pStyle w:val="TableParagraph"/>
              <w:spacing w:before="176"/>
              <w:ind w:left="50"/>
              <w:rPr>
                <w:sz w:val="21"/>
              </w:rPr>
            </w:pPr>
            <w:r>
              <w:rPr>
                <w:w w:val="100"/>
                <w:sz w:val="21"/>
              </w:rPr>
              <w:t> </w:t>
            </w:r>
          </w:p>
        </w:tc>
        <w:tc>
          <w:tcPr>
            <w:tcW w:w="2054" w:type="dxa"/>
          </w:tcPr>
          <w:p>
            <w:pPr>
              <w:pStyle w:val="TableParagraph"/>
              <w:spacing w:before="176"/>
              <w:ind w:left="230"/>
              <w:rPr>
                <w:sz w:val="21"/>
              </w:rPr>
            </w:pPr>
            <w:r>
              <w:rPr>
                <w:w w:val="100"/>
                <w:sz w:val="21"/>
              </w:rPr>
              <w:t> </w:t>
            </w:r>
          </w:p>
        </w:tc>
        <w:tc>
          <w:tcPr>
            <w:tcW w:w="7389" w:type="dxa"/>
          </w:tcPr>
          <w:p>
            <w:pPr>
              <w:pStyle w:val="TableParagraph"/>
              <w:spacing w:line="214" w:lineRule="exact"/>
              <w:ind w:left="134"/>
              <w:rPr>
                <w:sz w:val="21"/>
              </w:rPr>
            </w:pPr>
            <w:r>
              <w:rPr>
                <w:rFonts w:ascii="Microsoft JhengHei" w:eastAsia="Microsoft JhengHei" w:hint="eastAsia"/>
                <w:b/>
                <w:sz w:val="21"/>
              </w:rPr>
              <w:t>同的现金价值。</w:t>
            </w:r>
            <w:r>
              <w:rPr>
                <w:sz w:val="21"/>
              </w:rPr>
              <w:t> </w:t>
            </w:r>
          </w:p>
          <w:p>
            <w:pPr>
              <w:pStyle w:val="TableParagraph"/>
              <w:spacing w:line="237" w:lineRule="exact"/>
              <w:ind w:left="134"/>
              <w:rPr>
                <w:sz w:val="21"/>
              </w:rPr>
            </w:pPr>
            <w:r>
              <w:rPr>
                <w:w w:val="100"/>
                <w:sz w:val="21"/>
              </w:rPr>
              <w:t> </w:t>
            </w:r>
          </w:p>
        </w:tc>
      </w:tr>
      <w:tr>
        <w:trPr>
          <w:trHeight w:val="273" w:hRule="atLeast"/>
        </w:trPr>
        <w:tc>
          <w:tcPr>
            <w:tcW w:w="576" w:type="dxa"/>
          </w:tcPr>
          <w:p>
            <w:pPr>
              <w:pStyle w:val="TableParagraph"/>
              <w:spacing w:line="246" w:lineRule="exact"/>
              <w:ind w:left="50"/>
              <w:rPr>
                <w:rFonts w:ascii="Microsoft JhengHei"/>
                <w:b/>
                <w:sz w:val="21"/>
              </w:rPr>
            </w:pPr>
            <w:r>
              <w:rPr>
                <w:rFonts w:ascii="Microsoft JhengHei"/>
                <w:b/>
                <w:w w:val="90"/>
                <w:sz w:val="21"/>
              </w:rPr>
              <w:t>9. 6</w:t>
            </w:r>
          </w:p>
        </w:tc>
        <w:tc>
          <w:tcPr>
            <w:tcW w:w="2054" w:type="dxa"/>
          </w:tcPr>
          <w:p>
            <w:pPr>
              <w:pStyle w:val="TableParagraph"/>
              <w:spacing w:line="246" w:lineRule="exact"/>
              <w:ind w:left="230"/>
              <w:rPr>
                <w:rFonts w:ascii="Microsoft JhengHei" w:eastAsia="Microsoft JhengHei" w:hint="eastAsia"/>
                <w:b/>
                <w:sz w:val="21"/>
              </w:rPr>
            </w:pPr>
            <w:r>
              <w:rPr>
                <w:rFonts w:ascii="Microsoft JhengHei" w:eastAsia="Microsoft JhengHei" w:hint="eastAsia"/>
                <w:b/>
                <w:sz w:val="21"/>
              </w:rPr>
              <w:t>争议处理</w:t>
            </w:r>
          </w:p>
        </w:tc>
        <w:tc>
          <w:tcPr>
            <w:tcW w:w="7389" w:type="dxa"/>
          </w:tcPr>
          <w:p>
            <w:pPr>
              <w:pStyle w:val="TableParagraph"/>
              <w:spacing w:line="222" w:lineRule="exact"/>
              <w:ind w:left="134"/>
              <w:rPr>
                <w:sz w:val="21"/>
              </w:rPr>
            </w:pPr>
            <w:r>
              <w:rPr>
                <w:sz w:val="21"/>
              </w:rPr>
              <w:t>本主险合同争议解决方式由您在投保时与我们约定，从下列两种方式中选择一</w:t>
            </w:r>
          </w:p>
        </w:tc>
      </w:tr>
      <w:tr>
        <w:trPr>
          <w:trHeight w:val="261" w:hRule="atLeast"/>
        </w:trPr>
        <w:tc>
          <w:tcPr>
            <w:tcW w:w="576" w:type="dxa"/>
          </w:tcPr>
          <w:p>
            <w:pPr>
              <w:pStyle w:val="TableParagraph"/>
              <w:rPr>
                <w:rFonts w:ascii="Times New Roman"/>
                <w:sz w:val="18"/>
              </w:rPr>
            </w:pPr>
          </w:p>
        </w:tc>
        <w:tc>
          <w:tcPr>
            <w:tcW w:w="2054" w:type="dxa"/>
          </w:tcPr>
          <w:p>
            <w:pPr>
              <w:pStyle w:val="TableParagraph"/>
              <w:rPr>
                <w:rFonts w:ascii="Times New Roman"/>
                <w:sz w:val="18"/>
              </w:rPr>
            </w:pPr>
          </w:p>
        </w:tc>
        <w:tc>
          <w:tcPr>
            <w:tcW w:w="7389" w:type="dxa"/>
          </w:tcPr>
          <w:p>
            <w:pPr>
              <w:pStyle w:val="TableParagraph"/>
              <w:spacing w:line="221" w:lineRule="exact"/>
              <w:ind w:left="134"/>
              <w:rPr>
                <w:sz w:val="21"/>
              </w:rPr>
            </w:pPr>
            <w:r>
              <w:rPr>
                <w:sz w:val="21"/>
              </w:rPr>
              <w:t>种： </w:t>
            </w:r>
          </w:p>
        </w:tc>
      </w:tr>
      <w:tr>
        <w:trPr>
          <w:trHeight w:val="260" w:hRule="atLeast"/>
        </w:trPr>
        <w:tc>
          <w:tcPr>
            <w:tcW w:w="576" w:type="dxa"/>
          </w:tcPr>
          <w:p>
            <w:pPr>
              <w:pStyle w:val="TableParagraph"/>
              <w:rPr>
                <w:rFonts w:ascii="Times New Roman"/>
                <w:sz w:val="18"/>
              </w:rPr>
            </w:pPr>
          </w:p>
        </w:tc>
        <w:tc>
          <w:tcPr>
            <w:tcW w:w="2054" w:type="dxa"/>
          </w:tcPr>
          <w:p>
            <w:pPr>
              <w:pStyle w:val="TableParagraph"/>
              <w:rPr>
                <w:rFonts w:ascii="Times New Roman"/>
                <w:sz w:val="18"/>
              </w:rPr>
            </w:pPr>
          </w:p>
        </w:tc>
        <w:tc>
          <w:tcPr>
            <w:tcW w:w="7389" w:type="dxa"/>
          </w:tcPr>
          <w:p>
            <w:pPr>
              <w:pStyle w:val="TableParagraph"/>
              <w:tabs>
                <w:tab w:pos="7338" w:val="left" w:leader="none"/>
              </w:tabs>
              <w:spacing w:line="231" w:lineRule="exact"/>
              <w:ind w:left="134"/>
              <w:rPr>
                <w:rFonts w:ascii="Times New Roman" w:eastAsia="Times New Roman"/>
                <w:sz w:val="21"/>
              </w:rPr>
            </w:pPr>
            <w:r>
              <w:rPr>
                <w:w w:val="100"/>
                <w:sz w:val="21"/>
              </w:rPr>
              <w:t>（1</w:t>
            </w:r>
            <w:r>
              <w:rPr>
                <w:spacing w:val="-104"/>
                <w:w w:val="100"/>
                <w:sz w:val="21"/>
              </w:rPr>
              <w:t>）</w:t>
            </w:r>
            <w:r>
              <w:rPr>
                <w:spacing w:val="-3"/>
                <w:w w:val="100"/>
                <w:sz w:val="21"/>
              </w:rPr>
              <w:t>因</w:t>
            </w:r>
            <w:r>
              <w:rPr>
                <w:w w:val="100"/>
                <w:sz w:val="21"/>
              </w:rPr>
              <w:t>履</w:t>
            </w:r>
            <w:r>
              <w:rPr>
                <w:spacing w:val="-3"/>
                <w:w w:val="100"/>
                <w:sz w:val="21"/>
              </w:rPr>
              <w:t>行</w:t>
            </w:r>
            <w:r>
              <w:rPr>
                <w:w w:val="100"/>
                <w:sz w:val="21"/>
              </w:rPr>
              <w:t>本</w:t>
            </w:r>
            <w:r>
              <w:rPr>
                <w:spacing w:val="-3"/>
                <w:w w:val="100"/>
                <w:sz w:val="21"/>
              </w:rPr>
              <w:t>主</w:t>
            </w:r>
            <w:r>
              <w:rPr>
                <w:w w:val="100"/>
                <w:sz w:val="21"/>
              </w:rPr>
              <w:t>险</w:t>
            </w:r>
            <w:r>
              <w:rPr>
                <w:spacing w:val="-3"/>
                <w:w w:val="100"/>
                <w:sz w:val="21"/>
              </w:rPr>
              <w:t>合</w:t>
            </w:r>
            <w:r>
              <w:rPr>
                <w:w w:val="100"/>
                <w:sz w:val="21"/>
              </w:rPr>
              <w:t>同</w:t>
            </w:r>
            <w:r>
              <w:rPr>
                <w:spacing w:val="-3"/>
                <w:w w:val="100"/>
                <w:sz w:val="21"/>
              </w:rPr>
              <w:t>发</w:t>
            </w:r>
            <w:r>
              <w:rPr>
                <w:w w:val="100"/>
                <w:sz w:val="21"/>
              </w:rPr>
              <w:t>生的</w:t>
            </w:r>
            <w:r>
              <w:rPr>
                <w:spacing w:val="-3"/>
                <w:w w:val="100"/>
                <w:sz w:val="21"/>
              </w:rPr>
              <w:t>争</w:t>
            </w:r>
            <w:r>
              <w:rPr>
                <w:w w:val="100"/>
                <w:sz w:val="21"/>
              </w:rPr>
              <w:t>议</w:t>
            </w:r>
            <w:r>
              <w:rPr>
                <w:spacing w:val="-104"/>
                <w:w w:val="100"/>
                <w:sz w:val="21"/>
              </w:rPr>
              <w:t>，</w:t>
            </w:r>
            <w:r>
              <w:rPr>
                <w:spacing w:val="-3"/>
                <w:w w:val="100"/>
                <w:sz w:val="21"/>
              </w:rPr>
              <w:t>由</w:t>
            </w:r>
            <w:r>
              <w:rPr>
                <w:w w:val="100"/>
                <w:sz w:val="21"/>
              </w:rPr>
              <w:t>双</w:t>
            </w:r>
            <w:r>
              <w:rPr>
                <w:spacing w:val="-3"/>
                <w:w w:val="100"/>
                <w:sz w:val="21"/>
              </w:rPr>
              <w:t>方</w:t>
            </w:r>
            <w:r>
              <w:rPr>
                <w:w w:val="100"/>
                <w:sz w:val="21"/>
              </w:rPr>
              <w:t>协</w:t>
            </w:r>
            <w:r>
              <w:rPr>
                <w:spacing w:val="-3"/>
                <w:w w:val="100"/>
                <w:sz w:val="21"/>
              </w:rPr>
              <w:t>商</w:t>
            </w:r>
            <w:r>
              <w:rPr>
                <w:w w:val="100"/>
                <w:sz w:val="21"/>
              </w:rPr>
              <w:t>解</w:t>
            </w:r>
            <w:r>
              <w:rPr>
                <w:spacing w:val="-3"/>
                <w:w w:val="100"/>
                <w:sz w:val="21"/>
              </w:rPr>
              <w:t>决</w:t>
            </w:r>
            <w:r>
              <w:rPr>
                <w:spacing w:val="-104"/>
                <w:w w:val="100"/>
                <w:sz w:val="21"/>
              </w:rPr>
              <w:t>，</w:t>
            </w:r>
            <w:r>
              <w:rPr>
                <w:w w:val="100"/>
                <w:sz w:val="21"/>
              </w:rPr>
              <w:t>协商</w:t>
            </w:r>
            <w:r>
              <w:rPr>
                <w:spacing w:val="-3"/>
                <w:w w:val="100"/>
                <w:sz w:val="21"/>
              </w:rPr>
              <w:t>不</w:t>
            </w:r>
            <w:r>
              <w:rPr>
                <w:w w:val="100"/>
                <w:sz w:val="21"/>
              </w:rPr>
              <w:t>成的</w:t>
            </w:r>
            <w:r>
              <w:rPr>
                <w:spacing w:val="-106"/>
                <w:w w:val="100"/>
                <w:sz w:val="21"/>
              </w:rPr>
              <w:t>，</w:t>
            </w:r>
            <w:r>
              <w:rPr>
                <w:w w:val="100"/>
                <w:sz w:val="21"/>
              </w:rPr>
              <w:t>提</w:t>
            </w:r>
            <w:r>
              <w:rPr>
                <w:spacing w:val="-3"/>
                <w:w w:val="100"/>
                <w:sz w:val="21"/>
              </w:rPr>
              <w:t>交</w:t>
            </w:r>
            <w:r>
              <w:rPr>
                <w:rFonts w:ascii="Times New Roman" w:eastAsia="Times New Roman"/>
                <w:w w:val="100"/>
                <w:sz w:val="21"/>
                <w:u w:val="single"/>
              </w:rPr>
              <w:t> </w:t>
            </w:r>
            <w:r>
              <w:rPr>
                <w:rFonts w:ascii="Times New Roman" w:eastAsia="Times New Roman"/>
                <w:sz w:val="21"/>
                <w:u w:val="single"/>
              </w:rPr>
              <w:tab/>
            </w:r>
          </w:p>
        </w:tc>
      </w:tr>
    </w:tbl>
    <w:p>
      <w:pPr>
        <w:pStyle w:val="BodyText"/>
        <w:spacing w:line="242" w:lineRule="exact"/>
        <w:ind w:left="3438"/>
      </w:pPr>
      <w:r>
        <w:rPr/>
        <w:t>仲裁委员会仲裁； </w:t>
      </w:r>
    </w:p>
    <w:p>
      <w:pPr>
        <w:pStyle w:val="BodyText"/>
        <w:spacing w:line="271" w:lineRule="exact"/>
        <w:ind w:left="2934"/>
      </w:pPr>
      <w:r>
        <w:rPr/>
        <w:t>（2）因履行本主险合同发生的争议，由双方协商解决，协商不成的，依法向人</w:t>
      </w:r>
    </w:p>
    <w:p>
      <w:pPr>
        <w:pStyle w:val="BodyText"/>
        <w:spacing w:line="273" w:lineRule="exact" w:after="12"/>
        <w:ind w:left="3438"/>
      </w:pPr>
      <w:r>
        <w:rPr/>
        <w:t>民法院起诉。 </w:t>
      </w: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0"/>
        <w:gridCol w:w="1938"/>
        <w:gridCol w:w="7394"/>
      </w:tblGrid>
      <w:tr>
        <w:trPr>
          <w:trHeight w:val="637" w:hRule="atLeast"/>
        </w:trPr>
        <w:tc>
          <w:tcPr>
            <w:tcW w:w="750" w:type="dxa"/>
            <w:tcBorders>
              <w:bottom w:val="single" w:sz="4" w:space="0" w:color="000000"/>
            </w:tcBorders>
          </w:tcPr>
          <w:p>
            <w:pPr>
              <w:pStyle w:val="TableParagraph"/>
              <w:spacing w:line="197" w:lineRule="exact"/>
              <w:ind w:left="107"/>
              <w:rPr>
                <w:sz w:val="21"/>
              </w:rPr>
            </w:pPr>
            <w:r>
              <w:rPr>
                <w:w w:val="100"/>
                <w:sz w:val="21"/>
              </w:rPr>
              <w:t> </w:t>
            </w:r>
          </w:p>
          <w:p>
            <w:pPr>
              <w:pStyle w:val="TableParagraph"/>
              <w:spacing w:line="425" w:lineRule="exact"/>
              <w:ind w:left="111"/>
              <w:rPr>
                <w:rFonts w:ascii="Times New Roman"/>
                <w:b/>
                <w:sz w:val="40"/>
              </w:rPr>
            </w:pPr>
            <w:r>
              <w:rPr>
                <w:rFonts w:ascii="Times New Roman"/>
                <w:b/>
                <w:w w:val="100"/>
                <w:sz w:val="40"/>
              </w:rPr>
              <w:t>~</w:t>
            </w:r>
          </w:p>
        </w:tc>
        <w:tc>
          <w:tcPr>
            <w:tcW w:w="1938" w:type="dxa"/>
            <w:tcBorders>
              <w:bottom w:val="single" w:sz="4" w:space="0" w:color="000000"/>
            </w:tcBorders>
          </w:tcPr>
          <w:p>
            <w:pPr>
              <w:pStyle w:val="TableParagraph"/>
              <w:spacing w:line="185" w:lineRule="exact"/>
              <w:ind w:left="114"/>
              <w:rPr>
                <w:sz w:val="21"/>
              </w:rPr>
            </w:pPr>
            <w:r>
              <w:rPr>
                <w:w w:val="100"/>
                <w:sz w:val="21"/>
              </w:rPr>
              <w:t> </w:t>
            </w:r>
          </w:p>
          <w:p>
            <w:pPr>
              <w:pStyle w:val="TableParagraph"/>
              <w:spacing w:line="391" w:lineRule="exact"/>
              <w:ind w:left="114"/>
              <w:rPr>
                <w:rFonts w:ascii="Microsoft JhengHei" w:eastAsia="Microsoft JhengHei" w:hint="eastAsia"/>
                <w:b/>
                <w:sz w:val="24"/>
              </w:rPr>
            </w:pPr>
            <w:r>
              <w:rPr>
                <w:rFonts w:ascii="Microsoft JhengHei" w:eastAsia="Microsoft JhengHei" w:hint="eastAsia"/>
                <w:b/>
                <w:sz w:val="24"/>
              </w:rPr>
              <w:t>释义</w:t>
            </w:r>
          </w:p>
        </w:tc>
        <w:tc>
          <w:tcPr>
            <w:tcW w:w="7394" w:type="dxa"/>
            <w:tcBorders>
              <w:bottom w:val="single" w:sz="4" w:space="0" w:color="000000"/>
            </w:tcBorders>
          </w:tcPr>
          <w:p>
            <w:pPr>
              <w:pStyle w:val="TableParagraph"/>
              <w:spacing w:line="211" w:lineRule="exact"/>
              <w:ind w:left="134"/>
              <w:rPr>
                <w:sz w:val="21"/>
              </w:rPr>
            </w:pPr>
            <w:r>
              <w:rPr>
                <w:w w:val="100"/>
                <w:sz w:val="21"/>
              </w:rPr>
              <w:t> </w:t>
            </w:r>
          </w:p>
        </w:tc>
      </w:tr>
      <w:tr>
        <w:trPr>
          <w:trHeight w:val="209" w:hRule="atLeast"/>
        </w:trPr>
        <w:tc>
          <w:tcPr>
            <w:tcW w:w="750" w:type="dxa"/>
            <w:tcBorders>
              <w:top w:val="single" w:sz="4" w:space="0" w:color="000000"/>
            </w:tcBorders>
          </w:tcPr>
          <w:p>
            <w:pPr>
              <w:pStyle w:val="TableParagraph"/>
              <w:spacing w:line="185" w:lineRule="exact"/>
              <w:ind w:left="107"/>
              <w:rPr>
                <w:sz w:val="21"/>
              </w:rPr>
            </w:pPr>
            <w:r>
              <w:rPr>
                <w:w w:val="100"/>
                <w:sz w:val="21"/>
              </w:rPr>
              <w:t> </w:t>
            </w:r>
          </w:p>
        </w:tc>
        <w:tc>
          <w:tcPr>
            <w:tcW w:w="1938" w:type="dxa"/>
            <w:tcBorders>
              <w:top w:val="single" w:sz="4" w:space="0" w:color="000000"/>
            </w:tcBorders>
          </w:tcPr>
          <w:p>
            <w:pPr>
              <w:pStyle w:val="TableParagraph"/>
              <w:spacing w:line="185" w:lineRule="exact"/>
              <w:ind w:left="114"/>
              <w:rPr>
                <w:sz w:val="21"/>
              </w:rPr>
            </w:pPr>
            <w:r>
              <w:rPr>
                <w:w w:val="100"/>
                <w:sz w:val="21"/>
              </w:rPr>
              <w:t> </w:t>
            </w:r>
          </w:p>
        </w:tc>
        <w:tc>
          <w:tcPr>
            <w:tcW w:w="7394" w:type="dxa"/>
            <w:tcBorders>
              <w:top w:val="single" w:sz="4" w:space="0" w:color="000000"/>
            </w:tcBorders>
          </w:tcPr>
          <w:p>
            <w:pPr>
              <w:pStyle w:val="TableParagraph"/>
              <w:spacing w:line="185" w:lineRule="exact"/>
              <w:ind w:left="134"/>
              <w:rPr>
                <w:sz w:val="21"/>
              </w:rPr>
            </w:pPr>
            <w:r>
              <w:rPr>
                <w:w w:val="100"/>
                <w:sz w:val="21"/>
              </w:rPr>
              <w:t> </w:t>
            </w:r>
          </w:p>
        </w:tc>
      </w:tr>
      <w:tr>
        <w:trPr>
          <w:trHeight w:val="273" w:hRule="atLeast"/>
        </w:trPr>
        <w:tc>
          <w:tcPr>
            <w:tcW w:w="750" w:type="dxa"/>
          </w:tcPr>
          <w:p>
            <w:pPr>
              <w:pStyle w:val="TableParagraph"/>
              <w:spacing w:line="254" w:lineRule="exact"/>
              <w:ind w:left="107"/>
              <w:rPr>
                <w:rFonts w:ascii="Microsoft JhengHei"/>
                <w:b/>
                <w:sz w:val="21"/>
              </w:rPr>
            </w:pPr>
            <w:r>
              <w:rPr>
                <w:rFonts w:ascii="Microsoft JhengHei"/>
                <w:b/>
                <w:w w:val="90"/>
                <w:sz w:val="21"/>
              </w:rPr>
              <w:t>10. 1</w:t>
            </w:r>
          </w:p>
        </w:tc>
        <w:tc>
          <w:tcPr>
            <w:tcW w:w="1938" w:type="dxa"/>
          </w:tcPr>
          <w:p>
            <w:pPr>
              <w:pStyle w:val="TableParagraph"/>
              <w:spacing w:line="254" w:lineRule="exact"/>
              <w:ind w:left="114"/>
              <w:rPr>
                <w:rFonts w:ascii="Microsoft JhengHei" w:eastAsia="Microsoft JhengHei" w:hint="eastAsia"/>
                <w:b/>
                <w:sz w:val="21"/>
              </w:rPr>
            </w:pPr>
            <w:r>
              <w:rPr>
                <w:rFonts w:ascii="Microsoft JhengHei" w:eastAsia="Microsoft JhengHei" w:hint="eastAsia"/>
                <w:b/>
                <w:sz w:val="21"/>
              </w:rPr>
              <w:t>保单年度</w:t>
            </w:r>
          </w:p>
        </w:tc>
        <w:tc>
          <w:tcPr>
            <w:tcW w:w="7394" w:type="dxa"/>
          </w:tcPr>
          <w:p>
            <w:pPr>
              <w:pStyle w:val="TableParagraph"/>
              <w:spacing w:line="254" w:lineRule="exact"/>
              <w:ind w:left="134"/>
              <w:rPr>
                <w:sz w:val="21"/>
              </w:rPr>
            </w:pPr>
            <w:r>
              <w:rPr>
                <w:sz w:val="21"/>
              </w:rPr>
              <w:t>指从本主险合同生效日或</w:t>
            </w:r>
            <w:r>
              <w:rPr>
                <w:rFonts w:ascii="Microsoft JhengHei" w:eastAsia="Microsoft JhengHei" w:hint="eastAsia"/>
                <w:b/>
                <w:sz w:val="21"/>
              </w:rPr>
              <w:t>保单周年日</w:t>
            </w:r>
            <w:r>
              <w:rPr>
                <w:sz w:val="21"/>
              </w:rPr>
              <w:t>（见 10.17）零时起至下一个保单周年日</w:t>
            </w:r>
          </w:p>
        </w:tc>
      </w:tr>
      <w:tr>
        <w:trPr>
          <w:trHeight w:val="239" w:hRule="atLeast"/>
        </w:trPr>
        <w:tc>
          <w:tcPr>
            <w:tcW w:w="750" w:type="dxa"/>
          </w:tcPr>
          <w:p>
            <w:pPr>
              <w:pStyle w:val="TableParagraph"/>
              <w:rPr>
                <w:rFonts w:ascii="Times New Roman"/>
                <w:sz w:val="16"/>
              </w:rPr>
            </w:pPr>
          </w:p>
        </w:tc>
        <w:tc>
          <w:tcPr>
            <w:tcW w:w="1938" w:type="dxa"/>
          </w:tcPr>
          <w:p>
            <w:pPr>
              <w:pStyle w:val="TableParagraph"/>
              <w:rPr>
                <w:rFonts w:ascii="Times New Roman"/>
                <w:sz w:val="16"/>
              </w:rPr>
            </w:pPr>
          </w:p>
        </w:tc>
        <w:tc>
          <w:tcPr>
            <w:tcW w:w="7394" w:type="dxa"/>
          </w:tcPr>
          <w:p>
            <w:pPr>
              <w:pStyle w:val="TableParagraph"/>
              <w:spacing w:line="220" w:lineRule="exact"/>
              <w:ind w:left="134"/>
              <w:rPr>
                <w:sz w:val="21"/>
              </w:rPr>
            </w:pPr>
            <w:r>
              <w:rPr>
                <w:sz w:val="21"/>
              </w:rPr>
              <w:t>零时止的期间为一个保单年度。 </w:t>
            </w:r>
          </w:p>
        </w:tc>
      </w:tr>
      <w:tr>
        <w:trPr>
          <w:trHeight w:val="475" w:hRule="atLeast"/>
        </w:trPr>
        <w:tc>
          <w:tcPr>
            <w:tcW w:w="750" w:type="dxa"/>
          </w:tcPr>
          <w:p>
            <w:pPr>
              <w:pStyle w:val="TableParagraph"/>
              <w:spacing w:line="361" w:lineRule="exact" w:before="95"/>
              <w:ind w:left="107"/>
              <w:rPr>
                <w:rFonts w:ascii="Microsoft JhengHei"/>
                <w:b/>
                <w:sz w:val="21"/>
              </w:rPr>
            </w:pPr>
            <w:r>
              <w:rPr>
                <w:rFonts w:ascii="Microsoft JhengHei"/>
                <w:b/>
                <w:w w:val="90"/>
                <w:sz w:val="21"/>
              </w:rPr>
              <w:t>10. 2</w:t>
            </w:r>
          </w:p>
        </w:tc>
        <w:tc>
          <w:tcPr>
            <w:tcW w:w="1938" w:type="dxa"/>
          </w:tcPr>
          <w:p>
            <w:pPr>
              <w:pStyle w:val="TableParagraph"/>
              <w:spacing w:line="361" w:lineRule="exact" w:before="95"/>
              <w:ind w:left="114"/>
              <w:rPr>
                <w:rFonts w:ascii="Microsoft JhengHei" w:eastAsia="Microsoft JhengHei" w:hint="eastAsia"/>
                <w:b/>
                <w:sz w:val="21"/>
              </w:rPr>
            </w:pPr>
            <w:r>
              <w:rPr>
                <w:rFonts w:ascii="Microsoft JhengHei" w:eastAsia="Microsoft JhengHei" w:hint="eastAsia"/>
                <w:b/>
                <w:sz w:val="21"/>
              </w:rPr>
              <w:t>保险费约定支付日</w:t>
            </w:r>
          </w:p>
        </w:tc>
        <w:tc>
          <w:tcPr>
            <w:tcW w:w="7394" w:type="dxa"/>
          </w:tcPr>
          <w:p>
            <w:pPr>
              <w:pStyle w:val="TableParagraph"/>
              <w:spacing w:line="189" w:lineRule="exact"/>
              <w:ind w:left="134"/>
              <w:rPr>
                <w:sz w:val="21"/>
              </w:rPr>
            </w:pPr>
            <w:r>
              <w:rPr>
                <w:w w:val="100"/>
                <w:sz w:val="21"/>
              </w:rPr>
              <w:t> </w:t>
            </w:r>
          </w:p>
          <w:p>
            <w:pPr>
              <w:pStyle w:val="TableParagraph"/>
              <w:spacing w:line="248" w:lineRule="exact"/>
              <w:ind w:left="134"/>
              <w:rPr>
                <w:sz w:val="21"/>
              </w:rPr>
            </w:pPr>
            <w:r>
              <w:rPr>
                <w:sz w:val="21"/>
              </w:rPr>
              <w:t>指本主险合同生效日在每月、每季、每半年或每年（根据交费方式确定）的对</w:t>
            </w:r>
          </w:p>
        </w:tc>
      </w:tr>
      <w:tr>
        <w:trPr>
          <w:trHeight w:val="239" w:hRule="atLeast"/>
        </w:trPr>
        <w:tc>
          <w:tcPr>
            <w:tcW w:w="750" w:type="dxa"/>
          </w:tcPr>
          <w:p>
            <w:pPr>
              <w:pStyle w:val="TableParagraph"/>
              <w:rPr>
                <w:rFonts w:ascii="Times New Roman"/>
                <w:sz w:val="16"/>
              </w:rPr>
            </w:pPr>
          </w:p>
        </w:tc>
        <w:tc>
          <w:tcPr>
            <w:tcW w:w="1938" w:type="dxa"/>
          </w:tcPr>
          <w:p>
            <w:pPr>
              <w:pStyle w:val="TableParagraph"/>
              <w:rPr>
                <w:rFonts w:ascii="Times New Roman"/>
                <w:sz w:val="16"/>
              </w:rPr>
            </w:pPr>
          </w:p>
        </w:tc>
        <w:tc>
          <w:tcPr>
            <w:tcW w:w="7394" w:type="dxa"/>
          </w:tcPr>
          <w:p>
            <w:pPr>
              <w:pStyle w:val="TableParagraph"/>
              <w:spacing w:line="220" w:lineRule="exact"/>
              <w:ind w:left="134"/>
              <w:rPr>
                <w:sz w:val="21"/>
              </w:rPr>
            </w:pPr>
            <w:r>
              <w:rPr>
                <w:sz w:val="21"/>
              </w:rPr>
              <w:t>应日。如果当月无对应的同一日，则以该月最后一日为对应日。 </w:t>
            </w:r>
          </w:p>
        </w:tc>
      </w:tr>
      <w:tr>
        <w:trPr>
          <w:trHeight w:val="475" w:hRule="atLeast"/>
        </w:trPr>
        <w:tc>
          <w:tcPr>
            <w:tcW w:w="750" w:type="dxa"/>
          </w:tcPr>
          <w:p>
            <w:pPr>
              <w:pStyle w:val="TableParagraph"/>
              <w:spacing w:line="361" w:lineRule="exact" w:before="95"/>
              <w:ind w:left="107"/>
              <w:rPr>
                <w:rFonts w:ascii="Microsoft JhengHei"/>
                <w:b/>
                <w:sz w:val="21"/>
              </w:rPr>
            </w:pPr>
            <w:r>
              <w:rPr>
                <w:rFonts w:ascii="Microsoft JhengHei"/>
                <w:b/>
                <w:w w:val="90"/>
                <w:sz w:val="21"/>
              </w:rPr>
              <w:t>10. 3</w:t>
            </w:r>
          </w:p>
        </w:tc>
        <w:tc>
          <w:tcPr>
            <w:tcW w:w="1938" w:type="dxa"/>
          </w:tcPr>
          <w:p>
            <w:pPr>
              <w:pStyle w:val="TableParagraph"/>
              <w:spacing w:line="361" w:lineRule="exact" w:before="95"/>
              <w:ind w:left="114"/>
              <w:rPr>
                <w:sz w:val="21"/>
              </w:rPr>
            </w:pPr>
            <w:r>
              <w:rPr>
                <w:rFonts w:ascii="Microsoft JhengHei" w:eastAsia="Microsoft JhengHei" w:hint="eastAsia"/>
                <w:b/>
                <w:sz w:val="21"/>
              </w:rPr>
              <w:t>周岁</w:t>
            </w:r>
            <w:r>
              <w:rPr>
                <w:sz w:val="21"/>
              </w:rPr>
              <w:t>  </w:t>
            </w:r>
          </w:p>
        </w:tc>
        <w:tc>
          <w:tcPr>
            <w:tcW w:w="7394" w:type="dxa"/>
          </w:tcPr>
          <w:p>
            <w:pPr>
              <w:pStyle w:val="TableParagraph"/>
              <w:spacing w:line="189" w:lineRule="exact"/>
              <w:ind w:left="134"/>
              <w:rPr>
                <w:sz w:val="21"/>
              </w:rPr>
            </w:pPr>
            <w:r>
              <w:rPr>
                <w:w w:val="100"/>
                <w:sz w:val="21"/>
              </w:rPr>
              <w:t> </w:t>
            </w:r>
          </w:p>
          <w:p>
            <w:pPr>
              <w:pStyle w:val="TableParagraph"/>
              <w:spacing w:line="248" w:lineRule="exact"/>
              <w:ind w:left="134"/>
              <w:rPr>
                <w:sz w:val="21"/>
              </w:rPr>
            </w:pPr>
            <w:r>
              <w:rPr>
                <w:sz w:val="21"/>
              </w:rPr>
              <w:t>指按有效身份证件中记载的出生日期计算的年龄，自出生之日起为 0 周岁，每</w:t>
            </w:r>
          </w:p>
        </w:tc>
      </w:tr>
      <w:tr>
        <w:trPr>
          <w:trHeight w:val="239" w:hRule="atLeast"/>
        </w:trPr>
        <w:tc>
          <w:tcPr>
            <w:tcW w:w="750" w:type="dxa"/>
          </w:tcPr>
          <w:p>
            <w:pPr>
              <w:pStyle w:val="TableParagraph"/>
              <w:rPr>
                <w:rFonts w:ascii="Times New Roman"/>
                <w:sz w:val="16"/>
              </w:rPr>
            </w:pPr>
          </w:p>
        </w:tc>
        <w:tc>
          <w:tcPr>
            <w:tcW w:w="1938" w:type="dxa"/>
          </w:tcPr>
          <w:p>
            <w:pPr>
              <w:pStyle w:val="TableParagraph"/>
              <w:rPr>
                <w:rFonts w:ascii="Times New Roman"/>
                <w:sz w:val="16"/>
              </w:rPr>
            </w:pPr>
          </w:p>
        </w:tc>
        <w:tc>
          <w:tcPr>
            <w:tcW w:w="7394" w:type="dxa"/>
          </w:tcPr>
          <w:p>
            <w:pPr>
              <w:pStyle w:val="TableParagraph"/>
              <w:spacing w:line="220" w:lineRule="exact"/>
              <w:ind w:left="134"/>
              <w:rPr>
                <w:sz w:val="21"/>
              </w:rPr>
            </w:pPr>
            <w:r>
              <w:rPr>
                <w:sz w:val="21"/>
              </w:rPr>
              <w:t>经过 1 年增加 1 岁，不足 1 年的不计。 </w:t>
            </w:r>
          </w:p>
        </w:tc>
      </w:tr>
      <w:tr>
        <w:trPr>
          <w:trHeight w:val="230" w:hRule="atLeast"/>
        </w:trPr>
        <w:tc>
          <w:tcPr>
            <w:tcW w:w="750" w:type="dxa"/>
          </w:tcPr>
          <w:p>
            <w:pPr>
              <w:pStyle w:val="TableParagraph"/>
              <w:rPr>
                <w:rFonts w:ascii="Times New Roman"/>
                <w:sz w:val="16"/>
              </w:rPr>
            </w:pPr>
          </w:p>
        </w:tc>
        <w:tc>
          <w:tcPr>
            <w:tcW w:w="1938" w:type="dxa"/>
          </w:tcPr>
          <w:p>
            <w:pPr>
              <w:pStyle w:val="TableParagraph"/>
              <w:rPr>
                <w:rFonts w:ascii="Times New Roman"/>
                <w:sz w:val="16"/>
              </w:rPr>
            </w:pPr>
          </w:p>
        </w:tc>
        <w:tc>
          <w:tcPr>
            <w:tcW w:w="7394" w:type="dxa"/>
          </w:tcPr>
          <w:p>
            <w:pPr>
              <w:pStyle w:val="TableParagraph"/>
              <w:spacing w:line="210" w:lineRule="exact"/>
              <w:ind w:left="134"/>
              <w:rPr>
                <w:sz w:val="21"/>
              </w:rPr>
            </w:pPr>
            <w:r>
              <w:rPr>
                <w:w w:val="100"/>
                <w:sz w:val="21"/>
              </w:rPr>
              <w:t> </w:t>
            </w:r>
          </w:p>
        </w:tc>
      </w:tr>
      <w:tr>
        <w:trPr>
          <w:trHeight w:val="273" w:hRule="atLeast"/>
        </w:trPr>
        <w:tc>
          <w:tcPr>
            <w:tcW w:w="750" w:type="dxa"/>
          </w:tcPr>
          <w:p>
            <w:pPr>
              <w:pStyle w:val="TableParagraph"/>
              <w:spacing w:line="254" w:lineRule="exact"/>
              <w:ind w:left="107"/>
              <w:rPr>
                <w:sz w:val="21"/>
              </w:rPr>
            </w:pPr>
            <w:r>
              <w:rPr>
                <w:rFonts w:ascii="Microsoft JhengHei"/>
                <w:b/>
                <w:w w:val="90"/>
                <w:sz w:val="21"/>
              </w:rPr>
              <w:t>10. 4</w:t>
            </w:r>
            <w:r>
              <w:rPr>
                <w:rFonts w:ascii="Microsoft JhengHei"/>
                <w:b/>
                <w:sz w:val="21"/>
              </w:rPr>
              <w:t> </w:t>
            </w:r>
            <w:r>
              <w:rPr>
                <w:w w:val="100"/>
                <w:sz w:val="21"/>
              </w:rPr>
              <w:t> </w:t>
            </w:r>
          </w:p>
        </w:tc>
        <w:tc>
          <w:tcPr>
            <w:tcW w:w="1938" w:type="dxa"/>
          </w:tcPr>
          <w:p>
            <w:pPr>
              <w:pStyle w:val="TableParagraph"/>
              <w:spacing w:line="254" w:lineRule="exact"/>
              <w:ind w:left="114"/>
              <w:rPr>
                <w:rFonts w:ascii="Microsoft JhengHei" w:eastAsia="Microsoft JhengHei" w:hint="eastAsia"/>
                <w:b/>
                <w:sz w:val="21"/>
              </w:rPr>
            </w:pPr>
            <w:r>
              <w:rPr>
                <w:rFonts w:ascii="Microsoft JhengHei" w:eastAsia="Microsoft JhengHei" w:hint="eastAsia"/>
                <w:b/>
                <w:sz w:val="21"/>
              </w:rPr>
              <w:t>有效身份证件</w:t>
            </w:r>
          </w:p>
        </w:tc>
        <w:tc>
          <w:tcPr>
            <w:tcW w:w="7394" w:type="dxa"/>
          </w:tcPr>
          <w:p>
            <w:pPr>
              <w:pStyle w:val="TableParagraph"/>
              <w:spacing w:line="235" w:lineRule="exact"/>
              <w:ind w:left="134"/>
              <w:rPr>
                <w:sz w:val="21"/>
              </w:rPr>
            </w:pPr>
            <w:r>
              <w:rPr>
                <w:sz w:val="21"/>
              </w:rPr>
              <w:t>指由政府主管部门规定的证明其身份的证件，如：居民身份证、按规定可使用</w:t>
            </w:r>
          </w:p>
        </w:tc>
      </w:tr>
      <w:tr>
        <w:trPr>
          <w:trHeight w:val="239" w:hRule="atLeast"/>
        </w:trPr>
        <w:tc>
          <w:tcPr>
            <w:tcW w:w="750" w:type="dxa"/>
          </w:tcPr>
          <w:p>
            <w:pPr>
              <w:pStyle w:val="TableParagraph"/>
              <w:rPr>
                <w:rFonts w:ascii="Times New Roman"/>
                <w:sz w:val="16"/>
              </w:rPr>
            </w:pPr>
          </w:p>
        </w:tc>
        <w:tc>
          <w:tcPr>
            <w:tcW w:w="1938" w:type="dxa"/>
          </w:tcPr>
          <w:p>
            <w:pPr>
              <w:pStyle w:val="TableParagraph"/>
              <w:rPr>
                <w:rFonts w:ascii="Times New Roman"/>
                <w:sz w:val="16"/>
              </w:rPr>
            </w:pPr>
          </w:p>
        </w:tc>
        <w:tc>
          <w:tcPr>
            <w:tcW w:w="7394" w:type="dxa"/>
          </w:tcPr>
          <w:p>
            <w:pPr>
              <w:pStyle w:val="TableParagraph"/>
              <w:spacing w:line="220" w:lineRule="exact"/>
              <w:ind w:left="134"/>
              <w:rPr>
                <w:sz w:val="21"/>
              </w:rPr>
            </w:pPr>
            <w:r>
              <w:rPr>
                <w:sz w:val="21"/>
              </w:rPr>
              <w:t>的有效护照、军官证、警官证、士兵证、户口簿等证件。 </w:t>
            </w:r>
          </w:p>
        </w:tc>
      </w:tr>
      <w:tr>
        <w:trPr>
          <w:trHeight w:val="231" w:hRule="atLeast"/>
        </w:trPr>
        <w:tc>
          <w:tcPr>
            <w:tcW w:w="750" w:type="dxa"/>
          </w:tcPr>
          <w:p>
            <w:pPr>
              <w:pStyle w:val="TableParagraph"/>
              <w:rPr>
                <w:rFonts w:ascii="Times New Roman"/>
                <w:sz w:val="16"/>
              </w:rPr>
            </w:pPr>
          </w:p>
        </w:tc>
        <w:tc>
          <w:tcPr>
            <w:tcW w:w="1938" w:type="dxa"/>
          </w:tcPr>
          <w:p>
            <w:pPr>
              <w:pStyle w:val="TableParagraph"/>
              <w:rPr>
                <w:rFonts w:ascii="Times New Roman"/>
                <w:sz w:val="16"/>
              </w:rPr>
            </w:pPr>
          </w:p>
        </w:tc>
        <w:tc>
          <w:tcPr>
            <w:tcW w:w="7394" w:type="dxa"/>
          </w:tcPr>
          <w:p>
            <w:pPr>
              <w:pStyle w:val="TableParagraph"/>
              <w:spacing w:line="212" w:lineRule="exact"/>
              <w:ind w:left="134"/>
              <w:rPr>
                <w:sz w:val="21"/>
              </w:rPr>
            </w:pPr>
            <w:r>
              <w:rPr>
                <w:w w:val="100"/>
                <w:sz w:val="21"/>
              </w:rPr>
              <w:t> </w:t>
            </w:r>
          </w:p>
        </w:tc>
      </w:tr>
      <w:tr>
        <w:trPr>
          <w:trHeight w:val="273" w:hRule="atLeast"/>
        </w:trPr>
        <w:tc>
          <w:tcPr>
            <w:tcW w:w="750" w:type="dxa"/>
          </w:tcPr>
          <w:p>
            <w:pPr>
              <w:pStyle w:val="TableParagraph"/>
              <w:spacing w:line="254" w:lineRule="exact"/>
              <w:ind w:left="107"/>
              <w:rPr>
                <w:sz w:val="21"/>
              </w:rPr>
            </w:pPr>
            <w:r>
              <w:rPr>
                <w:rFonts w:ascii="Microsoft JhengHei"/>
                <w:b/>
                <w:w w:val="90"/>
                <w:sz w:val="21"/>
              </w:rPr>
              <w:t>10. 5</w:t>
            </w:r>
            <w:r>
              <w:rPr>
                <w:rFonts w:ascii="Microsoft JhengHei"/>
                <w:b/>
                <w:sz w:val="21"/>
              </w:rPr>
              <w:t> </w:t>
            </w:r>
            <w:r>
              <w:rPr>
                <w:w w:val="100"/>
                <w:sz w:val="21"/>
              </w:rPr>
              <w:t> </w:t>
            </w:r>
          </w:p>
        </w:tc>
        <w:tc>
          <w:tcPr>
            <w:tcW w:w="1938" w:type="dxa"/>
          </w:tcPr>
          <w:p>
            <w:pPr>
              <w:pStyle w:val="TableParagraph"/>
              <w:spacing w:line="254" w:lineRule="exact"/>
              <w:ind w:left="114"/>
              <w:rPr>
                <w:sz w:val="21"/>
              </w:rPr>
            </w:pPr>
            <w:r>
              <w:rPr>
                <w:rFonts w:ascii="Microsoft JhengHei" w:eastAsia="Microsoft JhengHei" w:hint="eastAsia"/>
                <w:b/>
                <w:sz w:val="21"/>
              </w:rPr>
              <w:t>医疗机构</w:t>
            </w:r>
            <w:r>
              <w:rPr>
                <w:sz w:val="21"/>
              </w:rPr>
              <w:t> </w:t>
            </w:r>
          </w:p>
        </w:tc>
        <w:tc>
          <w:tcPr>
            <w:tcW w:w="7394" w:type="dxa"/>
          </w:tcPr>
          <w:p>
            <w:pPr>
              <w:pStyle w:val="TableParagraph"/>
              <w:spacing w:line="236" w:lineRule="exact"/>
              <w:ind w:left="134"/>
              <w:rPr>
                <w:sz w:val="21"/>
              </w:rPr>
            </w:pPr>
            <w:r>
              <w:rPr>
                <w:sz w:val="21"/>
              </w:rPr>
              <w:t>除本主险合同另有约定外，指符合下列所有条件的机构： </w:t>
            </w:r>
          </w:p>
        </w:tc>
      </w:tr>
      <w:tr>
        <w:trPr>
          <w:trHeight w:val="233" w:hRule="atLeast"/>
        </w:trPr>
        <w:tc>
          <w:tcPr>
            <w:tcW w:w="750" w:type="dxa"/>
          </w:tcPr>
          <w:p>
            <w:pPr>
              <w:pStyle w:val="TableParagraph"/>
              <w:rPr>
                <w:rFonts w:ascii="Times New Roman"/>
                <w:sz w:val="16"/>
              </w:rPr>
            </w:pPr>
          </w:p>
        </w:tc>
        <w:tc>
          <w:tcPr>
            <w:tcW w:w="1938" w:type="dxa"/>
          </w:tcPr>
          <w:p>
            <w:pPr>
              <w:pStyle w:val="TableParagraph"/>
              <w:rPr>
                <w:rFonts w:ascii="Times New Roman"/>
                <w:sz w:val="16"/>
              </w:rPr>
            </w:pPr>
          </w:p>
        </w:tc>
        <w:tc>
          <w:tcPr>
            <w:tcW w:w="7394" w:type="dxa"/>
          </w:tcPr>
          <w:p>
            <w:pPr>
              <w:pStyle w:val="TableParagraph"/>
              <w:spacing w:line="214" w:lineRule="exact"/>
              <w:ind w:left="134"/>
              <w:rPr>
                <w:sz w:val="21"/>
              </w:rPr>
            </w:pPr>
            <w:r>
              <w:rPr>
                <w:sz w:val="21"/>
              </w:rPr>
              <w:t>（1）指经国家卫生行政部门评定的二级或二级以上综合医院或专科医院(前述</w:t>
            </w:r>
          </w:p>
        </w:tc>
      </w:tr>
    </w:tbl>
    <w:p>
      <w:pPr>
        <w:pStyle w:val="BodyText"/>
        <w:spacing w:line="237" w:lineRule="auto" w:before="1"/>
        <w:ind w:left="3460" w:right="203"/>
      </w:pPr>
      <w:r>
        <w:rPr>
          <w:spacing w:val="-8"/>
        </w:rPr>
        <w:t>综合医院和专科医院中的观察室、联合病床、康复病房、家庭长期护理病</w:t>
      </w:r>
      <w:r>
        <w:rPr>
          <w:spacing w:val="-2"/>
        </w:rPr>
        <w:t>床除外)；</w:t>
      </w:r>
      <w:r>
        <w:rPr/>
        <w:t> </w:t>
      </w:r>
    </w:p>
    <w:p>
      <w:pPr>
        <w:pStyle w:val="BodyText"/>
        <w:spacing w:line="274" w:lineRule="exact"/>
        <w:ind w:left="2934"/>
      </w:pPr>
      <w:r>
        <w:rPr/>
        <w:t>（2）不包括精神病院、私人诊所，以及作为康复、疗养、护理、戒酒、戒毒或</w:t>
      </w:r>
    </w:p>
    <w:p>
      <w:pPr>
        <w:spacing w:after="0" w:line="274" w:lineRule="exact"/>
        <w:sectPr>
          <w:pgSz w:w="11900" w:h="16840"/>
          <w:pgMar w:header="0" w:footer="676" w:top="1160" w:bottom="860" w:left="800" w:right="800"/>
        </w:sectPr>
      </w:pPr>
    </w:p>
    <w:p>
      <w:pPr>
        <w:pStyle w:val="BodyText"/>
        <w:spacing w:line="240" w:lineRule="auto" w:before="7"/>
        <w:ind w:left="3340"/>
      </w:pPr>
      <w:r>
        <w:rPr/>
        <w:t>类似的医疗机构。 </w:t>
      </w:r>
    </w:p>
    <w:p>
      <w:pPr>
        <w:pStyle w:val="BodyText"/>
        <w:spacing w:line="240" w:lineRule="auto" w:before="7"/>
        <w:ind w:left="0"/>
        <w:rPr>
          <w:sz w:val="11"/>
        </w:rPr>
      </w:pPr>
    </w:p>
    <w:p>
      <w:pPr>
        <w:pStyle w:val="BodyText"/>
        <w:tabs>
          <w:tab w:pos="2814" w:val="left" w:leader="none"/>
        </w:tabs>
        <w:spacing w:line="230" w:lineRule="auto"/>
        <w:ind w:left="2814" w:right="209" w:hanging="2715"/>
        <w:jc w:val="both"/>
      </w:pPr>
      <w:r>
        <w:rPr>
          <w:rFonts w:ascii="Microsoft JhengHei" w:hAnsi="Microsoft JhengHei" w:eastAsia="Microsoft JhengHei" w:hint="eastAsia"/>
          <w:b/>
        </w:rPr>
        <w:t>10. 6  </w:t>
      </w:r>
      <w:r>
        <w:rPr>
          <w:rFonts w:ascii="Microsoft JhengHei" w:hAnsi="Microsoft JhengHei" w:eastAsia="Microsoft JhengHei" w:hint="eastAsia"/>
          <w:b/>
          <w:spacing w:val="30"/>
        </w:rPr>
        <w:t> </w:t>
      </w:r>
      <w:r>
        <w:rPr>
          <w:rFonts w:ascii="Microsoft JhengHei" w:hAnsi="Microsoft JhengHei" w:eastAsia="Microsoft JhengHei" w:hint="eastAsia"/>
          <w:b/>
        </w:rPr>
        <w:t>重 大 疾病</w:t>
        <w:tab/>
      </w:r>
      <w:r>
        <w:rPr/>
        <w:t>“一</w:t>
      </w:r>
      <w:r>
        <w:rPr>
          <w:spacing w:val="-3"/>
        </w:rPr>
        <w:t>”</w:t>
      </w:r>
      <w:r>
        <w:rPr/>
        <w:t>至</w:t>
      </w:r>
      <w:r>
        <w:rPr>
          <w:spacing w:val="-3"/>
        </w:rPr>
        <w:t>“</w:t>
      </w:r>
      <w:r>
        <w:rPr/>
        <w:t>二</w:t>
      </w:r>
      <w:r>
        <w:rPr>
          <w:spacing w:val="-3"/>
        </w:rPr>
        <w:t>十</w:t>
      </w:r>
      <w:r>
        <w:rPr/>
        <w:t>五</w:t>
      </w:r>
      <w:r>
        <w:rPr>
          <w:spacing w:val="-3"/>
        </w:rPr>
        <w:t>”</w:t>
      </w:r>
      <w:r>
        <w:rPr/>
        <w:t>项</w:t>
      </w:r>
      <w:r>
        <w:rPr>
          <w:spacing w:val="-3"/>
        </w:rPr>
        <w:t>所</w:t>
      </w:r>
      <w:r>
        <w:rPr/>
        <w:t>列重</w:t>
      </w:r>
      <w:r>
        <w:rPr>
          <w:spacing w:val="-3"/>
        </w:rPr>
        <w:t>大</w:t>
      </w:r>
      <w:r>
        <w:rPr/>
        <w:t>疾</w:t>
      </w:r>
      <w:r>
        <w:rPr>
          <w:spacing w:val="-3"/>
        </w:rPr>
        <w:t>病</w:t>
      </w:r>
      <w:r>
        <w:rPr/>
        <w:t>名</w:t>
      </w:r>
      <w:r>
        <w:rPr>
          <w:spacing w:val="-3"/>
        </w:rPr>
        <w:t>称</w:t>
      </w:r>
      <w:r>
        <w:rPr/>
        <w:t>及</w:t>
      </w:r>
      <w:r>
        <w:rPr>
          <w:spacing w:val="-3"/>
        </w:rPr>
        <w:t>疾</w:t>
      </w:r>
      <w:r>
        <w:rPr/>
        <w:t>病</w:t>
      </w:r>
      <w:r>
        <w:rPr>
          <w:spacing w:val="-3"/>
        </w:rPr>
        <w:t>定</w:t>
      </w:r>
      <w:r>
        <w:rPr/>
        <w:t>义由</w:t>
      </w:r>
      <w:r>
        <w:rPr>
          <w:spacing w:val="-3"/>
        </w:rPr>
        <w:t>中</w:t>
      </w:r>
      <w:r>
        <w:rPr/>
        <w:t>国</w:t>
      </w:r>
      <w:r>
        <w:rPr>
          <w:spacing w:val="-3"/>
        </w:rPr>
        <w:t>保</w:t>
      </w:r>
      <w:r>
        <w:rPr/>
        <w:t>险</w:t>
      </w:r>
      <w:r>
        <w:rPr>
          <w:spacing w:val="-3"/>
        </w:rPr>
        <w:t>行</w:t>
      </w:r>
      <w:r>
        <w:rPr/>
        <w:t>业</w:t>
      </w:r>
      <w:r>
        <w:rPr>
          <w:spacing w:val="-3"/>
        </w:rPr>
        <w:t>协</w:t>
      </w:r>
      <w:r>
        <w:rPr/>
        <w:t>会</w:t>
      </w:r>
      <w:r>
        <w:rPr>
          <w:spacing w:val="-3"/>
        </w:rPr>
        <w:t>统</w:t>
      </w:r>
      <w:r>
        <w:rPr/>
        <w:t>一 制定</w:t>
      </w:r>
      <w:r>
        <w:rPr>
          <w:spacing w:val="-3"/>
        </w:rPr>
        <w:t>（</w:t>
      </w:r>
      <w:r>
        <w:rPr/>
        <w:t>见</w:t>
      </w:r>
      <w:r>
        <w:rPr>
          <w:spacing w:val="-3"/>
        </w:rPr>
        <w:t>《</w:t>
      </w:r>
      <w:r>
        <w:rPr/>
        <w:t>重</w:t>
      </w:r>
      <w:r>
        <w:rPr>
          <w:spacing w:val="-3"/>
        </w:rPr>
        <w:t>大</w:t>
      </w:r>
      <w:r>
        <w:rPr/>
        <w:t>疾</w:t>
      </w:r>
      <w:r>
        <w:rPr>
          <w:spacing w:val="-3"/>
        </w:rPr>
        <w:t>病</w:t>
      </w:r>
      <w:r>
        <w:rPr/>
        <w:t>保</w:t>
      </w:r>
      <w:r>
        <w:rPr>
          <w:spacing w:val="-3"/>
        </w:rPr>
        <w:t>险</w:t>
      </w:r>
      <w:r>
        <w:rPr/>
        <w:t>的疾</w:t>
      </w:r>
      <w:r>
        <w:rPr>
          <w:spacing w:val="-3"/>
        </w:rPr>
        <w:t>病</w:t>
      </w:r>
      <w:r>
        <w:rPr/>
        <w:t>定</w:t>
      </w:r>
      <w:r>
        <w:rPr>
          <w:spacing w:val="-3"/>
        </w:rPr>
        <w:t>义</w:t>
      </w:r>
      <w:r>
        <w:rPr/>
        <w:t>使</w:t>
      </w:r>
      <w:r>
        <w:rPr>
          <w:spacing w:val="-3"/>
        </w:rPr>
        <w:t>用</w:t>
      </w:r>
      <w:r>
        <w:rPr/>
        <w:t>规</w:t>
      </w:r>
      <w:r>
        <w:rPr>
          <w:spacing w:val="-3"/>
        </w:rPr>
        <w:t>范</w:t>
      </w:r>
      <w:r>
        <w:rPr>
          <w:spacing w:val="-106"/>
        </w:rPr>
        <w:t>》）</w:t>
      </w:r>
      <w:r>
        <w:rPr>
          <w:spacing w:val="-3"/>
        </w:rPr>
        <w:t>。</w:t>
      </w:r>
      <w:r>
        <w:rPr/>
        <w:t>为了</w:t>
      </w:r>
      <w:r>
        <w:rPr>
          <w:spacing w:val="-3"/>
        </w:rPr>
        <w:t>扩</w:t>
      </w:r>
      <w:r>
        <w:rPr/>
        <w:t>大</w:t>
      </w:r>
      <w:r>
        <w:rPr>
          <w:spacing w:val="-3"/>
        </w:rPr>
        <w:t>本</w:t>
      </w:r>
      <w:r>
        <w:rPr/>
        <w:t>主</w:t>
      </w:r>
      <w:r>
        <w:rPr>
          <w:spacing w:val="-3"/>
        </w:rPr>
        <w:t>险</w:t>
      </w:r>
      <w:r>
        <w:rPr/>
        <w:t>合</w:t>
      </w:r>
      <w:r>
        <w:rPr>
          <w:spacing w:val="-3"/>
        </w:rPr>
        <w:t>同</w:t>
      </w:r>
      <w:r>
        <w:rPr/>
        <w:t>的</w:t>
      </w:r>
      <w:r>
        <w:rPr>
          <w:spacing w:val="-3"/>
        </w:rPr>
        <w:t>保</w:t>
      </w:r>
      <w:r>
        <w:rPr/>
        <w:t>障</w:t>
      </w:r>
      <w:r>
        <w:rPr>
          <w:w w:val="100"/>
        </w:rPr>
        <w:t>范围</w:t>
      </w:r>
      <w:r>
        <w:rPr>
          <w:spacing w:val="-130"/>
          <w:w w:val="100"/>
        </w:rPr>
        <w:t>，</w:t>
      </w:r>
      <w:r>
        <w:rPr>
          <w:spacing w:val="-3"/>
          <w:w w:val="100"/>
        </w:rPr>
        <w:t>“</w:t>
      </w:r>
      <w:r>
        <w:rPr>
          <w:w w:val="100"/>
        </w:rPr>
        <w:t>二</w:t>
      </w:r>
      <w:r>
        <w:rPr>
          <w:spacing w:val="-3"/>
          <w:w w:val="100"/>
        </w:rPr>
        <w:t>十</w:t>
      </w:r>
      <w:r>
        <w:rPr>
          <w:w w:val="100"/>
        </w:rPr>
        <w:t>六</w:t>
      </w:r>
      <w:r>
        <w:rPr>
          <w:spacing w:val="-27"/>
          <w:w w:val="100"/>
        </w:rPr>
        <w:t>”</w:t>
      </w:r>
      <w:r>
        <w:rPr>
          <w:spacing w:val="-24"/>
          <w:w w:val="100"/>
        </w:rPr>
        <w:t>至</w:t>
      </w:r>
      <w:r>
        <w:rPr>
          <w:w w:val="100"/>
        </w:rPr>
        <w:t>“</w:t>
      </w:r>
      <w:r>
        <w:rPr>
          <w:spacing w:val="-3"/>
          <w:w w:val="100"/>
        </w:rPr>
        <w:t>三十</w:t>
      </w:r>
      <w:r>
        <w:rPr>
          <w:w w:val="100"/>
        </w:rPr>
        <w:t>五</w:t>
      </w:r>
      <w:r>
        <w:rPr>
          <w:spacing w:val="-24"/>
          <w:w w:val="100"/>
        </w:rPr>
        <w:t>”</w:t>
      </w:r>
      <w:r>
        <w:rPr>
          <w:spacing w:val="-3"/>
          <w:w w:val="100"/>
        </w:rPr>
        <w:t>项</w:t>
      </w:r>
      <w:r>
        <w:rPr>
          <w:w w:val="100"/>
        </w:rPr>
        <w:t>所</w:t>
      </w:r>
      <w:r>
        <w:rPr>
          <w:spacing w:val="-3"/>
          <w:w w:val="100"/>
        </w:rPr>
        <w:t>列</w:t>
      </w:r>
      <w:r>
        <w:rPr>
          <w:w w:val="100"/>
        </w:rPr>
        <w:t>重</w:t>
      </w:r>
      <w:r>
        <w:rPr>
          <w:spacing w:val="-3"/>
          <w:w w:val="100"/>
        </w:rPr>
        <w:t>大</w:t>
      </w:r>
      <w:r>
        <w:rPr>
          <w:w w:val="100"/>
        </w:rPr>
        <w:t>疾</w:t>
      </w:r>
      <w:r>
        <w:rPr>
          <w:spacing w:val="-3"/>
          <w:w w:val="100"/>
        </w:rPr>
        <w:t>病</w:t>
      </w:r>
      <w:r>
        <w:rPr>
          <w:w w:val="100"/>
        </w:rPr>
        <w:t>名</w:t>
      </w:r>
      <w:r>
        <w:rPr>
          <w:spacing w:val="-3"/>
          <w:w w:val="100"/>
        </w:rPr>
        <w:t>称</w:t>
      </w:r>
      <w:r>
        <w:rPr>
          <w:w w:val="100"/>
        </w:rPr>
        <w:t>及疾</w:t>
      </w:r>
      <w:r>
        <w:rPr>
          <w:spacing w:val="-3"/>
          <w:w w:val="100"/>
        </w:rPr>
        <w:t>病</w:t>
      </w:r>
      <w:r>
        <w:rPr>
          <w:w w:val="100"/>
        </w:rPr>
        <w:t>定</w:t>
      </w:r>
      <w:r>
        <w:rPr>
          <w:spacing w:val="-3"/>
          <w:w w:val="100"/>
        </w:rPr>
        <w:t>义</w:t>
      </w:r>
      <w:r>
        <w:rPr>
          <w:w w:val="100"/>
        </w:rPr>
        <w:t>由</w:t>
      </w:r>
      <w:r>
        <w:rPr>
          <w:spacing w:val="-3"/>
          <w:w w:val="100"/>
        </w:rPr>
        <w:t>我</w:t>
      </w:r>
      <w:r>
        <w:rPr>
          <w:w w:val="100"/>
        </w:rPr>
        <w:t>们</w:t>
      </w:r>
      <w:r>
        <w:rPr>
          <w:spacing w:val="-3"/>
          <w:w w:val="100"/>
        </w:rPr>
        <w:t>自</w:t>
      </w:r>
      <w:r>
        <w:rPr>
          <w:w w:val="100"/>
        </w:rPr>
        <w:t>行</w:t>
      </w:r>
      <w:r>
        <w:rPr>
          <w:spacing w:val="-3"/>
          <w:w w:val="100"/>
        </w:rPr>
        <w:t>制</w:t>
      </w:r>
      <w:r>
        <w:rPr>
          <w:w w:val="100"/>
        </w:rPr>
        <w:t>定</w:t>
      </w:r>
      <w:r>
        <w:rPr/>
        <w:t>使用。</w:t>
      </w:r>
    </w:p>
    <w:p>
      <w:pPr>
        <w:pStyle w:val="BodyText"/>
        <w:spacing w:line="284" w:lineRule="exact" w:before="5"/>
        <w:ind w:left="2814"/>
      </w:pPr>
      <w:r>
        <w:rPr/>
        <w:t>被保险人发生符合以下疾病定义所述条件的疾病，应当由</w:t>
      </w:r>
      <w:r>
        <w:rPr>
          <w:rFonts w:ascii="Microsoft JhengHei" w:eastAsia="Microsoft JhengHei" w:hint="eastAsia"/>
          <w:b/>
        </w:rPr>
        <w:t>专科医生</w:t>
      </w:r>
      <w:r>
        <w:rPr/>
        <w:t>（见 10.18）</w:t>
      </w:r>
    </w:p>
    <w:p>
      <w:pPr>
        <w:pStyle w:val="BodyText"/>
        <w:spacing w:line="260" w:lineRule="exact"/>
        <w:ind w:left="2814"/>
      </w:pPr>
      <w:r>
        <w:rPr/>
        <w:t>明确诊断。</w:t>
      </w:r>
    </w:p>
    <w:p>
      <w:pPr>
        <w:pStyle w:val="BodyText"/>
        <w:ind w:left="2814"/>
      </w:pPr>
      <w:r>
        <w:rPr/>
        <w:t>一、恶性肿瘤  </w:t>
      </w:r>
    </w:p>
    <w:p>
      <w:pPr>
        <w:pStyle w:val="BodyText"/>
        <w:spacing w:line="237" w:lineRule="auto"/>
        <w:ind w:left="2814" w:right="218"/>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BodyText"/>
        <w:ind w:left="2814"/>
        <w:jc w:val="both"/>
      </w:pPr>
      <w:r>
        <w:rPr/>
        <w:t>（ICD-10）的恶性肿瘤范畴。  </w:t>
      </w:r>
    </w:p>
    <w:p>
      <w:pPr>
        <w:pStyle w:val="BodyText"/>
        <w:ind w:left="2814"/>
        <w:jc w:val="both"/>
      </w:pPr>
      <w:r>
        <w:rPr/>
        <w:t>下列疾病不在保障范围内：  </w:t>
      </w:r>
    </w:p>
    <w:p>
      <w:pPr>
        <w:pStyle w:val="BodyText"/>
        <w:ind w:left="2814"/>
        <w:jc w:val="both"/>
      </w:pPr>
      <w:r>
        <w:rPr/>
        <w:t>（1）原位癌；  </w:t>
      </w:r>
    </w:p>
    <w:p>
      <w:pPr>
        <w:pStyle w:val="BodyText"/>
        <w:spacing w:line="271" w:lineRule="exact"/>
        <w:ind w:left="2814"/>
        <w:jc w:val="both"/>
      </w:pPr>
      <w:r>
        <w:rPr/>
        <w:t>（2）相当于Binet分期方案A期程度的慢性淋巴细胞白血病；  </w:t>
      </w:r>
    </w:p>
    <w:p>
      <w:pPr>
        <w:pStyle w:val="BodyText"/>
        <w:ind w:left="2814"/>
        <w:jc w:val="both"/>
      </w:pPr>
      <w:r>
        <w:rPr/>
        <w:t>（3）相当于Ann Arbor分期方案I期程度的何杰金氏病；  </w:t>
      </w:r>
    </w:p>
    <w:p>
      <w:pPr>
        <w:pStyle w:val="BodyText"/>
        <w:ind w:left="2814"/>
        <w:jc w:val="both"/>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r>
        <w:rPr>
          <w:spacing w:val="-3"/>
          <w:w w:val="100"/>
        </w:rPr>
        <w:t>  </w:t>
      </w:r>
    </w:p>
    <w:p>
      <w:pPr>
        <w:pStyle w:val="BodyText"/>
        <w:ind w:left="2814"/>
        <w:jc w:val="both"/>
      </w:pPr>
      <w:r>
        <w:rPr/>
        <w:t>（5）TNM分期为T1N0M0期或更轻分期的前列腺癌；  </w:t>
      </w:r>
    </w:p>
    <w:p>
      <w:pPr>
        <w:pStyle w:val="BodyText"/>
        <w:ind w:left="2814"/>
        <w:jc w:val="both"/>
      </w:pPr>
      <w:r>
        <w:rPr/>
        <w:t>（6）感染艾滋病病毒或患艾滋病期间所患恶性肿瘤。  </w:t>
      </w:r>
    </w:p>
    <w:p>
      <w:pPr>
        <w:pStyle w:val="BodyText"/>
        <w:ind w:left="2814"/>
        <w:jc w:val="both"/>
      </w:pPr>
      <w:r>
        <w:rPr/>
        <w:t>二、急性心肌梗塞  </w:t>
      </w:r>
    </w:p>
    <w:p>
      <w:pPr>
        <w:pStyle w:val="BodyText"/>
        <w:ind w:left="2814"/>
        <w:jc w:val="both"/>
      </w:pPr>
      <w:r>
        <w:rPr/>
        <w:t>指因冠状动脉阻塞导致的相应区域供血不足造成部分心肌坏死。须满足下列至</w:t>
      </w:r>
    </w:p>
    <w:p>
      <w:pPr>
        <w:pStyle w:val="BodyText"/>
        <w:ind w:left="2814"/>
        <w:jc w:val="both"/>
      </w:pPr>
      <w:r>
        <w:rPr/>
        <w:t>少三项条件：  </w:t>
      </w:r>
    </w:p>
    <w:p>
      <w:pPr>
        <w:pStyle w:val="BodyText"/>
        <w:ind w:left="2814"/>
        <w:jc w:val="both"/>
      </w:pPr>
      <w:r>
        <w:rPr/>
        <w:t>（1）典型临床表现，例如急性胸痛等；  </w:t>
      </w:r>
    </w:p>
    <w:p>
      <w:pPr>
        <w:pStyle w:val="BodyText"/>
        <w:ind w:left="2814"/>
        <w:jc w:val="both"/>
      </w:pPr>
      <w:r>
        <w:rPr/>
        <w:t>（2）新近的心电图改变提示急性心肌梗塞；  </w:t>
      </w:r>
    </w:p>
    <w:p>
      <w:pPr>
        <w:pStyle w:val="BodyText"/>
        <w:ind w:left="2814"/>
        <w:jc w:val="both"/>
      </w:pPr>
      <w:r>
        <w:rPr/>
        <w:t>（3）心肌酶或肌钙蛋白有诊断意义的升高，或呈符合急性心肌梗塞的动态性变</w:t>
      </w:r>
    </w:p>
    <w:p>
      <w:pPr>
        <w:pStyle w:val="BodyText"/>
        <w:ind w:left="3340"/>
      </w:pPr>
      <w:r>
        <w:rPr/>
        <w:t>化；  </w:t>
      </w:r>
    </w:p>
    <w:p>
      <w:pPr>
        <w:pStyle w:val="BodyText"/>
        <w:ind w:left="2814"/>
        <w:jc w:val="both"/>
      </w:pPr>
      <w:r>
        <w:rPr/>
        <w:t>（4）发病90天后，经检查证实左心室功能降低，如左心室射血分数低于50%。 </w:t>
      </w:r>
    </w:p>
    <w:p>
      <w:pPr>
        <w:pStyle w:val="BodyText"/>
        <w:ind w:left="2814"/>
        <w:jc w:val="both"/>
      </w:pPr>
      <w:r>
        <w:rPr/>
        <w:t>三、脑中风后遗症  </w:t>
      </w:r>
    </w:p>
    <w:p>
      <w:pPr>
        <w:pStyle w:val="BodyText"/>
        <w:spacing w:line="237" w:lineRule="auto" w:before="2"/>
        <w:ind w:left="2814" w:right="211"/>
        <w:jc w:val="both"/>
      </w:pPr>
      <w:r>
        <w:rPr>
          <w:spacing w:val="-3"/>
        </w:rPr>
        <w:t>指因脑血管的突发病变引起脑血管出血、栓塞或梗塞，并导致神经系统永久性</w:t>
      </w:r>
      <w:r>
        <w:rPr>
          <w:spacing w:val="-9"/>
        </w:rPr>
        <w:t>的功能障碍。神经系统永久性的功能障碍，指疾病确诊</w:t>
      </w:r>
      <w:r>
        <w:rPr/>
        <w:t>180</w:t>
      </w:r>
      <w:r>
        <w:rPr>
          <w:spacing w:val="-8"/>
        </w:rPr>
        <w:t>天后，仍遗留下列一</w:t>
      </w:r>
      <w:r>
        <w:rPr>
          <w:spacing w:val="-3"/>
        </w:rPr>
        <w:t>种或一种以上障碍：  </w:t>
      </w:r>
    </w:p>
    <w:p>
      <w:pPr>
        <w:spacing w:line="249" w:lineRule="exact" w:before="0"/>
        <w:ind w:left="2814" w:right="0" w:firstLine="0"/>
        <w:jc w:val="both"/>
        <w:rPr>
          <w:sz w:val="21"/>
        </w:rPr>
      </w:pPr>
      <w:r>
        <w:rPr>
          <w:w w:val="100"/>
          <w:sz w:val="21"/>
        </w:rPr>
        <w:t>（1</w:t>
      </w:r>
      <w:r>
        <w:rPr>
          <w:spacing w:val="-3"/>
          <w:w w:val="100"/>
          <w:sz w:val="21"/>
        </w:rPr>
        <w:t>）一肢或一肢以上</w:t>
      </w:r>
      <w:r>
        <w:rPr>
          <w:rFonts w:ascii="Microsoft JhengHei" w:eastAsia="Microsoft JhengHei" w:hint="eastAsia"/>
          <w:b/>
          <w:w w:val="100"/>
          <w:sz w:val="21"/>
        </w:rPr>
        <w:t>肢体机能完全丧失</w:t>
      </w:r>
      <w:r>
        <w:rPr>
          <w:spacing w:val="-3"/>
          <w:w w:val="100"/>
          <w:sz w:val="21"/>
        </w:rPr>
        <w:t>（</w:t>
      </w:r>
      <w:r>
        <w:rPr>
          <w:w w:val="100"/>
          <w:sz w:val="21"/>
        </w:rPr>
        <w:t>见1</w:t>
      </w:r>
      <w:r>
        <w:rPr>
          <w:spacing w:val="-3"/>
          <w:w w:val="100"/>
          <w:sz w:val="21"/>
        </w:rPr>
        <w:t>0</w:t>
      </w:r>
      <w:r>
        <w:rPr>
          <w:w w:val="100"/>
          <w:sz w:val="21"/>
        </w:rPr>
        <w:t>.19</w:t>
      </w:r>
      <w:r>
        <w:rPr>
          <w:spacing w:val="-108"/>
          <w:w w:val="100"/>
          <w:sz w:val="21"/>
        </w:rPr>
        <w:t>）</w:t>
      </w:r>
      <w:r>
        <w:rPr>
          <w:w w:val="100"/>
          <w:sz w:val="21"/>
        </w:rPr>
        <w:t>；</w:t>
      </w:r>
      <w:r>
        <w:rPr>
          <w:spacing w:val="-3"/>
          <w:w w:val="100"/>
          <w:sz w:val="21"/>
        </w:rPr>
        <w:t>  </w:t>
      </w:r>
    </w:p>
    <w:p>
      <w:pPr>
        <w:spacing w:line="272" w:lineRule="exact" w:before="0"/>
        <w:ind w:left="2814" w:right="0" w:firstLine="0"/>
        <w:jc w:val="both"/>
        <w:rPr>
          <w:sz w:val="21"/>
        </w:rPr>
      </w:pPr>
      <w:r>
        <w:rPr>
          <w:w w:val="100"/>
          <w:sz w:val="21"/>
        </w:rPr>
        <w:t>（2</w:t>
      </w:r>
      <w:r>
        <w:rPr>
          <w:spacing w:val="-3"/>
          <w:w w:val="100"/>
          <w:sz w:val="21"/>
        </w:rPr>
        <w:t>）</w:t>
      </w:r>
      <w:r>
        <w:rPr>
          <w:rFonts w:ascii="Microsoft JhengHei" w:eastAsia="Microsoft JhengHei" w:hint="eastAsia"/>
          <w:b/>
          <w:spacing w:val="-2"/>
          <w:w w:val="100"/>
          <w:sz w:val="21"/>
        </w:rPr>
        <w:t>语言能力或咀嚼吞咽能力完全丧失</w:t>
      </w:r>
      <w:r>
        <w:rPr>
          <w:spacing w:val="-3"/>
          <w:w w:val="100"/>
          <w:sz w:val="21"/>
        </w:rPr>
        <w:t>（</w:t>
      </w:r>
      <w:r>
        <w:rPr>
          <w:w w:val="100"/>
          <w:sz w:val="21"/>
        </w:rPr>
        <w:t>见1</w:t>
      </w:r>
      <w:r>
        <w:rPr>
          <w:spacing w:val="-3"/>
          <w:w w:val="100"/>
          <w:sz w:val="21"/>
        </w:rPr>
        <w:t>0</w:t>
      </w:r>
      <w:r>
        <w:rPr>
          <w:w w:val="100"/>
          <w:sz w:val="21"/>
        </w:rPr>
        <w:t>.20</w:t>
      </w:r>
      <w:r>
        <w:rPr>
          <w:spacing w:val="-108"/>
          <w:w w:val="100"/>
          <w:sz w:val="21"/>
        </w:rPr>
        <w:t>）</w:t>
      </w:r>
      <w:r>
        <w:rPr>
          <w:w w:val="100"/>
          <w:sz w:val="21"/>
        </w:rPr>
        <w:t>；</w:t>
      </w:r>
      <w:r>
        <w:rPr>
          <w:spacing w:val="-3"/>
          <w:w w:val="100"/>
          <w:sz w:val="21"/>
        </w:rPr>
        <w:t>  </w:t>
      </w:r>
    </w:p>
    <w:p>
      <w:pPr>
        <w:spacing w:line="306" w:lineRule="exact" w:before="0"/>
        <w:ind w:left="2814" w:right="0" w:firstLine="0"/>
        <w:jc w:val="both"/>
        <w:rPr>
          <w:sz w:val="21"/>
        </w:rPr>
      </w:pPr>
      <w:r>
        <w:rPr>
          <w:sz w:val="21"/>
        </w:rPr>
        <w:t>（3）自主生活能力完全丧失，无法独立完成</w:t>
      </w:r>
      <w:r>
        <w:rPr>
          <w:rFonts w:ascii="Microsoft JhengHei" w:eastAsia="Microsoft JhengHei" w:hint="eastAsia"/>
          <w:b/>
          <w:sz w:val="21"/>
        </w:rPr>
        <w:t>六项基本日常生活活动</w:t>
      </w:r>
      <w:r>
        <w:rPr>
          <w:sz w:val="21"/>
        </w:rPr>
        <w:t>（见10.21）</w:t>
      </w:r>
    </w:p>
    <w:p>
      <w:pPr>
        <w:pStyle w:val="BodyText"/>
        <w:spacing w:line="260" w:lineRule="exact"/>
        <w:ind w:left="3339"/>
      </w:pPr>
      <w:r>
        <w:rPr/>
        <w:t>中的三项或三项以上。  </w:t>
      </w:r>
    </w:p>
    <w:p>
      <w:pPr>
        <w:pStyle w:val="BodyText"/>
        <w:spacing w:line="271" w:lineRule="exact"/>
        <w:ind w:left="2814"/>
        <w:jc w:val="both"/>
      </w:pPr>
      <w:r>
        <w:rPr/>
        <w:t>四、重大器官移植术或造血干细胞移植术  </w:t>
      </w:r>
    </w:p>
    <w:p>
      <w:pPr>
        <w:pStyle w:val="BodyText"/>
        <w:spacing w:line="240" w:lineRule="auto"/>
        <w:ind w:left="2814" w:right="218"/>
      </w:pPr>
      <w:r>
        <w:rPr/>
        <w:t>重大器官移植术，指因相应器官功能衰竭，已经实施了肾脏、肝脏、心脏或肺脏的异体移植手术。  </w:t>
      </w:r>
    </w:p>
    <w:p>
      <w:pPr>
        <w:pStyle w:val="BodyText"/>
        <w:spacing w:line="237" w:lineRule="auto"/>
        <w:ind w:left="2814" w:right="218"/>
        <w:jc w:val="both"/>
      </w:pPr>
      <w:r>
        <w:rPr/>
        <w:t>造血干细胞移植术，指因造血功能损害或造血系统恶性肿瘤，已经实施了造血干细胞（包括骨髓造血干细胞、外周血造血干细胞和脐血造血干细胞）的异体移植手术。  </w:t>
      </w:r>
    </w:p>
    <w:p>
      <w:pPr>
        <w:pStyle w:val="BodyText"/>
        <w:ind w:left="2814"/>
      </w:pPr>
      <w:r>
        <w:rPr/>
        <w:t>五、冠状动脉搭桥术（或称冠状动脉旁路移植术）  </w:t>
      </w:r>
    </w:p>
    <w:p>
      <w:pPr>
        <w:pStyle w:val="BodyText"/>
        <w:spacing w:line="237" w:lineRule="auto" w:before="1"/>
        <w:ind w:left="2814" w:right="107"/>
      </w:pPr>
      <w:r>
        <w:rPr>
          <w:spacing w:val="-15"/>
        </w:rPr>
        <w:t>指为治疗严重的冠心病，实际实施了开胸进行的冠状动脉血管旁路移植的手术。</w:t>
      </w:r>
      <w:r>
        <w:rPr>
          <w:spacing w:val="-3"/>
        </w:rPr>
        <w:t>冠状动脉支架植入术、心导管球囊扩张术、激光射频技术及其它非开胸的介入手术、腔镜手术不在保障范围内。  </w:t>
      </w:r>
    </w:p>
    <w:p>
      <w:pPr>
        <w:pStyle w:val="BodyText"/>
        <w:ind w:left="2814"/>
      </w:pPr>
      <w:r>
        <w:rPr/>
        <w:t>六、终末期肾病（或称慢性肾功能衰竭尿毒症期）  </w:t>
      </w:r>
    </w:p>
    <w:p>
      <w:pPr>
        <w:pStyle w:val="BodyText"/>
        <w:spacing w:line="240" w:lineRule="auto"/>
        <w:ind w:left="2814" w:right="218"/>
      </w:pPr>
      <w:r>
        <w:rPr/>
        <w:t>指双肾功能慢性不可逆性衰竭，达到尿毒症期，经诊断后已经进行了至少90天的规律性透析治疗或实施了肾脏移植手术。  </w:t>
      </w:r>
    </w:p>
    <w:p>
      <w:pPr>
        <w:pStyle w:val="BodyText"/>
        <w:spacing w:line="271" w:lineRule="exact" w:before="1"/>
        <w:ind w:left="2814"/>
        <w:jc w:val="both"/>
      </w:pPr>
      <w:r>
        <w:rPr/>
        <w:t>七、多个肢体缺失  </w:t>
      </w:r>
    </w:p>
    <w:p>
      <w:pPr>
        <w:pStyle w:val="BodyText"/>
        <w:ind w:left="2814"/>
        <w:jc w:val="both"/>
      </w:pPr>
      <w:r>
        <w:rPr/>
        <w:t>指因疾病或意外伤害导致两个或两个以上肢体自腕关节或踝关节近端（靠近躯</w:t>
      </w:r>
    </w:p>
    <w:p>
      <w:pPr>
        <w:pStyle w:val="BodyText"/>
        <w:ind w:left="2814"/>
        <w:jc w:val="both"/>
      </w:pPr>
      <w:r>
        <w:rPr/>
        <w:t>干端）以上完全性断离。  </w:t>
      </w:r>
    </w:p>
    <w:p>
      <w:pPr>
        <w:pStyle w:val="BodyText"/>
        <w:spacing w:line="274" w:lineRule="exact"/>
        <w:ind w:left="2814"/>
        <w:jc w:val="both"/>
      </w:pPr>
      <w:r>
        <w:rPr/>
        <w:t>八、急性或亚急性重症肝炎  </w:t>
      </w:r>
    </w:p>
    <w:p>
      <w:pPr>
        <w:spacing w:after="0" w:line="274" w:lineRule="exact"/>
        <w:jc w:val="both"/>
        <w:sectPr>
          <w:pgSz w:w="11900" w:h="16840"/>
          <w:pgMar w:header="0" w:footer="676" w:top="1160" w:bottom="860" w:left="920" w:right="800"/>
        </w:sectPr>
      </w:pPr>
    </w:p>
    <w:p>
      <w:pPr>
        <w:pStyle w:val="BodyText"/>
        <w:spacing w:line="273" w:lineRule="exact" w:before="7"/>
        <w:jc w:val="both"/>
      </w:pPr>
      <w:r>
        <w:rPr/>
        <w:t>指因肝炎病毒感染引起肝脏组织弥漫性坏死，导致急性肝功能衰竭，且经血清</w:t>
      </w:r>
    </w:p>
    <w:p>
      <w:pPr>
        <w:pStyle w:val="BodyText"/>
        <w:jc w:val="both"/>
      </w:pPr>
      <w:r>
        <w:rPr/>
        <w:t>学或病毒学检查证实，并须满足下列全部条件：  </w:t>
      </w:r>
    </w:p>
    <w:p>
      <w:pPr>
        <w:pStyle w:val="BodyText"/>
        <w:jc w:val="both"/>
      </w:pPr>
      <w:r>
        <w:rPr/>
        <w:t>（1）重度黄疸或黄疸迅速加重；  </w:t>
      </w:r>
    </w:p>
    <w:p>
      <w:pPr>
        <w:pStyle w:val="BodyText"/>
        <w:jc w:val="both"/>
      </w:pPr>
      <w:r>
        <w:rPr/>
        <w:t>（2）肝性脑病；  </w:t>
      </w:r>
    </w:p>
    <w:p>
      <w:pPr>
        <w:pStyle w:val="BodyText"/>
        <w:jc w:val="both"/>
      </w:pPr>
      <w:r>
        <w:rPr/>
        <w:t>（3）B超或其它影像学检查显示肝脏体积急速萎缩；  </w:t>
      </w:r>
    </w:p>
    <w:p>
      <w:pPr>
        <w:pStyle w:val="BodyText"/>
        <w:jc w:val="both"/>
      </w:pPr>
      <w:r>
        <w:rPr/>
        <w:t>（4）肝功能指标进行性恶化。  </w:t>
      </w:r>
    </w:p>
    <w:p>
      <w:pPr>
        <w:pStyle w:val="BodyText"/>
        <w:jc w:val="both"/>
      </w:pPr>
      <w:r>
        <w:rPr/>
        <w:t>九、良性脑肿瘤  </w:t>
      </w:r>
    </w:p>
    <w:p>
      <w:pPr>
        <w:pStyle w:val="BodyText"/>
        <w:spacing w:line="237" w:lineRule="auto"/>
        <w:ind w:right="209"/>
        <w:jc w:val="both"/>
      </w:pPr>
      <w:r>
        <w:rPr>
          <w:spacing w:val="-3"/>
        </w:rPr>
        <w:t>指脑的良性肿瘤，已经引起颅内压增高，临床表现为视神经乳头水肿、精神症</w:t>
      </w:r>
      <w:r>
        <w:rPr>
          <w:spacing w:val="-10"/>
          <w:w w:val="100"/>
        </w:rPr>
        <w:t>状、癫痫及运动感觉障碍等，并危及生命。须由头颅断层扫描</w:t>
      </w:r>
      <w:r>
        <w:rPr>
          <w:w w:val="100"/>
        </w:rPr>
        <w:t>（CT</w:t>
      </w:r>
      <w:r>
        <w:rPr>
          <w:spacing w:val="-108"/>
          <w:w w:val="100"/>
        </w:rPr>
        <w:t>）</w:t>
      </w:r>
      <w:r>
        <w:rPr>
          <w:spacing w:val="-6"/>
          <w:w w:val="100"/>
        </w:rPr>
        <w:t>、核磁共振</w:t>
      </w:r>
      <w:r>
        <w:rPr>
          <w:spacing w:val="-6"/>
        </w:rPr>
        <w:t>检查（MRI）</w:t>
      </w:r>
      <w:r>
        <w:rPr>
          <w:spacing w:val="-3"/>
        </w:rPr>
        <w:t>或正电子发射断层扫描</w:t>
      </w:r>
      <w:r>
        <w:rPr/>
        <w:t>（PET）</w:t>
      </w:r>
      <w:r>
        <w:rPr>
          <w:spacing w:val="-3"/>
        </w:rPr>
        <w:t>等影像学检查证实，并须满足下列至少一项条件：  </w:t>
      </w:r>
    </w:p>
    <w:p>
      <w:pPr>
        <w:pStyle w:val="BodyText"/>
        <w:spacing w:line="271" w:lineRule="exact"/>
        <w:jc w:val="both"/>
      </w:pPr>
      <w:r>
        <w:rPr/>
        <w:t>（1）实际实施了开颅进行的脑肿瘤完全切除或部分切除的手术；  </w:t>
      </w:r>
    </w:p>
    <w:p>
      <w:pPr>
        <w:pStyle w:val="BodyText"/>
        <w:jc w:val="both"/>
      </w:pPr>
      <w:r>
        <w:rPr/>
        <w:t>（2）实际实施了对脑肿瘤进行的放射治疗。  </w:t>
      </w:r>
    </w:p>
    <w:p>
      <w:pPr>
        <w:pStyle w:val="BodyText"/>
        <w:jc w:val="both"/>
      </w:pPr>
      <w:r>
        <w:rPr/>
        <w:t>脑垂体瘤、脑囊肿、脑血管性疾病不在保障范围内。  </w:t>
      </w:r>
    </w:p>
    <w:p>
      <w:pPr>
        <w:pStyle w:val="BodyText"/>
        <w:jc w:val="both"/>
      </w:pPr>
      <w:r>
        <w:rPr/>
        <w:t>十、慢性肝功能衰竭失代偿期  </w:t>
      </w:r>
    </w:p>
    <w:p>
      <w:pPr>
        <w:pStyle w:val="BodyText"/>
        <w:jc w:val="both"/>
      </w:pPr>
      <w:r>
        <w:rPr/>
        <w:t>指因慢性肝脏疾病导致肝功能衰竭。须满足下列全部条件：  </w:t>
      </w:r>
    </w:p>
    <w:p>
      <w:pPr>
        <w:pStyle w:val="BodyText"/>
        <w:jc w:val="both"/>
      </w:pPr>
      <w:r>
        <w:rPr/>
        <w:t>（1）持续性黄疸；  </w:t>
      </w:r>
    </w:p>
    <w:p>
      <w:pPr>
        <w:pStyle w:val="BodyText"/>
        <w:jc w:val="both"/>
      </w:pPr>
      <w:r>
        <w:rPr/>
        <w:t>（2）腹水；  </w:t>
      </w:r>
    </w:p>
    <w:p>
      <w:pPr>
        <w:pStyle w:val="BodyText"/>
        <w:jc w:val="both"/>
      </w:pPr>
      <w:r>
        <w:rPr/>
        <w:t>（3）肝性脑病；  </w:t>
      </w:r>
    </w:p>
    <w:p>
      <w:pPr>
        <w:pStyle w:val="BodyText"/>
        <w:spacing w:line="237" w:lineRule="auto"/>
        <w:ind w:right="2009"/>
      </w:pPr>
      <w:r>
        <w:rPr/>
        <w:t>（4）</w:t>
      </w:r>
      <w:r>
        <w:rPr>
          <w:spacing w:val="-3"/>
        </w:rPr>
        <w:t>充血性脾肿大伴脾功能亢进或食管胃底静脉曲张。 因酗酒或药物滥用导致的肝功能衰竭不在保障范围内。  十一、脑炎后遗症或脑膜炎后遗症  </w:t>
      </w:r>
    </w:p>
    <w:p>
      <w:pPr>
        <w:pStyle w:val="BodyText"/>
        <w:spacing w:line="271" w:lineRule="exact"/>
        <w:jc w:val="both"/>
      </w:pPr>
      <w:r>
        <w:rPr/>
        <w:t>指因患脑炎或脑膜炎导致的神经系统永久性的功能障碍。神经系统永久性的功</w:t>
      </w:r>
    </w:p>
    <w:p>
      <w:pPr>
        <w:pStyle w:val="BodyText"/>
        <w:jc w:val="both"/>
      </w:pPr>
      <w:r>
        <w:rPr/>
        <w:t>能障碍，指疾病确诊180天后，仍遗留下列一种或一种以上障碍：  </w:t>
      </w:r>
    </w:p>
    <w:p>
      <w:pPr>
        <w:pStyle w:val="BodyText"/>
        <w:jc w:val="both"/>
      </w:pPr>
      <w:r>
        <w:rPr/>
        <w:t>（1）一肢或一肢以上肢体机能完全丧失；  </w:t>
      </w:r>
    </w:p>
    <w:p>
      <w:pPr>
        <w:pStyle w:val="BodyText"/>
        <w:jc w:val="both"/>
      </w:pPr>
      <w:r>
        <w:rPr/>
        <w:t>（2）语言能力或咀嚼吞咽能力完全丧失；  </w:t>
      </w:r>
    </w:p>
    <w:p>
      <w:pPr>
        <w:pStyle w:val="BodyText"/>
        <w:jc w:val="both"/>
      </w:pPr>
      <w:r>
        <w:rPr/>
        <w:t>（3）自主生活能力完全丧失，无法独立完成六项基本日常生活活动中的三项或</w:t>
      </w:r>
    </w:p>
    <w:p>
      <w:pPr>
        <w:pStyle w:val="BodyText"/>
        <w:spacing w:line="237" w:lineRule="auto" w:before="2"/>
        <w:ind w:right="5580" w:firstLine="525"/>
      </w:pPr>
      <w:r>
        <w:rPr>
          <w:spacing w:val="-2"/>
        </w:rPr>
        <w:t>三项以上。 </w:t>
      </w:r>
      <w:r>
        <w:rPr>
          <w:spacing w:val="-3"/>
        </w:rPr>
        <w:t>十二、深度昏迷  </w:t>
      </w:r>
    </w:p>
    <w:p>
      <w:pPr>
        <w:pStyle w:val="BodyText"/>
        <w:spacing w:line="237" w:lineRule="auto" w:before="1"/>
        <w:ind w:right="221"/>
        <w:jc w:val="both"/>
      </w:pPr>
      <w:r>
        <w:rPr/>
        <w:t>指因疾病或意外伤害导致意识丧失,对外界刺激和体内需求均无反应,昏迷程度按照格拉斯哥昏迷分级（Glasgow coma scale）结果为5分或5分以下，且已经持续使用呼吸机及其它生命维持系统96小时以上。  </w:t>
      </w:r>
    </w:p>
    <w:p>
      <w:pPr>
        <w:pStyle w:val="BodyText"/>
        <w:spacing w:line="271" w:lineRule="exact"/>
      </w:pPr>
      <w:r>
        <w:rPr/>
        <w:t>因酗酒或药物滥用导致的深度昏迷不在保障范围内。  </w:t>
      </w:r>
    </w:p>
    <w:p>
      <w:pPr>
        <w:pStyle w:val="BodyText"/>
        <w:spacing w:line="239" w:lineRule="exact"/>
      </w:pPr>
      <w:r>
        <w:rPr/>
        <w:t>十三、双耳失聪  </w:t>
      </w:r>
    </w:p>
    <w:p>
      <w:pPr>
        <w:pStyle w:val="BodyText"/>
        <w:spacing w:line="318" w:lineRule="exact"/>
      </w:pPr>
      <w:r>
        <w:rPr/>
        <w:t>指因疾病或意外伤害导致双耳听力</w:t>
      </w:r>
      <w:r>
        <w:rPr>
          <w:rFonts w:ascii="Microsoft JhengHei" w:eastAsia="Microsoft JhengHei" w:hint="eastAsia"/>
          <w:b/>
        </w:rPr>
        <w:t>永久不可逆</w:t>
      </w:r>
      <w:r>
        <w:rPr/>
        <w:t>（见10.22）性丧失，在500赫兹、</w:t>
      </w:r>
    </w:p>
    <w:p>
      <w:pPr>
        <w:pStyle w:val="BodyText"/>
        <w:spacing w:line="237" w:lineRule="auto"/>
        <w:ind w:right="218"/>
      </w:pPr>
      <w:r>
        <w:rPr/>
        <w:t>1000赫兹和2000赫兹语音频率下，平均听阈大于90分贝，且经纯音听力测试、声导抗检测或听觉诱发电位检测等证实。  </w:t>
      </w:r>
    </w:p>
    <w:p>
      <w:pPr>
        <w:pStyle w:val="BodyText"/>
        <w:spacing w:before="10"/>
      </w:pPr>
      <w:r>
        <w:rPr/>
        <w:t>十四、双目失明  </w:t>
      </w:r>
    </w:p>
    <w:p>
      <w:pPr>
        <w:pStyle w:val="BodyText"/>
        <w:spacing w:line="240" w:lineRule="auto"/>
        <w:ind w:right="218"/>
      </w:pPr>
      <w:r>
        <w:rPr/>
        <w:t>指因疾病或意外伤害导致双眼视力永久不可逆性丧失，双眼中较好眼须满足下列至少一项条件：  </w:t>
      </w:r>
    </w:p>
    <w:p>
      <w:pPr>
        <w:pStyle w:val="BodyText"/>
        <w:spacing w:line="271" w:lineRule="exact" w:before="1"/>
        <w:jc w:val="both"/>
      </w:pPr>
      <w:r>
        <w:rPr/>
        <w:t>（1）眼球缺失或摘除；  </w:t>
      </w:r>
    </w:p>
    <w:p>
      <w:pPr>
        <w:pStyle w:val="BodyText"/>
        <w:jc w:val="both"/>
      </w:pPr>
      <w:r>
        <w:rPr/>
        <w:t>（2）矫正视力低于0.02（采用国际标准视力表，如果使用其它视力表应进行换</w:t>
      </w:r>
    </w:p>
    <w:p>
      <w:pPr>
        <w:pStyle w:val="BodyText"/>
        <w:spacing w:line="271" w:lineRule="exact"/>
        <w:ind w:left="2664" w:right="6187"/>
        <w:jc w:val="center"/>
      </w:pPr>
      <w:r>
        <w:rPr>
          <w:w w:val="100"/>
        </w:rPr>
        <w:t>算</w:t>
      </w:r>
      <w:r>
        <w:rPr>
          <w:spacing w:val="-106"/>
          <w:w w:val="100"/>
        </w:rPr>
        <w:t>）</w:t>
      </w:r>
      <w:r>
        <w:rPr>
          <w:w w:val="100"/>
        </w:rPr>
        <w:t>；</w:t>
      </w:r>
      <w:r>
        <w:rPr>
          <w:spacing w:val="-3"/>
          <w:w w:val="100"/>
        </w:rPr>
        <w:t>  </w:t>
      </w:r>
    </w:p>
    <w:p>
      <w:pPr>
        <w:pStyle w:val="BodyText"/>
        <w:jc w:val="both"/>
      </w:pPr>
      <w:r>
        <w:rPr/>
        <w:t>（3）视野半径小于5度。  </w:t>
      </w:r>
    </w:p>
    <w:p>
      <w:pPr>
        <w:pStyle w:val="BodyText"/>
        <w:jc w:val="both"/>
      </w:pPr>
      <w:r>
        <w:rPr/>
        <w:t>十五、瘫痪  </w:t>
      </w:r>
    </w:p>
    <w:p>
      <w:pPr>
        <w:pStyle w:val="BodyText"/>
        <w:spacing w:line="237" w:lineRule="auto"/>
        <w:ind w:right="218"/>
        <w:jc w:val="both"/>
      </w:pPr>
      <w:r>
        <w:rPr/>
        <w:t>指因疾病或意外伤害导致两肢或两肢以上肢体机能永久完全丧失。肢体机能永久完全丧失，指疾病确诊180天后或意外伤害发生180天后，每肢三大关节中的两大关节仍然完全僵硬，或不能随意识活动。  </w:t>
      </w:r>
    </w:p>
    <w:p>
      <w:pPr>
        <w:pStyle w:val="BodyText"/>
        <w:jc w:val="both"/>
      </w:pPr>
      <w:r>
        <w:rPr/>
        <w:t>十六、心脏瓣膜手术  </w:t>
      </w:r>
    </w:p>
    <w:p>
      <w:pPr>
        <w:pStyle w:val="BodyText"/>
        <w:jc w:val="both"/>
      </w:pPr>
      <w:r>
        <w:rPr/>
        <w:t>指为治疗心脏瓣膜疾病，实际实施了开胸进行的心脏瓣膜置换或修复的手术。 </w:t>
      </w:r>
    </w:p>
    <w:p>
      <w:pPr>
        <w:pStyle w:val="BodyText"/>
        <w:jc w:val="both"/>
      </w:pPr>
      <w:r>
        <w:rPr/>
        <w:t>十七、严重阿尔茨海默病  </w:t>
      </w:r>
    </w:p>
    <w:p>
      <w:pPr>
        <w:pStyle w:val="BodyText"/>
        <w:jc w:val="both"/>
      </w:pPr>
      <w:r>
        <w:rPr/>
        <w:t>指因大脑进行性、不可逆性改变导致智能严重衰退或丧失，临床表现为明显的</w:t>
      </w:r>
    </w:p>
    <w:p>
      <w:pPr>
        <w:pStyle w:val="BodyText"/>
        <w:spacing w:line="274" w:lineRule="exact"/>
        <w:jc w:val="both"/>
      </w:pPr>
      <w:r>
        <w:rPr/>
        <w:t>认知能力障碍、行为异常和社交能力减退，其日常生活必须持续受到他人监护。</w:t>
      </w:r>
    </w:p>
    <w:p>
      <w:pPr>
        <w:spacing w:after="0" w:line="274" w:lineRule="exact"/>
        <w:jc w:val="both"/>
        <w:sectPr>
          <w:pgSz w:w="11900" w:h="16840"/>
          <w:pgMar w:header="0" w:footer="676" w:top="1160" w:bottom="860" w:left="1680" w:right="800"/>
        </w:sectPr>
      </w:pPr>
    </w:p>
    <w:p>
      <w:pPr>
        <w:pStyle w:val="BodyText"/>
        <w:spacing w:line="237" w:lineRule="auto" w:before="10"/>
        <w:ind w:right="115"/>
      </w:pPr>
      <w:r>
        <w:rPr>
          <w:spacing w:val="-3"/>
          <w:w w:val="100"/>
        </w:rPr>
        <w:t>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w w:val="100"/>
        </w:rPr>
        <w:t>或正电子发射断层扫描（</w:t>
      </w:r>
      <w:r>
        <w:rPr>
          <w:w w:val="100"/>
        </w:rPr>
        <w:t>PET）</w:t>
      </w:r>
      <w:r>
        <w:rPr>
          <w:spacing w:val="-3"/>
        </w:rPr>
        <w:t>等影像学检查证实，且自主生活能力完全丧失，无法独立完成六项基本日常生活活动中的三项或三项以上。  </w:t>
      </w:r>
    </w:p>
    <w:p>
      <w:pPr>
        <w:pStyle w:val="BodyText"/>
        <w:spacing w:line="240" w:lineRule="auto"/>
        <w:ind w:right="3269"/>
      </w:pPr>
      <w:r>
        <w:rPr>
          <w:spacing w:val="-3"/>
        </w:rPr>
        <w:t>神经官能症和精神疾病不在保障范围内。  十八、严重脑损伤  </w:t>
      </w:r>
    </w:p>
    <w:p>
      <w:pPr>
        <w:pStyle w:val="BodyText"/>
        <w:spacing w:line="271" w:lineRule="exact" w:before="4"/>
        <w:jc w:val="both"/>
      </w:pPr>
      <w:r>
        <w:rPr/>
        <w:t>指因头部遭受机械性外力，引起脑重要部位损伤，导致神经系统永久性的功能</w:t>
      </w:r>
    </w:p>
    <w:p>
      <w:pPr>
        <w:pStyle w:val="BodyText"/>
        <w:jc w:val="both"/>
      </w:pPr>
      <w:r>
        <w:rPr>
          <w:spacing w:val="-3"/>
          <w:w w:val="100"/>
        </w:rPr>
        <w:t>障碍。须由头颅断层扫描</w:t>
      </w:r>
      <w:r>
        <w:rPr>
          <w:w w:val="100"/>
        </w:rPr>
        <w:t>（CT</w:t>
      </w:r>
      <w:r>
        <w:rPr>
          <w:spacing w:val="-108"/>
          <w:w w:val="100"/>
        </w:rPr>
        <w:t>）</w:t>
      </w:r>
      <w:r>
        <w:rPr>
          <w:spacing w:val="-3"/>
          <w:w w:val="100"/>
        </w:rPr>
        <w:t>、核磁共振检查</w:t>
      </w:r>
      <w:r>
        <w:rPr>
          <w:w w:val="100"/>
        </w:rPr>
        <w:t>（</w:t>
      </w:r>
      <w:r>
        <w:rPr>
          <w:spacing w:val="-3"/>
          <w:w w:val="100"/>
        </w:rPr>
        <w:t>MR</w:t>
      </w:r>
      <w:r>
        <w:rPr>
          <w:w w:val="100"/>
        </w:rPr>
        <w:t>I）</w:t>
      </w:r>
      <w:r>
        <w:rPr>
          <w:spacing w:val="-3"/>
          <w:w w:val="100"/>
        </w:rPr>
        <w:t>或正电子发射断层扫描</w:t>
      </w:r>
    </w:p>
    <w:p>
      <w:pPr>
        <w:pStyle w:val="BodyText"/>
        <w:jc w:val="both"/>
      </w:pPr>
      <w:r>
        <w:rPr/>
        <w:t>（PET）等影像学检查证实。神经系统永久性的功能障碍，指脑损伤180天后，</w:t>
      </w:r>
    </w:p>
    <w:p>
      <w:pPr>
        <w:pStyle w:val="BodyText"/>
        <w:jc w:val="both"/>
      </w:pPr>
      <w:r>
        <w:rPr/>
        <w:t>仍遗留下列一种或一种以上障碍：  </w:t>
      </w:r>
    </w:p>
    <w:p>
      <w:pPr>
        <w:pStyle w:val="BodyText"/>
        <w:jc w:val="both"/>
      </w:pPr>
      <w:r>
        <w:rPr/>
        <w:t>（1）一肢或一肢以上肢体机能完全丧失；  </w:t>
      </w:r>
    </w:p>
    <w:p>
      <w:pPr>
        <w:pStyle w:val="BodyText"/>
        <w:jc w:val="both"/>
      </w:pPr>
      <w:r>
        <w:rPr/>
        <w:t>（2）语言能力或咀嚼吞咽能力完全丧失；  </w:t>
      </w:r>
    </w:p>
    <w:p>
      <w:pPr>
        <w:pStyle w:val="BodyText"/>
        <w:jc w:val="both"/>
      </w:pPr>
      <w:r>
        <w:rPr/>
        <w:t>（3）自主生活能力完全丧失，无法独立完成六项基本日常生活活动中的三项或</w:t>
      </w:r>
    </w:p>
    <w:p>
      <w:pPr>
        <w:pStyle w:val="BodyText"/>
        <w:ind w:left="2580"/>
      </w:pPr>
      <w:r>
        <w:rPr/>
        <w:t>三项以上。  </w:t>
      </w:r>
    </w:p>
    <w:p>
      <w:pPr>
        <w:pStyle w:val="BodyText"/>
        <w:jc w:val="both"/>
      </w:pPr>
      <w:r>
        <w:rPr/>
        <w:t>十九、严重帕金森病  </w:t>
      </w:r>
    </w:p>
    <w:p>
      <w:pPr>
        <w:pStyle w:val="BodyText"/>
        <w:jc w:val="both"/>
      </w:pPr>
      <w:r>
        <w:rPr/>
        <w:t>是一种中枢神经系统的退行性疾病，临床表现为震颤麻痹、共济失调等。须满</w:t>
      </w:r>
    </w:p>
    <w:p>
      <w:pPr>
        <w:pStyle w:val="BodyText"/>
        <w:jc w:val="both"/>
      </w:pPr>
      <w:r>
        <w:rPr/>
        <w:t>足下列全部条件：  </w:t>
      </w:r>
    </w:p>
    <w:p>
      <w:pPr>
        <w:pStyle w:val="BodyText"/>
        <w:jc w:val="both"/>
      </w:pPr>
      <w:r>
        <w:rPr/>
        <w:t>（1）药物治疗无法控制病情；  </w:t>
      </w:r>
    </w:p>
    <w:p>
      <w:pPr>
        <w:pStyle w:val="BodyText"/>
        <w:jc w:val="both"/>
      </w:pPr>
      <w:r>
        <w:rPr/>
        <w:t>（2）自主生活能力完全丧失，无法独立完成六项基本日常生活活动中的三项或</w:t>
      </w:r>
    </w:p>
    <w:p>
      <w:pPr>
        <w:pStyle w:val="BodyText"/>
        <w:ind w:left="2580"/>
      </w:pPr>
      <w:r>
        <w:rPr/>
        <w:t>三项以上。  </w:t>
      </w:r>
    </w:p>
    <w:p>
      <w:pPr>
        <w:pStyle w:val="BodyText"/>
        <w:jc w:val="both"/>
      </w:pPr>
      <w:r>
        <w:rPr/>
        <w:t>继发性帕金森综合征不在保障范围内。  </w:t>
      </w:r>
    </w:p>
    <w:p>
      <w:pPr>
        <w:pStyle w:val="BodyText"/>
        <w:jc w:val="both"/>
      </w:pPr>
      <w:r>
        <w:rPr/>
        <w:t>二十、严重Ⅲ度烧伤  </w:t>
      </w:r>
    </w:p>
    <w:p>
      <w:pPr>
        <w:pStyle w:val="BodyText"/>
        <w:spacing w:line="271" w:lineRule="exact"/>
        <w:jc w:val="both"/>
      </w:pPr>
      <w:r>
        <w:rPr/>
        <w:t>指烧伤程度为Ⅲ度，且Ⅲ度烧伤的面积达到全身体表面积的20％或20％以上。</w:t>
      </w:r>
    </w:p>
    <w:p>
      <w:pPr>
        <w:pStyle w:val="BodyText"/>
        <w:spacing w:line="240" w:lineRule="auto"/>
        <w:ind w:right="3583"/>
      </w:pPr>
      <w:r>
        <w:rPr>
          <w:spacing w:val="-3"/>
        </w:rPr>
        <w:t>体表面积根据《中国新九分法》计算。 二十一、严重原发性肺动脉高压  </w:t>
      </w:r>
    </w:p>
    <w:p>
      <w:pPr>
        <w:pStyle w:val="BodyText"/>
        <w:spacing w:line="237" w:lineRule="auto" w:before="1"/>
        <w:ind w:right="218"/>
        <w:jc w:val="both"/>
      </w:pPr>
      <w:r>
        <w:rPr/>
        <w:t>指不明原因的肺动脉压力持续性增高，进行性发展而导致的慢性疾病，已经造成永久不可逆性的体力活动能力受限，达到美国纽约心脏病学会心功能状态分级IV级，且静息状态下肺动脉平均压超过30mmHg。  </w:t>
      </w:r>
    </w:p>
    <w:p>
      <w:pPr>
        <w:pStyle w:val="BodyText"/>
      </w:pPr>
      <w:r>
        <w:rPr/>
        <w:t>二十二、严重运动神经元病  </w:t>
      </w:r>
    </w:p>
    <w:p>
      <w:pPr>
        <w:pStyle w:val="BodyText"/>
        <w:spacing w:line="237" w:lineRule="auto"/>
        <w:ind w:right="218"/>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  </w:t>
      </w:r>
    </w:p>
    <w:p>
      <w:pPr>
        <w:pStyle w:val="BodyText"/>
        <w:spacing w:line="271" w:lineRule="exact"/>
      </w:pPr>
      <w:r>
        <w:rPr/>
        <w:t>二十三、语言能力丧失  </w:t>
      </w:r>
    </w:p>
    <w:p>
      <w:pPr>
        <w:pStyle w:val="BodyText"/>
      </w:pPr>
      <w:r>
        <w:rPr/>
        <w:t>指因疾病或意外伤害导致完全丧失语言能力，经过积极治疗至少12个月（声带</w:t>
      </w:r>
    </w:p>
    <w:p>
      <w:pPr>
        <w:pStyle w:val="BodyText"/>
      </w:pPr>
      <w:r>
        <w:rPr>
          <w:spacing w:val="-3"/>
          <w:w w:val="100"/>
        </w:rPr>
        <w:t>完全切除不受此时间限制</w:t>
      </w:r>
      <w:r>
        <w:rPr>
          <w:spacing w:val="-108"/>
          <w:w w:val="100"/>
        </w:rPr>
        <w:t>）</w:t>
      </w:r>
      <w:r>
        <w:rPr>
          <w:spacing w:val="-3"/>
          <w:w w:val="100"/>
        </w:rPr>
        <w:t>，仍无法通过现有医疗手段恢复。  </w:t>
      </w:r>
    </w:p>
    <w:p>
      <w:pPr>
        <w:pStyle w:val="BodyText"/>
        <w:spacing w:line="237" w:lineRule="auto" w:before="3"/>
        <w:ind w:right="2323"/>
      </w:pPr>
      <w:r>
        <w:rPr>
          <w:spacing w:val="-3"/>
        </w:rPr>
        <w:t>精神心理因素所致的语言能力丧失不在保障范围内。 二十四、重型再生障碍性贫血  </w:t>
      </w:r>
    </w:p>
    <w:p>
      <w:pPr>
        <w:pStyle w:val="BodyText"/>
        <w:spacing w:line="237" w:lineRule="auto" w:before="1"/>
        <w:ind w:right="103"/>
      </w:pPr>
      <w:r>
        <w:rPr>
          <w:spacing w:val="-8"/>
        </w:rPr>
        <w:t>指因骨髓造血功能慢性持续性衰竭导致的贫血、中性粒细胞减少及血小板减少。</w:t>
      </w:r>
      <w:r>
        <w:rPr>
          <w:spacing w:val="-5"/>
        </w:rPr>
        <w:t>须满足下列全部条件：</w:t>
      </w:r>
      <w:r>
        <w:rPr>
          <w:spacing w:val="-3"/>
        </w:rPr>
        <w:t>  </w:t>
      </w:r>
    </w:p>
    <w:p>
      <w:pPr>
        <w:pStyle w:val="BodyText"/>
        <w:jc w:val="both"/>
      </w:pPr>
      <w:r>
        <w:rPr/>
        <w:t>（1）骨髓穿刺检查或骨髓活检结果支持诊断；  </w:t>
      </w:r>
    </w:p>
    <w:p>
      <w:pPr>
        <w:pStyle w:val="BodyText"/>
        <w:jc w:val="both"/>
      </w:pPr>
      <w:r>
        <w:rPr/>
        <w:t>（2）外周血象须具备以下三项条件：  </w:t>
      </w:r>
    </w:p>
    <w:p>
      <w:pPr>
        <w:pStyle w:val="BodyText"/>
        <w:ind w:left="2580"/>
      </w:pPr>
      <w:r>
        <w:rPr/>
        <w:t>① 中性粒细胞绝对值≤0.5×109/L ；  </w:t>
      </w:r>
    </w:p>
    <w:p>
      <w:pPr>
        <w:pStyle w:val="BodyText"/>
        <w:spacing w:line="271" w:lineRule="exact"/>
        <w:ind w:left="2580"/>
      </w:pPr>
      <w:r>
        <w:rPr/>
        <w:t>② 网织红细胞＜1%；  </w:t>
      </w:r>
    </w:p>
    <w:p>
      <w:pPr>
        <w:pStyle w:val="BodyText"/>
        <w:ind w:left="2580"/>
      </w:pPr>
      <w:r>
        <w:rPr/>
        <w:t>③ 血小板绝对值≤20×109/L。  </w:t>
      </w:r>
    </w:p>
    <w:p>
      <w:pPr>
        <w:pStyle w:val="BodyText"/>
        <w:jc w:val="both"/>
      </w:pPr>
      <w:r>
        <w:rPr/>
        <w:t>二十五、主动脉手术  </w:t>
      </w:r>
    </w:p>
    <w:p>
      <w:pPr>
        <w:pStyle w:val="BodyText"/>
        <w:spacing w:line="237" w:lineRule="auto"/>
        <w:ind w:right="218"/>
        <w:jc w:val="both"/>
      </w:pPr>
      <w:r>
        <w:rPr/>
        <w:t>指为治疗主动脉疾病，实际实施了开胸或开腹进行的切除、置换、修补病损主动脉血管的手术。主动脉指胸主动脉和腹主动脉，不包括胸主动脉和腹主动脉的分支血管。  </w:t>
      </w:r>
    </w:p>
    <w:p>
      <w:pPr>
        <w:pStyle w:val="BodyText"/>
        <w:jc w:val="both"/>
      </w:pPr>
      <w:r>
        <w:rPr/>
        <w:t>动脉内血管成形术不在保障范围内。 </w:t>
      </w:r>
    </w:p>
    <w:p>
      <w:pPr>
        <w:pStyle w:val="BodyText"/>
        <w:spacing w:line="273" w:lineRule="exact"/>
        <w:jc w:val="both"/>
      </w:pPr>
      <w:r>
        <w:rPr/>
        <w:t>二十六、多发性硬化症 </w:t>
      </w:r>
    </w:p>
    <w:p>
      <w:pPr>
        <w:pStyle w:val="BodyText"/>
        <w:spacing w:line="240" w:lineRule="auto" w:before="20"/>
        <w:jc w:val="both"/>
      </w:pPr>
      <w:r>
        <w:rPr/>
        <w:t>指因中枢神经系统脱髓鞘而导致的不可逆的身体部位的功能障碍，需由神经专</w:t>
      </w:r>
    </w:p>
    <w:p>
      <w:pPr>
        <w:pStyle w:val="BodyText"/>
        <w:spacing w:line="240" w:lineRule="auto" w:before="37"/>
        <w:jc w:val="both"/>
      </w:pPr>
      <w:r>
        <w:rPr/>
        <w:t>科医生提供确诊，并有计算机断层扫描（CT）或核磁共振（MRI）结果报告支持</w:t>
      </w:r>
    </w:p>
    <w:p>
      <w:pPr>
        <w:spacing w:after="0" w:line="240" w:lineRule="auto"/>
        <w:jc w:val="both"/>
        <w:sectPr>
          <w:pgSz w:w="11900" w:h="16840"/>
          <w:pgMar w:header="0" w:footer="676" w:top="1160" w:bottom="860" w:left="1680" w:right="800"/>
        </w:sectPr>
      </w:pPr>
    </w:p>
    <w:p>
      <w:pPr>
        <w:pStyle w:val="BodyText"/>
        <w:spacing w:line="240" w:lineRule="auto" w:before="9"/>
      </w:pPr>
      <w:r>
        <w:rPr/>
        <w:t>本诊断。此不可逆的身体部位功能障碍需持续 180 天以上。 </w:t>
      </w:r>
    </w:p>
    <w:p>
      <w:pPr>
        <w:pStyle w:val="BodyText"/>
        <w:spacing w:line="240" w:lineRule="auto" w:before="37"/>
      </w:pPr>
      <w:r>
        <w:rPr/>
        <w:t>由神经专科医生提供确诊必须包含下列内容： </w:t>
      </w:r>
    </w:p>
    <w:p>
      <w:pPr>
        <w:pStyle w:val="BodyText"/>
        <w:spacing w:line="240" w:lineRule="auto" w:before="37"/>
      </w:pPr>
      <w:r>
        <w:rPr/>
        <w:t>（1）明确出现因视神经、脑干或脊髓损伤而导致的临床表现； </w:t>
      </w:r>
    </w:p>
    <w:p>
      <w:pPr>
        <w:pStyle w:val="BodyText"/>
        <w:spacing w:line="240" w:lineRule="auto" w:before="37"/>
      </w:pPr>
      <w:r>
        <w:rPr/>
        <w:t>（2）散在的身体损伤的多样性； </w:t>
      </w:r>
    </w:p>
    <w:p>
      <w:pPr>
        <w:pStyle w:val="BodyText"/>
        <w:spacing w:line="240" w:lineRule="auto" w:before="15"/>
      </w:pPr>
      <w:r>
        <w:rPr/>
        <w:t>（3）有明确的上述症状及神经损伤反复恶化与减轻的病史记录。 </w:t>
      </w:r>
    </w:p>
    <w:p>
      <w:pPr>
        <w:pStyle w:val="BodyText"/>
        <w:spacing w:line="240" w:lineRule="auto" w:before="17"/>
      </w:pPr>
      <w:r>
        <w:rPr/>
        <w:t>二十七、严重狼疮性肾炎 </w:t>
      </w:r>
    </w:p>
    <w:p>
      <w:pPr>
        <w:pStyle w:val="BodyText"/>
        <w:spacing w:line="273" w:lineRule="auto" w:before="36"/>
        <w:ind w:right="103"/>
      </w:pPr>
      <w:r>
        <w:rPr>
          <w:spacing w:val="-3"/>
        </w:rPr>
        <w:t>狼疮性肾炎是系统性红斑狼疮的一种并发症。系统性红斑狼疮是由多种因素引</w:t>
      </w:r>
      <w:r>
        <w:rPr>
          <w:spacing w:val="-12"/>
        </w:rPr>
        <w:t>起，累及多系统的自身免疫性疾病，其特点是生成自身抗体对抗多种自身抗原。</w:t>
      </w:r>
      <w:r>
        <w:rPr>
          <w:spacing w:val="-6"/>
        </w:rPr>
        <w:t>狼疮性肾炎是指系统性红斑狼疮患者并发狼疮性肾炎而影响和损害肾脏功能。</w:t>
      </w:r>
      <w:r>
        <w:rPr>
          <w:spacing w:val="-3"/>
        </w:rPr>
        <w:t>世界卫生组织</w:t>
      </w:r>
      <w:r>
        <w:rPr>
          <w:spacing w:val="-1"/>
        </w:rPr>
        <w:t>（WHO）</w:t>
      </w:r>
      <w:r>
        <w:rPr>
          <w:spacing w:val="-3"/>
        </w:rPr>
        <w:t>对狼疮性肾炎分型如下：</w:t>
      </w:r>
      <w:r>
        <w:rPr/>
        <w:t> </w:t>
      </w:r>
    </w:p>
    <w:p>
      <w:pPr>
        <w:pStyle w:val="ListParagraph"/>
        <w:numPr>
          <w:ilvl w:val="0"/>
          <w:numId w:val="6"/>
        </w:numPr>
        <w:tabs>
          <w:tab w:pos="2213" w:val="left" w:leader="none"/>
        </w:tabs>
        <w:spacing w:line="240" w:lineRule="auto" w:before="7" w:after="0"/>
        <w:ind w:left="2212" w:right="0" w:hanging="158"/>
        <w:jc w:val="left"/>
        <w:rPr>
          <w:sz w:val="21"/>
        </w:rPr>
      </w:pPr>
      <w:r>
        <w:rPr>
          <w:spacing w:val="-1"/>
          <w:sz w:val="21"/>
        </w:rPr>
        <w:t>型</w:t>
      </w:r>
      <w:r>
        <w:rPr>
          <w:spacing w:val="-3"/>
          <w:sz w:val="21"/>
        </w:rPr>
        <w:t>（微小病变型</w:t>
      </w:r>
      <w:r>
        <w:rPr>
          <w:sz w:val="21"/>
        </w:rPr>
        <w:t>）</w:t>
      </w:r>
      <w:r>
        <w:rPr>
          <w:spacing w:val="-3"/>
          <w:sz w:val="21"/>
        </w:rPr>
        <w:t>：镜下阴性，尿液正常</w:t>
      </w:r>
      <w:r>
        <w:rPr>
          <w:sz w:val="21"/>
        </w:rPr>
        <w:t> </w:t>
      </w:r>
    </w:p>
    <w:p>
      <w:pPr>
        <w:pStyle w:val="ListParagraph"/>
        <w:numPr>
          <w:ilvl w:val="0"/>
          <w:numId w:val="6"/>
        </w:numPr>
        <w:tabs>
          <w:tab w:pos="2319" w:val="left" w:leader="none"/>
        </w:tabs>
        <w:spacing w:line="240" w:lineRule="auto" w:before="37" w:after="0"/>
        <w:ind w:left="2318" w:right="0" w:hanging="264"/>
        <w:jc w:val="left"/>
        <w:rPr>
          <w:sz w:val="21"/>
        </w:rPr>
      </w:pPr>
      <w:r>
        <w:rPr>
          <w:spacing w:val="-3"/>
          <w:sz w:val="21"/>
        </w:rPr>
        <w:t>型</w:t>
      </w:r>
      <w:r>
        <w:rPr>
          <w:sz w:val="21"/>
        </w:rPr>
        <w:t>（</w:t>
      </w:r>
      <w:r>
        <w:rPr>
          <w:spacing w:val="-3"/>
          <w:sz w:val="21"/>
        </w:rPr>
        <w:t>系膜病变型</w:t>
      </w:r>
      <w:r>
        <w:rPr>
          <w:sz w:val="21"/>
        </w:rPr>
        <w:t>）：</w:t>
      </w:r>
      <w:r>
        <w:rPr>
          <w:spacing w:val="-3"/>
          <w:sz w:val="21"/>
        </w:rPr>
        <w:t> 中度蛋白尿，偶有尿沉渣改变</w:t>
      </w:r>
      <w:r>
        <w:rPr>
          <w:sz w:val="21"/>
        </w:rPr>
        <w:t> </w:t>
      </w:r>
    </w:p>
    <w:p>
      <w:pPr>
        <w:pStyle w:val="ListParagraph"/>
        <w:numPr>
          <w:ilvl w:val="0"/>
          <w:numId w:val="6"/>
        </w:numPr>
        <w:tabs>
          <w:tab w:pos="2424" w:val="left" w:leader="none"/>
        </w:tabs>
        <w:spacing w:line="240" w:lineRule="auto" w:before="37" w:after="0"/>
        <w:ind w:left="2424" w:right="0" w:hanging="370"/>
        <w:jc w:val="left"/>
        <w:rPr>
          <w:sz w:val="21"/>
        </w:rPr>
      </w:pPr>
      <w:r>
        <w:rPr>
          <w:spacing w:val="-3"/>
          <w:sz w:val="21"/>
        </w:rPr>
        <w:t>型(局灶及节段增生型</w:t>
      </w:r>
      <w:r>
        <w:rPr>
          <w:sz w:val="21"/>
        </w:rPr>
        <w:t>）：</w:t>
      </w:r>
      <w:r>
        <w:rPr>
          <w:spacing w:val="-3"/>
          <w:sz w:val="21"/>
        </w:rPr>
        <w:t> 蛋白尿，尿沉渣改变</w:t>
      </w:r>
      <w:r>
        <w:rPr>
          <w:sz w:val="21"/>
        </w:rPr>
        <w:t> </w:t>
      </w:r>
    </w:p>
    <w:p>
      <w:pPr>
        <w:pStyle w:val="ListParagraph"/>
        <w:numPr>
          <w:ilvl w:val="0"/>
          <w:numId w:val="6"/>
        </w:numPr>
        <w:tabs>
          <w:tab w:pos="2319" w:val="left" w:leader="none"/>
        </w:tabs>
        <w:spacing w:line="240" w:lineRule="auto" w:before="37" w:after="0"/>
        <w:ind w:left="2318" w:right="0" w:hanging="264"/>
        <w:jc w:val="left"/>
        <w:rPr>
          <w:sz w:val="21"/>
        </w:rPr>
      </w:pPr>
      <w:r>
        <w:rPr>
          <w:spacing w:val="-3"/>
          <w:sz w:val="21"/>
        </w:rPr>
        <w:t>型</w:t>
      </w:r>
      <w:r>
        <w:rPr>
          <w:sz w:val="21"/>
        </w:rPr>
        <w:t>（</w:t>
      </w:r>
      <w:r>
        <w:rPr>
          <w:spacing w:val="-3"/>
          <w:sz w:val="21"/>
        </w:rPr>
        <w:t>弥漫增生型</w:t>
      </w:r>
      <w:r>
        <w:rPr>
          <w:sz w:val="21"/>
        </w:rPr>
        <w:t>）：</w:t>
      </w:r>
      <w:r>
        <w:rPr>
          <w:spacing w:val="-3"/>
          <w:sz w:val="21"/>
        </w:rPr>
        <w:t> 急性肾炎伴有尿沉渣改变及／或肾病综合征</w:t>
      </w:r>
      <w:r>
        <w:rPr>
          <w:sz w:val="21"/>
        </w:rPr>
        <w:t> </w:t>
      </w:r>
    </w:p>
    <w:p>
      <w:pPr>
        <w:pStyle w:val="ListParagraph"/>
        <w:numPr>
          <w:ilvl w:val="0"/>
          <w:numId w:val="6"/>
        </w:numPr>
        <w:tabs>
          <w:tab w:pos="2213" w:val="left" w:leader="none"/>
        </w:tabs>
        <w:spacing w:line="240" w:lineRule="auto" w:before="37" w:after="0"/>
        <w:ind w:left="2212" w:right="0" w:hanging="158"/>
        <w:jc w:val="left"/>
        <w:rPr>
          <w:sz w:val="21"/>
        </w:rPr>
      </w:pPr>
      <w:r>
        <w:rPr>
          <w:spacing w:val="-1"/>
          <w:sz w:val="21"/>
        </w:rPr>
        <w:t>型</w:t>
      </w:r>
      <w:r>
        <w:rPr>
          <w:spacing w:val="-3"/>
          <w:sz w:val="21"/>
        </w:rPr>
        <w:t>（</w:t>
      </w:r>
      <w:r>
        <w:rPr>
          <w:spacing w:val="-2"/>
          <w:sz w:val="21"/>
        </w:rPr>
        <w:t>膜型</w:t>
      </w:r>
      <w:r>
        <w:rPr>
          <w:spacing w:val="-1"/>
          <w:sz w:val="21"/>
        </w:rPr>
        <w:t>）</w:t>
      </w:r>
      <w:r>
        <w:rPr>
          <w:spacing w:val="-3"/>
          <w:sz w:val="21"/>
        </w:rPr>
        <w:t>：肾病综合征或重度蛋白尿</w:t>
      </w:r>
      <w:r>
        <w:rPr>
          <w:sz w:val="21"/>
        </w:rPr>
        <w:t> </w:t>
      </w:r>
    </w:p>
    <w:p>
      <w:pPr>
        <w:pStyle w:val="BodyText"/>
        <w:spacing w:line="240" w:lineRule="auto" w:before="37"/>
      </w:pPr>
      <w:r>
        <w:rPr/>
        <w:t>Ⅵ型（肾小球硬化型）：肾小球硬化成纤维团状，肾功能差，无法恢复 </w:t>
      </w:r>
    </w:p>
    <w:p>
      <w:pPr>
        <w:pStyle w:val="BodyText"/>
        <w:spacing w:line="237" w:lineRule="auto" w:before="18"/>
        <w:ind w:right="103"/>
      </w:pPr>
      <w:r>
        <w:rPr>
          <w:w w:val="100"/>
        </w:rPr>
        <w:t> </w:t>
      </w:r>
      <w:r>
        <w:rPr>
          <w:spacing w:val="-5"/>
        </w:rPr>
        <w:t>严重狼疮性肾炎是指经肾脏活检确认的，符合 </w:t>
      </w:r>
      <w:r>
        <w:rPr/>
        <w:t>WHO</w:t>
      </w:r>
      <w:r>
        <w:rPr>
          <w:spacing w:val="-12"/>
        </w:rPr>
        <w:t> 诊断标准定义 </w:t>
      </w:r>
      <w:r>
        <w:rPr/>
        <w:t>III</w:t>
      </w:r>
      <w:r>
        <w:rPr>
          <w:spacing w:val="-14"/>
        </w:rPr>
        <w:t> 型、</w:t>
      </w:r>
      <w:r>
        <w:rPr/>
        <w:t>IV 型、V</w:t>
      </w:r>
      <w:r>
        <w:rPr>
          <w:spacing w:val="-10"/>
        </w:rPr>
        <w:t> 型和Ⅵ型的狼疮性肾炎,且肌酐清除率持续低于 </w:t>
      </w:r>
      <w:r>
        <w:rPr/>
        <w:t>30ml/</w:t>
      </w:r>
      <w:r>
        <w:rPr>
          <w:spacing w:val="-3"/>
        </w:rPr>
        <w:t>分。其他类型的红</w:t>
      </w:r>
      <w:r>
        <w:rPr>
          <w:spacing w:val="-12"/>
        </w:rPr>
        <w:t>斑性狼疮，如盘状狼疮、仅累及血液及关节的狼疮不在本主险合同保障范围內。</w:t>
      </w:r>
      <w:r>
        <w:rPr>
          <w:spacing w:val="-6"/>
        </w:rPr>
        <w:t>本病必须由免疫和风湿科专科医生确诊。</w:t>
      </w:r>
      <w:r>
        <w:rPr/>
        <w:t> </w:t>
      </w:r>
    </w:p>
    <w:p>
      <w:pPr>
        <w:pStyle w:val="BodyText"/>
        <w:spacing w:line="271" w:lineRule="exact"/>
      </w:pPr>
      <w:r>
        <w:rPr/>
        <w:t>二十八、严重哮喘 </w:t>
      </w:r>
    </w:p>
    <w:p>
      <w:pPr>
        <w:pStyle w:val="BodyText"/>
        <w:spacing w:line="273" w:lineRule="auto" w:before="20"/>
        <w:ind w:right="215"/>
      </w:pPr>
      <w:r>
        <w:rPr/>
        <w:t>被保险人必须在过去两年内曾发生哮喘持续状态，并符合以下其中两项标准， 本公司才承担保险责任： </w:t>
      </w:r>
    </w:p>
    <w:p>
      <w:pPr>
        <w:pStyle w:val="BodyText"/>
        <w:spacing w:line="273" w:lineRule="auto" w:before="7"/>
        <w:ind w:right="1375"/>
      </w:pPr>
      <w:r>
        <w:rPr/>
        <w:t>(1) 运动耐受力永久并持续地减少并且轻微的运动能引起气促； (2) 长期胸腔过度膨胀而导致胸腔畸形； </w:t>
      </w:r>
    </w:p>
    <w:p>
      <w:pPr>
        <w:pStyle w:val="BodyText"/>
        <w:spacing w:line="240" w:lineRule="auto" w:before="7"/>
      </w:pPr>
      <w:r>
        <w:rPr/>
        <w:t>(3) 在家及在静息状态下需要吸氧； </w:t>
      </w:r>
    </w:p>
    <w:p>
      <w:pPr>
        <w:pStyle w:val="BodyText"/>
        <w:spacing w:line="273" w:lineRule="exact" w:before="15"/>
      </w:pPr>
      <w:r>
        <w:rPr/>
        <w:t>(4) 持续的每天服用类固醇药物(至少持续六个月以上)。 </w:t>
      </w:r>
    </w:p>
    <w:p>
      <w:pPr>
        <w:pStyle w:val="BodyText"/>
      </w:pPr>
      <w:r>
        <w:rPr/>
        <w:t>二十九、胰岛素依赖型糖尿病（Ⅰ型糖尿病） </w:t>
      </w:r>
    </w:p>
    <w:p>
      <w:pPr>
        <w:pStyle w:val="BodyText"/>
        <w:spacing w:line="237" w:lineRule="auto" w:before="2"/>
        <w:ind w:right="242"/>
        <w:jc w:val="both"/>
      </w:pPr>
      <w:r>
        <w:rPr>
          <w:spacing w:val="-4"/>
        </w:rPr>
        <w:t>是由于胰岛素分泌绝对不足引起的慢性血糖升高，并需持续性地依赖外源性胰</w:t>
      </w:r>
      <w:r>
        <w:rPr>
          <w:spacing w:val="-9"/>
        </w:rPr>
        <w:t>岛素维持 </w:t>
      </w:r>
      <w:r>
        <w:rPr/>
        <w:t>180</w:t>
      </w:r>
      <w:r>
        <w:rPr>
          <w:spacing w:val="-7"/>
        </w:rPr>
        <w:t> 天以上，须经血胰岛素测定和血</w:t>
      </w:r>
      <w:r>
        <w:rPr/>
        <w:t>（</w:t>
      </w:r>
      <w:r>
        <w:rPr>
          <w:spacing w:val="-3"/>
        </w:rPr>
        <w:t>尿</w:t>
      </w:r>
      <w:r>
        <w:rPr/>
        <w:t>）C</w:t>
      </w:r>
      <w:r>
        <w:rPr>
          <w:spacing w:val="-7"/>
        </w:rPr>
        <w:t> 肽测定，结果异常，由</w:t>
      </w:r>
      <w:r>
        <w:rPr>
          <w:spacing w:val="-5"/>
        </w:rPr>
        <w:t>内分泌专科医生确诊，并在本主险合同有效期内，满足下述至少一个条件：</w:t>
      </w:r>
      <w:r>
        <w:rPr/>
        <w:t> </w:t>
      </w:r>
    </w:p>
    <w:p>
      <w:pPr>
        <w:pStyle w:val="BodyText"/>
        <w:spacing w:line="240" w:lineRule="auto" w:before="18"/>
      </w:pPr>
      <w:r>
        <w:rPr/>
        <w:t>（1）已出现增殖性视网膜病变； </w:t>
      </w:r>
    </w:p>
    <w:p>
      <w:pPr>
        <w:pStyle w:val="BodyText"/>
        <w:spacing w:line="240" w:lineRule="auto" w:before="37"/>
      </w:pPr>
      <w:r>
        <w:rPr/>
        <w:t>（2）须植入心脏起搏器治疗心脏病； </w:t>
      </w:r>
    </w:p>
    <w:p>
      <w:pPr>
        <w:pStyle w:val="BodyText"/>
        <w:spacing w:line="240" w:lineRule="auto" w:before="15"/>
      </w:pPr>
      <w:r>
        <w:rPr/>
        <w:t>（3）因坏疽需切除一只或以上脚趾。 </w:t>
      </w:r>
    </w:p>
    <w:p>
      <w:pPr>
        <w:pStyle w:val="BodyText"/>
        <w:spacing w:line="240" w:lineRule="auto" w:before="20"/>
      </w:pPr>
      <w:r>
        <w:rPr/>
        <w:t>三十、植物人状态 </w:t>
      </w:r>
    </w:p>
    <w:p>
      <w:pPr>
        <w:pStyle w:val="BodyText"/>
        <w:spacing w:line="273" w:lineRule="auto" w:before="37"/>
        <w:ind w:right="103"/>
      </w:pPr>
      <w:r>
        <w:rPr>
          <w:spacing w:val="-3"/>
        </w:rPr>
        <w:t>一种丧失生理、意识和交流功能后的临床依赖状态。可以是由脑外伤、缺氧持</w:t>
      </w:r>
      <w:r>
        <w:rPr>
          <w:spacing w:val="-12"/>
        </w:rPr>
        <w:t>续状态、严重的脑炎或某种神经毒素造成。患者无法从事主动或有目的的活动， </w:t>
      </w:r>
      <w:r>
        <w:rPr>
          <w:spacing w:val="-7"/>
        </w:rPr>
        <w:t>而只能对疼痛刺激产生反应。被保险人需要在我们认可的医疗机构使用辅助机</w:t>
      </w:r>
      <w:r>
        <w:rPr>
          <w:spacing w:val="-14"/>
        </w:rPr>
        <w:t>器维持生命。申请理赔需被保险人因植物人状态住院 </w:t>
      </w:r>
      <w:r>
        <w:rPr/>
        <w:t>30</w:t>
      </w:r>
      <w:r>
        <w:rPr>
          <w:spacing w:val="-8"/>
        </w:rPr>
        <w:t> 天以上并且必须有神经</w:t>
      </w:r>
      <w:r>
        <w:rPr>
          <w:spacing w:val="-5"/>
        </w:rPr>
        <w:t>专科医生的医学诊断证明。 </w:t>
      </w:r>
    </w:p>
    <w:p>
      <w:pPr>
        <w:pStyle w:val="BodyText"/>
        <w:spacing w:line="259" w:lineRule="exact"/>
      </w:pPr>
      <w:r>
        <w:rPr/>
        <w:t>由于酗酒或滥用药物所致的植物人状态除外。 </w:t>
      </w:r>
    </w:p>
    <w:p>
      <w:pPr>
        <w:pStyle w:val="BodyText"/>
      </w:pPr>
      <w:r>
        <w:rPr/>
        <w:t>三十一、慢性呼吸功能衰竭 </w:t>
      </w:r>
    </w:p>
    <w:p>
      <w:pPr>
        <w:pStyle w:val="BodyText"/>
        <w:spacing w:line="237" w:lineRule="auto" w:before="2"/>
        <w:ind w:right="218"/>
      </w:pPr>
      <w:r>
        <w:rPr/>
        <w:t>指因慢性呼吸系统疾病导致呼吸功能衰竭，且诊断必须满足以下所有条件： (1) 第一秒末用力呼气量（FEV1）小于 1 升； </w:t>
      </w:r>
    </w:p>
    <w:p>
      <w:pPr>
        <w:pStyle w:val="BodyText"/>
        <w:spacing w:line="237" w:lineRule="auto" w:before="1"/>
        <w:ind w:right="2661"/>
      </w:pPr>
      <w:r>
        <w:rPr/>
        <w:t>(2) 气道内阻力增加，至少达到 0.5 kPa/l/s； (3) 残气容积占肺总量(TLC)的 60%以上； </w:t>
      </w:r>
    </w:p>
    <w:p>
      <w:pPr>
        <w:pStyle w:val="BodyText"/>
        <w:spacing w:line="237" w:lineRule="auto" w:before="1"/>
        <w:ind w:right="2375"/>
      </w:pPr>
      <w:r>
        <w:rPr/>
        <w:t>(4) 胸内气体容积升高，超过 170 (基值的百分比)； (5) PaO2&lt;60mmHg，PaCO2&gt;50mmHg。 </w:t>
      </w:r>
    </w:p>
    <w:p>
      <w:pPr>
        <w:spacing w:after="0" w:line="237" w:lineRule="auto"/>
        <w:sectPr>
          <w:footerReference w:type="default" r:id="rId10"/>
          <w:pgSz w:w="11900" w:h="16840"/>
          <w:pgMar w:footer="676" w:header="0" w:top="1180" w:bottom="860" w:left="1680" w:right="800"/>
          <w:pgNumType w:start="1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
        <w:gridCol w:w="1579"/>
        <w:gridCol w:w="7867"/>
      </w:tblGrid>
      <w:tr>
        <w:trPr>
          <w:trHeight w:val="241" w:hRule="atLeast"/>
        </w:trPr>
        <w:tc>
          <w:tcPr>
            <w:tcW w:w="2208" w:type="dxa"/>
            <w:gridSpan w:val="2"/>
            <w:vMerge w:val="restart"/>
          </w:tcPr>
          <w:p>
            <w:pPr>
              <w:pStyle w:val="TableParagraph"/>
              <w:rPr>
                <w:rFonts w:ascii="Times New Roman"/>
                <w:sz w:val="20"/>
              </w:rPr>
            </w:pPr>
          </w:p>
        </w:tc>
        <w:tc>
          <w:tcPr>
            <w:tcW w:w="7867" w:type="dxa"/>
          </w:tcPr>
          <w:p>
            <w:pPr>
              <w:pStyle w:val="TableParagraph"/>
              <w:spacing w:line="202" w:lineRule="exact"/>
              <w:ind w:left="556"/>
              <w:rPr>
                <w:sz w:val="21"/>
              </w:rPr>
            </w:pPr>
            <w:r>
              <w:rPr>
                <w:sz w:val="21"/>
              </w:rPr>
              <w:t>三十二、严重的原发性心肌病 </w:t>
            </w:r>
          </w:p>
        </w:tc>
      </w:tr>
      <w:tr>
        <w:trPr>
          <w:trHeight w:val="272" w:hRule="atLeast"/>
        </w:trPr>
        <w:tc>
          <w:tcPr>
            <w:tcW w:w="2208" w:type="dxa"/>
            <w:gridSpan w:val="2"/>
            <w:vMerge/>
            <w:tcBorders>
              <w:top w:val="nil"/>
            </w:tcBorders>
          </w:tcPr>
          <w:p>
            <w:pPr>
              <w:rPr>
                <w:sz w:val="2"/>
                <w:szCs w:val="2"/>
              </w:rPr>
            </w:pPr>
          </w:p>
        </w:tc>
        <w:tc>
          <w:tcPr>
            <w:tcW w:w="7867" w:type="dxa"/>
          </w:tcPr>
          <w:p>
            <w:pPr>
              <w:pStyle w:val="TableParagraph"/>
              <w:spacing w:line="232" w:lineRule="exact"/>
              <w:ind w:left="568"/>
              <w:rPr>
                <w:sz w:val="21"/>
              </w:rPr>
            </w:pPr>
            <w:r>
              <w:rPr>
                <w:sz w:val="21"/>
              </w:rPr>
              <w:t>指不明原因引起的一类心肌病变，包括原发性扩张型心肌病、原发性肥厚型心</w:t>
            </w:r>
          </w:p>
        </w:tc>
      </w:tr>
      <w:tr>
        <w:trPr>
          <w:trHeight w:val="272" w:hRule="atLeast"/>
        </w:trPr>
        <w:tc>
          <w:tcPr>
            <w:tcW w:w="2208" w:type="dxa"/>
            <w:gridSpan w:val="2"/>
            <w:vMerge/>
            <w:tcBorders>
              <w:top w:val="nil"/>
            </w:tcBorders>
          </w:tcPr>
          <w:p>
            <w:pPr>
              <w:rPr>
                <w:sz w:val="2"/>
                <w:szCs w:val="2"/>
              </w:rPr>
            </w:pPr>
          </w:p>
        </w:tc>
        <w:tc>
          <w:tcPr>
            <w:tcW w:w="7867" w:type="dxa"/>
          </w:tcPr>
          <w:p>
            <w:pPr>
              <w:pStyle w:val="TableParagraph"/>
              <w:spacing w:line="234" w:lineRule="exact"/>
              <w:ind w:left="556"/>
              <w:rPr>
                <w:sz w:val="21"/>
              </w:rPr>
            </w:pPr>
            <w:r>
              <w:rPr>
                <w:sz w:val="21"/>
              </w:rPr>
              <w:t>肌病及原发性限制型心肌病三种，本病须经专科医生明确诊断，且病变必须已</w:t>
            </w:r>
          </w:p>
        </w:tc>
      </w:tr>
      <w:tr>
        <w:trPr>
          <w:trHeight w:val="272" w:hRule="atLeast"/>
        </w:trPr>
        <w:tc>
          <w:tcPr>
            <w:tcW w:w="2208" w:type="dxa"/>
            <w:gridSpan w:val="2"/>
            <w:vMerge/>
            <w:tcBorders>
              <w:top w:val="nil"/>
            </w:tcBorders>
          </w:tcPr>
          <w:p>
            <w:pPr>
              <w:rPr>
                <w:sz w:val="2"/>
                <w:szCs w:val="2"/>
              </w:rPr>
            </w:pPr>
          </w:p>
        </w:tc>
        <w:tc>
          <w:tcPr>
            <w:tcW w:w="7867" w:type="dxa"/>
          </w:tcPr>
          <w:p>
            <w:pPr>
              <w:pStyle w:val="TableParagraph"/>
              <w:spacing w:line="232" w:lineRule="exact"/>
              <w:ind w:left="556"/>
              <w:rPr>
                <w:sz w:val="21"/>
              </w:rPr>
            </w:pPr>
            <w:r>
              <w:rPr>
                <w:sz w:val="21"/>
              </w:rPr>
              <w:t>造成事实上心室功能障碍而出现明显的心功能衰竭（指按照美国纽约心脏协会</w:t>
            </w:r>
          </w:p>
        </w:tc>
      </w:tr>
      <w:tr>
        <w:trPr>
          <w:trHeight w:val="272" w:hRule="atLeast"/>
        </w:trPr>
        <w:tc>
          <w:tcPr>
            <w:tcW w:w="2208" w:type="dxa"/>
            <w:gridSpan w:val="2"/>
            <w:vMerge/>
            <w:tcBorders>
              <w:top w:val="nil"/>
            </w:tcBorders>
          </w:tcPr>
          <w:p>
            <w:pPr>
              <w:rPr>
                <w:sz w:val="2"/>
                <w:szCs w:val="2"/>
              </w:rPr>
            </w:pPr>
          </w:p>
        </w:tc>
        <w:tc>
          <w:tcPr>
            <w:tcW w:w="7867" w:type="dxa"/>
          </w:tcPr>
          <w:p>
            <w:pPr>
              <w:pStyle w:val="TableParagraph"/>
              <w:spacing w:line="234" w:lineRule="exact"/>
              <w:ind w:left="556"/>
              <w:rPr>
                <w:sz w:val="21"/>
              </w:rPr>
            </w:pPr>
            <w:r>
              <w:rPr>
                <w:spacing w:val="-3"/>
                <w:w w:val="100"/>
                <w:sz w:val="21"/>
              </w:rPr>
              <w:t>心功能分类标准心功能达四级</w:t>
            </w:r>
            <w:r>
              <w:rPr>
                <w:w w:val="100"/>
                <w:sz w:val="21"/>
              </w:rPr>
              <w:t>*</w:t>
            </w:r>
            <w:r>
              <w:rPr>
                <w:spacing w:val="-106"/>
                <w:w w:val="100"/>
                <w:sz w:val="21"/>
              </w:rPr>
              <w:t>）</w:t>
            </w:r>
            <w:r>
              <w:rPr>
                <w:spacing w:val="-3"/>
                <w:w w:val="100"/>
                <w:sz w:val="21"/>
              </w:rPr>
              <w:t>，且有相关住院医疗记录显示四级心功能衰竭</w:t>
            </w:r>
          </w:p>
        </w:tc>
      </w:tr>
      <w:tr>
        <w:trPr>
          <w:trHeight w:val="272" w:hRule="atLeast"/>
        </w:trPr>
        <w:tc>
          <w:tcPr>
            <w:tcW w:w="2208" w:type="dxa"/>
            <w:gridSpan w:val="2"/>
            <w:vMerge/>
            <w:tcBorders>
              <w:top w:val="nil"/>
            </w:tcBorders>
          </w:tcPr>
          <w:p>
            <w:pPr>
              <w:rPr>
                <w:sz w:val="2"/>
                <w:szCs w:val="2"/>
              </w:rPr>
            </w:pPr>
          </w:p>
        </w:tc>
        <w:tc>
          <w:tcPr>
            <w:tcW w:w="7867" w:type="dxa"/>
          </w:tcPr>
          <w:p>
            <w:pPr>
              <w:pStyle w:val="TableParagraph"/>
              <w:spacing w:line="232" w:lineRule="exact"/>
              <w:ind w:left="556"/>
              <w:rPr>
                <w:sz w:val="21"/>
              </w:rPr>
            </w:pPr>
            <w:r>
              <w:rPr>
                <w:sz w:val="21"/>
              </w:rPr>
              <w:t>状态持续至少 180 天。继发于全身性疾病或其它器官系统疾病造成的心肌病变</w:t>
            </w:r>
          </w:p>
        </w:tc>
      </w:tr>
      <w:tr>
        <w:trPr>
          <w:trHeight w:val="272" w:hRule="atLeast"/>
        </w:trPr>
        <w:tc>
          <w:tcPr>
            <w:tcW w:w="2208" w:type="dxa"/>
            <w:gridSpan w:val="2"/>
            <w:vMerge/>
            <w:tcBorders>
              <w:top w:val="nil"/>
            </w:tcBorders>
          </w:tcPr>
          <w:p>
            <w:pPr>
              <w:rPr>
                <w:sz w:val="2"/>
                <w:szCs w:val="2"/>
              </w:rPr>
            </w:pPr>
          </w:p>
        </w:tc>
        <w:tc>
          <w:tcPr>
            <w:tcW w:w="7867" w:type="dxa"/>
          </w:tcPr>
          <w:p>
            <w:pPr>
              <w:pStyle w:val="TableParagraph"/>
              <w:spacing w:line="234" w:lineRule="exact"/>
              <w:ind w:left="556"/>
              <w:rPr>
                <w:sz w:val="21"/>
              </w:rPr>
            </w:pPr>
            <w:r>
              <w:rPr>
                <w:sz w:val="21"/>
              </w:rPr>
              <w:t>不在保障范围内。 </w:t>
            </w:r>
          </w:p>
        </w:tc>
      </w:tr>
      <w:tr>
        <w:trPr>
          <w:trHeight w:val="272" w:hRule="atLeast"/>
        </w:trPr>
        <w:tc>
          <w:tcPr>
            <w:tcW w:w="2208" w:type="dxa"/>
            <w:gridSpan w:val="2"/>
            <w:vMerge/>
            <w:tcBorders>
              <w:top w:val="nil"/>
            </w:tcBorders>
          </w:tcPr>
          <w:p>
            <w:pPr>
              <w:rPr>
                <w:sz w:val="2"/>
                <w:szCs w:val="2"/>
              </w:rPr>
            </w:pPr>
          </w:p>
        </w:tc>
        <w:tc>
          <w:tcPr>
            <w:tcW w:w="7867" w:type="dxa"/>
          </w:tcPr>
          <w:p>
            <w:pPr>
              <w:pStyle w:val="TableParagraph"/>
              <w:spacing w:line="232" w:lineRule="exact"/>
              <w:ind w:left="568"/>
              <w:rPr>
                <w:sz w:val="21"/>
              </w:rPr>
            </w:pPr>
            <w:r>
              <w:rPr>
                <w:sz w:val="21"/>
              </w:rPr>
              <w:t>*美国纽约心脏协会分类标准心功能四级是指有医院的医疗记录显示病人不能 </w:t>
            </w:r>
          </w:p>
        </w:tc>
      </w:tr>
      <w:tr>
        <w:trPr>
          <w:trHeight w:val="283" w:hRule="atLeast"/>
        </w:trPr>
        <w:tc>
          <w:tcPr>
            <w:tcW w:w="2208" w:type="dxa"/>
            <w:gridSpan w:val="2"/>
            <w:vMerge/>
            <w:tcBorders>
              <w:top w:val="nil"/>
            </w:tcBorders>
          </w:tcPr>
          <w:p>
            <w:pPr>
              <w:rPr>
                <w:sz w:val="2"/>
                <w:szCs w:val="2"/>
              </w:rPr>
            </w:pPr>
          </w:p>
        </w:tc>
        <w:tc>
          <w:tcPr>
            <w:tcW w:w="7867" w:type="dxa"/>
          </w:tcPr>
          <w:p>
            <w:pPr>
              <w:pStyle w:val="TableParagraph"/>
              <w:spacing w:line="234" w:lineRule="exact"/>
              <w:ind w:left="568"/>
              <w:rPr>
                <w:sz w:val="21"/>
              </w:rPr>
            </w:pPr>
            <w:r>
              <w:rPr>
                <w:sz w:val="21"/>
              </w:rPr>
              <w:t>进行任何活动，休息时仍有心悸、呼吸困难等心力衰竭表现。 </w:t>
            </w:r>
          </w:p>
        </w:tc>
      </w:tr>
      <w:tr>
        <w:trPr>
          <w:trHeight w:val="302" w:hRule="atLeast"/>
        </w:trPr>
        <w:tc>
          <w:tcPr>
            <w:tcW w:w="2208" w:type="dxa"/>
            <w:gridSpan w:val="2"/>
            <w:vMerge/>
            <w:tcBorders>
              <w:top w:val="nil"/>
            </w:tcBorders>
          </w:tcPr>
          <w:p>
            <w:pPr>
              <w:rPr>
                <w:sz w:val="2"/>
                <w:szCs w:val="2"/>
              </w:rPr>
            </w:pPr>
          </w:p>
        </w:tc>
        <w:tc>
          <w:tcPr>
            <w:tcW w:w="7867" w:type="dxa"/>
          </w:tcPr>
          <w:p>
            <w:pPr>
              <w:pStyle w:val="TableParagraph"/>
              <w:spacing w:line="243" w:lineRule="exact"/>
              <w:ind w:left="556"/>
              <w:rPr>
                <w:sz w:val="21"/>
              </w:rPr>
            </w:pPr>
            <w:r>
              <w:rPr>
                <w:sz w:val="21"/>
              </w:rPr>
              <w:t>三十三、重症肌无力 </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是指一种神经与肌肉接头部位传递障碍的自身免疫性疾病，临床特征是局部或</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pacing w:val="-8"/>
                <w:sz w:val="21"/>
              </w:rPr>
              <w:t>全身横纹肌于活动时易于疲劳无力，颅神经眼外肌最易累及，也可涉及呼吸肌、</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下肢近端肌群乃至全身肌肉，须经神经专科医生确诊。其诊断必须同时具有下</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列情况： </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（1）经药物、胸腺手术治疗一年以上无法控制病情，丧失正常工作能力； </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（2）出现眼睑下垂，或延髓肌受累引起的构音困难、进食呛咳，或由于肌无力</w:t>
            </w:r>
          </w:p>
        </w:tc>
      </w:tr>
      <w:tr>
        <w:trPr>
          <w:trHeight w:val="301"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累及延髓肌、呼吸肌而致机体呼吸功能不正常的危急状态即肌无力危象； </w:t>
            </w:r>
          </w:p>
        </w:tc>
      </w:tr>
      <w:tr>
        <w:trPr>
          <w:trHeight w:val="281" w:hRule="atLeast"/>
        </w:trPr>
        <w:tc>
          <w:tcPr>
            <w:tcW w:w="2208" w:type="dxa"/>
            <w:gridSpan w:val="2"/>
            <w:vMerge/>
            <w:tcBorders>
              <w:top w:val="nil"/>
            </w:tcBorders>
          </w:tcPr>
          <w:p>
            <w:pPr>
              <w:rPr>
                <w:sz w:val="2"/>
                <w:szCs w:val="2"/>
              </w:rPr>
            </w:pPr>
          </w:p>
        </w:tc>
        <w:tc>
          <w:tcPr>
            <w:tcW w:w="7867" w:type="dxa"/>
          </w:tcPr>
          <w:p>
            <w:pPr>
              <w:pStyle w:val="TableParagraph"/>
              <w:spacing w:line="242" w:lineRule="exact"/>
              <w:ind w:left="556"/>
              <w:rPr>
                <w:sz w:val="21"/>
              </w:rPr>
            </w:pPr>
            <w:r>
              <w:rPr>
                <w:sz w:val="21"/>
              </w:rPr>
              <w:t>（3） 症状缓解、复发及恶化交替出现，临床接受新斯的明等抗胆碱酯酶药物</w:t>
            </w:r>
          </w:p>
        </w:tc>
      </w:tr>
      <w:tr>
        <w:trPr>
          <w:trHeight w:val="272" w:hRule="atLeast"/>
        </w:trPr>
        <w:tc>
          <w:tcPr>
            <w:tcW w:w="2208" w:type="dxa"/>
            <w:gridSpan w:val="2"/>
            <w:vMerge/>
            <w:tcBorders>
              <w:top w:val="nil"/>
            </w:tcBorders>
          </w:tcPr>
          <w:p>
            <w:pPr>
              <w:rPr>
                <w:sz w:val="2"/>
                <w:szCs w:val="2"/>
              </w:rPr>
            </w:pPr>
          </w:p>
        </w:tc>
        <w:tc>
          <w:tcPr>
            <w:tcW w:w="7867" w:type="dxa"/>
          </w:tcPr>
          <w:p>
            <w:pPr>
              <w:pStyle w:val="TableParagraph"/>
              <w:spacing w:line="234" w:lineRule="exact"/>
              <w:ind w:left="556"/>
              <w:rPr>
                <w:sz w:val="21"/>
              </w:rPr>
            </w:pPr>
            <w:r>
              <w:rPr>
                <w:sz w:val="21"/>
              </w:rPr>
              <w:t>治疗的病史。 </w:t>
            </w:r>
          </w:p>
        </w:tc>
      </w:tr>
      <w:tr>
        <w:trPr>
          <w:trHeight w:val="283" w:hRule="atLeast"/>
        </w:trPr>
        <w:tc>
          <w:tcPr>
            <w:tcW w:w="2208" w:type="dxa"/>
            <w:gridSpan w:val="2"/>
            <w:vMerge/>
            <w:tcBorders>
              <w:top w:val="nil"/>
            </w:tcBorders>
          </w:tcPr>
          <w:p>
            <w:pPr>
              <w:rPr>
                <w:sz w:val="2"/>
                <w:szCs w:val="2"/>
              </w:rPr>
            </w:pPr>
          </w:p>
        </w:tc>
        <w:tc>
          <w:tcPr>
            <w:tcW w:w="7867" w:type="dxa"/>
          </w:tcPr>
          <w:p>
            <w:pPr>
              <w:pStyle w:val="TableParagraph"/>
              <w:spacing w:line="232" w:lineRule="exact"/>
              <w:ind w:left="556"/>
              <w:rPr>
                <w:sz w:val="21"/>
              </w:rPr>
            </w:pPr>
            <w:r>
              <w:rPr>
                <w:sz w:val="21"/>
              </w:rPr>
              <w:t>三十四、经输血导致的人类免疫缺陷病毒（HIV）感染 </w:t>
            </w:r>
          </w:p>
        </w:tc>
      </w:tr>
      <w:tr>
        <w:trPr>
          <w:trHeight w:val="303" w:hRule="atLeast"/>
        </w:trPr>
        <w:tc>
          <w:tcPr>
            <w:tcW w:w="2208" w:type="dxa"/>
            <w:gridSpan w:val="2"/>
            <w:vMerge/>
            <w:tcBorders>
              <w:top w:val="nil"/>
            </w:tcBorders>
          </w:tcPr>
          <w:p>
            <w:pPr>
              <w:rPr>
                <w:sz w:val="2"/>
                <w:szCs w:val="2"/>
              </w:rPr>
            </w:pPr>
          </w:p>
        </w:tc>
        <w:tc>
          <w:tcPr>
            <w:tcW w:w="7867" w:type="dxa"/>
          </w:tcPr>
          <w:p>
            <w:pPr>
              <w:pStyle w:val="TableParagraph"/>
              <w:spacing w:line="244" w:lineRule="exact"/>
              <w:ind w:left="556"/>
              <w:rPr>
                <w:sz w:val="21"/>
              </w:rPr>
            </w:pPr>
            <w:r>
              <w:rPr>
                <w:sz w:val="21"/>
              </w:rPr>
              <w:t>是指被保险人感染上人类免疫缺陷病毒并且符合下列所有条件： </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（1）在本主险合同生效或最后复效日（以较迟者为准）之后，被保险人因治疗</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必需而接受输血，并且因输血而感染人类免疫缺陷病毒； </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（2）提供输血治疗的输血中心或医院出具该项输血感染属医疗责任事故的报</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告，或者法院终审裁定为医疗责任并且不准上诉； </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（3）提供输血治疗的输血中心或医院必须拥有合法经营执照； </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（4）受感染的被保险人不是血友病患者； </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在任何治愈艾滋病或阻止人类免疫缺陷病毒病毒作用的疗法被发现以后，或能</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防止艾滋病发生的医疗方法被研究出来以后，本保障将不再予以赔付。 </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任何因其他传播方式（包括：性传播或静脉注射毒品）导致的人类免疫缺陷病</w:t>
            </w:r>
          </w:p>
        </w:tc>
      </w:tr>
      <w:tr>
        <w:trPr>
          <w:trHeight w:val="301"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毒感染不在本合同保障范围内。 </w:t>
            </w:r>
          </w:p>
        </w:tc>
      </w:tr>
      <w:tr>
        <w:trPr>
          <w:trHeight w:val="280" w:hRule="atLeast"/>
        </w:trPr>
        <w:tc>
          <w:tcPr>
            <w:tcW w:w="2208" w:type="dxa"/>
            <w:gridSpan w:val="2"/>
            <w:vMerge/>
            <w:tcBorders>
              <w:top w:val="nil"/>
            </w:tcBorders>
          </w:tcPr>
          <w:p>
            <w:pPr>
              <w:rPr>
                <w:sz w:val="2"/>
                <w:szCs w:val="2"/>
              </w:rPr>
            </w:pPr>
          </w:p>
        </w:tc>
        <w:tc>
          <w:tcPr>
            <w:tcW w:w="7867" w:type="dxa"/>
          </w:tcPr>
          <w:p>
            <w:pPr>
              <w:pStyle w:val="TableParagraph"/>
              <w:spacing w:line="242" w:lineRule="exact"/>
              <w:ind w:left="556"/>
              <w:rPr>
                <w:sz w:val="21"/>
              </w:rPr>
            </w:pPr>
            <w:r>
              <w:rPr>
                <w:sz w:val="21"/>
              </w:rPr>
              <w:t>保险公司必须拥有获得使用被保险人的血液样本的权利和能够对这些样本进行</w:t>
            </w:r>
          </w:p>
        </w:tc>
      </w:tr>
      <w:tr>
        <w:trPr>
          <w:trHeight w:val="283" w:hRule="atLeast"/>
        </w:trPr>
        <w:tc>
          <w:tcPr>
            <w:tcW w:w="2208" w:type="dxa"/>
            <w:gridSpan w:val="2"/>
            <w:vMerge/>
            <w:tcBorders>
              <w:top w:val="nil"/>
            </w:tcBorders>
          </w:tcPr>
          <w:p>
            <w:pPr>
              <w:rPr>
                <w:sz w:val="2"/>
                <w:szCs w:val="2"/>
              </w:rPr>
            </w:pPr>
          </w:p>
        </w:tc>
        <w:tc>
          <w:tcPr>
            <w:tcW w:w="7867" w:type="dxa"/>
          </w:tcPr>
          <w:p>
            <w:pPr>
              <w:pStyle w:val="TableParagraph"/>
              <w:spacing w:line="232" w:lineRule="exact"/>
              <w:ind w:left="556"/>
              <w:rPr>
                <w:sz w:val="21"/>
              </w:rPr>
            </w:pPr>
            <w:r>
              <w:rPr>
                <w:sz w:val="21"/>
              </w:rPr>
              <w:t>独立检验的权利。 </w:t>
            </w:r>
          </w:p>
        </w:tc>
      </w:tr>
      <w:tr>
        <w:trPr>
          <w:trHeight w:val="292" w:hRule="atLeast"/>
        </w:trPr>
        <w:tc>
          <w:tcPr>
            <w:tcW w:w="2208" w:type="dxa"/>
            <w:gridSpan w:val="2"/>
            <w:vMerge/>
            <w:tcBorders>
              <w:top w:val="nil"/>
            </w:tcBorders>
          </w:tcPr>
          <w:p>
            <w:pPr>
              <w:rPr>
                <w:sz w:val="2"/>
                <w:szCs w:val="2"/>
              </w:rPr>
            </w:pPr>
          </w:p>
        </w:tc>
        <w:tc>
          <w:tcPr>
            <w:tcW w:w="7867" w:type="dxa"/>
          </w:tcPr>
          <w:p>
            <w:pPr>
              <w:pStyle w:val="TableParagraph"/>
              <w:spacing w:line="244" w:lineRule="exact"/>
              <w:ind w:left="556"/>
              <w:rPr>
                <w:sz w:val="21"/>
              </w:rPr>
            </w:pPr>
            <w:r>
              <w:rPr>
                <w:sz w:val="21"/>
              </w:rPr>
              <w:t>三十五、严重类风湿性关节炎 </w:t>
            </w:r>
          </w:p>
        </w:tc>
      </w:tr>
      <w:tr>
        <w:trPr>
          <w:trHeight w:val="280" w:hRule="atLeast"/>
        </w:trPr>
        <w:tc>
          <w:tcPr>
            <w:tcW w:w="2208" w:type="dxa"/>
            <w:gridSpan w:val="2"/>
            <w:vMerge/>
            <w:tcBorders>
              <w:top w:val="nil"/>
            </w:tcBorders>
          </w:tcPr>
          <w:p>
            <w:pPr>
              <w:rPr>
                <w:sz w:val="2"/>
                <w:szCs w:val="2"/>
              </w:rPr>
            </w:pPr>
          </w:p>
        </w:tc>
        <w:tc>
          <w:tcPr>
            <w:tcW w:w="7867" w:type="dxa"/>
          </w:tcPr>
          <w:p>
            <w:pPr>
              <w:pStyle w:val="TableParagraph"/>
              <w:spacing w:line="242" w:lineRule="exact"/>
              <w:ind w:left="556"/>
              <w:rPr>
                <w:sz w:val="21"/>
              </w:rPr>
            </w:pPr>
            <w:r>
              <w:rPr>
                <w:sz w:val="21"/>
              </w:rPr>
              <w:t>指类风湿性关节炎患者必须符合以下三项标准: </w:t>
            </w:r>
          </w:p>
        </w:tc>
      </w:tr>
      <w:tr>
        <w:trPr>
          <w:trHeight w:val="272" w:hRule="atLeast"/>
        </w:trPr>
        <w:tc>
          <w:tcPr>
            <w:tcW w:w="2208" w:type="dxa"/>
            <w:gridSpan w:val="2"/>
            <w:vMerge/>
            <w:tcBorders>
              <w:top w:val="nil"/>
            </w:tcBorders>
          </w:tcPr>
          <w:p>
            <w:pPr>
              <w:rPr>
                <w:sz w:val="2"/>
                <w:szCs w:val="2"/>
              </w:rPr>
            </w:pPr>
          </w:p>
        </w:tc>
        <w:tc>
          <w:tcPr>
            <w:tcW w:w="7867" w:type="dxa"/>
          </w:tcPr>
          <w:p>
            <w:pPr>
              <w:pStyle w:val="TableParagraph"/>
              <w:spacing w:line="232" w:lineRule="exact"/>
              <w:ind w:left="556"/>
              <w:rPr>
                <w:sz w:val="21"/>
              </w:rPr>
            </w:pPr>
            <w:r>
              <w:rPr>
                <w:sz w:val="21"/>
              </w:rPr>
              <w:t>(1)至少包括下列关节中的三组或以上有广泛受损和畸形改变:手指关节、腕关</w:t>
            </w:r>
          </w:p>
        </w:tc>
      </w:tr>
      <w:tr>
        <w:trPr>
          <w:trHeight w:val="272" w:hRule="atLeast"/>
        </w:trPr>
        <w:tc>
          <w:tcPr>
            <w:tcW w:w="2208" w:type="dxa"/>
            <w:gridSpan w:val="2"/>
            <w:vMerge/>
            <w:tcBorders>
              <w:top w:val="nil"/>
            </w:tcBorders>
          </w:tcPr>
          <w:p>
            <w:pPr>
              <w:rPr>
                <w:sz w:val="2"/>
                <w:szCs w:val="2"/>
              </w:rPr>
            </w:pPr>
          </w:p>
        </w:tc>
        <w:tc>
          <w:tcPr>
            <w:tcW w:w="7867" w:type="dxa"/>
          </w:tcPr>
          <w:p>
            <w:pPr>
              <w:pStyle w:val="TableParagraph"/>
              <w:spacing w:line="234" w:lineRule="exact"/>
              <w:ind w:left="556"/>
              <w:rPr>
                <w:sz w:val="21"/>
              </w:rPr>
            </w:pPr>
            <w:r>
              <w:rPr>
                <w:sz w:val="21"/>
              </w:rPr>
              <w:t>节、肘关节、膝关节、髋关节、踝关节、脊椎或脚趾关节； </w:t>
            </w:r>
          </w:p>
        </w:tc>
      </w:tr>
      <w:tr>
        <w:trPr>
          <w:trHeight w:val="272" w:hRule="atLeast"/>
        </w:trPr>
        <w:tc>
          <w:tcPr>
            <w:tcW w:w="2208" w:type="dxa"/>
            <w:gridSpan w:val="2"/>
            <w:vMerge/>
            <w:tcBorders>
              <w:top w:val="nil"/>
            </w:tcBorders>
          </w:tcPr>
          <w:p>
            <w:pPr>
              <w:rPr>
                <w:sz w:val="2"/>
                <w:szCs w:val="2"/>
              </w:rPr>
            </w:pPr>
          </w:p>
        </w:tc>
        <w:tc>
          <w:tcPr>
            <w:tcW w:w="7867" w:type="dxa"/>
          </w:tcPr>
          <w:p>
            <w:pPr>
              <w:pStyle w:val="TableParagraph"/>
              <w:spacing w:line="232" w:lineRule="exact"/>
              <w:ind w:left="556"/>
              <w:rPr>
                <w:sz w:val="21"/>
              </w:rPr>
            </w:pPr>
            <w:r>
              <w:rPr>
                <w:sz w:val="21"/>
              </w:rPr>
              <w:t>(2)</w:t>
            </w:r>
            <w:r>
              <w:rPr>
                <w:spacing w:val="-7"/>
                <w:sz w:val="21"/>
              </w:rPr>
              <w:t>手和腕的后前位 </w:t>
            </w:r>
            <w:r>
              <w:rPr>
                <w:sz w:val="21"/>
              </w:rPr>
              <w:t>X</w:t>
            </w:r>
            <w:r>
              <w:rPr>
                <w:spacing w:val="-12"/>
                <w:sz w:val="21"/>
              </w:rPr>
              <w:t> 线拍片检查可见类风湿性关节炎的典型变化，包括骨质侵</w:t>
            </w:r>
          </w:p>
        </w:tc>
      </w:tr>
      <w:tr>
        <w:trPr>
          <w:trHeight w:val="272" w:hRule="atLeast"/>
        </w:trPr>
        <w:tc>
          <w:tcPr>
            <w:tcW w:w="2208" w:type="dxa"/>
            <w:gridSpan w:val="2"/>
            <w:vMerge/>
            <w:tcBorders>
              <w:top w:val="nil"/>
            </w:tcBorders>
          </w:tcPr>
          <w:p>
            <w:pPr>
              <w:rPr>
                <w:sz w:val="2"/>
                <w:szCs w:val="2"/>
              </w:rPr>
            </w:pPr>
          </w:p>
        </w:tc>
        <w:tc>
          <w:tcPr>
            <w:tcW w:w="7867" w:type="dxa"/>
          </w:tcPr>
          <w:p>
            <w:pPr>
              <w:pStyle w:val="TableParagraph"/>
              <w:spacing w:line="234" w:lineRule="exact"/>
              <w:ind w:left="556"/>
              <w:rPr>
                <w:sz w:val="21"/>
              </w:rPr>
            </w:pPr>
            <w:r>
              <w:rPr>
                <w:sz w:val="21"/>
              </w:rPr>
              <w:t>蚀或钙流失，位于受累关节及其邻近部位尤其明显； </w:t>
            </w:r>
          </w:p>
        </w:tc>
      </w:tr>
      <w:tr>
        <w:trPr>
          <w:trHeight w:val="272" w:hRule="atLeast"/>
        </w:trPr>
        <w:tc>
          <w:tcPr>
            <w:tcW w:w="2208" w:type="dxa"/>
            <w:gridSpan w:val="2"/>
            <w:vMerge/>
            <w:tcBorders>
              <w:top w:val="nil"/>
            </w:tcBorders>
          </w:tcPr>
          <w:p>
            <w:pPr>
              <w:rPr>
                <w:sz w:val="2"/>
                <w:szCs w:val="2"/>
              </w:rPr>
            </w:pPr>
          </w:p>
        </w:tc>
        <w:tc>
          <w:tcPr>
            <w:tcW w:w="7867" w:type="dxa"/>
          </w:tcPr>
          <w:p>
            <w:pPr>
              <w:pStyle w:val="TableParagraph"/>
              <w:spacing w:line="232" w:lineRule="exact"/>
              <w:ind w:left="556"/>
              <w:rPr>
                <w:sz w:val="21"/>
              </w:rPr>
            </w:pPr>
            <w:r>
              <w:rPr>
                <w:sz w:val="21"/>
              </w:rPr>
              <w:t>(3)</w:t>
            </w:r>
            <w:r>
              <w:rPr>
                <w:spacing w:val="-6"/>
                <w:sz w:val="21"/>
              </w:rPr>
              <w:t>关节的畸形改变至少持续 </w:t>
            </w:r>
            <w:r>
              <w:rPr>
                <w:sz w:val="21"/>
              </w:rPr>
              <w:t>6</w:t>
            </w:r>
            <w:r>
              <w:rPr>
                <w:spacing w:val="-14"/>
                <w:sz w:val="21"/>
              </w:rPr>
              <w:t> 个月。必须经专科医生明确诊断，且首次已接受</w:t>
            </w:r>
          </w:p>
        </w:tc>
      </w:tr>
      <w:tr>
        <w:trPr>
          <w:trHeight w:val="477" w:hRule="atLeast"/>
        </w:trPr>
        <w:tc>
          <w:tcPr>
            <w:tcW w:w="629" w:type="dxa"/>
          </w:tcPr>
          <w:p>
            <w:pPr>
              <w:pStyle w:val="TableParagraph"/>
              <w:spacing w:before="179"/>
              <w:ind w:left="50"/>
              <w:rPr>
                <w:sz w:val="21"/>
              </w:rPr>
            </w:pPr>
            <w:r>
              <w:rPr>
                <w:w w:val="100"/>
                <w:sz w:val="21"/>
              </w:rPr>
              <w:t> </w:t>
            </w:r>
          </w:p>
        </w:tc>
        <w:tc>
          <w:tcPr>
            <w:tcW w:w="1579" w:type="dxa"/>
          </w:tcPr>
          <w:p>
            <w:pPr>
              <w:pStyle w:val="TableParagraph"/>
              <w:spacing w:before="179"/>
              <w:ind w:left="176"/>
              <w:rPr>
                <w:sz w:val="21"/>
              </w:rPr>
            </w:pPr>
            <w:r>
              <w:rPr>
                <w:w w:val="100"/>
                <w:sz w:val="21"/>
              </w:rPr>
              <w:t> </w:t>
            </w:r>
          </w:p>
        </w:tc>
        <w:tc>
          <w:tcPr>
            <w:tcW w:w="7867" w:type="dxa"/>
          </w:tcPr>
          <w:p>
            <w:pPr>
              <w:pStyle w:val="TableParagraph"/>
              <w:spacing w:line="207" w:lineRule="exact"/>
              <w:ind w:left="556"/>
              <w:rPr>
                <w:sz w:val="21"/>
              </w:rPr>
            </w:pPr>
            <w:r>
              <w:rPr>
                <w:sz w:val="21"/>
              </w:rPr>
              <w:t>膝关节或髋关节置换手术。 </w:t>
            </w:r>
          </w:p>
          <w:p>
            <w:pPr>
              <w:pStyle w:val="TableParagraph"/>
              <w:spacing w:line="248" w:lineRule="exact"/>
              <w:ind w:left="556"/>
              <w:rPr>
                <w:sz w:val="21"/>
              </w:rPr>
            </w:pPr>
            <w:r>
              <w:rPr>
                <w:w w:val="100"/>
                <w:sz w:val="21"/>
              </w:rPr>
              <w:t> </w:t>
            </w:r>
          </w:p>
        </w:tc>
      </w:tr>
      <w:tr>
        <w:trPr>
          <w:trHeight w:val="273" w:hRule="atLeast"/>
        </w:trPr>
        <w:tc>
          <w:tcPr>
            <w:tcW w:w="629" w:type="dxa"/>
          </w:tcPr>
          <w:p>
            <w:pPr>
              <w:pStyle w:val="TableParagraph"/>
              <w:spacing w:line="250" w:lineRule="exact"/>
              <w:ind w:left="50"/>
              <w:rPr>
                <w:rFonts w:ascii="Microsoft JhengHei"/>
                <w:b/>
                <w:sz w:val="21"/>
              </w:rPr>
            </w:pPr>
            <w:r>
              <w:rPr>
                <w:rFonts w:ascii="Microsoft JhengHei"/>
                <w:b/>
                <w:w w:val="90"/>
                <w:sz w:val="21"/>
              </w:rPr>
              <w:t>10. 7</w:t>
            </w:r>
          </w:p>
        </w:tc>
        <w:tc>
          <w:tcPr>
            <w:tcW w:w="1579" w:type="dxa"/>
          </w:tcPr>
          <w:p>
            <w:pPr>
              <w:pStyle w:val="TableParagraph"/>
              <w:spacing w:line="250" w:lineRule="exact"/>
              <w:ind w:left="176"/>
              <w:rPr>
                <w:rFonts w:ascii="Microsoft JhengHei" w:eastAsia="Microsoft JhengHei" w:hint="eastAsia"/>
                <w:b/>
                <w:sz w:val="21"/>
              </w:rPr>
            </w:pPr>
            <w:r>
              <w:rPr>
                <w:rFonts w:ascii="Microsoft JhengHei" w:eastAsia="Microsoft JhengHei" w:hint="eastAsia"/>
                <w:b/>
                <w:sz w:val="21"/>
              </w:rPr>
              <w:t>轻症疾病</w:t>
            </w:r>
          </w:p>
        </w:tc>
        <w:tc>
          <w:tcPr>
            <w:tcW w:w="7867" w:type="dxa"/>
          </w:tcPr>
          <w:p>
            <w:pPr>
              <w:pStyle w:val="TableParagraph"/>
              <w:spacing w:line="226" w:lineRule="exact"/>
              <w:ind w:left="556"/>
              <w:rPr>
                <w:sz w:val="21"/>
              </w:rPr>
            </w:pPr>
            <w:r>
              <w:rPr>
                <w:spacing w:val="-3"/>
                <w:w w:val="100"/>
                <w:sz w:val="21"/>
              </w:rPr>
              <w:t>为了扩大本主险合同的保障范围</w:t>
            </w:r>
            <w:r>
              <w:rPr>
                <w:spacing w:val="-17"/>
                <w:w w:val="100"/>
                <w:sz w:val="21"/>
              </w:rPr>
              <w:t>，“一”至“十八”项所列轻症疾病名称及疾病</w:t>
            </w:r>
          </w:p>
        </w:tc>
      </w:tr>
      <w:tr>
        <w:trPr>
          <w:trHeight w:val="264" w:hRule="atLeast"/>
        </w:trPr>
        <w:tc>
          <w:tcPr>
            <w:tcW w:w="629" w:type="dxa"/>
          </w:tcPr>
          <w:p>
            <w:pPr>
              <w:pStyle w:val="TableParagraph"/>
              <w:rPr>
                <w:rFonts w:ascii="Times New Roman"/>
                <w:sz w:val="18"/>
              </w:rPr>
            </w:pPr>
          </w:p>
        </w:tc>
        <w:tc>
          <w:tcPr>
            <w:tcW w:w="1579" w:type="dxa"/>
          </w:tcPr>
          <w:p>
            <w:pPr>
              <w:pStyle w:val="TableParagraph"/>
              <w:rPr>
                <w:rFonts w:ascii="Times New Roman"/>
                <w:sz w:val="18"/>
              </w:rPr>
            </w:pPr>
          </w:p>
        </w:tc>
        <w:tc>
          <w:tcPr>
            <w:tcW w:w="7867" w:type="dxa"/>
          </w:tcPr>
          <w:p>
            <w:pPr>
              <w:pStyle w:val="TableParagraph"/>
              <w:spacing w:line="226" w:lineRule="exact"/>
              <w:ind w:left="556"/>
              <w:rPr>
                <w:sz w:val="21"/>
              </w:rPr>
            </w:pPr>
            <w:r>
              <w:rPr>
                <w:sz w:val="21"/>
              </w:rPr>
              <w:t>定义由我们自行制定使用。</w:t>
            </w:r>
          </w:p>
        </w:tc>
      </w:tr>
      <w:tr>
        <w:trPr>
          <w:trHeight w:val="272" w:hRule="atLeast"/>
        </w:trPr>
        <w:tc>
          <w:tcPr>
            <w:tcW w:w="629" w:type="dxa"/>
          </w:tcPr>
          <w:p>
            <w:pPr>
              <w:pStyle w:val="TableParagraph"/>
              <w:rPr>
                <w:rFonts w:ascii="Times New Roman"/>
                <w:sz w:val="20"/>
              </w:rPr>
            </w:pPr>
          </w:p>
        </w:tc>
        <w:tc>
          <w:tcPr>
            <w:tcW w:w="1579" w:type="dxa"/>
          </w:tcPr>
          <w:p>
            <w:pPr>
              <w:pStyle w:val="TableParagraph"/>
              <w:rPr>
                <w:rFonts w:ascii="Times New Roman"/>
                <w:sz w:val="20"/>
              </w:rPr>
            </w:pPr>
          </w:p>
        </w:tc>
        <w:tc>
          <w:tcPr>
            <w:tcW w:w="7867" w:type="dxa"/>
          </w:tcPr>
          <w:p>
            <w:pPr>
              <w:pStyle w:val="TableParagraph"/>
              <w:spacing w:line="232" w:lineRule="exact"/>
              <w:ind w:left="556"/>
              <w:rPr>
                <w:sz w:val="21"/>
              </w:rPr>
            </w:pPr>
            <w:r>
              <w:rPr>
                <w:sz w:val="21"/>
              </w:rPr>
              <w:t>被保险人发生符合以下疾病定义所述条件的疾病，应当由专科医生明确诊断。</w:t>
            </w:r>
          </w:p>
        </w:tc>
      </w:tr>
      <w:tr>
        <w:trPr>
          <w:trHeight w:val="283" w:hRule="atLeast"/>
        </w:trPr>
        <w:tc>
          <w:tcPr>
            <w:tcW w:w="629" w:type="dxa"/>
          </w:tcPr>
          <w:p>
            <w:pPr>
              <w:pStyle w:val="TableParagraph"/>
              <w:rPr>
                <w:rFonts w:ascii="Times New Roman"/>
                <w:sz w:val="20"/>
              </w:rPr>
            </w:pPr>
          </w:p>
        </w:tc>
        <w:tc>
          <w:tcPr>
            <w:tcW w:w="1579" w:type="dxa"/>
          </w:tcPr>
          <w:p>
            <w:pPr>
              <w:pStyle w:val="TableParagraph"/>
              <w:rPr>
                <w:rFonts w:ascii="Times New Roman"/>
                <w:sz w:val="20"/>
              </w:rPr>
            </w:pPr>
          </w:p>
        </w:tc>
        <w:tc>
          <w:tcPr>
            <w:tcW w:w="7867" w:type="dxa"/>
          </w:tcPr>
          <w:p>
            <w:pPr>
              <w:pStyle w:val="TableParagraph"/>
              <w:spacing w:line="234" w:lineRule="exact"/>
              <w:ind w:left="556"/>
              <w:rPr>
                <w:sz w:val="21"/>
              </w:rPr>
            </w:pPr>
            <w:r>
              <w:rPr>
                <w:sz w:val="21"/>
              </w:rPr>
              <w:t>一、极早期的恶性肿瘤或恶性病变</w:t>
            </w:r>
          </w:p>
        </w:tc>
      </w:tr>
      <w:tr>
        <w:trPr>
          <w:trHeight w:val="302" w:hRule="atLeast"/>
        </w:trPr>
        <w:tc>
          <w:tcPr>
            <w:tcW w:w="629" w:type="dxa"/>
          </w:tcPr>
          <w:p>
            <w:pPr>
              <w:pStyle w:val="TableParagraph"/>
              <w:rPr>
                <w:rFonts w:ascii="Times New Roman"/>
                <w:sz w:val="20"/>
              </w:rPr>
            </w:pPr>
          </w:p>
        </w:tc>
        <w:tc>
          <w:tcPr>
            <w:tcW w:w="1579" w:type="dxa"/>
          </w:tcPr>
          <w:p>
            <w:pPr>
              <w:pStyle w:val="TableParagraph"/>
              <w:rPr>
                <w:rFonts w:ascii="Times New Roman"/>
                <w:sz w:val="20"/>
              </w:rPr>
            </w:pPr>
          </w:p>
        </w:tc>
        <w:tc>
          <w:tcPr>
            <w:tcW w:w="7867" w:type="dxa"/>
          </w:tcPr>
          <w:p>
            <w:pPr>
              <w:pStyle w:val="TableParagraph"/>
              <w:spacing w:line="243" w:lineRule="exact"/>
              <w:ind w:left="556"/>
              <w:rPr>
                <w:sz w:val="21"/>
              </w:rPr>
            </w:pPr>
            <w:r>
              <w:rPr>
                <w:sz w:val="21"/>
              </w:rPr>
              <w:t>指经组织病理学检查被明确诊断为下列恶性病变，并且接受了相应的治疗。 </w:t>
            </w:r>
          </w:p>
        </w:tc>
      </w:tr>
      <w:tr>
        <w:trPr>
          <w:trHeight w:val="311" w:hRule="atLeast"/>
        </w:trPr>
        <w:tc>
          <w:tcPr>
            <w:tcW w:w="629" w:type="dxa"/>
          </w:tcPr>
          <w:p>
            <w:pPr>
              <w:pStyle w:val="TableParagraph"/>
              <w:rPr>
                <w:rFonts w:ascii="Times New Roman"/>
                <w:sz w:val="20"/>
              </w:rPr>
            </w:pPr>
          </w:p>
        </w:tc>
        <w:tc>
          <w:tcPr>
            <w:tcW w:w="1579" w:type="dxa"/>
          </w:tcPr>
          <w:p>
            <w:pPr>
              <w:pStyle w:val="TableParagraph"/>
              <w:rPr>
                <w:rFonts w:ascii="Times New Roman"/>
                <w:sz w:val="20"/>
              </w:rPr>
            </w:pPr>
          </w:p>
        </w:tc>
        <w:tc>
          <w:tcPr>
            <w:tcW w:w="7867" w:type="dxa"/>
          </w:tcPr>
          <w:p>
            <w:pPr>
              <w:pStyle w:val="TableParagraph"/>
              <w:spacing w:line="253" w:lineRule="exact"/>
              <w:ind w:left="556"/>
              <w:rPr>
                <w:sz w:val="21"/>
              </w:rPr>
            </w:pPr>
            <w:r>
              <w:rPr>
                <w:sz w:val="21"/>
              </w:rPr>
              <w:t>（1）原位癌 </w:t>
            </w:r>
          </w:p>
        </w:tc>
      </w:tr>
      <w:tr>
        <w:trPr>
          <w:trHeight w:val="261" w:hRule="atLeast"/>
        </w:trPr>
        <w:tc>
          <w:tcPr>
            <w:tcW w:w="629" w:type="dxa"/>
          </w:tcPr>
          <w:p>
            <w:pPr>
              <w:pStyle w:val="TableParagraph"/>
              <w:rPr>
                <w:rFonts w:ascii="Times New Roman"/>
                <w:sz w:val="18"/>
              </w:rPr>
            </w:pPr>
          </w:p>
        </w:tc>
        <w:tc>
          <w:tcPr>
            <w:tcW w:w="1579" w:type="dxa"/>
          </w:tcPr>
          <w:p>
            <w:pPr>
              <w:pStyle w:val="TableParagraph"/>
              <w:rPr>
                <w:rFonts w:ascii="Times New Roman"/>
                <w:sz w:val="18"/>
              </w:rPr>
            </w:pPr>
          </w:p>
        </w:tc>
        <w:tc>
          <w:tcPr>
            <w:tcW w:w="7867" w:type="dxa"/>
          </w:tcPr>
          <w:p>
            <w:pPr>
              <w:pStyle w:val="TableParagraph"/>
              <w:spacing w:line="242" w:lineRule="exact"/>
              <w:ind w:left="556"/>
              <w:rPr>
                <w:sz w:val="21"/>
              </w:rPr>
            </w:pPr>
            <w:r>
              <w:rPr>
                <w:sz w:val="21"/>
              </w:rPr>
              <w:t>（2）相当于 Binet 分期方案 A 期程度的慢性淋巴细胞白血病； </w:t>
            </w:r>
          </w:p>
        </w:tc>
      </w:tr>
    </w:tbl>
    <w:p>
      <w:pPr>
        <w:spacing w:after="0" w:line="242" w:lineRule="exact"/>
        <w:rPr>
          <w:sz w:val="21"/>
        </w:rPr>
        <w:sectPr>
          <w:pgSz w:w="11900" w:h="16840"/>
          <w:pgMar w:header="0" w:footer="676" w:top="1240" w:bottom="860" w:left="860" w:right="740"/>
        </w:sectPr>
      </w:pPr>
    </w:p>
    <w:p>
      <w:pPr>
        <w:pStyle w:val="BodyText"/>
        <w:spacing w:line="240" w:lineRule="auto" w:before="9"/>
      </w:pPr>
      <w:r>
        <w:rPr/>
        <w:t>（3）相当于 Ann Arbor 分期方案 I 期程度的何杰金氏病； </w:t>
      </w:r>
    </w:p>
    <w:p>
      <w:pPr>
        <w:pStyle w:val="BodyText"/>
        <w:spacing w:line="240" w:lineRule="auto" w:before="37"/>
      </w:pPr>
      <w:r>
        <w:rPr/>
        <w:t>（4）皮肤癌； </w:t>
      </w:r>
    </w:p>
    <w:p>
      <w:pPr>
        <w:pStyle w:val="BodyText"/>
        <w:spacing w:line="273" w:lineRule="exact" w:before="15"/>
      </w:pPr>
      <w:r>
        <w:rPr/>
        <w:t>（5）TNM 分期为 T1N0M0 期或更轻分期的前列腺癌。 </w:t>
      </w:r>
    </w:p>
    <w:p>
      <w:pPr>
        <w:pStyle w:val="BodyText"/>
        <w:spacing w:line="273" w:lineRule="exact"/>
      </w:pPr>
      <w:r>
        <w:rPr/>
        <w:t>二、不典型的急性心肌梗塞 </w:t>
      </w:r>
    </w:p>
    <w:p>
      <w:pPr>
        <w:pStyle w:val="BodyText"/>
        <w:spacing w:line="273" w:lineRule="auto" w:before="21"/>
        <w:ind w:right="215"/>
      </w:pPr>
      <w:r>
        <w:rPr/>
        <w:t>指被临床诊断为急性心肌梗塞并接受了急性心肌梗塞治疗，虽然未达到重大疾病“急性心肌梗塞”的给付标准，但满足下列全部条件： </w:t>
      </w:r>
    </w:p>
    <w:p>
      <w:pPr>
        <w:pStyle w:val="BodyText"/>
        <w:spacing w:line="240" w:lineRule="auto" w:before="8"/>
      </w:pPr>
      <w:r>
        <w:rPr/>
        <w:t>（1）肌钙蛋白有诊断意义的升高； </w:t>
      </w:r>
    </w:p>
    <w:p>
      <w:pPr>
        <w:pStyle w:val="BodyText"/>
        <w:spacing w:line="240" w:lineRule="auto" w:before="37"/>
      </w:pPr>
      <w:r>
        <w:rPr/>
        <w:t>（2）心电图有损伤性的 ST 段改变但未出现病理 Q 波。 </w:t>
      </w:r>
    </w:p>
    <w:p>
      <w:pPr>
        <w:pStyle w:val="BodyText"/>
        <w:spacing w:line="273" w:lineRule="exact" w:before="15"/>
      </w:pPr>
      <w:r>
        <w:rPr/>
        <w:t>如果被保险人在出现不典型的急性心肌梗塞后接受冠状动脉介入手术治疗，该</w:t>
      </w:r>
    </w:p>
    <w:p>
      <w:pPr>
        <w:pStyle w:val="BodyText"/>
      </w:pPr>
      <w:r>
        <w:rPr/>
        <w:t>冠状动脉介入手术与不典型的急性心肌梗塞视为同一轻症疾病。 </w:t>
      </w:r>
    </w:p>
    <w:p>
      <w:pPr>
        <w:pStyle w:val="BodyText"/>
        <w:spacing w:line="274" w:lineRule="exact"/>
      </w:pPr>
      <w:r>
        <w:rPr/>
        <w:t>三、冠状动脉介入手术 </w:t>
      </w:r>
    </w:p>
    <w:p>
      <w:pPr>
        <w:pStyle w:val="BodyText"/>
        <w:spacing w:line="240" w:lineRule="auto" w:before="17"/>
      </w:pPr>
      <w:r>
        <w:rPr/>
        <w:t>为了治疗明显的冠状动脉狭窄性疾病，首次实际实施了冠状动脉球囊扩张成形</w:t>
      </w:r>
    </w:p>
    <w:p>
      <w:pPr>
        <w:pStyle w:val="BodyText"/>
        <w:spacing w:line="240" w:lineRule="auto" w:before="36"/>
      </w:pPr>
      <w:r>
        <w:rPr/>
        <w:t>术、冠状动脉支架植入术或激光冠状动脉成形术。 </w:t>
      </w:r>
    </w:p>
    <w:p>
      <w:pPr>
        <w:pStyle w:val="BodyText"/>
        <w:spacing w:line="240" w:lineRule="auto" w:before="36"/>
      </w:pPr>
      <w:r>
        <w:rPr/>
        <w:t>如果被保险人在出现不典型的急性心肌梗塞后接受冠状动脉介入手术治疗，该</w:t>
      </w:r>
    </w:p>
    <w:p>
      <w:pPr>
        <w:pStyle w:val="BodyText"/>
        <w:spacing w:line="254" w:lineRule="auto" w:before="36"/>
        <w:ind w:right="1375"/>
      </w:pPr>
      <w:r>
        <w:rPr/>
        <w:t>冠状动脉介入手术与不典型的急性心肌梗塞视为同一轻症疾病。四、轻微脑中风</w:t>
      </w:r>
    </w:p>
    <w:p>
      <w:pPr>
        <w:pStyle w:val="BodyText"/>
        <w:spacing w:line="240" w:lineRule="auto" w:before="7"/>
      </w:pPr>
      <w:r>
        <w:rPr/>
        <w:t>指实际发生了脑血管的突发病变出现神经系统功能障碍表现，头颅断层扫描</w:t>
      </w:r>
    </w:p>
    <w:p>
      <w:pPr>
        <w:pStyle w:val="BodyText"/>
        <w:spacing w:line="273" w:lineRule="auto" w:before="37"/>
        <w:ind w:right="209"/>
        <w:jc w:val="both"/>
      </w:pPr>
      <w:r>
        <w:rPr>
          <w:spacing w:val="-5"/>
        </w:rPr>
        <w:t>（CT）</w:t>
      </w:r>
      <w:r>
        <w:rPr>
          <w:spacing w:val="-9"/>
        </w:rPr>
        <w:t>、核磁共振</w:t>
      </w:r>
      <w:r>
        <w:rPr>
          <w:spacing w:val="-5"/>
        </w:rPr>
        <w:t>（MRI）等影像学检查证实存在对应病灶，确诊为脑出血、脑</w:t>
      </w:r>
      <w:r>
        <w:rPr>
          <w:spacing w:val="-13"/>
        </w:rPr>
        <w:t>栓塞或脑梗塞，在确诊 </w:t>
      </w:r>
      <w:r>
        <w:rPr/>
        <w:t>180</w:t>
      </w:r>
      <w:r>
        <w:rPr>
          <w:spacing w:val="-3"/>
        </w:rPr>
        <w:t> 天后未遗留神经系统功能障碍或后遗的神经系统功能障碍程度未达到重大疾病“脑中风后遗症”的给付标准。</w:t>
      </w:r>
      <w:r>
        <w:rPr/>
        <w:t> </w:t>
      </w:r>
    </w:p>
    <w:p>
      <w:pPr>
        <w:pStyle w:val="BodyText"/>
        <w:spacing w:line="259" w:lineRule="exact"/>
      </w:pPr>
      <w:r>
        <w:rPr/>
        <w:t>短暂性脑缺血发作(TIA) 和腔隙性脑梗塞不在保障范围内。 </w:t>
      </w:r>
    </w:p>
    <w:p>
      <w:pPr>
        <w:pStyle w:val="BodyText"/>
        <w:spacing w:line="273" w:lineRule="exact"/>
      </w:pPr>
      <w:r>
        <w:rPr/>
        <w:t>五、心脏瓣膜介入手术</w:t>
      </w:r>
    </w:p>
    <w:p>
      <w:pPr>
        <w:pStyle w:val="BodyText"/>
        <w:spacing w:line="240" w:lineRule="auto" w:before="20"/>
      </w:pPr>
      <w:r>
        <w:rPr/>
        <w:t>为了治疗心脏瓣膜疾病，实际实施了非开胸的经胸壁打孔内镜手术或经皮经导</w:t>
      </w:r>
    </w:p>
    <w:p>
      <w:pPr>
        <w:pStyle w:val="BodyText"/>
        <w:spacing w:line="254" w:lineRule="auto" w:before="36"/>
        <w:ind w:right="3055"/>
      </w:pPr>
      <w:r>
        <w:rPr/>
        <w:t>管介入手术进行的心脏瓣膜置换或修复手术。六、视力严重受损</w:t>
      </w:r>
    </w:p>
    <w:p>
      <w:pPr>
        <w:pStyle w:val="BodyText"/>
        <w:spacing w:line="240" w:lineRule="auto" w:before="4"/>
      </w:pPr>
      <w:r>
        <w:rPr/>
        <w:t>指因疾病或意外伤害导致双目视力永久不可逆性丧失，虽然未达到重大疾病</w:t>
      </w:r>
    </w:p>
    <w:p>
      <w:pPr>
        <w:pStyle w:val="BodyText"/>
        <w:spacing w:line="240" w:lineRule="auto" w:before="36"/>
      </w:pPr>
      <w:r>
        <w:rPr/>
        <w:t>“双目失明”的给付标准，但满足下列全部条件： </w:t>
      </w:r>
    </w:p>
    <w:p>
      <w:pPr>
        <w:pStyle w:val="BodyText"/>
        <w:spacing w:line="240" w:lineRule="auto" w:before="36"/>
      </w:pPr>
      <w:r>
        <w:rPr/>
        <w:t>（1）双眼中较好眼矫正视力低于 0.1（采用国际标准视力表，如果使用其他视</w:t>
      </w:r>
    </w:p>
    <w:p>
      <w:pPr>
        <w:pStyle w:val="BodyText"/>
        <w:spacing w:line="240" w:lineRule="auto" w:before="36"/>
      </w:pPr>
      <w:r>
        <w:rPr/>
        <w:t>力表应进行换算）； </w:t>
      </w:r>
    </w:p>
    <w:p>
      <w:pPr>
        <w:pStyle w:val="BodyText"/>
        <w:spacing w:line="240" w:lineRule="auto" w:before="36"/>
      </w:pPr>
      <w:r>
        <w:rPr/>
        <w:t>（2）视野半径小于 20 度。 </w:t>
      </w:r>
    </w:p>
    <w:p>
      <w:pPr>
        <w:pStyle w:val="BodyText"/>
        <w:spacing w:line="240" w:lineRule="auto" w:before="15"/>
        <w:ind w:right="221"/>
      </w:pPr>
      <w:r>
        <w:rPr>
          <w:spacing w:val="-5"/>
        </w:rPr>
        <w:t>申请理赔时，被保险人年龄必须在 </w:t>
      </w:r>
      <w:r>
        <w:rPr/>
        <w:t>3</w:t>
      </w:r>
      <w:r>
        <w:rPr>
          <w:spacing w:val="-8"/>
        </w:rPr>
        <w:t> 周岁以上，并且须提供理赔当时的视力丧</w:t>
      </w:r>
      <w:r>
        <w:rPr>
          <w:spacing w:val="-3"/>
        </w:rPr>
        <w:t>失诊断及检查证据。</w:t>
      </w:r>
      <w:r>
        <w:rPr/>
        <w:t> </w:t>
      </w:r>
    </w:p>
    <w:p>
      <w:pPr>
        <w:pStyle w:val="BodyText"/>
        <w:spacing w:line="271" w:lineRule="exact"/>
      </w:pPr>
      <w:r>
        <w:rPr/>
        <w:t>七、较小面积 III 度烧伤</w:t>
      </w:r>
    </w:p>
    <w:p>
      <w:pPr>
        <w:pStyle w:val="BodyText"/>
        <w:spacing w:line="240" w:lineRule="auto" w:before="20"/>
      </w:pPr>
      <w:r>
        <w:rPr/>
        <w:t>指烧伤程度为Ⅲ度，且Ⅲ度烧伤的面积达到全身体表面积的 15％或 15％以上。</w:t>
      </w:r>
    </w:p>
    <w:p>
      <w:pPr>
        <w:pStyle w:val="BodyText"/>
        <w:spacing w:line="240" w:lineRule="auto" w:before="37"/>
      </w:pPr>
      <w:r>
        <w:rPr/>
        <w:t>体表面积根据《中国新九分法》计算。 </w:t>
      </w:r>
    </w:p>
    <w:p>
      <w:pPr>
        <w:pStyle w:val="BodyText"/>
        <w:spacing w:line="240" w:lineRule="auto" w:before="15"/>
      </w:pPr>
      <w:r>
        <w:rPr/>
        <w:t>八、主动脉内手术 </w:t>
      </w:r>
    </w:p>
    <w:p>
      <w:pPr>
        <w:pStyle w:val="BodyText"/>
        <w:spacing w:line="240" w:lineRule="auto" w:before="17"/>
      </w:pPr>
      <w:r>
        <w:rPr/>
        <w:t>为了治疗主动脉疾病实际实施了经皮经导管进行的动脉内手术。 </w:t>
      </w:r>
    </w:p>
    <w:p>
      <w:pPr>
        <w:pStyle w:val="BodyText"/>
        <w:spacing w:line="274" w:lineRule="exact" w:before="15"/>
      </w:pPr>
      <w:r>
        <w:rPr/>
        <w:t>主动脉指胸主动脉和腹主动脉，不包括胸主动脉和腹主动脉的分支血管。 </w:t>
      </w:r>
    </w:p>
    <w:p>
      <w:pPr>
        <w:pStyle w:val="BodyText"/>
        <w:spacing w:line="274" w:lineRule="exact"/>
      </w:pPr>
      <w:r>
        <w:rPr/>
        <w:t>九、脑垂体瘤、脑囊肿、脑动脉瘤及脑血管瘤</w:t>
      </w:r>
    </w:p>
    <w:p>
      <w:pPr>
        <w:pStyle w:val="BodyText"/>
        <w:spacing w:line="240" w:lineRule="auto" w:before="18"/>
      </w:pPr>
      <w:r>
        <w:rPr/>
        <w:t>指经头颅断层扫描（CT）、核磁共振（MRI）或其他影像学检查被确诊为下列病</w:t>
      </w:r>
    </w:p>
    <w:p>
      <w:pPr>
        <w:pStyle w:val="BodyText"/>
        <w:spacing w:line="240" w:lineRule="auto" w:before="37"/>
      </w:pPr>
      <w:r>
        <w:rPr/>
        <w:t>变，并实际接受了手术或放射治疗。 </w:t>
      </w:r>
    </w:p>
    <w:p>
      <w:pPr>
        <w:pStyle w:val="BodyText"/>
        <w:spacing w:line="240" w:lineRule="auto" w:before="37"/>
      </w:pPr>
      <w:r>
        <w:rPr/>
        <w:t>（1）脑垂体瘤； </w:t>
      </w:r>
    </w:p>
    <w:p>
      <w:pPr>
        <w:pStyle w:val="BodyText"/>
        <w:spacing w:line="240" w:lineRule="auto" w:before="37"/>
      </w:pPr>
      <w:r>
        <w:rPr/>
        <w:t>（2）脑囊肿； </w:t>
      </w:r>
    </w:p>
    <w:p>
      <w:pPr>
        <w:pStyle w:val="BodyText"/>
        <w:spacing w:line="274" w:lineRule="exact" w:before="15"/>
      </w:pPr>
      <w:r>
        <w:rPr/>
        <w:t>（3）脑动脉瘤、脑血管瘤。 </w:t>
      </w:r>
    </w:p>
    <w:p>
      <w:pPr>
        <w:pStyle w:val="BodyText"/>
        <w:spacing w:line="274" w:lineRule="exact"/>
      </w:pPr>
      <w:r>
        <w:rPr/>
        <w:t>十、重度头部外伤</w:t>
      </w:r>
    </w:p>
    <w:p>
      <w:pPr>
        <w:pStyle w:val="BodyText"/>
        <w:spacing w:line="240" w:lineRule="auto" w:before="18"/>
      </w:pPr>
      <w:r>
        <w:rPr/>
        <w:t>指因头部遭受机械性外力，引起脑重要部位损伤，导致神经系统永久性的功能</w:t>
      </w:r>
    </w:p>
    <w:p>
      <w:pPr>
        <w:pStyle w:val="BodyText"/>
        <w:spacing w:line="240" w:lineRule="auto" w:before="36"/>
      </w:pPr>
      <w:r>
        <w:rPr/>
        <w:t>障碍。须由头颅断层扫描（CT）、核磁共振检查（MRI）或正电子发射断层扫描</w:t>
      </w:r>
    </w:p>
    <w:p>
      <w:pPr>
        <w:pStyle w:val="BodyText"/>
        <w:spacing w:line="240" w:lineRule="auto" w:before="36"/>
      </w:pPr>
      <w:r>
        <w:rPr/>
        <w:t>（PET）等影像学检查证实。神经系统永久性的功能障碍，指脑损伤 180 天后，</w:t>
      </w:r>
    </w:p>
    <w:p>
      <w:pPr>
        <w:spacing w:after="0" w:line="240" w:lineRule="auto"/>
        <w:sectPr>
          <w:pgSz w:w="11900" w:h="16840"/>
          <w:pgMar w:header="0" w:footer="676" w:top="1180" w:bottom="860" w:left="1680" w:right="800"/>
        </w:sectPr>
      </w:pPr>
    </w:p>
    <w:p>
      <w:pPr>
        <w:pStyle w:val="BodyText"/>
        <w:spacing w:line="240" w:lineRule="auto" w:before="9"/>
        <w:ind w:left="2814"/>
      </w:pPr>
      <w:r>
        <w:rPr/>
        <w:t>仍完全丧失自主生活能力，无法独立完成六项基本日常生活活动中的二项或以</w:t>
      </w:r>
    </w:p>
    <w:p>
      <w:pPr>
        <w:pStyle w:val="BodyText"/>
        <w:spacing w:line="240" w:lineRule="auto" w:before="37"/>
        <w:ind w:left="2814"/>
      </w:pPr>
      <w:r>
        <w:rPr/>
        <w:t>上。 </w:t>
      </w:r>
    </w:p>
    <w:p>
      <w:pPr>
        <w:pStyle w:val="BodyText"/>
        <w:spacing w:line="240" w:lineRule="auto" w:before="15"/>
        <w:ind w:left="2814"/>
      </w:pPr>
      <w:r>
        <w:rPr/>
        <w:t>十一、Ⅲ度房室传导阻滞-已放置心脏起搏器 </w:t>
      </w:r>
    </w:p>
    <w:p>
      <w:pPr>
        <w:pStyle w:val="BodyText"/>
        <w:spacing w:line="273" w:lineRule="auto" w:before="17"/>
        <w:ind w:left="2814" w:right="211"/>
      </w:pPr>
      <w:r>
        <w:rPr/>
        <w:t>指心房激动在房室交界区、房室束及其分支内发生阻滞，不能正常地传到心室的心脏传导性疾病须满足下列所有条件： </w:t>
      </w:r>
    </w:p>
    <w:p>
      <w:pPr>
        <w:pStyle w:val="BodyText"/>
        <w:spacing w:line="240" w:lineRule="auto" w:before="7"/>
        <w:ind w:left="2814"/>
      </w:pPr>
      <w:r>
        <w:rPr/>
        <w:t>（1）心电图显示房室搏动彼此独立，心室率&lt;50 次/分钟； </w:t>
      </w:r>
    </w:p>
    <w:p>
      <w:pPr>
        <w:pStyle w:val="BodyText"/>
        <w:spacing w:line="240" w:lineRule="auto" w:before="37"/>
        <w:ind w:left="2814"/>
      </w:pPr>
      <w:r>
        <w:rPr/>
        <w:t>（2）出现阿-斯综合征或心力衰竭的表现；  </w:t>
      </w:r>
    </w:p>
    <w:p>
      <w:pPr>
        <w:pStyle w:val="BodyText"/>
        <w:spacing w:line="240" w:lineRule="auto" w:before="37"/>
        <w:ind w:left="2814"/>
      </w:pPr>
      <w:r>
        <w:rPr/>
        <w:t>（3）必须持续性依赖心脏起搏器维持心脏正常功能，且已经放置心脏起搏器。 </w:t>
      </w:r>
    </w:p>
    <w:p>
      <w:pPr>
        <w:pStyle w:val="BodyText"/>
        <w:spacing w:line="274" w:lineRule="exact" w:before="15"/>
        <w:ind w:left="2814"/>
      </w:pPr>
      <w:r>
        <w:rPr/>
        <w:t>十二、轻度原发性肺动脉高压</w:t>
      </w:r>
    </w:p>
    <w:p>
      <w:pPr>
        <w:pStyle w:val="BodyText"/>
        <w:spacing w:line="237" w:lineRule="auto" w:before="2"/>
        <w:ind w:left="2814" w:right="209"/>
        <w:jc w:val="both"/>
      </w:pPr>
      <w:r>
        <w:rPr>
          <w:spacing w:val="-3"/>
        </w:rPr>
        <w:t>指由于原发性肺动脉高压进行性发展而导致右心室肥厚，已经造成永久不可逆</w:t>
      </w:r>
      <w:r>
        <w:rPr>
          <w:spacing w:val="-7"/>
        </w:rPr>
        <w:t>性的体力活动能力受限，达到美国纽约心脏病学会心功能状态分级 </w:t>
      </w:r>
      <w:r>
        <w:rPr/>
        <w:t>III</w:t>
      </w:r>
      <w:r>
        <w:rPr>
          <w:spacing w:val="-1"/>
        </w:rPr>
        <w:t> 级，且</w:t>
      </w:r>
      <w:r>
        <w:rPr>
          <w:spacing w:val="-6"/>
        </w:rPr>
        <w:t>静息状态下肺动脉平均压超过 </w:t>
      </w:r>
      <w:r>
        <w:rPr/>
        <w:t>25mmHg</w:t>
      </w:r>
      <w:r>
        <w:rPr>
          <w:spacing w:val="-3"/>
        </w:rPr>
        <w:t>。</w:t>
      </w:r>
      <w:r>
        <w:rPr/>
        <w:t> </w:t>
      </w:r>
    </w:p>
    <w:p>
      <w:pPr>
        <w:pStyle w:val="BodyText"/>
        <w:spacing w:line="271" w:lineRule="exact"/>
        <w:ind w:left="2814"/>
      </w:pPr>
      <w:r>
        <w:rPr/>
        <w:t>十三、糖尿病及其并发症</w:t>
      </w:r>
    </w:p>
    <w:p>
      <w:pPr>
        <w:pStyle w:val="BodyText"/>
        <w:spacing w:line="240" w:lineRule="auto" w:before="20"/>
        <w:ind w:left="2814"/>
      </w:pPr>
      <w:r>
        <w:rPr/>
        <w:t>指被保险人被确诊为糖尿病，并且出现以下任意一项并发症： </w:t>
      </w:r>
    </w:p>
    <w:p>
      <w:pPr>
        <w:pStyle w:val="BodyText"/>
        <w:spacing w:line="240" w:lineRule="auto" w:before="37"/>
        <w:ind w:left="2814"/>
      </w:pPr>
      <w:r>
        <w:rPr/>
        <w:t>（1）糖尿病导致肢体坏疽，并实施了脚趾切除手术； </w:t>
      </w:r>
    </w:p>
    <w:p>
      <w:pPr>
        <w:pStyle w:val="BodyText"/>
        <w:spacing w:line="240" w:lineRule="auto" w:before="37"/>
        <w:ind w:left="2814"/>
      </w:pPr>
      <w:r>
        <w:rPr/>
        <w:t>（2）糖尿病导致糖尿病肾病，出现持续 180 天以上的血肌酐值大于 2.5mg/dl</w:t>
      </w:r>
    </w:p>
    <w:p>
      <w:pPr>
        <w:pStyle w:val="BodyText"/>
        <w:spacing w:line="240" w:lineRule="auto" w:before="37"/>
        <w:ind w:left="2814"/>
      </w:pPr>
      <w:r>
        <w:rPr/>
        <w:t>或肌酐清除率小于 25%。 </w:t>
      </w:r>
    </w:p>
    <w:p>
      <w:pPr>
        <w:pStyle w:val="BodyText"/>
        <w:spacing w:line="240" w:lineRule="auto" w:before="15"/>
        <w:ind w:left="2814"/>
      </w:pPr>
      <w:r>
        <w:rPr/>
        <w:t>十四、风湿热伴心脏瓣膜损害</w:t>
      </w:r>
    </w:p>
    <w:p>
      <w:pPr>
        <w:pStyle w:val="BodyText"/>
        <w:spacing w:line="273" w:lineRule="auto" w:before="17"/>
        <w:ind w:left="2814" w:right="209"/>
        <w:jc w:val="both"/>
      </w:pPr>
      <w:r>
        <w:rPr>
          <w:spacing w:val="-6"/>
        </w:rPr>
        <w:t>由专科医生依照经过修订的 </w:t>
      </w:r>
      <w:r>
        <w:rPr/>
        <w:t>Jones</w:t>
      </w:r>
      <w:r>
        <w:rPr>
          <w:spacing w:val="-7"/>
        </w:rPr>
        <w:t> 风湿热诊断标准确诊患有急性风湿热，并且</w:t>
      </w:r>
      <w:r>
        <w:rPr>
          <w:spacing w:val="-5"/>
        </w:rPr>
        <w:t>经心脏专科医生通过心脏瓣膜功能定量检查确认至少有一个或多个心脏瓣膜因</w:t>
      </w:r>
      <w:r>
        <w:rPr>
          <w:spacing w:val="-4"/>
        </w:rPr>
        <w:t>风湿热引起轻度瓣膜关闭不全。</w:t>
      </w:r>
      <w:r>
        <w:rPr/>
        <w:t> </w:t>
      </w:r>
    </w:p>
    <w:p>
      <w:pPr>
        <w:pStyle w:val="BodyText"/>
        <w:spacing w:line="240" w:lineRule="auto" w:before="7"/>
        <w:ind w:left="2814"/>
      </w:pPr>
      <w:r>
        <w:rPr/>
        <w:t>若被保险人已符合 “心脏瓣膜手术”给付标准的，则不在本主险合同保障范围</w:t>
      </w:r>
    </w:p>
    <w:p>
      <w:pPr>
        <w:pStyle w:val="BodyText"/>
        <w:spacing w:line="240" w:lineRule="auto" w:before="36"/>
        <w:ind w:left="2814"/>
      </w:pPr>
      <w:r>
        <w:rPr/>
        <w:t>内。 </w:t>
      </w:r>
    </w:p>
    <w:p>
      <w:pPr>
        <w:pStyle w:val="BodyText"/>
        <w:spacing w:line="240" w:lineRule="auto" w:before="36"/>
        <w:ind w:left="2814"/>
      </w:pPr>
      <w:r>
        <w:rPr/>
        <w:t>十五、因意外伤害毁容而施行的面部整形手术</w:t>
      </w:r>
    </w:p>
    <w:p>
      <w:pPr>
        <w:pStyle w:val="BodyText"/>
        <w:spacing w:line="273" w:lineRule="auto" w:before="36"/>
        <w:ind w:left="2814" w:right="211"/>
        <w:jc w:val="both"/>
      </w:pPr>
      <w:r>
        <w:rPr/>
        <w:t>实际接受了在全身麻醉的情況下，由整形外科医生实施的对严重缺陷、缺失、损害或变形的面部形态和结构进行修复或重建的面部整形手术，以矫正由于意外伤害或暴力袭击造成的面部毁损。 </w:t>
      </w:r>
    </w:p>
    <w:p>
      <w:pPr>
        <w:pStyle w:val="BodyText"/>
        <w:spacing w:line="240" w:lineRule="auto" w:before="7"/>
        <w:ind w:left="2814"/>
      </w:pPr>
      <w:r>
        <w:rPr/>
        <w:t>面部整形手术必须在意外伤害后的 180 天内实施。因面部外伤后遗留的线条状</w:t>
      </w:r>
    </w:p>
    <w:p>
      <w:pPr>
        <w:pStyle w:val="BodyText"/>
        <w:spacing w:line="240" w:lineRule="auto" w:before="37"/>
        <w:ind w:left="2814"/>
      </w:pPr>
      <w:r>
        <w:rPr/>
        <w:t>瘢痕及色素沉着而施行的手术不在保障范围内。 </w:t>
      </w:r>
    </w:p>
    <w:p>
      <w:pPr>
        <w:pStyle w:val="BodyText"/>
        <w:spacing w:line="240" w:lineRule="auto" w:before="37"/>
        <w:ind w:left="2814"/>
      </w:pPr>
      <w:r>
        <w:rPr/>
        <w:t>意外伤害必须满足下列全部条件： </w:t>
      </w:r>
    </w:p>
    <w:p>
      <w:pPr>
        <w:pStyle w:val="BodyText"/>
        <w:spacing w:line="273" w:lineRule="auto" w:before="37"/>
        <w:ind w:left="2814" w:right="209"/>
      </w:pPr>
      <w:r>
        <w:rPr>
          <w:spacing w:val="-17"/>
        </w:rPr>
        <w:t>（1）</w:t>
      </w:r>
      <w:r>
        <w:rPr>
          <w:spacing w:val="-5"/>
        </w:rPr>
        <w:t>由外在暴力引起并且造成表面可视性伤口和面部骨结构损害的，或面部皮</w:t>
      </w:r>
      <w:r>
        <w:rPr>
          <w:spacing w:val="-4"/>
        </w:rPr>
        <w:t>肤三度或全层意外烧伤；</w:t>
      </w:r>
      <w:r>
        <w:rPr/>
        <w:t> </w:t>
      </w:r>
    </w:p>
    <w:p>
      <w:pPr>
        <w:pStyle w:val="BodyText"/>
        <w:spacing w:line="260" w:lineRule="exact"/>
        <w:ind w:left="2814"/>
      </w:pPr>
      <w:r>
        <w:rPr/>
        <w:t>（2）是造成面部毁损的直接和独立的原因。 </w:t>
      </w:r>
    </w:p>
    <w:p>
      <w:pPr>
        <w:pStyle w:val="BodyText"/>
        <w:ind w:left="2814"/>
      </w:pPr>
      <w:r>
        <w:rPr/>
        <w:t>十六、双侧卵巢切除术 </w:t>
      </w:r>
    </w:p>
    <w:p>
      <w:pPr>
        <w:pStyle w:val="BodyText"/>
        <w:ind w:left="2814"/>
      </w:pPr>
      <w:r>
        <w:rPr/>
        <w:t>为了治疗疾病实际接受了经腹部切开或腹腔镜进行的双侧卵巢完全切除手术。</w:t>
      </w:r>
    </w:p>
    <w:p>
      <w:pPr>
        <w:pStyle w:val="BodyText"/>
        <w:ind w:left="2814"/>
      </w:pPr>
      <w:r>
        <w:rPr/>
        <w:t>部分卵巢切除不在保障范围。 </w:t>
      </w:r>
    </w:p>
    <w:p>
      <w:pPr>
        <w:pStyle w:val="BodyText"/>
        <w:ind w:left="2814"/>
      </w:pPr>
      <w:r>
        <w:rPr/>
        <w:t>十七、双侧睾丸切除手术</w:t>
      </w:r>
    </w:p>
    <w:p>
      <w:pPr>
        <w:pStyle w:val="BodyText"/>
        <w:ind w:left="2814"/>
      </w:pPr>
      <w:r>
        <w:rPr/>
        <w:t>为了治疗疾病实际接受了双侧睾丸完全切除手术。部分睾丸切除不在保障范围。 </w:t>
      </w:r>
    </w:p>
    <w:p>
      <w:pPr>
        <w:pStyle w:val="BodyText"/>
        <w:spacing w:line="273" w:lineRule="exact"/>
        <w:ind w:left="2814"/>
      </w:pPr>
      <w:r>
        <w:rPr/>
        <w:t>十八、脑外伤颅骨钻孔手术</w:t>
      </w:r>
    </w:p>
    <w:p>
      <w:pPr>
        <w:pStyle w:val="BodyText"/>
        <w:spacing w:line="240" w:lineRule="auto" w:before="20"/>
        <w:ind w:left="2814"/>
      </w:pPr>
      <w:r>
        <w:rPr/>
        <w:t>因头部遭受机械性外力，引起脑重要部位损伤，经神经外科专科医生确认有必</w:t>
      </w:r>
    </w:p>
    <w:p>
      <w:pPr>
        <w:pStyle w:val="BodyText"/>
        <w:spacing w:line="240" w:lineRule="auto" w:before="36"/>
        <w:ind w:left="2814"/>
      </w:pPr>
      <w:r>
        <w:rPr/>
        <w:t>要、并且实际接受了全麻下颅骨钻孔手术以引流硬膜下血肿。 </w:t>
      </w:r>
    </w:p>
    <w:p>
      <w:pPr>
        <w:pStyle w:val="ListParagraph"/>
        <w:numPr>
          <w:ilvl w:val="1"/>
          <w:numId w:val="7"/>
        </w:numPr>
        <w:tabs>
          <w:tab w:pos="855" w:val="left" w:leader="none"/>
          <w:tab w:pos="856" w:val="left" w:leader="none"/>
          <w:tab w:pos="2814" w:val="left" w:leader="none"/>
        </w:tabs>
        <w:spacing w:line="228" w:lineRule="auto" w:before="134" w:after="0"/>
        <w:ind w:left="2814" w:right="101" w:hanging="2714"/>
        <w:jc w:val="left"/>
        <w:rPr>
          <w:sz w:val="21"/>
        </w:rPr>
      </w:pPr>
      <w:r>
        <w:rPr>
          <w:rFonts w:ascii="Microsoft JhengHei" w:eastAsia="Microsoft JhengHei" w:hint="eastAsia"/>
          <w:b/>
          <w:sz w:val="21"/>
        </w:rPr>
        <w:t>8</w:t>
        <w:tab/>
        <w:t>毒品</w:t>
        <w:tab/>
      </w:r>
      <w:r>
        <w:rPr>
          <w:sz w:val="21"/>
        </w:rPr>
        <w:t>指中</w:t>
      </w:r>
      <w:r>
        <w:rPr>
          <w:spacing w:val="-3"/>
          <w:sz w:val="21"/>
        </w:rPr>
        <w:t>华</w:t>
      </w:r>
      <w:r>
        <w:rPr>
          <w:sz w:val="21"/>
        </w:rPr>
        <w:t>人</w:t>
      </w:r>
      <w:r>
        <w:rPr>
          <w:spacing w:val="-3"/>
          <w:sz w:val="21"/>
        </w:rPr>
        <w:t>民</w:t>
      </w:r>
      <w:r>
        <w:rPr>
          <w:sz w:val="21"/>
        </w:rPr>
        <w:t>共</w:t>
      </w:r>
      <w:r>
        <w:rPr>
          <w:spacing w:val="-3"/>
          <w:sz w:val="21"/>
        </w:rPr>
        <w:t>和</w:t>
      </w:r>
      <w:r>
        <w:rPr>
          <w:sz w:val="21"/>
        </w:rPr>
        <w:t>国</w:t>
      </w:r>
      <w:r>
        <w:rPr>
          <w:spacing w:val="-3"/>
          <w:sz w:val="21"/>
        </w:rPr>
        <w:t>刑</w:t>
      </w:r>
      <w:r>
        <w:rPr>
          <w:sz w:val="21"/>
        </w:rPr>
        <w:t>法</w:t>
      </w:r>
      <w:r>
        <w:rPr>
          <w:spacing w:val="-3"/>
          <w:sz w:val="21"/>
        </w:rPr>
        <w:t>规</w:t>
      </w:r>
      <w:r>
        <w:rPr>
          <w:sz w:val="21"/>
        </w:rPr>
        <w:t>定的</w:t>
      </w:r>
      <w:r>
        <w:rPr>
          <w:spacing w:val="-3"/>
          <w:sz w:val="21"/>
        </w:rPr>
        <w:t>鸦</w:t>
      </w:r>
      <w:r>
        <w:rPr>
          <w:sz w:val="21"/>
        </w:rPr>
        <w:t>片</w:t>
      </w:r>
      <w:r>
        <w:rPr>
          <w:spacing w:val="-41"/>
          <w:sz w:val="21"/>
        </w:rPr>
        <w:t>、</w:t>
      </w:r>
      <w:r>
        <w:rPr>
          <w:spacing w:val="-3"/>
          <w:sz w:val="21"/>
        </w:rPr>
        <w:t>海</w:t>
      </w:r>
      <w:r>
        <w:rPr>
          <w:sz w:val="21"/>
        </w:rPr>
        <w:t>洛因</w:t>
      </w:r>
      <w:r>
        <w:rPr>
          <w:spacing w:val="-44"/>
          <w:sz w:val="21"/>
        </w:rPr>
        <w:t>、</w:t>
      </w:r>
      <w:r>
        <w:rPr>
          <w:sz w:val="21"/>
        </w:rPr>
        <w:t>甲</w:t>
      </w:r>
      <w:r>
        <w:rPr>
          <w:spacing w:val="-3"/>
          <w:sz w:val="21"/>
        </w:rPr>
        <w:t>基苯</w:t>
      </w:r>
      <w:r>
        <w:rPr>
          <w:sz w:val="21"/>
        </w:rPr>
        <w:t>丙</w:t>
      </w:r>
      <w:r>
        <w:rPr>
          <w:spacing w:val="-41"/>
          <w:sz w:val="21"/>
        </w:rPr>
        <w:t>胺</w:t>
      </w:r>
      <w:r>
        <w:rPr>
          <w:sz w:val="21"/>
        </w:rPr>
        <w:t>（</w:t>
      </w:r>
      <w:r>
        <w:rPr>
          <w:spacing w:val="-3"/>
          <w:sz w:val="21"/>
        </w:rPr>
        <w:t>冰</w:t>
      </w:r>
      <w:r>
        <w:rPr>
          <w:sz w:val="21"/>
        </w:rPr>
        <w:t>毒</w:t>
      </w:r>
      <w:r>
        <w:rPr>
          <w:spacing w:val="-106"/>
          <w:sz w:val="21"/>
        </w:rPr>
        <w:t>）</w:t>
      </w:r>
      <w:r>
        <w:rPr>
          <w:spacing w:val="-44"/>
          <w:sz w:val="21"/>
        </w:rPr>
        <w:t>、</w:t>
      </w:r>
      <w:r>
        <w:rPr>
          <w:sz w:val="21"/>
        </w:rPr>
        <w:t>吗啡</w:t>
      </w:r>
      <w:r>
        <w:rPr>
          <w:spacing w:val="-44"/>
          <w:sz w:val="21"/>
        </w:rPr>
        <w:t>、</w:t>
      </w:r>
      <w:r>
        <w:rPr>
          <w:sz w:val="21"/>
        </w:rPr>
        <w:t>大 麻、可卡</w:t>
      </w:r>
      <w:r>
        <w:rPr>
          <w:spacing w:val="-3"/>
          <w:sz w:val="21"/>
        </w:rPr>
        <w:t>因</w:t>
      </w:r>
      <w:r>
        <w:rPr>
          <w:sz w:val="21"/>
        </w:rPr>
        <w:t>以</w:t>
      </w:r>
      <w:r>
        <w:rPr>
          <w:spacing w:val="-3"/>
          <w:sz w:val="21"/>
        </w:rPr>
        <w:t>及</w:t>
      </w:r>
      <w:r>
        <w:rPr>
          <w:sz w:val="21"/>
        </w:rPr>
        <w:t>国</w:t>
      </w:r>
      <w:r>
        <w:rPr>
          <w:spacing w:val="-3"/>
          <w:sz w:val="21"/>
        </w:rPr>
        <w:t>家</w:t>
      </w:r>
      <w:r>
        <w:rPr>
          <w:sz w:val="21"/>
        </w:rPr>
        <w:t>规</w:t>
      </w:r>
      <w:r>
        <w:rPr>
          <w:spacing w:val="-3"/>
          <w:sz w:val="21"/>
        </w:rPr>
        <w:t>定</w:t>
      </w:r>
      <w:r>
        <w:rPr>
          <w:sz w:val="21"/>
        </w:rPr>
        <w:t>管</w:t>
      </w:r>
      <w:r>
        <w:rPr>
          <w:spacing w:val="-3"/>
          <w:sz w:val="21"/>
        </w:rPr>
        <w:t>制</w:t>
      </w:r>
      <w:r>
        <w:rPr>
          <w:sz w:val="21"/>
        </w:rPr>
        <w:t>的其</w:t>
      </w:r>
      <w:r>
        <w:rPr>
          <w:spacing w:val="-3"/>
          <w:sz w:val="21"/>
        </w:rPr>
        <w:t>他</w:t>
      </w:r>
      <w:r>
        <w:rPr>
          <w:sz w:val="21"/>
        </w:rPr>
        <w:t>能</w:t>
      </w:r>
      <w:r>
        <w:rPr>
          <w:spacing w:val="-3"/>
          <w:sz w:val="21"/>
        </w:rPr>
        <w:t>够</w:t>
      </w:r>
      <w:r>
        <w:rPr>
          <w:sz w:val="21"/>
        </w:rPr>
        <w:t>使</w:t>
      </w:r>
      <w:r>
        <w:rPr>
          <w:spacing w:val="-3"/>
          <w:sz w:val="21"/>
        </w:rPr>
        <w:t>人</w:t>
      </w:r>
      <w:r>
        <w:rPr>
          <w:sz w:val="21"/>
        </w:rPr>
        <w:t>形</w:t>
      </w:r>
      <w:r>
        <w:rPr>
          <w:spacing w:val="-3"/>
          <w:sz w:val="21"/>
        </w:rPr>
        <w:t>成</w:t>
      </w:r>
      <w:r>
        <w:rPr>
          <w:sz w:val="21"/>
        </w:rPr>
        <w:t>瘾</w:t>
      </w:r>
      <w:r>
        <w:rPr>
          <w:spacing w:val="-3"/>
          <w:sz w:val="21"/>
        </w:rPr>
        <w:t>癖</w:t>
      </w:r>
      <w:r>
        <w:rPr>
          <w:sz w:val="21"/>
        </w:rPr>
        <w:t>的麻</w:t>
      </w:r>
      <w:r>
        <w:rPr>
          <w:spacing w:val="-3"/>
          <w:sz w:val="21"/>
        </w:rPr>
        <w:t>醉</w:t>
      </w:r>
      <w:r>
        <w:rPr>
          <w:sz w:val="21"/>
        </w:rPr>
        <w:t>药</w:t>
      </w:r>
      <w:r>
        <w:rPr>
          <w:spacing w:val="-3"/>
          <w:sz w:val="21"/>
        </w:rPr>
        <w:t>品</w:t>
      </w:r>
      <w:r>
        <w:rPr>
          <w:sz w:val="21"/>
        </w:rPr>
        <w:t>和</w:t>
      </w:r>
      <w:r>
        <w:rPr>
          <w:spacing w:val="-3"/>
          <w:sz w:val="21"/>
        </w:rPr>
        <w:t>精</w:t>
      </w:r>
      <w:r>
        <w:rPr>
          <w:sz w:val="21"/>
        </w:rPr>
        <w:t>神</w:t>
      </w:r>
      <w:r>
        <w:rPr>
          <w:spacing w:val="-3"/>
          <w:sz w:val="21"/>
        </w:rPr>
        <w:t>药</w:t>
      </w:r>
      <w:r>
        <w:rPr>
          <w:sz w:val="21"/>
        </w:rPr>
        <w:t>品</w:t>
      </w:r>
      <w:r>
        <w:rPr>
          <w:spacing w:val="-3"/>
          <w:sz w:val="21"/>
        </w:rPr>
        <w:t>，</w:t>
      </w:r>
      <w:r>
        <w:rPr>
          <w:sz w:val="21"/>
        </w:rPr>
        <w:t>但不包</w:t>
      </w:r>
      <w:r>
        <w:rPr>
          <w:spacing w:val="-3"/>
          <w:sz w:val="21"/>
        </w:rPr>
        <w:t>括</w:t>
      </w:r>
      <w:r>
        <w:rPr>
          <w:sz w:val="21"/>
        </w:rPr>
        <w:t>由</w:t>
      </w:r>
      <w:r>
        <w:rPr>
          <w:spacing w:val="-3"/>
          <w:sz w:val="21"/>
        </w:rPr>
        <w:t>医</w:t>
      </w:r>
      <w:r>
        <w:rPr>
          <w:sz w:val="21"/>
        </w:rPr>
        <w:t>生</w:t>
      </w:r>
      <w:r>
        <w:rPr>
          <w:spacing w:val="-3"/>
          <w:sz w:val="21"/>
        </w:rPr>
        <w:t>开</w:t>
      </w:r>
      <w:r>
        <w:rPr>
          <w:sz w:val="21"/>
        </w:rPr>
        <w:t>具</w:t>
      </w:r>
      <w:r>
        <w:rPr>
          <w:spacing w:val="-3"/>
          <w:sz w:val="21"/>
        </w:rPr>
        <w:t>并</w:t>
      </w:r>
      <w:r>
        <w:rPr>
          <w:sz w:val="21"/>
        </w:rPr>
        <w:t>遵</w:t>
      </w:r>
      <w:r>
        <w:rPr>
          <w:spacing w:val="-3"/>
          <w:sz w:val="21"/>
        </w:rPr>
        <w:t>医</w:t>
      </w:r>
      <w:r>
        <w:rPr>
          <w:sz w:val="21"/>
        </w:rPr>
        <w:t>嘱使</w:t>
      </w:r>
      <w:r>
        <w:rPr>
          <w:spacing w:val="-3"/>
          <w:sz w:val="21"/>
        </w:rPr>
        <w:t>用</w:t>
      </w:r>
      <w:r>
        <w:rPr>
          <w:sz w:val="21"/>
        </w:rPr>
        <w:t>的</w:t>
      </w:r>
      <w:r>
        <w:rPr>
          <w:spacing w:val="-3"/>
          <w:sz w:val="21"/>
        </w:rPr>
        <w:t>用</w:t>
      </w:r>
      <w:r>
        <w:rPr>
          <w:sz w:val="21"/>
        </w:rPr>
        <w:t>于</w:t>
      </w:r>
      <w:r>
        <w:rPr>
          <w:spacing w:val="-3"/>
          <w:sz w:val="21"/>
        </w:rPr>
        <w:t>治</w:t>
      </w:r>
      <w:r>
        <w:rPr>
          <w:sz w:val="21"/>
        </w:rPr>
        <w:t>疗</w:t>
      </w:r>
      <w:r>
        <w:rPr>
          <w:spacing w:val="-3"/>
          <w:sz w:val="21"/>
        </w:rPr>
        <w:t>疾</w:t>
      </w:r>
      <w:r>
        <w:rPr>
          <w:sz w:val="21"/>
        </w:rPr>
        <w:t>病</w:t>
      </w:r>
      <w:r>
        <w:rPr>
          <w:spacing w:val="-3"/>
          <w:sz w:val="21"/>
        </w:rPr>
        <w:t>但</w:t>
      </w:r>
      <w:r>
        <w:rPr>
          <w:sz w:val="21"/>
        </w:rPr>
        <w:t>含有</w:t>
      </w:r>
      <w:r>
        <w:rPr>
          <w:spacing w:val="-3"/>
          <w:sz w:val="21"/>
        </w:rPr>
        <w:t>毒</w:t>
      </w:r>
      <w:r>
        <w:rPr>
          <w:sz w:val="21"/>
        </w:rPr>
        <w:t>品</w:t>
      </w:r>
      <w:r>
        <w:rPr>
          <w:spacing w:val="-3"/>
          <w:sz w:val="21"/>
        </w:rPr>
        <w:t>成</w:t>
      </w:r>
      <w:r>
        <w:rPr>
          <w:sz w:val="21"/>
        </w:rPr>
        <w:t>分</w:t>
      </w:r>
      <w:r>
        <w:rPr>
          <w:spacing w:val="-3"/>
          <w:sz w:val="21"/>
        </w:rPr>
        <w:t>的</w:t>
      </w:r>
      <w:r>
        <w:rPr>
          <w:sz w:val="21"/>
        </w:rPr>
        <w:t>处</w:t>
      </w:r>
      <w:r>
        <w:rPr>
          <w:spacing w:val="-3"/>
          <w:sz w:val="21"/>
        </w:rPr>
        <w:t>方</w:t>
      </w:r>
      <w:r>
        <w:rPr>
          <w:sz w:val="21"/>
        </w:rPr>
        <w:t>药</w:t>
      </w:r>
      <w:r>
        <w:rPr>
          <w:spacing w:val="-3"/>
          <w:sz w:val="21"/>
        </w:rPr>
        <w:t>品</w:t>
      </w:r>
      <w:r>
        <w:rPr>
          <w:sz w:val="21"/>
        </w:rPr>
        <w:t>。</w:t>
      </w:r>
    </w:p>
    <w:p>
      <w:pPr>
        <w:pStyle w:val="BodyText"/>
        <w:spacing w:line="177" w:lineRule="exact"/>
        <w:ind w:left="2814"/>
      </w:pPr>
      <w:r>
        <w:rPr>
          <w:w w:val="100"/>
        </w:rPr>
        <w:t> </w:t>
      </w:r>
    </w:p>
    <w:p>
      <w:pPr>
        <w:pStyle w:val="ListParagraph"/>
        <w:numPr>
          <w:ilvl w:val="1"/>
          <w:numId w:val="7"/>
        </w:numPr>
        <w:tabs>
          <w:tab w:pos="855" w:val="left" w:leader="none"/>
          <w:tab w:pos="856" w:val="left" w:leader="none"/>
          <w:tab w:pos="2814" w:val="left" w:leader="none"/>
        </w:tabs>
        <w:spacing w:line="307" w:lineRule="exact" w:before="0" w:after="0"/>
        <w:ind w:left="2814" w:right="0" w:hanging="2714"/>
        <w:jc w:val="left"/>
        <w:rPr>
          <w:sz w:val="21"/>
        </w:rPr>
      </w:pPr>
      <w:r>
        <w:rPr>
          <w:rFonts w:ascii="Microsoft JhengHei" w:eastAsia="Microsoft JhengHei" w:hint="eastAsia"/>
          <w:b/>
          <w:sz w:val="21"/>
        </w:rPr>
        <w:t>9</w:t>
        <w:tab/>
        <w:t>酒后驾驶</w:t>
        <w:tab/>
      </w:r>
      <w:r>
        <w:rPr>
          <w:sz w:val="21"/>
        </w:rPr>
        <w:t>指经</w:t>
      </w:r>
      <w:r>
        <w:rPr>
          <w:spacing w:val="-3"/>
          <w:sz w:val="21"/>
        </w:rPr>
        <w:t>检</w:t>
      </w:r>
      <w:r>
        <w:rPr>
          <w:sz w:val="21"/>
        </w:rPr>
        <w:t>测</w:t>
      </w:r>
      <w:r>
        <w:rPr>
          <w:spacing w:val="-3"/>
          <w:sz w:val="21"/>
        </w:rPr>
        <w:t>或</w:t>
      </w:r>
      <w:r>
        <w:rPr>
          <w:sz w:val="21"/>
        </w:rPr>
        <w:t>鉴</w:t>
      </w:r>
      <w:r>
        <w:rPr>
          <w:spacing w:val="-3"/>
          <w:sz w:val="21"/>
        </w:rPr>
        <w:t>定</w:t>
      </w:r>
      <w:r>
        <w:rPr>
          <w:sz w:val="21"/>
        </w:rPr>
        <w:t>，</w:t>
      </w:r>
      <w:r>
        <w:rPr>
          <w:spacing w:val="-3"/>
          <w:sz w:val="21"/>
        </w:rPr>
        <w:t>发</w:t>
      </w:r>
      <w:r>
        <w:rPr>
          <w:sz w:val="21"/>
        </w:rPr>
        <w:t>生</w:t>
      </w:r>
      <w:r>
        <w:rPr>
          <w:spacing w:val="-3"/>
          <w:sz w:val="21"/>
        </w:rPr>
        <w:t>事</w:t>
      </w:r>
      <w:r>
        <w:rPr>
          <w:sz w:val="21"/>
        </w:rPr>
        <w:t>故时</w:t>
      </w:r>
      <w:r>
        <w:rPr>
          <w:spacing w:val="-3"/>
          <w:sz w:val="21"/>
        </w:rPr>
        <w:t>车</w:t>
      </w:r>
      <w:r>
        <w:rPr>
          <w:sz w:val="21"/>
        </w:rPr>
        <w:t>辆</w:t>
      </w:r>
      <w:r>
        <w:rPr>
          <w:spacing w:val="-3"/>
          <w:sz w:val="21"/>
        </w:rPr>
        <w:t>驾</w:t>
      </w:r>
      <w:r>
        <w:rPr>
          <w:sz w:val="21"/>
        </w:rPr>
        <w:t>驶</w:t>
      </w:r>
      <w:r>
        <w:rPr>
          <w:spacing w:val="-3"/>
          <w:sz w:val="21"/>
        </w:rPr>
        <w:t>人</w:t>
      </w:r>
      <w:r>
        <w:rPr>
          <w:sz w:val="21"/>
        </w:rPr>
        <w:t>员</w:t>
      </w:r>
      <w:r>
        <w:rPr>
          <w:spacing w:val="-3"/>
          <w:sz w:val="21"/>
        </w:rPr>
        <w:t>每</w:t>
      </w:r>
      <w:r>
        <w:rPr>
          <w:sz w:val="21"/>
        </w:rPr>
        <w:t>百</w:t>
      </w:r>
      <w:r>
        <w:rPr>
          <w:spacing w:val="-3"/>
          <w:sz w:val="21"/>
        </w:rPr>
        <w:t>毫</w:t>
      </w:r>
      <w:r>
        <w:rPr>
          <w:sz w:val="21"/>
        </w:rPr>
        <w:t>升血</w:t>
      </w:r>
      <w:r>
        <w:rPr>
          <w:spacing w:val="-3"/>
          <w:sz w:val="21"/>
        </w:rPr>
        <w:t>液</w:t>
      </w:r>
      <w:r>
        <w:rPr>
          <w:sz w:val="21"/>
        </w:rPr>
        <w:t>中</w:t>
      </w:r>
      <w:r>
        <w:rPr>
          <w:spacing w:val="-3"/>
          <w:sz w:val="21"/>
        </w:rPr>
        <w:t>的</w:t>
      </w:r>
      <w:r>
        <w:rPr>
          <w:sz w:val="21"/>
        </w:rPr>
        <w:t>酒</w:t>
      </w:r>
      <w:r>
        <w:rPr>
          <w:spacing w:val="-3"/>
          <w:sz w:val="21"/>
        </w:rPr>
        <w:t>精</w:t>
      </w:r>
      <w:r>
        <w:rPr>
          <w:sz w:val="21"/>
        </w:rPr>
        <w:t>含</w:t>
      </w:r>
      <w:r>
        <w:rPr>
          <w:spacing w:val="-3"/>
          <w:sz w:val="21"/>
        </w:rPr>
        <w:t>量 </w:t>
      </w:r>
      <w:r>
        <w:rPr>
          <w:sz w:val="21"/>
        </w:rPr>
        <w:t>达</w:t>
      </w:r>
      <w:r>
        <w:rPr>
          <w:spacing w:val="-3"/>
          <w:sz w:val="21"/>
        </w:rPr>
        <w:t>到</w:t>
      </w:r>
      <w:r>
        <w:rPr>
          <w:sz w:val="21"/>
        </w:rPr>
        <w:t>或</w:t>
      </w:r>
    </w:p>
    <w:p>
      <w:pPr>
        <w:pStyle w:val="BodyText"/>
        <w:spacing w:line="237" w:lineRule="auto"/>
        <w:ind w:left="2814" w:right="218"/>
      </w:pPr>
      <w:r>
        <w:rPr/>
        <w:t>超过一定的标准，公安机关交通管理部门依据《道路交通安全法》的规定认定为饮酒后驾驶或醉酒后驾驶。</w:t>
      </w:r>
    </w:p>
    <w:p>
      <w:pPr>
        <w:spacing w:after="0" w:line="237" w:lineRule="auto"/>
        <w:sectPr>
          <w:pgSz w:w="11900" w:h="16840"/>
          <w:pgMar w:header="0" w:footer="676" w:top="1180" w:bottom="860" w:left="920" w:right="80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948"/>
        <w:gridCol w:w="7447"/>
      </w:tblGrid>
      <w:tr>
        <w:trPr>
          <w:trHeight w:val="225" w:hRule="atLeast"/>
        </w:trPr>
        <w:tc>
          <w:tcPr>
            <w:tcW w:w="2630" w:type="dxa"/>
            <w:gridSpan w:val="2"/>
          </w:tcPr>
          <w:p>
            <w:pPr>
              <w:pStyle w:val="TableParagraph"/>
              <w:rPr>
                <w:rFonts w:ascii="Times New Roman"/>
                <w:sz w:val="16"/>
              </w:rPr>
            </w:pPr>
          </w:p>
        </w:tc>
        <w:tc>
          <w:tcPr>
            <w:tcW w:w="7447" w:type="dxa"/>
          </w:tcPr>
          <w:p>
            <w:pPr>
              <w:pStyle w:val="TableParagraph"/>
              <w:spacing w:line="206" w:lineRule="exact"/>
              <w:ind w:left="134"/>
              <w:rPr>
                <w:sz w:val="21"/>
              </w:rPr>
            </w:pPr>
            <w:r>
              <w:rPr>
                <w:w w:val="100"/>
                <w:sz w:val="21"/>
              </w:rPr>
              <w:t> </w:t>
            </w:r>
          </w:p>
        </w:tc>
      </w:tr>
      <w:tr>
        <w:trPr>
          <w:trHeight w:val="273" w:hRule="atLeast"/>
        </w:trPr>
        <w:tc>
          <w:tcPr>
            <w:tcW w:w="682" w:type="dxa"/>
          </w:tcPr>
          <w:p>
            <w:pPr>
              <w:pStyle w:val="TableParagraph"/>
              <w:spacing w:line="254" w:lineRule="exact"/>
              <w:ind w:left="50"/>
              <w:rPr>
                <w:rFonts w:ascii="Microsoft JhengHei"/>
                <w:b/>
                <w:sz w:val="21"/>
              </w:rPr>
            </w:pPr>
            <w:r>
              <w:rPr>
                <w:rFonts w:ascii="Microsoft JhengHei"/>
                <w:b/>
                <w:w w:val="90"/>
                <w:sz w:val="21"/>
              </w:rPr>
              <w:t>10. 10</w:t>
            </w:r>
          </w:p>
        </w:tc>
        <w:tc>
          <w:tcPr>
            <w:tcW w:w="1948" w:type="dxa"/>
          </w:tcPr>
          <w:p>
            <w:pPr>
              <w:pStyle w:val="TableParagraph"/>
              <w:spacing w:line="254" w:lineRule="exact"/>
              <w:ind w:left="124"/>
              <w:rPr>
                <w:rFonts w:ascii="Microsoft JhengHei" w:eastAsia="Microsoft JhengHei" w:hint="eastAsia"/>
                <w:b/>
                <w:sz w:val="21"/>
              </w:rPr>
            </w:pPr>
            <w:r>
              <w:rPr>
                <w:rFonts w:ascii="Microsoft JhengHei" w:eastAsia="Microsoft JhengHei" w:hint="eastAsia"/>
                <w:b/>
                <w:sz w:val="21"/>
              </w:rPr>
              <w:t>无合法有效驾驶证</w:t>
            </w:r>
          </w:p>
        </w:tc>
        <w:tc>
          <w:tcPr>
            <w:tcW w:w="7447" w:type="dxa"/>
          </w:tcPr>
          <w:p>
            <w:pPr>
              <w:pStyle w:val="TableParagraph"/>
              <w:spacing w:line="235" w:lineRule="exact"/>
              <w:ind w:left="134"/>
              <w:rPr>
                <w:sz w:val="21"/>
              </w:rPr>
            </w:pPr>
            <w:r>
              <w:rPr>
                <w:sz w:val="21"/>
              </w:rPr>
              <w:t>指下列情形之一： </w:t>
            </w:r>
          </w:p>
        </w:tc>
      </w:tr>
      <w:tr>
        <w:trPr>
          <w:trHeight w:val="264" w:hRule="atLeast"/>
        </w:trPr>
        <w:tc>
          <w:tcPr>
            <w:tcW w:w="682" w:type="dxa"/>
          </w:tcPr>
          <w:p>
            <w:pPr>
              <w:pStyle w:val="TableParagraph"/>
              <w:rPr>
                <w:rFonts w:ascii="Times New Roman"/>
                <w:sz w:val="18"/>
              </w:rPr>
            </w:pPr>
          </w:p>
        </w:tc>
        <w:tc>
          <w:tcPr>
            <w:tcW w:w="1948" w:type="dxa"/>
          </w:tcPr>
          <w:p>
            <w:pPr>
              <w:pStyle w:val="TableParagraph"/>
              <w:spacing w:line="245" w:lineRule="exact"/>
              <w:ind w:left="124"/>
              <w:rPr>
                <w:rFonts w:ascii="Microsoft JhengHei" w:eastAsia="Microsoft JhengHei" w:hint="eastAsia"/>
                <w:b/>
                <w:sz w:val="21"/>
              </w:rPr>
            </w:pPr>
            <w:r>
              <w:rPr>
                <w:rFonts w:ascii="Microsoft JhengHei" w:eastAsia="Microsoft JhengHei" w:hint="eastAsia"/>
                <w:b/>
                <w:sz w:val="21"/>
              </w:rPr>
              <w:t>驾驶</w:t>
            </w:r>
          </w:p>
        </w:tc>
        <w:tc>
          <w:tcPr>
            <w:tcW w:w="7447" w:type="dxa"/>
          </w:tcPr>
          <w:p>
            <w:pPr>
              <w:pStyle w:val="TableParagraph"/>
              <w:spacing w:line="235" w:lineRule="exact"/>
              <w:ind w:left="134"/>
              <w:rPr>
                <w:sz w:val="21"/>
              </w:rPr>
            </w:pPr>
            <w:r>
              <w:rPr>
                <w:sz w:val="21"/>
              </w:rPr>
              <w:t>（1）没有取得驾驶资格； </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1" w:lineRule="exact"/>
              <w:ind w:left="134"/>
              <w:rPr>
                <w:sz w:val="21"/>
              </w:rPr>
            </w:pPr>
            <w:r>
              <w:rPr>
                <w:sz w:val="21"/>
              </w:rPr>
              <w:t>（2）驾驶与驾驶证准驾车型不相符合的车辆； </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2" w:lineRule="exact"/>
              <w:ind w:left="134"/>
              <w:rPr>
                <w:sz w:val="21"/>
              </w:rPr>
            </w:pPr>
            <w:r>
              <w:rPr>
                <w:sz w:val="21"/>
              </w:rPr>
              <w:t>（3）持审验不合格的驾驶证驾驶； </w:t>
            </w:r>
          </w:p>
        </w:tc>
      </w:tr>
      <w:tr>
        <w:trPr>
          <w:trHeight w:val="241"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21" w:lineRule="exact"/>
              <w:ind w:left="134"/>
              <w:rPr>
                <w:sz w:val="21"/>
              </w:rPr>
            </w:pPr>
            <w:r>
              <w:rPr>
                <w:sz w:val="21"/>
              </w:rPr>
              <w:t>（4）持学习驾驶证学习驾车时，无教练员随车指导，或不按指定时间、路线学</w:t>
            </w:r>
          </w:p>
        </w:tc>
      </w:tr>
      <w:tr>
        <w:trPr>
          <w:trHeight w:val="509"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6" w:lineRule="exact"/>
              <w:ind w:left="660"/>
              <w:rPr>
                <w:sz w:val="21"/>
              </w:rPr>
            </w:pPr>
            <w:r>
              <w:rPr>
                <w:sz w:val="21"/>
              </w:rPr>
              <w:t>习驾车。 </w:t>
            </w:r>
          </w:p>
          <w:p>
            <w:pPr>
              <w:pStyle w:val="TableParagraph"/>
              <w:spacing w:line="244" w:lineRule="exact"/>
              <w:ind w:left="134"/>
              <w:rPr>
                <w:sz w:val="21"/>
              </w:rPr>
            </w:pPr>
            <w:r>
              <w:rPr>
                <w:w w:val="100"/>
                <w:sz w:val="21"/>
              </w:rPr>
              <w:t> </w:t>
            </w:r>
          </w:p>
        </w:tc>
      </w:tr>
      <w:tr>
        <w:trPr>
          <w:trHeight w:val="273" w:hRule="atLeast"/>
        </w:trPr>
        <w:tc>
          <w:tcPr>
            <w:tcW w:w="682" w:type="dxa"/>
          </w:tcPr>
          <w:p>
            <w:pPr>
              <w:pStyle w:val="TableParagraph"/>
              <w:spacing w:line="254" w:lineRule="exact"/>
              <w:ind w:left="50"/>
              <w:rPr>
                <w:rFonts w:ascii="Microsoft JhengHei"/>
                <w:b/>
                <w:sz w:val="21"/>
              </w:rPr>
            </w:pPr>
            <w:r>
              <w:rPr>
                <w:rFonts w:ascii="Microsoft JhengHei"/>
                <w:b/>
                <w:w w:val="90"/>
                <w:sz w:val="21"/>
              </w:rPr>
              <w:t>10. 11</w:t>
            </w:r>
          </w:p>
        </w:tc>
        <w:tc>
          <w:tcPr>
            <w:tcW w:w="1948" w:type="dxa"/>
          </w:tcPr>
          <w:p>
            <w:pPr>
              <w:pStyle w:val="TableParagraph"/>
              <w:spacing w:line="254" w:lineRule="exact"/>
              <w:ind w:left="124"/>
              <w:rPr>
                <w:rFonts w:ascii="Microsoft JhengHei" w:eastAsia="Microsoft JhengHei" w:hint="eastAsia"/>
                <w:b/>
                <w:sz w:val="21"/>
              </w:rPr>
            </w:pPr>
            <w:r>
              <w:rPr>
                <w:rFonts w:ascii="Microsoft JhengHei" w:eastAsia="Microsoft JhengHei" w:hint="eastAsia"/>
                <w:b/>
                <w:sz w:val="21"/>
              </w:rPr>
              <w:t>无有效行驶证</w:t>
            </w:r>
          </w:p>
        </w:tc>
        <w:tc>
          <w:tcPr>
            <w:tcW w:w="7447" w:type="dxa"/>
          </w:tcPr>
          <w:p>
            <w:pPr>
              <w:pStyle w:val="TableParagraph"/>
              <w:spacing w:line="236" w:lineRule="exact"/>
              <w:ind w:left="134"/>
              <w:rPr>
                <w:sz w:val="21"/>
              </w:rPr>
            </w:pPr>
            <w:r>
              <w:rPr>
                <w:sz w:val="21"/>
              </w:rPr>
              <w:t>指下列情形之一： </w:t>
            </w:r>
          </w:p>
        </w:tc>
      </w:tr>
      <w:tr>
        <w:trPr>
          <w:trHeight w:val="263"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34" w:lineRule="exact"/>
              <w:ind w:left="134"/>
              <w:rPr>
                <w:sz w:val="21"/>
              </w:rPr>
            </w:pPr>
            <w:r>
              <w:rPr>
                <w:sz w:val="21"/>
              </w:rPr>
              <w:t>（1）机动车被依法注销登记的；  </w:t>
            </w:r>
          </w:p>
        </w:tc>
      </w:tr>
      <w:tr>
        <w:trPr>
          <w:trHeight w:val="247"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27" w:lineRule="exact"/>
              <w:ind w:left="134"/>
              <w:rPr>
                <w:sz w:val="21"/>
              </w:rPr>
            </w:pPr>
            <w:r>
              <w:rPr>
                <w:sz w:val="21"/>
              </w:rPr>
              <w:t>（2）未依法按时进行或通过机动车安全技术检验。 </w:t>
            </w:r>
          </w:p>
        </w:tc>
      </w:tr>
      <w:tr>
        <w:trPr>
          <w:trHeight w:val="231"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12" w:lineRule="exact"/>
              <w:ind w:left="134"/>
              <w:rPr>
                <w:sz w:val="21"/>
              </w:rPr>
            </w:pPr>
            <w:r>
              <w:rPr>
                <w:w w:val="100"/>
                <w:sz w:val="21"/>
              </w:rPr>
              <w:t> </w:t>
            </w:r>
          </w:p>
        </w:tc>
      </w:tr>
      <w:tr>
        <w:trPr>
          <w:trHeight w:val="273" w:hRule="atLeast"/>
        </w:trPr>
        <w:tc>
          <w:tcPr>
            <w:tcW w:w="682" w:type="dxa"/>
          </w:tcPr>
          <w:p>
            <w:pPr>
              <w:pStyle w:val="TableParagraph"/>
              <w:spacing w:line="254" w:lineRule="exact"/>
              <w:ind w:left="50"/>
              <w:rPr>
                <w:rFonts w:ascii="Microsoft JhengHei"/>
                <w:b/>
                <w:sz w:val="21"/>
              </w:rPr>
            </w:pPr>
            <w:r>
              <w:rPr>
                <w:rFonts w:ascii="Microsoft JhengHei"/>
                <w:b/>
                <w:w w:val="90"/>
                <w:sz w:val="21"/>
              </w:rPr>
              <w:t>10. 12</w:t>
            </w:r>
          </w:p>
        </w:tc>
        <w:tc>
          <w:tcPr>
            <w:tcW w:w="1948" w:type="dxa"/>
          </w:tcPr>
          <w:p>
            <w:pPr>
              <w:pStyle w:val="TableParagraph"/>
              <w:spacing w:line="254" w:lineRule="exact"/>
              <w:ind w:left="124"/>
              <w:rPr>
                <w:rFonts w:ascii="Microsoft JhengHei" w:eastAsia="Microsoft JhengHei" w:hint="eastAsia"/>
                <w:b/>
                <w:sz w:val="21"/>
              </w:rPr>
            </w:pPr>
            <w:r>
              <w:rPr>
                <w:rFonts w:ascii="Microsoft JhengHei" w:eastAsia="Microsoft JhengHei" w:hint="eastAsia"/>
                <w:b/>
                <w:sz w:val="21"/>
              </w:rPr>
              <w:t>机动车</w:t>
            </w:r>
          </w:p>
        </w:tc>
        <w:tc>
          <w:tcPr>
            <w:tcW w:w="7447" w:type="dxa"/>
          </w:tcPr>
          <w:p>
            <w:pPr>
              <w:pStyle w:val="TableParagraph"/>
              <w:spacing w:line="235" w:lineRule="exact"/>
              <w:ind w:left="134"/>
              <w:rPr>
                <w:sz w:val="21"/>
              </w:rPr>
            </w:pPr>
            <w:r>
              <w:rPr>
                <w:sz w:val="21"/>
              </w:rPr>
              <w:t>指以动力装置驱动或者牵引，上道路行驶的供人员乘用或者用于运送物品以及</w:t>
            </w:r>
          </w:p>
        </w:tc>
      </w:tr>
      <w:tr>
        <w:trPr>
          <w:trHeight w:val="239"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20" w:lineRule="exact"/>
              <w:ind w:left="134"/>
              <w:rPr>
                <w:sz w:val="21"/>
              </w:rPr>
            </w:pPr>
            <w:r>
              <w:rPr>
                <w:sz w:val="21"/>
              </w:rPr>
              <w:t>进行工程专项作业的轮式车辆。 </w:t>
            </w:r>
          </w:p>
        </w:tc>
      </w:tr>
      <w:tr>
        <w:trPr>
          <w:trHeight w:val="231"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12" w:lineRule="exact"/>
              <w:ind w:left="134"/>
              <w:rPr>
                <w:sz w:val="21"/>
              </w:rPr>
            </w:pPr>
            <w:r>
              <w:rPr>
                <w:w w:val="100"/>
                <w:sz w:val="21"/>
              </w:rPr>
              <w:t> </w:t>
            </w:r>
          </w:p>
        </w:tc>
      </w:tr>
      <w:tr>
        <w:trPr>
          <w:trHeight w:val="270" w:hRule="atLeast"/>
        </w:trPr>
        <w:tc>
          <w:tcPr>
            <w:tcW w:w="682" w:type="dxa"/>
          </w:tcPr>
          <w:p>
            <w:pPr>
              <w:pStyle w:val="TableParagraph"/>
              <w:spacing w:line="251" w:lineRule="exact"/>
              <w:ind w:left="50"/>
              <w:rPr>
                <w:rFonts w:ascii="Microsoft JhengHei"/>
                <w:b/>
                <w:sz w:val="21"/>
              </w:rPr>
            </w:pPr>
            <w:r>
              <w:rPr>
                <w:rFonts w:ascii="Microsoft JhengHei"/>
                <w:b/>
                <w:w w:val="90"/>
                <w:sz w:val="21"/>
              </w:rPr>
              <w:t>10. 13</w:t>
            </w:r>
          </w:p>
        </w:tc>
        <w:tc>
          <w:tcPr>
            <w:tcW w:w="1948" w:type="dxa"/>
          </w:tcPr>
          <w:p>
            <w:pPr>
              <w:pStyle w:val="TableParagraph"/>
              <w:spacing w:line="251" w:lineRule="exact"/>
              <w:ind w:left="124"/>
              <w:rPr>
                <w:rFonts w:ascii="Microsoft JhengHei" w:eastAsia="Microsoft JhengHei" w:hint="eastAsia"/>
                <w:b/>
                <w:sz w:val="21"/>
              </w:rPr>
            </w:pPr>
            <w:r>
              <w:rPr>
                <w:rFonts w:ascii="Microsoft JhengHei" w:eastAsia="Microsoft JhengHei" w:hint="eastAsia"/>
                <w:b/>
                <w:sz w:val="21"/>
              </w:rPr>
              <w:t>先天性畸形、变形</w:t>
            </w:r>
          </w:p>
        </w:tc>
        <w:tc>
          <w:tcPr>
            <w:tcW w:w="7447" w:type="dxa"/>
          </w:tcPr>
          <w:p>
            <w:pPr>
              <w:pStyle w:val="TableParagraph"/>
              <w:spacing w:line="236" w:lineRule="exact"/>
              <w:ind w:left="134"/>
              <w:rPr>
                <w:sz w:val="21"/>
              </w:rPr>
            </w:pPr>
            <w:r>
              <w:rPr>
                <w:sz w:val="21"/>
              </w:rPr>
              <w:t>指被保险人出生时就具有的畸形、变形或染色体异常。先天性畸形、变形和染</w:t>
            </w:r>
          </w:p>
        </w:tc>
      </w:tr>
      <w:tr>
        <w:trPr>
          <w:trHeight w:val="276" w:hRule="atLeast"/>
        </w:trPr>
        <w:tc>
          <w:tcPr>
            <w:tcW w:w="682" w:type="dxa"/>
          </w:tcPr>
          <w:p>
            <w:pPr>
              <w:pStyle w:val="TableParagraph"/>
              <w:rPr>
                <w:rFonts w:ascii="Times New Roman"/>
                <w:sz w:val="20"/>
              </w:rPr>
            </w:pPr>
          </w:p>
        </w:tc>
        <w:tc>
          <w:tcPr>
            <w:tcW w:w="1948" w:type="dxa"/>
          </w:tcPr>
          <w:p>
            <w:pPr>
              <w:pStyle w:val="TableParagraph"/>
              <w:spacing w:line="256" w:lineRule="exact"/>
              <w:ind w:left="124"/>
              <w:rPr>
                <w:rFonts w:ascii="Microsoft JhengHei" w:eastAsia="Microsoft JhengHei" w:hint="eastAsia"/>
                <w:b/>
                <w:sz w:val="21"/>
              </w:rPr>
            </w:pPr>
            <w:r>
              <w:rPr>
                <w:rFonts w:ascii="Microsoft JhengHei" w:eastAsia="Microsoft JhengHei" w:hint="eastAsia"/>
                <w:b/>
                <w:sz w:val="21"/>
              </w:rPr>
              <w:t>或染色体异常</w:t>
            </w:r>
          </w:p>
        </w:tc>
        <w:tc>
          <w:tcPr>
            <w:tcW w:w="7447" w:type="dxa"/>
          </w:tcPr>
          <w:p>
            <w:pPr>
              <w:pStyle w:val="TableParagraph"/>
              <w:spacing w:line="253" w:lineRule="exact"/>
              <w:ind w:left="134"/>
              <w:rPr>
                <w:sz w:val="21"/>
              </w:rPr>
            </w:pPr>
            <w:r>
              <w:rPr>
                <w:spacing w:val="-7"/>
                <w:sz w:val="21"/>
              </w:rPr>
              <w:t>色体异常依照世界卫生组织《疾病和有关健康问题的国际统计分类》</w:t>
            </w:r>
            <w:r>
              <w:rPr>
                <w:sz w:val="21"/>
              </w:rPr>
              <w:t>（</w:t>
            </w:r>
            <w:r>
              <w:rPr>
                <w:rFonts w:ascii="Times New Roman" w:eastAsia="Times New Roman"/>
                <w:sz w:val="21"/>
              </w:rPr>
              <w:t>ICD-10</w:t>
            </w:r>
            <w:r>
              <w:rPr>
                <w:sz w:val="21"/>
              </w:rPr>
              <w:t>）</w:t>
            </w:r>
          </w:p>
        </w:tc>
      </w:tr>
      <w:tr>
        <w:trPr>
          <w:trHeight w:val="239"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19" w:lineRule="exact"/>
              <w:ind w:left="134"/>
              <w:rPr>
                <w:sz w:val="21"/>
              </w:rPr>
            </w:pPr>
            <w:r>
              <w:rPr>
                <w:sz w:val="21"/>
              </w:rPr>
              <w:t>确定。 </w:t>
            </w:r>
          </w:p>
        </w:tc>
      </w:tr>
      <w:tr>
        <w:trPr>
          <w:trHeight w:val="230" w:hRule="atLeast"/>
        </w:trPr>
        <w:tc>
          <w:tcPr>
            <w:tcW w:w="682" w:type="dxa"/>
          </w:tcPr>
          <w:p>
            <w:pPr>
              <w:pStyle w:val="TableParagraph"/>
              <w:rPr>
                <w:rFonts w:ascii="Times New Roman"/>
                <w:sz w:val="16"/>
              </w:rPr>
            </w:pPr>
          </w:p>
        </w:tc>
        <w:tc>
          <w:tcPr>
            <w:tcW w:w="1948" w:type="dxa"/>
          </w:tcPr>
          <w:p>
            <w:pPr>
              <w:pStyle w:val="TableParagraph"/>
              <w:spacing w:line="210" w:lineRule="exact"/>
              <w:ind w:left="124"/>
              <w:rPr>
                <w:sz w:val="21"/>
              </w:rPr>
            </w:pPr>
            <w:r>
              <w:rPr>
                <w:w w:val="100"/>
                <w:sz w:val="21"/>
              </w:rPr>
              <w:t> </w:t>
            </w:r>
          </w:p>
        </w:tc>
        <w:tc>
          <w:tcPr>
            <w:tcW w:w="7447" w:type="dxa"/>
          </w:tcPr>
          <w:p>
            <w:pPr>
              <w:pStyle w:val="TableParagraph"/>
              <w:spacing w:line="210" w:lineRule="exact"/>
              <w:ind w:left="134"/>
              <w:rPr>
                <w:sz w:val="21"/>
              </w:rPr>
            </w:pPr>
            <w:r>
              <w:rPr>
                <w:w w:val="100"/>
                <w:sz w:val="21"/>
              </w:rPr>
              <w:t> </w:t>
            </w:r>
          </w:p>
        </w:tc>
      </w:tr>
      <w:tr>
        <w:trPr>
          <w:trHeight w:val="273" w:hRule="atLeast"/>
        </w:trPr>
        <w:tc>
          <w:tcPr>
            <w:tcW w:w="682" w:type="dxa"/>
          </w:tcPr>
          <w:p>
            <w:pPr>
              <w:pStyle w:val="TableParagraph"/>
              <w:spacing w:line="254" w:lineRule="exact"/>
              <w:ind w:left="50"/>
              <w:rPr>
                <w:rFonts w:ascii="Microsoft JhengHei"/>
                <w:b/>
                <w:sz w:val="21"/>
              </w:rPr>
            </w:pPr>
            <w:r>
              <w:rPr>
                <w:rFonts w:ascii="Microsoft JhengHei"/>
                <w:b/>
                <w:w w:val="90"/>
                <w:sz w:val="21"/>
              </w:rPr>
              <w:t>10. 14</w:t>
            </w:r>
          </w:p>
        </w:tc>
        <w:tc>
          <w:tcPr>
            <w:tcW w:w="1948" w:type="dxa"/>
          </w:tcPr>
          <w:p>
            <w:pPr>
              <w:pStyle w:val="TableParagraph"/>
              <w:spacing w:line="254" w:lineRule="exact"/>
              <w:ind w:left="124"/>
              <w:rPr>
                <w:rFonts w:ascii="Microsoft JhengHei" w:eastAsia="Microsoft JhengHei" w:hint="eastAsia"/>
                <w:b/>
                <w:sz w:val="21"/>
              </w:rPr>
            </w:pPr>
            <w:r>
              <w:rPr>
                <w:rFonts w:ascii="Microsoft JhengHei" w:eastAsia="Microsoft JhengHei" w:hint="eastAsia"/>
                <w:b/>
                <w:sz w:val="21"/>
              </w:rPr>
              <w:t>遗传性疾病</w:t>
            </w:r>
          </w:p>
        </w:tc>
        <w:tc>
          <w:tcPr>
            <w:tcW w:w="7447" w:type="dxa"/>
          </w:tcPr>
          <w:p>
            <w:pPr>
              <w:pStyle w:val="TableParagraph"/>
              <w:spacing w:line="235" w:lineRule="exact"/>
              <w:ind w:left="134"/>
              <w:rPr>
                <w:sz w:val="21"/>
              </w:rPr>
            </w:pPr>
            <w:r>
              <w:rPr>
                <w:sz w:val="21"/>
              </w:rPr>
              <w:t>指生殖细胞或受精卵的遗传物质（染色体和基因）发生突变或畸变所引起的疾</w:t>
            </w:r>
          </w:p>
        </w:tc>
      </w:tr>
      <w:tr>
        <w:trPr>
          <w:trHeight w:val="239"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20" w:lineRule="exact"/>
              <w:ind w:left="134"/>
              <w:rPr>
                <w:sz w:val="21"/>
              </w:rPr>
            </w:pPr>
            <w:r>
              <w:rPr>
                <w:sz w:val="21"/>
              </w:rPr>
              <w:t>病，通常具有由亲代传至后代的垂直传递的特征。 </w:t>
            </w:r>
          </w:p>
        </w:tc>
      </w:tr>
      <w:tr>
        <w:trPr>
          <w:trHeight w:val="231"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12" w:lineRule="exact"/>
              <w:ind w:left="134"/>
              <w:rPr>
                <w:sz w:val="21"/>
              </w:rPr>
            </w:pPr>
            <w:r>
              <w:rPr>
                <w:w w:val="100"/>
                <w:sz w:val="21"/>
              </w:rPr>
              <w:t> </w:t>
            </w:r>
          </w:p>
        </w:tc>
      </w:tr>
      <w:tr>
        <w:trPr>
          <w:trHeight w:val="273" w:hRule="atLeast"/>
        </w:trPr>
        <w:tc>
          <w:tcPr>
            <w:tcW w:w="682" w:type="dxa"/>
          </w:tcPr>
          <w:p>
            <w:pPr>
              <w:pStyle w:val="TableParagraph"/>
              <w:spacing w:line="254" w:lineRule="exact"/>
              <w:ind w:left="50"/>
              <w:rPr>
                <w:rFonts w:ascii="Microsoft JhengHei"/>
                <w:b/>
                <w:sz w:val="21"/>
              </w:rPr>
            </w:pPr>
            <w:r>
              <w:rPr>
                <w:rFonts w:ascii="Microsoft JhengHei"/>
                <w:b/>
                <w:w w:val="90"/>
                <w:sz w:val="21"/>
              </w:rPr>
              <w:t>10. 15</w:t>
            </w:r>
          </w:p>
        </w:tc>
        <w:tc>
          <w:tcPr>
            <w:tcW w:w="1948" w:type="dxa"/>
          </w:tcPr>
          <w:p>
            <w:pPr>
              <w:pStyle w:val="TableParagraph"/>
              <w:spacing w:line="254" w:lineRule="exact"/>
              <w:ind w:left="124"/>
              <w:rPr>
                <w:sz w:val="21"/>
              </w:rPr>
            </w:pPr>
            <w:r>
              <w:rPr>
                <w:rFonts w:ascii="Microsoft JhengHei" w:eastAsia="Microsoft JhengHei" w:hint="eastAsia"/>
                <w:b/>
                <w:sz w:val="21"/>
              </w:rPr>
              <w:t>现金价值</w:t>
            </w:r>
            <w:r>
              <w:rPr>
                <w:sz w:val="21"/>
              </w:rPr>
              <w:t> </w:t>
            </w:r>
          </w:p>
        </w:tc>
        <w:tc>
          <w:tcPr>
            <w:tcW w:w="7447" w:type="dxa"/>
          </w:tcPr>
          <w:p>
            <w:pPr>
              <w:pStyle w:val="TableParagraph"/>
              <w:spacing w:line="236" w:lineRule="exact"/>
              <w:ind w:left="134"/>
              <w:rPr>
                <w:sz w:val="21"/>
              </w:rPr>
            </w:pPr>
            <w:r>
              <w:rPr>
                <w:spacing w:val="-10"/>
                <w:sz w:val="21"/>
              </w:rPr>
              <w:t>指保险单所具有的价值，通常体现为解除本主险合同时，根据精算原理计算的，</w:t>
            </w:r>
          </w:p>
        </w:tc>
      </w:tr>
      <w:tr>
        <w:trPr>
          <w:trHeight w:val="264"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34" w:lineRule="exact"/>
              <w:ind w:left="134"/>
              <w:rPr>
                <w:sz w:val="21"/>
              </w:rPr>
            </w:pPr>
            <w:r>
              <w:rPr>
                <w:spacing w:val="-3"/>
                <w:sz w:val="21"/>
              </w:rPr>
              <w:t>由我们退还的那部分金额</w:t>
            </w:r>
            <w:r>
              <w:rPr>
                <w:spacing w:val="-154"/>
                <w:sz w:val="21"/>
              </w:rPr>
              <w:t>。</w:t>
            </w:r>
            <w:r>
              <w:rPr>
                <w:sz w:val="21"/>
              </w:rPr>
              <w:t>（</w:t>
            </w:r>
            <w:r>
              <w:rPr>
                <w:spacing w:val="-6"/>
                <w:sz w:val="21"/>
              </w:rPr>
              <w:t>若我们已给付过轻症疾病保险金，本主险合同现金</w:t>
            </w:r>
          </w:p>
        </w:tc>
      </w:tr>
      <w:tr>
        <w:trPr>
          <w:trHeight w:val="247"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27" w:lineRule="exact"/>
              <w:ind w:left="134"/>
              <w:rPr>
                <w:sz w:val="21"/>
              </w:rPr>
            </w:pPr>
            <w:r>
              <w:rPr>
                <w:spacing w:val="-5"/>
                <w:sz w:val="21"/>
              </w:rPr>
              <w:t>价值将减少为保险合同中载明的现金价值金额的 </w:t>
            </w:r>
            <w:r>
              <w:rPr>
                <w:sz w:val="21"/>
              </w:rPr>
              <w:t>93</w:t>
            </w:r>
            <w:r>
              <w:rPr>
                <w:spacing w:val="-53"/>
                <w:sz w:val="21"/>
              </w:rPr>
              <w:t>%。</w:t>
            </w:r>
            <w:r>
              <w:rPr>
                <w:spacing w:val="-3"/>
                <w:sz w:val="21"/>
              </w:rPr>
              <w:t>）</w:t>
            </w:r>
            <w:r>
              <w:rPr>
                <w:sz w:val="21"/>
              </w:rPr>
              <w:t> </w:t>
            </w:r>
          </w:p>
        </w:tc>
      </w:tr>
      <w:tr>
        <w:trPr>
          <w:trHeight w:val="230"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10" w:lineRule="exact"/>
              <w:ind w:left="134"/>
              <w:rPr>
                <w:sz w:val="21"/>
              </w:rPr>
            </w:pPr>
            <w:r>
              <w:rPr>
                <w:w w:val="100"/>
                <w:sz w:val="21"/>
              </w:rPr>
              <w:t> </w:t>
            </w:r>
          </w:p>
        </w:tc>
      </w:tr>
      <w:tr>
        <w:trPr>
          <w:trHeight w:val="273" w:hRule="atLeast"/>
        </w:trPr>
        <w:tc>
          <w:tcPr>
            <w:tcW w:w="682" w:type="dxa"/>
          </w:tcPr>
          <w:p>
            <w:pPr>
              <w:pStyle w:val="TableParagraph"/>
              <w:spacing w:line="254" w:lineRule="exact"/>
              <w:ind w:left="50"/>
              <w:rPr>
                <w:rFonts w:ascii="Microsoft JhengHei"/>
                <w:b/>
                <w:sz w:val="21"/>
              </w:rPr>
            </w:pPr>
            <w:r>
              <w:rPr>
                <w:rFonts w:ascii="Microsoft JhengHei"/>
                <w:b/>
                <w:w w:val="90"/>
                <w:sz w:val="21"/>
              </w:rPr>
              <w:t>10. 16</w:t>
            </w:r>
          </w:p>
        </w:tc>
        <w:tc>
          <w:tcPr>
            <w:tcW w:w="1948" w:type="dxa"/>
          </w:tcPr>
          <w:p>
            <w:pPr>
              <w:pStyle w:val="TableParagraph"/>
              <w:spacing w:line="254" w:lineRule="exact"/>
              <w:ind w:left="124"/>
              <w:rPr>
                <w:sz w:val="21"/>
              </w:rPr>
            </w:pPr>
            <w:r>
              <w:rPr>
                <w:rFonts w:ascii="Microsoft JhengHei" w:eastAsia="Microsoft JhengHei" w:hint="eastAsia"/>
                <w:b/>
                <w:sz w:val="21"/>
              </w:rPr>
              <w:t>利息</w:t>
            </w:r>
            <w:r>
              <w:rPr>
                <w:sz w:val="21"/>
              </w:rPr>
              <w:t> </w:t>
            </w:r>
          </w:p>
        </w:tc>
        <w:tc>
          <w:tcPr>
            <w:tcW w:w="7447" w:type="dxa"/>
          </w:tcPr>
          <w:p>
            <w:pPr>
              <w:pStyle w:val="TableParagraph"/>
              <w:spacing w:line="235" w:lineRule="exact"/>
              <w:ind w:left="134"/>
              <w:rPr>
                <w:sz w:val="21"/>
              </w:rPr>
            </w:pPr>
            <w:r>
              <w:rPr>
                <w:sz w:val="21"/>
              </w:rPr>
              <w:t>欠款的利息将根据欠款的数额、经过的天数和当时的贷款利率按复利计算。贷</w:t>
            </w:r>
          </w:p>
        </w:tc>
      </w:tr>
      <w:tr>
        <w:trPr>
          <w:trHeight w:val="264"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35" w:lineRule="exact"/>
              <w:ind w:left="134"/>
              <w:rPr>
                <w:sz w:val="21"/>
              </w:rPr>
            </w:pPr>
            <w:r>
              <w:rPr>
                <w:spacing w:val="-10"/>
                <w:sz w:val="21"/>
              </w:rPr>
              <w:t>款利率由我们定期公布，将不高于当时中国人民银行的 </w:t>
            </w:r>
            <w:r>
              <w:rPr>
                <w:sz w:val="21"/>
              </w:rPr>
              <w:t>6</w:t>
            </w:r>
            <w:r>
              <w:rPr>
                <w:spacing w:val="-9"/>
                <w:sz w:val="21"/>
              </w:rPr>
              <w:t> 个月贷款利率</w:t>
            </w:r>
            <w:r>
              <w:rPr>
                <w:sz w:val="21"/>
              </w:rPr>
              <w:t>+2</w:t>
            </w:r>
            <w:r>
              <w:rPr>
                <w:spacing w:val="-16"/>
                <w:sz w:val="21"/>
              </w:rPr>
              <w:t>%。但</w:t>
            </w:r>
          </w:p>
        </w:tc>
      </w:tr>
      <w:tr>
        <w:trPr>
          <w:trHeight w:val="247"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27" w:lineRule="exact"/>
              <w:ind w:left="134"/>
              <w:rPr>
                <w:sz w:val="21"/>
              </w:rPr>
            </w:pPr>
            <w:r>
              <w:rPr>
                <w:sz w:val="21"/>
              </w:rPr>
              <w:t>对于补交的保险费，我们将不收取利息。 </w:t>
            </w:r>
          </w:p>
        </w:tc>
      </w:tr>
      <w:tr>
        <w:trPr>
          <w:trHeight w:val="231"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12" w:lineRule="exact"/>
              <w:ind w:left="134"/>
              <w:rPr>
                <w:sz w:val="21"/>
              </w:rPr>
            </w:pPr>
            <w:r>
              <w:rPr>
                <w:w w:val="100"/>
                <w:sz w:val="21"/>
              </w:rPr>
              <w:t> </w:t>
            </w:r>
          </w:p>
        </w:tc>
      </w:tr>
      <w:tr>
        <w:trPr>
          <w:trHeight w:val="273" w:hRule="atLeast"/>
        </w:trPr>
        <w:tc>
          <w:tcPr>
            <w:tcW w:w="682" w:type="dxa"/>
          </w:tcPr>
          <w:p>
            <w:pPr>
              <w:pStyle w:val="TableParagraph"/>
              <w:spacing w:line="254" w:lineRule="exact"/>
              <w:ind w:left="50"/>
              <w:rPr>
                <w:rFonts w:ascii="Microsoft JhengHei"/>
                <w:b/>
                <w:sz w:val="21"/>
              </w:rPr>
            </w:pPr>
            <w:r>
              <w:rPr>
                <w:rFonts w:ascii="Microsoft JhengHei"/>
                <w:b/>
                <w:w w:val="90"/>
                <w:sz w:val="21"/>
              </w:rPr>
              <w:t>10. 17</w:t>
            </w:r>
          </w:p>
        </w:tc>
        <w:tc>
          <w:tcPr>
            <w:tcW w:w="1948" w:type="dxa"/>
          </w:tcPr>
          <w:p>
            <w:pPr>
              <w:pStyle w:val="TableParagraph"/>
              <w:spacing w:line="254" w:lineRule="exact"/>
              <w:ind w:left="124"/>
              <w:rPr>
                <w:rFonts w:ascii="Microsoft JhengHei" w:eastAsia="Microsoft JhengHei" w:hint="eastAsia"/>
                <w:b/>
                <w:sz w:val="21"/>
              </w:rPr>
            </w:pPr>
            <w:r>
              <w:rPr>
                <w:rFonts w:ascii="Microsoft JhengHei" w:eastAsia="Microsoft JhengHei" w:hint="eastAsia"/>
                <w:b/>
                <w:sz w:val="21"/>
              </w:rPr>
              <w:t>保单周年日</w:t>
            </w:r>
          </w:p>
        </w:tc>
        <w:tc>
          <w:tcPr>
            <w:tcW w:w="7447" w:type="dxa"/>
          </w:tcPr>
          <w:p>
            <w:pPr>
              <w:pStyle w:val="TableParagraph"/>
              <w:spacing w:line="235" w:lineRule="exact"/>
              <w:ind w:left="134"/>
              <w:rPr>
                <w:sz w:val="21"/>
              </w:rPr>
            </w:pPr>
            <w:r>
              <w:rPr>
                <w:sz w:val="21"/>
              </w:rPr>
              <w:t>指在本主险合同有效期内，生效日在以后每年的对应日。若当月无对应的同一</w:t>
            </w:r>
          </w:p>
        </w:tc>
      </w:tr>
      <w:tr>
        <w:trPr>
          <w:trHeight w:val="239"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20" w:lineRule="exact"/>
              <w:ind w:left="134"/>
              <w:rPr>
                <w:sz w:val="21"/>
              </w:rPr>
            </w:pPr>
            <w:r>
              <w:rPr>
                <w:sz w:val="21"/>
              </w:rPr>
              <w:t>日，则以该月最后一日作为对应日。 </w:t>
            </w:r>
          </w:p>
        </w:tc>
      </w:tr>
      <w:tr>
        <w:trPr>
          <w:trHeight w:val="230"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10" w:lineRule="exact"/>
              <w:ind w:left="134"/>
              <w:rPr>
                <w:sz w:val="21"/>
              </w:rPr>
            </w:pPr>
            <w:r>
              <w:rPr>
                <w:w w:val="100"/>
                <w:sz w:val="21"/>
              </w:rPr>
              <w:t> </w:t>
            </w:r>
          </w:p>
        </w:tc>
      </w:tr>
      <w:tr>
        <w:trPr>
          <w:trHeight w:val="273" w:hRule="atLeast"/>
        </w:trPr>
        <w:tc>
          <w:tcPr>
            <w:tcW w:w="682" w:type="dxa"/>
          </w:tcPr>
          <w:p>
            <w:pPr>
              <w:pStyle w:val="TableParagraph"/>
              <w:spacing w:line="254" w:lineRule="exact"/>
              <w:ind w:left="50"/>
              <w:rPr>
                <w:rFonts w:ascii="Microsoft JhengHei"/>
                <w:b/>
                <w:sz w:val="21"/>
              </w:rPr>
            </w:pPr>
            <w:r>
              <w:rPr>
                <w:rFonts w:ascii="Microsoft JhengHei"/>
                <w:b/>
                <w:w w:val="90"/>
                <w:sz w:val="21"/>
              </w:rPr>
              <w:t>10. 18</w:t>
            </w:r>
          </w:p>
        </w:tc>
        <w:tc>
          <w:tcPr>
            <w:tcW w:w="1948" w:type="dxa"/>
          </w:tcPr>
          <w:p>
            <w:pPr>
              <w:pStyle w:val="TableParagraph"/>
              <w:spacing w:line="254" w:lineRule="exact"/>
              <w:ind w:left="124"/>
              <w:rPr>
                <w:rFonts w:ascii="Microsoft JhengHei" w:eastAsia="Microsoft JhengHei" w:hint="eastAsia"/>
                <w:b/>
                <w:sz w:val="21"/>
              </w:rPr>
            </w:pPr>
            <w:r>
              <w:rPr>
                <w:rFonts w:ascii="Microsoft JhengHei" w:eastAsia="Microsoft JhengHei" w:hint="eastAsia"/>
                <w:b/>
                <w:sz w:val="21"/>
              </w:rPr>
              <w:t>专科医生</w:t>
            </w:r>
          </w:p>
        </w:tc>
        <w:tc>
          <w:tcPr>
            <w:tcW w:w="7447" w:type="dxa"/>
          </w:tcPr>
          <w:p>
            <w:pPr>
              <w:pStyle w:val="TableParagraph"/>
              <w:spacing w:line="235" w:lineRule="exact"/>
              <w:ind w:left="134"/>
              <w:rPr>
                <w:sz w:val="21"/>
              </w:rPr>
            </w:pPr>
            <w:r>
              <w:rPr>
                <w:sz w:val="21"/>
              </w:rPr>
              <w:t>专科医生应当同时满足以下四项资格条件：①具有有效的中华人民共和国《医</w:t>
            </w:r>
          </w:p>
        </w:tc>
      </w:tr>
      <w:tr>
        <w:trPr>
          <w:trHeight w:val="264"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35" w:lineRule="exact"/>
              <w:ind w:left="134"/>
              <w:rPr>
                <w:sz w:val="21"/>
              </w:rPr>
            </w:pPr>
            <w:r>
              <w:rPr>
                <w:spacing w:val="-16"/>
                <w:sz w:val="21"/>
              </w:rPr>
              <w:t>师资格证书》；②具有有效的中华人民共和国《医师执业证书》，并按期到相关</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1" w:lineRule="exact"/>
              <w:ind w:left="134"/>
              <w:rPr>
                <w:sz w:val="21"/>
              </w:rPr>
            </w:pPr>
            <w:r>
              <w:rPr>
                <w:sz w:val="21"/>
              </w:rPr>
              <w:t>部门登记注册；③具有有效的中华人民共和国主治医师或主治医师以上职称的</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2" w:lineRule="exact"/>
              <w:ind w:left="134"/>
              <w:rPr>
                <w:sz w:val="21"/>
              </w:rPr>
            </w:pPr>
            <w:r>
              <w:rPr>
                <w:sz w:val="21"/>
              </w:rPr>
              <w:t>《医师职称证书》；④在二级或二级以上医院的相应科室从事临床工作三年以</w:t>
            </w:r>
          </w:p>
        </w:tc>
      </w:tr>
      <w:tr>
        <w:trPr>
          <w:trHeight w:val="247"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27" w:lineRule="exact"/>
              <w:ind w:left="134"/>
              <w:rPr>
                <w:sz w:val="21"/>
              </w:rPr>
            </w:pPr>
            <w:r>
              <w:rPr>
                <w:sz w:val="21"/>
              </w:rPr>
              <w:t>上。 </w:t>
            </w:r>
          </w:p>
        </w:tc>
      </w:tr>
      <w:tr>
        <w:trPr>
          <w:trHeight w:val="231"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12" w:lineRule="exact"/>
              <w:ind w:left="134"/>
              <w:rPr>
                <w:sz w:val="21"/>
              </w:rPr>
            </w:pPr>
            <w:r>
              <w:rPr>
                <w:w w:val="100"/>
                <w:sz w:val="21"/>
              </w:rPr>
              <w:t> </w:t>
            </w:r>
          </w:p>
        </w:tc>
      </w:tr>
      <w:tr>
        <w:trPr>
          <w:trHeight w:val="273" w:hRule="atLeast"/>
        </w:trPr>
        <w:tc>
          <w:tcPr>
            <w:tcW w:w="682" w:type="dxa"/>
          </w:tcPr>
          <w:p>
            <w:pPr>
              <w:pStyle w:val="TableParagraph"/>
              <w:spacing w:line="254" w:lineRule="exact"/>
              <w:ind w:left="50"/>
              <w:rPr>
                <w:rFonts w:ascii="Microsoft JhengHei"/>
                <w:b/>
                <w:sz w:val="21"/>
              </w:rPr>
            </w:pPr>
            <w:r>
              <w:rPr>
                <w:rFonts w:ascii="Microsoft JhengHei"/>
                <w:b/>
                <w:w w:val="90"/>
                <w:sz w:val="21"/>
              </w:rPr>
              <w:t>10. 19</w:t>
            </w:r>
          </w:p>
        </w:tc>
        <w:tc>
          <w:tcPr>
            <w:tcW w:w="1948" w:type="dxa"/>
          </w:tcPr>
          <w:p>
            <w:pPr>
              <w:pStyle w:val="TableParagraph"/>
              <w:spacing w:line="254" w:lineRule="exact"/>
              <w:ind w:left="124"/>
              <w:rPr>
                <w:rFonts w:ascii="Microsoft JhengHei" w:eastAsia="Microsoft JhengHei" w:hint="eastAsia"/>
                <w:b/>
                <w:sz w:val="21"/>
              </w:rPr>
            </w:pPr>
            <w:r>
              <w:rPr>
                <w:rFonts w:ascii="Microsoft JhengHei" w:eastAsia="Microsoft JhengHei" w:hint="eastAsia"/>
                <w:b/>
                <w:sz w:val="21"/>
              </w:rPr>
              <w:t>肢体机能完全丧失</w:t>
            </w:r>
          </w:p>
        </w:tc>
        <w:tc>
          <w:tcPr>
            <w:tcW w:w="7447" w:type="dxa"/>
          </w:tcPr>
          <w:p>
            <w:pPr>
              <w:pStyle w:val="TableParagraph"/>
              <w:spacing w:line="235" w:lineRule="exact"/>
              <w:ind w:left="134"/>
              <w:rPr>
                <w:sz w:val="21"/>
              </w:rPr>
            </w:pPr>
            <w:r>
              <w:rPr>
                <w:sz w:val="21"/>
              </w:rPr>
              <w:t>指肢体的三大关节中的两大关节僵硬，或不能随意识活动。肢体是指包括肩关</w:t>
            </w:r>
          </w:p>
        </w:tc>
      </w:tr>
      <w:tr>
        <w:trPr>
          <w:trHeight w:val="239"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20" w:lineRule="exact"/>
              <w:ind w:left="134"/>
              <w:rPr>
                <w:sz w:val="21"/>
              </w:rPr>
            </w:pPr>
            <w:r>
              <w:rPr>
                <w:sz w:val="21"/>
              </w:rPr>
              <w:t>节的整个上肢或包括髋关节的整个下肢。 </w:t>
            </w:r>
          </w:p>
        </w:tc>
      </w:tr>
      <w:tr>
        <w:trPr>
          <w:trHeight w:val="230"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10" w:lineRule="exact"/>
              <w:ind w:left="134"/>
              <w:rPr>
                <w:sz w:val="21"/>
              </w:rPr>
            </w:pPr>
            <w:r>
              <w:rPr>
                <w:w w:val="100"/>
                <w:sz w:val="21"/>
              </w:rPr>
              <w:t> </w:t>
            </w:r>
          </w:p>
        </w:tc>
      </w:tr>
      <w:tr>
        <w:trPr>
          <w:trHeight w:val="273" w:hRule="atLeast"/>
        </w:trPr>
        <w:tc>
          <w:tcPr>
            <w:tcW w:w="682" w:type="dxa"/>
          </w:tcPr>
          <w:p>
            <w:pPr>
              <w:pStyle w:val="TableParagraph"/>
              <w:spacing w:line="254" w:lineRule="exact"/>
              <w:ind w:left="50"/>
              <w:rPr>
                <w:rFonts w:ascii="Microsoft JhengHei"/>
                <w:b/>
                <w:sz w:val="21"/>
              </w:rPr>
            </w:pPr>
            <w:r>
              <w:rPr>
                <w:rFonts w:ascii="Microsoft JhengHei"/>
                <w:b/>
                <w:w w:val="90"/>
                <w:sz w:val="21"/>
              </w:rPr>
              <w:t>10. 20</w:t>
            </w:r>
          </w:p>
        </w:tc>
        <w:tc>
          <w:tcPr>
            <w:tcW w:w="1948" w:type="dxa"/>
          </w:tcPr>
          <w:p>
            <w:pPr>
              <w:pStyle w:val="TableParagraph"/>
              <w:spacing w:line="254" w:lineRule="exact"/>
              <w:ind w:left="124"/>
              <w:rPr>
                <w:rFonts w:ascii="Microsoft JhengHei" w:eastAsia="Microsoft JhengHei" w:hint="eastAsia"/>
                <w:b/>
                <w:sz w:val="21"/>
              </w:rPr>
            </w:pPr>
            <w:r>
              <w:rPr>
                <w:rFonts w:ascii="Microsoft JhengHei" w:eastAsia="Microsoft JhengHei" w:hint="eastAsia"/>
                <w:b/>
                <w:sz w:val="21"/>
              </w:rPr>
              <w:t>语言能力或咀嚼吞</w:t>
            </w:r>
          </w:p>
        </w:tc>
        <w:tc>
          <w:tcPr>
            <w:tcW w:w="7447" w:type="dxa"/>
          </w:tcPr>
          <w:p>
            <w:pPr>
              <w:pStyle w:val="TableParagraph"/>
              <w:spacing w:line="235" w:lineRule="exact"/>
              <w:ind w:left="134"/>
              <w:rPr>
                <w:sz w:val="21"/>
              </w:rPr>
            </w:pPr>
            <w:r>
              <w:rPr>
                <w:sz w:val="21"/>
              </w:rPr>
              <w:t>语言能力完全丧失，指无法发出四种语音（包括口唇音、齿舌音、口盖音和喉</w:t>
            </w:r>
          </w:p>
        </w:tc>
      </w:tr>
      <w:tr>
        <w:trPr>
          <w:trHeight w:val="264" w:hRule="atLeast"/>
        </w:trPr>
        <w:tc>
          <w:tcPr>
            <w:tcW w:w="682" w:type="dxa"/>
          </w:tcPr>
          <w:p>
            <w:pPr>
              <w:pStyle w:val="TableParagraph"/>
              <w:rPr>
                <w:rFonts w:ascii="Times New Roman"/>
                <w:sz w:val="18"/>
              </w:rPr>
            </w:pPr>
          </w:p>
        </w:tc>
        <w:tc>
          <w:tcPr>
            <w:tcW w:w="1948" w:type="dxa"/>
          </w:tcPr>
          <w:p>
            <w:pPr>
              <w:pStyle w:val="TableParagraph"/>
              <w:spacing w:line="245" w:lineRule="exact"/>
              <w:ind w:left="124"/>
              <w:rPr>
                <w:rFonts w:ascii="Microsoft JhengHei" w:eastAsia="Microsoft JhengHei" w:hint="eastAsia"/>
                <w:b/>
                <w:sz w:val="21"/>
              </w:rPr>
            </w:pPr>
            <w:r>
              <w:rPr>
                <w:rFonts w:ascii="Microsoft JhengHei" w:eastAsia="Microsoft JhengHei" w:hint="eastAsia"/>
                <w:b/>
                <w:sz w:val="21"/>
              </w:rPr>
              <w:t>咽能力完全丧失</w:t>
            </w:r>
          </w:p>
        </w:tc>
        <w:tc>
          <w:tcPr>
            <w:tcW w:w="7447" w:type="dxa"/>
          </w:tcPr>
          <w:p>
            <w:pPr>
              <w:pStyle w:val="TableParagraph"/>
              <w:spacing w:line="235" w:lineRule="exact"/>
              <w:ind w:left="134"/>
              <w:rPr>
                <w:sz w:val="21"/>
              </w:rPr>
            </w:pPr>
            <w:r>
              <w:rPr>
                <w:sz w:val="21"/>
              </w:rPr>
              <w:t>头音</w:t>
            </w:r>
            <w:r>
              <w:rPr>
                <w:spacing w:val="-34"/>
                <w:sz w:val="21"/>
              </w:rPr>
              <w:t>）</w:t>
            </w:r>
            <w:r>
              <w:rPr>
                <w:spacing w:val="-10"/>
                <w:sz w:val="21"/>
              </w:rPr>
              <w:t>中的任何三种、或声带全部切除，或因大脑语言中枢受伤害而患失语症。</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1" w:lineRule="exact"/>
              <w:ind w:left="134"/>
              <w:rPr>
                <w:sz w:val="21"/>
              </w:rPr>
            </w:pPr>
            <w:r>
              <w:rPr>
                <w:sz w:val="21"/>
              </w:rPr>
              <w:t>咀嚼吞咽能力完全丧失，指因牙齿以外的原因导致器质障碍或机能障碍，以致</w:t>
            </w:r>
          </w:p>
        </w:tc>
      </w:tr>
      <w:tr>
        <w:trPr>
          <w:trHeight w:val="247"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27" w:lineRule="exact"/>
              <w:ind w:left="134"/>
              <w:rPr>
                <w:sz w:val="21"/>
              </w:rPr>
            </w:pPr>
            <w:r>
              <w:rPr>
                <w:sz w:val="21"/>
              </w:rPr>
              <w:t>不能作咀嚼吞咽运动，除流质食物外不能摄取或吞咽的状态。 </w:t>
            </w:r>
          </w:p>
        </w:tc>
      </w:tr>
      <w:tr>
        <w:trPr>
          <w:trHeight w:val="231"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12" w:lineRule="exact"/>
              <w:ind w:left="134"/>
              <w:rPr>
                <w:sz w:val="21"/>
              </w:rPr>
            </w:pPr>
            <w:r>
              <w:rPr>
                <w:w w:val="100"/>
                <w:sz w:val="21"/>
              </w:rPr>
              <w:t> </w:t>
            </w:r>
          </w:p>
        </w:tc>
      </w:tr>
      <w:tr>
        <w:trPr>
          <w:trHeight w:val="273" w:hRule="atLeast"/>
        </w:trPr>
        <w:tc>
          <w:tcPr>
            <w:tcW w:w="682" w:type="dxa"/>
          </w:tcPr>
          <w:p>
            <w:pPr>
              <w:pStyle w:val="TableParagraph"/>
              <w:spacing w:line="254" w:lineRule="exact"/>
              <w:ind w:left="50"/>
              <w:rPr>
                <w:rFonts w:ascii="Microsoft JhengHei"/>
                <w:b/>
                <w:sz w:val="21"/>
              </w:rPr>
            </w:pPr>
            <w:r>
              <w:rPr>
                <w:rFonts w:ascii="Microsoft JhengHei"/>
                <w:b/>
                <w:w w:val="90"/>
                <w:sz w:val="21"/>
              </w:rPr>
              <w:t>10. 21</w:t>
            </w:r>
          </w:p>
        </w:tc>
        <w:tc>
          <w:tcPr>
            <w:tcW w:w="1948" w:type="dxa"/>
          </w:tcPr>
          <w:p>
            <w:pPr>
              <w:pStyle w:val="TableParagraph"/>
              <w:spacing w:line="254" w:lineRule="exact"/>
              <w:ind w:left="124"/>
              <w:rPr>
                <w:rFonts w:ascii="Microsoft JhengHei" w:eastAsia="Microsoft JhengHei" w:hint="eastAsia"/>
                <w:b/>
                <w:sz w:val="21"/>
              </w:rPr>
            </w:pPr>
            <w:r>
              <w:rPr>
                <w:rFonts w:ascii="Microsoft JhengHei" w:eastAsia="Microsoft JhengHei" w:hint="eastAsia"/>
                <w:b/>
                <w:sz w:val="21"/>
              </w:rPr>
              <w:t>六项基本日常生活</w:t>
            </w:r>
          </w:p>
        </w:tc>
        <w:tc>
          <w:tcPr>
            <w:tcW w:w="7447" w:type="dxa"/>
          </w:tcPr>
          <w:p>
            <w:pPr>
              <w:pStyle w:val="TableParagraph"/>
              <w:spacing w:line="236" w:lineRule="exact"/>
              <w:ind w:left="134"/>
              <w:rPr>
                <w:sz w:val="21"/>
              </w:rPr>
            </w:pPr>
            <w:r>
              <w:rPr>
                <w:sz w:val="21"/>
              </w:rPr>
              <w:t>六项基本日常生活活动是指：①穿衣：自己能够穿衣及脱衣；②移动：自己从</w:t>
            </w:r>
          </w:p>
        </w:tc>
      </w:tr>
      <w:tr>
        <w:trPr>
          <w:trHeight w:val="264" w:hRule="atLeast"/>
        </w:trPr>
        <w:tc>
          <w:tcPr>
            <w:tcW w:w="682" w:type="dxa"/>
          </w:tcPr>
          <w:p>
            <w:pPr>
              <w:pStyle w:val="TableParagraph"/>
              <w:rPr>
                <w:rFonts w:ascii="Times New Roman"/>
                <w:sz w:val="18"/>
              </w:rPr>
            </w:pPr>
          </w:p>
        </w:tc>
        <w:tc>
          <w:tcPr>
            <w:tcW w:w="1948" w:type="dxa"/>
          </w:tcPr>
          <w:p>
            <w:pPr>
              <w:pStyle w:val="TableParagraph"/>
              <w:spacing w:line="245" w:lineRule="exact"/>
              <w:ind w:left="124"/>
              <w:rPr>
                <w:rFonts w:ascii="Microsoft JhengHei" w:eastAsia="Microsoft JhengHei" w:hint="eastAsia"/>
                <w:b/>
                <w:sz w:val="21"/>
              </w:rPr>
            </w:pPr>
            <w:r>
              <w:rPr>
                <w:rFonts w:ascii="Microsoft JhengHei" w:eastAsia="Microsoft JhengHei" w:hint="eastAsia"/>
                <w:b/>
                <w:sz w:val="21"/>
              </w:rPr>
              <w:t>活动</w:t>
            </w:r>
          </w:p>
        </w:tc>
        <w:tc>
          <w:tcPr>
            <w:tcW w:w="7447" w:type="dxa"/>
          </w:tcPr>
          <w:p>
            <w:pPr>
              <w:pStyle w:val="TableParagraph"/>
              <w:spacing w:line="234" w:lineRule="exact"/>
              <w:ind w:left="134"/>
              <w:rPr>
                <w:sz w:val="21"/>
              </w:rPr>
            </w:pPr>
            <w:r>
              <w:rPr>
                <w:sz w:val="21"/>
              </w:rPr>
              <w:t>一个房间到另一个房间；③行动：自己上下床或上下轮椅；④如厕：自己控制</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2" w:lineRule="exact"/>
              <w:ind w:left="134"/>
              <w:rPr>
                <w:sz w:val="21"/>
              </w:rPr>
            </w:pPr>
            <w:r>
              <w:rPr>
                <w:sz w:val="21"/>
              </w:rPr>
              <w:t>进行大小便；⑤进食：自己从已准备好的碗或碟中取食物放入口中；⑥洗澡：</w:t>
            </w:r>
          </w:p>
        </w:tc>
      </w:tr>
      <w:tr>
        <w:trPr>
          <w:trHeight w:val="247"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27" w:lineRule="exact"/>
              <w:ind w:left="134"/>
              <w:rPr>
                <w:sz w:val="21"/>
              </w:rPr>
            </w:pPr>
            <w:r>
              <w:rPr>
                <w:sz w:val="21"/>
              </w:rPr>
              <w:t>自己进行淋浴或盆浴。 </w:t>
            </w:r>
          </w:p>
        </w:tc>
      </w:tr>
      <w:tr>
        <w:trPr>
          <w:trHeight w:val="231"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12" w:lineRule="exact"/>
              <w:ind w:left="134"/>
              <w:rPr>
                <w:sz w:val="21"/>
              </w:rPr>
            </w:pPr>
            <w:r>
              <w:rPr>
                <w:w w:val="100"/>
                <w:sz w:val="21"/>
              </w:rPr>
              <w:t> </w:t>
            </w:r>
          </w:p>
        </w:tc>
      </w:tr>
      <w:tr>
        <w:trPr>
          <w:trHeight w:val="273" w:hRule="atLeast"/>
        </w:trPr>
        <w:tc>
          <w:tcPr>
            <w:tcW w:w="682" w:type="dxa"/>
          </w:tcPr>
          <w:p>
            <w:pPr>
              <w:pStyle w:val="TableParagraph"/>
              <w:spacing w:line="253" w:lineRule="exact"/>
              <w:ind w:left="50"/>
              <w:rPr>
                <w:rFonts w:ascii="Microsoft JhengHei"/>
                <w:b/>
                <w:sz w:val="21"/>
              </w:rPr>
            </w:pPr>
            <w:r>
              <w:rPr>
                <w:rFonts w:ascii="Microsoft JhengHei"/>
                <w:b/>
                <w:w w:val="90"/>
                <w:sz w:val="21"/>
              </w:rPr>
              <w:t>10. 22</w:t>
            </w:r>
          </w:p>
        </w:tc>
        <w:tc>
          <w:tcPr>
            <w:tcW w:w="1948" w:type="dxa"/>
          </w:tcPr>
          <w:p>
            <w:pPr>
              <w:pStyle w:val="TableParagraph"/>
              <w:spacing w:line="253" w:lineRule="exact"/>
              <w:ind w:left="124"/>
              <w:rPr>
                <w:rFonts w:ascii="Microsoft JhengHei" w:eastAsia="Microsoft JhengHei" w:hint="eastAsia"/>
                <w:b/>
                <w:sz w:val="21"/>
              </w:rPr>
            </w:pPr>
            <w:r>
              <w:rPr>
                <w:rFonts w:ascii="Microsoft JhengHei" w:eastAsia="Microsoft JhengHei" w:hint="eastAsia"/>
                <w:b/>
                <w:sz w:val="21"/>
              </w:rPr>
              <w:t>永久不可逆</w:t>
            </w:r>
          </w:p>
        </w:tc>
        <w:tc>
          <w:tcPr>
            <w:tcW w:w="7447" w:type="dxa"/>
          </w:tcPr>
          <w:p>
            <w:pPr>
              <w:pStyle w:val="TableParagraph"/>
              <w:spacing w:line="251" w:lineRule="exact"/>
              <w:ind w:left="134"/>
              <w:rPr>
                <w:sz w:val="21"/>
              </w:rPr>
            </w:pPr>
            <w:r>
              <w:rPr>
                <w:sz w:val="21"/>
              </w:rPr>
              <w:t>指自疾病确诊或意外伤害发生之日起，经过积极治疗 </w:t>
            </w:r>
            <w:r>
              <w:rPr>
                <w:rFonts w:ascii="Times New Roman" w:eastAsia="Times New Roman"/>
                <w:sz w:val="21"/>
              </w:rPr>
              <w:t>180 </w:t>
            </w:r>
            <w:r>
              <w:rPr>
                <w:sz w:val="21"/>
              </w:rPr>
              <w:t>天后，仍无法通过现</w:t>
            </w:r>
          </w:p>
        </w:tc>
      </w:tr>
      <w:tr>
        <w:trPr>
          <w:trHeight w:val="233"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13" w:lineRule="exact"/>
              <w:ind w:left="134"/>
              <w:rPr>
                <w:sz w:val="21"/>
              </w:rPr>
            </w:pPr>
            <w:r>
              <w:rPr>
                <w:sz w:val="21"/>
              </w:rPr>
              <w:t>有医疗手段恢复。 </w:t>
            </w:r>
          </w:p>
        </w:tc>
      </w:tr>
    </w:tbl>
    <w:sectPr>
      <w:pgSz w:w="11900" w:h="16840"/>
      <w:pgMar w:header="0" w:footer="676" w:top="1180" w:bottom="860" w:left="86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alibri">
    <w:altName w:val="Calibri"/>
    <w:charset w:val="0"/>
    <w:family w:val="swiss"/>
    <w:pitch w:val="variable"/>
  </w:font>
  <w:font w:name="Arial">
    <w:altName w:val="Arial"/>
    <w:charset w:val="0"/>
    <w:family w:val="swiss"/>
    <w:pitch w:val="variable"/>
  </w:font>
  <w:font w:name="Wingdings">
    <w:altName w:val="Wingdings"/>
    <w:charset w:val="2"/>
    <w:family w:val="auto"/>
    <w:pitch w:val="variable"/>
  </w:font>
  <w:font w:name="仿宋">
    <w:altName w:val="仿宋"/>
    <w:charset w:val="86"/>
    <w:family w:val="modern"/>
    <w:pitch w:val="fixed"/>
  </w:font>
  <w:font w:name="Courier New">
    <w:altName w:val="Courier New"/>
    <w:charset w:val="0"/>
    <w:family w:val="modern"/>
    <w:pitch w:val="fixed"/>
  </w:font>
  <w:font w:name="微软雅黑">
    <w:altName w:val="微软雅黑"/>
    <w:charset w:val="86"/>
    <w:family w:val="swiss"/>
    <w:pitch w:val="variable"/>
  </w:font>
  <w:font w:name="等线">
    <w:altName w:val="等线"/>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60.600006pt;margin-top:784.785645pt;width:74.150pt;height:11pt;mso-position-horizontal-relative:page;mso-position-vertical-relative:page;z-index:-74104" type="#_x0000_t202" filled="false" stroked="false">
          <v:textbox inset="0,0,0,0">
            <w:txbxContent>
              <w:p>
                <w:pPr>
                  <w:spacing w:line="200" w:lineRule="exact" w:before="0"/>
                  <w:ind w:left="20" w:right="0" w:firstLine="0"/>
                  <w:jc w:val="left"/>
                  <w:rPr>
                    <w:sz w:val="18"/>
                  </w:rPr>
                </w:pPr>
                <w:r>
                  <w:rPr>
                    <w:sz w:val="18"/>
                  </w:rPr>
                  <w:t>第 1</w:t>
                </w:r>
                <w:r>
                  <w:rPr>
                    <w:spacing w:val="-11"/>
                    <w:sz w:val="18"/>
                  </w:rPr>
                  <w:t> 页，共 </w:t>
                </w:r>
                <w:r>
                  <w:rPr>
                    <w:sz w:val="18"/>
                  </w:rPr>
                  <w:t>14</w:t>
                </w:r>
                <w:r>
                  <w:rPr>
                    <w:spacing w:val="-23"/>
                    <w:sz w:val="18"/>
                  </w:rPr>
                  <w:t>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58.320007pt;margin-top:797.219971pt;width:78.7pt;height:12pt;mso-position-horizontal-relative:page;mso-position-vertical-relative:page;z-index:-74080"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2</w:t>
                </w:r>
                <w:r>
                  <w:rPr/>
                  <w:fldChar w:fldCharType="end"/>
                </w:r>
                <w:r>
                  <w:rPr>
                    <w:rFonts w:ascii="Times New Roman" w:eastAsia="Times New Roman"/>
                    <w:sz w:val="18"/>
                  </w:rPr>
                  <w:t>  </w:t>
                </w:r>
                <w:r>
                  <w:rPr>
                    <w:sz w:val="18"/>
                  </w:rPr>
                  <w:t>页，共 </w:t>
                </w:r>
                <w:r>
                  <w:rPr>
                    <w:rFonts w:ascii="Times New Roman" w:eastAsia="Times New Roman"/>
                    <w:sz w:val="18"/>
                  </w:rPr>
                  <w:t>14  </w:t>
                </w:r>
                <w:r>
                  <w:rPr>
                    <w:sz w:val="18"/>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56.160004pt;margin-top:797.219971pt;width:83.15pt;height:12pt;mso-position-horizontal-relative:page;mso-position-vertical-relative:page;z-index:-74056"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页，共 </w:t>
                </w:r>
                <w:r>
                  <w:rPr>
                    <w:rFonts w:ascii="Times New Roman" w:eastAsia="Times New Roman"/>
                    <w:sz w:val="18"/>
                  </w:rPr>
                  <w:t>14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645" w:hanging="423"/>
      </w:pPr>
      <w:rPr>
        <w:rFonts w:hint="default" w:ascii="Wingdings" w:hAnsi="Wingdings" w:eastAsia="Wingdings" w:cs="Wingdings"/>
        <w:w w:val="100"/>
        <w:sz w:val="21"/>
        <w:szCs w:val="21"/>
      </w:rPr>
    </w:lvl>
    <w:lvl w:ilvl="1">
      <w:start w:val="0"/>
      <w:numFmt w:val="bullet"/>
      <w:lvlText w:val="•"/>
      <w:lvlJc w:val="left"/>
      <w:pPr>
        <w:ind w:left="2518" w:hanging="423"/>
      </w:pPr>
      <w:rPr>
        <w:rFonts w:hint="default"/>
      </w:rPr>
    </w:lvl>
    <w:lvl w:ilvl="2">
      <w:start w:val="0"/>
      <w:numFmt w:val="bullet"/>
      <w:lvlText w:val="•"/>
      <w:lvlJc w:val="left"/>
      <w:pPr>
        <w:ind w:left="3396" w:hanging="423"/>
      </w:pPr>
      <w:rPr>
        <w:rFonts w:hint="default"/>
      </w:rPr>
    </w:lvl>
    <w:lvl w:ilvl="3">
      <w:start w:val="0"/>
      <w:numFmt w:val="bullet"/>
      <w:lvlText w:val="•"/>
      <w:lvlJc w:val="left"/>
      <w:pPr>
        <w:ind w:left="4274" w:hanging="423"/>
      </w:pPr>
      <w:rPr>
        <w:rFonts w:hint="default"/>
      </w:rPr>
    </w:lvl>
    <w:lvl w:ilvl="4">
      <w:start w:val="0"/>
      <w:numFmt w:val="bullet"/>
      <w:lvlText w:val="•"/>
      <w:lvlJc w:val="left"/>
      <w:pPr>
        <w:ind w:left="5152" w:hanging="423"/>
      </w:pPr>
      <w:rPr>
        <w:rFonts w:hint="default"/>
      </w:rPr>
    </w:lvl>
    <w:lvl w:ilvl="5">
      <w:start w:val="0"/>
      <w:numFmt w:val="bullet"/>
      <w:lvlText w:val="•"/>
      <w:lvlJc w:val="left"/>
      <w:pPr>
        <w:ind w:left="6030" w:hanging="423"/>
      </w:pPr>
      <w:rPr>
        <w:rFonts w:hint="default"/>
      </w:rPr>
    </w:lvl>
    <w:lvl w:ilvl="6">
      <w:start w:val="0"/>
      <w:numFmt w:val="bullet"/>
      <w:lvlText w:val="•"/>
      <w:lvlJc w:val="left"/>
      <w:pPr>
        <w:ind w:left="6908" w:hanging="423"/>
      </w:pPr>
      <w:rPr>
        <w:rFonts w:hint="default"/>
      </w:rPr>
    </w:lvl>
    <w:lvl w:ilvl="7">
      <w:start w:val="0"/>
      <w:numFmt w:val="bullet"/>
      <w:lvlText w:val="•"/>
      <w:lvlJc w:val="left"/>
      <w:pPr>
        <w:ind w:left="7786" w:hanging="423"/>
      </w:pPr>
      <w:rPr>
        <w:rFonts w:hint="default"/>
      </w:rPr>
    </w:lvl>
    <w:lvl w:ilvl="8">
      <w:start w:val="0"/>
      <w:numFmt w:val="bullet"/>
      <w:lvlText w:val="•"/>
      <w:lvlJc w:val="left"/>
      <w:pPr>
        <w:ind w:left="8664" w:hanging="423"/>
      </w:pPr>
      <w:rPr>
        <w:rFonts w:hint="default"/>
      </w:rPr>
    </w:lvl>
  </w:abstractNum>
  <w:abstractNum w:abstractNumId="0">
    <w:multiLevelType w:val="hybridMultilevel"/>
    <w:lvl w:ilvl="0">
      <w:start w:val="0"/>
      <w:numFmt w:val="bullet"/>
      <w:lvlText w:val=""/>
      <w:lvlJc w:val="left"/>
      <w:pPr>
        <w:ind w:left="1645" w:hanging="423"/>
      </w:pPr>
      <w:rPr>
        <w:rFonts w:hint="default" w:ascii="Wingdings" w:hAnsi="Wingdings" w:eastAsia="Wingdings" w:cs="Wingdings"/>
        <w:w w:val="100"/>
        <w:sz w:val="21"/>
        <w:szCs w:val="21"/>
      </w:rPr>
    </w:lvl>
    <w:lvl w:ilvl="1">
      <w:start w:val="0"/>
      <w:numFmt w:val="bullet"/>
      <w:lvlText w:val="•"/>
      <w:lvlJc w:val="left"/>
      <w:pPr>
        <w:ind w:left="2518" w:hanging="423"/>
      </w:pPr>
      <w:rPr>
        <w:rFonts w:hint="default"/>
      </w:rPr>
    </w:lvl>
    <w:lvl w:ilvl="2">
      <w:start w:val="0"/>
      <w:numFmt w:val="bullet"/>
      <w:lvlText w:val="•"/>
      <w:lvlJc w:val="left"/>
      <w:pPr>
        <w:ind w:left="3396" w:hanging="423"/>
      </w:pPr>
      <w:rPr>
        <w:rFonts w:hint="default"/>
      </w:rPr>
    </w:lvl>
    <w:lvl w:ilvl="3">
      <w:start w:val="0"/>
      <w:numFmt w:val="bullet"/>
      <w:lvlText w:val="•"/>
      <w:lvlJc w:val="left"/>
      <w:pPr>
        <w:ind w:left="4274" w:hanging="423"/>
      </w:pPr>
      <w:rPr>
        <w:rFonts w:hint="default"/>
      </w:rPr>
    </w:lvl>
    <w:lvl w:ilvl="4">
      <w:start w:val="0"/>
      <w:numFmt w:val="bullet"/>
      <w:lvlText w:val="•"/>
      <w:lvlJc w:val="left"/>
      <w:pPr>
        <w:ind w:left="5152" w:hanging="423"/>
      </w:pPr>
      <w:rPr>
        <w:rFonts w:hint="default"/>
      </w:rPr>
    </w:lvl>
    <w:lvl w:ilvl="5">
      <w:start w:val="0"/>
      <w:numFmt w:val="bullet"/>
      <w:lvlText w:val="•"/>
      <w:lvlJc w:val="left"/>
      <w:pPr>
        <w:ind w:left="6030" w:hanging="423"/>
      </w:pPr>
      <w:rPr>
        <w:rFonts w:hint="default"/>
      </w:rPr>
    </w:lvl>
    <w:lvl w:ilvl="6">
      <w:start w:val="0"/>
      <w:numFmt w:val="bullet"/>
      <w:lvlText w:val="•"/>
      <w:lvlJc w:val="left"/>
      <w:pPr>
        <w:ind w:left="6908" w:hanging="423"/>
      </w:pPr>
      <w:rPr>
        <w:rFonts w:hint="default"/>
      </w:rPr>
    </w:lvl>
    <w:lvl w:ilvl="7">
      <w:start w:val="0"/>
      <w:numFmt w:val="bullet"/>
      <w:lvlText w:val="•"/>
      <w:lvlJc w:val="left"/>
      <w:pPr>
        <w:ind w:left="7786" w:hanging="423"/>
      </w:pPr>
      <w:rPr>
        <w:rFonts w:hint="default"/>
      </w:rPr>
    </w:lvl>
    <w:lvl w:ilvl="8">
      <w:start w:val="0"/>
      <w:numFmt w:val="bullet"/>
      <w:lvlText w:val="•"/>
      <w:lvlJc w:val="left"/>
      <w:pPr>
        <w:ind w:left="8664" w:hanging="423"/>
      </w:pPr>
      <w:rPr>
        <w:rFonts w:hint="default"/>
      </w:rPr>
    </w:lvl>
  </w:abstractNum>
  <w:abstractNum w:abstractNumId="6">
    <w:multiLevelType w:val="hybridMultilevel"/>
    <w:lvl w:ilvl="0">
      <w:start w:val="10"/>
      <w:numFmt w:val="decimal"/>
      <w:lvlText w:val="%1"/>
      <w:lvlJc w:val="left"/>
      <w:pPr>
        <w:ind w:left="2814" w:hanging="756"/>
        <w:jc w:val="left"/>
      </w:pPr>
      <w:rPr>
        <w:rFonts w:hint="default"/>
      </w:rPr>
    </w:lvl>
    <w:lvl w:ilvl="1">
      <w:start w:val="8"/>
      <w:numFmt w:val="decimal"/>
      <w:lvlText w:val="%1.%2"/>
      <w:lvlJc w:val="left"/>
      <w:pPr>
        <w:ind w:left="2814"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4292" w:hanging="756"/>
      </w:pPr>
      <w:rPr>
        <w:rFonts w:hint="default"/>
      </w:rPr>
    </w:lvl>
    <w:lvl w:ilvl="3">
      <w:start w:val="0"/>
      <w:numFmt w:val="bullet"/>
      <w:lvlText w:val="•"/>
      <w:lvlJc w:val="left"/>
      <w:pPr>
        <w:ind w:left="5028" w:hanging="756"/>
      </w:pPr>
      <w:rPr>
        <w:rFonts w:hint="default"/>
      </w:rPr>
    </w:lvl>
    <w:lvl w:ilvl="4">
      <w:start w:val="0"/>
      <w:numFmt w:val="bullet"/>
      <w:lvlText w:val="•"/>
      <w:lvlJc w:val="left"/>
      <w:pPr>
        <w:ind w:left="5764" w:hanging="756"/>
      </w:pPr>
      <w:rPr>
        <w:rFonts w:hint="default"/>
      </w:rPr>
    </w:lvl>
    <w:lvl w:ilvl="5">
      <w:start w:val="0"/>
      <w:numFmt w:val="bullet"/>
      <w:lvlText w:val="•"/>
      <w:lvlJc w:val="left"/>
      <w:pPr>
        <w:ind w:left="6500" w:hanging="756"/>
      </w:pPr>
      <w:rPr>
        <w:rFonts w:hint="default"/>
      </w:rPr>
    </w:lvl>
    <w:lvl w:ilvl="6">
      <w:start w:val="0"/>
      <w:numFmt w:val="bullet"/>
      <w:lvlText w:val="•"/>
      <w:lvlJc w:val="left"/>
      <w:pPr>
        <w:ind w:left="7236" w:hanging="756"/>
      </w:pPr>
      <w:rPr>
        <w:rFonts w:hint="default"/>
      </w:rPr>
    </w:lvl>
    <w:lvl w:ilvl="7">
      <w:start w:val="0"/>
      <w:numFmt w:val="bullet"/>
      <w:lvlText w:val="•"/>
      <w:lvlJc w:val="left"/>
      <w:pPr>
        <w:ind w:left="7972" w:hanging="756"/>
      </w:pPr>
      <w:rPr>
        <w:rFonts w:hint="default"/>
      </w:rPr>
    </w:lvl>
    <w:lvl w:ilvl="8">
      <w:start w:val="0"/>
      <w:numFmt w:val="bullet"/>
      <w:lvlText w:val="•"/>
      <w:lvlJc w:val="left"/>
      <w:pPr>
        <w:ind w:left="8708" w:hanging="756"/>
      </w:pPr>
      <w:rPr>
        <w:rFonts w:hint="default"/>
      </w:rPr>
    </w:lvl>
  </w:abstractNum>
  <w:abstractNum w:abstractNumId="5">
    <w:multiLevelType w:val="hybridMultilevel"/>
    <w:lvl w:ilvl="0">
      <w:start w:val="1"/>
      <w:numFmt w:val="upperRoman"/>
      <w:lvlText w:val="%1"/>
      <w:lvlJc w:val="left"/>
      <w:pPr>
        <w:ind w:left="2212" w:hanging="159"/>
        <w:jc w:val="left"/>
      </w:pPr>
      <w:rPr>
        <w:rFonts w:hint="default" w:ascii="宋体" w:hAnsi="宋体" w:eastAsia="宋体" w:cs="宋体"/>
        <w:w w:val="100"/>
        <w:sz w:val="21"/>
        <w:szCs w:val="21"/>
      </w:rPr>
    </w:lvl>
    <w:lvl w:ilvl="1">
      <w:start w:val="0"/>
      <w:numFmt w:val="bullet"/>
      <w:lvlText w:val="•"/>
      <w:lvlJc w:val="left"/>
      <w:pPr>
        <w:ind w:left="2940" w:hanging="159"/>
      </w:pPr>
      <w:rPr>
        <w:rFonts w:hint="default"/>
      </w:rPr>
    </w:lvl>
    <w:lvl w:ilvl="2">
      <w:start w:val="0"/>
      <w:numFmt w:val="bullet"/>
      <w:lvlText w:val="•"/>
      <w:lvlJc w:val="left"/>
      <w:pPr>
        <w:ind w:left="3660" w:hanging="159"/>
      </w:pPr>
      <w:rPr>
        <w:rFonts w:hint="default"/>
      </w:rPr>
    </w:lvl>
    <w:lvl w:ilvl="3">
      <w:start w:val="0"/>
      <w:numFmt w:val="bullet"/>
      <w:lvlText w:val="•"/>
      <w:lvlJc w:val="left"/>
      <w:pPr>
        <w:ind w:left="4380" w:hanging="159"/>
      </w:pPr>
      <w:rPr>
        <w:rFonts w:hint="default"/>
      </w:rPr>
    </w:lvl>
    <w:lvl w:ilvl="4">
      <w:start w:val="0"/>
      <w:numFmt w:val="bullet"/>
      <w:lvlText w:val="•"/>
      <w:lvlJc w:val="left"/>
      <w:pPr>
        <w:ind w:left="5100" w:hanging="159"/>
      </w:pPr>
      <w:rPr>
        <w:rFonts w:hint="default"/>
      </w:rPr>
    </w:lvl>
    <w:lvl w:ilvl="5">
      <w:start w:val="0"/>
      <w:numFmt w:val="bullet"/>
      <w:lvlText w:val="•"/>
      <w:lvlJc w:val="left"/>
      <w:pPr>
        <w:ind w:left="5820" w:hanging="159"/>
      </w:pPr>
      <w:rPr>
        <w:rFonts w:hint="default"/>
      </w:rPr>
    </w:lvl>
    <w:lvl w:ilvl="6">
      <w:start w:val="0"/>
      <w:numFmt w:val="bullet"/>
      <w:lvlText w:val="•"/>
      <w:lvlJc w:val="left"/>
      <w:pPr>
        <w:ind w:left="6540" w:hanging="159"/>
      </w:pPr>
      <w:rPr>
        <w:rFonts w:hint="default"/>
      </w:rPr>
    </w:lvl>
    <w:lvl w:ilvl="7">
      <w:start w:val="0"/>
      <w:numFmt w:val="bullet"/>
      <w:lvlText w:val="•"/>
      <w:lvlJc w:val="left"/>
      <w:pPr>
        <w:ind w:left="7260" w:hanging="159"/>
      </w:pPr>
      <w:rPr>
        <w:rFonts w:hint="default"/>
      </w:rPr>
    </w:lvl>
    <w:lvl w:ilvl="8">
      <w:start w:val="0"/>
      <w:numFmt w:val="bullet"/>
      <w:lvlText w:val="•"/>
      <w:lvlJc w:val="left"/>
      <w:pPr>
        <w:ind w:left="7980" w:hanging="159"/>
      </w:pPr>
      <w:rPr>
        <w:rFonts w:hint="default"/>
      </w:rPr>
    </w:lvl>
  </w:abstractNum>
  <w:abstractNum w:abstractNumId="4">
    <w:multiLevelType w:val="hybridMultilevel"/>
    <w:lvl w:ilvl="0">
      <w:start w:val="2"/>
      <w:numFmt w:val="decimal"/>
      <w:lvlText w:val="%1"/>
      <w:lvlJc w:val="left"/>
      <w:pPr>
        <w:ind w:left="976" w:hanging="756"/>
        <w:jc w:val="left"/>
      </w:pPr>
      <w:rPr>
        <w:rFonts w:hint="default"/>
      </w:rPr>
    </w:lvl>
    <w:lvl w:ilvl="1">
      <w:start w:val="1"/>
      <w:numFmt w:val="decimal"/>
      <w:lvlText w:val="%1.%2"/>
      <w:lvlJc w:val="left"/>
      <w:pPr>
        <w:ind w:left="976"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2844" w:hanging="756"/>
      </w:pPr>
      <w:rPr>
        <w:rFonts w:hint="default"/>
      </w:rPr>
    </w:lvl>
    <w:lvl w:ilvl="3">
      <w:start w:val="0"/>
      <w:numFmt w:val="bullet"/>
      <w:lvlText w:val="•"/>
      <w:lvlJc w:val="left"/>
      <w:pPr>
        <w:ind w:left="3776" w:hanging="756"/>
      </w:pPr>
      <w:rPr>
        <w:rFonts w:hint="default"/>
      </w:rPr>
    </w:lvl>
    <w:lvl w:ilvl="4">
      <w:start w:val="0"/>
      <w:numFmt w:val="bullet"/>
      <w:lvlText w:val="•"/>
      <w:lvlJc w:val="left"/>
      <w:pPr>
        <w:ind w:left="4708" w:hanging="756"/>
      </w:pPr>
      <w:rPr>
        <w:rFonts w:hint="default"/>
      </w:rPr>
    </w:lvl>
    <w:lvl w:ilvl="5">
      <w:start w:val="0"/>
      <w:numFmt w:val="bullet"/>
      <w:lvlText w:val="•"/>
      <w:lvlJc w:val="left"/>
      <w:pPr>
        <w:ind w:left="5640" w:hanging="756"/>
      </w:pPr>
      <w:rPr>
        <w:rFonts w:hint="default"/>
      </w:rPr>
    </w:lvl>
    <w:lvl w:ilvl="6">
      <w:start w:val="0"/>
      <w:numFmt w:val="bullet"/>
      <w:lvlText w:val="•"/>
      <w:lvlJc w:val="left"/>
      <w:pPr>
        <w:ind w:left="6572" w:hanging="756"/>
      </w:pPr>
      <w:rPr>
        <w:rFonts w:hint="default"/>
      </w:rPr>
    </w:lvl>
    <w:lvl w:ilvl="7">
      <w:start w:val="0"/>
      <w:numFmt w:val="bullet"/>
      <w:lvlText w:val="•"/>
      <w:lvlJc w:val="left"/>
      <w:pPr>
        <w:ind w:left="7504" w:hanging="756"/>
      </w:pPr>
      <w:rPr>
        <w:rFonts w:hint="default"/>
      </w:rPr>
    </w:lvl>
    <w:lvl w:ilvl="8">
      <w:start w:val="0"/>
      <w:numFmt w:val="bullet"/>
      <w:lvlText w:val="•"/>
      <w:lvlJc w:val="left"/>
      <w:pPr>
        <w:ind w:left="8436" w:hanging="756"/>
      </w:pPr>
      <w:rPr>
        <w:rFonts w:hint="default"/>
      </w:rPr>
    </w:lvl>
  </w:abstractNum>
  <w:abstractNum w:abstractNumId="3">
    <w:multiLevelType w:val="hybridMultilevel"/>
    <w:lvl w:ilvl="0">
      <w:start w:val="1"/>
      <w:numFmt w:val="decimal"/>
      <w:lvlText w:val="%1"/>
      <w:lvlJc w:val="left"/>
      <w:pPr>
        <w:ind w:left="2934" w:hanging="756"/>
        <w:jc w:val="left"/>
      </w:pPr>
      <w:rPr>
        <w:rFonts w:hint="default"/>
      </w:rPr>
    </w:lvl>
    <w:lvl w:ilvl="1">
      <w:start w:val="1"/>
      <w:numFmt w:val="decimal"/>
      <w:lvlText w:val="%1.%2"/>
      <w:lvlJc w:val="left"/>
      <w:pPr>
        <w:ind w:left="2934"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4412" w:hanging="756"/>
      </w:pPr>
      <w:rPr>
        <w:rFonts w:hint="default"/>
      </w:rPr>
    </w:lvl>
    <w:lvl w:ilvl="3">
      <w:start w:val="0"/>
      <w:numFmt w:val="bullet"/>
      <w:lvlText w:val="•"/>
      <w:lvlJc w:val="left"/>
      <w:pPr>
        <w:ind w:left="5148" w:hanging="756"/>
      </w:pPr>
      <w:rPr>
        <w:rFonts w:hint="default"/>
      </w:rPr>
    </w:lvl>
    <w:lvl w:ilvl="4">
      <w:start w:val="0"/>
      <w:numFmt w:val="bullet"/>
      <w:lvlText w:val="•"/>
      <w:lvlJc w:val="left"/>
      <w:pPr>
        <w:ind w:left="5884" w:hanging="756"/>
      </w:pPr>
      <w:rPr>
        <w:rFonts w:hint="default"/>
      </w:rPr>
    </w:lvl>
    <w:lvl w:ilvl="5">
      <w:start w:val="0"/>
      <w:numFmt w:val="bullet"/>
      <w:lvlText w:val="•"/>
      <w:lvlJc w:val="left"/>
      <w:pPr>
        <w:ind w:left="6620" w:hanging="756"/>
      </w:pPr>
      <w:rPr>
        <w:rFonts w:hint="default"/>
      </w:rPr>
    </w:lvl>
    <w:lvl w:ilvl="6">
      <w:start w:val="0"/>
      <w:numFmt w:val="bullet"/>
      <w:lvlText w:val="•"/>
      <w:lvlJc w:val="left"/>
      <w:pPr>
        <w:ind w:left="7356" w:hanging="756"/>
      </w:pPr>
      <w:rPr>
        <w:rFonts w:hint="default"/>
      </w:rPr>
    </w:lvl>
    <w:lvl w:ilvl="7">
      <w:start w:val="0"/>
      <w:numFmt w:val="bullet"/>
      <w:lvlText w:val="•"/>
      <w:lvlJc w:val="left"/>
      <w:pPr>
        <w:ind w:left="8092" w:hanging="756"/>
      </w:pPr>
      <w:rPr>
        <w:rFonts w:hint="default"/>
      </w:rPr>
    </w:lvl>
    <w:lvl w:ilvl="8">
      <w:start w:val="0"/>
      <w:numFmt w:val="bullet"/>
      <w:lvlText w:val="•"/>
      <w:lvlJc w:val="left"/>
      <w:pPr>
        <w:ind w:left="8828" w:hanging="756"/>
      </w:pPr>
      <w:rPr>
        <w:rFonts w:hint="default"/>
      </w:rPr>
    </w:lvl>
  </w:abstractNum>
  <w:abstractNum w:abstractNumId="2">
    <w:multiLevelType w:val="hybridMultilevel"/>
    <w:lvl w:ilvl="0">
      <w:start w:val="10"/>
      <w:numFmt w:val="decimal"/>
      <w:lvlText w:val="%1"/>
      <w:lvlJc w:val="left"/>
      <w:pPr>
        <w:ind w:left="883" w:hanging="526"/>
        <w:jc w:val="left"/>
      </w:pPr>
      <w:rPr>
        <w:rFonts w:hint="default"/>
      </w:rPr>
    </w:lvl>
    <w:lvl w:ilvl="1">
      <w:start w:val="3"/>
      <w:numFmt w:val="decimal"/>
      <w:lvlText w:val="%1.%2"/>
      <w:lvlJc w:val="left"/>
      <w:pPr>
        <w:ind w:left="883" w:hanging="526"/>
        <w:jc w:val="left"/>
      </w:pPr>
      <w:rPr>
        <w:rFonts w:hint="default" w:ascii="仿宋" w:hAnsi="仿宋" w:eastAsia="仿宋" w:cs="仿宋"/>
        <w:w w:val="100"/>
        <w:sz w:val="21"/>
        <w:szCs w:val="21"/>
      </w:rPr>
    </w:lvl>
    <w:lvl w:ilvl="2">
      <w:start w:val="0"/>
      <w:numFmt w:val="bullet"/>
      <w:lvlText w:val="•"/>
      <w:lvlJc w:val="left"/>
      <w:pPr>
        <w:ind w:left="1350" w:hanging="526"/>
      </w:pPr>
      <w:rPr>
        <w:rFonts w:hint="default"/>
      </w:rPr>
    </w:lvl>
    <w:lvl w:ilvl="3">
      <w:start w:val="0"/>
      <w:numFmt w:val="bullet"/>
      <w:lvlText w:val="•"/>
      <w:lvlJc w:val="left"/>
      <w:pPr>
        <w:ind w:left="1586" w:hanging="526"/>
      </w:pPr>
      <w:rPr>
        <w:rFonts w:hint="default"/>
      </w:rPr>
    </w:lvl>
    <w:lvl w:ilvl="4">
      <w:start w:val="0"/>
      <w:numFmt w:val="bullet"/>
      <w:lvlText w:val="•"/>
      <w:lvlJc w:val="left"/>
      <w:pPr>
        <w:ind w:left="1821" w:hanging="526"/>
      </w:pPr>
      <w:rPr>
        <w:rFonts w:hint="default"/>
      </w:rPr>
    </w:lvl>
    <w:lvl w:ilvl="5">
      <w:start w:val="0"/>
      <w:numFmt w:val="bullet"/>
      <w:lvlText w:val="•"/>
      <w:lvlJc w:val="left"/>
      <w:pPr>
        <w:ind w:left="2057" w:hanging="526"/>
      </w:pPr>
      <w:rPr>
        <w:rFonts w:hint="default"/>
      </w:rPr>
    </w:lvl>
    <w:lvl w:ilvl="6">
      <w:start w:val="0"/>
      <w:numFmt w:val="bullet"/>
      <w:lvlText w:val="•"/>
      <w:lvlJc w:val="left"/>
      <w:pPr>
        <w:ind w:left="2292" w:hanging="526"/>
      </w:pPr>
      <w:rPr>
        <w:rFonts w:hint="default"/>
      </w:rPr>
    </w:lvl>
    <w:lvl w:ilvl="7">
      <w:start w:val="0"/>
      <w:numFmt w:val="bullet"/>
      <w:lvlText w:val="•"/>
      <w:lvlJc w:val="left"/>
      <w:pPr>
        <w:ind w:left="2527" w:hanging="526"/>
      </w:pPr>
      <w:rPr>
        <w:rFonts w:hint="default"/>
      </w:rPr>
    </w:lvl>
    <w:lvl w:ilvl="8">
      <w:start w:val="0"/>
      <w:numFmt w:val="bullet"/>
      <w:lvlText w:val="•"/>
      <w:lvlJc w:val="left"/>
      <w:pPr>
        <w:ind w:left="2763" w:hanging="526"/>
      </w:pPr>
      <w:rPr>
        <w:rFonts w:hint="default"/>
      </w:rPr>
    </w:lvl>
  </w:abstractNum>
  <w:num w:numId="2">
    <w:abstractNumId w:val="1"/>
  </w:num>
  <w:num w:numId="1">
    <w:abstractNumId w:val="0"/>
  </w:num>
  <w:num w:numId="7">
    <w:abstractNumId w:val="6"/>
  </w:num>
  <w:num w:numId="6">
    <w:abstractNumId w:val="5"/>
  </w:num>
  <w:num w:numId="5">
    <w:abstractNumId w:val="4"/>
  </w:num>
  <w:num w:numId="4">
    <w:abstractNumId w:val="3"/>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line="272" w:lineRule="exact"/>
      <w:ind w:left="2054"/>
    </w:pPr>
    <w:rPr>
      <w:rFonts w:ascii="宋体" w:hAnsi="宋体" w:eastAsia="宋体" w:cs="宋体"/>
      <w:sz w:val="21"/>
      <w:szCs w:val="21"/>
    </w:rPr>
  </w:style>
  <w:style w:styleId="Heading1" w:type="paragraph">
    <w:name w:val="Heading 1"/>
    <w:basedOn w:val="Normal"/>
    <w:uiPriority w:val="1"/>
    <w:qFormat/>
    <w:pPr>
      <w:ind w:left="1898" w:right="1894"/>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ind w:left="255"/>
      <w:outlineLvl w:val="2"/>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1645" w:hanging="42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ZIT-001</dc:creator>
  <dc:title>嘉禾发[2012]372号 农银鸿康重大疾病保险（2013）条款</dc:title>
  <dcterms:created xsi:type="dcterms:W3CDTF">2018-10-19T23:24:17Z</dcterms:created>
  <dcterms:modified xsi:type="dcterms:W3CDTF">2018-10-19T23:24:17Z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Creator">
    <vt:lpwstr>pdfFactory Pro www.fineprint.cn</vt:lpwstr>
  </property>
  <property fmtid="{D5CDD505-2E9C-101B-9397-08002B2CF9AE}" pid="4" name="LastSaved">
    <vt:filetime>2018-10-19T00:00:00Z</vt:filetime>
  </property>
</Properties>
</file>