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101"/>
        <w:jc w:val="right"/>
      </w:pPr>
      <w:r>
        <w:rPr/>
        <w:drawing>
          <wp:anchor distT="0" distB="0" distL="0" distR="0" allowOverlap="1" layoutInCell="1" locked="0" behindDoc="0" simplePos="0" relativeHeight="1048">
            <wp:simplePos x="0" y="0"/>
            <wp:positionH relativeFrom="page">
              <wp:posOffset>5924550</wp:posOffset>
            </wp:positionH>
            <wp:positionV relativeFrom="paragraph">
              <wp:posOffset>257601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泰康人寿〔2017〕疾病保险 033 号</w:t>
      </w:r>
    </w:p>
    <w:p>
      <w:pPr>
        <w:pStyle w:val="BodyText"/>
        <w:rPr>
          <w:sz w:val="20"/>
        </w:rPr>
      </w:pPr>
    </w:p>
    <w:p>
      <w:pPr>
        <w:pStyle w:val="BodyText"/>
        <w:spacing w:before="7"/>
        <w:rPr>
          <w:sz w:val="25"/>
        </w:rPr>
      </w:pPr>
    </w:p>
    <w:p>
      <w:pPr>
        <w:spacing w:after="0"/>
        <w:rPr>
          <w:sz w:val="25"/>
        </w:rPr>
        <w:sectPr>
          <w:type w:val="continuous"/>
          <w:pgSz w:w="11900" w:h="16840"/>
          <w:pgMar w:top="300" w:bottom="280" w:left="560" w:right="340"/>
        </w:sectPr>
      </w:pPr>
    </w:p>
    <w:p>
      <w:pPr>
        <w:spacing w:line="297" w:lineRule="auto" w:before="1"/>
        <w:ind w:left="4217" w:right="0" w:hanging="2004"/>
        <w:jc w:val="left"/>
        <w:rPr>
          <w:sz w:val="32"/>
        </w:rPr>
      </w:pPr>
      <w:r>
        <w:rPr>
          <w:spacing w:val="-13"/>
          <w:sz w:val="32"/>
        </w:rPr>
        <w:t>泰康乐相伴 </w:t>
      </w:r>
      <w:r>
        <w:rPr>
          <w:sz w:val="32"/>
        </w:rPr>
        <w:t>B</w:t>
      </w:r>
      <w:r>
        <w:rPr>
          <w:spacing w:val="-9"/>
          <w:sz w:val="32"/>
        </w:rPr>
        <w:t> 款豁免保险费疾病保险条款</w:t>
      </w:r>
      <w:r>
        <w:rPr>
          <w:spacing w:val="-6"/>
          <w:sz w:val="32"/>
        </w:rPr>
        <w:t>阅 读 指 引</w:t>
      </w:r>
    </w:p>
    <w:p>
      <w:pPr>
        <w:pStyle w:val="BodyText"/>
        <w:rPr>
          <w:sz w:val="20"/>
        </w:rPr>
      </w:pPr>
      <w:r>
        <w:rPr/>
        <w:br w:type="column"/>
      </w:r>
      <w:r>
        <w:rPr>
          <w:sz w:val="20"/>
        </w:rPr>
      </w:r>
    </w:p>
    <w:p>
      <w:pPr>
        <w:pStyle w:val="BodyText"/>
        <w:rPr>
          <w:sz w:val="20"/>
        </w:rPr>
      </w:pPr>
    </w:p>
    <w:p>
      <w:pPr>
        <w:pStyle w:val="BodyText"/>
        <w:spacing w:before="3"/>
        <w:rPr>
          <w:sz w:val="15"/>
        </w:rPr>
      </w:pPr>
    </w:p>
    <w:p>
      <w:pPr>
        <w:pStyle w:val="BodyText"/>
        <w:ind w:left="201"/>
      </w:pPr>
      <w:r>
        <w:rPr/>
        <w:t>请扫描以查询验证条款</w:t>
      </w:r>
    </w:p>
    <w:p>
      <w:pPr>
        <w:spacing w:after="0"/>
        <w:sectPr>
          <w:type w:val="continuous"/>
          <w:pgSz w:w="11900" w:h="16840"/>
          <w:pgMar w:top="300" w:bottom="280" w:left="560" w:right="340"/>
          <w:cols w:num="2" w:equalWidth="0">
            <w:col w:w="7995" w:space="40"/>
            <w:col w:w="2965"/>
          </w:cols>
        </w:sectPr>
      </w:pPr>
    </w:p>
    <w:p>
      <w:pPr>
        <w:pStyle w:val="BodyText"/>
        <w:spacing w:before="10"/>
        <w:rPr>
          <w:sz w:val="9"/>
        </w:rPr>
      </w:pPr>
    </w:p>
    <w:p>
      <w:pPr>
        <w:pStyle w:val="BodyText"/>
        <w:spacing w:before="36"/>
        <w:ind w:left="1222" w:right="1313"/>
        <w:jc w:val="center"/>
      </w:pPr>
      <w:r>
        <w:rPr/>
        <w:drawing>
          <wp:anchor distT="0" distB="0" distL="0" distR="0" allowOverlap="1" layoutInCell="1" locked="0" behindDoc="1" simplePos="0" relativeHeight="268363463">
            <wp:simplePos x="0" y="0"/>
            <wp:positionH relativeFrom="page">
              <wp:posOffset>429005</wp:posOffset>
            </wp:positionH>
            <wp:positionV relativeFrom="paragraph">
              <wp:posOffset>273861</wp:posOffset>
            </wp:positionV>
            <wp:extent cx="6743699" cy="805586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743699" cy="8055863"/>
                    </a:xfrm>
                    <a:prstGeom prst="rect">
                      <a:avLst/>
                    </a:prstGeom>
                  </pic:spPr>
                </pic:pic>
              </a:graphicData>
            </a:graphic>
          </wp:anchor>
        </w:drawing>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tabs>
          <w:tab w:pos="1263" w:val="left" w:leader="none"/>
        </w:tabs>
        <w:spacing w:before="89"/>
        <w:ind w:left="253"/>
      </w:pPr>
      <w:r>
        <w:rPr>
          <w:rFonts w:ascii="Arial" w:hAnsi="Arial" w:eastAsia="Arial"/>
          <w:w w:val="150"/>
          <w:position w:val="-11"/>
          <w:sz w:val="52"/>
        </w:rPr>
        <w:t>¤</w:t>
        <w:tab/>
      </w:r>
      <w:r>
        <w:rPr/>
        <w:t>您拥有的重要权益</w:t>
      </w:r>
    </w:p>
    <w:p>
      <w:pPr>
        <w:pStyle w:val="ListParagraph"/>
        <w:numPr>
          <w:ilvl w:val="0"/>
          <w:numId w:val="1"/>
        </w:numPr>
        <w:tabs>
          <w:tab w:pos="1490" w:val="left" w:leader="none"/>
          <w:tab w:pos="1491" w:val="left" w:leader="none"/>
          <w:tab w:pos="10204" w:val="right" w:leader="dot"/>
        </w:tabs>
        <w:spacing w:line="240" w:lineRule="auto" w:before="22" w:after="0"/>
        <w:ind w:left="1490" w:right="0" w:hanging="397"/>
        <w:jc w:val="left"/>
        <w:rPr>
          <w:sz w:val="21"/>
        </w:rPr>
      </w:pPr>
      <w:r>
        <w:rPr>
          <w:sz w:val="21"/>
        </w:rPr>
        <w:t>犹豫期内您若要求解除合同，我们向您无息退还保险费.</w:t>
        <w:tab/>
        <w:t>1.4</w:t>
      </w:r>
    </w:p>
    <w:p>
      <w:pPr>
        <w:pStyle w:val="ListParagraph"/>
        <w:numPr>
          <w:ilvl w:val="0"/>
          <w:numId w:val="1"/>
        </w:numPr>
        <w:tabs>
          <w:tab w:pos="1490" w:val="left" w:leader="none"/>
          <w:tab w:pos="1491" w:val="left" w:leader="none"/>
          <w:tab w:pos="10203" w:val="right" w:leader="dot"/>
        </w:tabs>
        <w:spacing w:line="240" w:lineRule="auto" w:before="36" w:after="0"/>
        <w:ind w:left="1490" w:right="0" w:hanging="397"/>
        <w:jc w:val="left"/>
        <w:rPr>
          <w:sz w:val="21"/>
        </w:rPr>
      </w:pPr>
      <w:r>
        <w:rPr>
          <w:sz w:val="21"/>
        </w:rPr>
        <w:t>本合同提供的保障在保险责任条款中列明.</w:t>
        <w:tab/>
        <w:t>2.2</w:t>
      </w:r>
    </w:p>
    <w:p>
      <w:pPr>
        <w:pStyle w:val="ListParagraph"/>
        <w:numPr>
          <w:ilvl w:val="0"/>
          <w:numId w:val="1"/>
        </w:numPr>
        <w:tabs>
          <w:tab w:pos="1490" w:val="left" w:leader="none"/>
          <w:tab w:pos="1491" w:val="left" w:leader="none"/>
          <w:tab w:pos="10201" w:val="right" w:leader="dot"/>
        </w:tabs>
        <w:spacing w:line="240" w:lineRule="auto" w:before="36" w:after="0"/>
        <w:ind w:left="1490" w:right="0" w:hanging="397"/>
        <w:jc w:val="left"/>
        <w:rPr>
          <w:sz w:val="21"/>
        </w:rPr>
      </w:pPr>
      <w:r>
        <w:rPr>
          <w:sz w:val="21"/>
        </w:rPr>
        <w:t>您有解除合同的权利.</w:t>
        <w:tab/>
        <w:t>7.1</w:t>
      </w:r>
    </w:p>
    <w:p>
      <w:pPr>
        <w:pStyle w:val="BodyText"/>
        <w:tabs>
          <w:tab w:pos="1263" w:val="left" w:leader="none"/>
        </w:tabs>
        <w:spacing w:before="40"/>
        <w:ind w:left="253"/>
      </w:pPr>
      <w:r>
        <w:rPr>
          <w:rFonts w:ascii="Arial" w:hAnsi="Arial" w:eastAsia="Arial"/>
          <w:w w:val="150"/>
          <w:position w:val="-11"/>
          <w:sz w:val="52"/>
        </w:rPr>
        <w:t>¤</w:t>
        <w:tab/>
      </w:r>
      <w:r>
        <w:rPr/>
        <w:t>您应当特别注意的事项</w:t>
      </w:r>
    </w:p>
    <w:p>
      <w:pPr>
        <w:pStyle w:val="ListParagraph"/>
        <w:numPr>
          <w:ilvl w:val="0"/>
          <w:numId w:val="1"/>
        </w:numPr>
        <w:tabs>
          <w:tab w:pos="1490" w:val="left" w:leader="none"/>
          <w:tab w:pos="1491" w:val="left" w:leader="none"/>
          <w:tab w:pos="10203" w:val="right" w:leader="dot"/>
        </w:tabs>
        <w:spacing w:line="240" w:lineRule="auto" w:before="22" w:after="0"/>
        <w:ind w:left="1490" w:right="0" w:hanging="397"/>
        <w:jc w:val="left"/>
        <w:rPr>
          <w:sz w:val="21"/>
        </w:rPr>
      </w:pPr>
      <w:r>
        <w:rPr>
          <w:sz w:val="21"/>
        </w:rPr>
        <w:t>在某些情况下，我们不承担保险责任.</w:t>
        <w:tab/>
        <w:t>2.3</w:t>
      </w:r>
    </w:p>
    <w:p>
      <w:pPr>
        <w:pStyle w:val="ListParagraph"/>
        <w:numPr>
          <w:ilvl w:val="0"/>
          <w:numId w:val="1"/>
        </w:numPr>
        <w:tabs>
          <w:tab w:pos="1490" w:val="left" w:leader="none"/>
          <w:tab w:pos="1491" w:val="left" w:leader="none"/>
          <w:tab w:pos="10203" w:val="right" w:leader="dot"/>
        </w:tabs>
        <w:spacing w:line="240" w:lineRule="auto" w:before="37" w:after="0"/>
        <w:ind w:left="1490" w:right="0" w:hanging="397"/>
        <w:jc w:val="left"/>
        <w:rPr>
          <w:sz w:val="21"/>
        </w:rPr>
      </w:pPr>
      <w:r>
        <w:rPr>
          <w:sz w:val="21"/>
        </w:rPr>
        <w:t>保险事故发生后请您及时通知我们.</w:t>
        <w:tab/>
        <w:t>3.1</w:t>
      </w:r>
    </w:p>
    <w:p>
      <w:pPr>
        <w:pStyle w:val="ListParagraph"/>
        <w:numPr>
          <w:ilvl w:val="0"/>
          <w:numId w:val="1"/>
        </w:numPr>
        <w:tabs>
          <w:tab w:pos="1490" w:val="left" w:leader="none"/>
          <w:tab w:pos="1491" w:val="left" w:leader="none"/>
          <w:tab w:pos="10202" w:val="right" w:leader="dot"/>
        </w:tabs>
        <w:spacing w:line="240" w:lineRule="auto" w:before="37" w:after="0"/>
        <w:ind w:left="1490" w:right="0" w:hanging="397"/>
        <w:jc w:val="left"/>
        <w:rPr>
          <w:sz w:val="21"/>
        </w:rPr>
      </w:pPr>
      <w:r>
        <w:rPr>
          <w:sz w:val="21"/>
        </w:rPr>
        <w:t>您应当按时交纳保险费.</w:t>
        <w:tab/>
        <w:t>4.1</w:t>
      </w:r>
    </w:p>
    <w:p>
      <w:pPr>
        <w:pStyle w:val="ListParagraph"/>
        <w:numPr>
          <w:ilvl w:val="0"/>
          <w:numId w:val="1"/>
        </w:numPr>
        <w:tabs>
          <w:tab w:pos="1490" w:val="left" w:leader="none"/>
          <w:tab w:pos="1491" w:val="left" w:leader="none"/>
          <w:tab w:pos="10202" w:val="right" w:leader="dot"/>
        </w:tabs>
        <w:spacing w:line="240" w:lineRule="auto" w:before="37" w:after="0"/>
        <w:ind w:left="1490" w:right="0" w:hanging="397"/>
        <w:jc w:val="left"/>
        <w:rPr>
          <w:sz w:val="21"/>
        </w:rPr>
      </w:pPr>
      <w:r>
        <w:rPr>
          <w:sz w:val="21"/>
        </w:rPr>
        <w:t>解除合同会给您造成一定的损失，请您慎重决策.</w:t>
        <w:tab/>
        <w:t>7.1</w:t>
      </w:r>
    </w:p>
    <w:p>
      <w:pPr>
        <w:pStyle w:val="ListParagraph"/>
        <w:numPr>
          <w:ilvl w:val="0"/>
          <w:numId w:val="1"/>
        </w:numPr>
        <w:tabs>
          <w:tab w:pos="1490" w:val="left" w:leader="none"/>
          <w:tab w:pos="1491" w:val="left" w:leader="none"/>
          <w:tab w:pos="10201" w:val="right" w:leader="dot"/>
        </w:tabs>
        <w:spacing w:line="240" w:lineRule="auto" w:before="37" w:after="0"/>
        <w:ind w:left="1490" w:right="0" w:hanging="397"/>
        <w:jc w:val="left"/>
        <w:rPr>
          <w:sz w:val="21"/>
        </w:rPr>
      </w:pPr>
      <w:r>
        <w:rPr>
          <w:sz w:val="21"/>
        </w:rPr>
        <w:t>您有如实告知的义务.</w:t>
        <w:tab/>
        <w:t>8.2</w:t>
      </w:r>
    </w:p>
    <w:p>
      <w:pPr>
        <w:pStyle w:val="ListParagraph"/>
        <w:numPr>
          <w:ilvl w:val="0"/>
          <w:numId w:val="1"/>
        </w:numPr>
        <w:tabs>
          <w:tab w:pos="1490" w:val="left" w:leader="none"/>
          <w:tab w:pos="1491" w:val="left" w:leader="none"/>
          <w:tab w:pos="9992" w:val="right" w:leader="dot"/>
        </w:tabs>
        <w:spacing w:line="240" w:lineRule="auto" w:before="37" w:after="0"/>
        <w:ind w:left="1490" w:right="0" w:hanging="397"/>
        <w:jc w:val="left"/>
        <w:rPr>
          <w:sz w:val="21"/>
        </w:rPr>
      </w:pPr>
      <w:r>
        <w:rPr>
          <w:sz w:val="21"/>
        </w:rPr>
        <w:t>本合同对疾病进行了明确定义，请您仔细阅读.</w:t>
        <w:tab/>
        <w:t>9</w:t>
      </w:r>
    </w:p>
    <w:p>
      <w:pPr>
        <w:pStyle w:val="ListParagraph"/>
        <w:numPr>
          <w:ilvl w:val="0"/>
          <w:numId w:val="1"/>
        </w:numPr>
        <w:tabs>
          <w:tab w:pos="1490" w:val="left" w:leader="none"/>
          <w:tab w:pos="1491" w:val="left" w:leader="none"/>
          <w:tab w:pos="10098" w:val="right" w:leader="dot"/>
        </w:tabs>
        <w:spacing w:line="240" w:lineRule="auto" w:before="37" w:after="0"/>
        <w:ind w:left="1490" w:right="0" w:hanging="397"/>
        <w:jc w:val="left"/>
        <w:rPr>
          <w:sz w:val="21"/>
        </w:rPr>
      </w:pPr>
      <w:r>
        <w:rPr>
          <w:sz w:val="21"/>
        </w:rPr>
        <w:t>我们对一些重要术语进行了解释，并作了显著标识，请您注意.</w:t>
        <w:tab/>
        <w:t>10</w:t>
      </w:r>
    </w:p>
    <w:p>
      <w:pPr>
        <w:pStyle w:val="BodyText"/>
        <w:tabs>
          <w:tab w:pos="1263" w:val="left" w:leader="none"/>
        </w:tabs>
        <w:spacing w:before="40"/>
        <w:ind w:left="253"/>
      </w:pPr>
      <w:r>
        <w:rPr>
          <w:rFonts w:ascii="Arial" w:hAnsi="Arial" w:eastAsia="Arial"/>
          <w:w w:val="150"/>
          <w:position w:val="-11"/>
          <w:sz w:val="52"/>
        </w:rPr>
        <w:t>¤</w:t>
        <w:tab/>
      </w:r>
      <w:r>
        <w:rPr/>
        <w:t>条款是保险合同的重要内容，为充分保障您的权益，请您仔细阅读本条款。</w:t>
      </w:r>
    </w:p>
    <w:p>
      <w:pPr>
        <w:tabs>
          <w:tab w:pos="1263" w:val="left" w:leader="none"/>
        </w:tabs>
        <w:spacing w:before="25"/>
        <w:ind w:left="253" w:right="0" w:firstLine="0"/>
        <w:jc w:val="left"/>
        <w:rPr>
          <w:sz w:val="21"/>
        </w:rPr>
      </w:pPr>
      <w:r>
        <w:rPr>
          <w:rFonts w:ascii="Arial" w:hAnsi="Arial" w:eastAsia="Arial"/>
          <w:w w:val="150"/>
          <w:position w:val="-11"/>
          <w:sz w:val="52"/>
        </w:rPr>
        <w:t>¤</w:t>
        <w:tab/>
      </w:r>
      <w:r>
        <w:rPr>
          <w:sz w:val="21"/>
        </w:rPr>
        <w:t>条款目录</w:t>
      </w:r>
    </w:p>
    <w:p>
      <w:pPr>
        <w:pStyle w:val="BodyText"/>
        <w:spacing w:before="8"/>
        <w:rPr>
          <w:sz w:val="6"/>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0"/>
        <w:gridCol w:w="3474"/>
        <w:gridCol w:w="3894"/>
      </w:tblGrid>
      <w:tr>
        <w:trPr>
          <w:trHeight w:val="6449" w:hRule="atLeast"/>
        </w:trPr>
        <w:tc>
          <w:tcPr>
            <w:tcW w:w="3060" w:type="dxa"/>
          </w:tcPr>
          <w:p>
            <w:pPr>
              <w:pStyle w:val="TableParagraph"/>
              <w:numPr>
                <w:ilvl w:val="0"/>
                <w:numId w:val="2"/>
              </w:numPr>
              <w:tabs>
                <w:tab w:pos="516" w:val="left" w:leader="none"/>
              </w:tabs>
              <w:spacing w:line="210" w:lineRule="exact" w:before="0" w:after="0"/>
              <w:ind w:left="515" w:right="0" w:hanging="315"/>
              <w:jc w:val="left"/>
              <w:rPr>
                <w:sz w:val="21"/>
              </w:rPr>
            </w:pPr>
            <w:r>
              <w:rPr>
                <w:sz w:val="21"/>
              </w:rPr>
              <w:t>您与我们订立的合同</w:t>
            </w:r>
          </w:p>
          <w:p>
            <w:pPr>
              <w:pStyle w:val="TableParagraph"/>
              <w:numPr>
                <w:ilvl w:val="1"/>
                <w:numId w:val="2"/>
              </w:numPr>
              <w:tabs>
                <w:tab w:pos="706" w:val="left" w:leader="none"/>
              </w:tabs>
              <w:spacing w:line="240" w:lineRule="auto" w:before="37" w:after="0"/>
              <w:ind w:left="705" w:right="0" w:hanging="505"/>
              <w:jc w:val="left"/>
              <w:rPr>
                <w:sz w:val="21"/>
              </w:rPr>
            </w:pPr>
            <w:r>
              <w:rPr>
                <w:sz w:val="21"/>
              </w:rPr>
              <w:t>合同构成</w:t>
            </w:r>
          </w:p>
          <w:p>
            <w:pPr>
              <w:pStyle w:val="TableParagraph"/>
              <w:numPr>
                <w:ilvl w:val="1"/>
                <w:numId w:val="2"/>
              </w:numPr>
              <w:tabs>
                <w:tab w:pos="706" w:val="left" w:leader="none"/>
              </w:tabs>
              <w:spacing w:line="240" w:lineRule="auto" w:before="37" w:after="0"/>
              <w:ind w:left="705" w:right="0" w:hanging="505"/>
              <w:jc w:val="left"/>
              <w:rPr>
                <w:sz w:val="21"/>
              </w:rPr>
            </w:pPr>
            <w:r>
              <w:rPr>
                <w:sz w:val="21"/>
              </w:rPr>
              <w:t>合同成立及生效</w:t>
            </w:r>
          </w:p>
          <w:p>
            <w:pPr>
              <w:pStyle w:val="TableParagraph"/>
              <w:numPr>
                <w:ilvl w:val="1"/>
                <w:numId w:val="2"/>
              </w:numPr>
              <w:tabs>
                <w:tab w:pos="706" w:val="left" w:leader="none"/>
              </w:tabs>
              <w:spacing w:line="240" w:lineRule="auto" w:before="37" w:after="0"/>
              <w:ind w:left="705" w:right="0" w:hanging="505"/>
              <w:jc w:val="left"/>
              <w:rPr>
                <w:sz w:val="21"/>
              </w:rPr>
            </w:pPr>
            <w:r>
              <w:rPr>
                <w:sz w:val="21"/>
              </w:rPr>
              <w:t>投保年龄</w:t>
            </w:r>
          </w:p>
          <w:p>
            <w:pPr>
              <w:pStyle w:val="TableParagraph"/>
              <w:numPr>
                <w:ilvl w:val="1"/>
                <w:numId w:val="2"/>
              </w:numPr>
              <w:tabs>
                <w:tab w:pos="706" w:val="left" w:leader="none"/>
              </w:tabs>
              <w:spacing w:line="240" w:lineRule="auto" w:before="37" w:after="0"/>
              <w:ind w:left="705" w:right="0" w:hanging="505"/>
              <w:jc w:val="left"/>
              <w:rPr>
                <w:sz w:val="21"/>
              </w:rPr>
            </w:pPr>
            <w:r>
              <w:rPr>
                <w:sz w:val="21"/>
              </w:rPr>
              <w:t>犹豫期</w:t>
            </w:r>
          </w:p>
          <w:p>
            <w:pPr>
              <w:pStyle w:val="TableParagraph"/>
              <w:numPr>
                <w:ilvl w:val="0"/>
                <w:numId w:val="3"/>
              </w:numPr>
              <w:tabs>
                <w:tab w:pos="516" w:val="left" w:leader="none"/>
              </w:tabs>
              <w:spacing w:line="240" w:lineRule="auto" w:before="37" w:after="0"/>
              <w:ind w:left="515" w:right="0" w:hanging="315"/>
              <w:jc w:val="left"/>
              <w:rPr>
                <w:sz w:val="21"/>
              </w:rPr>
            </w:pPr>
            <w:r>
              <w:rPr>
                <w:sz w:val="21"/>
              </w:rPr>
              <w:t>我们提供的保障</w:t>
            </w:r>
          </w:p>
          <w:p>
            <w:pPr>
              <w:pStyle w:val="TableParagraph"/>
              <w:numPr>
                <w:ilvl w:val="1"/>
                <w:numId w:val="3"/>
              </w:numPr>
              <w:tabs>
                <w:tab w:pos="706" w:val="left" w:leader="none"/>
              </w:tabs>
              <w:spacing w:line="240" w:lineRule="auto" w:before="37" w:after="0"/>
              <w:ind w:left="705" w:right="0" w:hanging="505"/>
              <w:jc w:val="left"/>
              <w:rPr>
                <w:sz w:val="21"/>
              </w:rPr>
            </w:pPr>
            <w:r>
              <w:rPr>
                <w:sz w:val="21"/>
              </w:rPr>
              <w:t>保险期间</w:t>
            </w:r>
          </w:p>
          <w:p>
            <w:pPr>
              <w:pStyle w:val="TableParagraph"/>
              <w:numPr>
                <w:ilvl w:val="1"/>
                <w:numId w:val="3"/>
              </w:numPr>
              <w:tabs>
                <w:tab w:pos="706" w:val="left" w:leader="none"/>
              </w:tabs>
              <w:spacing w:line="240" w:lineRule="auto" w:before="37" w:after="0"/>
              <w:ind w:left="705" w:right="0" w:hanging="505"/>
              <w:jc w:val="left"/>
              <w:rPr>
                <w:sz w:val="21"/>
              </w:rPr>
            </w:pPr>
            <w:r>
              <w:rPr>
                <w:sz w:val="21"/>
              </w:rPr>
              <w:t>保险责任</w:t>
            </w:r>
          </w:p>
          <w:p>
            <w:pPr>
              <w:pStyle w:val="TableParagraph"/>
              <w:numPr>
                <w:ilvl w:val="1"/>
                <w:numId w:val="3"/>
              </w:numPr>
              <w:tabs>
                <w:tab w:pos="706" w:val="left" w:leader="none"/>
              </w:tabs>
              <w:spacing w:line="240" w:lineRule="auto" w:before="37" w:after="0"/>
              <w:ind w:left="705" w:right="0" w:hanging="505"/>
              <w:jc w:val="left"/>
              <w:rPr>
                <w:sz w:val="21"/>
              </w:rPr>
            </w:pPr>
            <w:r>
              <w:rPr>
                <w:sz w:val="21"/>
              </w:rPr>
              <w:t>责任免除</w:t>
            </w:r>
          </w:p>
          <w:p>
            <w:pPr>
              <w:pStyle w:val="TableParagraph"/>
              <w:numPr>
                <w:ilvl w:val="0"/>
                <w:numId w:val="4"/>
              </w:numPr>
              <w:tabs>
                <w:tab w:pos="516" w:val="left" w:leader="none"/>
              </w:tabs>
              <w:spacing w:line="240" w:lineRule="auto" w:before="37" w:after="0"/>
              <w:ind w:left="515" w:right="0" w:hanging="315"/>
              <w:jc w:val="left"/>
              <w:rPr>
                <w:sz w:val="21"/>
              </w:rPr>
            </w:pPr>
            <w:r>
              <w:rPr>
                <w:sz w:val="21"/>
              </w:rPr>
              <w:t>豁免保险费的申请</w:t>
            </w:r>
          </w:p>
          <w:p>
            <w:pPr>
              <w:pStyle w:val="TableParagraph"/>
              <w:numPr>
                <w:ilvl w:val="1"/>
                <w:numId w:val="4"/>
              </w:numPr>
              <w:tabs>
                <w:tab w:pos="706" w:val="left" w:leader="none"/>
              </w:tabs>
              <w:spacing w:line="240" w:lineRule="auto" w:before="37" w:after="0"/>
              <w:ind w:left="705" w:right="0" w:hanging="505"/>
              <w:jc w:val="left"/>
              <w:rPr>
                <w:sz w:val="21"/>
              </w:rPr>
            </w:pPr>
            <w:r>
              <w:rPr>
                <w:sz w:val="21"/>
              </w:rPr>
              <w:t>保险事故通知</w:t>
            </w:r>
          </w:p>
          <w:p>
            <w:pPr>
              <w:pStyle w:val="TableParagraph"/>
              <w:numPr>
                <w:ilvl w:val="1"/>
                <w:numId w:val="4"/>
              </w:numPr>
              <w:tabs>
                <w:tab w:pos="706" w:val="left" w:leader="none"/>
              </w:tabs>
              <w:spacing w:line="240" w:lineRule="auto" w:before="37" w:after="0"/>
              <w:ind w:left="705" w:right="0" w:hanging="505"/>
              <w:jc w:val="left"/>
              <w:rPr>
                <w:sz w:val="21"/>
              </w:rPr>
            </w:pPr>
            <w:r>
              <w:rPr>
                <w:sz w:val="21"/>
              </w:rPr>
              <w:t>豁免保险费申请</w:t>
            </w:r>
          </w:p>
          <w:p>
            <w:pPr>
              <w:pStyle w:val="TableParagraph"/>
              <w:numPr>
                <w:ilvl w:val="1"/>
                <w:numId w:val="4"/>
              </w:numPr>
              <w:tabs>
                <w:tab w:pos="706" w:val="left" w:leader="none"/>
              </w:tabs>
              <w:spacing w:line="240" w:lineRule="auto" w:before="37" w:after="0"/>
              <w:ind w:left="705" w:right="0" w:hanging="505"/>
              <w:jc w:val="left"/>
              <w:rPr>
                <w:sz w:val="21"/>
              </w:rPr>
            </w:pPr>
            <w:r>
              <w:rPr>
                <w:sz w:val="21"/>
              </w:rPr>
              <w:t>宣告死亡处理</w:t>
            </w:r>
          </w:p>
          <w:p>
            <w:pPr>
              <w:pStyle w:val="TableParagraph"/>
              <w:numPr>
                <w:ilvl w:val="1"/>
                <w:numId w:val="4"/>
              </w:numPr>
              <w:tabs>
                <w:tab w:pos="706" w:val="left" w:leader="none"/>
              </w:tabs>
              <w:spacing w:line="240" w:lineRule="auto" w:before="37" w:after="0"/>
              <w:ind w:left="705" w:right="0" w:hanging="505"/>
              <w:jc w:val="left"/>
              <w:rPr>
                <w:sz w:val="21"/>
              </w:rPr>
            </w:pPr>
            <w:r>
              <w:rPr>
                <w:sz w:val="21"/>
              </w:rPr>
              <w:t>诉讼时效</w:t>
            </w:r>
          </w:p>
          <w:p>
            <w:pPr>
              <w:pStyle w:val="TableParagraph"/>
              <w:numPr>
                <w:ilvl w:val="0"/>
                <w:numId w:val="5"/>
              </w:numPr>
              <w:tabs>
                <w:tab w:pos="516" w:val="left" w:leader="none"/>
              </w:tabs>
              <w:spacing w:line="240" w:lineRule="auto" w:before="37" w:after="0"/>
              <w:ind w:left="515" w:right="0" w:hanging="315"/>
              <w:jc w:val="left"/>
              <w:rPr>
                <w:sz w:val="21"/>
              </w:rPr>
            </w:pPr>
            <w:r>
              <w:rPr>
                <w:sz w:val="21"/>
              </w:rPr>
              <w:t>保险费的交纳</w:t>
            </w:r>
          </w:p>
          <w:p>
            <w:pPr>
              <w:pStyle w:val="TableParagraph"/>
              <w:numPr>
                <w:ilvl w:val="1"/>
                <w:numId w:val="5"/>
              </w:numPr>
              <w:tabs>
                <w:tab w:pos="706" w:val="left" w:leader="none"/>
              </w:tabs>
              <w:spacing w:line="240" w:lineRule="auto" w:before="37" w:after="0"/>
              <w:ind w:left="705" w:right="0" w:hanging="505"/>
              <w:jc w:val="left"/>
              <w:rPr>
                <w:sz w:val="21"/>
              </w:rPr>
            </w:pPr>
            <w:r>
              <w:rPr>
                <w:sz w:val="21"/>
              </w:rPr>
              <w:t>保险费的交纳</w:t>
            </w:r>
          </w:p>
          <w:p>
            <w:pPr>
              <w:pStyle w:val="TableParagraph"/>
              <w:numPr>
                <w:ilvl w:val="1"/>
                <w:numId w:val="5"/>
              </w:numPr>
              <w:tabs>
                <w:tab w:pos="706" w:val="left" w:leader="none"/>
              </w:tabs>
              <w:spacing w:line="240" w:lineRule="auto" w:before="37" w:after="0"/>
              <w:ind w:left="705" w:right="0" w:hanging="505"/>
              <w:jc w:val="left"/>
              <w:rPr>
                <w:sz w:val="21"/>
              </w:rPr>
            </w:pPr>
            <w:r>
              <w:rPr>
                <w:sz w:val="21"/>
              </w:rPr>
              <w:t>宽限期</w:t>
            </w:r>
          </w:p>
          <w:p>
            <w:pPr>
              <w:pStyle w:val="TableParagraph"/>
              <w:spacing w:before="37"/>
              <w:ind w:left="200"/>
              <w:rPr>
                <w:sz w:val="21"/>
              </w:rPr>
            </w:pPr>
            <w:r>
              <w:rPr>
                <w:sz w:val="21"/>
              </w:rPr>
              <w:t>5. 现金价值权益</w:t>
            </w:r>
          </w:p>
          <w:p>
            <w:pPr>
              <w:pStyle w:val="TableParagraph"/>
              <w:spacing w:before="37"/>
              <w:ind w:left="200"/>
              <w:rPr>
                <w:sz w:val="21"/>
              </w:rPr>
            </w:pPr>
            <w:r>
              <w:rPr>
                <w:sz w:val="21"/>
              </w:rPr>
              <w:t>5.1 现金价值</w:t>
            </w:r>
          </w:p>
          <w:p>
            <w:pPr>
              <w:pStyle w:val="TableParagraph"/>
              <w:spacing w:before="37"/>
              <w:ind w:left="200"/>
              <w:rPr>
                <w:sz w:val="21"/>
              </w:rPr>
            </w:pPr>
            <w:r>
              <w:rPr>
                <w:sz w:val="21"/>
              </w:rPr>
              <w:t>6. 合同效力的中止及恢复</w:t>
            </w:r>
          </w:p>
        </w:tc>
        <w:tc>
          <w:tcPr>
            <w:tcW w:w="3474" w:type="dxa"/>
          </w:tcPr>
          <w:p>
            <w:pPr>
              <w:pStyle w:val="TableParagraph"/>
              <w:numPr>
                <w:ilvl w:val="1"/>
                <w:numId w:val="6"/>
              </w:numPr>
              <w:tabs>
                <w:tab w:pos="944" w:val="left" w:leader="none"/>
              </w:tabs>
              <w:spacing w:line="210" w:lineRule="exact" w:before="0" w:after="0"/>
              <w:ind w:left="943" w:right="0" w:hanging="506"/>
              <w:jc w:val="left"/>
              <w:rPr>
                <w:sz w:val="21"/>
              </w:rPr>
            </w:pPr>
            <w:r>
              <w:rPr>
                <w:sz w:val="21"/>
              </w:rPr>
              <w:t>效力中止</w:t>
            </w:r>
          </w:p>
          <w:p>
            <w:pPr>
              <w:pStyle w:val="TableParagraph"/>
              <w:numPr>
                <w:ilvl w:val="1"/>
                <w:numId w:val="6"/>
              </w:numPr>
              <w:tabs>
                <w:tab w:pos="944" w:val="left" w:leader="none"/>
              </w:tabs>
              <w:spacing w:line="240" w:lineRule="auto" w:before="37" w:after="0"/>
              <w:ind w:left="943" w:right="0" w:hanging="506"/>
              <w:jc w:val="left"/>
              <w:rPr>
                <w:sz w:val="21"/>
              </w:rPr>
            </w:pPr>
            <w:r>
              <w:rPr>
                <w:sz w:val="21"/>
              </w:rPr>
              <w:t>效力恢复</w:t>
            </w:r>
          </w:p>
          <w:p>
            <w:pPr>
              <w:pStyle w:val="TableParagraph"/>
              <w:spacing w:before="37"/>
              <w:ind w:left="437"/>
              <w:rPr>
                <w:sz w:val="21"/>
              </w:rPr>
            </w:pPr>
            <w:r>
              <w:rPr>
                <w:sz w:val="21"/>
              </w:rPr>
              <w:t>7. 合同解除</w:t>
            </w:r>
          </w:p>
          <w:p>
            <w:pPr>
              <w:pStyle w:val="TableParagraph"/>
              <w:spacing w:before="37"/>
              <w:ind w:left="437"/>
              <w:rPr>
                <w:sz w:val="21"/>
              </w:rPr>
            </w:pPr>
            <w:r>
              <w:rPr>
                <w:sz w:val="21"/>
              </w:rPr>
              <w:t>7.1 您解除合同的手续及风险</w:t>
            </w:r>
          </w:p>
          <w:p>
            <w:pPr>
              <w:pStyle w:val="TableParagraph"/>
              <w:numPr>
                <w:ilvl w:val="0"/>
                <w:numId w:val="7"/>
              </w:numPr>
              <w:tabs>
                <w:tab w:pos="754" w:val="left" w:leader="none"/>
              </w:tabs>
              <w:spacing w:line="240" w:lineRule="auto" w:before="37" w:after="0"/>
              <w:ind w:left="753" w:right="0" w:hanging="316"/>
              <w:jc w:val="left"/>
              <w:rPr>
                <w:sz w:val="21"/>
              </w:rPr>
            </w:pPr>
            <w:r>
              <w:rPr>
                <w:sz w:val="21"/>
              </w:rPr>
              <w:t>其他需要关注的事项</w:t>
            </w:r>
          </w:p>
          <w:p>
            <w:pPr>
              <w:pStyle w:val="TableParagraph"/>
              <w:numPr>
                <w:ilvl w:val="1"/>
                <w:numId w:val="7"/>
              </w:numPr>
              <w:tabs>
                <w:tab w:pos="944" w:val="left" w:leader="none"/>
              </w:tabs>
              <w:spacing w:line="240" w:lineRule="auto" w:before="37" w:after="0"/>
              <w:ind w:left="943" w:right="0" w:hanging="506"/>
              <w:jc w:val="left"/>
              <w:rPr>
                <w:sz w:val="21"/>
              </w:rPr>
            </w:pPr>
            <w:r>
              <w:rPr>
                <w:sz w:val="21"/>
              </w:rPr>
              <w:t>效力终止</w:t>
            </w:r>
          </w:p>
          <w:p>
            <w:pPr>
              <w:pStyle w:val="TableParagraph"/>
              <w:numPr>
                <w:ilvl w:val="1"/>
                <w:numId w:val="7"/>
              </w:numPr>
              <w:tabs>
                <w:tab w:pos="944" w:val="left" w:leader="none"/>
              </w:tabs>
              <w:spacing w:line="240" w:lineRule="auto" w:before="37" w:after="0"/>
              <w:ind w:left="943" w:right="0" w:hanging="506"/>
              <w:jc w:val="left"/>
              <w:rPr>
                <w:sz w:val="21"/>
              </w:rPr>
            </w:pPr>
            <w:r>
              <w:rPr>
                <w:sz w:val="21"/>
              </w:rPr>
              <w:t>明确说明与如实告知</w:t>
            </w:r>
          </w:p>
          <w:p>
            <w:pPr>
              <w:pStyle w:val="TableParagraph"/>
              <w:numPr>
                <w:ilvl w:val="1"/>
                <w:numId w:val="7"/>
              </w:numPr>
              <w:tabs>
                <w:tab w:pos="944" w:val="left" w:leader="none"/>
              </w:tabs>
              <w:spacing w:line="240" w:lineRule="auto" w:before="37" w:after="0"/>
              <w:ind w:left="943" w:right="0" w:hanging="506"/>
              <w:jc w:val="left"/>
              <w:rPr>
                <w:sz w:val="21"/>
              </w:rPr>
            </w:pPr>
            <w:r>
              <w:rPr>
                <w:sz w:val="21"/>
              </w:rPr>
              <w:t>我们合同解除权的限制</w:t>
            </w:r>
          </w:p>
          <w:p>
            <w:pPr>
              <w:pStyle w:val="TableParagraph"/>
              <w:numPr>
                <w:ilvl w:val="1"/>
                <w:numId w:val="7"/>
              </w:numPr>
              <w:tabs>
                <w:tab w:pos="944" w:val="left" w:leader="none"/>
              </w:tabs>
              <w:spacing w:line="240" w:lineRule="auto" w:before="37" w:after="0"/>
              <w:ind w:left="943" w:right="0" w:hanging="506"/>
              <w:jc w:val="left"/>
              <w:rPr>
                <w:sz w:val="21"/>
              </w:rPr>
            </w:pPr>
            <w:r>
              <w:rPr>
                <w:sz w:val="21"/>
              </w:rPr>
              <w:t>年龄性别错误</w:t>
            </w:r>
          </w:p>
          <w:p>
            <w:pPr>
              <w:pStyle w:val="TableParagraph"/>
              <w:numPr>
                <w:ilvl w:val="1"/>
                <w:numId w:val="7"/>
              </w:numPr>
              <w:tabs>
                <w:tab w:pos="944" w:val="left" w:leader="none"/>
              </w:tabs>
              <w:spacing w:line="240" w:lineRule="auto" w:before="37" w:after="0"/>
              <w:ind w:left="943" w:right="0" w:hanging="506"/>
              <w:jc w:val="left"/>
              <w:rPr>
                <w:sz w:val="21"/>
              </w:rPr>
            </w:pPr>
            <w:r>
              <w:rPr>
                <w:sz w:val="21"/>
              </w:rPr>
              <w:t>合同内容变更</w:t>
            </w:r>
          </w:p>
          <w:p>
            <w:pPr>
              <w:pStyle w:val="TableParagraph"/>
              <w:numPr>
                <w:ilvl w:val="1"/>
                <w:numId w:val="7"/>
              </w:numPr>
              <w:tabs>
                <w:tab w:pos="944" w:val="left" w:leader="none"/>
              </w:tabs>
              <w:spacing w:line="240" w:lineRule="auto" w:before="37" w:after="0"/>
              <w:ind w:left="943" w:right="0" w:hanging="506"/>
              <w:jc w:val="left"/>
              <w:rPr>
                <w:sz w:val="21"/>
              </w:rPr>
            </w:pPr>
            <w:r>
              <w:rPr>
                <w:sz w:val="21"/>
              </w:rPr>
              <w:t>联系方式变更</w:t>
            </w:r>
          </w:p>
          <w:p>
            <w:pPr>
              <w:pStyle w:val="TableParagraph"/>
              <w:numPr>
                <w:ilvl w:val="1"/>
                <w:numId w:val="7"/>
              </w:numPr>
              <w:tabs>
                <w:tab w:pos="944" w:val="left" w:leader="none"/>
              </w:tabs>
              <w:spacing w:line="240" w:lineRule="auto" w:before="37" w:after="0"/>
              <w:ind w:left="943" w:right="0" w:hanging="506"/>
              <w:jc w:val="left"/>
              <w:rPr>
                <w:sz w:val="21"/>
              </w:rPr>
            </w:pPr>
            <w:r>
              <w:rPr>
                <w:sz w:val="21"/>
              </w:rPr>
              <w:t>争议处理</w:t>
            </w:r>
          </w:p>
          <w:p>
            <w:pPr>
              <w:pStyle w:val="TableParagraph"/>
              <w:numPr>
                <w:ilvl w:val="1"/>
                <w:numId w:val="7"/>
              </w:numPr>
              <w:tabs>
                <w:tab w:pos="943" w:val="left" w:leader="none"/>
              </w:tabs>
              <w:spacing w:line="240" w:lineRule="auto" w:before="37" w:after="0"/>
              <w:ind w:left="942" w:right="0" w:hanging="505"/>
              <w:jc w:val="left"/>
              <w:rPr>
                <w:sz w:val="21"/>
              </w:rPr>
            </w:pPr>
            <w:r>
              <w:rPr>
                <w:sz w:val="21"/>
              </w:rPr>
              <w:t>保险事故鉴定</w:t>
            </w:r>
          </w:p>
          <w:p>
            <w:pPr>
              <w:pStyle w:val="TableParagraph"/>
              <w:numPr>
                <w:ilvl w:val="0"/>
                <w:numId w:val="8"/>
              </w:numPr>
              <w:tabs>
                <w:tab w:pos="754" w:val="left" w:leader="none"/>
              </w:tabs>
              <w:spacing w:line="240" w:lineRule="auto" w:before="37" w:after="0"/>
              <w:ind w:left="753" w:right="0" w:hanging="316"/>
              <w:jc w:val="left"/>
              <w:rPr>
                <w:sz w:val="21"/>
              </w:rPr>
            </w:pPr>
            <w:r>
              <w:rPr>
                <w:sz w:val="21"/>
              </w:rPr>
              <w:t>疾病定义</w:t>
            </w:r>
          </w:p>
          <w:p>
            <w:pPr>
              <w:pStyle w:val="TableParagraph"/>
              <w:numPr>
                <w:ilvl w:val="1"/>
                <w:numId w:val="8"/>
              </w:numPr>
              <w:tabs>
                <w:tab w:pos="943" w:val="left" w:leader="none"/>
              </w:tabs>
              <w:spacing w:line="240" w:lineRule="auto" w:before="37" w:after="0"/>
              <w:ind w:left="942" w:right="0" w:hanging="505"/>
              <w:jc w:val="left"/>
              <w:rPr>
                <w:sz w:val="21"/>
              </w:rPr>
            </w:pPr>
            <w:r>
              <w:rPr>
                <w:sz w:val="21"/>
              </w:rPr>
              <w:t>轻症疾病定义</w:t>
            </w:r>
          </w:p>
          <w:p>
            <w:pPr>
              <w:pStyle w:val="TableParagraph"/>
              <w:numPr>
                <w:ilvl w:val="1"/>
                <w:numId w:val="8"/>
              </w:numPr>
              <w:tabs>
                <w:tab w:pos="943" w:val="left" w:leader="none"/>
              </w:tabs>
              <w:spacing w:line="240" w:lineRule="auto" w:before="37" w:after="0"/>
              <w:ind w:left="942" w:right="0" w:hanging="505"/>
              <w:jc w:val="left"/>
              <w:rPr>
                <w:sz w:val="21"/>
              </w:rPr>
            </w:pPr>
            <w:r>
              <w:rPr>
                <w:sz w:val="21"/>
              </w:rPr>
              <w:t>重大疾病定义</w:t>
            </w:r>
          </w:p>
          <w:p>
            <w:pPr>
              <w:pStyle w:val="TableParagraph"/>
              <w:numPr>
                <w:ilvl w:val="0"/>
                <w:numId w:val="8"/>
              </w:numPr>
              <w:tabs>
                <w:tab w:pos="904" w:val="left" w:leader="none"/>
              </w:tabs>
              <w:spacing w:line="240" w:lineRule="auto" w:before="37" w:after="0"/>
              <w:ind w:left="903" w:right="0" w:hanging="466"/>
              <w:jc w:val="left"/>
              <w:rPr>
                <w:sz w:val="21"/>
              </w:rPr>
            </w:pPr>
            <w:r>
              <w:rPr>
                <w:sz w:val="21"/>
              </w:rPr>
              <w:t>释义</w:t>
            </w:r>
          </w:p>
          <w:p>
            <w:pPr>
              <w:pStyle w:val="TableParagraph"/>
              <w:numPr>
                <w:ilvl w:val="1"/>
                <w:numId w:val="8"/>
              </w:numPr>
              <w:tabs>
                <w:tab w:pos="943" w:val="left" w:leader="none"/>
              </w:tabs>
              <w:spacing w:line="240" w:lineRule="auto" w:before="37" w:after="0"/>
              <w:ind w:left="942" w:right="0" w:hanging="505"/>
              <w:jc w:val="left"/>
              <w:rPr>
                <w:sz w:val="21"/>
              </w:rPr>
            </w:pPr>
            <w:r>
              <w:rPr>
                <w:sz w:val="21"/>
              </w:rPr>
              <w:t>合法有效</w:t>
            </w:r>
          </w:p>
          <w:p>
            <w:pPr>
              <w:pStyle w:val="TableParagraph"/>
              <w:numPr>
                <w:ilvl w:val="1"/>
                <w:numId w:val="8"/>
              </w:numPr>
              <w:tabs>
                <w:tab w:pos="943" w:val="left" w:leader="none"/>
              </w:tabs>
              <w:spacing w:line="240" w:lineRule="auto" w:before="37" w:after="0"/>
              <w:ind w:left="942" w:right="0" w:hanging="505"/>
              <w:jc w:val="left"/>
              <w:rPr>
                <w:sz w:val="21"/>
              </w:rPr>
            </w:pPr>
            <w:r>
              <w:rPr>
                <w:sz w:val="21"/>
              </w:rPr>
              <w:t>保单年度</w:t>
            </w:r>
          </w:p>
          <w:p>
            <w:pPr>
              <w:pStyle w:val="TableParagraph"/>
              <w:numPr>
                <w:ilvl w:val="1"/>
                <w:numId w:val="8"/>
              </w:numPr>
              <w:tabs>
                <w:tab w:pos="943" w:val="left" w:leader="none"/>
              </w:tabs>
              <w:spacing w:line="240" w:lineRule="auto" w:before="37" w:after="0"/>
              <w:ind w:left="942" w:right="0" w:hanging="505"/>
              <w:jc w:val="left"/>
              <w:rPr>
                <w:sz w:val="21"/>
              </w:rPr>
            </w:pPr>
            <w:r>
              <w:rPr>
                <w:sz w:val="21"/>
              </w:rPr>
              <w:t>保险费约定交纳日</w:t>
            </w:r>
          </w:p>
        </w:tc>
        <w:tc>
          <w:tcPr>
            <w:tcW w:w="3894" w:type="dxa"/>
          </w:tcPr>
          <w:p>
            <w:pPr>
              <w:pStyle w:val="TableParagraph"/>
              <w:numPr>
                <w:ilvl w:val="1"/>
                <w:numId w:val="9"/>
              </w:numPr>
              <w:tabs>
                <w:tab w:pos="730" w:val="left" w:leader="none"/>
              </w:tabs>
              <w:spacing w:line="210" w:lineRule="exact" w:before="0" w:after="0"/>
              <w:ind w:left="825" w:right="0" w:hanging="601"/>
              <w:jc w:val="left"/>
              <w:rPr>
                <w:sz w:val="21"/>
              </w:rPr>
            </w:pPr>
            <w:r>
              <w:rPr>
                <w:sz w:val="21"/>
              </w:rPr>
              <w:t>周岁</w:t>
            </w:r>
          </w:p>
          <w:p>
            <w:pPr>
              <w:pStyle w:val="TableParagraph"/>
              <w:numPr>
                <w:ilvl w:val="1"/>
                <w:numId w:val="9"/>
              </w:numPr>
              <w:tabs>
                <w:tab w:pos="730" w:val="left" w:leader="none"/>
              </w:tabs>
              <w:spacing w:line="240" w:lineRule="auto" w:before="37" w:after="0"/>
              <w:ind w:left="825" w:right="0" w:hanging="601"/>
              <w:jc w:val="left"/>
              <w:rPr>
                <w:sz w:val="21"/>
              </w:rPr>
            </w:pPr>
            <w:r>
              <w:rPr>
                <w:sz w:val="21"/>
              </w:rPr>
              <w:t>有效身份证件</w:t>
            </w:r>
          </w:p>
          <w:p>
            <w:pPr>
              <w:pStyle w:val="TableParagraph"/>
              <w:numPr>
                <w:ilvl w:val="1"/>
                <w:numId w:val="9"/>
              </w:numPr>
              <w:tabs>
                <w:tab w:pos="730" w:val="left" w:leader="none"/>
              </w:tabs>
              <w:spacing w:line="240" w:lineRule="auto" w:before="37" w:after="0"/>
              <w:ind w:left="825" w:right="0" w:hanging="601"/>
              <w:jc w:val="left"/>
              <w:rPr>
                <w:sz w:val="21"/>
              </w:rPr>
            </w:pPr>
            <w:r>
              <w:rPr>
                <w:sz w:val="21"/>
              </w:rPr>
              <w:t>医院</w:t>
            </w:r>
          </w:p>
          <w:p>
            <w:pPr>
              <w:pStyle w:val="TableParagraph"/>
              <w:numPr>
                <w:ilvl w:val="1"/>
                <w:numId w:val="9"/>
              </w:numPr>
              <w:tabs>
                <w:tab w:pos="730" w:val="left" w:leader="none"/>
              </w:tabs>
              <w:spacing w:line="240" w:lineRule="auto" w:before="37" w:after="0"/>
              <w:ind w:left="825" w:right="0" w:hanging="601"/>
              <w:jc w:val="left"/>
              <w:rPr>
                <w:sz w:val="21"/>
              </w:rPr>
            </w:pPr>
            <w:r>
              <w:rPr>
                <w:sz w:val="21"/>
              </w:rPr>
              <w:t>初次确诊</w:t>
            </w:r>
          </w:p>
          <w:p>
            <w:pPr>
              <w:pStyle w:val="TableParagraph"/>
              <w:numPr>
                <w:ilvl w:val="1"/>
                <w:numId w:val="9"/>
              </w:numPr>
              <w:tabs>
                <w:tab w:pos="730" w:val="left" w:leader="none"/>
              </w:tabs>
              <w:spacing w:line="240" w:lineRule="auto" w:before="37" w:after="0"/>
              <w:ind w:left="825" w:right="0" w:hanging="601"/>
              <w:jc w:val="left"/>
              <w:rPr>
                <w:sz w:val="21"/>
              </w:rPr>
            </w:pPr>
            <w:r>
              <w:rPr>
                <w:sz w:val="21"/>
              </w:rPr>
              <w:t>意外伤害</w:t>
            </w:r>
          </w:p>
          <w:p>
            <w:pPr>
              <w:pStyle w:val="TableParagraph"/>
              <w:numPr>
                <w:ilvl w:val="1"/>
                <w:numId w:val="9"/>
              </w:numPr>
              <w:tabs>
                <w:tab w:pos="730" w:val="left" w:leader="none"/>
              </w:tabs>
              <w:spacing w:line="240" w:lineRule="auto" w:before="37" w:after="0"/>
              <w:ind w:left="825" w:right="0" w:hanging="601"/>
              <w:jc w:val="left"/>
              <w:rPr>
                <w:sz w:val="21"/>
              </w:rPr>
            </w:pPr>
            <w:r>
              <w:rPr>
                <w:sz w:val="21"/>
              </w:rPr>
              <w:t>毒品</w:t>
            </w:r>
          </w:p>
          <w:p>
            <w:pPr>
              <w:pStyle w:val="TableParagraph"/>
              <w:numPr>
                <w:ilvl w:val="1"/>
                <w:numId w:val="9"/>
              </w:numPr>
              <w:tabs>
                <w:tab w:pos="855" w:val="left" w:leader="none"/>
              </w:tabs>
              <w:spacing w:line="240" w:lineRule="auto" w:before="37" w:after="0"/>
              <w:ind w:left="854" w:right="0" w:hanging="630"/>
              <w:jc w:val="left"/>
              <w:rPr>
                <w:sz w:val="21"/>
              </w:rPr>
            </w:pPr>
            <w:r>
              <w:rPr>
                <w:sz w:val="21"/>
              </w:rPr>
              <w:t>酒后驾驶</w:t>
            </w:r>
          </w:p>
          <w:p>
            <w:pPr>
              <w:pStyle w:val="TableParagraph"/>
              <w:numPr>
                <w:ilvl w:val="1"/>
                <w:numId w:val="9"/>
              </w:numPr>
              <w:tabs>
                <w:tab w:pos="855" w:val="left" w:leader="none"/>
              </w:tabs>
              <w:spacing w:line="240" w:lineRule="auto" w:before="37" w:after="0"/>
              <w:ind w:left="854" w:right="0" w:hanging="630"/>
              <w:jc w:val="left"/>
              <w:rPr>
                <w:sz w:val="21"/>
              </w:rPr>
            </w:pPr>
            <w:r>
              <w:rPr>
                <w:sz w:val="21"/>
              </w:rPr>
              <w:t>无合法有效驾驶证驾驶</w:t>
            </w:r>
          </w:p>
          <w:p>
            <w:pPr>
              <w:pStyle w:val="TableParagraph"/>
              <w:numPr>
                <w:ilvl w:val="1"/>
                <w:numId w:val="9"/>
              </w:numPr>
              <w:tabs>
                <w:tab w:pos="855" w:val="left" w:leader="none"/>
              </w:tabs>
              <w:spacing w:line="240" w:lineRule="auto" w:before="37" w:after="0"/>
              <w:ind w:left="854" w:right="0" w:hanging="630"/>
              <w:jc w:val="left"/>
              <w:rPr>
                <w:sz w:val="21"/>
              </w:rPr>
            </w:pPr>
            <w:r>
              <w:rPr>
                <w:sz w:val="21"/>
              </w:rPr>
              <w:t>无合法有效行驶证</w:t>
            </w:r>
          </w:p>
          <w:p>
            <w:pPr>
              <w:pStyle w:val="TableParagraph"/>
              <w:numPr>
                <w:ilvl w:val="1"/>
                <w:numId w:val="9"/>
              </w:numPr>
              <w:tabs>
                <w:tab w:pos="855" w:val="left" w:leader="none"/>
              </w:tabs>
              <w:spacing w:line="240" w:lineRule="auto" w:before="37" w:after="0"/>
              <w:ind w:left="854" w:right="0" w:hanging="630"/>
              <w:jc w:val="left"/>
              <w:rPr>
                <w:sz w:val="21"/>
              </w:rPr>
            </w:pPr>
            <w:r>
              <w:rPr>
                <w:sz w:val="21"/>
              </w:rPr>
              <w:t>机动车</w:t>
            </w:r>
          </w:p>
          <w:p>
            <w:pPr>
              <w:pStyle w:val="TableParagraph"/>
              <w:numPr>
                <w:ilvl w:val="1"/>
                <w:numId w:val="9"/>
              </w:numPr>
              <w:tabs>
                <w:tab w:pos="855" w:val="left" w:leader="none"/>
              </w:tabs>
              <w:spacing w:line="240" w:lineRule="auto" w:before="37" w:after="0"/>
              <w:ind w:left="854" w:right="0" w:hanging="630"/>
              <w:jc w:val="left"/>
              <w:rPr>
                <w:sz w:val="21"/>
              </w:rPr>
            </w:pPr>
            <w:r>
              <w:rPr>
                <w:sz w:val="21"/>
              </w:rPr>
              <w:t>感染艾滋病病毒或者患艾滋病</w:t>
            </w:r>
          </w:p>
          <w:p>
            <w:pPr>
              <w:pStyle w:val="TableParagraph"/>
              <w:numPr>
                <w:ilvl w:val="1"/>
                <w:numId w:val="9"/>
              </w:numPr>
              <w:tabs>
                <w:tab w:pos="855" w:val="left" w:leader="none"/>
              </w:tabs>
              <w:spacing w:line="240" w:lineRule="auto" w:before="37" w:after="0"/>
              <w:ind w:left="854" w:right="0" w:hanging="630"/>
              <w:jc w:val="left"/>
              <w:rPr>
                <w:sz w:val="21"/>
              </w:rPr>
            </w:pPr>
            <w:r>
              <w:rPr>
                <w:sz w:val="21"/>
              </w:rPr>
              <w:t>遗传性疾病</w:t>
            </w:r>
          </w:p>
          <w:p>
            <w:pPr>
              <w:pStyle w:val="TableParagraph"/>
              <w:numPr>
                <w:ilvl w:val="1"/>
                <w:numId w:val="9"/>
              </w:numPr>
              <w:tabs>
                <w:tab w:pos="826" w:val="left" w:leader="none"/>
              </w:tabs>
              <w:spacing w:line="273" w:lineRule="auto" w:before="37" w:after="0"/>
              <w:ind w:left="825" w:right="197" w:hanging="604"/>
              <w:jc w:val="left"/>
              <w:rPr>
                <w:sz w:val="21"/>
              </w:rPr>
            </w:pPr>
            <w:r>
              <w:rPr>
                <w:spacing w:val="-9"/>
                <w:sz w:val="21"/>
              </w:rPr>
              <w:t>先天性畸形、变形或者染色体异常</w:t>
            </w:r>
          </w:p>
          <w:p>
            <w:pPr>
              <w:pStyle w:val="TableParagraph"/>
              <w:numPr>
                <w:ilvl w:val="1"/>
                <w:numId w:val="9"/>
              </w:numPr>
              <w:tabs>
                <w:tab w:pos="855" w:val="left" w:leader="none"/>
              </w:tabs>
              <w:spacing w:line="240" w:lineRule="auto" w:before="7" w:after="0"/>
              <w:ind w:left="854" w:right="0" w:hanging="630"/>
              <w:jc w:val="left"/>
              <w:rPr>
                <w:sz w:val="21"/>
              </w:rPr>
            </w:pPr>
            <w:r>
              <w:rPr>
                <w:sz w:val="21"/>
              </w:rPr>
              <w:t>现金价值</w:t>
            </w:r>
          </w:p>
          <w:p>
            <w:pPr>
              <w:pStyle w:val="TableParagraph"/>
              <w:numPr>
                <w:ilvl w:val="1"/>
                <w:numId w:val="9"/>
              </w:numPr>
              <w:tabs>
                <w:tab w:pos="855" w:val="left" w:leader="none"/>
              </w:tabs>
              <w:spacing w:line="240" w:lineRule="auto" w:before="36" w:after="0"/>
              <w:ind w:left="854" w:right="0" w:hanging="630"/>
              <w:jc w:val="left"/>
              <w:rPr>
                <w:sz w:val="21"/>
              </w:rPr>
            </w:pPr>
            <w:r>
              <w:rPr>
                <w:sz w:val="21"/>
              </w:rPr>
              <w:t>专科医生</w:t>
            </w:r>
          </w:p>
          <w:p>
            <w:pPr>
              <w:pStyle w:val="TableParagraph"/>
              <w:numPr>
                <w:ilvl w:val="1"/>
                <w:numId w:val="9"/>
              </w:numPr>
              <w:tabs>
                <w:tab w:pos="855" w:val="left" w:leader="none"/>
              </w:tabs>
              <w:spacing w:line="240" w:lineRule="auto" w:before="36" w:after="0"/>
              <w:ind w:left="854" w:right="0" w:hanging="630"/>
              <w:jc w:val="left"/>
              <w:rPr>
                <w:sz w:val="21"/>
              </w:rPr>
            </w:pPr>
            <w:r>
              <w:rPr>
                <w:sz w:val="21"/>
              </w:rPr>
              <w:t>永久不可逆</w:t>
            </w:r>
          </w:p>
          <w:p>
            <w:pPr>
              <w:pStyle w:val="TableParagraph"/>
              <w:numPr>
                <w:ilvl w:val="1"/>
                <w:numId w:val="9"/>
              </w:numPr>
              <w:tabs>
                <w:tab w:pos="855" w:val="left" w:leader="none"/>
              </w:tabs>
              <w:spacing w:line="240" w:lineRule="auto" w:before="36" w:after="0"/>
              <w:ind w:left="854" w:right="0" w:hanging="630"/>
              <w:jc w:val="left"/>
              <w:rPr>
                <w:sz w:val="21"/>
              </w:rPr>
            </w:pPr>
            <w:r>
              <w:rPr>
                <w:sz w:val="21"/>
              </w:rPr>
              <w:t>六项基本日常生活活动</w:t>
            </w:r>
          </w:p>
          <w:p>
            <w:pPr>
              <w:pStyle w:val="TableParagraph"/>
              <w:numPr>
                <w:ilvl w:val="1"/>
                <w:numId w:val="9"/>
              </w:numPr>
              <w:tabs>
                <w:tab w:pos="855" w:val="left" w:leader="none"/>
              </w:tabs>
              <w:spacing w:line="240" w:lineRule="auto" w:before="36" w:after="0"/>
              <w:ind w:left="854" w:right="0" w:hanging="630"/>
              <w:jc w:val="left"/>
              <w:rPr>
                <w:sz w:val="21"/>
              </w:rPr>
            </w:pPr>
            <w:r>
              <w:rPr>
                <w:sz w:val="21"/>
              </w:rPr>
              <w:t>肢体机能完全丧失</w:t>
            </w:r>
          </w:p>
          <w:p>
            <w:pPr>
              <w:pStyle w:val="TableParagraph"/>
              <w:numPr>
                <w:ilvl w:val="1"/>
                <w:numId w:val="9"/>
              </w:numPr>
              <w:tabs>
                <w:tab w:pos="826" w:val="left" w:leader="none"/>
              </w:tabs>
              <w:spacing w:line="310" w:lineRule="atLeast" w:before="1" w:after="0"/>
              <w:ind w:left="825" w:right="336" w:hanging="601"/>
              <w:jc w:val="left"/>
              <w:rPr>
                <w:sz w:val="21"/>
              </w:rPr>
            </w:pPr>
            <w:r>
              <w:rPr>
                <w:sz w:val="21"/>
              </w:rPr>
              <w:t>语言能力或咀嚼吞咽能力完全丧失</w:t>
            </w:r>
          </w:p>
        </w:tc>
      </w:tr>
    </w:tbl>
    <w:p>
      <w:pPr>
        <w:spacing w:after="0" w:line="310" w:lineRule="atLeast"/>
        <w:jc w:val="left"/>
        <w:rPr>
          <w:sz w:val="21"/>
        </w:rPr>
        <w:sectPr>
          <w:type w:val="continuous"/>
          <w:pgSz w:w="11900" w:h="16840"/>
          <w:pgMar w:top="300" w:bottom="280" w:left="560" w:right="340"/>
        </w:sectPr>
      </w:pPr>
    </w:p>
    <w:p>
      <w:pPr>
        <w:spacing w:line="405" w:lineRule="exact" w:before="0"/>
        <w:ind w:left="3104" w:right="0" w:firstLine="0"/>
        <w:jc w:val="left"/>
        <w:rPr>
          <w:sz w:val="32"/>
        </w:rPr>
      </w:pPr>
      <w:r>
        <w:rPr>
          <w:sz w:val="32"/>
        </w:rPr>
        <w:t>泰康人寿保险有限责任公司</w:t>
      </w:r>
    </w:p>
    <w:p>
      <w:pPr>
        <w:spacing w:before="205"/>
        <w:ind w:left="2141" w:right="0" w:firstLine="0"/>
        <w:jc w:val="left"/>
        <w:rPr>
          <w:sz w:val="32"/>
        </w:rPr>
      </w:pPr>
      <w:r>
        <w:rPr>
          <w:sz w:val="32"/>
        </w:rPr>
        <w:t>泰康乐相伴 B 款豁免保险费疾病保险条款</w:t>
      </w:r>
    </w:p>
    <w:p>
      <w:pPr>
        <w:pStyle w:val="BodyText"/>
        <w:spacing w:before="4"/>
        <w:rPr>
          <w:sz w:val="34"/>
        </w:rPr>
      </w:pPr>
    </w:p>
    <w:p>
      <w:pPr>
        <w:pStyle w:val="BodyText"/>
        <w:spacing w:before="1"/>
        <w:ind w:left="214"/>
      </w:pPr>
      <w:r>
        <w:rPr>
          <w:spacing w:val="-23"/>
        </w:rPr>
        <w:t>在本条款中，“您”指投保人，“我们”、“本公司”均指在保险单上签章的泰康人寿保险有限责任公司的分公司，</w:t>
      </w:r>
    </w:p>
    <w:p>
      <w:pPr>
        <w:pStyle w:val="BodyText"/>
        <w:spacing w:line="273" w:lineRule="auto" w:before="37"/>
        <w:ind w:left="214" w:right="199"/>
      </w:pPr>
      <w:r>
        <w:rPr>
          <w:spacing w:val="-10"/>
        </w:rPr>
        <w:t>“本合同”指您与我们之间订立的“泰康乐相伴 </w:t>
      </w:r>
      <w:r>
        <w:rPr/>
        <w:t>B</w:t>
      </w:r>
      <w:r>
        <w:rPr>
          <w:spacing w:val="-15"/>
        </w:rPr>
        <w:t> 款豁免保险费疾病保险合同”</w:t>
      </w:r>
      <w:r>
        <w:rPr>
          <w:spacing w:val="-14"/>
        </w:rPr>
        <w:t>，“被保险人”指本合同的被保险人，投保人、被保险人的姓名在保险单上载明。</w:t>
      </w:r>
    </w:p>
    <w:p>
      <w:pPr>
        <w:pStyle w:val="BodyText"/>
        <w:rPr>
          <w:sz w:val="20"/>
        </w:rPr>
      </w:pPr>
    </w:p>
    <w:p>
      <w:pPr>
        <w:pStyle w:val="BodyText"/>
        <w:spacing w:before="12"/>
        <w:rPr>
          <w:sz w:val="1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61"/>
        <w:gridCol w:w="7968"/>
      </w:tblGrid>
      <w:tr>
        <w:trPr>
          <w:trHeight w:val="404" w:hRule="atLeast"/>
        </w:trPr>
        <w:tc>
          <w:tcPr>
            <w:tcW w:w="693" w:type="dxa"/>
            <w:tcBorders>
              <w:bottom w:val="single" w:sz="4" w:space="0" w:color="000000"/>
            </w:tcBorders>
          </w:tcPr>
          <w:p>
            <w:pPr>
              <w:pStyle w:val="TableParagraph"/>
              <w:spacing w:line="240" w:lineRule="exact" w:before="0"/>
              <w:ind w:left="108"/>
              <w:rPr>
                <w:sz w:val="24"/>
              </w:rPr>
            </w:pPr>
            <w:r>
              <w:rPr>
                <w:sz w:val="24"/>
              </w:rPr>
              <w:t>1.</w:t>
            </w:r>
          </w:p>
        </w:tc>
        <w:tc>
          <w:tcPr>
            <w:tcW w:w="9629" w:type="dxa"/>
            <w:gridSpan w:val="2"/>
            <w:tcBorders>
              <w:bottom w:val="single" w:sz="4" w:space="0" w:color="000000"/>
            </w:tcBorders>
          </w:tcPr>
          <w:p>
            <w:pPr>
              <w:pStyle w:val="TableParagraph"/>
              <w:spacing w:line="240" w:lineRule="exact" w:before="0"/>
              <w:ind w:left="265"/>
              <w:rPr>
                <w:sz w:val="24"/>
              </w:rPr>
            </w:pPr>
            <w:r>
              <w:rPr>
                <w:sz w:val="24"/>
              </w:rPr>
              <w:t>您与我们订立的合同</w:t>
            </w:r>
          </w:p>
        </w:tc>
      </w:tr>
      <w:tr>
        <w:trPr>
          <w:trHeight w:val="1297" w:hRule="atLeast"/>
        </w:trPr>
        <w:tc>
          <w:tcPr>
            <w:tcW w:w="693" w:type="dxa"/>
            <w:tcBorders>
              <w:top w:val="single" w:sz="4" w:space="0" w:color="000000"/>
            </w:tcBorders>
          </w:tcPr>
          <w:p>
            <w:pPr>
              <w:pStyle w:val="TableParagraph"/>
              <w:spacing w:before="1"/>
              <w:rPr>
                <w:sz w:val="17"/>
              </w:rPr>
            </w:pPr>
          </w:p>
          <w:p>
            <w:pPr>
              <w:pStyle w:val="TableParagraph"/>
              <w:spacing w:before="0"/>
              <w:ind w:left="108"/>
              <w:rPr>
                <w:sz w:val="21"/>
              </w:rPr>
            </w:pPr>
            <w:r>
              <w:rPr>
                <w:sz w:val="21"/>
              </w:rPr>
              <w:t>1.1</w:t>
            </w:r>
          </w:p>
        </w:tc>
        <w:tc>
          <w:tcPr>
            <w:tcW w:w="1661" w:type="dxa"/>
            <w:tcBorders>
              <w:top w:val="single" w:sz="4" w:space="0" w:color="000000"/>
            </w:tcBorders>
          </w:tcPr>
          <w:p>
            <w:pPr>
              <w:pStyle w:val="TableParagraph"/>
              <w:spacing w:before="1"/>
              <w:rPr>
                <w:sz w:val="17"/>
              </w:rPr>
            </w:pPr>
          </w:p>
          <w:p>
            <w:pPr>
              <w:pStyle w:val="TableParagraph"/>
              <w:spacing w:before="0"/>
              <w:ind w:left="265"/>
              <w:rPr>
                <w:sz w:val="21"/>
              </w:rPr>
            </w:pPr>
            <w:r>
              <w:rPr>
                <w:sz w:val="21"/>
              </w:rPr>
              <w:t>合同构成</w:t>
            </w:r>
          </w:p>
        </w:tc>
        <w:tc>
          <w:tcPr>
            <w:tcW w:w="7968" w:type="dxa"/>
            <w:tcBorders>
              <w:top w:val="single" w:sz="4" w:space="0" w:color="000000"/>
            </w:tcBorders>
          </w:tcPr>
          <w:p>
            <w:pPr>
              <w:pStyle w:val="TableParagraph"/>
              <w:spacing w:before="1"/>
              <w:rPr>
                <w:sz w:val="17"/>
              </w:rPr>
            </w:pPr>
          </w:p>
          <w:p>
            <w:pPr>
              <w:pStyle w:val="TableParagraph"/>
              <w:spacing w:line="273" w:lineRule="auto" w:before="0"/>
              <w:ind w:left="130" w:right="9"/>
              <w:rPr>
                <w:sz w:val="21"/>
              </w:rPr>
            </w:pPr>
            <w:r>
              <w:rPr>
                <w:spacing w:val="-2"/>
                <w:sz w:val="21"/>
              </w:rPr>
              <w:t>本合同是您与我们约定保险权利义务关系的协议，包括本保险条款、保险单或者其他保险凭证、投保单、与本合同有关的投保文件、合法有效（</w:t>
            </w:r>
            <w:r>
              <w:rPr>
                <w:spacing w:val="-27"/>
                <w:sz w:val="21"/>
              </w:rPr>
              <w:t>见 </w:t>
            </w:r>
            <w:r>
              <w:rPr>
                <w:sz w:val="21"/>
              </w:rPr>
              <w:t>10.1）的声明、批注、批单及其他您与我们共同认可的书面协议。</w:t>
            </w:r>
          </w:p>
        </w:tc>
      </w:tr>
      <w:tr>
        <w:trPr>
          <w:trHeight w:val="1261" w:hRule="atLeast"/>
        </w:trPr>
        <w:tc>
          <w:tcPr>
            <w:tcW w:w="693" w:type="dxa"/>
          </w:tcPr>
          <w:p>
            <w:pPr>
              <w:pStyle w:val="TableParagraph"/>
              <w:ind w:left="108"/>
              <w:rPr>
                <w:sz w:val="21"/>
              </w:rPr>
            </w:pPr>
            <w:r>
              <w:rPr>
                <w:sz w:val="21"/>
              </w:rPr>
              <w:t>1.2</w:t>
            </w:r>
          </w:p>
        </w:tc>
        <w:tc>
          <w:tcPr>
            <w:tcW w:w="1661" w:type="dxa"/>
          </w:tcPr>
          <w:p>
            <w:pPr>
              <w:pStyle w:val="TableParagraph"/>
              <w:spacing w:line="273" w:lineRule="auto"/>
              <w:ind w:left="265" w:right="129"/>
              <w:rPr>
                <w:sz w:val="21"/>
              </w:rPr>
            </w:pPr>
            <w:r>
              <w:rPr>
                <w:sz w:val="21"/>
              </w:rPr>
              <w:t>合同成立及生效</w:t>
            </w:r>
          </w:p>
        </w:tc>
        <w:tc>
          <w:tcPr>
            <w:tcW w:w="7968" w:type="dxa"/>
          </w:tcPr>
          <w:p>
            <w:pPr>
              <w:pStyle w:val="TableParagraph"/>
              <w:ind w:left="130"/>
              <w:rPr>
                <w:sz w:val="21"/>
              </w:rPr>
            </w:pPr>
            <w:r>
              <w:rPr>
                <w:sz w:val="21"/>
              </w:rPr>
              <w:t>您提出保险申请且我们同意承保，本合同成立。</w:t>
            </w:r>
          </w:p>
          <w:p>
            <w:pPr>
              <w:pStyle w:val="TableParagraph"/>
              <w:spacing w:line="273" w:lineRule="auto" w:before="114"/>
              <w:ind w:left="130" w:right="112"/>
              <w:rPr>
                <w:sz w:val="21"/>
              </w:rPr>
            </w:pPr>
            <w:r>
              <w:rPr>
                <w:spacing w:val="-1"/>
                <w:sz w:val="21"/>
              </w:rPr>
              <w:t>本合同的成立日、生效日以保险单记载的日期为准。保单年度（</w:t>
            </w:r>
            <w:r>
              <w:rPr>
                <w:spacing w:val="-27"/>
                <w:sz w:val="21"/>
              </w:rPr>
              <w:t>见 </w:t>
            </w:r>
            <w:r>
              <w:rPr>
                <w:spacing w:val="-1"/>
                <w:sz w:val="21"/>
              </w:rPr>
              <w:t>1</w:t>
            </w:r>
            <w:r>
              <w:rPr>
                <w:sz w:val="21"/>
              </w:rPr>
              <w:t>0</w:t>
            </w:r>
            <w:r>
              <w:rPr>
                <w:spacing w:val="-1"/>
                <w:sz w:val="21"/>
              </w:rPr>
              <w:t>.2</w:t>
            </w:r>
            <w:r>
              <w:rPr>
                <w:spacing w:val="-105"/>
                <w:sz w:val="21"/>
              </w:rPr>
              <w:t>）</w:t>
            </w:r>
            <w:r>
              <w:rPr>
                <w:spacing w:val="-1"/>
                <w:sz w:val="21"/>
              </w:rPr>
              <w:t>、保险费约定交纳日（</w:t>
            </w:r>
            <w:r>
              <w:rPr>
                <w:spacing w:val="-26"/>
                <w:sz w:val="21"/>
              </w:rPr>
              <w:t>见 </w:t>
            </w:r>
            <w:r>
              <w:rPr>
                <w:sz w:val="21"/>
              </w:rPr>
              <w:t>10.3）均依据本合同的生效日为基础进行计算。</w:t>
            </w:r>
          </w:p>
        </w:tc>
      </w:tr>
      <w:tr>
        <w:trPr>
          <w:trHeight w:val="559" w:hRule="atLeast"/>
        </w:trPr>
        <w:tc>
          <w:tcPr>
            <w:tcW w:w="693" w:type="dxa"/>
          </w:tcPr>
          <w:p>
            <w:pPr>
              <w:pStyle w:val="TableParagraph"/>
              <w:spacing w:before="109"/>
              <w:ind w:left="108"/>
              <w:rPr>
                <w:sz w:val="21"/>
              </w:rPr>
            </w:pPr>
            <w:r>
              <w:rPr>
                <w:sz w:val="21"/>
              </w:rPr>
              <w:t>1.3</w:t>
            </w:r>
          </w:p>
        </w:tc>
        <w:tc>
          <w:tcPr>
            <w:tcW w:w="1661" w:type="dxa"/>
          </w:tcPr>
          <w:p>
            <w:pPr>
              <w:pStyle w:val="TableParagraph"/>
              <w:spacing w:before="109"/>
              <w:ind w:left="265"/>
              <w:rPr>
                <w:sz w:val="21"/>
              </w:rPr>
            </w:pPr>
            <w:r>
              <w:rPr>
                <w:sz w:val="21"/>
              </w:rPr>
              <w:t>投保年龄</w:t>
            </w:r>
          </w:p>
        </w:tc>
        <w:tc>
          <w:tcPr>
            <w:tcW w:w="7968" w:type="dxa"/>
          </w:tcPr>
          <w:p>
            <w:pPr>
              <w:pStyle w:val="TableParagraph"/>
              <w:spacing w:before="109"/>
              <w:ind w:left="130"/>
              <w:rPr>
                <w:sz w:val="21"/>
              </w:rPr>
            </w:pPr>
            <w:r>
              <w:rPr>
                <w:sz w:val="21"/>
              </w:rPr>
              <w:t>投保年龄指您投保时被保险人的年龄，以周岁（见 10.4）计算。</w:t>
            </w:r>
          </w:p>
        </w:tc>
      </w:tr>
      <w:tr>
        <w:trPr>
          <w:trHeight w:val="2215" w:hRule="atLeast"/>
        </w:trPr>
        <w:tc>
          <w:tcPr>
            <w:tcW w:w="693" w:type="dxa"/>
          </w:tcPr>
          <w:p>
            <w:pPr>
              <w:pStyle w:val="TableParagraph"/>
              <w:ind w:left="108"/>
              <w:rPr>
                <w:sz w:val="21"/>
              </w:rPr>
            </w:pPr>
            <w:r>
              <w:rPr>
                <w:sz w:val="21"/>
              </w:rPr>
              <w:t>1.4</w:t>
            </w:r>
          </w:p>
        </w:tc>
        <w:tc>
          <w:tcPr>
            <w:tcW w:w="1661" w:type="dxa"/>
          </w:tcPr>
          <w:p>
            <w:pPr>
              <w:pStyle w:val="TableParagraph"/>
              <w:ind w:left="265"/>
              <w:rPr>
                <w:sz w:val="21"/>
              </w:rPr>
            </w:pPr>
            <w:r>
              <w:rPr>
                <w:sz w:val="21"/>
              </w:rPr>
              <w:t>犹豫期</w:t>
            </w:r>
          </w:p>
        </w:tc>
        <w:tc>
          <w:tcPr>
            <w:tcW w:w="7968" w:type="dxa"/>
          </w:tcPr>
          <w:p>
            <w:pPr>
              <w:pStyle w:val="TableParagraph"/>
              <w:spacing w:line="273" w:lineRule="auto"/>
              <w:ind w:left="130" w:right="101"/>
              <w:jc w:val="both"/>
              <w:rPr>
                <w:rFonts w:ascii="黑体" w:eastAsia="黑体" w:hint="eastAsia"/>
                <w:sz w:val="21"/>
              </w:rPr>
            </w:pPr>
            <w:r>
              <w:rPr>
                <w:spacing w:val="-2"/>
                <w:sz w:val="21"/>
              </w:rPr>
              <w:t>犹豫期是指自您签收本合同的次日零时起的一段时期，该时期以保险单上载明的日数</w:t>
            </w:r>
            <w:r>
              <w:rPr>
                <w:spacing w:val="-7"/>
                <w:sz w:val="21"/>
              </w:rPr>
              <w:t>为准。在此期间，请您认真审视本合同，如果您认为本合同与您的需求不相符，您可</w:t>
            </w:r>
            <w:r>
              <w:rPr>
                <w:spacing w:val="-1"/>
                <w:sz w:val="21"/>
              </w:rPr>
              <w:t>以在此期间提出解除本合同，</w:t>
            </w:r>
            <w:r>
              <w:rPr>
                <w:rFonts w:ascii="黑体" w:eastAsia="黑体" w:hint="eastAsia"/>
                <w:sz w:val="21"/>
              </w:rPr>
              <w:t>我们将向您无息退还保险费。</w:t>
            </w:r>
          </w:p>
          <w:p>
            <w:pPr>
              <w:pStyle w:val="TableParagraph"/>
              <w:spacing w:line="273" w:lineRule="auto" w:before="85"/>
              <w:ind w:left="129"/>
              <w:rPr>
                <w:rFonts w:ascii="黑体" w:eastAsia="黑体" w:hint="eastAsia"/>
                <w:sz w:val="21"/>
              </w:rPr>
            </w:pPr>
            <w:r>
              <w:rPr>
                <w:spacing w:val="-23"/>
                <w:sz w:val="21"/>
              </w:rPr>
              <w:t>解除本合同时，您须填写解除合同申请书，并提供本合同、您的有效身份证件</w:t>
            </w:r>
            <w:r>
              <w:rPr>
                <w:sz w:val="21"/>
              </w:rPr>
              <w:t>（</w:t>
            </w:r>
            <w:r>
              <w:rPr>
                <w:spacing w:val="-29"/>
                <w:sz w:val="21"/>
              </w:rPr>
              <w:t>见 </w:t>
            </w:r>
            <w:r>
              <w:rPr>
                <w:sz w:val="21"/>
              </w:rPr>
              <w:t>10.5） </w:t>
            </w:r>
            <w:r>
              <w:rPr>
                <w:spacing w:val="-1"/>
                <w:sz w:val="21"/>
              </w:rPr>
              <w:t>及您所交保险费的发票。</w:t>
            </w:r>
            <w:r>
              <w:rPr>
                <w:rFonts w:ascii="黑体" w:eastAsia="黑体" w:hint="eastAsia"/>
                <w:spacing w:val="-2"/>
                <w:sz w:val="21"/>
              </w:rPr>
              <w:t>自我们收到您的解除合同申请书时起，本合同即被解除，对于本合同解除前发Th的保险事故，我们不承担保险责任。</w:t>
            </w:r>
          </w:p>
        </w:tc>
      </w:tr>
      <w:tr>
        <w:trPr>
          <w:trHeight w:val="596" w:hRule="atLeast"/>
        </w:trPr>
        <w:tc>
          <w:tcPr>
            <w:tcW w:w="693" w:type="dxa"/>
            <w:tcBorders>
              <w:bottom w:val="single" w:sz="4" w:space="0" w:color="000000"/>
            </w:tcBorders>
          </w:tcPr>
          <w:p>
            <w:pPr>
              <w:pStyle w:val="TableParagraph"/>
              <w:spacing w:before="118"/>
              <w:ind w:left="108"/>
              <w:rPr>
                <w:sz w:val="24"/>
              </w:rPr>
            </w:pPr>
            <w:r>
              <w:rPr>
                <w:sz w:val="24"/>
              </w:rPr>
              <w:t>2.</w:t>
            </w:r>
          </w:p>
        </w:tc>
        <w:tc>
          <w:tcPr>
            <w:tcW w:w="9629" w:type="dxa"/>
            <w:gridSpan w:val="2"/>
            <w:tcBorders>
              <w:bottom w:val="single" w:sz="4" w:space="0" w:color="000000"/>
            </w:tcBorders>
          </w:tcPr>
          <w:p>
            <w:pPr>
              <w:pStyle w:val="TableParagraph"/>
              <w:spacing w:before="118"/>
              <w:ind w:left="265"/>
              <w:rPr>
                <w:sz w:val="24"/>
              </w:rPr>
            </w:pPr>
            <w:r>
              <w:rPr>
                <w:sz w:val="24"/>
              </w:rPr>
              <w:t>我们提供的保障</w:t>
            </w:r>
          </w:p>
        </w:tc>
      </w:tr>
      <w:tr>
        <w:trPr>
          <w:trHeight w:val="985" w:hRule="atLeast"/>
        </w:trPr>
        <w:tc>
          <w:tcPr>
            <w:tcW w:w="693" w:type="dxa"/>
            <w:tcBorders>
              <w:top w:val="single" w:sz="4" w:space="0" w:color="000000"/>
            </w:tcBorders>
          </w:tcPr>
          <w:p>
            <w:pPr>
              <w:pStyle w:val="TableParagraph"/>
              <w:spacing w:before="1"/>
              <w:rPr>
                <w:sz w:val="17"/>
              </w:rPr>
            </w:pPr>
          </w:p>
          <w:p>
            <w:pPr>
              <w:pStyle w:val="TableParagraph"/>
              <w:spacing w:before="0"/>
              <w:ind w:left="108"/>
              <w:rPr>
                <w:sz w:val="21"/>
              </w:rPr>
            </w:pPr>
            <w:r>
              <w:rPr>
                <w:sz w:val="21"/>
              </w:rPr>
              <w:t>2.1</w:t>
            </w:r>
          </w:p>
        </w:tc>
        <w:tc>
          <w:tcPr>
            <w:tcW w:w="1661" w:type="dxa"/>
            <w:tcBorders>
              <w:top w:val="single" w:sz="4" w:space="0" w:color="000000"/>
            </w:tcBorders>
          </w:tcPr>
          <w:p>
            <w:pPr>
              <w:pStyle w:val="TableParagraph"/>
              <w:spacing w:before="1"/>
              <w:rPr>
                <w:sz w:val="17"/>
              </w:rPr>
            </w:pPr>
          </w:p>
          <w:p>
            <w:pPr>
              <w:pStyle w:val="TableParagraph"/>
              <w:spacing w:before="0"/>
              <w:ind w:left="265"/>
              <w:rPr>
                <w:sz w:val="21"/>
              </w:rPr>
            </w:pPr>
            <w:r>
              <w:rPr>
                <w:sz w:val="21"/>
              </w:rPr>
              <w:t>保险期间</w:t>
            </w:r>
          </w:p>
        </w:tc>
        <w:tc>
          <w:tcPr>
            <w:tcW w:w="7968" w:type="dxa"/>
            <w:tcBorders>
              <w:top w:val="single" w:sz="4" w:space="0" w:color="000000"/>
            </w:tcBorders>
          </w:tcPr>
          <w:p>
            <w:pPr>
              <w:pStyle w:val="TableParagraph"/>
              <w:spacing w:before="1"/>
              <w:rPr>
                <w:sz w:val="17"/>
              </w:rPr>
            </w:pPr>
          </w:p>
          <w:p>
            <w:pPr>
              <w:pStyle w:val="TableParagraph"/>
              <w:spacing w:before="0"/>
              <w:ind w:left="130"/>
              <w:rPr>
                <w:sz w:val="21"/>
              </w:rPr>
            </w:pPr>
            <w:r>
              <w:rPr>
                <w:sz w:val="21"/>
              </w:rPr>
              <w:t>本合同的保险期间为自本合同生效日零时开始，至本合同所豁免保险费的保险合同</w:t>
            </w:r>
          </w:p>
          <w:p>
            <w:pPr>
              <w:pStyle w:val="TableParagraph"/>
              <w:spacing w:before="37"/>
              <w:ind w:left="130"/>
              <w:rPr>
                <w:sz w:val="21"/>
              </w:rPr>
            </w:pPr>
            <w:r>
              <w:rPr>
                <w:sz w:val="21"/>
              </w:rPr>
              <w:t>（</w:t>
            </w:r>
            <w:r>
              <w:rPr>
                <w:spacing w:val="-10"/>
                <w:sz w:val="21"/>
              </w:rPr>
              <w:t>以下简称“被豁免合同”</w:t>
            </w:r>
            <w:r>
              <w:rPr>
                <w:spacing w:val="-1"/>
                <w:sz w:val="21"/>
              </w:rPr>
              <w:t>）</w:t>
            </w:r>
            <w:r>
              <w:rPr>
                <w:spacing w:val="-6"/>
                <w:sz w:val="21"/>
              </w:rPr>
              <w:t>最后一次保险费约定交纳日的 </w:t>
            </w:r>
            <w:r>
              <w:rPr>
                <w:spacing w:val="-1"/>
                <w:sz w:val="21"/>
              </w:rPr>
              <w:t>2</w:t>
            </w:r>
            <w:r>
              <w:rPr>
                <w:sz w:val="21"/>
              </w:rPr>
              <w:t>4</w:t>
            </w:r>
            <w:r>
              <w:rPr>
                <w:spacing w:val="-15"/>
                <w:sz w:val="21"/>
              </w:rPr>
              <w:t> 时止。</w:t>
            </w:r>
          </w:p>
        </w:tc>
      </w:tr>
      <w:tr>
        <w:trPr>
          <w:trHeight w:val="559" w:hRule="atLeast"/>
        </w:trPr>
        <w:tc>
          <w:tcPr>
            <w:tcW w:w="693" w:type="dxa"/>
          </w:tcPr>
          <w:p>
            <w:pPr>
              <w:pStyle w:val="TableParagraph"/>
              <w:ind w:left="108"/>
              <w:rPr>
                <w:sz w:val="21"/>
              </w:rPr>
            </w:pPr>
            <w:r>
              <w:rPr>
                <w:sz w:val="21"/>
              </w:rPr>
              <w:t>2.2</w:t>
            </w:r>
          </w:p>
        </w:tc>
        <w:tc>
          <w:tcPr>
            <w:tcW w:w="1661" w:type="dxa"/>
          </w:tcPr>
          <w:p>
            <w:pPr>
              <w:pStyle w:val="TableParagraph"/>
              <w:ind w:left="265"/>
              <w:rPr>
                <w:sz w:val="21"/>
              </w:rPr>
            </w:pPr>
            <w:r>
              <w:rPr>
                <w:sz w:val="21"/>
              </w:rPr>
              <w:t>保险责任</w:t>
            </w:r>
          </w:p>
        </w:tc>
        <w:tc>
          <w:tcPr>
            <w:tcW w:w="7968" w:type="dxa"/>
          </w:tcPr>
          <w:p>
            <w:pPr>
              <w:pStyle w:val="TableParagraph"/>
              <w:ind w:left="130"/>
              <w:rPr>
                <w:sz w:val="21"/>
              </w:rPr>
            </w:pPr>
            <w:r>
              <w:rPr>
                <w:sz w:val="21"/>
              </w:rPr>
              <w:t>在本合同保险期间内，我们承担下列保险责任：</w:t>
            </w:r>
          </w:p>
        </w:tc>
      </w:tr>
      <w:tr>
        <w:trPr>
          <w:trHeight w:val="3270" w:hRule="atLeast"/>
        </w:trPr>
        <w:tc>
          <w:tcPr>
            <w:tcW w:w="693" w:type="dxa"/>
          </w:tcPr>
          <w:p>
            <w:pPr>
              <w:pStyle w:val="TableParagraph"/>
              <w:spacing w:before="0"/>
              <w:rPr>
                <w:rFonts w:ascii="Times New Roman"/>
                <w:sz w:val="20"/>
              </w:rPr>
            </w:pPr>
          </w:p>
        </w:tc>
        <w:tc>
          <w:tcPr>
            <w:tcW w:w="1661" w:type="dxa"/>
          </w:tcPr>
          <w:p>
            <w:pPr>
              <w:pStyle w:val="TableParagraph"/>
              <w:spacing w:line="273" w:lineRule="auto" w:before="109"/>
              <w:ind w:left="265" w:right="129"/>
              <w:rPr>
                <w:sz w:val="21"/>
              </w:rPr>
            </w:pPr>
            <w:r>
              <w:rPr>
                <w:sz w:val="21"/>
              </w:rPr>
              <w:t>轻症疾病豁免保险费</w:t>
            </w:r>
          </w:p>
        </w:tc>
        <w:tc>
          <w:tcPr>
            <w:tcW w:w="7968" w:type="dxa"/>
          </w:tcPr>
          <w:p>
            <w:pPr>
              <w:pStyle w:val="TableParagraph"/>
              <w:spacing w:line="273" w:lineRule="auto" w:before="109"/>
              <w:ind w:left="129" w:right="1"/>
              <w:rPr>
                <w:rFonts w:ascii="黑体" w:eastAsia="黑体" w:hint="eastAsia"/>
                <w:sz w:val="21"/>
              </w:rPr>
            </w:pPr>
            <w:r>
              <w:rPr>
                <w:spacing w:val="-2"/>
                <w:sz w:val="21"/>
              </w:rPr>
              <w:t>本合同生效</w:t>
            </w:r>
            <w:r>
              <w:rPr>
                <w:sz w:val="21"/>
              </w:rPr>
              <w:t>（</w:t>
            </w:r>
            <w:r>
              <w:rPr>
                <w:spacing w:val="-2"/>
                <w:sz w:val="21"/>
              </w:rPr>
              <w:t>若曾复效，则自本合同最后复效</w:t>
            </w:r>
            <w:r>
              <w:rPr>
                <w:spacing w:val="-9"/>
                <w:sz w:val="21"/>
              </w:rPr>
              <w:t>）</w:t>
            </w:r>
            <w:r>
              <w:rPr>
                <w:spacing w:val="-16"/>
                <w:sz w:val="21"/>
              </w:rPr>
              <w:t>之日起 </w:t>
            </w:r>
            <w:r>
              <w:rPr>
                <w:sz w:val="21"/>
              </w:rPr>
              <w:t>180</w:t>
            </w:r>
            <w:r>
              <w:rPr>
                <w:spacing w:val="-9"/>
                <w:sz w:val="21"/>
              </w:rPr>
              <w:t> 日内，本合同的被保险人</w:t>
            </w:r>
            <w:r>
              <w:rPr>
                <w:spacing w:val="-13"/>
                <w:sz w:val="21"/>
              </w:rPr>
              <w:t>即被豁免合同的投保人经医院</w:t>
            </w:r>
            <w:r>
              <w:rPr>
                <w:sz w:val="21"/>
              </w:rPr>
              <w:t>（</w:t>
            </w:r>
            <w:r>
              <w:rPr>
                <w:spacing w:val="-27"/>
                <w:sz w:val="21"/>
              </w:rPr>
              <w:t>见 </w:t>
            </w:r>
            <w:r>
              <w:rPr>
                <w:spacing w:val="-14"/>
                <w:sz w:val="21"/>
              </w:rPr>
              <w:t>10.6）</w:t>
            </w:r>
            <w:r>
              <w:rPr>
                <w:spacing w:val="-15"/>
                <w:sz w:val="21"/>
              </w:rPr>
              <w:t>初次确诊</w:t>
            </w:r>
            <w:r>
              <w:rPr>
                <w:sz w:val="21"/>
              </w:rPr>
              <w:t>（</w:t>
            </w:r>
            <w:r>
              <w:rPr>
                <w:spacing w:val="-27"/>
                <w:sz w:val="21"/>
              </w:rPr>
              <w:t>见 </w:t>
            </w:r>
            <w:r>
              <w:rPr>
                <w:spacing w:val="-13"/>
                <w:sz w:val="21"/>
              </w:rPr>
              <w:t>10.7）</w:t>
            </w:r>
            <w:r>
              <w:rPr>
                <w:spacing w:val="-10"/>
                <w:sz w:val="21"/>
              </w:rPr>
              <w:t>非因意外伤害</w:t>
            </w:r>
            <w:r>
              <w:rPr>
                <w:sz w:val="21"/>
              </w:rPr>
              <w:t>（</w:t>
            </w:r>
            <w:r>
              <w:rPr>
                <w:spacing w:val="-27"/>
                <w:sz w:val="21"/>
              </w:rPr>
              <w:t>见 </w:t>
            </w:r>
            <w:r>
              <w:rPr>
                <w:sz w:val="21"/>
              </w:rPr>
              <w:t>10.8） 导致罹患本合同所定义的轻症疾病</w:t>
            </w:r>
            <w:r>
              <w:rPr>
                <w:spacing w:val="1"/>
                <w:sz w:val="21"/>
              </w:rPr>
              <w:t>（</w:t>
            </w:r>
            <w:r>
              <w:rPr>
                <w:sz w:val="21"/>
              </w:rPr>
              <w:t>无论一种或者多种</w:t>
            </w:r>
            <w:r>
              <w:rPr>
                <w:spacing w:val="-103"/>
                <w:sz w:val="21"/>
              </w:rPr>
              <w:t>）</w:t>
            </w:r>
            <w:r>
              <w:rPr>
                <w:spacing w:val="0"/>
                <w:sz w:val="21"/>
              </w:rPr>
              <w:t>，</w:t>
            </w:r>
            <w:r>
              <w:rPr>
                <w:rFonts w:ascii="黑体" w:eastAsia="黑体" w:hint="eastAsia"/>
                <w:sz w:val="21"/>
              </w:rPr>
              <w:t>我们向您无息返还累计已交纳的本合同的保险费，本合同终止。</w:t>
            </w:r>
          </w:p>
          <w:p>
            <w:pPr>
              <w:pStyle w:val="TableParagraph"/>
              <w:spacing w:line="273" w:lineRule="auto" w:before="85"/>
              <w:ind w:left="130" w:right="51"/>
              <w:rPr>
                <w:sz w:val="21"/>
              </w:rPr>
            </w:pPr>
            <w:r>
              <w:rPr>
                <w:sz w:val="21"/>
              </w:rPr>
              <w:t>本合同的被保险人即被豁免合同的投保人经医院初次确诊因意外伤害导致罹患本合同所定义的轻症疾病，或者于本合同生效（若曾复效，则自本合同最后复效）之日起</w:t>
            </w:r>
          </w:p>
          <w:p>
            <w:pPr>
              <w:pStyle w:val="TableParagraph"/>
              <w:spacing w:line="312" w:lineRule="exact" w:before="3"/>
              <w:ind w:left="130" w:right="67"/>
              <w:jc w:val="both"/>
              <w:rPr>
                <w:sz w:val="21"/>
              </w:rPr>
            </w:pPr>
            <w:r>
              <w:rPr>
                <w:sz w:val="21"/>
              </w:rPr>
              <w:t>180</w:t>
            </w:r>
            <w:r>
              <w:rPr>
                <w:spacing w:val="-6"/>
                <w:sz w:val="21"/>
              </w:rPr>
              <w:t> 日后，经医院初次确诊非因意外伤害导致罹患本合同所定义的轻症疾病，则自确</w:t>
            </w:r>
            <w:r>
              <w:rPr>
                <w:spacing w:val="-8"/>
                <w:sz w:val="21"/>
              </w:rPr>
              <w:t>诊日后首个被豁免合同的保险费约定交纳日开始，直至被豁免合同最后一次保险费约定交纳日止，我们豁免前述期间内被豁免合同投保人应交纳的被豁免合同的保险费。我们视豁免的保险费为前述投保人已交纳的保险费，本合同终止。</w:t>
            </w:r>
          </w:p>
        </w:tc>
      </w:tr>
    </w:tbl>
    <w:p>
      <w:pPr>
        <w:spacing w:after="0" w:line="312" w:lineRule="exact"/>
        <w:jc w:val="both"/>
        <w:rPr>
          <w:sz w:val="21"/>
        </w:rPr>
        <w:sectPr>
          <w:pgSz w:w="11900" w:h="16840"/>
          <w:pgMar w:top="1200" w:bottom="280" w:left="920" w:right="3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661"/>
        <w:gridCol w:w="8101"/>
      </w:tblGrid>
      <w:tr>
        <w:trPr>
          <w:trHeight w:val="385" w:hRule="atLeast"/>
        </w:trPr>
        <w:tc>
          <w:tcPr>
            <w:tcW w:w="784" w:type="dxa"/>
          </w:tcPr>
          <w:p>
            <w:pPr>
              <w:pStyle w:val="TableParagraph"/>
              <w:spacing w:before="0"/>
              <w:rPr>
                <w:rFonts w:ascii="Times New Roman"/>
                <w:sz w:val="20"/>
              </w:rPr>
            </w:pPr>
          </w:p>
        </w:tc>
        <w:tc>
          <w:tcPr>
            <w:tcW w:w="1661" w:type="dxa"/>
          </w:tcPr>
          <w:p>
            <w:pPr>
              <w:pStyle w:val="TableParagraph"/>
              <w:spacing w:before="0"/>
              <w:rPr>
                <w:rFonts w:ascii="Times New Roman"/>
                <w:sz w:val="20"/>
              </w:rPr>
            </w:pPr>
          </w:p>
        </w:tc>
        <w:tc>
          <w:tcPr>
            <w:tcW w:w="8101" w:type="dxa"/>
          </w:tcPr>
          <w:p>
            <w:pPr>
              <w:pStyle w:val="TableParagraph"/>
              <w:spacing w:line="210" w:lineRule="exact" w:before="0"/>
              <w:ind w:left="131"/>
              <w:rPr>
                <w:rFonts w:ascii="黑体" w:hAnsi="黑体" w:eastAsia="黑体" w:hint="eastAsia"/>
                <w:sz w:val="21"/>
              </w:rPr>
            </w:pPr>
            <w:r>
              <w:rPr>
                <w:rFonts w:ascii="黑体" w:hAnsi="黑体" w:eastAsia="黑体" w:hint="eastAsia"/>
                <w:sz w:val="21"/>
              </w:rPr>
              <w:t>本合同所定义的轻症疾病载明于本合同“9.1 轻症疾病定义”。</w:t>
            </w:r>
          </w:p>
        </w:tc>
      </w:tr>
      <w:tr>
        <w:trPr>
          <w:trHeight w:val="3835" w:hRule="atLeast"/>
        </w:trPr>
        <w:tc>
          <w:tcPr>
            <w:tcW w:w="784" w:type="dxa"/>
          </w:tcPr>
          <w:p>
            <w:pPr>
              <w:pStyle w:val="TableParagraph"/>
              <w:spacing w:before="0"/>
              <w:rPr>
                <w:rFonts w:ascii="Times New Roman"/>
                <w:sz w:val="20"/>
              </w:rPr>
            </w:pPr>
          </w:p>
        </w:tc>
        <w:tc>
          <w:tcPr>
            <w:tcW w:w="1661" w:type="dxa"/>
          </w:tcPr>
          <w:p>
            <w:pPr>
              <w:pStyle w:val="TableParagraph"/>
              <w:spacing w:line="273" w:lineRule="auto"/>
              <w:ind w:left="266" w:right="128"/>
              <w:rPr>
                <w:sz w:val="21"/>
              </w:rPr>
            </w:pPr>
            <w:r>
              <w:rPr>
                <w:sz w:val="21"/>
              </w:rPr>
              <w:t>重大疾病豁免保险费</w:t>
            </w:r>
          </w:p>
        </w:tc>
        <w:tc>
          <w:tcPr>
            <w:tcW w:w="8101" w:type="dxa"/>
          </w:tcPr>
          <w:p>
            <w:pPr>
              <w:pStyle w:val="TableParagraph"/>
              <w:spacing w:line="273" w:lineRule="auto"/>
              <w:ind w:left="130" w:right="232"/>
              <w:jc w:val="both"/>
              <w:rPr>
                <w:rFonts w:ascii="黑体" w:eastAsia="黑体" w:hint="eastAsia"/>
                <w:sz w:val="21"/>
              </w:rPr>
            </w:pPr>
            <w:r>
              <w:rPr>
                <w:spacing w:val="-2"/>
                <w:sz w:val="21"/>
              </w:rPr>
              <w:t>本合同生效</w:t>
            </w:r>
            <w:r>
              <w:rPr>
                <w:sz w:val="21"/>
              </w:rPr>
              <w:t>（</w:t>
            </w:r>
            <w:r>
              <w:rPr>
                <w:spacing w:val="-2"/>
                <w:sz w:val="21"/>
              </w:rPr>
              <w:t>若曾复效，则自本合同最后复效</w:t>
            </w:r>
            <w:r>
              <w:rPr>
                <w:spacing w:val="-9"/>
                <w:sz w:val="21"/>
              </w:rPr>
              <w:t>）</w:t>
            </w:r>
            <w:r>
              <w:rPr>
                <w:spacing w:val="-17"/>
                <w:sz w:val="21"/>
              </w:rPr>
              <w:t>之日起 </w:t>
            </w:r>
            <w:r>
              <w:rPr>
                <w:sz w:val="21"/>
              </w:rPr>
              <w:t>180</w:t>
            </w:r>
            <w:r>
              <w:rPr>
                <w:spacing w:val="-9"/>
                <w:sz w:val="21"/>
              </w:rPr>
              <w:t> 日内，本合同的被保险人</w:t>
            </w:r>
            <w:r>
              <w:rPr>
                <w:spacing w:val="0"/>
                <w:sz w:val="21"/>
              </w:rPr>
              <w:t>即被豁免合同的投保人经医院初次确诊非因意外伤害导致罹患本合同所定义的重大</w:t>
            </w:r>
            <w:r>
              <w:rPr>
                <w:spacing w:val="1"/>
                <w:sz w:val="21"/>
              </w:rPr>
              <w:t>疾病</w:t>
            </w:r>
            <w:r>
              <w:rPr>
                <w:spacing w:val="0"/>
                <w:sz w:val="21"/>
              </w:rPr>
              <w:t>（</w:t>
            </w:r>
            <w:r>
              <w:rPr>
                <w:sz w:val="21"/>
              </w:rPr>
              <w:t>无论一种或者多种</w:t>
            </w:r>
            <w:r>
              <w:rPr>
                <w:spacing w:val="-103"/>
                <w:sz w:val="21"/>
              </w:rPr>
              <w:t>）</w:t>
            </w:r>
            <w:r>
              <w:rPr>
                <w:spacing w:val="1"/>
                <w:sz w:val="21"/>
              </w:rPr>
              <w:t>，</w:t>
            </w:r>
            <w:r>
              <w:rPr>
                <w:rFonts w:ascii="黑体" w:eastAsia="黑体" w:hint="eastAsia"/>
                <w:sz w:val="21"/>
              </w:rPr>
              <w:t>我们向您无息返还累计已交纳的本合同的保险费，本合同终止。</w:t>
            </w:r>
          </w:p>
          <w:p>
            <w:pPr>
              <w:pStyle w:val="TableParagraph"/>
              <w:spacing w:line="273" w:lineRule="auto" w:before="85"/>
              <w:ind w:left="130" w:right="232"/>
              <w:jc w:val="both"/>
              <w:rPr>
                <w:sz w:val="21"/>
              </w:rPr>
            </w:pPr>
            <w:r>
              <w:rPr>
                <w:spacing w:val="0"/>
                <w:sz w:val="21"/>
              </w:rPr>
              <w:t>本合同的被保险人即被豁免合同的投保人经医院初次确诊因意外伤害导致罹患本合</w:t>
            </w:r>
            <w:r>
              <w:rPr>
                <w:spacing w:val="-3"/>
                <w:sz w:val="21"/>
              </w:rPr>
              <w:t>同所定义的重大疾病，或者于本合同生效</w:t>
            </w:r>
            <w:r>
              <w:rPr>
                <w:sz w:val="21"/>
              </w:rPr>
              <w:t>（</w:t>
            </w:r>
            <w:r>
              <w:rPr>
                <w:spacing w:val="-2"/>
                <w:sz w:val="21"/>
              </w:rPr>
              <w:t>若曾复效，则自本合同最后复效</w:t>
            </w:r>
            <w:r>
              <w:rPr>
                <w:spacing w:val="-9"/>
                <w:sz w:val="21"/>
              </w:rPr>
              <w:t>）</w:t>
            </w:r>
            <w:r>
              <w:rPr>
                <w:sz w:val="21"/>
              </w:rPr>
              <w:t>之日起</w:t>
            </w:r>
          </w:p>
          <w:p>
            <w:pPr>
              <w:pStyle w:val="TableParagraph"/>
              <w:spacing w:line="273" w:lineRule="auto" w:before="7"/>
              <w:ind w:left="130" w:right="198"/>
              <w:jc w:val="both"/>
              <w:rPr>
                <w:sz w:val="21"/>
              </w:rPr>
            </w:pPr>
            <w:r>
              <w:rPr>
                <w:sz w:val="21"/>
              </w:rPr>
              <w:t>180</w:t>
            </w:r>
            <w:r>
              <w:rPr>
                <w:spacing w:val="-6"/>
                <w:sz w:val="21"/>
              </w:rPr>
              <w:t> 日后，经医院初次确诊非因意外伤害导致罹患本合同所定义的重大疾病，则自确</w:t>
            </w:r>
            <w:r>
              <w:rPr>
                <w:spacing w:val="-8"/>
                <w:sz w:val="21"/>
              </w:rPr>
              <w:t>诊日后首个被豁免合同的保险费约定交纳日开始，直至被豁免合同最后一次保险费约定交纳日止，我们豁免前述期间内被豁免合同投保人应交纳的被豁免合同的保险费。我们视豁免的保险费为前述投保人已交纳的保险费，本合同终止。</w:t>
            </w:r>
          </w:p>
          <w:p>
            <w:pPr>
              <w:pStyle w:val="TableParagraph"/>
              <w:spacing w:before="85"/>
              <w:ind w:left="131"/>
              <w:jc w:val="both"/>
              <w:rPr>
                <w:rFonts w:ascii="黑体" w:hAnsi="黑体" w:eastAsia="黑体" w:hint="eastAsia"/>
                <w:sz w:val="21"/>
              </w:rPr>
            </w:pPr>
            <w:r>
              <w:rPr>
                <w:rFonts w:ascii="黑体" w:hAnsi="黑体" w:eastAsia="黑体" w:hint="eastAsia"/>
                <w:sz w:val="21"/>
              </w:rPr>
              <w:t>本合同所定义的重大疾病载明于本合同“9.2 重大疾病定义”。</w:t>
            </w:r>
          </w:p>
        </w:tc>
      </w:tr>
      <w:tr>
        <w:trPr>
          <w:trHeight w:val="3523" w:hRule="atLeast"/>
        </w:trPr>
        <w:tc>
          <w:tcPr>
            <w:tcW w:w="784" w:type="dxa"/>
          </w:tcPr>
          <w:p>
            <w:pPr>
              <w:pStyle w:val="TableParagraph"/>
              <w:spacing w:before="0"/>
              <w:rPr>
                <w:rFonts w:ascii="Times New Roman"/>
                <w:sz w:val="20"/>
              </w:rPr>
            </w:pPr>
          </w:p>
        </w:tc>
        <w:tc>
          <w:tcPr>
            <w:tcW w:w="1661" w:type="dxa"/>
          </w:tcPr>
          <w:p>
            <w:pPr>
              <w:pStyle w:val="TableParagraph"/>
              <w:spacing w:line="273" w:lineRule="auto" w:before="109"/>
              <w:ind w:left="266" w:right="128"/>
              <w:rPr>
                <w:sz w:val="21"/>
              </w:rPr>
            </w:pPr>
            <w:r>
              <w:rPr>
                <w:sz w:val="21"/>
              </w:rPr>
              <w:t>身故豁免保险费</w:t>
            </w:r>
          </w:p>
        </w:tc>
        <w:tc>
          <w:tcPr>
            <w:tcW w:w="8101" w:type="dxa"/>
          </w:tcPr>
          <w:p>
            <w:pPr>
              <w:pStyle w:val="TableParagraph"/>
              <w:spacing w:line="273" w:lineRule="auto"/>
              <w:ind w:left="131" w:right="233"/>
              <w:jc w:val="both"/>
              <w:rPr>
                <w:rFonts w:ascii="黑体" w:eastAsia="黑体" w:hint="eastAsia"/>
                <w:sz w:val="21"/>
              </w:rPr>
            </w:pPr>
            <w:r>
              <w:rPr>
                <w:spacing w:val="-2"/>
                <w:sz w:val="21"/>
              </w:rPr>
              <w:t>本合同生效</w:t>
            </w:r>
            <w:r>
              <w:rPr>
                <w:sz w:val="21"/>
              </w:rPr>
              <w:t>（</w:t>
            </w:r>
            <w:r>
              <w:rPr>
                <w:spacing w:val="-2"/>
                <w:sz w:val="21"/>
              </w:rPr>
              <w:t>若曾复效，则自本合同最后复效</w:t>
            </w:r>
            <w:r>
              <w:rPr>
                <w:spacing w:val="-9"/>
                <w:sz w:val="21"/>
              </w:rPr>
              <w:t>）</w:t>
            </w:r>
            <w:r>
              <w:rPr>
                <w:spacing w:val="-17"/>
                <w:sz w:val="21"/>
              </w:rPr>
              <w:t>之日起 </w:t>
            </w:r>
            <w:r>
              <w:rPr>
                <w:sz w:val="21"/>
              </w:rPr>
              <w:t>180</w:t>
            </w:r>
            <w:r>
              <w:rPr>
                <w:spacing w:val="-9"/>
                <w:sz w:val="21"/>
              </w:rPr>
              <w:t> 日内，本合同的被保险人</w:t>
            </w:r>
            <w:r>
              <w:rPr>
                <w:spacing w:val="-11"/>
                <w:sz w:val="21"/>
              </w:rPr>
              <w:t>即被豁免合同的投保人非因意外伤害导致身故，</w:t>
            </w:r>
            <w:r>
              <w:rPr>
                <w:rFonts w:ascii="黑体" w:eastAsia="黑体" w:hint="eastAsia"/>
                <w:sz w:val="21"/>
              </w:rPr>
              <w:t>我们向您无息返还累计已交纳的本合同的保险费，本合同终止。</w:t>
            </w:r>
          </w:p>
          <w:p>
            <w:pPr>
              <w:pStyle w:val="TableParagraph"/>
              <w:spacing w:line="273" w:lineRule="auto" w:before="86"/>
              <w:ind w:left="131" w:right="197"/>
              <w:jc w:val="both"/>
              <w:rPr>
                <w:sz w:val="21"/>
              </w:rPr>
            </w:pPr>
            <w:r>
              <w:rPr>
                <w:sz w:val="21"/>
              </w:rPr>
              <w:t>本合同的被保险人即被豁免合同的投保人因意外伤害或者于本合同生效（若曾复效， 则自本合同最后复效</w:t>
            </w:r>
            <w:r>
              <w:rPr>
                <w:spacing w:val="-19"/>
                <w:sz w:val="21"/>
              </w:rPr>
              <w:t>）</w:t>
            </w:r>
            <w:r>
              <w:rPr>
                <w:spacing w:val="-14"/>
                <w:sz w:val="21"/>
              </w:rPr>
              <w:t>之日起 </w:t>
            </w:r>
            <w:r>
              <w:rPr>
                <w:sz w:val="21"/>
              </w:rPr>
              <w:t>180</w:t>
            </w:r>
            <w:r>
              <w:rPr>
                <w:spacing w:val="-9"/>
                <w:sz w:val="21"/>
              </w:rPr>
              <w:t> 日后非因意外伤害导致身故，则自被豁免合同投保</w:t>
            </w:r>
            <w:r>
              <w:rPr>
                <w:spacing w:val="-11"/>
                <w:sz w:val="21"/>
              </w:rPr>
              <w:t>人身故后首个被豁免合同的保险费约定交纳日开始，直至被豁免合同最后一次保险费</w:t>
            </w:r>
            <w:r>
              <w:rPr>
                <w:spacing w:val="0"/>
                <w:sz w:val="21"/>
              </w:rPr>
              <w:t>约定交纳日止，我们豁免前述期间内被豁免合同投保人应交纳的被豁免合同的保险费。我们视豁免的保险费为前述投保人已交纳的保险费，本合同终止。</w:t>
            </w:r>
          </w:p>
          <w:p>
            <w:pPr>
              <w:pStyle w:val="TableParagraph"/>
              <w:spacing w:line="273" w:lineRule="auto" w:before="86"/>
              <w:ind w:left="131" w:right="227"/>
              <w:jc w:val="both"/>
              <w:rPr>
                <w:rFonts w:ascii="黑体" w:eastAsia="黑体" w:hint="eastAsia"/>
                <w:sz w:val="21"/>
              </w:rPr>
            </w:pPr>
            <w:r>
              <w:rPr>
                <w:rFonts w:ascii="黑体" w:eastAsia="黑体" w:hint="eastAsia"/>
                <w:sz w:val="21"/>
              </w:rPr>
              <w:t>因本合同的被保险人身故需要变更被豁免合同投保人的，我们依法办理相关变更手续。</w:t>
            </w:r>
          </w:p>
        </w:tc>
      </w:tr>
      <w:tr>
        <w:trPr>
          <w:trHeight w:val="950" w:hRule="atLeast"/>
        </w:trPr>
        <w:tc>
          <w:tcPr>
            <w:tcW w:w="784" w:type="dxa"/>
          </w:tcPr>
          <w:p>
            <w:pPr>
              <w:pStyle w:val="TableParagraph"/>
              <w:spacing w:before="0"/>
              <w:rPr>
                <w:rFonts w:ascii="Times New Roman"/>
                <w:sz w:val="20"/>
              </w:rPr>
            </w:pPr>
          </w:p>
        </w:tc>
        <w:tc>
          <w:tcPr>
            <w:tcW w:w="1661" w:type="dxa"/>
          </w:tcPr>
          <w:p>
            <w:pPr>
              <w:pStyle w:val="TableParagraph"/>
              <w:ind w:left="266"/>
              <w:rPr>
                <w:sz w:val="21"/>
              </w:rPr>
            </w:pPr>
            <w:r>
              <w:rPr>
                <w:sz w:val="21"/>
              </w:rPr>
              <w:t>特别注意事项</w:t>
            </w:r>
          </w:p>
        </w:tc>
        <w:tc>
          <w:tcPr>
            <w:tcW w:w="8101" w:type="dxa"/>
          </w:tcPr>
          <w:p>
            <w:pPr>
              <w:pStyle w:val="TableParagraph"/>
              <w:ind w:left="131"/>
              <w:rPr>
                <w:rFonts w:ascii="黑体" w:eastAsia="黑体" w:hint="eastAsia"/>
                <w:sz w:val="21"/>
              </w:rPr>
            </w:pPr>
            <w:r>
              <w:rPr>
                <w:rFonts w:ascii="黑体" w:eastAsia="黑体" w:hint="eastAsia"/>
                <w:sz w:val="21"/>
              </w:rPr>
              <w:t>被豁免合同在保险单上载明。</w:t>
            </w:r>
          </w:p>
          <w:p>
            <w:pPr>
              <w:pStyle w:val="TableParagraph"/>
              <w:spacing w:before="114"/>
              <w:ind w:left="131"/>
              <w:rPr>
                <w:rFonts w:ascii="黑体" w:eastAsia="黑体" w:hint="eastAsia"/>
                <w:sz w:val="21"/>
              </w:rPr>
            </w:pPr>
            <w:r>
              <w:rPr>
                <w:rFonts w:ascii="黑体" w:eastAsia="黑体" w:hint="eastAsia"/>
                <w:sz w:val="21"/>
              </w:rPr>
              <w:t>保险费豁免开始后，我们将不接受关于被豁免合同保险费交费方式的变更申请。</w:t>
            </w:r>
          </w:p>
        </w:tc>
      </w:tr>
      <w:tr>
        <w:trPr>
          <w:trHeight w:val="5455" w:hRule="atLeast"/>
        </w:trPr>
        <w:tc>
          <w:tcPr>
            <w:tcW w:w="784" w:type="dxa"/>
          </w:tcPr>
          <w:p>
            <w:pPr>
              <w:pStyle w:val="TableParagraph"/>
              <w:ind w:left="200"/>
              <w:rPr>
                <w:sz w:val="21"/>
              </w:rPr>
            </w:pPr>
            <w:r>
              <w:rPr>
                <w:sz w:val="21"/>
              </w:rPr>
              <w:t>2.3</w:t>
            </w:r>
          </w:p>
        </w:tc>
        <w:tc>
          <w:tcPr>
            <w:tcW w:w="1661" w:type="dxa"/>
          </w:tcPr>
          <w:p>
            <w:pPr>
              <w:pStyle w:val="TableParagraph"/>
              <w:ind w:left="266"/>
              <w:rPr>
                <w:sz w:val="21"/>
              </w:rPr>
            </w:pPr>
            <w:r>
              <w:rPr>
                <w:sz w:val="21"/>
              </w:rPr>
              <w:t>责任免除</w:t>
            </w:r>
          </w:p>
        </w:tc>
        <w:tc>
          <w:tcPr>
            <w:tcW w:w="8101" w:type="dxa"/>
          </w:tcPr>
          <w:p>
            <w:pPr>
              <w:pStyle w:val="TableParagraph"/>
              <w:spacing w:line="273" w:lineRule="auto"/>
              <w:ind w:left="131" w:right="233"/>
              <w:jc w:val="both"/>
              <w:rPr>
                <w:rFonts w:ascii="黑体" w:eastAsia="黑体" w:hint="eastAsia"/>
                <w:sz w:val="21"/>
              </w:rPr>
            </w:pPr>
            <w:r>
              <w:rPr>
                <w:rFonts w:ascii="黑体" w:eastAsia="黑体" w:hint="eastAsia"/>
                <w:spacing w:val="-2"/>
                <w:sz w:val="21"/>
              </w:rPr>
              <w:t>因下列第</w:t>
            </w:r>
            <w:r>
              <w:rPr>
                <w:rFonts w:ascii="黑体" w:eastAsia="黑体" w:hint="eastAsia"/>
                <w:spacing w:val="-3"/>
                <w:sz w:val="21"/>
              </w:rPr>
              <w:t>（1）</w:t>
            </w:r>
            <w:r>
              <w:rPr>
                <w:rFonts w:ascii="黑体" w:eastAsia="黑体" w:hint="eastAsia"/>
                <w:spacing w:val="-4"/>
                <w:sz w:val="21"/>
              </w:rPr>
              <w:t>至第</w:t>
            </w:r>
            <w:r>
              <w:rPr>
                <w:rFonts w:ascii="黑体" w:eastAsia="黑体" w:hint="eastAsia"/>
                <w:spacing w:val="-3"/>
                <w:sz w:val="21"/>
              </w:rPr>
              <w:t>（7）</w:t>
            </w:r>
            <w:r>
              <w:rPr>
                <w:rFonts w:ascii="黑体" w:eastAsia="黑体" w:hint="eastAsia"/>
                <w:spacing w:val="-1"/>
                <w:sz w:val="21"/>
              </w:rPr>
              <w:t>项情形之一导致被保险人身故的，我们不承担本合同约定的身故豁免保险费的责任；因下列第（2）至第（10）项情形之一导致被保险人发Th本</w:t>
            </w:r>
            <w:r>
              <w:rPr>
                <w:rFonts w:ascii="黑体" w:eastAsia="黑体" w:hint="eastAsia"/>
                <w:spacing w:val="-4"/>
                <w:sz w:val="21"/>
              </w:rPr>
              <w:t>合同定义的轻症疾病或者重大疾病的，我们不承担本合同约定的轻症疾病豁免保险费或者重大疾病豁免保险费的责任：</w:t>
            </w:r>
          </w:p>
          <w:p>
            <w:pPr>
              <w:pStyle w:val="TableParagraph"/>
              <w:numPr>
                <w:ilvl w:val="0"/>
                <w:numId w:val="10"/>
              </w:numPr>
              <w:tabs>
                <w:tab w:pos="866" w:val="left" w:leader="none"/>
                <w:tab w:pos="867" w:val="left" w:leader="none"/>
              </w:tabs>
              <w:spacing w:line="273" w:lineRule="auto" w:before="85" w:after="0"/>
              <w:ind w:left="866" w:right="234" w:hanging="735"/>
              <w:jc w:val="left"/>
              <w:rPr>
                <w:rFonts w:ascii="黑体" w:eastAsia="黑体" w:hint="eastAsia"/>
                <w:sz w:val="21"/>
              </w:rPr>
            </w:pPr>
            <w:r>
              <w:rPr>
                <w:rFonts w:ascii="黑体" w:eastAsia="黑体" w:hint="eastAsia"/>
                <w:sz w:val="21"/>
              </w:rPr>
              <w:t>被保险人在本合同成立（若曾复效，则自本合同最后复效）</w:t>
            </w:r>
            <w:r>
              <w:rPr>
                <w:rFonts w:ascii="黑体" w:eastAsia="黑体" w:hint="eastAsia"/>
                <w:spacing w:val="-5"/>
                <w:sz w:val="21"/>
              </w:rPr>
              <w:t>之日起 </w:t>
            </w:r>
            <w:r>
              <w:rPr>
                <w:rFonts w:ascii="黑体" w:eastAsia="黑体" w:hint="eastAsia"/>
                <w:sz w:val="21"/>
              </w:rPr>
              <w:t>2</w:t>
            </w:r>
            <w:r>
              <w:rPr>
                <w:rFonts w:ascii="黑体" w:eastAsia="黑体" w:hint="eastAsia"/>
                <w:spacing w:val="-6"/>
                <w:sz w:val="21"/>
              </w:rPr>
              <w:t> 年内自杀，但被保险人自杀时为无民事行为能力人的除外；</w:t>
            </w:r>
          </w:p>
          <w:p>
            <w:pPr>
              <w:pStyle w:val="TableParagraph"/>
              <w:numPr>
                <w:ilvl w:val="0"/>
                <w:numId w:val="10"/>
              </w:numPr>
              <w:tabs>
                <w:tab w:pos="866" w:val="left" w:leader="none"/>
                <w:tab w:pos="867" w:val="left" w:leader="none"/>
              </w:tabs>
              <w:spacing w:line="240" w:lineRule="auto" w:before="85" w:after="0"/>
              <w:ind w:left="866" w:right="0" w:hanging="735"/>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10"/>
              </w:numPr>
              <w:tabs>
                <w:tab w:pos="866" w:val="left" w:leader="none"/>
                <w:tab w:pos="867" w:val="left" w:leader="none"/>
              </w:tabs>
              <w:spacing w:line="240" w:lineRule="auto" w:before="114" w:after="0"/>
              <w:ind w:left="866" w:right="0" w:hanging="735"/>
              <w:jc w:val="left"/>
              <w:rPr>
                <w:rFonts w:ascii="黑体" w:eastAsia="黑体" w:hint="eastAsia"/>
                <w:sz w:val="21"/>
              </w:rPr>
            </w:pPr>
            <w:r>
              <w:rPr>
                <w:rFonts w:ascii="黑体" w:eastAsia="黑体" w:hint="eastAsia"/>
                <w:sz w:val="21"/>
              </w:rPr>
              <w:t>被保险人故意犯罪或者抗拒依法采取的刑事强制措施；</w:t>
            </w:r>
          </w:p>
          <w:p>
            <w:pPr>
              <w:pStyle w:val="TableParagraph"/>
              <w:numPr>
                <w:ilvl w:val="0"/>
                <w:numId w:val="10"/>
              </w:numPr>
              <w:tabs>
                <w:tab w:pos="866" w:val="left" w:leader="none"/>
                <w:tab w:pos="867" w:val="left" w:leader="none"/>
              </w:tabs>
              <w:spacing w:line="240" w:lineRule="auto" w:before="114" w:after="0"/>
              <w:ind w:left="866" w:right="0" w:hanging="735"/>
              <w:jc w:val="left"/>
              <w:rPr>
                <w:rFonts w:ascii="黑体" w:eastAsia="黑体" w:hint="eastAsia"/>
                <w:sz w:val="21"/>
              </w:rPr>
            </w:pPr>
            <w:r>
              <w:rPr>
                <w:rFonts w:ascii="黑体" w:eastAsia="黑体" w:hint="eastAsia"/>
                <w:sz w:val="21"/>
              </w:rPr>
              <w:t>被保险人主动吸食或者注射毒品</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9</w:t>
            </w:r>
            <w:r>
              <w:rPr>
                <w:rFonts w:ascii="黑体" w:eastAsia="黑体" w:hint="eastAsia"/>
                <w:spacing w:val="-105"/>
                <w:sz w:val="21"/>
              </w:rPr>
              <w:t>）</w:t>
            </w:r>
            <w:r>
              <w:rPr>
                <w:rFonts w:ascii="黑体" w:eastAsia="黑体" w:hint="eastAsia"/>
                <w:sz w:val="21"/>
              </w:rPr>
              <w:t>；</w:t>
            </w:r>
          </w:p>
          <w:p>
            <w:pPr>
              <w:pStyle w:val="TableParagraph"/>
              <w:numPr>
                <w:ilvl w:val="0"/>
                <w:numId w:val="10"/>
              </w:numPr>
              <w:tabs>
                <w:tab w:pos="866" w:val="left" w:leader="none"/>
                <w:tab w:pos="867" w:val="left" w:leader="none"/>
              </w:tabs>
              <w:spacing w:line="273" w:lineRule="auto" w:before="114" w:after="0"/>
              <w:ind w:left="866" w:right="233" w:hanging="735"/>
              <w:jc w:val="left"/>
              <w:rPr>
                <w:rFonts w:ascii="黑体" w:eastAsia="黑体" w:hint="eastAsia"/>
                <w:sz w:val="21"/>
              </w:rPr>
            </w:pPr>
            <w:r>
              <w:rPr>
                <w:rFonts w:ascii="黑体" w:eastAsia="黑体" w:hint="eastAsia"/>
                <w:spacing w:val="-2"/>
                <w:sz w:val="21"/>
              </w:rPr>
              <w:t>被保险人酒后驾驶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0</w:t>
            </w:r>
            <w:r>
              <w:rPr>
                <w:rFonts w:ascii="黑体" w:eastAsia="黑体" w:hint="eastAsia"/>
                <w:spacing w:val="-105"/>
                <w:sz w:val="21"/>
              </w:rPr>
              <w:t>）</w:t>
            </w:r>
            <w:r>
              <w:rPr>
                <w:rFonts w:ascii="黑体" w:eastAsia="黑体" w:hint="eastAsia"/>
                <w:spacing w:val="-4"/>
                <w:sz w:val="21"/>
              </w:rPr>
              <w:t>、无合法有效驾驶证驾驶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1</w:t>
            </w:r>
            <w:r>
              <w:rPr>
                <w:rFonts w:ascii="黑体" w:eastAsia="黑体" w:hint="eastAsia"/>
                <w:spacing w:val="-105"/>
                <w:sz w:val="21"/>
              </w:rPr>
              <w:t>）</w:t>
            </w:r>
            <w:r>
              <w:rPr>
                <w:rFonts w:ascii="黑体" w:eastAsia="黑体" w:hint="eastAsia"/>
                <w:spacing w:val="-3"/>
                <w:sz w:val="21"/>
              </w:rPr>
              <w:t>，或者驾</w:t>
            </w:r>
            <w:r>
              <w:rPr>
                <w:rFonts w:ascii="黑体" w:eastAsia="黑体" w:hint="eastAsia"/>
                <w:spacing w:val="-1"/>
                <w:sz w:val="21"/>
              </w:rPr>
              <w:t>驶无合法有效行驶证</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w:t>
            </w:r>
            <w:r>
              <w:rPr>
                <w:rFonts w:ascii="黑体" w:eastAsia="黑体" w:hint="eastAsia"/>
                <w:sz w:val="21"/>
              </w:rPr>
              <w:t>2）</w:t>
            </w:r>
            <w:r>
              <w:rPr>
                <w:rFonts w:ascii="黑体" w:eastAsia="黑体" w:hint="eastAsia"/>
                <w:spacing w:val="-1"/>
                <w:sz w:val="21"/>
              </w:rPr>
              <w:t>的机动车（</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5"/>
                <w:sz w:val="21"/>
              </w:rPr>
              <w:t>）</w:t>
            </w:r>
            <w:r>
              <w:rPr>
                <w:rFonts w:ascii="黑体" w:eastAsia="黑体" w:hint="eastAsia"/>
                <w:sz w:val="21"/>
              </w:rPr>
              <w:t>；</w:t>
            </w:r>
          </w:p>
          <w:p>
            <w:pPr>
              <w:pStyle w:val="TableParagraph"/>
              <w:numPr>
                <w:ilvl w:val="0"/>
                <w:numId w:val="10"/>
              </w:numPr>
              <w:tabs>
                <w:tab w:pos="866" w:val="left" w:leader="none"/>
                <w:tab w:pos="867" w:val="left" w:leader="none"/>
              </w:tabs>
              <w:spacing w:line="240" w:lineRule="auto" w:before="85" w:after="0"/>
              <w:ind w:left="866" w:right="0" w:hanging="735"/>
              <w:jc w:val="left"/>
              <w:rPr>
                <w:rFonts w:ascii="黑体" w:eastAsia="黑体" w:hint="eastAsia"/>
                <w:sz w:val="21"/>
              </w:rPr>
            </w:pPr>
            <w:r>
              <w:rPr>
                <w:rFonts w:ascii="黑体" w:eastAsia="黑体" w:hint="eastAsia"/>
                <w:sz w:val="21"/>
              </w:rPr>
              <w:t>战争、军事冲突、暴乱或者武装叛乱；</w:t>
            </w:r>
          </w:p>
          <w:p>
            <w:pPr>
              <w:pStyle w:val="TableParagraph"/>
              <w:numPr>
                <w:ilvl w:val="0"/>
                <w:numId w:val="10"/>
              </w:numPr>
              <w:tabs>
                <w:tab w:pos="866" w:val="left" w:leader="none"/>
                <w:tab w:pos="867" w:val="left" w:leader="none"/>
              </w:tabs>
              <w:spacing w:line="240" w:lineRule="auto" w:before="115" w:after="0"/>
              <w:ind w:left="866" w:right="0" w:hanging="735"/>
              <w:jc w:val="left"/>
              <w:rPr>
                <w:rFonts w:ascii="黑体" w:eastAsia="黑体" w:hint="eastAsia"/>
                <w:sz w:val="21"/>
              </w:rPr>
            </w:pPr>
            <w:r>
              <w:rPr>
                <w:rFonts w:ascii="黑体" w:eastAsia="黑体" w:hint="eastAsia"/>
                <w:sz w:val="21"/>
              </w:rPr>
              <w:t>核爆炸、核辐射或者核污染；</w:t>
            </w:r>
          </w:p>
          <w:p>
            <w:pPr>
              <w:pStyle w:val="TableParagraph"/>
              <w:numPr>
                <w:ilvl w:val="0"/>
                <w:numId w:val="10"/>
              </w:numPr>
              <w:tabs>
                <w:tab w:pos="866" w:val="left" w:leader="none"/>
                <w:tab w:pos="867" w:val="left" w:leader="none"/>
              </w:tabs>
              <w:spacing w:line="240" w:lineRule="auto" w:before="115" w:after="0"/>
              <w:ind w:left="866" w:right="0" w:hanging="735"/>
              <w:jc w:val="left"/>
              <w:rPr>
                <w:rFonts w:ascii="黑体" w:eastAsia="黑体" w:hint="eastAsia"/>
                <w:sz w:val="21"/>
              </w:rPr>
            </w:pPr>
            <w:r>
              <w:rPr>
                <w:rFonts w:ascii="黑体" w:eastAsia="黑体" w:hint="eastAsia"/>
                <w:sz w:val="21"/>
              </w:rPr>
              <w:t>被保险人故意自伤；</w:t>
            </w:r>
          </w:p>
          <w:p>
            <w:pPr>
              <w:pStyle w:val="TableParagraph"/>
              <w:numPr>
                <w:ilvl w:val="0"/>
                <w:numId w:val="10"/>
              </w:numPr>
              <w:tabs>
                <w:tab w:pos="866" w:val="left" w:leader="none"/>
                <w:tab w:pos="867" w:val="left" w:leader="none"/>
              </w:tabs>
              <w:spacing w:line="255" w:lineRule="exact" w:before="115" w:after="0"/>
              <w:ind w:left="866" w:right="0" w:hanging="735"/>
              <w:jc w:val="left"/>
              <w:rPr>
                <w:rFonts w:ascii="黑体" w:hAnsi="黑体" w:eastAsia="黑体" w:hint="eastAsia"/>
                <w:sz w:val="21"/>
              </w:rPr>
            </w:pPr>
            <w:r>
              <w:rPr>
                <w:rFonts w:ascii="黑体" w:hAnsi="黑体" w:eastAsia="黑体" w:hint="eastAsia"/>
                <w:spacing w:val="-1"/>
                <w:sz w:val="21"/>
              </w:rPr>
              <w:t>被保险人感染艾滋病病毒或者患艾滋病（</w:t>
            </w:r>
            <w:r>
              <w:rPr>
                <w:rFonts w:ascii="黑体" w:hAnsi="黑体" w:eastAsia="黑体" w:hint="eastAsia"/>
                <w:spacing w:val="-24"/>
                <w:sz w:val="21"/>
              </w:rPr>
              <w:t>见 </w:t>
            </w:r>
            <w:r>
              <w:rPr>
                <w:rFonts w:ascii="黑体" w:hAnsi="黑体" w:eastAsia="黑体" w:hint="eastAsia"/>
                <w:sz w:val="21"/>
              </w:rPr>
              <w:t>1</w:t>
            </w:r>
            <w:r>
              <w:rPr>
                <w:rFonts w:ascii="黑体" w:hAnsi="黑体" w:eastAsia="黑体" w:hint="eastAsia"/>
                <w:spacing w:val="-1"/>
                <w:sz w:val="21"/>
              </w:rPr>
              <w:t>0.</w:t>
            </w:r>
            <w:r>
              <w:rPr>
                <w:rFonts w:ascii="黑体" w:hAnsi="黑体" w:eastAsia="黑体" w:hint="eastAsia"/>
                <w:sz w:val="21"/>
              </w:rPr>
              <w:t>1</w:t>
            </w:r>
            <w:r>
              <w:rPr>
                <w:rFonts w:ascii="黑体" w:hAnsi="黑体" w:eastAsia="黑体" w:hint="eastAsia"/>
                <w:spacing w:val="-1"/>
                <w:sz w:val="21"/>
              </w:rPr>
              <w:t>4</w:t>
            </w:r>
            <w:r>
              <w:rPr>
                <w:rFonts w:ascii="黑体" w:hAnsi="黑体" w:eastAsia="黑体" w:hint="eastAsia"/>
                <w:spacing w:val="-105"/>
                <w:sz w:val="21"/>
              </w:rPr>
              <w:t>）</w:t>
            </w:r>
            <w:r>
              <w:rPr>
                <w:rFonts w:ascii="黑体" w:hAnsi="黑体" w:eastAsia="黑体" w:hint="eastAsia"/>
                <w:sz w:val="21"/>
              </w:rPr>
              <w:t>（</w:t>
            </w:r>
            <w:r>
              <w:rPr>
                <w:rFonts w:ascii="黑体" w:hAnsi="黑体" w:eastAsia="黑体" w:hint="eastAsia"/>
                <w:spacing w:val="-1"/>
                <w:sz w:val="21"/>
              </w:rPr>
              <w:t>但符合本合同“经输血</w:t>
            </w:r>
          </w:p>
        </w:tc>
      </w:tr>
    </w:tbl>
    <w:p>
      <w:pPr>
        <w:spacing w:after="0" w:line="255" w:lineRule="exact"/>
        <w:jc w:val="left"/>
        <w:rPr>
          <w:rFonts w:ascii="黑体" w:hAnsi="黑体" w:eastAsia="黑体" w:hint="eastAsia"/>
          <w:sz w:val="21"/>
        </w:rPr>
        <w:sectPr>
          <w:pgSz w:w="11900" w:h="16840"/>
          <w:pgMar w:top="1260" w:bottom="280" w:left="820" w:right="300"/>
        </w:sectPr>
      </w:pPr>
    </w:p>
    <w:p>
      <w:pPr>
        <w:pStyle w:val="BodyText"/>
        <w:spacing w:line="273" w:lineRule="auto" w:before="19"/>
        <w:ind w:left="3325" w:right="210"/>
        <w:rPr>
          <w:rFonts w:ascii="黑体" w:hAnsi="黑体" w:eastAsia="黑体" w:hint="eastAsia"/>
        </w:rPr>
      </w:pPr>
      <w:r>
        <w:rPr>
          <w:rFonts w:ascii="黑体" w:hAnsi="黑体" w:eastAsia="黑体" w:hint="eastAsia"/>
        </w:rPr>
        <w:t>导致的感染艾滋病病毒或患艾滋病”或者“因职业关系导致的感染艾滋病病毒或患艾滋病”定义的不在此限</w:t>
      </w:r>
      <w:r>
        <w:rPr>
          <w:rFonts w:ascii="黑体" w:hAnsi="黑体" w:eastAsia="黑体" w:hint="eastAsia"/>
          <w:spacing w:val="-105"/>
        </w:rPr>
        <w:t>）</w:t>
      </w:r>
      <w:r>
        <w:rPr>
          <w:rFonts w:ascii="黑体" w:hAnsi="黑体" w:eastAsia="黑体" w:hint="eastAsia"/>
        </w:rPr>
        <w:t>；</w:t>
      </w:r>
    </w:p>
    <w:p>
      <w:pPr>
        <w:pStyle w:val="BodyText"/>
        <w:spacing w:before="6"/>
        <w:rPr>
          <w:rFonts w:ascii="黑体"/>
          <w:sz w:val="11"/>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661"/>
        <w:gridCol w:w="7969"/>
      </w:tblGrid>
      <w:tr>
        <w:trPr>
          <w:trHeight w:val="3366" w:hRule="atLeast"/>
        </w:trPr>
        <w:tc>
          <w:tcPr>
            <w:tcW w:w="692" w:type="dxa"/>
          </w:tcPr>
          <w:p>
            <w:pPr>
              <w:pStyle w:val="TableParagraph"/>
              <w:spacing w:before="0"/>
              <w:rPr>
                <w:rFonts w:ascii="Times New Roman"/>
                <w:sz w:val="20"/>
              </w:rPr>
            </w:pPr>
          </w:p>
        </w:tc>
        <w:tc>
          <w:tcPr>
            <w:tcW w:w="1661" w:type="dxa"/>
          </w:tcPr>
          <w:p>
            <w:pPr>
              <w:pStyle w:val="TableParagraph"/>
              <w:spacing w:before="0"/>
              <w:rPr>
                <w:rFonts w:ascii="Times New Roman"/>
                <w:sz w:val="20"/>
              </w:rPr>
            </w:pPr>
          </w:p>
        </w:tc>
        <w:tc>
          <w:tcPr>
            <w:tcW w:w="7969" w:type="dxa"/>
          </w:tcPr>
          <w:p>
            <w:pPr>
              <w:pStyle w:val="TableParagraph"/>
              <w:spacing w:line="210" w:lineRule="exact" w:before="0"/>
              <w:ind w:left="131"/>
              <w:rPr>
                <w:rFonts w:ascii="黑体" w:eastAsia="黑体" w:hint="eastAsia"/>
                <w:sz w:val="21"/>
              </w:rPr>
            </w:pPr>
            <w:r>
              <w:rPr>
                <w:rFonts w:ascii="黑体" w:eastAsia="黑体" w:hint="eastAsia"/>
                <w:sz w:val="21"/>
              </w:rPr>
              <w:t>（10）</w:t>
            </w:r>
            <w:r>
              <w:rPr>
                <w:rFonts w:ascii="黑体" w:eastAsia="黑体" w:hint="eastAsia"/>
                <w:spacing w:val="-1"/>
                <w:sz w:val="21"/>
              </w:rPr>
              <w:t> 遗传性疾病</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w:t>
            </w:r>
            <w:r>
              <w:rPr>
                <w:rFonts w:ascii="黑体" w:eastAsia="黑体" w:hint="eastAsia"/>
                <w:sz w:val="21"/>
              </w:rPr>
              <w:t>5</w:t>
            </w:r>
            <w:r>
              <w:rPr>
                <w:rFonts w:ascii="黑体" w:eastAsia="黑体" w:hint="eastAsia"/>
                <w:spacing w:val="-106"/>
                <w:sz w:val="21"/>
              </w:rPr>
              <w:t>）</w:t>
            </w:r>
            <w:r>
              <w:rPr>
                <w:rFonts w:ascii="黑体" w:eastAsia="黑体" w:hint="eastAsia"/>
                <w:spacing w:val="-1"/>
                <w:sz w:val="21"/>
              </w:rPr>
              <w:t>，先天性畸形、变形或者染色体异常（</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6</w:t>
            </w:r>
            <w:r>
              <w:rPr>
                <w:rFonts w:ascii="黑体" w:eastAsia="黑体" w:hint="eastAsia"/>
                <w:spacing w:val="-105"/>
                <w:sz w:val="21"/>
              </w:rPr>
              <w:t>）</w:t>
            </w:r>
            <w:r>
              <w:rPr>
                <w:rFonts w:ascii="黑体" w:eastAsia="黑体" w:hint="eastAsia"/>
                <w:sz w:val="21"/>
              </w:rPr>
              <w:t>。</w:t>
            </w:r>
          </w:p>
          <w:p>
            <w:pPr>
              <w:pStyle w:val="TableParagraph"/>
              <w:spacing w:line="273" w:lineRule="auto" w:before="115"/>
              <w:ind w:left="130" w:right="-15"/>
              <w:rPr>
                <w:rFonts w:ascii="黑体" w:eastAsia="黑体" w:hint="eastAsia"/>
                <w:sz w:val="21"/>
              </w:rPr>
            </w:pPr>
            <w:r>
              <w:rPr>
                <w:rFonts w:ascii="黑体" w:eastAsia="黑体" w:hint="eastAsia"/>
                <w:sz w:val="21"/>
              </w:rPr>
              <w:t>因上述第（2）项情形导致被保险人身故的，本合同终止，我们向投保人之外的其他</w:t>
            </w:r>
            <w:r>
              <w:rPr>
                <w:rFonts w:ascii="黑体" w:eastAsia="黑体" w:hint="eastAsia"/>
                <w:spacing w:val="-4"/>
                <w:sz w:val="21"/>
              </w:rPr>
              <w:t>权利人给付本合同终止时的现金价值</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7</w:t>
            </w:r>
            <w:r>
              <w:rPr>
                <w:rFonts w:ascii="黑体" w:eastAsia="黑体" w:hint="eastAsia"/>
                <w:spacing w:val="-105"/>
                <w:sz w:val="21"/>
              </w:rPr>
              <w:t>）</w:t>
            </w:r>
            <w:r>
              <w:rPr>
                <w:rFonts w:ascii="黑体" w:eastAsia="黑体" w:hint="eastAsia"/>
                <w:spacing w:val="-7"/>
                <w:sz w:val="21"/>
              </w:rPr>
              <w:t>。其他权利人按照被保险人第一顺序</w:t>
            </w:r>
            <w:r>
              <w:rPr>
                <w:rFonts w:ascii="黑体" w:eastAsia="黑体" w:hint="eastAsia"/>
                <w:spacing w:val="-12"/>
                <w:sz w:val="21"/>
              </w:rPr>
              <w:t>法定继承人、第二顺序法定继承人的顺序确定。因上述第</w:t>
            </w:r>
            <w:r>
              <w:rPr>
                <w:rFonts w:ascii="黑体" w:eastAsia="黑体" w:hint="eastAsia"/>
                <w:spacing w:val="-13"/>
                <w:sz w:val="21"/>
              </w:rPr>
              <w:t>（1）</w:t>
            </w:r>
            <w:r>
              <w:rPr>
                <w:rFonts w:ascii="黑体" w:eastAsia="黑体" w:hint="eastAsia"/>
                <w:spacing w:val="-9"/>
                <w:sz w:val="21"/>
              </w:rPr>
              <w:t>项以及第</w:t>
            </w:r>
            <w:r>
              <w:rPr>
                <w:rFonts w:ascii="黑体" w:eastAsia="黑体" w:hint="eastAsia"/>
                <w:spacing w:val="-13"/>
                <w:sz w:val="21"/>
              </w:rPr>
              <w:t>（3）</w:t>
            </w:r>
            <w:r>
              <w:rPr>
                <w:rFonts w:ascii="黑体" w:eastAsia="黑体" w:hint="eastAsia"/>
                <w:spacing w:val="-18"/>
                <w:sz w:val="21"/>
              </w:rPr>
              <w:t>至第</w:t>
            </w:r>
            <w:r>
              <w:rPr>
                <w:rFonts w:ascii="黑体" w:eastAsia="黑体" w:hint="eastAsia"/>
                <w:sz w:val="21"/>
              </w:rPr>
              <w:t>（7） </w:t>
            </w:r>
            <w:r>
              <w:rPr>
                <w:rFonts w:ascii="黑体" w:eastAsia="黑体" w:hint="eastAsia"/>
                <w:spacing w:val="-3"/>
                <w:sz w:val="21"/>
              </w:rPr>
              <w:t>项中任一情形导致被保险人身故的，本合同终止，我们向您退还本合同终止时的现金价值。</w:t>
            </w:r>
          </w:p>
          <w:p>
            <w:pPr>
              <w:pStyle w:val="TableParagraph"/>
              <w:spacing w:line="273" w:lineRule="auto" w:before="85"/>
              <w:ind w:left="131" w:right="-15"/>
              <w:rPr>
                <w:rFonts w:ascii="黑体" w:eastAsia="黑体" w:hint="eastAsia"/>
                <w:sz w:val="21"/>
              </w:rPr>
            </w:pPr>
            <w:r>
              <w:rPr>
                <w:rFonts w:ascii="黑体" w:eastAsia="黑体" w:hint="eastAsia"/>
                <w:sz w:val="21"/>
              </w:rPr>
              <w:t>因上述第（2）项情形导致被保险人发Th本合同定义的轻症疾病或者重大疾病的，本</w:t>
            </w:r>
            <w:r>
              <w:rPr>
                <w:rFonts w:ascii="黑体" w:eastAsia="黑体" w:hint="eastAsia"/>
                <w:spacing w:val="-4"/>
                <w:sz w:val="21"/>
              </w:rPr>
              <w:t>合同终止，我们向被保险人给付本合同终止时的现金价值。因上述第</w:t>
            </w:r>
            <w:r>
              <w:rPr>
                <w:rFonts w:ascii="黑体" w:eastAsia="黑体" w:hint="eastAsia"/>
                <w:spacing w:val="-3"/>
                <w:sz w:val="21"/>
              </w:rPr>
              <w:t>（3）</w:t>
            </w:r>
            <w:r>
              <w:rPr>
                <w:rFonts w:ascii="黑体" w:eastAsia="黑体" w:hint="eastAsia"/>
                <w:spacing w:val="-4"/>
                <w:sz w:val="21"/>
              </w:rPr>
              <w:t>至第</w:t>
            </w:r>
            <w:r>
              <w:rPr>
                <w:rFonts w:ascii="黑体" w:eastAsia="黑体" w:hint="eastAsia"/>
                <w:sz w:val="21"/>
              </w:rPr>
              <w:t>（10） </w:t>
            </w:r>
            <w:r>
              <w:rPr>
                <w:rFonts w:ascii="黑体" w:eastAsia="黑体" w:hint="eastAsia"/>
                <w:spacing w:val="2"/>
                <w:sz w:val="21"/>
              </w:rPr>
              <w:t>项中任一情形导致被保险人发</w:t>
            </w:r>
            <w:r>
              <w:rPr>
                <w:rFonts w:ascii="黑体" w:eastAsia="黑体" w:hint="eastAsia"/>
                <w:sz w:val="21"/>
              </w:rPr>
              <w:t>Th</w:t>
            </w:r>
            <w:r>
              <w:rPr>
                <w:rFonts w:ascii="黑体" w:eastAsia="黑体" w:hint="eastAsia"/>
                <w:spacing w:val="2"/>
                <w:sz w:val="21"/>
              </w:rPr>
              <w:t>本合同定义的轻症疾病或者重大疾病的，本合同终</w:t>
            </w:r>
            <w:r>
              <w:rPr>
                <w:rFonts w:ascii="黑体" w:eastAsia="黑体" w:hint="eastAsia"/>
                <w:sz w:val="21"/>
              </w:rPr>
              <w:t>止，我们向您退还本合同终止时的现金价值。</w:t>
            </w:r>
          </w:p>
        </w:tc>
      </w:tr>
      <w:tr>
        <w:trPr>
          <w:trHeight w:val="596" w:hRule="atLeast"/>
        </w:trPr>
        <w:tc>
          <w:tcPr>
            <w:tcW w:w="692" w:type="dxa"/>
            <w:tcBorders>
              <w:bottom w:val="single" w:sz="4" w:space="0" w:color="000000"/>
            </w:tcBorders>
          </w:tcPr>
          <w:p>
            <w:pPr>
              <w:pStyle w:val="TableParagraph"/>
              <w:spacing w:before="118"/>
              <w:ind w:left="108"/>
              <w:rPr>
                <w:sz w:val="24"/>
              </w:rPr>
            </w:pPr>
            <w:r>
              <w:rPr>
                <w:sz w:val="24"/>
              </w:rPr>
              <w:t>3.</w:t>
            </w:r>
          </w:p>
        </w:tc>
        <w:tc>
          <w:tcPr>
            <w:tcW w:w="9630" w:type="dxa"/>
            <w:gridSpan w:val="2"/>
            <w:tcBorders>
              <w:bottom w:val="single" w:sz="4" w:space="0" w:color="000000"/>
            </w:tcBorders>
          </w:tcPr>
          <w:p>
            <w:pPr>
              <w:pStyle w:val="TableParagraph"/>
              <w:spacing w:before="118"/>
              <w:ind w:left="266"/>
              <w:rPr>
                <w:sz w:val="24"/>
              </w:rPr>
            </w:pPr>
            <w:r>
              <w:rPr>
                <w:sz w:val="24"/>
              </w:rPr>
              <w:t>豁免保险费的申请</w:t>
            </w:r>
          </w:p>
        </w:tc>
      </w:tr>
      <w:tr>
        <w:trPr>
          <w:trHeight w:val="1921" w:hRule="atLeast"/>
        </w:trPr>
        <w:tc>
          <w:tcPr>
            <w:tcW w:w="692" w:type="dxa"/>
            <w:tcBorders>
              <w:top w:val="single" w:sz="4" w:space="0" w:color="000000"/>
            </w:tcBorders>
          </w:tcPr>
          <w:p>
            <w:pPr>
              <w:pStyle w:val="TableParagraph"/>
              <w:spacing w:before="1"/>
              <w:rPr>
                <w:rFonts w:ascii="黑体"/>
                <w:sz w:val="17"/>
              </w:rPr>
            </w:pPr>
          </w:p>
          <w:p>
            <w:pPr>
              <w:pStyle w:val="TableParagraph"/>
              <w:spacing w:before="0"/>
              <w:ind w:left="108"/>
              <w:rPr>
                <w:sz w:val="21"/>
              </w:rPr>
            </w:pPr>
            <w:r>
              <w:rPr>
                <w:sz w:val="21"/>
              </w:rPr>
              <w:t>3.1</w:t>
            </w:r>
          </w:p>
        </w:tc>
        <w:tc>
          <w:tcPr>
            <w:tcW w:w="1661" w:type="dxa"/>
            <w:tcBorders>
              <w:top w:val="single" w:sz="4" w:space="0" w:color="000000"/>
            </w:tcBorders>
          </w:tcPr>
          <w:p>
            <w:pPr>
              <w:pStyle w:val="TableParagraph"/>
              <w:spacing w:before="1"/>
              <w:rPr>
                <w:rFonts w:ascii="黑体"/>
                <w:sz w:val="17"/>
              </w:rPr>
            </w:pPr>
          </w:p>
          <w:p>
            <w:pPr>
              <w:pStyle w:val="TableParagraph"/>
              <w:spacing w:before="0"/>
              <w:ind w:right="128"/>
              <w:jc w:val="right"/>
              <w:rPr>
                <w:sz w:val="21"/>
              </w:rPr>
            </w:pPr>
            <w:r>
              <w:rPr>
                <w:sz w:val="21"/>
              </w:rPr>
              <w:t>保险事故通知</w:t>
            </w:r>
          </w:p>
        </w:tc>
        <w:tc>
          <w:tcPr>
            <w:tcW w:w="7969" w:type="dxa"/>
            <w:tcBorders>
              <w:top w:val="single" w:sz="4" w:space="0" w:color="000000"/>
            </w:tcBorders>
          </w:tcPr>
          <w:p>
            <w:pPr>
              <w:pStyle w:val="TableParagraph"/>
              <w:spacing w:before="1"/>
              <w:rPr>
                <w:rFonts w:ascii="黑体"/>
                <w:sz w:val="17"/>
              </w:rPr>
            </w:pPr>
          </w:p>
          <w:p>
            <w:pPr>
              <w:pStyle w:val="TableParagraph"/>
              <w:spacing w:line="273" w:lineRule="auto" w:before="0"/>
              <w:ind w:left="131" w:right="101"/>
              <w:jc w:val="both"/>
              <w:rPr>
                <w:rFonts w:ascii="黑体" w:eastAsia="黑体" w:hint="eastAsia"/>
                <w:sz w:val="21"/>
              </w:rPr>
            </w:pPr>
            <w:r>
              <w:rPr>
                <w:rFonts w:ascii="黑体" w:eastAsia="黑体" w:hint="eastAsia"/>
                <w:sz w:val="21"/>
              </w:rPr>
              <w:t>您或者受益人知道保险事故发Th</w:t>
            </w:r>
            <w:r>
              <w:rPr>
                <w:rFonts w:ascii="黑体" w:eastAsia="黑体" w:hint="eastAsia"/>
                <w:spacing w:val="-4"/>
                <w:sz w:val="21"/>
              </w:rPr>
              <w:t>后应当在 </w:t>
            </w:r>
            <w:r>
              <w:rPr>
                <w:rFonts w:ascii="黑体" w:eastAsia="黑体" w:hint="eastAsia"/>
                <w:sz w:val="21"/>
              </w:rPr>
              <w:t>10</w:t>
            </w:r>
            <w:r>
              <w:rPr>
                <w:rFonts w:ascii="黑体" w:eastAsia="黑体" w:hint="eastAsia"/>
                <w:spacing w:val="-5"/>
                <w:sz w:val="21"/>
              </w:rPr>
              <w:t> 日内通知我们。故意或者因重大过失未</w:t>
            </w:r>
            <w:r>
              <w:rPr>
                <w:rFonts w:ascii="黑体" w:eastAsia="黑体" w:hint="eastAsia"/>
                <w:spacing w:val="-8"/>
                <w:sz w:val="21"/>
              </w:rPr>
              <w:t>及时通知，致使保险事故的性质、原因、损失程度等难以确定的，我们对无法确定的</w:t>
            </w:r>
            <w:r>
              <w:rPr>
                <w:rFonts w:ascii="黑体" w:eastAsia="黑体" w:hint="eastAsia"/>
                <w:spacing w:val="-10"/>
                <w:sz w:val="21"/>
              </w:rPr>
              <w:t>部分不承担豁免保险费的责任，但我们通过其他途径已经及时知道或者应当及时知道保险事故发Th</w:t>
            </w:r>
            <w:r>
              <w:rPr>
                <w:rFonts w:ascii="黑体" w:eastAsia="黑体" w:hint="eastAsia"/>
                <w:spacing w:val="-12"/>
                <w:sz w:val="21"/>
              </w:rPr>
              <w:t>或者虽未及时通知但不影响我们确定保险事故的性质、原因、损失程度的除外。</w:t>
            </w:r>
          </w:p>
        </w:tc>
      </w:tr>
      <w:tr>
        <w:trPr>
          <w:trHeight w:val="871" w:hRule="atLeast"/>
        </w:trPr>
        <w:tc>
          <w:tcPr>
            <w:tcW w:w="692" w:type="dxa"/>
          </w:tcPr>
          <w:p>
            <w:pPr>
              <w:pStyle w:val="TableParagraph"/>
              <w:ind w:left="108"/>
              <w:rPr>
                <w:sz w:val="21"/>
              </w:rPr>
            </w:pPr>
            <w:r>
              <w:rPr>
                <w:sz w:val="21"/>
              </w:rPr>
              <w:t>3.2</w:t>
            </w:r>
          </w:p>
        </w:tc>
        <w:tc>
          <w:tcPr>
            <w:tcW w:w="1661" w:type="dxa"/>
          </w:tcPr>
          <w:p>
            <w:pPr>
              <w:pStyle w:val="TableParagraph"/>
              <w:spacing w:line="273" w:lineRule="auto"/>
              <w:ind w:left="266" w:right="128"/>
              <w:rPr>
                <w:sz w:val="21"/>
              </w:rPr>
            </w:pPr>
            <w:r>
              <w:rPr>
                <w:sz w:val="21"/>
              </w:rPr>
              <w:t>豁免保险费申请</w:t>
            </w:r>
          </w:p>
        </w:tc>
        <w:tc>
          <w:tcPr>
            <w:tcW w:w="7969" w:type="dxa"/>
          </w:tcPr>
          <w:p>
            <w:pPr>
              <w:pStyle w:val="TableParagraph"/>
              <w:ind w:left="131"/>
              <w:rPr>
                <w:sz w:val="21"/>
              </w:rPr>
            </w:pPr>
            <w:r>
              <w:rPr>
                <w:sz w:val="21"/>
              </w:rPr>
              <w:t>在申请豁免保险费时，请按照下列方式办理：</w:t>
            </w:r>
          </w:p>
        </w:tc>
      </w:tr>
      <w:tr>
        <w:trPr>
          <w:trHeight w:val="3056" w:hRule="atLeast"/>
        </w:trPr>
        <w:tc>
          <w:tcPr>
            <w:tcW w:w="692" w:type="dxa"/>
          </w:tcPr>
          <w:p>
            <w:pPr>
              <w:pStyle w:val="TableParagraph"/>
              <w:spacing w:before="0"/>
              <w:rPr>
                <w:rFonts w:ascii="Times New Roman"/>
                <w:sz w:val="20"/>
              </w:rPr>
            </w:pPr>
          </w:p>
        </w:tc>
        <w:tc>
          <w:tcPr>
            <w:tcW w:w="1661" w:type="dxa"/>
          </w:tcPr>
          <w:p>
            <w:pPr>
              <w:pStyle w:val="TableParagraph"/>
              <w:spacing w:line="273" w:lineRule="auto"/>
              <w:ind w:left="266" w:right="128"/>
              <w:jc w:val="both"/>
              <w:rPr>
                <w:sz w:val="21"/>
              </w:rPr>
            </w:pPr>
            <w:r>
              <w:rPr>
                <w:sz w:val="21"/>
              </w:rPr>
              <w:t>轻症疾病豁免保险费、重大疾病豁免保险费申请</w:t>
            </w:r>
          </w:p>
        </w:tc>
        <w:tc>
          <w:tcPr>
            <w:tcW w:w="7969" w:type="dxa"/>
          </w:tcPr>
          <w:p>
            <w:pPr>
              <w:pStyle w:val="TableParagraph"/>
              <w:spacing w:line="273" w:lineRule="auto"/>
              <w:ind w:left="131" w:right="44"/>
              <w:rPr>
                <w:sz w:val="21"/>
              </w:rPr>
            </w:pPr>
            <w:r>
              <w:rPr>
                <w:sz w:val="21"/>
              </w:rPr>
              <w:t>被豁免合同的被保险人作为申请人须填写豁免保险费申请书，并须提供下列证明和资料的原件：</w:t>
            </w:r>
          </w:p>
          <w:p>
            <w:pPr>
              <w:pStyle w:val="TableParagraph"/>
              <w:numPr>
                <w:ilvl w:val="0"/>
                <w:numId w:val="11"/>
              </w:numPr>
              <w:tabs>
                <w:tab w:pos="866" w:val="left" w:leader="none"/>
                <w:tab w:pos="867" w:val="left" w:leader="none"/>
              </w:tabs>
              <w:spacing w:line="240" w:lineRule="auto" w:before="85" w:after="0"/>
              <w:ind w:left="866" w:right="0" w:hanging="735"/>
              <w:jc w:val="left"/>
              <w:rPr>
                <w:sz w:val="21"/>
              </w:rPr>
            </w:pPr>
            <w:r>
              <w:rPr>
                <w:sz w:val="21"/>
              </w:rPr>
              <w:t>本合同；</w:t>
            </w:r>
          </w:p>
          <w:p>
            <w:pPr>
              <w:pStyle w:val="TableParagraph"/>
              <w:numPr>
                <w:ilvl w:val="0"/>
                <w:numId w:val="11"/>
              </w:numPr>
              <w:tabs>
                <w:tab w:pos="866" w:val="left" w:leader="none"/>
                <w:tab w:pos="867" w:val="left" w:leader="none"/>
              </w:tabs>
              <w:spacing w:line="240" w:lineRule="auto" w:before="114" w:after="0"/>
              <w:ind w:left="866" w:right="0" w:hanging="735"/>
              <w:jc w:val="left"/>
              <w:rPr>
                <w:sz w:val="21"/>
              </w:rPr>
            </w:pPr>
            <w:r>
              <w:rPr>
                <w:sz w:val="21"/>
              </w:rPr>
              <w:t>申请人的有效身份证件；</w:t>
            </w:r>
          </w:p>
          <w:p>
            <w:pPr>
              <w:pStyle w:val="TableParagraph"/>
              <w:numPr>
                <w:ilvl w:val="0"/>
                <w:numId w:val="11"/>
              </w:numPr>
              <w:tabs>
                <w:tab w:pos="867" w:val="left" w:leader="none"/>
              </w:tabs>
              <w:spacing w:line="273" w:lineRule="auto" w:before="114" w:after="0"/>
              <w:ind w:left="866" w:right="98" w:hanging="735"/>
              <w:jc w:val="both"/>
              <w:rPr>
                <w:sz w:val="21"/>
              </w:rPr>
            </w:pPr>
            <w:r>
              <w:rPr>
                <w:spacing w:val="-5"/>
                <w:sz w:val="21"/>
              </w:rPr>
              <w:t>由医院专科医生</w:t>
            </w:r>
            <w:r>
              <w:rPr>
                <w:sz w:val="21"/>
              </w:rPr>
              <w:t>（</w:t>
            </w:r>
            <w:r>
              <w:rPr>
                <w:spacing w:val="-33"/>
                <w:sz w:val="21"/>
              </w:rPr>
              <w:t>见 </w:t>
            </w:r>
            <w:r>
              <w:rPr>
                <w:spacing w:val="-6"/>
                <w:sz w:val="21"/>
              </w:rPr>
              <w:t>10.18）</w:t>
            </w:r>
            <w:r>
              <w:rPr>
                <w:spacing w:val="-2"/>
                <w:sz w:val="21"/>
              </w:rPr>
              <w:t>出具的被保险人的疾病诊断证明书，以及由医院出具的与该疾病诊断证明书相关的病理显微镜检查、血液检验及其他科学方法检验报告；</w:t>
            </w:r>
          </w:p>
          <w:p>
            <w:pPr>
              <w:pStyle w:val="TableParagraph"/>
              <w:numPr>
                <w:ilvl w:val="0"/>
                <w:numId w:val="11"/>
              </w:numPr>
              <w:tabs>
                <w:tab w:pos="866" w:val="left" w:leader="none"/>
                <w:tab w:pos="867" w:val="left" w:leader="none"/>
              </w:tabs>
              <w:spacing w:line="240" w:lineRule="auto" w:before="85" w:after="0"/>
              <w:ind w:left="866" w:right="0" w:hanging="735"/>
              <w:jc w:val="left"/>
              <w:rPr>
                <w:sz w:val="21"/>
              </w:rPr>
            </w:pPr>
            <w:r>
              <w:rPr>
                <w:sz w:val="21"/>
              </w:rPr>
              <w:t>所能提供的与确认保险事故的性质、原因等有关的其他证明和资料。</w:t>
            </w:r>
          </w:p>
        </w:tc>
      </w:tr>
      <w:tr>
        <w:trPr>
          <w:trHeight w:val="2743" w:hRule="atLeast"/>
        </w:trPr>
        <w:tc>
          <w:tcPr>
            <w:tcW w:w="692" w:type="dxa"/>
          </w:tcPr>
          <w:p>
            <w:pPr>
              <w:pStyle w:val="TableParagraph"/>
              <w:spacing w:before="0"/>
              <w:rPr>
                <w:rFonts w:ascii="Times New Roman"/>
                <w:sz w:val="20"/>
              </w:rPr>
            </w:pPr>
          </w:p>
        </w:tc>
        <w:tc>
          <w:tcPr>
            <w:tcW w:w="1661" w:type="dxa"/>
          </w:tcPr>
          <w:p>
            <w:pPr>
              <w:pStyle w:val="TableParagraph"/>
              <w:spacing w:line="273" w:lineRule="auto"/>
              <w:ind w:left="266" w:right="128"/>
              <w:rPr>
                <w:sz w:val="21"/>
              </w:rPr>
            </w:pPr>
            <w:r>
              <w:rPr>
                <w:sz w:val="21"/>
              </w:rPr>
              <w:t>身故豁免保险费申请</w:t>
            </w:r>
          </w:p>
        </w:tc>
        <w:tc>
          <w:tcPr>
            <w:tcW w:w="7969" w:type="dxa"/>
          </w:tcPr>
          <w:p>
            <w:pPr>
              <w:pStyle w:val="TableParagraph"/>
              <w:spacing w:line="273" w:lineRule="auto"/>
              <w:ind w:left="131" w:right="44"/>
              <w:rPr>
                <w:sz w:val="21"/>
              </w:rPr>
            </w:pPr>
            <w:r>
              <w:rPr>
                <w:sz w:val="21"/>
              </w:rPr>
              <w:t>被豁免合同的被保险人作为申请人须填写豁免保险费申请书，并须提供下列证明和资料的原件：</w:t>
            </w:r>
          </w:p>
          <w:p>
            <w:pPr>
              <w:pStyle w:val="TableParagraph"/>
              <w:numPr>
                <w:ilvl w:val="0"/>
                <w:numId w:val="12"/>
              </w:numPr>
              <w:tabs>
                <w:tab w:pos="866" w:val="left" w:leader="none"/>
                <w:tab w:pos="867" w:val="left" w:leader="none"/>
              </w:tabs>
              <w:spacing w:line="240" w:lineRule="auto" w:before="85" w:after="0"/>
              <w:ind w:left="873" w:right="0" w:hanging="742"/>
              <w:jc w:val="left"/>
              <w:rPr>
                <w:sz w:val="21"/>
              </w:rPr>
            </w:pPr>
            <w:r>
              <w:rPr>
                <w:sz w:val="21"/>
              </w:rPr>
              <w:t>本合同；</w:t>
            </w:r>
          </w:p>
          <w:p>
            <w:pPr>
              <w:pStyle w:val="TableParagraph"/>
              <w:numPr>
                <w:ilvl w:val="0"/>
                <w:numId w:val="12"/>
              </w:numPr>
              <w:tabs>
                <w:tab w:pos="866" w:val="left" w:leader="none"/>
                <w:tab w:pos="867" w:val="left" w:leader="none"/>
              </w:tabs>
              <w:spacing w:line="240" w:lineRule="auto" w:before="114" w:after="0"/>
              <w:ind w:left="873" w:right="0" w:hanging="742"/>
              <w:jc w:val="left"/>
              <w:rPr>
                <w:sz w:val="21"/>
              </w:rPr>
            </w:pPr>
            <w:r>
              <w:rPr>
                <w:sz w:val="21"/>
              </w:rPr>
              <w:t>申请人的有效身份证件；</w:t>
            </w:r>
          </w:p>
          <w:p>
            <w:pPr>
              <w:pStyle w:val="TableParagraph"/>
              <w:numPr>
                <w:ilvl w:val="0"/>
                <w:numId w:val="12"/>
              </w:numPr>
              <w:tabs>
                <w:tab w:pos="866" w:val="left" w:leader="none"/>
                <w:tab w:pos="867" w:val="left" w:leader="none"/>
              </w:tabs>
              <w:spacing w:line="273" w:lineRule="auto" w:before="114" w:after="0"/>
              <w:ind w:left="873" w:right="98" w:hanging="742"/>
              <w:jc w:val="left"/>
              <w:rPr>
                <w:sz w:val="21"/>
              </w:rPr>
            </w:pPr>
            <w:r>
              <w:rPr>
                <w:sz w:val="21"/>
              </w:rPr>
              <w:t>国务院卫生行政部门规定的医疗机构、公安部门或者其他有权机构出具的被保险人的死亡证明；</w:t>
            </w:r>
          </w:p>
          <w:p>
            <w:pPr>
              <w:pStyle w:val="TableParagraph"/>
              <w:numPr>
                <w:ilvl w:val="0"/>
                <w:numId w:val="12"/>
              </w:numPr>
              <w:tabs>
                <w:tab w:pos="866" w:val="left" w:leader="none"/>
                <w:tab w:pos="867" w:val="left" w:leader="none"/>
              </w:tabs>
              <w:spacing w:line="240" w:lineRule="auto" w:before="85" w:after="0"/>
              <w:ind w:left="873" w:right="0" w:hanging="742"/>
              <w:jc w:val="left"/>
              <w:rPr>
                <w:sz w:val="21"/>
              </w:rPr>
            </w:pPr>
            <w:r>
              <w:rPr>
                <w:sz w:val="21"/>
              </w:rPr>
              <w:t>所能提供的与确认保险事故的性质、原因等有关的其他证明和资料。</w:t>
            </w:r>
          </w:p>
        </w:tc>
      </w:tr>
      <w:tr>
        <w:trPr>
          <w:trHeight w:val="1086" w:hRule="atLeast"/>
        </w:trPr>
        <w:tc>
          <w:tcPr>
            <w:tcW w:w="692" w:type="dxa"/>
          </w:tcPr>
          <w:p>
            <w:pPr>
              <w:pStyle w:val="TableParagraph"/>
              <w:spacing w:before="0"/>
              <w:rPr>
                <w:rFonts w:ascii="Times New Roman"/>
                <w:sz w:val="20"/>
              </w:rPr>
            </w:pPr>
          </w:p>
        </w:tc>
        <w:tc>
          <w:tcPr>
            <w:tcW w:w="1661" w:type="dxa"/>
          </w:tcPr>
          <w:p>
            <w:pPr>
              <w:pStyle w:val="TableParagraph"/>
              <w:spacing w:before="109"/>
              <w:ind w:right="128"/>
              <w:jc w:val="right"/>
              <w:rPr>
                <w:sz w:val="21"/>
              </w:rPr>
            </w:pPr>
            <w:r>
              <w:rPr>
                <w:sz w:val="21"/>
              </w:rPr>
              <w:t>特别注意事项</w:t>
            </w:r>
          </w:p>
        </w:tc>
        <w:tc>
          <w:tcPr>
            <w:tcW w:w="7969" w:type="dxa"/>
          </w:tcPr>
          <w:p>
            <w:pPr>
              <w:pStyle w:val="TableParagraph"/>
              <w:spacing w:line="273" w:lineRule="auto" w:before="109"/>
              <w:ind w:left="131" w:right="44"/>
              <w:rPr>
                <w:sz w:val="21"/>
              </w:rPr>
            </w:pPr>
            <w:r>
              <w:rPr>
                <w:sz w:val="21"/>
              </w:rPr>
              <w:t>以上证明和资料不完整的，我们将及时一次性通知豁免保险费申请人补充提供有关的证明和资料。</w:t>
            </w:r>
          </w:p>
          <w:p>
            <w:pPr>
              <w:pStyle w:val="TableParagraph"/>
              <w:spacing w:line="255" w:lineRule="exact" w:before="85"/>
              <w:ind w:left="131"/>
              <w:rPr>
                <w:sz w:val="21"/>
              </w:rPr>
            </w:pPr>
            <w:r>
              <w:rPr>
                <w:sz w:val="21"/>
              </w:rPr>
              <w:t>委托他人申请豁免保险费时，受托人还必须提供本人的有效身份证件及委托人亲笔签</w:t>
            </w:r>
          </w:p>
        </w:tc>
      </w:tr>
    </w:tbl>
    <w:p>
      <w:pPr>
        <w:spacing w:after="0" w:line="255" w:lineRule="exact"/>
        <w:rPr>
          <w:sz w:val="21"/>
        </w:rPr>
        <w:sectPr>
          <w:pgSz w:w="11900" w:h="16840"/>
          <w:pgMar w:top="1100" w:bottom="280" w:left="920" w:right="440"/>
        </w:sectPr>
      </w:pPr>
    </w:p>
    <w:p>
      <w:pPr>
        <w:pStyle w:val="BodyText"/>
        <w:spacing w:before="19"/>
        <w:ind w:left="2590"/>
      </w:pPr>
      <w:r>
        <w:rPr/>
        <w:t>名的授权委托书。</w:t>
      </w:r>
    </w:p>
    <w:p>
      <w:pPr>
        <w:pStyle w:val="BodyText"/>
        <w:spacing w:before="9"/>
        <w:rPr>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61"/>
        <w:gridCol w:w="7966"/>
      </w:tblGrid>
      <w:tr>
        <w:trPr>
          <w:trHeight w:val="1009" w:hRule="atLeast"/>
        </w:trPr>
        <w:tc>
          <w:tcPr>
            <w:tcW w:w="693" w:type="dxa"/>
          </w:tcPr>
          <w:p>
            <w:pPr>
              <w:pStyle w:val="TableParagraph"/>
              <w:spacing w:before="0"/>
              <w:rPr>
                <w:rFonts w:ascii="Times New Roman"/>
                <w:sz w:val="20"/>
              </w:rPr>
            </w:pPr>
          </w:p>
        </w:tc>
        <w:tc>
          <w:tcPr>
            <w:tcW w:w="1661" w:type="dxa"/>
          </w:tcPr>
          <w:p>
            <w:pPr>
              <w:pStyle w:val="TableParagraph"/>
              <w:spacing w:before="0"/>
              <w:rPr>
                <w:rFonts w:ascii="Times New Roman"/>
                <w:sz w:val="20"/>
              </w:rPr>
            </w:pPr>
          </w:p>
        </w:tc>
        <w:tc>
          <w:tcPr>
            <w:tcW w:w="7966" w:type="dxa"/>
          </w:tcPr>
          <w:p>
            <w:pPr>
              <w:pStyle w:val="TableParagraph"/>
              <w:spacing w:line="210" w:lineRule="exact" w:before="0"/>
              <w:ind w:left="130"/>
              <w:rPr>
                <w:sz w:val="21"/>
              </w:rPr>
            </w:pPr>
            <w:r>
              <w:rPr>
                <w:sz w:val="21"/>
              </w:rPr>
              <w:t>申请人为无民事行为能力人或者限制民事行为能力人时，由其合法监护人代其申请豁</w:t>
            </w:r>
          </w:p>
          <w:p>
            <w:pPr>
              <w:pStyle w:val="TableParagraph"/>
              <w:spacing w:line="273" w:lineRule="auto" w:before="37"/>
              <w:ind w:left="130" w:right="99"/>
              <w:rPr>
                <w:sz w:val="21"/>
              </w:rPr>
            </w:pPr>
            <w:r>
              <w:rPr>
                <w:spacing w:val="-6"/>
                <w:sz w:val="21"/>
              </w:rPr>
              <w:t>免保险费，其合法监护人还必须提供申请人为无民事行为能力人或者限制民事行为能</w:t>
            </w:r>
            <w:r>
              <w:rPr>
                <w:spacing w:val="-1"/>
                <w:sz w:val="21"/>
              </w:rPr>
              <w:t>力人的证明和监护人具有合法监护权的证明。</w:t>
            </w:r>
          </w:p>
        </w:tc>
      </w:tr>
      <w:tr>
        <w:trPr>
          <w:trHeight w:val="2275" w:hRule="atLeast"/>
        </w:trPr>
        <w:tc>
          <w:tcPr>
            <w:tcW w:w="693" w:type="dxa"/>
          </w:tcPr>
          <w:p>
            <w:pPr>
              <w:pStyle w:val="TableParagraph"/>
              <w:ind w:left="107"/>
              <w:rPr>
                <w:sz w:val="21"/>
              </w:rPr>
            </w:pPr>
            <w:r>
              <w:rPr>
                <w:sz w:val="21"/>
              </w:rPr>
              <w:t>3.3</w:t>
            </w:r>
          </w:p>
        </w:tc>
        <w:tc>
          <w:tcPr>
            <w:tcW w:w="1661" w:type="dxa"/>
          </w:tcPr>
          <w:p>
            <w:pPr>
              <w:pStyle w:val="TableParagraph"/>
              <w:ind w:left="265"/>
              <w:rPr>
                <w:sz w:val="21"/>
              </w:rPr>
            </w:pPr>
            <w:r>
              <w:rPr>
                <w:sz w:val="21"/>
              </w:rPr>
              <w:t>宣告死亡处理</w:t>
            </w:r>
          </w:p>
        </w:tc>
        <w:tc>
          <w:tcPr>
            <w:tcW w:w="7966" w:type="dxa"/>
          </w:tcPr>
          <w:p>
            <w:pPr>
              <w:pStyle w:val="TableParagraph"/>
              <w:spacing w:line="273" w:lineRule="auto"/>
              <w:ind w:left="130" w:right="42"/>
              <w:rPr>
                <w:sz w:val="21"/>
              </w:rPr>
            </w:pPr>
            <w:r>
              <w:rPr>
                <w:sz w:val="21"/>
              </w:rPr>
              <w:t>在本合同有效期内，如果被保险人被法院宣告死亡，我们以法院判决宣告之日作为被保险人的死亡时间，按本合同的约定承担保险责任，本合同终止。</w:t>
            </w:r>
          </w:p>
          <w:p>
            <w:pPr>
              <w:pStyle w:val="TableParagraph"/>
              <w:spacing w:line="273" w:lineRule="auto" w:before="85"/>
              <w:ind w:left="130" w:right="42"/>
              <w:rPr>
                <w:sz w:val="21"/>
              </w:rPr>
            </w:pPr>
            <w:r>
              <w:rPr>
                <w:sz w:val="21"/>
              </w:rPr>
              <w:t>如果被保险人被宣告死亡之日在保险期间之外，但有证据证明下落不明之日在保险期间之内，我们按本合同约定承担保险责任。</w:t>
            </w:r>
          </w:p>
          <w:p>
            <w:pPr>
              <w:pStyle w:val="TableParagraph"/>
              <w:spacing w:line="273" w:lineRule="auto" w:before="85"/>
              <w:ind w:left="130" w:right="42"/>
              <w:rPr>
                <w:sz w:val="21"/>
              </w:rPr>
            </w:pPr>
            <w:r>
              <w:rPr>
                <w:sz w:val="21"/>
              </w:rPr>
              <w:t>如果被保险人在宣告死亡后重新出现或者确知其没有死亡，豁免保险费申请人应在知道后 30 日内向我们补交已豁免的保险费，在前述情形下，本合同的效力依法确定。</w:t>
            </w:r>
          </w:p>
        </w:tc>
      </w:tr>
      <w:tr>
        <w:trPr>
          <w:trHeight w:val="888" w:hRule="atLeast"/>
        </w:trPr>
        <w:tc>
          <w:tcPr>
            <w:tcW w:w="693" w:type="dxa"/>
          </w:tcPr>
          <w:p>
            <w:pPr>
              <w:pStyle w:val="TableParagraph"/>
              <w:ind w:left="107"/>
              <w:rPr>
                <w:sz w:val="21"/>
              </w:rPr>
            </w:pPr>
            <w:r>
              <w:rPr>
                <w:sz w:val="21"/>
              </w:rPr>
              <w:t>3.4</w:t>
            </w:r>
          </w:p>
        </w:tc>
        <w:tc>
          <w:tcPr>
            <w:tcW w:w="1661" w:type="dxa"/>
          </w:tcPr>
          <w:p>
            <w:pPr>
              <w:pStyle w:val="TableParagraph"/>
              <w:ind w:left="265"/>
              <w:rPr>
                <w:sz w:val="21"/>
              </w:rPr>
            </w:pPr>
            <w:r>
              <w:rPr>
                <w:sz w:val="21"/>
              </w:rPr>
              <w:t>诉讼时效</w:t>
            </w:r>
          </w:p>
        </w:tc>
        <w:tc>
          <w:tcPr>
            <w:tcW w:w="7966" w:type="dxa"/>
          </w:tcPr>
          <w:p>
            <w:pPr>
              <w:pStyle w:val="TableParagraph"/>
              <w:spacing w:line="273" w:lineRule="auto" w:before="109"/>
              <w:ind w:left="130" w:right="99"/>
              <w:rPr>
                <w:sz w:val="21"/>
              </w:rPr>
            </w:pPr>
            <w:r>
              <w:rPr>
                <w:spacing w:val="-3"/>
                <w:sz w:val="21"/>
              </w:rPr>
              <w:t>权利人向我们申请豁免保险费的诉讼时效期间为 </w:t>
            </w:r>
            <w:r>
              <w:rPr>
                <w:sz w:val="21"/>
              </w:rPr>
              <w:t>2</w:t>
            </w:r>
            <w:r>
              <w:rPr>
                <w:spacing w:val="-10"/>
                <w:sz w:val="21"/>
              </w:rPr>
              <w:t> 年，自其知道或者应当知道保险事故发生之日起计算。</w:t>
            </w:r>
          </w:p>
        </w:tc>
      </w:tr>
      <w:tr>
        <w:trPr>
          <w:trHeight w:val="596" w:hRule="atLeast"/>
        </w:trPr>
        <w:tc>
          <w:tcPr>
            <w:tcW w:w="693" w:type="dxa"/>
            <w:tcBorders>
              <w:bottom w:val="single" w:sz="4" w:space="0" w:color="000000"/>
            </w:tcBorders>
          </w:tcPr>
          <w:p>
            <w:pPr>
              <w:pStyle w:val="TableParagraph"/>
              <w:spacing w:before="118"/>
              <w:ind w:left="108"/>
              <w:rPr>
                <w:sz w:val="24"/>
              </w:rPr>
            </w:pPr>
            <w:r>
              <w:rPr>
                <w:sz w:val="24"/>
              </w:rPr>
              <w:t>4.</w:t>
            </w:r>
          </w:p>
        </w:tc>
        <w:tc>
          <w:tcPr>
            <w:tcW w:w="9627" w:type="dxa"/>
            <w:gridSpan w:val="2"/>
            <w:tcBorders>
              <w:bottom w:val="single" w:sz="4" w:space="0" w:color="000000"/>
            </w:tcBorders>
          </w:tcPr>
          <w:p>
            <w:pPr>
              <w:pStyle w:val="TableParagraph"/>
              <w:spacing w:before="118"/>
              <w:ind w:left="265"/>
              <w:rPr>
                <w:sz w:val="24"/>
              </w:rPr>
            </w:pPr>
            <w:r>
              <w:rPr>
                <w:sz w:val="24"/>
              </w:rPr>
              <w:t>保险费的交纳</w:t>
            </w:r>
          </w:p>
        </w:tc>
      </w:tr>
      <w:tr>
        <w:trPr>
          <w:trHeight w:val="1375" w:hRule="atLeast"/>
        </w:trPr>
        <w:tc>
          <w:tcPr>
            <w:tcW w:w="693" w:type="dxa"/>
            <w:tcBorders>
              <w:top w:val="single" w:sz="4" w:space="0" w:color="000000"/>
            </w:tcBorders>
          </w:tcPr>
          <w:p>
            <w:pPr>
              <w:pStyle w:val="TableParagraph"/>
              <w:spacing w:before="1"/>
              <w:rPr>
                <w:sz w:val="17"/>
              </w:rPr>
            </w:pPr>
          </w:p>
          <w:p>
            <w:pPr>
              <w:pStyle w:val="TableParagraph"/>
              <w:spacing w:before="0"/>
              <w:ind w:left="108"/>
              <w:rPr>
                <w:sz w:val="21"/>
              </w:rPr>
            </w:pPr>
            <w:r>
              <w:rPr>
                <w:sz w:val="21"/>
              </w:rPr>
              <w:t>4.1</w:t>
            </w:r>
          </w:p>
        </w:tc>
        <w:tc>
          <w:tcPr>
            <w:tcW w:w="1661" w:type="dxa"/>
            <w:tcBorders>
              <w:top w:val="single" w:sz="4" w:space="0" w:color="000000"/>
            </w:tcBorders>
          </w:tcPr>
          <w:p>
            <w:pPr>
              <w:pStyle w:val="TableParagraph"/>
              <w:spacing w:before="1"/>
              <w:rPr>
                <w:sz w:val="17"/>
              </w:rPr>
            </w:pPr>
          </w:p>
          <w:p>
            <w:pPr>
              <w:pStyle w:val="TableParagraph"/>
              <w:spacing w:before="0"/>
              <w:ind w:left="265"/>
              <w:rPr>
                <w:sz w:val="21"/>
              </w:rPr>
            </w:pPr>
            <w:r>
              <w:rPr>
                <w:sz w:val="21"/>
              </w:rPr>
              <w:t>保险费的交纳</w:t>
            </w:r>
          </w:p>
        </w:tc>
        <w:tc>
          <w:tcPr>
            <w:tcW w:w="7966" w:type="dxa"/>
            <w:tcBorders>
              <w:top w:val="single" w:sz="4" w:space="0" w:color="000000"/>
            </w:tcBorders>
          </w:tcPr>
          <w:p>
            <w:pPr>
              <w:pStyle w:val="TableParagraph"/>
              <w:spacing w:before="1"/>
              <w:rPr>
                <w:sz w:val="17"/>
              </w:rPr>
            </w:pPr>
          </w:p>
          <w:p>
            <w:pPr>
              <w:pStyle w:val="TableParagraph"/>
              <w:spacing w:before="0"/>
              <w:ind w:left="130"/>
              <w:rPr>
                <w:sz w:val="21"/>
              </w:rPr>
            </w:pPr>
            <w:r>
              <w:rPr>
                <w:sz w:val="21"/>
              </w:rPr>
              <w:t>本合同的交费方式和交费期间由您在投保时与我们约定，并在保险单上载明。</w:t>
            </w:r>
          </w:p>
          <w:p>
            <w:pPr>
              <w:pStyle w:val="TableParagraph"/>
              <w:spacing w:line="273" w:lineRule="auto" w:before="115"/>
              <w:ind w:left="130" w:right="42"/>
              <w:rPr>
                <w:sz w:val="21"/>
              </w:rPr>
            </w:pPr>
            <w:r>
              <w:rPr>
                <w:sz w:val="21"/>
              </w:rPr>
              <w:t>分期支付保险费的，在交纳首期保险费后，您应当在每个保险费约定交纳日交纳其余各期的保险费。</w:t>
            </w:r>
          </w:p>
        </w:tc>
      </w:tr>
      <w:tr>
        <w:trPr>
          <w:trHeight w:val="1902" w:hRule="atLeast"/>
        </w:trPr>
        <w:tc>
          <w:tcPr>
            <w:tcW w:w="693" w:type="dxa"/>
          </w:tcPr>
          <w:p>
            <w:pPr>
              <w:pStyle w:val="TableParagraph"/>
              <w:ind w:left="108"/>
              <w:rPr>
                <w:sz w:val="21"/>
              </w:rPr>
            </w:pPr>
            <w:r>
              <w:rPr>
                <w:sz w:val="21"/>
              </w:rPr>
              <w:t>4.2</w:t>
            </w:r>
          </w:p>
        </w:tc>
        <w:tc>
          <w:tcPr>
            <w:tcW w:w="1661" w:type="dxa"/>
          </w:tcPr>
          <w:p>
            <w:pPr>
              <w:pStyle w:val="TableParagraph"/>
              <w:ind w:left="265"/>
              <w:rPr>
                <w:sz w:val="21"/>
              </w:rPr>
            </w:pPr>
            <w:r>
              <w:rPr>
                <w:sz w:val="21"/>
              </w:rPr>
              <w:t>宽限期</w:t>
            </w:r>
          </w:p>
        </w:tc>
        <w:tc>
          <w:tcPr>
            <w:tcW w:w="7966" w:type="dxa"/>
          </w:tcPr>
          <w:p>
            <w:pPr>
              <w:pStyle w:val="TableParagraph"/>
              <w:spacing w:line="273" w:lineRule="auto"/>
              <w:ind w:left="130" w:right="99"/>
              <w:jc w:val="both"/>
              <w:rPr>
                <w:sz w:val="21"/>
              </w:rPr>
            </w:pPr>
            <w:r>
              <w:rPr>
                <w:spacing w:val="-1"/>
                <w:sz w:val="21"/>
              </w:rPr>
              <w:t>如果您到期未交纳保险费，自保险费约定交纳日的次日零时起 </w:t>
            </w:r>
            <w:r>
              <w:rPr>
                <w:sz w:val="21"/>
              </w:rPr>
              <w:t>60</w:t>
            </w:r>
            <w:r>
              <w:rPr>
                <w:spacing w:val="-5"/>
                <w:sz w:val="21"/>
              </w:rPr>
              <w:t> 日为保险费交纳的</w:t>
            </w:r>
            <w:r>
              <w:rPr>
                <w:spacing w:val="-7"/>
                <w:sz w:val="21"/>
              </w:rPr>
              <w:t>宽限期。宽限期内发生的保险事故，我们仍承担保险责任，但您或者豁免保险费申请人需补交欠交的保险费，其数额以保险单中载明的每期保险费数额为准。</w:t>
            </w:r>
          </w:p>
          <w:p>
            <w:pPr>
              <w:pStyle w:val="TableParagraph"/>
              <w:spacing w:line="273" w:lineRule="auto" w:before="85"/>
              <w:ind w:left="129" w:right="99"/>
              <w:jc w:val="both"/>
              <w:rPr>
                <w:sz w:val="21"/>
              </w:rPr>
            </w:pPr>
            <w:r>
              <w:rPr>
                <w:rFonts w:ascii="黑体" w:eastAsia="黑体" w:hint="eastAsia"/>
                <w:spacing w:val="-1"/>
                <w:sz w:val="21"/>
              </w:rPr>
              <w:t>如果您在宽限期内未交纳保险费，则本合同自宽限期满日的 </w:t>
            </w:r>
            <w:r>
              <w:rPr>
                <w:rFonts w:ascii="黑体" w:eastAsia="黑体" w:hint="eastAsia"/>
                <w:sz w:val="21"/>
              </w:rPr>
              <w:t>24</w:t>
            </w:r>
            <w:r>
              <w:rPr>
                <w:rFonts w:ascii="黑体" w:eastAsia="黑体" w:hint="eastAsia"/>
                <w:spacing w:val="-5"/>
                <w:sz w:val="21"/>
              </w:rPr>
              <w:t> 时起效力中止，</w:t>
            </w:r>
            <w:r>
              <w:rPr>
                <w:sz w:val="21"/>
              </w:rPr>
              <w:t>但本合同另有约定的除外。</w:t>
            </w:r>
          </w:p>
        </w:tc>
      </w:tr>
      <w:tr>
        <w:trPr>
          <w:trHeight w:val="596" w:hRule="atLeast"/>
        </w:trPr>
        <w:tc>
          <w:tcPr>
            <w:tcW w:w="693" w:type="dxa"/>
            <w:tcBorders>
              <w:bottom w:val="single" w:sz="4" w:space="0" w:color="000000"/>
            </w:tcBorders>
          </w:tcPr>
          <w:p>
            <w:pPr>
              <w:pStyle w:val="TableParagraph"/>
              <w:spacing w:before="117"/>
              <w:ind w:left="108"/>
              <w:rPr>
                <w:sz w:val="24"/>
              </w:rPr>
            </w:pPr>
            <w:r>
              <w:rPr>
                <w:sz w:val="24"/>
              </w:rPr>
              <w:t>5.</w:t>
            </w:r>
          </w:p>
        </w:tc>
        <w:tc>
          <w:tcPr>
            <w:tcW w:w="9627" w:type="dxa"/>
            <w:gridSpan w:val="2"/>
            <w:tcBorders>
              <w:bottom w:val="single" w:sz="4" w:space="0" w:color="000000"/>
            </w:tcBorders>
          </w:tcPr>
          <w:p>
            <w:pPr>
              <w:pStyle w:val="TableParagraph"/>
              <w:spacing w:before="117"/>
              <w:ind w:left="265"/>
              <w:rPr>
                <w:sz w:val="24"/>
              </w:rPr>
            </w:pPr>
            <w:r>
              <w:rPr>
                <w:sz w:val="24"/>
              </w:rPr>
              <w:t>现金价值权益</w:t>
            </w:r>
          </w:p>
        </w:tc>
      </w:tr>
      <w:tr>
        <w:trPr>
          <w:trHeight w:val="1002" w:hRule="atLeast"/>
        </w:trPr>
        <w:tc>
          <w:tcPr>
            <w:tcW w:w="693" w:type="dxa"/>
            <w:tcBorders>
              <w:top w:val="single" w:sz="4" w:space="0" w:color="000000"/>
            </w:tcBorders>
          </w:tcPr>
          <w:p>
            <w:pPr>
              <w:pStyle w:val="TableParagraph"/>
              <w:spacing w:before="1"/>
              <w:rPr>
                <w:sz w:val="17"/>
              </w:rPr>
            </w:pPr>
          </w:p>
          <w:p>
            <w:pPr>
              <w:pStyle w:val="TableParagraph"/>
              <w:spacing w:before="0"/>
              <w:ind w:left="108"/>
              <w:rPr>
                <w:sz w:val="21"/>
              </w:rPr>
            </w:pPr>
            <w:r>
              <w:rPr>
                <w:sz w:val="21"/>
              </w:rPr>
              <w:t>5.1</w:t>
            </w:r>
          </w:p>
        </w:tc>
        <w:tc>
          <w:tcPr>
            <w:tcW w:w="1661" w:type="dxa"/>
            <w:tcBorders>
              <w:top w:val="single" w:sz="4" w:space="0" w:color="000000"/>
            </w:tcBorders>
          </w:tcPr>
          <w:p>
            <w:pPr>
              <w:pStyle w:val="TableParagraph"/>
              <w:spacing w:before="1"/>
              <w:rPr>
                <w:sz w:val="17"/>
              </w:rPr>
            </w:pPr>
          </w:p>
          <w:p>
            <w:pPr>
              <w:pStyle w:val="TableParagraph"/>
              <w:spacing w:before="0"/>
              <w:ind w:left="265"/>
              <w:rPr>
                <w:sz w:val="21"/>
              </w:rPr>
            </w:pPr>
            <w:r>
              <w:rPr>
                <w:sz w:val="21"/>
              </w:rPr>
              <w:t>现金价值</w:t>
            </w:r>
          </w:p>
        </w:tc>
        <w:tc>
          <w:tcPr>
            <w:tcW w:w="7966" w:type="dxa"/>
            <w:tcBorders>
              <w:top w:val="single" w:sz="4" w:space="0" w:color="000000"/>
            </w:tcBorders>
          </w:tcPr>
          <w:p>
            <w:pPr>
              <w:pStyle w:val="TableParagraph"/>
              <w:spacing w:before="1"/>
              <w:rPr>
                <w:sz w:val="17"/>
              </w:rPr>
            </w:pPr>
          </w:p>
          <w:p>
            <w:pPr>
              <w:pStyle w:val="TableParagraph"/>
              <w:spacing w:line="273" w:lineRule="auto" w:before="0"/>
              <w:ind w:left="130" w:right="42"/>
              <w:rPr>
                <w:sz w:val="21"/>
              </w:rPr>
            </w:pPr>
            <w:r>
              <w:rPr>
                <w:sz w:val="21"/>
              </w:rPr>
              <w:t>本合同保单年度末的现金价值在保险单上载明，保单年度内的现金价值您可以向我们咨询。</w:t>
            </w:r>
          </w:p>
        </w:tc>
      </w:tr>
      <w:tr>
        <w:trPr>
          <w:trHeight w:val="596" w:hRule="atLeast"/>
        </w:trPr>
        <w:tc>
          <w:tcPr>
            <w:tcW w:w="693" w:type="dxa"/>
            <w:tcBorders>
              <w:bottom w:val="single" w:sz="4" w:space="0" w:color="000000"/>
            </w:tcBorders>
          </w:tcPr>
          <w:p>
            <w:pPr>
              <w:pStyle w:val="TableParagraph"/>
              <w:spacing w:before="117"/>
              <w:ind w:left="108"/>
              <w:rPr>
                <w:sz w:val="24"/>
              </w:rPr>
            </w:pPr>
            <w:r>
              <w:rPr>
                <w:sz w:val="24"/>
              </w:rPr>
              <w:t>6.</w:t>
            </w:r>
          </w:p>
        </w:tc>
        <w:tc>
          <w:tcPr>
            <w:tcW w:w="9627" w:type="dxa"/>
            <w:gridSpan w:val="2"/>
            <w:tcBorders>
              <w:bottom w:val="single" w:sz="4" w:space="0" w:color="000000"/>
            </w:tcBorders>
          </w:tcPr>
          <w:p>
            <w:pPr>
              <w:pStyle w:val="TableParagraph"/>
              <w:spacing w:before="117"/>
              <w:ind w:left="265"/>
              <w:rPr>
                <w:sz w:val="24"/>
              </w:rPr>
            </w:pPr>
            <w:r>
              <w:rPr>
                <w:sz w:val="24"/>
              </w:rPr>
              <w:t>合同效力的中止及恢复</w:t>
            </w:r>
          </w:p>
        </w:tc>
      </w:tr>
      <w:tr>
        <w:trPr>
          <w:trHeight w:val="672" w:hRule="atLeast"/>
        </w:trPr>
        <w:tc>
          <w:tcPr>
            <w:tcW w:w="693" w:type="dxa"/>
            <w:tcBorders>
              <w:top w:val="single" w:sz="4" w:space="0" w:color="000000"/>
            </w:tcBorders>
          </w:tcPr>
          <w:p>
            <w:pPr>
              <w:pStyle w:val="TableParagraph"/>
              <w:spacing w:before="0"/>
              <w:rPr>
                <w:sz w:val="17"/>
              </w:rPr>
            </w:pPr>
          </w:p>
          <w:p>
            <w:pPr>
              <w:pStyle w:val="TableParagraph"/>
              <w:spacing w:before="0"/>
              <w:ind w:left="108"/>
              <w:rPr>
                <w:sz w:val="21"/>
              </w:rPr>
            </w:pPr>
            <w:r>
              <w:rPr>
                <w:sz w:val="21"/>
              </w:rPr>
              <w:t>6.1</w:t>
            </w:r>
          </w:p>
        </w:tc>
        <w:tc>
          <w:tcPr>
            <w:tcW w:w="1661" w:type="dxa"/>
            <w:tcBorders>
              <w:top w:val="single" w:sz="4" w:space="0" w:color="000000"/>
            </w:tcBorders>
          </w:tcPr>
          <w:p>
            <w:pPr>
              <w:pStyle w:val="TableParagraph"/>
              <w:spacing w:before="0"/>
              <w:rPr>
                <w:sz w:val="17"/>
              </w:rPr>
            </w:pPr>
          </w:p>
          <w:p>
            <w:pPr>
              <w:pStyle w:val="TableParagraph"/>
              <w:spacing w:before="0"/>
              <w:ind w:left="265"/>
              <w:rPr>
                <w:sz w:val="21"/>
              </w:rPr>
            </w:pPr>
            <w:r>
              <w:rPr>
                <w:sz w:val="21"/>
              </w:rPr>
              <w:t>效力中止</w:t>
            </w:r>
          </w:p>
        </w:tc>
        <w:tc>
          <w:tcPr>
            <w:tcW w:w="7966" w:type="dxa"/>
            <w:tcBorders>
              <w:top w:val="single" w:sz="4" w:space="0" w:color="000000"/>
            </w:tcBorders>
          </w:tcPr>
          <w:p>
            <w:pPr>
              <w:pStyle w:val="TableParagraph"/>
              <w:spacing w:before="0"/>
              <w:rPr>
                <w:sz w:val="17"/>
              </w:rPr>
            </w:pPr>
          </w:p>
          <w:p>
            <w:pPr>
              <w:pStyle w:val="TableParagraph"/>
              <w:spacing w:before="0"/>
              <w:ind w:left="130"/>
              <w:rPr>
                <w:rFonts w:ascii="黑体" w:eastAsia="黑体" w:hint="eastAsia"/>
                <w:sz w:val="21"/>
              </w:rPr>
            </w:pPr>
            <w:r>
              <w:rPr>
                <w:rFonts w:ascii="黑体" w:eastAsia="黑体" w:hint="eastAsia"/>
                <w:sz w:val="21"/>
              </w:rPr>
              <w:t>在本合同效力中止期间，我们不承担保险责任。</w:t>
            </w:r>
          </w:p>
        </w:tc>
      </w:tr>
      <w:tr>
        <w:trPr>
          <w:trHeight w:val="1591" w:hRule="atLeast"/>
        </w:trPr>
        <w:tc>
          <w:tcPr>
            <w:tcW w:w="693" w:type="dxa"/>
          </w:tcPr>
          <w:p>
            <w:pPr>
              <w:pStyle w:val="TableParagraph"/>
              <w:ind w:left="108"/>
              <w:rPr>
                <w:sz w:val="21"/>
              </w:rPr>
            </w:pPr>
            <w:r>
              <w:rPr>
                <w:sz w:val="21"/>
              </w:rPr>
              <w:t>6.2</w:t>
            </w:r>
          </w:p>
        </w:tc>
        <w:tc>
          <w:tcPr>
            <w:tcW w:w="1661" w:type="dxa"/>
          </w:tcPr>
          <w:p>
            <w:pPr>
              <w:pStyle w:val="TableParagraph"/>
              <w:ind w:left="265"/>
              <w:rPr>
                <w:sz w:val="21"/>
              </w:rPr>
            </w:pPr>
            <w:r>
              <w:rPr>
                <w:sz w:val="21"/>
              </w:rPr>
              <w:t>效力恢复</w:t>
            </w:r>
          </w:p>
        </w:tc>
        <w:tc>
          <w:tcPr>
            <w:tcW w:w="7966" w:type="dxa"/>
          </w:tcPr>
          <w:p>
            <w:pPr>
              <w:pStyle w:val="TableParagraph"/>
              <w:spacing w:line="273" w:lineRule="auto"/>
              <w:ind w:left="130" w:right="100"/>
              <w:rPr>
                <w:sz w:val="21"/>
              </w:rPr>
            </w:pPr>
            <w:r>
              <w:rPr>
                <w:spacing w:val="-5"/>
                <w:sz w:val="21"/>
              </w:rPr>
              <w:t>本合同效力中止之日起 </w:t>
            </w:r>
            <w:r>
              <w:rPr>
                <w:sz w:val="21"/>
              </w:rPr>
              <w:t>2</w:t>
            </w:r>
            <w:r>
              <w:rPr>
                <w:spacing w:val="-10"/>
                <w:sz w:val="21"/>
              </w:rPr>
              <w:t> 年内，您可以申请恢复合同效力。经您与我们协商并就恢复本合同效力达成一致同意的协议，自您补交保险费之日起，本合同效力恢复。</w:t>
            </w:r>
          </w:p>
          <w:p>
            <w:pPr>
              <w:pStyle w:val="TableParagraph"/>
              <w:spacing w:line="273" w:lineRule="auto" w:before="85"/>
              <w:ind w:left="130" w:right="-15"/>
              <w:rPr>
                <w:rFonts w:ascii="黑体" w:eastAsia="黑体" w:hint="eastAsia"/>
                <w:sz w:val="21"/>
              </w:rPr>
            </w:pPr>
            <w:r>
              <w:rPr>
                <w:rFonts w:ascii="黑体" w:eastAsia="黑体" w:hint="eastAsia"/>
                <w:spacing w:val="-5"/>
                <w:sz w:val="21"/>
              </w:rPr>
              <w:t>自本合同效力中止之日起满 </w:t>
            </w:r>
            <w:r>
              <w:rPr>
                <w:rFonts w:ascii="黑体" w:eastAsia="黑体" w:hint="eastAsia"/>
                <w:sz w:val="21"/>
              </w:rPr>
              <w:t>2</w:t>
            </w:r>
            <w:r>
              <w:rPr>
                <w:rFonts w:ascii="黑体" w:eastAsia="黑体" w:hint="eastAsia"/>
                <w:spacing w:val="-8"/>
                <w:sz w:val="21"/>
              </w:rPr>
              <w:t> 年您和我们未就恢复本合同效力达成一致同意的协议， </w:t>
            </w:r>
            <w:r>
              <w:rPr>
                <w:rFonts w:ascii="黑体" w:eastAsia="黑体" w:hint="eastAsia"/>
                <w:spacing w:val="-16"/>
                <w:sz w:val="21"/>
              </w:rPr>
              <w:t>我们有权解除本合同。我们解除本合同的，我们向您退还本合同中止之日的现金价值。</w:t>
            </w:r>
          </w:p>
        </w:tc>
      </w:tr>
      <w:tr>
        <w:trPr>
          <w:trHeight w:val="596" w:hRule="atLeast"/>
        </w:trPr>
        <w:tc>
          <w:tcPr>
            <w:tcW w:w="693" w:type="dxa"/>
            <w:tcBorders>
              <w:bottom w:val="single" w:sz="4" w:space="0" w:color="000000"/>
            </w:tcBorders>
          </w:tcPr>
          <w:p>
            <w:pPr>
              <w:pStyle w:val="TableParagraph"/>
              <w:spacing w:before="118"/>
              <w:ind w:left="108"/>
              <w:rPr>
                <w:sz w:val="24"/>
              </w:rPr>
            </w:pPr>
            <w:r>
              <w:rPr>
                <w:sz w:val="24"/>
              </w:rPr>
              <w:t>7.</w:t>
            </w:r>
          </w:p>
        </w:tc>
        <w:tc>
          <w:tcPr>
            <w:tcW w:w="1661" w:type="dxa"/>
            <w:tcBorders>
              <w:bottom w:val="single" w:sz="4" w:space="0" w:color="000000"/>
            </w:tcBorders>
          </w:tcPr>
          <w:p>
            <w:pPr>
              <w:pStyle w:val="TableParagraph"/>
              <w:spacing w:before="118"/>
              <w:ind w:left="265"/>
              <w:rPr>
                <w:sz w:val="24"/>
              </w:rPr>
            </w:pPr>
            <w:r>
              <w:rPr>
                <w:sz w:val="24"/>
              </w:rPr>
              <w:t>合同解除</w:t>
            </w:r>
          </w:p>
        </w:tc>
        <w:tc>
          <w:tcPr>
            <w:tcW w:w="7966" w:type="dxa"/>
            <w:tcBorders>
              <w:bottom w:val="single" w:sz="4" w:space="0" w:color="000000"/>
            </w:tcBorders>
          </w:tcPr>
          <w:p>
            <w:pPr>
              <w:pStyle w:val="TableParagraph"/>
              <w:spacing w:before="0"/>
              <w:rPr>
                <w:rFonts w:ascii="Times New Roman"/>
                <w:sz w:val="20"/>
              </w:rPr>
            </w:pPr>
          </w:p>
        </w:tc>
      </w:tr>
      <w:tr>
        <w:trPr>
          <w:trHeight w:val="810" w:hRule="atLeast"/>
        </w:trPr>
        <w:tc>
          <w:tcPr>
            <w:tcW w:w="693" w:type="dxa"/>
            <w:tcBorders>
              <w:top w:val="single" w:sz="4" w:space="0" w:color="000000"/>
            </w:tcBorders>
          </w:tcPr>
          <w:p>
            <w:pPr>
              <w:pStyle w:val="TableParagraph"/>
              <w:spacing w:before="1"/>
              <w:rPr>
                <w:sz w:val="17"/>
              </w:rPr>
            </w:pPr>
          </w:p>
          <w:p>
            <w:pPr>
              <w:pStyle w:val="TableParagraph"/>
              <w:spacing w:before="0"/>
              <w:ind w:left="108"/>
              <w:rPr>
                <w:sz w:val="21"/>
              </w:rPr>
            </w:pPr>
            <w:r>
              <w:rPr>
                <w:sz w:val="21"/>
              </w:rPr>
              <w:t>7.1</w:t>
            </w:r>
          </w:p>
        </w:tc>
        <w:tc>
          <w:tcPr>
            <w:tcW w:w="1661" w:type="dxa"/>
            <w:tcBorders>
              <w:top w:val="single" w:sz="4" w:space="0" w:color="000000"/>
            </w:tcBorders>
          </w:tcPr>
          <w:p>
            <w:pPr>
              <w:pStyle w:val="TableParagraph"/>
              <w:spacing w:before="5"/>
              <w:rPr>
                <w:sz w:val="14"/>
              </w:rPr>
            </w:pPr>
          </w:p>
          <w:p>
            <w:pPr>
              <w:pStyle w:val="TableParagraph"/>
              <w:spacing w:line="310" w:lineRule="atLeast" w:before="0"/>
              <w:ind w:left="265" w:right="129"/>
              <w:rPr>
                <w:sz w:val="21"/>
              </w:rPr>
            </w:pPr>
            <w:r>
              <w:rPr>
                <w:sz w:val="21"/>
              </w:rPr>
              <w:t>您解除合同的手续及风险</w:t>
            </w:r>
          </w:p>
        </w:tc>
        <w:tc>
          <w:tcPr>
            <w:tcW w:w="7966" w:type="dxa"/>
            <w:tcBorders>
              <w:top w:val="single" w:sz="4" w:space="0" w:color="000000"/>
            </w:tcBorders>
          </w:tcPr>
          <w:p>
            <w:pPr>
              <w:pStyle w:val="TableParagraph"/>
              <w:spacing w:before="5"/>
              <w:rPr>
                <w:sz w:val="14"/>
              </w:rPr>
            </w:pPr>
          </w:p>
          <w:p>
            <w:pPr>
              <w:pStyle w:val="TableParagraph"/>
              <w:spacing w:line="310" w:lineRule="atLeast" w:before="0"/>
              <w:ind w:left="130" w:right="42"/>
              <w:rPr>
                <w:sz w:val="21"/>
              </w:rPr>
            </w:pPr>
            <w:r>
              <w:rPr>
                <w:sz w:val="21"/>
              </w:rPr>
              <w:t>如果被保险人未发生保险事故，且您在犹豫期后要求解除本合同，请填写解除合同申请书并向我们提供下列资料的原件：</w:t>
            </w:r>
          </w:p>
        </w:tc>
      </w:tr>
    </w:tbl>
    <w:p>
      <w:pPr>
        <w:spacing w:after="0" w:line="310" w:lineRule="atLeast"/>
        <w:rPr>
          <w:sz w:val="21"/>
        </w:rPr>
        <w:sectPr>
          <w:pgSz w:w="11900" w:h="16840"/>
          <w:pgMar w:top="1100" w:bottom="280" w:left="920" w:right="4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661"/>
        <w:gridCol w:w="7969"/>
      </w:tblGrid>
      <w:tr>
        <w:trPr>
          <w:trHeight w:val="1884" w:hRule="atLeast"/>
        </w:trPr>
        <w:tc>
          <w:tcPr>
            <w:tcW w:w="692" w:type="dxa"/>
          </w:tcPr>
          <w:p>
            <w:pPr>
              <w:pStyle w:val="TableParagraph"/>
              <w:spacing w:before="0"/>
              <w:rPr>
                <w:rFonts w:ascii="Times New Roman"/>
                <w:sz w:val="20"/>
              </w:rPr>
            </w:pPr>
          </w:p>
        </w:tc>
        <w:tc>
          <w:tcPr>
            <w:tcW w:w="1661" w:type="dxa"/>
          </w:tcPr>
          <w:p>
            <w:pPr>
              <w:pStyle w:val="TableParagraph"/>
              <w:spacing w:before="0"/>
              <w:rPr>
                <w:rFonts w:ascii="Times New Roman"/>
                <w:sz w:val="20"/>
              </w:rPr>
            </w:pPr>
          </w:p>
        </w:tc>
        <w:tc>
          <w:tcPr>
            <w:tcW w:w="7969" w:type="dxa"/>
          </w:tcPr>
          <w:p>
            <w:pPr>
              <w:pStyle w:val="TableParagraph"/>
              <w:numPr>
                <w:ilvl w:val="0"/>
                <w:numId w:val="13"/>
              </w:numPr>
              <w:tabs>
                <w:tab w:pos="761" w:val="left" w:leader="none"/>
              </w:tabs>
              <w:spacing w:line="210" w:lineRule="exact" w:before="0" w:after="0"/>
              <w:ind w:left="761" w:right="0" w:hanging="630"/>
              <w:jc w:val="left"/>
              <w:rPr>
                <w:sz w:val="21"/>
              </w:rPr>
            </w:pPr>
            <w:r>
              <w:rPr>
                <w:sz w:val="21"/>
              </w:rPr>
              <w:t>本合同；</w:t>
            </w:r>
          </w:p>
          <w:p>
            <w:pPr>
              <w:pStyle w:val="TableParagraph"/>
              <w:numPr>
                <w:ilvl w:val="0"/>
                <w:numId w:val="13"/>
              </w:numPr>
              <w:tabs>
                <w:tab w:pos="761" w:val="left" w:leader="none"/>
              </w:tabs>
              <w:spacing w:line="240" w:lineRule="auto" w:before="115" w:after="0"/>
              <w:ind w:left="761" w:right="0" w:hanging="630"/>
              <w:jc w:val="left"/>
              <w:rPr>
                <w:sz w:val="21"/>
              </w:rPr>
            </w:pPr>
            <w:r>
              <w:rPr>
                <w:sz w:val="21"/>
              </w:rPr>
              <w:t>您的有效身份证件。</w:t>
            </w:r>
          </w:p>
          <w:p>
            <w:pPr>
              <w:pStyle w:val="TableParagraph"/>
              <w:spacing w:line="273" w:lineRule="auto" w:before="115"/>
              <w:ind w:left="131" w:right="100"/>
              <w:rPr>
                <w:sz w:val="21"/>
              </w:rPr>
            </w:pPr>
            <w:r>
              <w:rPr>
                <w:spacing w:val="-7"/>
                <w:sz w:val="21"/>
              </w:rPr>
              <w:t>自我们收到解除合同申请书时起，本合同终止。我们自收到解除合同申请书之日起 </w:t>
            </w:r>
            <w:r>
              <w:rPr>
                <w:sz w:val="21"/>
              </w:rPr>
              <w:t>30 日内向您退还本合同终止时的现金价值。</w:t>
            </w:r>
          </w:p>
          <w:p>
            <w:pPr>
              <w:pStyle w:val="TableParagraph"/>
              <w:spacing w:before="86"/>
              <w:ind w:left="131"/>
              <w:rPr>
                <w:rFonts w:ascii="黑体" w:eastAsia="黑体" w:hint="eastAsia"/>
                <w:sz w:val="21"/>
              </w:rPr>
            </w:pPr>
            <w:r>
              <w:rPr>
                <w:rFonts w:ascii="黑体" w:eastAsia="黑体" w:hint="eastAsia"/>
                <w:sz w:val="21"/>
              </w:rPr>
              <w:t>您在犹豫期后解除合同会遭受一定损失。</w:t>
            </w:r>
          </w:p>
        </w:tc>
      </w:tr>
      <w:tr>
        <w:trPr>
          <w:trHeight w:val="596" w:hRule="atLeast"/>
        </w:trPr>
        <w:tc>
          <w:tcPr>
            <w:tcW w:w="692" w:type="dxa"/>
            <w:tcBorders>
              <w:bottom w:val="single" w:sz="4" w:space="0" w:color="000000"/>
            </w:tcBorders>
          </w:tcPr>
          <w:p>
            <w:pPr>
              <w:pStyle w:val="TableParagraph"/>
              <w:spacing w:before="118"/>
              <w:ind w:left="108"/>
              <w:rPr>
                <w:sz w:val="24"/>
              </w:rPr>
            </w:pPr>
            <w:r>
              <w:rPr>
                <w:sz w:val="24"/>
              </w:rPr>
              <w:t>8.</w:t>
            </w:r>
          </w:p>
        </w:tc>
        <w:tc>
          <w:tcPr>
            <w:tcW w:w="9630" w:type="dxa"/>
            <w:gridSpan w:val="2"/>
            <w:tcBorders>
              <w:bottom w:val="single" w:sz="4" w:space="0" w:color="000000"/>
            </w:tcBorders>
          </w:tcPr>
          <w:p>
            <w:pPr>
              <w:pStyle w:val="TableParagraph"/>
              <w:spacing w:before="118"/>
              <w:ind w:left="266"/>
              <w:rPr>
                <w:sz w:val="24"/>
              </w:rPr>
            </w:pPr>
            <w:r>
              <w:rPr>
                <w:sz w:val="24"/>
              </w:rPr>
              <w:t>其他需要关注的事项</w:t>
            </w:r>
          </w:p>
        </w:tc>
      </w:tr>
      <w:tr>
        <w:trPr>
          <w:trHeight w:val="1415" w:hRule="atLeast"/>
        </w:trPr>
        <w:tc>
          <w:tcPr>
            <w:tcW w:w="692" w:type="dxa"/>
            <w:tcBorders>
              <w:top w:val="single" w:sz="4" w:space="0" w:color="000000"/>
            </w:tcBorders>
          </w:tcPr>
          <w:p>
            <w:pPr>
              <w:pStyle w:val="TableParagraph"/>
              <w:spacing w:before="1"/>
              <w:rPr>
                <w:sz w:val="17"/>
              </w:rPr>
            </w:pPr>
          </w:p>
          <w:p>
            <w:pPr>
              <w:pStyle w:val="TableParagraph"/>
              <w:spacing w:before="0"/>
              <w:ind w:left="108"/>
              <w:rPr>
                <w:sz w:val="21"/>
              </w:rPr>
            </w:pPr>
            <w:r>
              <w:rPr>
                <w:sz w:val="21"/>
              </w:rPr>
              <w:t>8.1</w:t>
            </w:r>
          </w:p>
        </w:tc>
        <w:tc>
          <w:tcPr>
            <w:tcW w:w="1661" w:type="dxa"/>
            <w:tcBorders>
              <w:top w:val="single" w:sz="4" w:space="0" w:color="000000"/>
            </w:tcBorders>
          </w:tcPr>
          <w:p>
            <w:pPr>
              <w:pStyle w:val="TableParagraph"/>
              <w:spacing w:before="1"/>
              <w:rPr>
                <w:sz w:val="17"/>
              </w:rPr>
            </w:pPr>
          </w:p>
          <w:p>
            <w:pPr>
              <w:pStyle w:val="TableParagraph"/>
              <w:spacing w:before="0"/>
              <w:ind w:left="266"/>
              <w:rPr>
                <w:sz w:val="21"/>
              </w:rPr>
            </w:pPr>
            <w:r>
              <w:rPr>
                <w:sz w:val="21"/>
              </w:rPr>
              <w:t>效力终止</w:t>
            </w:r>
          </w:p>
        </w:tc>
        <w:tc>
          <w:tcPr>
            <w:tcW w:w="7969" w:type="dxa"/>
            <w:tcBorders>
              <w:top w:val="single" w:sz="4" w:space="0" w:color="000000"/>
            </w:tcBorders>
          </w:tcPr>
          <w:p>
            <w:pPr>
              <w:pStyle w:val="TableParagraph"/>
              <w:spacing w:before="1"/>
              <w:rPr>
                <w:sz w:val="17"/>
              </w:rPr>
            </w:pPr>
          </w:p>
          <w:p>
            <w:pPr>
              <w:pStyle w:val="TableParagraph"/>
              <w:spacing w:before="0"/>
              <w:ind w:left="131"/>
              <w:rPr>
                <w:sz w:val="21"/>
              </w:rPr>
            </w:pPr>
            <w:r>
              <w:rPr>
                <w:sz w:val="21"/>
              </w:rPr>
              <w:t>发生下列情况之一时，本合同效力终止：</w:t>
            </w:r>
          </w:p>
          <w:p>
            <w:pPr>
              <w:pStyle w:val="TableParagraph"/>
              <w:numPr>
                <w:ilvl w:val="0"/>
                <w:numId w:val="14"/>
              </w:numPr>
              <w:tabs>
                <w:tab w:pos="866" w:val="left" w:leader="none"/>
                <w:tab w:pos="867" w:val="left" w:leader="none"/>
              </w:tabs>
              <w:spacing w:line="240" w:lineRule="auto" w:before="115" w:after="0"/>
              <w:ind w:left="866" w:right="0" w:hanging="735"/>
              <w:jc w:val="left"/>
              <w:rPr>
                <w:sz w:val="21"/>
              </w:rPr>
            </w:pPr>
            <w:r>
              <w:rPr>
                <w:spacing w:val="-1"/>
                <w:sz w:val="21"/>
              </w:rPr>
              <w:t>被豁免合同效力终止；</w:t>
            </w:r>
          </w:p>
          <w:p>
            <w:pPr>
              <w:pStyle w:val="TableParagraph"/>
              <w:numPr>
                <w:ilvl w:val="0"/>
                <w:numId w:val="14"/>
              </w:numPr>
              <w:tabs>
                <w:tab w:pos="866" w:val="left" w:leader="none"/>
                <w:tab w:pos="867" w:val="left" w:leader="none"/>
              </w:tabs>
              <w:spacing w:line="240" w:lineRule="auto" w:before="62" w:after="0"/>
              <w:ind w:left="866" w:right="0" w:hanging="735"/>
              <w:jc w:val="left"/>
              <w:rPr>
                <w:sz w:val="21"/>
              </w:rPr>
            </w:pPr>
            <w:r>
              <w:rPr>
                <w:spacing w:val="-1"/>
                <w:sz w:val="21"/>
              </w:rPr>
              <w:t>本合同约定的合同效力终止情况。</w:t>
            </w:r>
          </w:p>
        </w:tc>
      </w:tr>
      <w:tr>
        <w:trPr>
          <w:trHeight w:val="4709" w:hRule="atLeast"/>
        </w:trPr>
        <w:tc>
          <w:tcPr>
            <w:tcW w:w="692" w:type="dxa"/>
          </w:tcPr>
          <w:p>
            <w:pPr>
              <w:pStyle w:val="TableParagraph"/>
              <w:spacing w:before="125"/>
              <w:ind w:left="107"/>
              <w:rPr>
                <w:sz w:val="21"/>
              </w:rPr>
            </w:pPr>
            <w:r>
              <w:rPr>
                <w:sz w:val="21"/>
              </w:rPr>
              <w:t>8.2</w:t>
            </w:r>
          </w:p>
        </w:tc>
        <w:tc>
          <w:tcPr>
            <w:tcW w:w="1661" w:type="dxa"/>
          </w:tcPr>
          <w:p>
            <w:pPr>
              <w:pStyle w:val="TableParagraph"/>
              <w:spacing w:line="273" w:lineRule="auto" w:before="125"/>
              <w:ind w:left="266" w:right="128"/>
              <w:rPr>
                <w:sz w:val="21"/>
              </w:rPr>
            </w:pPr>
            <w:r>
              <w:rPr>
                <w:sz w:val="21"/>
              </w:rPr>
              <w:t>明确说明与如实告知</w:t>
            </w:r>
          </w:p>
        </w:tc>
        <w:tc>
          <w:tcPr>
            <w:tcW w:w="7969" w:type="dxa"/>
          </w:tcPr>
          <w:p>
            <w:pPr>
              <w:pStyle w:val="TableParagraph"/>
              <w:spacing w:line="273" w:lineRule="auto" w:before="125"/>
              <w:ind w:left="131" w:right="-15" w:hanging="1"/>
              <w:rPr>
                <w:sz w:val="21"/>
              </w:rPr>
            </w:pPr>
            <w:r>
              <w:rPr>
                <w:spacing w:val="-12"/>
                <w:sz w:val="21"/>
              </w:rPr>
              <w:t>订立本合同时，我们应当向您说明本合同的内容。对保险条款中免除我们责任的条款， </w:t>
            </w:r>
            <w:r>
              <w:rPr>
                <w:spacing w:val="-14"/>
                <w:sz w:val="21"/>
              </w:rPr>
              <w:t>我们在订立合同时应当在投保单、保险单或者其他保险凭证上作出足以引起您注意的</w:t>
            </w:r>
            <w:r>
              <w:rPr>
                <w:spacing w:val="-8"/>
                <w:sz w:val="21"/>
              </w:rPr>
              <w:t>提示，并对该条款的内容以书面或者口头形式向您作出明确说明，未作提示或者明确说明的，该条款不产生效力。</w:t>
            </w:r>
          </w:p>
          <w:p>
            <w:pPr>
              <w:pStyle w:val="TableParagraph"/>
              <w:spacing w:before="85"/>
              <w:ind w:left="131"/>
              <w:rPr>
                <w:sz w:val="21"/>
              </w:rPr>
            </w:pPr>
            <w:r>
              <w:rPr>
                <w:sz w:val="21"/>
              </w:rPr>
              <w:t>我们会就您和被保险人的有关情况提出书面询问，您应当如实告知。</w:t>
            </w:r>
          </w:p>
          <w:p>
            <w:pPr>
              <w:pStyle w:val="TableParagraph"/>
              <w:spacing w:line="273" w:lineRule="auto" w:before="115"/>
              <w:ind w:left="131" w:right="44"/>
              <w:rPr>
                <w:rFonts w:ascii="黑体" w:eastAsia="黑体" w:hint="eastAsia"/>
                <w:sz w:val="21"/>
              </w:rPr>
            </w:pPr>
            <w:r>
              <w:rPr>
                <w:rFonts w:ascii="黑体" w:eastAsia="黑体" w:hint="eastAsia"/>
                <w:sz w:val="21"/>
              </w:rPr>
              <w:t>如果您故意或者因重大过失未履行前款约定的如实告知义务，足以影响我们决定是否同意承保或者提高保险费率的，我们有权解除本合同。</w:t>
            </w:r>
          </w:p>
          <w:p>
            <w:pPr>
              <w:pStyle w:val="TableParagraph"/>
              <w:spacing w:line="273" w:lineRule="auto" w:before="86"/>
              <w:ind w:left="131" w:right="44"/>
              <w:rPr>
                <w:rFonts w:ascii="黑体" w:eastAsia="黑体" w:hint="eastAsia"/>
                <w:sz w:val="21"/>
              </w:rPr>
            </w:pPr>
            <w:r>
              <w:rPr>
                <w:rFonts w:ascii="黑体" w:eastAsia="黑体" w:hint="eastAsia"/>
                <w:sz w:val="21"/>
              </w:rPr>
              <w:t>如果您故意不履行如实告知义务，对于本合同解除前发Th的保险事故，我们不承担保险责任，并不退还保险费。</w:t>
            </w:r>
          </w:p>
          <w:p>
            <w:pPr>
              <w:pStyle w:val="TableParagraph"/>
              <w:spacing w:line="273" w:lineRule="auto" w:before="86"/>
              <w:ind w:left="131" w:right="44"/>
              <w:rPr>
                <w:rFonts w:ascii="黑体" w:eastAsia="黑体" w:hint="eastAsia"/>
                <w:sz w:val="21"/>
              </w:rPr>
            </w:pPr>
            <w:r>
              <w:rPr>
                <w:rFonts w:ascii="黑体" w:eastAsia="黑体" w:hint="eastAsia"/>
                <w:sz w:val="21"/>
              </w:rPr>
              <w:t>如果您因重大过失未履行如实告知义务，对保险事故的发Th有严重影响的，对于本合同解除前发Th的保险事故，我们不承担保险责任，但应当向您退还保险费。</w:t>
            </w:r>
          </w:p>
          <w:p>
            <w:pPr>
              <w:pStyle w:val="TableParagraph"/>
              <w:spacing w:line="273" w:lineRule="auto" w:before="86"/>
              <w:ind w:left="131" w:right="44"/>
              <w:rPr>
                <w:sz w:val="21"/>
              </w:rPr>
            </w:pPr>
            <w:r>
              <w:rPr>
                <w:sz w:val="21"/>
              </w:rPr>
              <w:t>我们在合同订立时已经知道您未如实告知的情况的，我们不得解除合同；发生保险事故的，我们承担保险责任。</w:t>
            </w:r>
          </w:p>
        </w:tc>
      </w:tr>
      <w:tr>
        <w:trPr>
          <w:trHeight w:val="1183" w:hRule="atLeast"/>
        </w:trPr>
        <w:tc>
          <w:tcPr>
            <w:tcW w:w="692" w:type="dxa"/>
          </w:tcPr>
          <w:p>
            <w:pPr>
              <w:pStyle w:val="TableParagraph"/>
              <w:ind w:left="108"/>
              <w:rPr>
                <w:sz w:val="21"/>
              </w:rPr>
            </w:pPr>
            <w:r>
              <w:rPr>
                <w:sz w:val="21"/>
              </w:rPr>
              <w:t>8.3</w:t>
            </w:r>
          </w:p>
        </w:tc>
        <w:tc>
          <w:tcPr>
            <w:tcW w:w="1661" w:type="dxa"/>
          </w:tcPr>
          <w:p>
            <w:pPr>
              <w:pStyle w:val="TableParagraph"/>
              <w:spacing w:line="273" w:lineRule="auto"/>
              <w:ind w:left="266" w:right="128"/>
              <w:rPr>
                <w:sz w:val="21"/>
              </w:rPr>
            </w:pPr>
            <w:r>
              <w:rPr>
                <w:sz w:val="21"/>
              </w:rPr>
              <w:t>我们合同解除权的限制</w:t>
            </w:r>
          </w:p>
        </w:tc>
        <w:tc>
          <w:tcPr>
            <w:tcW w:w="7969" w:type="dxa"/>
          </w:tcPr>
          <w:p>
            <w:pPr>
              <w:pStyle w:val="TableParagraph"/>
              <w:ind w:left="131"/>
              <w:rPr>
                <w:sz w:val="21"/>
              </w:rPr>
            </w:pPr>
            <w:r>
              <w:rPr>
                <w:sz w:val="21"/>
              </w:rPr>
              <w:t>前款约定的合同解除权，自我们知道有解除事由之日起，超过 30 日不行使而消灭。</w:t>
            </w:r>
          </w:p>
          <w:p>
            <w:pPr>
              <w:pStyle w:val="TableParagraph"/>
              <w:spacing w:line="273" w:lineRule="auto" w:before="36"/>
              <w:ind w:left="131" w:right="101"/>
              <w:rPr>
                <w:sz w:val="21"/>
              </w:rPr>
            </w:pPr>
            <w:r>
              <w:rPr>
                <w:spacing w:val="-5"/>
                <w:sz w:val="21"/>
              </w:rPr>
              <w:t>自本合同成立之日起超过 </w:t>
            </w:r>
            <w:r>
              <w:rPr>
                <w:sz w:val="21"/>
              </w:rPr>
              <w:t>2</w:t>
            </w:r>
            <w:r>
              <w:rPr>
                <w:spacing w:val="-11"/>
                <w:sz w:val="21"/>
              </w:rPr>
              <w:t> 年的，我们不得解除合同；发生保险事故的，我们承担保险责任。</w:t>
            </w:r>
          </w:p>
        </w:tc>
      </w:tr>
      <w:tr>
        <w:trPr>
          <w:trHeight w:val="4050" w:hRule="atLeast"/>
        </w:trPr>
        <w:tc>
          <w:tcPr>
            <w:tcW w:w="692" w:type="dxa"/>
          </w:tcPr>
          <w:p>
            <w:pPr>
              <w:pStyle w:val="TableParagraph"/>
              <w:spacing w:before="109"/>
              <w:ind w:left="108"/>
              <w:rPr>
                <w:sz w:val="21"/>
              </w:rPr>
            </w:pPr>
            <w:r>
              <w:rPr>
                <w:sz w:val="21"/>
              </w:rPr>
              <w:t>8.4</w:t>
            </w:r>
          </w:p>
        </w:tc>
        <w:tc>
          <w:tcPr>
            <w:tcW w:w="1661" w:type="dxa"/>
          </w:tcPr>
          <w:p>
            <w:pPr>
              <w:pStyle w:val="TableParagraph"/>
              <w:spacing w:before="109"/>
              <w:ind w:left="266"/>
              <w:rPr>
                <w:sz w:val="21"/>
              </w:rPr>
            </w:pPr>
            <w:r>
              <w:rPr>
                <w:sz w:val="21"/>
              </w:rPr>
              <w:t>年龄性别错误</w:t>
            </w:r>
          </w:p>
        </w:tc>
        <w:tc>
          <w:tcPr>
            <w:tcW w:w="7969" w:type="dxa"/>
          </w:tcPr>
          <w:p>
            <w:pPr>
              <w:pStyle w:val="TableParagraph"/>
              <w:spacing w:line="273" w:lineRule="auto" w:before="109"/>
              <w:ind w:left="131" w:right="58"/>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15"/>
              </w:numPr>
              <w:tabs>
                <w:tab w:pos="856" w:val="left" w:leader="none"/>
              </w:tabs>
              <w:spacing w:line="273" w:lineRule="auto" w:before="85" w:after="0"/>
              <w:ind w:left="857" w:right="100" w:hanging="726"/>
              <w:jc w:val="both"/>
              <w:rPr>
                <w:sz w:val="21"/>
              </w:rPr>
            </w:pPr>
            <w:r>
              <w:rPr>
                <w:rFonts w:ascii="黑体" w:hAnsi="黑体" w:eastAsia="黑体" w:hint="eastAsia"/>
                <w:sz w:val="21"/>
              </w:rPr>
              <w:t>您申报的被保险人年龄不真实，并且其真实年龄不符合本合同约定投保年龄限制的，我们有权解除本合同。对于解除本合同的，本合同自解除之日起终止，我们向您退还本合同终止时的现金价值。对于本合同解除前发Th的保险事故，我们不承担保险责任。</w:t>
            </w:r>
            <w:r>
              <w:rPr>
                <w:sz w:val="21"/>
              </w:rPr>
              <w:t>我们行使合同解除权适用“我们合同解除权的限制”的约定。</w:t>
            </w:r>
          </w:p>
          <w:p>
            <w:pPr>
              <w:pStyle w:val="TableParagraph"/>
              <w:numPr>
                <w:ilvl w:val="0"/>
                <w:numId w:val="15"/>
              </w:numPr>
              <w:tabs>
                <w:tab w:pos="856" w:val="left" w:leader="none"/>
              </w:tabs>
              <w:spacing w:line="273" w:lineRule="auto" w:before="86" w:after="0"/>
              <w:ind w:left="857" w:right="100" w:hanging="726"/>
              <w:jc w:val="both"/>
              <w:rPr>
                <w:rFonts w:ascii="黑体" w:eastAsia="黑体" w:hint="eastAsia"/>
                <w:sz w:val="21"/>
              </w:rPr>
            </w:pPr>
            <w:r>
              <w:rPr>
                <w:rFonts w:ascii="黑体" w:eastAsia="黑体" w:hint="eastAsia"/>
                <w:sz w:val="21"/>
              </w:rPr>
              <w:t>您申报的被保险人年龄或者性别不真实，致使您实交保险费少于应交保险费的，我们有权更正并要求您补交保险费。如果已经发Th保险事故，在您向我们补交保险费后，我们承担豁免保险费的责任。</w:t>
            </w:r>
          </w:p>
          <w:p>
            <w:pPr>
              <w:pStyle w:val="TableParagraph"/>
              <w:numPr>
                <w:ilvl w:val="0"/>
                <w:numId w:val="15"/>
              </w:numPr>
              <w:tabs>
                <w:tab w:pos="856" w:val="left" w:leader="none"/>
              </w:tabs>
              <w:spacing w:line="310" w:lineRule="atLeast" w:before="50" w:after="0"/>
              <w:ind w:left="857" w:right="103" w:hanging="726"/>
              <w:jc w:val="both"/>
              <w:rPr>
                <w:sz w:val="21"/>
              </w:rPr>
            </w:pPr>
            <w:r>
              <w:rPr>
                <w:sz w:val="21"/>
              </w:rPr>
              <w:t>您申报的被保险人年龄或者性别不真实，致使您实交保险费多于应交保险费的，我们向您无息退还多收的保险费。</w:t>
            </w:r>
          </w:p>
        </w:tc>
      </w:tr>
    </w:tbl>
    <w:p>
      <w:pPr>
        <w:spacing w:after="0" w:line="310" w:lineRule="atLeast"/>
        <w:jc w:val="both"/>
        <w:rPr>
          <w:sz w:val="21"/>
        </w:rPr>
        <w:sectPr>
          <w:pgSz w:w="11900" w:h="16840"/>
          <w:pgMar w:top="1260" w:bottom="280" w:left="920" w:right="440"/>
        </w:sectPr>
      </w:pPr>
    </w:p>
    <w:p>
      <w:pPr>
        <w:pStyle w:val="ListParagraph"/>
        <w:numPr>
          <w:ilvl w:val="1"/>
          <w:numId w:val="16"/>
        </w:numPr>
        <w:tabs>
          <w:tab w:pos="1065" w:val="left" w:leader="none"/>
        </w:tabs>
        <w:spacing w:line="273" w:lineRule="auto" w:before="17" w:after="0"/>
        <w:ind w:left="2590" w:right="233" w:hanging="2376"/>
        <w:jc w:val="both"/>
        <w:rPr>
          <w:sz w:val="21"/>
        </w:rPr>
      </w:pPr>
      <w:r>
        <w:rPr>
          <w:spacing w:val="-3"/>
          <w:sz w:val="21"/>
        </w:rPr>
        <w:t>合同内容变更 在本合同有效期内，经您与我们协商一致，可以变更本合同的有关内容。变更本合同</w:t>
      </w:r>
      <w:r>
        <w:rPr>
          <w:spacing w:val="-6"/>
          <w:sz w:val="21"/>
        </w:rPr>
        <w:t>的，应当由我们在保险单或者其他保险凭证上批注或者附贴批单，或者由您与我们订立书面的变更协议。</w:t>
      </w:r>
    </w:p>
    <w:p>
      <w:pPr>
        <w:pStyle w:val="BodyText"/>
        <w:spacing w:before="7"/>
        <w:rPr>
          <w:sz w:val="19"/>
        </w:rPr>
      </w:pPr>
    </w:p>
    <w:p>
      <w:pPr>
        <w:pStyle w:val="ListParagraph"/>
        <w:numPr>
          <w:ilvl w:val="1"/>
          <w:numId w:val="16"/>
        </w:numPr>
        <w:tabs>
          <w:tab w:pos="1065" w:val="left" w:leader="none"/>
        </w:tabs>
        <w:spacing w:line="273" w:lineRule="auto" w:before="0" w:after="0"/>
        <w:ind w:left="2590" w:right="233" w:hanging="2376"/>
        <w:jc w:val="both"/>
        <w:rPr>
          <w:rFonts w:ascii="黑体" w:eastAsia="黑体" w:hint="eastAsia"/>
          <w:sz w:val="21"/>
        </w:rPr>
      </w:pPr>
      <w:r>
        <w:rPr>
          <w:spacing w:val="-3"/>
          <w:sz w:val="21"/>
        </w:rPr>
        <w:t>联系方式变更 为了保障您的合法权益，您的住所、通讯地址或者电话等联系方式变更时，请及时以</w:t>
      </w:r>
      <w:r>
        <w:rPr>
          <w:spacing w:val="-5"/>
          <w:sz w:val="21"/>
        </w:rPr>
        <w:t>书面形式或者双方认可的其他形式通知我们。如果您未以书面形式或者双方认可的其</w:t>
      </w:r>
      <w:r>
        <w:rPr>
          <w:spacing w:val="-7"/>
          <w:sz w:val="21"/>
        </w:rPr>
        <w:t>他形式通知我们，</w:t>
      </w:r>
      <w:r>
        <w:rPr>
          <w:rFonts w:ascii="黑体" w:eastAsia="黑体" w:hint="eastAsia"/>
          <w:spacing w:val="-1"/>
          <w:sz w:val="21"/>
        </w:rPr>
        <w:t>我们按本合同载明的最后住所或者通讯地址发送的有关通知，均视为已送达给您。</w:t>
      </w:r>
    </w:p>
    <w:p>
      <w:pPr>
        <w:pStyle w:val="BodyText"/>
        <w:spacing w:before="5"/>
        <w:rPr>
          <w:rFonts w:ascii="黑体"/>
          <w:sz w:val="19"/>
        </w:rPr>
      </w:pPr>
    </w:p>
    <w:p>
      <w:pPr>
        <w:pStyle w:val="ListParagraph"/>
        <w:numPr>
          <w:ilvl w:val="1"/>
          <w:numId w:val="16"/>
        </w:numPr>
        <w:tabs>
          <w:tab w:pos="1064" w:val="left" w:leader="none"/>
          <w:tab w:pos="1065" w:val="left" w:leader="none"/>
          <w:tab w:pos="2589" w:val="left" w:leader="none"/>
        </w:tabs>
        <w:spacing w:line="240" w:lineRule="auto" w:before="1" w:after="0"/>
        <w:ind w:left="2590" w:right="0" w:hanging="2376"/>
        <w:jc w:val="left"/>
        <w:rPr>
          <w:sz w:val="21"/>
        </w:rPr>
      </w:pPr>
      <w:r>
        <w:rPr>
          <w:sz w:val="21"/>
        </w:rPr>
        <w:t>争议处理</w:t>
        <w:tab/>
        <w:t>本合同履行过程中</w:t>
      </w:r>
      <w:r>
        <w:rPr>
          <w:spacing w:val="-71"/>
          <w:sz w:val="21"/>
        </w:rPr>
        <w:t>，</w:t>
      </w:r>
      <w:r>
        <w:rPr>
          <w:sz w:val="21"/>
        </w:rPr>
        <w:t>双方发生争议时</w:t>
      </w:r>
      <w:r>
        <w:rPr>
          <w:spacing w:val="-71"/>
          <w:sz w:val="21"/>
        </w:rPr>
        <w:t>，</w:t>
      </w:r>
      <w:r>
        <w:rPr>
          <w:sz w:val="21"/>
        </w:rPr>
        <w:t>可以从下列两种方式中选择一种争议处理方式：</w:t>
      </w:r>
    </w:p>
    <w:p>
      <w:pPr>
        <w:pStyle w:val="ListParagraph"/>
        <w:numPr>
          <w:ilvl w:val="2"/>
          <w:numId w:val="16"/>
        </w:numPr>
        <w:tabs>
          <w:tab w:pos="3192" w:val="left" w:leader="none"/>
          <w:tab w:pos="9901" w:val="left" w:leader="none"/>
        </w:tabs>
        <w:spacing w:line="273" w:lineRule="auto" w:before="115" w:after="0"/>
        <w:ind w:left="3191" w:right="229" w:hanging="601"/>
        <w:jc w:val="left"/>
        <w:rPr>
          <w:sz w:val="21"/>
        </w:rPr>
      </w:pPr>
      <w:r>
        <w:rPr>
          <w:sz w:val="21"/>
        </w:rPr>
        <w:t>因履行本合同发生的争议，由双方协商解决，协商不成的，提</w:t>
      </w:r>
      <w:r>
        <w:rPr>
          <w:spacing w:val="2"/>
          <w:sz w:val="21"/>
        </w:rPr>
        <w:t>交</w:t>
      </w:r>
      <w:r>
        <w:rPr>
          <w:spacing w:val="2"/>
          <w:sz w:val="21"/>
          <w:u w:val="single"/>
        </w:rPr>
        <w:t> </w:t>
        <w:tab/>
      </w:r>
      <w:r>
        <w:rPr>
          <w:sz w:val="21"/>
        </w:rPr>
        <w:t>仲裁 委员会仲裁；</w:t>
      </w:r>
    </w:p>
    <w:p>
      <w:pPr>
        <w:pStyle w:val="ListParagraph"/>
        <w:numPr>
          <w:ilvl w:val="2"/>
          <w:numId w:val="16"/>
        </w:numPr>
        <w:tabs>
          <w:tab w:pos="3192" w:val="left" w:leader="none"/>
        </w:tabs>
        <w:spacing w:line="273" w:lineRule="auto" w:before="85" w:after="0"/>
        <w:ind w:left="3191" w:right="233" w:hanging="601"/>
        <w:jc w:val="left"/>
        <w:rPr>
          <w:sz w:val="21"/>
        </w:rPr>
      </w:pPr>
      <w:r>
        <w:rPr>
          <w:spacing w:val="-3"/>
          <w:sz w:val="21"/>
        </w:rPr>
        <w:t>因履行本合同发生的争议，由双方协商解决，协商不成的，依法向人民法院起诉。</w:t>
      </w:r>
    </w:p>
    <w:p>
      <w:pPr>
        <w:pStyle w:val="BodyText"/>
        <w:spacing w:before="6"/>
        <w:rPr>
          <w:sz w:val="24"/>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660"/>
        <w:gridCol w:w="7964"/>
      </w:tblGrid>
      <w:tr>
        <w:trPr>
          <w:trHeight w:val="714" w:hRule="atLeast"/>
        </w:trPr>
        <w:tc>
          <w:tcPr>
            <w:tcW w:w="692" w:type="dxa"/>
          </w:tcPr>
          <w:p>
            <w:pPr>
              <w:pStyle w:val="TableParagraph"/>
              <w:spacing w:line="210" w:lineRule="exact" w:before="0"/>
              <w:ind w:left="108"/>
              <w:rPr>
                <w:sz w:val="21"/>
              </w:rPr>
            </w:pPr>
            <w:r>
              <w:rPr>
                <w:sz w:val="21"/>
              </w:rPr>
              <w:t>8.8</w:t>
            </w:r>
          </w:p>
        </w:tc>
        <w:tc>
          <w:tcPr>
            <w:tcW w:w="1660" w:type="dxa"/>
          </w:tcPr>
          <w:p>
            <w:pPr>
              <w:pStyle w:val="TableParagraph"/>
              <w:spacing w:line="210" w:lineRule="exact" w:before="0"/>
              <w:ind w:left="266"/>
              <w:rPr>
                <w:sz w:val="21"/>
              </w:rPr>
            </w:pPr>
            <w:r>
              <w:rPr>
                <w:sz w:val="21"/>
              </w:rPr>
              <w:t>保险事故鉴定</w:t>
            </w:r>
          </w:p>
        </w:tc>
        <w:tc>
          <w:tcPr>
            <w:tcW w:w="7964" w:type="dxa"/>
          </w:tcPr>
          <w:p>
            <w:pPr>
              <w:pStyle w:val="TableParagraph"/>
              <w:spacing w:line="210" w:lineRule="exact" w:before="0"/>
              <w:ind w:left="131"/>
              <w:rPr>
                <w:sz w:val="21"/>
              </w:rPr>
            </w:pPr>
            <w:r>
              <w:rPr>
                <w:sz w:val="21"/>
              </w:rPr>
              <w:t>如果被保险人发生保险事故，您和我们均可以委托保险公估机构等依法设立的独立评</w:t>
            </w:r>
          </w:p>
          <w:p>
            <w:pPr>
              <w:pStyle w:val="TableParagraph"/>
              <w:spacing w:before="37"/>
              <w:ind w:left="131"/>
              <w:rPr>
                <w:sz w:val="21"/>
              </w:rPr>
            </w:pPr>
            <w:r>
              <w:rPr>
                <w:sz w:val="21"/>
              </w:rPr>
              <w:t>估机构或者具有相关专业知识的人员，对保险事故进行评估和鉴定。</w:t>
            </w:r>
          </w:p>
        </w:tc>
      </w:tr>
      <w:tr>
        <w:trPr>
          <w:trHeight w:val="596" w:hRule="atLeast"/>
        </w:trPr>
        <w:tc>
          <w:tcPr>
            <w:tcW w:w="692" w:type="dxa"/>
            <w:tcBorders>
              <w:bottom w:val="single" w:sz="4" w:space="0" w:color="000000"/>
            </w:tcBorders>
          </w:tcPr>
          <w:p>
            <w:pPr>
              <w:pStyle w:val="TableParagraph"/>
              <w:spacing w:before="118"/>
              <w:ind w:left="108"/>
              <w:rPr>
                <w:sz w:val="24"/>
              </w:rPr>
            </w:pPr>
            <w:r>
              <w:rPr>
                <w:sz w:val="24"/>
              </w:rPr>
              <w:t>9.</w:t>
            </w:r>
          </w:p>
        </w:tc>
        <w:tc>
          <w:tcPr>
            <w:tcW w:w="1660" w:type="dxa"/>
            <w:tcBorders>
              <w:bottom w:val="single" w:sz="4" w:space="0" w:color="000000"/>
            </w:tcBorders>
          </w:tcPr>
          <w:p>
            <w:pPr>
              <w:pStyle w:val="TableParagraph"/>
              <w:spacing w:before="118"/>
              <w:ind w:left="266"/>
              <w:rPr>
                <w:sz w:val="24"/>
              </w:rPr>
            </w:pPr>
            <w:r>
              <w:rPr>
                <w:sz w:val="24"/>
              </w:rPr>
              <w:t>疾病定义</w:t>
            </w:r>
          </w:p>
        </w:tc>
        <w:tc>
          <w:tcPr>
            <w:tcW w:w="7964" w:type="dxa"/>
            <w:tcBorders>
              <w:bottom w:val="single" w:sz="4" w:space="0" w:color="000000"/>
            </w:tcBorders>
          </w:tcPr>
          <w:p>
            <w:pPr>
              <w:pStyle w:val="TableParagraph"/>
              <w:spacing w:before="0"/>
              <w:rPr>
                <w:rFonts w:ascii="Times New Roman"/>
                <w:sz w:val="20"/>
              </w:rPr>
            </w:pPr>
          </w:p>
        </w:tc>
      </w:tr>
      <w:tr>
        <w:trPr>
          <w:trHeight w:val="498" w:hRule="atLeast"/>
        </w:trPr>
        <w:tc>
          <w:tcPr>
            <w:tcW w:w="692" w:type="dxa"/>
            <w:tcBorders>
              <w:top w:val="single" w:sz="4" w:space="0" w:color="000000"/>
            </w:tcBorders>
          </w:tcPr>
          <w:p>
            <w:pPr>
              <w:pStyle w:val="TableParagraph"/>
              <w:spacing w:before="1"/>
              <w:rPr>
                <w:sz w:val="17"/>
              </w:rPr>
            </w:pPr>
          </w:p>
          <w:p>
            <w:pPr>
              <w:pStyle w:val="TableParagraph"/>
              <w:spacing w:line="255" w:lineRule="exact" w:before="0"/>
              <w:ind w:left="108"/>
              <w:rPr>
                <w:sz w:val="21"/>
              </w:rPr>
            </w:pPr>
            <w:r>
              <w:rPr>
                <w:sz w:val="21"/>
              </w:rPr>
              <w:t>9.1</w:t>
            </w:r>
          </w:p>
        </w:tc>
        <w:tc>
          <w:tcPr>
            <w:tcW w:w="1660" w:type="dxa"/>
            <w:tcBorders>
              <w:top w:val="single" w:sz="4" w:space="0" w:color="000000"/>
            </w:tcBorders>
          </w:tcPr>
          <w:p>
            <w:pPr>
              <w:pStyle w:val="TableParagraph"/>
              <w:spacing w:before="1"/>
              <w:rPr>
                <w:sz w:val="17"/>
              </w:rPr>
            </w:pPr>
          </w:p>
          <w:p>
            <w:pPr>
              <w:pStyle w:val="TableParagraph"/>
              <w:spacing w:line="255" w:lineRule="exact" w:before="0"/>
              <w:ind w:left="266"/>
              <w:rPr>
                <w:sz w:val="21"/>
              </w:rPr>
            </w:pPr>
            <w:r>
              <w:rPr>
                <w:sz w:val="21"/>
              </w:rPr>
              <w:t>轻症疾病定义</w:t>
            </w:r>
          </w:p>
        </w:tc>
        <w:tc>
          <w:tcPr>
            <w:tcW w:w="7964" w:type="dxa"/>
            <w:tcBorders>
              <w:top w:val="single" w:sz="4" w:space="0" w:color="000000"/>
            </w:tcBorders>
          </w:tcPr>
          <w:p>
            <w:pPr>
              <w:pStyle w:val="TableParagraph"/>
              <w:spacing w:before="1"/>
              <w:rPr>
                <w:sz w:val="17"/>
              </w:rPr>
            </w:pPr>
          </w:p>
          <w:p>
            <w:pPr>
              <w:pStyle w:val="TableParagraph"/>
              <w:spacing w:line="255" w:lineRule="exact" w:before="0"/>
              <w:ind w:left="132"/>
              <w:rPr>
                <w:rFonts w:ascii="黑体" w:eastAsia="黑体" w:hint="eastAsia"/>
                <w:sz w:val="21"/>
              </w:rPr>
            </w:pPr>
            <w:r>
              <w:rPr>
                <w:sz w:val="21"/>
              </w:rPr>
              <w:t>本合同所定义的轻症疾病共有 30 种。</w:t>
            </w:r>
            <w:r>
              <w:rPr>
                <w:rFonts w:ascii="黑体" w:eastAsia="黑体" w:hint="eastAsia"/>
                <w:sz w:val="21"/>
              </w:rPr>
              <w:t>轻症疾病须同时满足疾病诊断和定义条件。</w:t>
            </w:r>
          </w:p>
        </w:tc>
      </w:tr>
    </w:tbl>
    <w:p>
      <w:pPr>
        <w:pStyle w:val="BodyText"/>
        <w:spacing w:before="9"/>
        <w:rPr>
          <w:sz w:val="18"/>
        </w:rPr>
      </w:pPr>
    </w:p>
    <w:p>
      <w:pPr>
        <w:pStyle w:val="BodyText"/>
        <w:ind w:left="1064"/>
      </w:pPr>
      <w:r>
        <w:rPr/>
        <w:t>轻症疾病列表（30 种）</w:t>
      </w:r>
    </w:p>
    <w:p>
      <w:pPr>
        <w:pStyle w:val="BodyText"/>
        <w:rPr>
          <w:sz w:val="20"/>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5"/>
        <w:gridCol w:w="567"/>
        <w:gridCol w:w="3455"/>
        <w:gridCol w:w="514"/>
        <w:gridCol w:w="3413"/>
      </w:tblGrid>
      <w:tr>
        <w:trPr>
          <w:trHeight w:val="779" w:hRule="atLeas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63"/>
              <w:ind w:left="339"/>
              <w:rPr>
                <w:sz w:val="21"/>
              </w:rPr>
            </w:pPr>
            <w:r>
              <w:rPr>
                <w:sz w:val="21"/>
              </w:rPr>
              <w:t>肿瘤相关</w:t>
            </w:r>
          </w:p>
          <w:p>
            <w:pPr>
              <w:pStyle w:val="TableParagraph"/>
              <w:spacing w:before="115"/>
              <w:ind w:left="365"/>
              <w:rPr>
                <w:sz w:val="21"/>
              </w:rPr>
            </w:pPr>
            <w:r>
              <w:rPr>
                <w:sz w:val="21"/>
              </w:rPr>
              <w:t>（1 种）</w:t>
            </w:r>
          </w:p>
        </w:tc>
        <w:tc>
          <w:tcPr>
            <w:tcW w:w="567" w:type="dxa"/>
            <w:tcBorders>
              <w:top w:val="single" w:sz="4" w:space="0" w:color="000000"/>
              <w:left w:val="single" w:sz="4" w:space="0" w:color="000000"/>
              <w:bottom w:val="single" w:sz="4" w:space="0" w:color="000000"/>
            </w:tcBorders>
          </w:tcPr>
          <w:p>
            <w:pPr>
              <w:pStyle w:val="TableParagraph"/>
              <w:spacing w:before="8"/>
              <w:rPr>
                <w:sz w:val="19"/>
              </w:rPr>
            </w:pPr>
          </w:p>
          <w:p>
            <w:pPr>
              <w:pStyle w:val="TableParagraph"/>
              <w:spacing w:before="0"/>
              <w:ind w:right="102"/>
              <w:jc w:val="right"/>
              <w:rPr>
                <w:sz w:val="21"/>
              </w:rPr>
            </w:pPr>
            <w:r>
              <w:rPr>
                <w:sz w:val="21"/>
              </w:rPr>
              <w:t>1</w:t>
            </w:r>
          </w:p>
        </w:tc>
        <w:tc>
          <w:tcPr>
            <w:tcW w:w="3455" w:type="dxa"/>
            <w:tcBorders>
              <w:top w:val="single" w:sz="4" w:space="0" w:color="000000"/>
              <w:bottom w:val="single" w:sz="4" w:space="0" w:color="000000"/>
            </w:tcBorders>
          </w:tcPr>
          <w:p>
            <w:pPr>
              <w:pStyle w:val="TableParagraph"/>
              <w:spacing w:before="8"/>
              <w:rPr>
                <w:sz w:val="19"/>
              </w:rPr>
            </w:pPr>
          </w:p>
          <w:p>
            <w:pPr>
              <w:pStyle w:val="TableParagraph"/>
              <w:spacing w:before="0"/>
              <w:ind w:left="113"/>
              <w:rPr>
                <w:sz w:val="21"/>
              </w:rPr>
            </w:pPr>
            <w:r>
              <w:rPr>
                <w:sz w:val="21"/>
              </w:rPr>
              <w:t>极早期恶性肿瘤或恶性病变</w:t>
            </w:r>
          </w:p>
        </w:tc>
        <w:tc>
          <w:tcPr>
            <w:tcW w:w="514" w:type="dxa"/>
            <w:tcBorders>
              <w:top w:val="single" w:sz="4" w:space="0" w:color="000000"/>
              <w:bottom w:val="single" w:sz="4" w:space="0" w:color="000000"/>
            </w:tcBorders>
          </w:tcPr>
          <w:p>
            <w:pPr>
              <w:pStyle w:val="TableParagraph"/>
              <w:spacing w:before="0"/>
              <w:rPr>
                <w:rFonts w:ascii="Times New Roman"/>
                <w:sz w:val="20"/>
              </w:rPr>
            </w:pPr>
          </w:p>
        </w:tc>
        <w:tc>
          <w:tcPr>
            <w:tcW w:w="3413" w:type="dxa"/>
            <w:tcBorders>
              <w:top w:val="single" w:sz="4" w:space="0" w:color="000000"/>
              <w:bottom w:val="single" w:sz="4" w:space="0" w:color="000000"/>
              <w:right w:val="single" w:sz="4" w:space="0" w:color="000000"/>
            </w:tcBorders>
          </w:tcPr>
          <w:p>
            <w:pPr>
              <w:pStyle w:val="TableParagraph"/>
              <w:spacing w:before="0"/>
              <w:rPr>
                <w:rFonts w:ascii="Times New Roman"/>
                <w:sz w:val="20"/>
              </w:rPr>
            </w:pPr>
          </w:p>
        </w:tc>
      </w:tr>
      <w:tr>
        <w:trPr>
          <w:trHeight w:val="423"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rPr>
                <w:sz w:val="20"/>
              </w:rPr>
            </w:pPr>
          </w:p>
          <w:p>
            <w:pPr>
              <w:pStyle w:val="TableParagraph"/>
              <w:spacing w:before="2"/>
              <w:rPr>
                <w:sz w:val="17"/>
              </w:rPr>
            </w:pPr>
          </w:p>
          <w:p>
            <w:pPr>
              <w:pStyle w:val="TableParagraph"/>
              <w:spacing w:line="273" w:lineRule="auto" w:before="0"/>
              <w:ind w:left="129" w:right="120"/>
              <w:jc w:val="center"/>
              <w:rPr>
                <w:sz w:val="21"/>
              </w:rPr>
            </w:pPr>
            <w:r>
              <w:rPr>
                <w:sz w:val="21"/>
              </w:rPr>
              <w:t>心脏或脑血管相关</w:t>
            </w:r>
          </w:p>
          <w:p>
            <w:pPr>
              <w:pStyle w:val="TableParagraph"/>
              <w:spacing w:before="85"/>
              <w:ind w:left="128" w:right="120"/>
              <w:jc w:val="center"/>
              <w:rPr>
                <w:sz w:val="21"/>
              </w:rPr>
            </w:pPr>
            <w:r>
              <w:rPr>
                <w:sz w:val="21"/>
              </w:rPr>
              <w:t>（8 种）</w:t>
            </w:r>
          </w:p>
        </w:tc>
        <w:tc>
          <w:tcPr>
            <w:tcW w:w="567" w:type="dxa"/>
            <w:tcBorders>
              <w:top w:val="single" w:sz="4" w:space="0" w:color="000000"/>
              <w:left w:val="single" w:sz="4" w:space="0" w:color="000000"/>
            </w:tcBorders>
          </w:tcPr>
          <w:p>
            <w:pPr>
              <w:pStyle w:val="TableParagraph"/>
              <w:spacing w:before="63"/>
              <w:ind w:right="101"/>
              <w:jc w:val="right"/>
              <w:rPr>
                <w:sz w:val="21"/>
              </w:rPr>
            </w:pPr>
            <w:r>
              <w:rPr>
                <w:sz w:val="21"/>
              </w:rPr>
              <w:t>2</w:t>
            </w:r>
          </w:p>
        </w:tc>
        <w:tc>
          <w:tcPr>
            <w:tcW w:w="3455" w:type="dxa"/>
            <w:tcBorders>
              <w:top w:val="single" w:sz="4" w:space="0" w:color="000000"/>
            </w:tcBorders>
          </w:tcPr>
          <w:p>
            <w:pPr>
              <w:pStyle w:val="TableParagraph"/>
              <w:spacing w:before="63"/>
              <w:ind w:left="113"/>
              <w:rPr>
                <w:sz w:val="21"/>
              </w:rPr>
            </w:pPr>
            <w:r>
              <w:rPr>
                <w:sz w:val="21"/>
              </w:rPr>
              <w:t>急性心肌梗塞（轻症）</w:t>
            </w:r>
          </w:p>
        </w:tc>
        <w:tc>
          <w:tcPr>
            <w:tcW w:w="514" w:type="dxa"/>
            <w:tcBorders>
              <w:top w:val="single" w:sz="4" w:space="0" w:color="000000"/>
            </w:tcBorders>
          </w:tcPr>
          <w:p>
            <w:pPr>
              <w:pStyle w:val="TableParagraph"/>
              <w:spacing w:before="63"/>
              <w:ind w:right="100"/>
              <w:jc w:val="right"/>
              <w:rPr>
                <w:sz w:val="21"/>
              </w:rPr>
            </w:pPr>
            <w:r>
              <w:rPr>
                <w:sz w:val="21"/>
              </w:rPr>
              <w:t>7</w:t>
            </w:r>
          </w:p>
        </w:tc>
        <w:tc>
          <w:tcPr>
            <w:tcW w:w="3413" w:type="dxa"/>
            <w:tcBorders>
              <w:top w:val="single" w:sz="4" w:space="0" w:color="000000"/>
              <w:right w:val="single" w:sz="4" w:space="0" w:color="000000"/>
            </w:tcBorders>
          </w:tcPr>
          <w:p>
            <w:pPr>
              <w:pStyle w:val="TableParagraph"/>
              <w:spacing w:before="63"/>
              <w:ind w:left="112"/>
              <w:rPr>
                <w:sz w:val="21"/>
              </w:rPr>
            </w:pPr>
            <w:r>
              <w:rPr>
                <w:sz w:val="21"/>
              </w:rPr>
              <w:t>主动脉内手术（非开胸手术）</w:t>
            </w:r>
          </w:p>
        </w:tc>
      </w:tr>
      <w:tr>
        <w:trPr>
          <w:trHeight w:val="380"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567" w:type="dxa"/>
            <w:tcBorders>
              <w:left w:val="single" w:sz="4" w:space="0" w:color="000000"/>
            </w:tcBorders>
          </w:tcPr>
          <w:p>
            <w:pPr>
              <w:pStyle w:val="TableParagraph"/>
              <w:spacing w:before="20"/>
              <w:ind w:right="101"/>
              <w:jc w:val="right"/>
              <w:rPr>
                <w:sz w:val="21"/>
              </w:rPr>
            </w:pPr>
            <w:r>
              <w:rPr>
                <w:sz w:val="21"/>
              </w:rPr>
              <w:t>3</w:t>
            </w:r>
          </w:p>
        </w:tc>
        <w:tc>
          <w:tcPr>
            <w:tcW w:w="3455" w:type="dxa"/>
          </w:tcPr>
          <w:p>
            <w:pPr>
              <w:pStyle w:val="TableParagraph"/>
              <w:spacing w:before="20"/>
              <w:ind w:left="113"/>
              <w:rPr>
                <w:sz w:val="21"/>
              </w:rPr>
            </w:pPr>
            <w:r>
              <w:rPr>
                <w:sz w:val="21"/>
              </w:rPr>
              <w:t>Ⅲ度房室传导阻滞</w:t>
            </w:r>
          </w:p>
        </w:tc>
        <w:tc>
          <w:tcPr>
            <w:tcW w:w="514" w:type="dxa"/>
          </w:tcPr>
          <w:p>
            <w:pPr>
              <w:pStyle w:val="TableParagraph"/>
              <w:spacing w:before="20"/>
              <w:ind w:right="100"/>
              <w:jc w:val="right"/>
              <w:rPr>
                <w:sz w:val="21"/>
              </w:rPr>
            </w:pPr>
            <w:r>
              <w:rPr>
                <w:sz w:val="21"/>
              </w:rPr>
              <w:t>8</w:t>
            </w:r>
          </w:p>
        </w:tc>
        <w:tc>
          <w:tcPr>
            <w:tcW w:w="3413" w:type="dxa"/>
            <w:tcBorders>
              <w:right w:val="single" w:sz="4" w:space="0" w:color="000000"/>
            </w:tcBorders>
          </w:tcPr>
          <w:p>
            <w:pPr>
              <w:pStyle w:val="TableParagraph"/>
              <w:spacing w:before="20"/>
              <w:ind w:left="112"/>
              <w:rPr>
                <w:sz w:val="21"/>
              </w:rPr>
            </w:pPr>
            <w:r>
              <w:rPr>
                <w:sz w:val="21"/>
              </w:rPr>
              <w:t>脑中风后遗症（轻症）</w:t>
            </w:r>
          </w:p>
        </w:tc>
      </w:tr>
      <w:tr>
        <w:trPr>
          <w:trHeight w:val="769"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567" w:type="dxa"/>
            <w:tcBorders>
              <w:left w:val="single" w:sz="4" w:space="0" w:color="000000"/>
            </w:tcBorders>
          </w:tcPr>
          <w:p>
            <w:pPr>
              <w:pStyle w:val="TableParagraph"/>
              <w:spacing w:before="20"/>
              <w:ind w:left="353"/>
              <w:rPr>
                <w:sz w:val="21"/>
              </w:rPr>
            </w:pPr>
            <w:r>
              <w:rPr>
                <w:sz w:val="21"/>
              </w:rPr>
              <w:t>4</w:t>
            </w:r>
          </w:p>
          <w:p>
            <w:pPr>
              <w:pStyle w:val="TableParagraph"/>
              <w:spacing w:before="115"/>
              <w:ind w:left="353"/>
              <w:rPr>
                <w:sz w:val="21"/>
              </w:rPr>
            </w:pPr>
            <w:r>
              <w:rPr>
                <w:sz w:val="21"/>
              </w:rPr>
              <w:t>5</w:t>
            </w:r>
          </w:p>
        </w:tc>
        <w:tc>
          <w:tcPr>
            <w:tcW w:w="3455" w:type="dxa"/>
          </w:tcPr>
          <w:p>
            <w:pPr>
              <w:pStyle w:val="TableParagraph"/>
              <w:spacing w:before="20"/>
              <w:ind w:left="113"/>
              <w:rPr>
                <w:sz w:val="21"/>
              </w:rPr>
            </w:pPr>
            <w:r>
              <w:rPr>
                <w:sz w:val="21"/>
              </w:rPr>
              <w:t>冠状动脉介入手术（非开胸手术）</w:t>
            </w:r>
          </w:p>
          <w:p>
            <w:pPr>
              <w:pStyle w:val="TableParagraph"/>
              <w:spacing w:before="115"/>
              <w:ind w:left="113"/>
              <w:rPr>
                <w:sz w:val="21"/>
              </w:rPr>
            </w:pPr>
            <w:r>
              <w:rPr>
                <w:sz w:val="21"/>
              </w:rPr>
              <w:t>心脏瓣膜介入手术（非开胸手术）</w:t>
            </w:r>
          </w:p>
        </w:tc>
        <w:tc>
          <w:tcPr>
            <w:tcW w:w="514" w:type="dxa"/>
          </w:tcPr>
          <w:p>
            <w:pPr>
              <w:pStyle w:val="TableParagraph"/>
              <w:spacing w:before="20"/>
              <w:ind w:right="100"/>
              <w:jc w:val="right"/>
              <w:rPr>
                <w:sz w:val="21"/>
              </w:rPr>
            </w:pPr>
            <w:r>
              <w:rPr>
                <w:sz w:val="21"/>
              </w:rPr>
              <w:t>9</w:t>
            </w:r>
          </w:p>
        </w:tc>
        <w:tc>
          <w:tcPr>
            <w:tcW w:w="3413" w:type="dxa"/>
            <w:tcBorders>
              <w:right w:val="single" w:sz="4" w:space="0" w:color="000000"/>
            </w:tcBorders>
          </w:tcPr>
          <w:p>
            <w:pPr>
              <w:pStyle w:val="TableParagraph"/>
              <w:spacing w:line="273" w:lineRule="auto" w:before="20"/>
              <w:ind w:left="112" w:right="143"/>
              <w:rPr>
                <w:sz w:val="21"/>
              </w:rPr>
            </w:pPr>
            <w:r>
              <w:rPr>
                <w:sz w:val="21"/>
              </w:rPr>
              <w:t>颈动脉血管成形手术或内膜切除手术</w:t>
            </w:r>
          </w:p>
        </w:tc>
      </w:tr>
      <w:tr>
        <w:trPr>
          <w:trHeight w:val="346"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567" w:type="dxa"/>
            <w:tcBorders>
              <w:left w:val="single" w:sz="4" w:space="0" w:color="000000"/>
              <w:bottom w:val="single" w:sz="4" w:space="0" w:color="000000"/>
            </w:tcBorders>
          </w:tcPr>
          <w:p>
            <w:pPr>
              <w:pStyle w:val="TableParagraph"/>
              <w:spacing w:before="20"/>
              <w:ind w:right="101"/>
              <w:jc w:val="right"/>
              <w:rPr>
                <w:sz w:val="21"/>
              </w:rPr>
            </w:pPr>
            <w:r>
              <w:rPr>
                <w:sz w:val="21"/>
              </w:rPr>
              <w:t>6</w:t>
            </w:r>
          </w:p>
        </w:tc>
        <w:tc>
          <w:tcPr>
            <w:tcW w:w="3455" w:type="dxa"/>
            <w:tcBorders>
              <w:bottom w:val="single" w:sz="4" w:space="0" w:color="000000"/>
            </w:tcBorders>
          </w:tcPr>
          <w:p>
            <w:pPr>
              <w:pStyle w:val="TableParagraph"/>
              <w:spacing w:before="20"/>
              <w:ind w:left="113"/>
              <w:rPr>
                <w:sz w:val="21"/>
              </w:rPr>
            </w:pPr>
            <w:r>
              <w:rPr>
                <w:sz w:val="21"/>
              </w:rPr>
              <w:t>原发性肺动脉高压</w:t>
            </w:r>
          </w:p>
        </w:tc>
        <w:tc>
          <w:tcPr>
            <w:tcW w:w="514" w:type="dxa"/>
            <w:tcBorders>
              <w:bottom w:val="single" w:sz="4" w:space="0" w:color="000000"/>
            </w:tcBorders>
          </w:tcPr>
          <w:p>
            <w:pPr>
              <w:pStyle w:val="TableParagraph"/>
              <w:spacing w:before="0"/>
              <w:rPr>
                <w:rFonts w:ascii="Times New Roman"/>
                <w:sz w:val="20"/>
              </w:rPr>
            </w:pPr>
          </w:p>
        </w:tc>
        <w:tc>
          <w:tcPr>
            <w:tcW w:w="3413" w:type="dxa"/>
            <w:tcBorders>
              <w:bottom w:val="single" w:sz="4" w:space="0" w:color="000000"/>
              <w:right w:val="single" w:sz="4" w:space="0" w:color="000000"/>
            </w:tcBorders>
          </w:tcPr>
          <w:p>
            <w:pPr>
              <w:pStyle w:val="TableParagraph"/>
              <w:spacing w:before="0"/>
              <w:rPr>
                <w:rFonts w:ascii="Times New Roman"/>
                <w:sz w:val="20"/>
              </w:rPr>
            </w:pPr>
          </w:p>
        </w:tc>
      </w:tr>
      <w:tr>
        <w:trPr>
          <w:trHeight w:val="427"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rPr>
                <w:sz w:val="20"/>
              </w:rPr>
            </w:pPr>
          </w:p>
          <w:p>
            <w:pPr>
              <w:pStyle w:val="TableParagraph"/>
              <w:spacing w:before="0"/>
              <w:ind w:left="111" w:right="104"/>
              <w:jc w:val="center"/>
              <w:rPr>
                <w:sz w:val="21"/>
              </w:rPr>
            </w:pPr>
            <w:r>
              <w:rPr>
                <w:sz w:val="21"/>
              </w:rPr>
              <w:t>神经系统相关</w:t>
            </w:r>
          </w:p>
          <w:p>
            <w:pPr>
              <w:pStyle w:val="TableParagraph"/>
              <w:spacing w:before="114"/>
              <w:ind w:left="128" w:right="120"/>
              <w:jc w:val="center"/>
              <w:rPr>
                <w:sz w:val="21"/>
              </w:rPr>
            </w:pPr>
            <w:r>
              <w:rPr>
                <w:sz w:val="21"/>
              </w:rPr>
              <w:t>（5 种）</w:t>
            </w:r>
          </w:p>
        </w:tc>
        <w:tc>
          <w:tcPr>
            <w:tcW w:w="567" w:type="dxa"/>
            <w:tcBorders>
              <w:top w:val="single" w:sz="4" w:space="0" w:color="000000"/>
              <w:left w:val="single" w:sz="4" w:space="0" w:color="000000"/>
            </w:tcBorders>
          </w:tcPr>
          <w:p>
            <w:pPr>
              <w:pStyle w:val="TableParagraph"/>
              <w:spacing w:before="63"/>
              <w:ind w:right="101"/>
              <w:jc w:val="right"/>
              <w:rPr>
                <w:sz w:val="21"/>
              </w:rPr>
            </w:pPr>
            <w:r>
              <w:rPr>
                <w:sz w:val="21"/>
              </w:rPr>
              <w:t>10</w:t>
            </w:r>
          </w:p>
        </w:tc>
        <w:tc>
          <w:tcPr>
            <w:tcW w:w="3455" w:type="dxa"/>
            <w:tcBorders>
              <w:top w:val="single" w:sz="4" w:space="0" w:color="000000"/>
            </w:tcBorders>
          </w:tcPr>
          <w:p>
            <w:pPr>
              <w:pStyle w:val="TableParagraph"/>
              <w:spacing w:before="63"/>
              <w:ind w:left="112"/>
              <w:rPr>
                <w:sz w:val="21"/>
              </w:rPr>
            </w:pPr>
            <w:r>
              <w:rPr>
                <w:sz w:val="21"/>
              </w:rPr>
              <w:t>脑垂体瘤、脑囊肿及脑血管瘤</w:t>
            </w:r>
          </w:p>
        </w:tc>
        <w:tc>
          <w:tcPr>
            <w:tcW w:w="514" w:type="dxa"/>
            <w:tcBorders>
              <w:top w:val="single" w:sz="4" w:space="0" w:color="000000"/>
            </w:tcBorders>
          </w:tcPr>
          <w:p>
            <w:pPr>
              <w:pStyle w:val="TableParagraph"/>
              <w:spacing w:before="63"/>
              <w:ind w:right="100"/>
              <w:jc w:val="right"/>
              <w:rPr>
                <w:sz w:val="21"/>
              </w:rPr>
            </w:pPr>
            <w:r>
              <w:rPr>
                <w:sz w:val="21"/>
              </w:rPr>
              <w:t>13</w:t>
            </w:r>
          </w:p>
        </w:tc>
        <w:tc>
          <w:tcPr>
            <w:tcW w:w="3413" w:type="dxa"/>
            <w:tcBorders>
              <w:top w:val="single" w:sz="4" w:space="0" w:color="000000"/>
              <w:right w:val="single" w:sz="4" w:space="0" w:color="000000"/>
            </w:tcBorders>
          </w:tcPr>
          <w:p>
            <w:pPr>
              <w:pStyle w:val="TableParagraph"/>
              <w:spacing w:before="63"/>
              <w:ind w:left="113"/>
              <w:rPr>
                <w:sz w:val="21"/>
              </w:rPr>
            </w:pPr>
            <w:r>
              <w:rPr>
                <w:sz w:val="21"/>
              </w:rPr>
              <w:t>脑损伤</w:t>
            </w:r>
          </w:p>
        </w:tc>
      </w:tr>
      <w:tr>
        <w:trPr>
          <w:trHeight w:val="389"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567" w:type="dxa"/>
            <w:tcBorders>
              <w:left w:val="single" w:sz="4" w:space="0" w:color="000000"/>
            </w:tcBorders>
          </w:tcPr>
          <w:p>
            <w:pPr>
              <w:pStyle w:val="TableParagraph"/>
              <w:spacing w:before="25"/>
              <w:ind w:right="101"/>
              <w:jc w:val="right"/>
              <w:rPr>
                <w:sz w:val="21"/>
              </w:rPr>
            </w:pPr>
            <w:r>
              <w:rPr>
                <w:sz w:val="21"/>
              </w:rPr>
              <w:t>11</w:t>
            </w:r>
          </w:p>
        </w:tc>
        <w:tc>
          <w:tcPr>
            <w:tcW w:w="3455" w:type="dxa"/>
          </w:tcPr>
          <w:p>
            <w:pPr>
              <w:pStyle w:val="TableParagraph"/>
              <w:spacing w:before="25"/>
              <w:ind w:left="112"/>
              <w:rPr>
                <w:sz w:val="21"/>
              </w:rPr>
            </w:pPr>
            <w:r>
              <w:rPr>
                <w:sz w:val="21"/>
              </w:rPr>
              <w:t>运动神经元病</w:t>
            </w:r>
          </w:p>
        </w:tc>
        <w:tc>
          <w:tcPr>
            <w:tcW w:w="514" w:type="dxa"/>
          </w:tcPr>
          <w:p>
            <w:pPr>
              <w:pStyle w:val="TableParagraph"/>
              <w:spacing w:before="25"/>
              <w:ind w:right="100"/>
              <w:jc w:val="right"/>
              <w:rPr>
                <w:sz w:val="21"/>
              </w:rPr>
            </w:pPr>
            <w:r>
              <w:rPr>
                <w:sz w:val="21"/>
              </w:rPr>
              <w:t>14</w:t>
            </w:r>
          </w:p>
        </w:tc>
        <w:tc>
          <w:tcPr>
            <w:tcW w:w="3413" w:type="dxa"/>
            <w:tcBorders>
              <w:right w:val="single" w:sz="4" w:space="0" w:color="000000"/>
            </w:tcBorders>
          </w:tcPr>
          <w:p>
            <w:pPr>
              <w:pStyle w:val="TableParagraph"/>
              <w:spacing w:before="25"/>
              <w:ind w:left="112"/>
              <w:rPr>
                <w:sz w:val="21"/>
              </w:rPr>
            </w:pPr>
            <w:r>
              <w:rPr>
                <w:sz w:val="21"/>
              </w:rPr>
              <w:t>瘫痪（轻症）</w:t>
            </w:r>
          </w:p>
        </w:tc>
      </w:tr>
      <w:tr>
        <w:trPr>
          <w:trHeight w:val="352"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567" w:type="dxa"/>
            <w:tcBorders>
              <w:left w:val="single" w:sz="4" w:space="0" w:color="000000"/>
              <w:bottom w:val="single" w:sz="4" w:space="0" w:color="000000"/>
            </w:tcBorders>
          </w:tcPr>
          <w:p>
            <w:pPr>
              <w:pStyle w:val="TableParagraph"/>
              <w:spacing w:before="25"/>
              <w:ind w:right="101"/>
              <w:jc w:val="right"/>
              <w:rPr>
                <w:sz w:val="21"/>
              </w:rPr>
            </w:pPr>
            <w:r>
              <w:rPr>
                <w:sz w:val="21"/>
              </w:rPr>
              <w:t>12</w:t>
            </w:r>
          </w:p>
        </w:tc>
        <w:tc>
          <w:tcPr>
            <w:tcW w:w="3455" w:type="dxa"/>
            <w:tcBorders>
              <w:bottom w:val="single" w:sz="4" w:space="0" w:color="000000"/>
            </w:tcBorders>
          </w:tcPr>
          <w:p>
            <w:pPr>
              <w:pStyle w:val="TableParagraph"/>
              <w:spacing w:before="25"/>
              <w:ind w:left="112"/>
              <w:rPr>
                <w:sz w:val="21"/>
              </w:rPr>
            </w:pPr>
            <w:r>
              <w:rPr>
                <w:sz w:val="21"/>
              </w:rPr>
              <w:t>颅脑手术（轻症）</w:t>
            </w:r>
          </w:p>
        </w:tc>
        <w:tc>
          <w:tcPr>
            <w:tcW w:w="514" w:type="dxa"/>
            <w:tcBorders>
              <w:bottom w:val="single" w:sz="4" w:space="0" w:color="000000"/>
            </w:tcBorders>
          </w:tcPr>
          <w:p>
            <w:pPr>
              <w:pStyle w:val="TableParagraph"/>
              <w:spacing w:before="0"/>
              <w:rPr>
                <w:rFonts w:ascii="Times New Roman"/>
                <w:sz w:val="20"/>
              </w:rPr>
            </w:pPr>
          </w:p>
        </w:tc>
        <w:tc>
          <w:tcPr>
            <w:tcW w:w="3413" w:type="dxa"/>
            <w:tcBorders>
              <w:bottom w:val="single" w:sz="4" w:space="0" w:color="000000"/>
              <w:right w:val="single" w:sz="4" w:space="0" w:color="000000"/>
            </w:tcBorders>
          </w:tcPr>
          <w:p>
            <w:pPr>
              <w:pStyle w:val="TableParagraph"/>
              <w:spacing w:before="0"/>
              <w:rPr>
                <w:rFonts w:ascii="Times New Roman"/>
                <w:sz w:val="20"/>
              </w:rPr>
            </w:pPr>
          </w:p>
        </w:tc>
      </w:tr>
      <w:tr>
        <w:trPr>
          <w:trHeight w:val="427"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3"/>
              <w:ind w:left="111" w:right="104"/>
              <w:jc w:val="center"/>
              <w:rPr>
                <w:sz w:val="21"/>
              </w:rPr>
            </w:pPr>
            <w:r>
              <w:rPr>
                <w:sz w:val="21"/>
              </w:rPr>
              <w:t>消化系统相关</w:t>
            </w:r>
          </w:p>
          <w:p>
            <w:pPr>
              <w:pStyle w:val="TableParagraph"/>
              <w:spacing w:before="115"/>
              <w:ind w:left="128" w:right="120"/>
              <w:jc w:val="center"/>
              <w:rPr>
                <w:sz w:val="21"/>
              </w:rPr>
            </w:pPr>
            <w:r>
              <w:rPr>
                <w:sz w:val="21"/>
              </w:rPr>
              <w:t>（2 种）</w:t>
            </w:r>
          </w:p>
        </w:tc>
        <w:tc>
          <w:tcPr>
            <w:tcW w:w="567" w:type="dxa"/>
            <w:tcBorders>
              <w:top w:val="single" w:sz="4" w:space="0" w:color="000000"/>
              <w:left w:val="single" w:sz="4" w:space="0" w:color="000000"/>
            </w:tcBorders>
          </w:tcPr>
          <w:p>
            <w:pPr>
              <w:pStyle w:val="TableParagraph"/>
              <w:spacing w:before="63"/>
              <w:ind w:right="101"/>
              <w:jc w:val="right"/>
              <w:rPr>
                <w:sz w:val="21"/>
              </w:rPr>
            </w:pPr>
            <w:r>
              <w:rPr>
                <w:sz w:val="21"/>
              </w:rPr>
              <w:t>15</w:t>
            </w:r>
          </w:p>
        </w:tc>
        <w:tc>
          <w:tcPr>
            <w:tcW w:w="3455" w:type="dxa"/>
            <w:tcBorders>
              <w:top w:val="single" w:sz="4" w:space="0" w:color="000000"/>
            </w:tcBorders>
          </w:tcPr>
          <w:p>
            <w:pPr>
              <w:pStyle w:val="TableParagraph"/>
              <w:spacing w:before="63"/>
              <w:ind w:left="112"/>
              <w:rPr>
                <w:sz w:val="21"/>
              </w:rPr>
            </w:pPr>
            <w:r>
              <w:rPr>
                <w:sz w:val="21"/>
              </w:rPr>
              <w:t>胆道重建手术</w:t>
            </w:r>
          </w:p>
        </w:tc>
        <w:tc>
          <w:tcPr>
            <w:tcW w:w="514" w:type="dxa"/>
            <w:tcBorders>
              <w:top w:val="single" w:sz="4" w:space="0" w:color="000000"/>
            </w:tcBorders>
          </w:tcPr>
          <w:p>
            <w:pPr>
              <w:pStyle w:val="TableParagraph"/>
              <w:spacing w:before="0"/>
              <w:rPr>
                <w:rFonts w:ascii="Times New Roman"/>
                <w:sz w:val="20"/>
              </w:rPr>
            </w:pPr>
          </w:p>
        </w:tc>
        <w:tc>
          <w:tcPr>
            <w:tcW w:w="3413" w:type="dxa"/>
            <w:tcBorders>
              <w:top w:val="single" w:sz="4" w:space="0" w:color="000000"/>
              <w:right w:val="single" w:sz="4" w:space="0" w:color="000000"/>
            </w:tcBorders>
          </w:tcPr>
          <w:p>
            <w:pPr>
              <w:pStyle w:val="TableParagraph"/>
              <w:spacing w:before="0"/>
              <w:rPr>
                <w:rFonts w:ascii="Times New Roman"/>
                <w:sz w:val="20"/>
              </w:rPr>
            </w:pPr>
          </w:p>
        </w:tc>
      </w:tr>
      <w:tr>
        <w:trPr>
          <w:trHeight w:val="351"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567" w:type="dxa"/>
            <w:tcBorders>
              <w:left w:val="single" w:sz="4" w:space="0" w:color="000000"/>
              <w:bottom w:val="single" w:sz="4" w:space="0" w:color="000000"/>
            </w:tcBorders>
          </w:tcPr>
          <w:p>
            <w:pPr>
              <w:pStyle w:val="TableParagraph"/>
              <w:spacing w:before="25"/>
              <w:ind w:right="101"/>
              <w:jc w:val="right"/>
              <w:rPr>
                <w:sz w:val="21"/>
              </w:rPr>
            </w:pPr>
            <w:r>
              <w:rPr>
                <w:sz w:val="21"/>
              </w:rPr>
              <w:t>16</w:t>
            </w:r>
          </w:p>
        </w:tc>
        <w:tc>
          <w:tcPr>
            <w:tcW w:w="3455" w:type="dxa"/>
            <w:tcBorders>
              <w:bottom w:val="single" w:sz="4" w:space="0" w:color="000000"/>
            </w:tcBorders>
          </w:tcPr>
          <w:p>
            <w:pPr>
              <w:pStyle w:val="TableParagraph"/>
              <w:spacing w:before="25"/>
              <w:ind w:left="112"/>
              <w:rPr>
                <w:sz w:val="21"/>
              </w:rPr>
            </w:pPr>
            <w:r>
              <w:rPr>
                <w:sz w:val="21"/>
              </w:rPr>
              <w:t>肝叶切除手术</w:t>
            </w:r>
          </w:p>
        </w:tc>
        <w:tc>
          <w:tcPr>
            <w:tcW w:w="514" w:type="dxa"/>
            <w:tcBorders>
              <w:bottom w:val="single" w:sz="4" w:space="0" w:color="000000"/>
            </w:tcBorders>
          </w:tcPr>
          <w:p>
            <w:pPr>
              <w:pStyle w:val="TableParagraph"/>
              <w:spacing w:before="0"/>
              <w:rPr>
                <w:rFonts w:ascii="Times New Roman"/>
                <w:sz w:val="20"/>
              </w:rPr>
            </w:pPr>
          </w:p>
        </w:tc>
        <w:tc>
          <w:tcPr>
            <w:tcW w:w="3413" w:type="dxa"/>
            <w:tcBorders>
              <w:bottom w:val="single" w:sz="4" w:space="0" w:color="000000"/>
              <w:right w:val="single" w:sz="4" w:space="0" w:color="000000"/>
            </w:tcBorders>
          </w:tcPr>
          <w:p>
            <w:pPr>
              <w:pStyle w:val="TableParagraph"/>
              <w:spacing w:before="0"/>
              <w:rPr>
                <w:rFonts w:ascii="Times New Roman"/>
                <w:sz w:val="20"/>
              </w:rPr>
            </w:pPr>
          </w:p>
        </w:tc>
      </w:tr>
      <w:tr>
        <w:trPr>
          <w:trHeight w:val="423"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rPr>
                <w:sz w:val="22"/>
              </w:rPr>
            </w:pPr>
          </w:p>
          <w:p>
            <w:pPr>
              <w:pStyle w:val="TableParagraph"/>
              <w:spacing w:line="273" w:lineRule="auto" w:before="0"/>
              <w:ind w:left="129" w:right="119" w:hanging="1"/>
              <w:jc w:val="center"/>
              <w:rPr>
                <w:sz w:val="21"/>
              </w:rPr>
            </w:pPr>
            <w:r>
              <w:rPr>
                <w:sz w:val="21"/>
              </w:rPr>
              <w:t>其他器官功能严重受损相关</w:t>
            </w:r>
          </w:p>
          <w:p>
            <w:pPr>
              <w:pStyle w:val="TableParagraph"/>
              <w:spacing w:before="85"/>
              <w:ind w:left="128" w:right="120"/>
              <w:jc w:val="center"/>
              <w:rPr>
                <w:sz w:val="21"/>
              </w:rPr>
            </w:pPr>
            <w:r>
              <w:rPr>
                <w:sz w:val="21"/>
              </w:rPr>
              <w:t>（8 种）</w:t>
            </w:r>
          </w:p>
        </w:tc>
        <w:tc>
          <w:tcPr>
            <w:tcW w:w="567" w:type="dxa"/>
            <w:tcBorders>
              <w:top w:val="single" w:sz="4" w:space="0" w:color="000000"/>
              <w:left w:val="single" w:sz="4" w:space="0" w:color="000000"/>
            </w:tcBorders>
          </w:tcPr>
          <w:p>
            <w:pPr>
              <w:pStyle w:val="TableParagraph"/>
              <w:spacing w:before="63"/>
              <w:ind w:right="101"/>
              <w:jc w:val="right"/>
              <w:rPr>
                <w:sz w:val="21"/>
              </w:rPr>
            </w:pPr>
            <w:r>
              <w:rPr>
                <w:sz w:val="21"/>
              </w:rPr>
              <w:t>17</w:t>
            </w:r>
          </w:p>
        </w:tc>
        <w:tc>
          <w:tcPr>
            <w:tcW w:w="3455" w:type="dxa"/>
            <w:tcBorders>
              <w:top w:val="single" w:sz="4" w:space="0" w:color="000000"/>
            </w:tcBorders>
          </w:tcPr>
          <w:p>
            <w:pPr>
              <w:pStyle w:val="TableParagraph"/>
              <w:spacing w:before="63"/>
              <w:ind w:left="112"/>
              <w:rPr>
                <w:sz w:val="21"/>
              </w:rPr>
            </w:pPr>
            <w:r>
              <w:rPr>
                <w:sz w:val="21"/>
              </w:rPr>
              <w:t>视力严重受损</w:t>
            </w:r>
          </w:p>
        </w:tc>
        <w:tc>
          <w:tcPr>
            <w:tcW w:w="514" w:type="dxa"/>
            <w:tcBorders>
              <w:top w:val="single" w:sz="4" w:space="0" w:color="000000"/>
            </w:tcBorders>
          </w:tcPr>
          <w:p>
            <w:pPr>
              <w:pStyle w:val="TableParagraph"/>
              <w:spacing w:before="63"/>
              <w:ind w:right="100"/>
              <w:jc w:val="right"/>
              <w:rPr>
                <w:sz w:val="21"/>
              </w:rPr>
            </w:pPr>
            <w:r>
              <w:rPr>
                <w:sz w:val="21"/>
              </w:rPr>
              <w:t>21</w:t>
            </w:r>
          </w:p>
        </w:tc>
        <w:tc>
          <w:tcPr>
            <w:tcW w:w="3413" w:type="dxa"/>
            <w:tcBorders>
              <w:top w:val="single" w:sz="4" w:space="0" w:color="000000"/>
              <w:right w:val="single" w:sz="4" w:space="0" w:color="000000"/>
            </w:tcBorders>
          </w:tcPr>
          <w:p>
            <w:pPr>
              <w:pStyle w:val="TableParagraph"/>
              <w:spacing w:before="63"/>
              <w:ind w:left="112"/>
              <w:rPr>
                <w:sz w:val="21"/>
              </w:rPr>
            </w:pPr>
            <w:r>
              <w:rPr>
                <w:sz w:val="21"/>
              </w:rPr>
              <w:t>单侧肾脏切除手术</w:t>
            </w:r>
          </w:p>
        </w:tc>
      </w:tr>
      <w:tr>
        <w:trPr>
          <w:trHeight w:val="380"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567" w:type="dxa"/>
            <w:tcBorders>
              <w:left w:val="single" w:sz="4" w:space="0" w:color="000000"/>
            </w:tcBorders>
          </w:tcPr>
          <w:p>
            <w:pPr>
              <w:pStyle w:val="TableParagraph"/>
              <w:spacing w:before="20"/>
              <w:ind w:right="101"/>
              <w:jc w:val="right"/>
              <w:rPr>
                <w:sz w:val="21"/>
              </w:rPr>
            </w:pPr>
            <w:r>
              <w:rPr>
                <w:sz w:val="21"/>
              </w:rPr>
              <w:t>18</w:t>
            </w:r>
          </w:p>
        </w:tc>
        <w:tc>
          <w:tcPr>
            <w:tcW w:w="3455" w:type="dxa"/>
          </w:tcPr>
          <w:p>
            <w:pPr>
              <w:pStyle w:val="TableParagraph"/>
              <w:spacing w:before="20"/>
              <w:ind w:left="112"/>
              <w:rPr>
                <w:sz w:val="21"/>
              </w:rPr>
            </w:pPr>
            <w:r>
              <w:rPr>
                <w:sz w:val="21"/>
              </w:rPr>
              <w:t>单目失明</w:t>
            </w:r>
          </w:p>
        </w:tc>
        <w:tc>
          <w:tcPr>
            <w:tcW w:w="514" w:type="dxa"/>
          </w:tcPr>
          <w:p>
            <w:pPr>
              <w:pStyle w:val="TableParagraph"/>
              <w:spacing w:before="20"/>
              <w:ind w:right="101"/>
              <w:jc w:val="right"/>
              <w:rPr>
                <w:sz w:val="21"/>
              </w:rPr>
            </w:pPr>
            <w:r>
              <w:rPr>
                <w:sz w:val="21"/>
              </w:rPr>
              <w:t>22</w:t>
            </w:r>
          </w:p>
        </w:tc>
        <w:tc>
          <w:tcPr>
            <w:tcW w:w="3413" w:type="dxa"/>
            <w:tcBorders>
              <w:right w:val="single" w:sz="4" w:space="0" w:color="000000"/>
            </w:tcBorders>
          </w:tcPr>
          <w:p>
            <w:pPr>
              <w:pStyle w:val="TableParagraph"/>
              <w:spacing w:before="20"/>
              <w:ind w:left="112"/>
              <w:rPr>
                <w:sz w:val="21"/>
              </w:rPr>
            </w:pPr>
            <w:r>
              <w:rPr>
                <w:sz w:val="21"/>
              </w:rPr>
              <w:t>单侧肺脏切除手术</w:t>
            </w:r>
          </w:p>
        </w:tc>
      </w:tr>
      <w:tr>
        <w:trPr>
          <w:trHeight w:val="379"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567" w:type="dxa"/>
            <w:tcBorders>
              <w:left w:val="single" w:sz="4" w:space="0" w:color="000000"/>
            </w:tcBorders>
          </w:tcPr>
          <w:p>
            <w:pPr>
              <w:pStyle w:val="TableParagraph"/>
              <w:spacing w:before="20"/>
              <w:ind w:right="101"/>
              <w:jc w:val="right"/>
              <w:rPr>
                <w:sz w:val="21"/>
              </w:rPr>
            </w:pPr>
            <w:r>
              <w:rPr>
                <w:sz w:val="21"/>
              </w:rPr>
              <w:t>19</w:t>
            </w:r>
          </w:p>
        </w:tc>
        <w:tc>
          <w:tcPr>
            <w:tcW w:w="3455" w:type="dxa"/>
          </w:tcPr>
          <w:p>
            <w:pPr>
              <w:pStyle w:val="TableParagraph"/>
              <w:spacing w:before="20"/>
              <w:ind w:left="112"/>
              <w:rPr>
                <w:sz w:val="21"/>
              </w:rPr>
            </w:pPr>
            <w:r>
              <w:rPr>
                <w:sz w:val="21"/>
              </w:rPr>
              <w:t>单耳失聪</w:t>
            </w:r>
          </w:p>
        </w:tc>
        <w:tc>
          <w:tcPr>
            <w:tcW w:w="514" w:type="dxa"/>
          </w:tcPr>
          <w:p>
            <w:pPr>
              <w:pStyle w:val="TableParagraph"/>
              <w:spacing w:before="20"/>
              <w:ind w:right="101"/>
              <w:jc w:val="right"/>
              <w:rPr>
                <w:sz w:val="21"/>
              </w:rPr>
            </w:pPr>
            <w:r>
              <w:rPr>
                <w:sz w:val="21"/>
              </w:rPr>
              <w:t>23</w:t>
            </w:r>
          </w:p>
        </w:tc>
        <w:tc>
          <w:tcPr>
            <w:tcW w:w="3413" w:type="dxa"/>
            <w:tcBorders>
              <w:right w:val="single" w:sz="4" w:space="0" w:color="000000"/>
            </w:tcBorders>
          </w:tcPr>
          <w:p>
            <w:pPr>
              <w:pStyle w:val="TableParagraph"/>
              <w:spacing w:before="20"/>
              <w:ind w:left="112"/>
              <w:rPr>
                <w:sz w:val="21"/>
              </w:rPr>
            </w:pPr>
            <w:r>
              <w:rPr>
                <w:sz w:val="21"/>
              </w:rPr>
              <w:t>心包膜切除手术</w:t>
            </w:r>
          </w:p>
        </w:tc>
      </w:tr>
      <w:tr>
        <w:trPr>
          <w:trHeight w:val="346"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567" w:type="dxa"/>
            <w:tcBorders>
              <w:left w:val="single" w:sz="4" w:space="0" w:color="000000"/>
              <w:bottom w:val="single" w:sz="4" w:space="0" w:color="000000"/>
            </w:tcBorders>
          </w:tcPr>
          <w:p>
            <w:pPr>
              <w:pStyle w:val="TableParagraph"/>
              <w:spacing w:before="20"/>
              <w:ind w:right="101"/>
              <w:jc w:val="right"/>
              <w:rPr>
                <w:sz w:val="21"/>
              </w:rPr>
            </w:pPr>
            <w:r>
              <w:rPr>
                <w:sz w:val="21"/>
              </w:rPr>
              <w:t>20</w:t>
            </w:r>
          </w:p>
        </w:tc>
        <w:tc>
          <w:tcPr>
            <w:tcW w:w="3455" w:type="dxa"/>
            <w:tcBorders>
              <w:bottom w:val="single" w:sz="4" w:space="0" w:color="000000"/>
            </w:tcBorders>
          </w:tcPr>
          <w:p>
            <w:pPr>
              <w:pStyle w:val="TableParagraph"/>
              <w:spacing w:before="20"/>
              <w:ind w:left="112"/>
              <w:rPr>
                <w:sz w:val="21"/>
              </w:rPr>
            </w:pPr>
            <w:r>
              <w:rPr>
                <w:sz w:val="21"/>
              </w:rPr>
              <w:t>双侧睾丸切除手术</w:t>
            </w:r>
          </w:p>
        </w:tc>
        <w:tc>
          <w:tcPr>
            <w:tcW w:w="514" w:type="dxa"/>
            <w:tcBorders>
              <w:bottom w:val="single" w:sz="4" w:space="0" w:color="000000"/>
            </w:tcBorders>
          </w:tcPr>
          <w:p>
            <w:pPr>
              <w:pStyle w:val="TableParagraph"/>
              <w:spacing w:before="20"/>
              <w:ind w:right="100"/>
              <w:jc w:val="right"/>
              <w:rPr>
                <w:sz w:val="21"/>
              </w:rPr>
            </w:pPr>
            <w:r>
              <w:rPr>
                <w:sz w:val="21"/>
              </w:rPr>
              <w:t>24</w:t>
            </w:r>
          </w:p>
        </w:tc>
        <w:tc>
          <w:tcPr>
            <w:tcW w:w="3413" w:type="dxa"/>
            <w:tcBorders>
              <w:bottom w:val="single" w:sz="4" w:space="0" w:color="000000"/>
              <w:right w:val="single" w:sz="4" w:space="0" w:color="000000"/>
            </w:tcBorders>
          </w:tcPr>
          <w:p>
            <w:pPr>
              <w:pStyle w:val="TableParagraph"/>
              <w:spacing w:before="20"/>
              <w:ind w:left="112"/>
              <w:rPr>
                <w:sz w:val="21"/>
              </w:rPr>
            </w:pPr>
            <w:r>
              <w:rPr>
                <w:sz w:val="21"/>
              </w:rPr>
              <w:t>腔静脉过滤器植入手术</w:t>
            </w:r>
          </w:p>
        </w:tc>
      </w:tr>
      <w:tr>
        <w:trPr>
          <w:trHeight w:val="427"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3"/>
              <w:ind w:left="128" w:right="120"/>
              <w:jc w:val="center"/>
              <w:rPr>
                <w:sz w:val="21"/>
              </w:rPr>
            </w:pPr>
            <w:r>
              <w:rPr>
                <w:sz w:val="21"/>
              </w:rPr>
              <w:t>其他</w:t>
            </w:r>
          </w:p>
          <w:p>
            <w:pPr>
              <w:pStyle w:val="TableParagraph"/>
              <w:spacing w:before="115"/>
              <w:ind w:left="128" w:right="120"/>
              <w:jc w:val="center"/>
              <w:rPr>
                <w:sz w:val="21"/>
              </w:rPr>
            </w:pPr>
            <w:r>
              <w:rPr>
                <w:sz w:val="21"/>
              </w:rPr>
              <w:t>（6 种）</w:t>
            </w:r>
          </w:p>
        </w:tc>
        <w:tc>
          <w:tcPr>
            <w:tcW w:w="567" w:type="dxa"/>
            <w:tcBorders>
              <w:top w:val="single" w:sz="4" w:space="0" w:color="000000"/>
              <w:left w:val="single" w:sz="4" w:space="0" w:color="000000"/>
            </w:tcBorders>
          </w:tcPr>
          <w:p>
            <w:pPr>
              <w:pStyle w:val="TableParagraph"/>
              <w:spacing w:before="63"/>
              <w:ind w:right="101"/>
              <w:jc w:val="right"/>
              <w:rPr>
                <w:sz w:val="21"/>
              </w:rPr>
            </w:pPr>
            <w:r>
              <w:rPr>
                <w:sz w:val="21"/>
              </w:rPr>
              <w:t>25</w:t>
            </w:r>
          </w:p>
        </w:tc>
        <w:tc>
          <w:tcPr>
            <w:tcW w:w="3455" w:type="dxa"/>
            <w:tcBorders>
              <w:top w:val="single" w:sz="4" w:space="0" w:color="000000"/>
            </w:tcBorders>
          </w:tcPr>
          <w:p>
            <w:pPr>
              <w:pStyle w:val="TableParagraph"/>
              <w:spacing w:before="63"/>
              <w:ind w:left="112"/>
              <w:rPr>
                <w:sz w:val="21"/>
              </w:rPr>
            </w:pPr>
            <w:r>
              <w:rPr>
                <w:sz w:val="21"/>
              </w:rPr>
              <w:t>特定周围动脉疾病的血管介入治疗</w:t>
            </w:r>
          </w:p>
        </w:tc>
        <w:tc>
          <w:tcPr>
            <w:tcW w:w="514" w:type="dxa"/>
            <w:tcBorders>
              <w:top w:val="single" w:sz="4" w:space="0" w:color="000000"/>
            </w:tcBorders>
          </w:tcPr>
          <w:p>
            <w:pPr>
              <w:pStyle w:val="TableParagraph"/>
              <w:spacing w:before="63"/>
              <w:ind w:right="99"/>
              <w:jc w:val="right"/>
              <w:rPr>
                <w:sz w:val="21"/>
              </w:rPr>
            </w:pPr>
            <w:r>
              <w:rPr>
                <w:sz w:val="21"/>
              </w:rPr>
              <w:t>28</w:t>
            </w:r>
          </w:p>
        </w:tc>
        <w:tc>
          <w:tcPr>
            <w:tcW w:w="3413" w:type="dxa"/>
            <w:tcBorders>
              <w:top w:val="single" w:sz="4" w:space="0" w:color="000000"/>
              <w:right w:val="single" w:sz="4" w:space="0" w:color="000000"/>
            </w:tcBorders>
          </w:tcPr>
          <w:p>
            <w:pPr>
              <w:pStyle w:val="TableParagraph"/>
              <w:spacing w:before="63"/>
              <w:ind w:left="113"/>
              <w:rPr>
                <w:sz w:val="21"/>
              </w:rPr>
            </w:pPr>
            <w:r>
              <w:rPr>
                <w:sz w:val="21"/>
              </w:rPr>
              <w:t>面部烧伤</w:t>
            </w:r>
          </w:p>
        </w:tc>
      </w:tr>
      <w:tr>
        <w:trPr>
          <w:trHeight w:val="352"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567" w:type="dxa"/>
            <w:tcBorders>
              <w:left w:val="single" w:sz="4" w:space="0" w:color="000000"/>
            </w:tcBorders>
          </w:tcPr>
          <w:p>
            <w:pPr>
              <w:pStyle w:val="TableParagraph"/>
              <w:spacing w:before="25"/>
              <w:ind w:right="101"/>
              <w:jc w:val="right"/>
              <w:rPr>
                <w:sz w:val="21"/>
              </w:rPr>
            </w:pPr>
            <w:r>
              <w:rPr>
                <w:sz w:val="21"/>
              </w:rPr>
              <w:t>26</w:t>
            </w:r>
          </w:p>
        </w:tc>
        <w:tc>
          <w:tcPr>
            <w:tcW w:w="3455" w:type="dxa"/>
          </w:tcPr>
          <w:p>
            <w:pPr>
              <w:pStyle w:val="TableParagraph"/>
              <w:spacing w:before="25"/>
              <w:ind w:left="112"/>
              <w:rPr>
                <w:sz w:val="21"/>
              </w:rPr>
            </w:pPr>
            <w:r>
              <w:rPr>
                <w:sz w:val="21"/>
              </w:rPr>
              <w:t>单个肢体缺失</w:t>
            </w:r>
          </w:p>
        </w:tc>
        <w:tc>
          <w:tcPr>
            <w:tcW w:w="514" w:type="dxa"/>
          </w:tcPr>
          <w:p>
            <w:pPr>
              <w:pStyle w:val="TableParagraph"/>
              <w:spacing w:before="25"/>
              <w:ind w:right="100"/>
              <w:jc w:val="right"/>
              <w:rPr>
                <w:sz w:val="21"/>
              </w:rPr>
            </w:pPr>
            <w:r>
              <w:rPr>
                <w:sz w:val="21"/>
              </w:rPr>
              <w:t>29</w:t>
            </w:r>
          </w:p>
        </w:tc>
        <w:tc>
          <w:tcPr>
            <w:tcW w:w="3413" w:type="dxa"/>
            <w:tcBorders>
              <w:right w:val="single" w:sz="4" w:space="0" w:color="000000"/>
            </w:tcBorders>
          </w:tcPr>
          <w:p>
            <w:pPr>
              <w:pStyle w:val="TableParagraph"/>
              <w:spacing w:before="25"/>
              <w:ind w:left="112"/>
              <w:rPr>
                <w:sz w:val="21"/>
              </w:rPr>
            </w:pPr>
            <w:r>
              <w:rPr>
                <w:sz w:val="21"/>
              </w:rPr>
              <w:t>面部重建手术</w:t>
            </w:r>
          </w:p>
        </w:tc>
      </w:tr>
    </w:tbl>
    <w:p>
      <w:pPr>
        <w:spacing w:after="0"/>
        <w:rPr>
          <w:sz w:val="21"/>
        </w:rPr>
        <w:sectPr>
          <w:pgSz w:w="11900" w:h="16840"/>
          <w:pgMar w:top="1180" w:bottom="280" w:left="920" w:right="4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25"/>
        <w:gridCol w:w="566"/>
        <w:gridCol w:w="2299"/>
        <w:gridCol w:w="1669"/>
        <w:gridCol w:w="3413"/>
      </w:tblGrid>
      <w:tr>
        <w:trPr>
          <w:trHeight w:val="389" w:hRule="atLeast"/>
        </w:trPr>
        <w:tc>
          <w:tcPr>
            <w:tcW w:w="943" w:type="dxa"/>
            <w:tcBorders>
              <w:right w:val="single" w:sz="4" w:space="0" w:color="000000"/>
            </w:tcBorders>
          </w:tcPr>
          <w:p>
            <w:pPr>
              <w:pStyle w:val="TableParagraph"/>
              <w:spacing w:before="0"/>
              <w:rPr>
                <w:rFonts w:ascii="Times New Roman"/>
                <w:sz w:val="20"/>
              </w:rPr>
            </w:pPr>
          </w:p>
        </w:tc>
        <w:tc>
          <w:tcPr>
            <w:tcW w:w="1525" w:type="dxa"/>
            <w:tcBorders>
              <w:left w:val="single" w:sz="4" w:space="0" w:color="000000"/>
              <w:bottom w:val="single" w:sz="4" w:space="0" w:color="000000"/>
              <w:right w:val="single" w:sz="4" w:space="0" w:color="000000"/>
            </w:tcBorders>
          </w:tcPr>
          <w:p>
            <w:pPr>
              <w:pStyle w:val="TableParagraph"/>
              <w:spacing w:before="0"/>
              <w:rPr>
                <w:rFonts w:ascii="Times New Roman"/>
                <w:sz w:val="20"/>
              </w:rPr>
            </w:pPr>
          </w:p>
        </w:tc>
        <w:tc>
          <w:tcPr>
            <w:tcW w:w="566" w:type="dxa"/>
            <w:tcBorders>
              <w:left w:val="single" w:sz="4" w:space="0" w:color="000000"/>
              <w:bottom w:val="single" w:sz="4" w:space="0" w:color="000000"/>
            </w:tcBorders>
          </w:tcPr>
          <w:p>
            <w:pPr>
              <w:pStyle w:val="TableParagraph"/>
              <w:spacing w:before="57"/>
              <w:ind w:left="243"/>
              <w:rPr>
                <w:sz w:val="21"/>
              </w:rPr>
            </w:pPr>
            <w:r>
              <w:rPr>
                <w:sz w:val="21"/>
              </w:rPr>
              <w:t>27</w:t>
            </w:r>
          </w:p>
        </w:tc>
        <w:tc>
          <w:tcPr>
            <w:tcW w:w="2299" w:type="dxa"/>
            <w:tcBorders>
              <w:bottom w:val="single" w:sz="4" w:space="0" w:color="000000"/>
            </w:tcBorders>
          </w:tcPr>
          <w:p>
            <w:pPr>
              <w:pStyle w:val="TableParagraph"/>
              <w:spacing w:before="57"/>
              <w:ind w:left="108"/>
              <w:rPr>
                <w:sz w:val="21"/>
              </w:rPr>
            </w:pPr>
            <w:r>
              <w:rPr>
                <w:sz w:val="21"/>
              </w:rPr>
              <w:t>Ⅲ度烧伤</w:t>
            </w:r>
          </w:p>
        </w:tc>
        <w:tc>
          <w:tcPr>
            <w:tcW w:w="1669" w:type="dxa"/>
            <w:tcBorders>
              <w:bottom w:val="single" w:sz="4" w:space="0" w:color="000000"/>
            </w:tcBorders>
          </w:tcPr>
          <w:p>
            <w:pPr>
              <w:pStyle w:val="TableParagraph"/>
              <w:spacing w:before="57"/>
              <w:ind w:right="104"/>
              <w:jc w:val="right"/>
              <w:rPr>
                <w:sz w:val="21"/>
              </w:rPr>
            </w:pPr>
            <w:r>
              <w:rPr>
                <w:sz w:val="21"/>
              </w:rPr>
              <w:t>30</w:t>
            </w:r>
          </w:p>
        </w:tc>
        <w:tc>
          <w:tcPr>
            <w:tcW w:w="3413" w:type="dxa"/>
            <w:tcBorders>
              <w:bottom w:val="single" w:sz="4" w:space="0" w:color="000000"/>
              <w:right w:val="single" w:sz="6" w:space="0" w:color="000000"/>
            </w:tcBorders>
          </w:tcPr>
          <w:p>
            <w:pPr>
              <w:pStyle w:val="TableParagraph"/>
              <w:spacing w:before="57"/>
              <w:ind w:left="109"/>
              <w:rPr>
                <w:sz w:val="21"/>
              </w:rPr>
            </w:pPr>
            <w:r>
              <w:rPr>
                <w:sz w:val="21"/>
              </w:rPr>
              <w:t>再生障碍性贫血</w:t>
            </w:r>
          </w:p>
        </w:tc>
      </w:tr>
      <w:tr>
        <w:trPr>
          <w:trHeight w:val="2623" w:hRule="atLeast"/>
        </w:trPr>
        <w:tc>
          <w:tcPr>
            <w:tcW w:w="943" w:type="dxa"/>
          </w:tcPr>
          <w:p>
            <w:pPr>
              <w:pStyle w:val="TableParagraph"/>
              <w:spacing w:before="8"/>
              <w:rPr>
                <w:sz w:val="16"/>
              </w:rPr>
            </w:pPr>
          </w:p>
          <w:p>
            <w:pPr>
              <w:pStyle w:val="TableParagraph"/>
              <w:spacing w:before="0"/>
              <w:ind w:left="182" w:right="194"/>
              <w:jc w:val="center"/>
              <w:rPr>
                <w:sz w:val="21"/>
              </w:rPr>
            </w:pPr>
            <w:r>
              <w:rPr>
                <w:sz w:val="21"/>
              </w:rPr>
              <w:t>9.1.1</w:t>
            </w:r>
          </w:p>
        </w:tc>
        <w:tc>
          <w:tcPr>
            <w:tcW w:w="1525" w:type="dxa"/>
            <w:tcBorders>
              <w:top w:val="single" w:sz="4" w:space="0" w:color="000000"/>
            </w:tcBorders>
          </w:tcPr>
          <w:p>
            <w:pPr>
              <w:pStyle w:val="TableParagraph"/>
              <w:spacing w:before="8"/>
              <w:rPr>
                <w:sz w:val="16"/>
              </w:rPr>
            </w:pPr>
          </w:p>
          <w:p>
            <w:pPr>
              <w:pStyle w:val="TableParagraph"/>
              <w:spacing w:line="273" w:lineRule="auto" w:before="0"/>
              <w:ind w:left="107" w:right="97"/>
              <w:rPr>
                <w:sz w:val="21"/>
              </w:rPr>
            </w:pPr>
            <w:r>
              <w:rPr>
                <w:sz w:val="21"/>
              </w:rPr>
              <w:t>极早期恶性肿瘤或恶性病变</w:t>
            </w:r>
          </w:p>
        </w:tc>
        <w:tc>
          <w:tcPr>
            <w:tcW w:w="7947" w:type="dxa"/>
            <w:gridSpan w:val="4"/>
            <w:tcBorders>
              <w:top w:val="single" w:sz="4" w:space="0" w:color="000000"/>
            </w:tcBorders>
          </w:tcPr>
          <w:p>
            <w:pPr>
              <w:pStyle w:val="TableParagraph"/>
              <w:spacing w:before="8"/>
              <w:rPr>
                <w:sz w:val="16"/>
              </w:rPr>
            </w:pPr>
          </w:p>
          <w:p>
            <w:pPr>
              <w:pStyle w:val="TableParagraph"/>
              <w:spacing w:before="0"/>
              <w:ind w:left="108"/>
              <w:rPr>
                <w:sz w:val="21"/>
              </w:rPr>
            </w:pPr>
            <w:r>
              <w:rPr>
                <w:sz w:val="21"/>
              </w:rPr>
              <w:t>指经组织病理学检查被明确诊断为下列恶性病变之一，并且接受了相应的治疗。</w:t>
            </w:r>
          </w:p>
          <w:p>
            <w:pPr>
              <w:pStyle w:val="TableParagraph"/>
              <w:numPr>
                <w:ilvl w:val="0"/>
                <w:numId w:val="17"/>
              </w:numPr>
              <w:tabs>
                <w:tab w:pos="843" w:val="left" w:leader="none"/>
                <w:tab w:pos="844" w:val="left" w:leader="none"/>
              </w:tabs>
              <w:spacing w:line="240" w:lineRule="auto" w:before="115" w:after="0"/>
              <w:ind w:left="843" w:right="0" w:hanging="735"/>
              <w:jc w:val="left"/>
              <w:rPr>
                <w:sz w:val="21"/>
              </w:rPr>
            </w:pPr>
            <w:r>
              <w:rPr>
                <w:sz w:val="21"/>
              </w:rPr>
              <w:t>原位癌；</w:t>
            </w:r>
          </w:p>
          <w:p>
            <w:pPr>
              <w:pStyle w:val="TableParagraph"/>
              <w:numPr>
                <w:ilvl w:val="0"/>
                <w:numId w:val="17"/>
              </w:numPr>
              <w:tabs>
                <w:tab w:pos="843" w:val="left" w:leader="none"/>
                <w:tab w:pos="844" w:val="left" w:leader="none"/>
              </w:tabs>
              <w:spacing w:line="240" w:lineRule="auto" w:before="115" w:after="0"/>
              <w:ind w:left="843" w:right="0" w:hanging="735"/>
              <w:jc w:val="left"/>
              <w:rPr>
                <w:sz w:val="21"/>
              </w:rPr>
            </w:pPr>
            <w:r>
              <w:rPr>
                <w:spacing w:val="-15"/>
                <w:sz w:val="21"/>
              </w:rPr>
              <w:t>相当于 </w:t>
            </w:r>
            <w:r>
              <w:rPr>
                <w:sz w:val="21"/>
              </w:rPr>
              <w:t>Binet</w:t>
            </w:r>
            <w:r>
              <w:rPr>
                <w:spacing w:val="-20"/>
                <w:sz w:val="21"/>
              </w:rPr>
              <w:t> 分期方案 </w:t>
            </w:r>
            <w:r>
              <w:rPr>
                <w:sz w:val="21"/>
              </w:rPr>
              <w:t>A</w:t>
            </w:r>
            <w:r>
              <w:rPr>
                <w:spacing w:val="-3"/>
                <w:sz w:val="21"/>
              </w:rPr>
              <w:t> 期程度的慢性淋巴细胞白血病；</w:t>
            </w:r>
          </w:p>
          <w:p>
            <w:pPr>
              <w:pStyle w:val="TableParagraph"/>
              <w:numPr>
                <w:ilvl w:val="0"/>
                <w:numId w:val="17"/>
              </w:numPr>
              <w:tabs>
                <w:tab w:pos="843" w:val="left" w:leader="none"/>
                <w:tab w:pos="844" w:val="left" w:leader="none"/>
              </w:tabs>
              <w:spacing w:line="240" w:lineRule="auto" w:before="115" w:after="0"/>
              <w:ind w:left="843" w:right="0" w:hanging="735"/>
              <w:jc w:val="left"/>
              <w:rPr>
                <w:sz w:val="21"/>
              </w:rPr>
            </w:pPr>
            <w:r>
              <w:rPr>
                <w:spacing w:val="-14"/>
                <w:sz w:val="21"/>
              </w:rPr>
              <w:t>相当于 </w:t>
            </w:r>
            <w:r>
              <w:rPr>
                <w:sz w:val="21"/>
              </w:rPr>
              <w:t>Ann Arbor</w:t>
            </w:r>
            <w:r>
              <w:rPr>
                <w:spacing w:val="-19"/>
                <w:sz w:val="21"/>
              </w:rPr>
              <w:t> 分期方案 </w:t>
            </w:r>
            <w:r>
              <w:rPr>
                <w:sz w:val="21"/>
              </w:rPr>
              <w:t>I</w:t>
            </w:r>
            <w:r>
              <w:rPr>
                <w:spacing w:val="-8"/>
                <w:sz w:val="21"/>
              </w:rPr>
              <w:t> 期程度的何杰金氏病；</w:t>
            </w:r>
          </w:p>
          <w:p>
            <w:pPr>
              <w:pStyle w:val="TableParagraph"/>
              <w:numPr>
                <w:ilvl w:val="0"/>
                <w:numId w:val="17"/>
              </w:numPr>
              <w:tabs>
                <w:tab w:pos="843" w:val="left" w:leader="none"/>
                <w:tab w:pos="844" w:val="left" w:leader="none"/>
              </w:tabs>
              <w:spacing w:line="240" w:lineRule="auto" w:before="115" w:after="0"/>
              <w:ind w:left="843" w:right="0" w:hanging="735"/>
              <w:jc w:val="left"/>
              <w:rPr>
                <w:sz w:val="21"/>
              </w:rPr>
            </w:pPr>
            <w:r>
              <w:rPr>
                <w:sz w:val="21"/>
              </w:rPr>
              <w:t>皮肤癌（不包括恶性黑色素瘤及已发生转移的皮肤癌</w:t>
            </w:r>
            <w:r>
              <w:rPr>
                <w:spacing w:val="-105"/>
                <w:sz w:val="21"/>
              </w:rPr>
              <w:t>）</w:t>
            </w:r>
            <w:r>
              <w:rPr>
                <w:sz w:val="21"/>
              </w:rPr>
              <w:t>；</w:t>
            </w:r>
          </w:p>
          <w:p>
            <w:pPr>
              <w:pStyle w:val="TableParagraph"/>
              <w:numPr>
                <w:ilvl w:val="0"/>
                <w:numId w:val="17"/>
              </w:numPr>
              <w:tabs>
                <w:tab w:pos="843" w:val="left" w:leader="none"/>
                <w:tab w:pos="844" w:val="left" w:leader="none"/>
              </w:tabs>
              <w:spacing w:line="240" w:lineRule="auto" w:before="114" w:after="0"/>
              <w:ind w:left="843" w:right="0" w:hanging="735"/>
              <w:jc w:val="left"/>
              <w:rPr>
                <w:sz w:val="21"/>
              </w:rPr>
            </w:pPr>
            <w:r>
              <w:rPr>
                <w:spacing w:val="-1"/>
                <w:position w:val="1"/>
                <w:sz w:val="21"/>
              </w:rPr>
              <w:t>TNM分期为T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position w:val="1"/>
                <w:sz w:val="21"/>
              </w:rPr>
              <w:t>期或更轻分期的前列腺癌。</w:t>
            </w:r>
          </w:p>
        </w:tc>
      </w:tr>
      <w:tr>
        <w:trPr>
          <w:trHeight w:val="1339" w:hRule="atLeast"/>
        </w:trPr>
        <w:tc>
          <w:tcPr>
            <w:tcW w:w="943" w:type="dxa"/>
          </w:tcPr>
          <w:p>
            <w:pPr>
              <w:pStyle w:val="TableParagraph"/>
              <w:spacing w:before="104"/>
              <w:ind w:left="183" w:right="194"/>
              <w:jc w:val="center"/>
              <w:rPr>
                <w:sz w:val="21"/>
              </w:rPr>
            </w:pPr>
            <w:r>
              <w:rPr>
                <w:sz w:val="21"/>
              </w:rPr>
              <w:t>9.1.2</w:t>
            </w:r>
          </w:p>
        </w:tc>
        <w:tc>
          <w:tcPr>
            <w:tcW w:w="1525" w:type="dxa"/>
          </w:tcPr>
          <w:p>
            <w:pPr>
              <w:pStyle w:val="TableParagraph"/>
              <w:spacing w:before="104"/>
              <w:ind w:left="107"/>
              <w:rPr>
                <w:sz w:val="21"/>
              </w:rPr>
            </w:pPr>
            <w:r>
              <w:rPr>
                <w:sz w:val="21"/>
              </w:rPr>
              <w:t>急性心肌梗塞</w:t>
            </w:r>
          </w:p>
          <w:p>
            <w:pPr>
              <w:pStyle w:val="TableParagraph"/>
              <w:spacing w:before="37"/>
              <w:ind w:left="107"/>
              <w:rPr>
                <w:sz w:val="21"/>
              </w:rPr>
            </w:pPr>
            <w:r>
              <w:rPr>
                <w:sz w:val="21"/>
              </w:rPr>
              <w:t>（轻症）</w:t>
            </w:r>
          </w:p>
        </w:tc>
        <w:tc>
          <w:tcPr>
            <w:tcW w:w="7947" w:type="dxa"/>
            <w:gridSpan w:val="4"/>
          </w:tcPr>
          <w:p>
            <w:pPr>
              <w:pStyle w:val="TableParagraph"/>
              <w:spacing w:before="104"/>
              <w:ind w:left="108"/>
              <w:rPr>
                <w:rFonts w:ascii="黑体" w:eastAsia="黑体" w:hint="eastAsia"/>
                <w:sz w:val="21"/>
              </w:rPr>
            </w:pPr>
            <w:r>
              <w:rPr>
                <w:sz w:val="21"/>
              </w:rPr>
              <w:t>指被临床诊断为急性心肌梗塞并接受了急性心肌梗塞治疗，</w:t>
            </w:r>
            <w:r>
              <w:rPr>
                <w:rFonts w:ascii="黑体" w:eastAsia="黑体" w:hint="eastAsia"/>
                <w:sz w:val="21"/>
              </w:rPr>
              <w:t>并须满足下列全部条件：</w:t>
            </w:r>
          </w:p>
          <w:p>
            <w:pPr>
              <w:pStyle w:val="TableParagraph"/>
              <w:numPr>
                <w:ilvl w:val="0"/>
                <w:numId w:val="18"/>
              </w:numPr>
              <w:tabs>
                <w:tab w:pos="843" w:val="left" w:leader="none"/>
                <w:tab w:pos="844" w:val="left" w:leader="none"/>
              </w:tabs>
              <w:spacing w:line="240" w:lineRule="auto" w:before="115" w:after="0"/>
              <w:ind w:left="843" w:right="0" w:hanging="735"/>
              <w:jc w:val="left"/>
              <w:rPr>
                <w:sz w:val="21"/>
              </w:rPr>
            </w:pPr>
            <w:r>
              <w:rPr>
                <w:spacing w:val="-1"/>
                <w:sz w:val="21"/>
              </w:rPr>
              <w:t>肌钙蛋白有诊断意义的升高；</w:t>
            </w:r>
          </w:p>
          <w:p>
            <w:pPr>
              <w:pStyle w:val="TableParagraph"/>
              <w:numPr>
                <w:ilvl w:val="0"/>
                <w:numId w:val="18"/>
              </w:numPr>
              <w:tabs>
                <w:tab w:pos="843" w:val="left" w:leader="none"/>
                <w:tab w:pos="844" w:val="left" w:leader="none"/>
              </w:tabs>
              <w:spacing w:line="240" w:lineRule="auto" w:before="115" w:after="0"/>
              <w:ind w:left="843" w:right="0" w:hanging="735"/>
              <w:jc w:val="left"/>
              <w:rPr>
                <w:sz w:val="21"/>
              </w:rPr>
            </w:pPr>
            <w:r>
              <w:rPr>
                <w:spacing w:val="-7"/>
                <w:sz w:val="21"/>
              </w:rPr>
              <w:t>心电图有损伤性的 </w:t>
            </w:r>
            <w:r>
              <w:rPr>
                <w:sz w:val="21"/>
              </w:rPr>
              <w:t>ST</w:t>
            </w:r>
            <w:r>
              <w:rPr>
                <w:spacing w:val="-13"/>
                <w:sz w:val="21"/>
              </w:rPr>
              <w:t> 段改变但未出现病理 </w:t>
            </w:r>
            <w:r>
              <w:rPr>
                <w:sz w:val="21"/>
              </w:rPr>
              <w:t>Q</w:t>
            </w:r>
            <w:r>
              <w:rPr>
                <w:spacing w:val="-20"/>
                <w:sz w:val="21"/>
              </w:rPr>
              <w:t> 波。</w:t>
            </w:r>
          </w:p>
        </w:tc>
      </w:tr>
      <w:tr>
        <w:trPr>
          <w:trHeight w:val="2042" w:hRule="atLeast"/>
        </w:trPr>
        <w:tc>
          <w:tcPr>
            <w:tcW w:w="943" w:type="dxa"/>
          </w:tcPr>
          <w:p>
            <w:pPr>
              <w:pStyle w:val="TableParagraph"/>
              <w:spacing w:before="104"/>
              <w:ind w:left="183" w:right="194"/>
              <w:jc w:val="center"/>
              <w:rPr>
                <w:sz w:val="21"/>
              </w:rPr>
            </w:pPr>
            <w:r>
              <w:rPr>
                <w:sz w:val="21"/>
              </w:rPr>
              <w:t>9.1.3</w:t>
            </w:r>
          </w:p>
        </w:tc>
        <w:tc>
          <w:tcPr>
            <w:tcW w:w="1525" w:type="dxa"/>
          </w:tcPr>
          <w:p>
            <w:pPr>
              <w:pStyle w:val="TableParagraph"/>
              <w:spacing w:line="273" w:lineRule="auto" w:before="104"/>
              <w:ind w:left="107" w:right="151"/>
              <w:rPr>
                <w:sz w:val="21"/>
              </w:rPr>
            </w:pPr>
            <w:r>
              <w:rPr>
                <w:sz w:val="21"/>
              </w:rPr>
              <w:t>Ⅲ度房室传导阻滞</w:t>
            </w:r>
          </w:p>
        </w:tc>
        <w:tc>
          <w:tcPr>
            <w:tcW w:w="7947" w:type="dxa"/>
            <w:gridSpan w:val="4"/>
          </w:tcPr>
          <w:p>
            <w:pPr>
              <w:pStyle w:val="TableParagraph"/>
              <w:spacing w:line="273" w:lineRule="auto" w:before="104"/>
              <w:ind w:left="108" w:right="45"/>
              <w:rPr>
                <w:rFonts w:ascii="黑体" w:eastAsia="黑体" w:hint="eastAsia"/>
                <w:sz w:val="21"/>
              </w:rPr>
            </w:pPr>
            <w:r>
              <w:rPr>
                <w:sz w:val="21"/>
              </w:rPr>
              <w:t>指心房激动在房室交界区、房室束及其分支内发生阻滞，不能正常地传到心室的心脏传导性疾病。</w:t>
            </w:r>
            <w:r>
              <w:rPr>
                <w:rFonts w:ascii="黑体" w:eastAsia="黑体" w:hint="eastAsia"/>
                <w:sz w:val="21"/>
              </w:rPr>
              <w:t>并须满足下列全部条件：</w:t>
            </w:r>
          </w:p>
          <w:p>
            <w:pPr>
              <w:pStyle w:val="TableParagraph"/>
              <w:numPr>
                <w:ilvl w:val="0"/>
                <w:numId w:val="19"/>
              </w:numPr>
              <w:tabs>
                <w:tab w:pos="829" w:val="left" w:leader="none"/>
              </w:tabs>
              <w:spacing w:line="240" w:lineRule="auto" w:before="85" w:after="0"/>
              <w:ind w:left="828" w:right="0" w:hanging="720"/>
              <w:jc w:val="left"/>
              <w:rPr>
                <w:sz w:val="21"/>
              </w:rPr>
            </w:pPr>
            <w:r>
              <w:rPr>
                <w:sz w:val="21"/>
              </w:rPr>
              <w:t>心电图显示房室搏动彼此独立，心室率&lt;50</w:t>
            </w:r>
            <w:r>
              <w:rPr>
                <w:spacing w:val="-38"/>
                <w:sz w:val="21"/>
              </w:rPr>
              <w:t> 次</w:t>
            </w:r>
            <w:r>
              <w:rPr>
                <w:sz w:val="21"/>
              </w:rPr>
              <w:t>/分钟；</w:t>
            </w:r>
          </w:p>
          <w:p>
            <w:pPr>
              <w:pStyle w:val="TableParagraph"/>
              <w:numPr>
                <w:ilvl w:val="0"/>
                <w:numId w:val="19"/>
              </w:numPr>
              <w:tabs>
                <w:tab w:pos="829" w:val="left" w:leader="none"/>
              </w:tabs>
              <w:spacing w:line="240" w:lineRule="auto" w:before="114" w:after="0"/>
              <w:ind w:left="828" w:right="0" w:hanging="720"/>
              <w:jc w:val="left"/>
              <w:rPr>
                <w:sz w:val="21"/>
              </w:rPr>
            </w:pPr>
            <w:r>
              <w:rPr>
                <w:sz w:val="21"/>
              </w:rPr>
              <w:t>出现阿-斯综合征或心力衰竭的表现；</w:t>
            </w:r>
          </w:p>
          <w:p>
            <w:pPr>
              <w:pStyle w:val="TableParagraph"/>
              <w:numPr>
                <w:ilvl w:val="0"/>
                <w:numId w:val="19"/>
              </w:numPr>
              <w:tabs>
                <w:tab w:pos="829" w:val="left" w:leader="none"/>
              </w:tabs>
              <w:spacing w:line="240" w:lineRule="auto" w:before="114" w:after="0"/>
              <w:ind w:left="828" w:right="0" w:hanging="720"/>
              <w:jc w:val="left"/>
              <w:rPr>
                <w:sz w:val="21"/>
              </w:rPr>
            </w:pPr>
            <w:r>
              <w:rPr>
                <w:sz w:val="21"/>
              </w:rPr>
              <w:t>必须持续性依赖心脏起搏器维持心脏正常功能，且已经放置心脏起搏器。</w:t>
            </w:r>
          </w:p>
        </w:tc>
      </w:tr>
      <w:tr>
        <w:trPr>
          <w:trHeight w:val="1183" w:hRule="atLeast"/>
        </w:trPr>
        <w:tc>
          <w:tcPr>
            <w:tcW w:w="943" w:type="dxa"/>
          </w:tcPr>
          <w:p>
            <w:pPr>
              <w:pStyle w:val="TableParagraph"/>
              <w:spacing w:before="104"/>
              <w:ind w:left="182" w:right="194"/>
              <w:jc w:val="center"/>
              <w:rPr>
                <w:sz w:val="21"/>
              </w:rPr>
            </w:pPr>
            <w:r>
              <w:rPr>
                <w:sz w:val="21"/>
              </w:rPr>
              <w:t>9.1.4</w:t>
            </w:r>
          </w:p>
        </w:tc>
        <w:tc>
          <w:tcPr>
            <w:tcW w:w="1525" w:type="dxa"/>
          </w:tcPr>
          <w:p>
            <w:pPr>
              <w:pStyle w:val="TableParagraph"/>
              <w:spacing w:line="273" w:lineRule="auto" w:before="104"/>
              <w:ind w:left="107" w:right="97"/>
              <w:jc w:val="both"/>
              <w:rPr>
                <w:sz w:val="21"/>
              </w:rPr>
            </w:pPr>
            <w:r>
              <w:rPr>
                <w:sz w:val="21"/>
              </w:rPr>
              <w:t>冠状动脉介入手术（非开胸手术）</w:t>
            </w:r>
          </w:p>
        </w:tc>
        <w:tc>
          <w:tcPr>
            <w:tcW w:w="7947" w:type="dxa"/>
            <w:gridSpan w:val="4"/>
          </w:tcPr>
          <w:p>
            <w:pPr>
              <w:pStyle w:val="TableParagraph"/>
              <w:spacing w:line="273" w:lineRule="auto" w:before="104"/>
              <w:ind w:left="108" w:right="45"/>
              <w:rPr>
                <w:sz w:val="21"/>
              </w:rPr>
            </w:pPr>
            <w:r>
              <w:rPr>
                <w:sz w:val="21"/>
              </w:rPr>
              <w:t>指为治疗明显的冠状动脉狭窄性疾病，已经实施了冠状动脉球囊扩张成形术、冠状动脉支架植入术、冠状动脉粥样斑块切除术或激光冠状动脉成形术。</w:t>
            </w:r>
          </w:p>
        </w:tc>
      </w:tr>
      <w:tr>
        <w:trPr>
          <w:trHeight w:val="1183" w:hRule="atLeast"/>
        </w:trPr>
        <w:tc>
          <w:tcPr>
            <w:tcW w:w="943" w:type="dxa"/>
          </w:tcPr>
          <w:p>
            <w:pPr>
              <w:pStyle w:val="TableParagraph"/>
              <w:spacing w:before="104"/>
              <w:ind w:left="182" w:right="194"/>
              <w:jc w:val="center"/>
              <w:rPr>
                <w:sz w:val="21"/>
              </w:rPr>
            </w:pPr>
            <w:r>
              <w:rPr>
                <w:sz w:val="21"/>
              </w:rPr>
              <w:t>9.1.5</w:t>
            </w:r>
          </w:p>
        </w:tc>
        <w:tc>
          <w:tcPr>
            <w:tcW w:w="1525" w:type="dxa"/>
          </w:tcPr>
          <w:p>
            <w:pPr>
              <w:pStyle w:val="TableParagraph"/>
              <w:spacing w:line="273" w:lineRule="auto" w:before="104"/>
              <w:ind w:left="107" w:right="97"/>
              <w:jc w:val="both"/>
              <w:rPr>
                <w:sz w:val="21"/>
              </w:rPr>
            </w:pPr>
            <w:r>
              <w:rPr>
                <w:sz w:val="21"/>
              </w:rPr>
              <w:t>心脏瓣膜介入手术（非开胸手术）</w:t>
            </w:r>
          </w:p>
        </w:tc>
        <w:tc>
          <w:tcPr>
            <w:tcW w:w="7947" w:type="dxa"/>
            <w:gridSpan w:val="4"/>
          </w:tcPr>
          <w:p>
            <w:pPr>
              <w:pStyle w:val="TableParagraph"/>
              <w:spacing w:line="273" w:lineRule="auto" w:before="104"/>
              <w:ind w:left="108" w:right="45"/>
              <w:rPr>
                <w:sz w:val="21"/>
              </w:rPr>
            </w:pPr>
            <w:r>
              <w:rPr>
                <w:sz w:val="21"/>
              </w:rPr>
              <w:t>指为治疗心脏瓣膜疾病，已经实施了非开胸的经胸壁打孔内镜手术或经皮经导管介入手术进行的心脏瓣膜置换或修复手术。</w:t>
            </w:r>
          </w:p>
        </w:tc>
      </w:tr>
      <w:tr>
        <w:trPr>
          <w:trHeight w:val="1525" w:hRule="atLeast"/>
        </w:trPr>
        <w:tc>
          <w:tcPr>
            <w:tcW w:w="943" w:type="dxa"/>
          </w:tcPr>
          <w:p>
            <w:pPr>
              <w:pStyle w:val="TableParagraph"/>
              <w:spacing w:before="104"/>
              <w:ind w:left="182" w:right="194"/>
              <w:jc w:val="center"/>
              <w:rPr>
                <w:sz w:val="21"/>
              </w:rPr>
            </w:pPr>
            <w:r>
              <w:rPr>
                <w:sz w:val="21"/>
              </w:rPr>
              <w:t>9.1.6</w:t>
            </w:r>
          </w:p>
        </w:tc>
        <w:tc>
          <w:tcPr>
            <w:tcW w:w="1525" w:type="dxa"/>
          </w:tcPr>
          <w:p>
            <w:pPr>
              <w:pStyle w:val="TableParagraph"/>
              <w:spacing w:line="273" w:lineRule="auto" w:before="104"/>
              <w:ind w:left="107" w:right="97"/>
              <w:rPr>
                <w:sz w:val="21"/>
              </w:rPr>
            </w:pPr>
            <w:r>
              <w:rPr>
                <w:sz w:val="21"/>
              </w:rPr>
              <w:t>原发性肺动脉高压</w:t>
            </w:r>
          </w:p>
        </w:tc>
        <w:tc>
          <w:tcPr>
            <w:tcW w:w="7947" w:type="dxa"/>
            <w:gridSpan w:val="4"/>
          </w:tcPr>
          <w:p>
            <w:pPr>
              <w:pStyle w:val="TableParagraph"/>
              <w:spacing w:line="273" w:lineRule="auto" w:before="104"/>
              <w:ind w:left="108" w:right="102"/>
              <w:jc w:val="both"/>
              <w:rPr>
                <w:sz w:val="21"/>
              </w:rPr>
            </w:pPr>
            <w:r>
              <w:rPr>
                <w:spacing w:val="-3"/>
                <w:sz w:val="21"/>
              </w:rPr>
              <w:t>指不明原因的肺动脉压力持续性增高，进行性发展而导致的慢性疾病，已经造成永久不可逆（</w:t>
            </w:r>
            <w:r>
              <w:rPr>
                <w:spacing w:val="-32"/>
                <w:sz w:val="21"/>
              </w:rPr>
              <w:t>见 </w:t>
            </w:r>
            <w:r>
              <w:rPr>
                <w:sz w:val="21"/>
              </w:rPr>
              <w:t>10.19）性的体力活动能力受限，达到美国纽约心脏病学会心功能状态分</w:t>
            </w:r>
            <w:r>
              <w:rPr>
                <w:spacing w:val="-28"/>
                <w:sz w:val="21"/>
              </w:rPr>
              <w:t>级 </w:t>
            </w:r>
            <w:r>
              <w:rPr>
                <w:sz w:val="21"/>
              </w:rPr>
              <w:t>III</w:t>
            </w:r>
            <w:r>
              <w:rPr>
                <w:spacing w:val="-12"/>
                <w:sz w:val="21"/>
              </w:rPr>
              <w:t> 级及以上，但尚未达到 </w:t>
            </w:r>
            <w:r>
              <w:rPr>
                <w:sz w:val="21"/>
              </w:rPr>
              <w:t>IV</w:t>
            </w:r>
            <w:r>
              <w:rPr>
                <w:spacing w:val="-9"/>
                <w:sz w:val="21"/>
              </w:rPr>
              <w:t> 级，且静息状态下肺动脉平均压超过 </w:t>
            </w:r>
            <w:r>
              <w:rPr>
                <w:spacing w:val="-6"/>
                <w:sz w:val="21"/>
              </w:rPr>
              <w:t>25mmHg</w:t>
            </w:r>
            <w:r>
              <w:rPr>
                <w:spacing w:val="-2"/>
                <w:sz w:val="21"/>
              </w:rPr>
              <w:t>，但尚</w:t>
            </w:r>
            <w:r>
              <w:rPr>
                <w:spacing w:val="-17"/>
                <w:sz w:val="21"/>
              </w:rPr>
              <w:t>未超过 </w:t>
            </w:r>
            <w:r>
              <w:rPr>
                <w:sz w:val="21"/>
              </w:rPr>
              <w:t>30mmHg。</w:t>
            </w:r>
          </w:p>
        </w:tc>
      </w:tr>
      <w:tr>
        <w:trPr>
          <w:trHeight w:val="1213" w:hRule="atLeast"/>
        </w:trPr>
        <w:tc>
          <w:tcPr>
            <w:tcW w:w="943" w:type="dxa"/>
          </w:tcPr>
          <w:p>
            <w:pPr>
              <w:pStyle w:val="TableParagraph"/>
              <w:spacing w:before="133"/>
              <w:ind w:left="183" w:right="194"/>
              <w:jc w:val="center"/>
              <w:rPr>
                <w:sz w:val="21"/>
              </w:rPr>
            </w:pPr>
            <w:r>
              <w:rPr>
                <w:sz w:val="21"/>
              </w:rPr>
              <w:t>9.1.7</w:t>
            </w:r>
          </w:p>
        </w:tc>
        <w:tc>
          <w:tcPr>
            <w:tcW w:w="1525" w:type="dxa"/>
          </w:tcPr>
          <w:p>
            <w:pPr>
              <w:pStyle w:val="TableParagraph"/>
              <w:spacing w:before="133"/>
              <w:ind w:left="107"/>
              <w:rPr>
                <w:sz w:val="21"/>
              </w:rPr>
            </w:pPr>
            <w:r>
              <w:rPr>
                <w:sz w:val="21"/>
              </w:rPr>
              <w:t>主动脉内手术</w:t>
            </w:r>
          </w:p>
          <w:p>
            <w:pPr>
              <w:pStyle w:val="TableParagraph"/>
              <w:spacing w:line="273" w:lineRule="auto" w:before="36"/>
              <w:ind w:left="107" w:right="107"/>
              <w:rPr>
                <w:sz w:val="21"/>
              </w:rPr>
            </w:pPr>
            <w:r>
              <w:rPr>
                <w:spacing w:val="62"/>
                <w:sz w:val="21"/>
              </w:rPr>
              <w:t>（</w:t>
            </w:r>
            <w:r>
              <w:rPr>
                <w:spacing w:val="15"/>
                <w:sz w:val="21"/>
              </w:rPr>
              <w:t>非开胸 手术）</w:t>
            </w:r>
          </w:p>
        </w:tc>
        <w:tc>
          <w:tcPr>
            <w:tcW w:w="7947" w:type="dxa"/>
            <w:gridSpan w:val="4"/>
          </w:tcPr>
          <w:p>
            <w:pPr>
              <w:pStyle w:val="TableParagraph"/>
              <w:spacing w:line="273" w:lineRule="auto" w:before="133"/>
              <w:ind w:left="108" w:right="45"/>
              <w:rPr>
                <w:rFonts w:ascii="黑体" w:eastAsia="黑体" w:hint="eastAsia"/>
                <w:sz w:val="21"/>
              </w:rPr>
            </w:pPr>
            <w:r>
              <w:rPr>
                <w:sz w:val="21"/>
              </w:rPr>
              <w:t>指为治疗主动脉疾病已经实施了经皮经导管进行的主动脉内手术。主动脉指胸主动脉和腹主动脉，</w:t>
            </w:r>
            <w:r>
              <w:rPr>
                <w:rFonts w:ascii="黑体" w:eastAsia="黑体" w:hint="eastAsia"/>
                <w:sz w:val="21"/>
              </w:rPr>
              <w:t>不包括胸主动脉和腹主动脉的分支血管。</w:t>
            </w:r>
          </w:p>
        </w:tc>
      </w:tr>
      <w:tr>
        <w:trPr>
          <w:trHeight w:val="2275" w:hRule="atLeast"/>
        </w:trPr>
        <w:tc>
          <w:tcPr>
            <w:tcW w:w="943" w:type="dxa"/>
          </w:tcPr>
          <w:p>
            <w:pPr>
              <w:pStyle w:val="TableParagraph"/>
              <w:spacing w:before="104"/>
              <w:ind w:left="182" w:right="194"/>
              <w:jc w:val="center"/>
              <w:rPr>
                <w:sz w:val="21"/>
              </w:rPr>
            </w:pPr>
            <w:r>
              <w:rPr>
                <w:sz w:val="21"/>
              </w:rPr>
              <w:t>9.1.8</w:t>
            </w:r>
          </w:p>
        </w:tc>
        <w:tc>
          <w:tcPr>
            <w:tcW w:w="1525" w:type="dxa"/>
          </w:tcPr>
          <w:p>
            <w:pPr>
              <w:pStyle w:val="TableParagraph"/>
              <w:spacing w:before="104"/>
              <w:ind w:left="107"/>
              <w:rPr>
                <w:sz w:val="21"/>
              </w:rPr>
            </w:pPr>
            <w:r>
              <w:rPr>
                <w:sz w:val="21"/>
              </w:rPr>
              <w:t>脑中风后遗症</w:t>
            </w:r>
          </w:p>
          <w:p>
            <w:pPr>
              <w:pStyle w:val="TableParagraph"/>
              <w:spacing w:before="37"/>
              <w:ind w:left="107"/>
              <w:rPr>
                <w:sz w:val="21"/>
              </w:rPr>
            </w:pPr>
            <w:r>
              <w:rPr>
                <w:sz w:val="21"/>
              </w:rPr>
              <w:t>（轻症）</w:t>
            </w:r>
          </w:p>
        </w:tc>
        <w:tc>
          <w:tcPr>
            <w:tcW w:w="7947" w:type="dxa"/>
            <w:gridSpan w:val="4"/>
          </w:tcPr>
          <w:p>
            <w:pPr>
              <w:pStyle w:val="TableParagraph"/>
              <w:spacing w:line="273" w:lineRule="auto" w:before="104"/>
              <w:ind w:left="108" w:right="102"/>
              <w:jc w:val="both"/>
              <w:rPr>
                <w:sz w:val="21"/>
              </w:rPr>
            </w:pPr>
            <w:r>
              <w:rPr>
                <w:spacing w:val="-3"/>
                <w:sz w:val="21"/>
              </w:rPr>
              <w:t>指因脑血管的突发病变引起脑血管出血、栓塞或梗塞，并导致神经系统永久性的功能</w:t>
            </w:r>
            <w:r>
              <w:rPr>
                <w:spacing w:val="-8"/>
                <w:sz w:val="21"/>
              </w:rPr>
              <w:t>障碍。神经系统永久性的功能障碍，指疾病确诊 </w:t>
            </w:r>
            <w:r>
              <w:rPr>
                <w:sz w:val="21"/>
              </w:rPr>
              <w:t>180</w:t>
            </w:r>
            <w:r>
              <w:rPr>
                <w:spacing w:val="-9"/>
                <w:sz w:val="21"/>
              </w:rPr>
              <w:t> 天后，仍遗留下列一种或一种以上障碍：</w:t>
            </w:r>
          </w:p>
          <w:p>
            <w:pPr>
              <w:pStyle w:val="TableParagraph"/>
              <w:numPr>
                <w:ilvl w:val="0"/>
                <w:numId w:val="20"/>
              </w:numPr>
              <w:tabs>
                <w:tab w:pos="739" w:val="left" w:leader="none"/>
              </w:tabs>
              <w:spacing w:line="240" w:lineRule="auto" w:before="86" w:after="0"/>
              <w:ind w:left="709" w:right="0" w:hanging="601"/>
              <w:jc w:val="left"/>
              <w:rPr>
                <w:sz w:val="21"/>
              </w:rPr>
            </w:pPr>
            <w:r>
              <w:rPr>
                <w:sz w:val="21"/>
              </w:rPr>
              <w:t>一肢或一肢以上肢体机能部分丧失，其肢体肌力为Ⅲ级；</w:t>
            </w:r>
          </w:p>
          <w:p>
            <w:pPr>
              <w:pStyle w:val="TableParagraph"/>
              <w:numPr>
                <w:ilvl w:val="0"/>
                <w:numId w:val="20"/>
              </w:numPr>
              <w:tabs>
                <w:tab w:pos="710" w:val="left" w:leader="none"/>
              </w:tabs>
              <w:spacing w:line="273" w:lineRule="auto" w:before="115" w:after="0"/>
              <w:ind w:left="709" w:right="104" w:hanging="601"/>
              <w:jc w:val="left"/>
              <w:rPr>
                <w:sz w:val="21"/>
              </w:rPr>
            </w:pPr>
            <w:r>
              <w:rPr>
                <w:sz w:val="21"/>
              </w:rPr>
              <w:t>自主生活能力部分丧失，无法独立完成六项基本日常生活活动（</w:t>
            </w:r>
            <w:r>
              <w:rPr>
                <w:spacing w:val="-10"/>
                <w:sz w:val="21"/>
              </w:rPr>
              <w:t>见 </w:t>
            </w:r>
            <w:r>
              <w:rPr>
                <w:sz w:val="21"/>
              </w:rPr>
              <w:t>10.20）中的两项。</w:t>
            </w:r>
          </w:p>
        </w:tc>
      </w:tr>
      <w:tr>
        <w:trPr>
          <w:trHeight w:val="697" w:hRule="atLeast"/>
        </w:trPr>
        <w:tc>
          <w:tcPr>
            <w:tcW w:w="943" w:type="dxa"/>
          </w:tcPr>
          <w:p>
            <w:pPr>
              <w:pStyle w:val="TableParagraph"/>
              <w:spacing w:before="104"/>
              <w:ind w:left="182" w:right="194"/>
              <w:jc w:val="center"/>
              <w:rPr>
                <w:sz w:val="21"/>
              </w:rPr>
            </w:pPr>
            <w:r>
              <w:rPr>
                <w:sz w:val="21"/>
              </w:rPr>
              <w:t>9.1.9</w:t>
            </w:r>
          </w:p>
        </w:tc>
        <w:tc>
          <w:tcPr>
            <w:tcW w:w="1525" w:type="dxa"/>
          </w:tcPr>
          <w:p>
            <w:pPr>
              <w:pStyle w:val="TableParagraph"/>
              <w:spacing w:line="310" w:lineRule="atLeast" w:before="69"/>
              <w:ind w:left="107" w:right="97"/>
              <w:rPr>
                <w:sz w:val="21"/>
              </w:rPr>
            </w:pPr>
            <w:r>
              <w:rPr>
                <w:sz w:val="21"/>
              </w:rPr>
              <w:t>颈动脉血管成形手术或内膜</w:t>
            </w:r>
          </w:p>
        </w:tc>
        <w:tc>
          <w:tcPr>
            <w:tcW w:w="7947" w:type="dxa"/>
            <w:gridSpan w:val="4"/>
          </w:tcPr>
          <w:p>
            <w:pPr>
              <w:pStyle w:val="TableParagraph"/>
              <w:spacing w:line="310" w:lineRule="atLeast" w:before="69"/>
              <w:ind w:left="108" w:right="103"/>
              <w:rPr>
                <w:sz w:val="21"/>
              </w:rPr>
            </w:pPr>
            <w:r>
              <w:rPr>
                <w:spacing w:val="-3"/>
                <w:sz w:val="21"/>
              </w:rPr>
              <w:t>指为治疗颈动脉狭窄性病变，已经实施了颈动脉血管成形术或内膜切除术，须由颈动</w:t>
            </w:r>
            <w:r>
              <w:rPr>
                <w:spacing w:val="-1"/>
                <w:sz w:val="21"/>
              </w:rPr>
              <w:t>脉造影检查证实一条或以上颈动脉存在严重狭窄（即狭窄程度超过原有管径</w:t>
            </w:r>
            <w:r>
              <w:rPr>
                <w:sz w:val="21"/>
              </w:rPr>
              <w:t>的</w:t>
            </w:r>
            <w:r>
              <w:rPr>
                <w:spacing w:val="-36"/>
                <w:sz w:val="21"/>
              </w:rPr>
              <w:t> </w:t>
            </w:r>
            <w:r>
              <w:rPr>
                <w:spacing w:val="3"/>
                <w:sz w:val="21"/>
              </w:rPr>
              <w:drawing>
                <wp:inline distT="0" distB="0" distL="0" distR="0">
                  <wp:extent cx="59721" cy="10372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9721" cy="103727"/>
                          </a:xfrm>
                          <a:prstGeom prst="rect">
                            <a:avLst/>
                          </a:prstGeom>
                        </pic:spPr>
                      </pic:pic>
                    </a:graphicData>
                  </a:graphic>
                </wp:inline>
              </w:drawing>
            </w:r>
            <w:r>
              <w:rPr>
                <w:spacing w:val="3"/>
                <w:sz w:val="21"/>
              </w:rPr>
            </w:r>
            <w:r>
              <w:rPr>
                <w:sz w:val="21"/>
              </w:rPr>
              <w:t>以</w:t>
            </w:r>
          </w:p>
        </w:tc>
      </w:tr>
    </w:tbl>
    <w:p>
      <w:pPr>
        <w:spacing w:after="0" w:line="310" w:lineRule="atLeast"/>
        <w:rPr>
          <w:sz w:val="21"/>
        </w:rPr>
        <w:sectPr>
          <w:pgSz w:w="11900" w:h="16840"/>
          <w:pgMar w:top="1140" w:bottom="280" w:left="820" w:right="420"/>
        </w:sectPr>
      </w:pPr>
    </w:p>
    <w:p>
      <w:pPr>
        <w:pStyle w:val="BodyText"/>
        <w:tabs>
          <w:tab w:pos="2689" w:val="left" w:leader="none"/>
        </w:tabs>
        <w:spacing w:line="273" w:lineRule="auto" w:before="19"/>
        <w:ind w:left="2690" w:right="415" w:hanging="1526"/>
      </w:pPr>
      <w:r>
        <w:rPr/>
        <w:t>切除手术</w:t>
        <w:tab/>
        <w:t>上</w:t>
      </w:r>
      <w:r>
        <w:rPr>
          <w:spacing w:val="-104"/>
        </w:rPr>
        <w:t>）</w:t>
      </w:r>
      <w:r>
        <w:rPr/>
        <w:t>。本病须本公司认可的医院的专科医生明确诊断，同时必须已经采取以下手术以 </w:t>
      </w:r>
      <w:r>
        <w:rPr>
          <w:spacing w:val="-1"/>
        </w:rPr>
        <w:t>减轻症状：</w:t>
      </w:r>
    </w:p>
    <w:p>
      <w:pPr>
        <w:pStyle w:val="BodyText"/>
        <w:spacing w:before="6"/>
        <w:rPr>
          <w:sz w:val="1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29"/>
        <w:gridCol w:w="8143"/>
      </w:tblGrid>
      <w:tr>
        <w:trPr>
          <w:trHeight w:val="775" w:hRule="atLeast"/>
        </w:trPr>
        <w:tc>
          <w:tcPr>
            <w:tcW w:w="943" w:type="dxa"/>
          </w:tcPr>
          <w:p>
            <w:pPr>
              <w:pStyle w:val="TableParagraph"/>
              <w:spacing w:before="0"/>
              <w:rPr>
                <w:rFonts w:ascii="Times New Roman"/>
                <w:sz w:val="20"/>
              </w:rPr>
            </w:pPr>
          </w:p>
        </w:tc>
        <w:tc>
          <w:tcPr>
            <w:tcW w:w="1529" w:type="dxa"/>
          </w:tcPr>
          <w:p>
            <w:pPr>
              <w:pStyle w:val="TableParagraph"/>
              <w:spacing w:before="0"/>
              <w:rPr>
                <w:rFonts w:ascii="Times New Roman"/>
                <w:sz w:val="20"/>
              </w:rPr>
            </w:pPr>
          </w:p>
        </w:tc>
        <w:tc>
          <w:tcPr>
            <w:tcW w:w="8143" w:type="dxa"/>
          </w:tcPr>
          <w:p>
            <w:pPr>
              <w:pStyle w:val="TableParagraph"/>
              <w:numPr>
                <w:ilvl w:val="0"/>
                <w:numId w:val="21"/>
              </w:numPr>
              <w:tabs>
                <w:tab w:pos="735" w:val="left" w:leader="none"/>
              </w:tabs>
              <w:spacing w:line="210" w:lineRule="exact" w:before="0" w:after="0"/>
              <w:ind w:left="734" w:right="0" w:hanging="630"/>
              <w:jc w:val="left"/>
              <w:rPr>
                <w:sz w:val="21"/>
              </w:rPr>
            </w:pPr>
            <w:r>
              <w:rPr>
                <w:sz w:val="21"/>
              </w:rPr>
              <w:t>动脉内膜切除术；</w:t>
            </w:r>
          </w:p>
          <w:p>
            <w:pPr>
              <w:pStyle w:val="TableParagraph"/>
              <w:numPr>
                <w:ilvl w:val="0"/>
                <w:numId w:val="21"/>
              </w:numPr>
              <w:tabs>
                <w:tab w:pos="735" w:val="left" w:leader="none"/>
              </w:tabs>
              <w:spacing w:line="240" w:lineRule="auto" w:before="115" w:after="0"/>
              <w:ind w:left="734" w:right="0" w:hanging="630"/>
              <w:jc w:val="left"/>
              <w:rPr>
                <w:sz w:val="21"/>
              </w:rPr>
            </w:pPr>
            <w:r>
              <w:rPr>
                <w:sz w:val="21"/>
              </w:rPr>
              <w:t>血管介入手术，例如血管成形术及／或进行植入支架或动脉粥样瘤清除手术。</w:t>
            </w:r>
          </w:p>
        </w:tc>
      </w:tr>
      <w:tr>
        <w:trPr>
          <w:trHeight w:val="2041" w:hRule="atLeast"/>
        </w:trPr>
        <w:tc>
          <w:tcPr>
            <w:tcW w:w="943" w:type="dxa"/>
          </w:tcPr>
          <w:p>
            <w:pPr>
              <w:pStyle w:val="TableParagraph"/>
              <w:ind w:right="106"/>
              <w:jc w:val="right"/>
              <w:rPr>
                <w:sz w:val="21"/>
              </w:rPr>
            </w:pPr>
            <w:r>
              <w:rPr>
                <w:sz w:val="21"/>
              </w:rPr>
              <w:t>9.1.10</w:t>
            </w:r>
          </w:p>
        </w:tc>
        <w:tc>
          <w:tcPr>
            <w:tcW w:w="1529" w:type="dxa"/>
          </w:tcPr>
          <w:p>
            <w:pPr>
              <w:pStyle w:val="TableParagraph"/>
              <w:spacing w:line="273" w:lineRule="auto"/>
              <w:ind w:left="107" w:right="101"/>
              <w:jc w:val="both"/>
              <w:rPr>
                <w:sz w:val="21"/>
              </w:rPr>
            </w:pPr>
            <w:r>
              <w:rPr>
                <w:sz w:val="21"/>
              </w:rPr>
              <w:t>脑垂体瘤、脑囊肿及脑血管瘤</w:t>
            </w:r>
          </w:p>
        </w:tc>
        <w:tc>
          <w:tcPr>
            <w:tcW w:w="8143" w:type="dxa"/>
          </w:tcPr>
          <w:p>
            <w:pPr>
              <w:pStyle w:val="TableParagraph"/>
              <w:spacing w:line="273" w:lineRule="auto"/>
              <w:ind w:left="104" w:right="304"/>
              <w:rPr>
                <w:sz w:val="21"/>
              </w:rPr>
            </w:pPr>
            <w:r>
              <w:rPr>
                <w:spacing w:val="-2"/>
                <w:sz w:val="21"/>
              </w:rPr>
              <w:t>指经头颅断层扫描</w:t>
            </w:r>
            <w:r>
              <w:rPr>
                <w:spacing w:val="-1"/>
                <w:sz w:val="21"/>
              </w:rPr>
              <w:t>（CT</w:t>
            </w:r>
            <w:r>
              <w:rPr>
                <w:spacing w:val="-106"/>
                <w:sz w:val="21"/>
              </w:rPr>
              <w:t>）</w:t>
            </w:r>
            <w:r>
              <w:rPr>
                <w:spacing w:val="-5"/>
                <w:sz w:val="21"/>
              </w:rPr>
              <w:t>、核磁共振</w:t>
            </w:r>
            <w:r>
              <w:rPr>
                <w:spacing w:val="-1"/>
                <w:sz w:val="21"/>
              </w:rPr>
              <w:t>（MRI</w:t>
            </w:r>
            <w:r>
              <w:rPr>
                <w:spacing w:val="-8"/>
                <w:sz w:val="21"/>
              </w:rPr>
              <w:t>）</w:t>
            </w:r>
            <w:r>
              <w:rPr>
                <w:spacing w:val="-2"/>
                <w:sz w:val="21"/>
              </w:rPr>
              <w:t>或其他影像学检查被确诊为下列病变，并已经实施了手术或放射治疗。</w:t>
            </w:r>
          </w:p>
          <w:p>
            <w:pPr>
              <w:pStyle w:val="TableParagraph"/>
              <w:numPr>
                <w:ilvl w:val="0"/>
                <w:numId w:val="22"/>
              </w:numPr>
              <w:tabs>
                <w:tab w:pos="735" w:val="left" w:leader="none"/>
              </w:tabs>
              <w:spacing w:line="240" w:lineRule="auto" w:before="85" w:after="0"/>
              <w:ind w:left="734" w:right="0" w:hanging="630"/>
              <w:jc w:val="left"/>
              <w:rPr>
                <w:sz w:val="21"/>
              </w:rPr>
            </w:pPr>
            <w:r>
              <w:rPr>
                <w:sz w:val="21"/>
              </w:rPr>
              <w:t>脑垂体瘤；</w:t>
            </w:r>
          </w:p>
          <w:p>
            <w:pPr>
              <w:pStyle w:val="TableParagraph"/>
              <w:numPr>
                <w:ilvl w:val="0"/>
                <w:numId w:val="22"/>
              </w:numPr>
              <w:tabs>
                <w:tab w:pos="735" w:val="left" w:leader="none"/>
              </w:tabs>
              <w:spacing w:line="240" w:lineRule="auto" w:before="114" w:after="0"/>
              <w:ind w:left="734" w:right="0" w:hanging="630"/>
              <w:jc w:val="left"/>
              <w:rPr>
                <w:sz w:val="21"/>
              </w:rPr>
            </w:pPr>
            <w:r>
              <w:rPr>
                <w:sz w:val="21"/>
              </w:rPr>
              <w:t>脑囊肿；</w:t>
            </w:r>
          </w:p>
          <w:p>
            <w:pPr>
              <w:pStyle w:val="TableParagraph"/>
              <w:numPr>
                <w:ilvl w:val="0"/>
                <w:numId w:val="22"/>
              </w:numPr>
              <w:tabs>
                <w:tab w:pos="735" w:val="left" w:leader="none"/>
              </w:tabs>
              <w:spacing w:line="240" w:lineRule="auto" w:before="114" w:after="0"/>
              <w:ind w:left="734" w:right="0" w:hanging="630"/>
              <w:jc w:val="left"/>
              <w:rPr>
                <w:sz w:val="21"/>
              </w:rPr>
            </w:pPr>
            <w:r>
              <w:rPr>
                <w:sz w:val="21"/>
              </w:rPr>
              <w:t>脑血管瘤。</w:t>
            </w:r>
          </w:p>
        </w:tc>
      </w:tr>
      <w:tr>
        <w:trPr>
          <w:trHeight w:val="1183" w:hRule="atLeast"/>
        </w:trPr>
        <w:tc>
          <w:tcPr>
            <w:tcW w:w="943" w:type="dxa"/>
          </w:tcPr>
          <w:p>
            <w:pPr>
              <w:pStyle w:val="TableParagraph"/>
              <w:spacing w:before="109"/>
              <w:ind w:right="106"/>
              <w:jc w:val="right"/>
              <w:rPr>
                <w:sz w:val="21"/>
              </w:rPr>
            </w:pPr>
            <w:r>
              <w:rPr>
                <w:sz w:val="21"/>
              </w:rPr>
              <w:t>9.1.11</w:t>
            </w:r>
          </w:p>
        </w:tc>
        <w:tc>
          <w:tcPr>
            <w:tcW w:w="1529" w:type="dxa"/>
          </w:tcPr>
          <w:p>
            <w:pPr>
              <w:pStyle w:val="TableParagraph"/>
              <w:spacing w:before="109"/>
              <w:ind w:left="107"/>
              <w:rPr>
                <w:sz w:val="21"/>
              </w:rPr>
            </w:pPr>
            <w:r>
              <w:rPr>
                <w:sz w:val="21"/>
              </w:rPr>
              <w:t>运动神经元病</w:t>
            </w:r>
          </w:p>
        </w:tc>
        <w:tc>
          <w:tcPr>
            <w:tcW w:w="8143" w:type="dxa"/>
          </w:tcPr>
          <w:p>
            <w:pPr>
              <w:pStyle w:val="TableParagraph"/>
              <w:spacing w:line="273" w:lineRule="auto" w:before="109"/>
              <w:ind w:left="104" w:right="302"/>
              <w:jc w:val="both"/>
              <w:rPr>
                <w:sz w:val="21"/>
              </w:rPr>
            </w:pPr>
            <w:r>
              <w:rPr>
                <w:spacing w:val="-2"/>
                <w:sz w:val="21"/>
              </w:rPr>
              <w:t>是一组中枢神经系统运动神经元的进行性变性疾病，包括进行性脊肌萎缩症、进行性</w:t>
            </w:r>
            <w:r>
              <w:rPr>
                <w:spacing w:val="-6"/>
                <w:sz w:val="21"/>
              </w:rPr>
              <w:t>延髓麻痹症、原发性侧索硬化症、肌萎缩性侧索硬化症，并须满足自主生活能力部分丧失，无法独立完成六项基本日常生活活动中的两项条件。</w:t>
            </w:r>
          </w:p>
        </w:tc>
      </w:tr>
      <w:tr>
        <w:trPr>
          <w:trHeight w:val="872" w:hRule="atLeast"/>
        </w:trPr>
        <w:tc>
          <w:tcPr>
            <w:tcW w:w="943" w:type="dxa"/>
          </w:tcPr>
          <w:p>
            <w:pPr>
              <w:pStyle w:val="TableParagraph"/>
              <w:ind w:right="106"/>
              <w:jc w:val="right"/>
              <w:rPr>
                <w:sz w:val="21"/>
              </w:rPr>
            </w:pPr>
            <w:r>
              <w:rPr>
                <w:sz w:val="21"/>
              </w:rPr>
              <w:t>9.1.12</w:t>
            </w:r>
          </w:p>
        </w:tc>
        <w:tc>
          <w:tcPr>
            <w:tcW w:w="1529" w:type="dxa"/>
          </w:tcPr>
          <w:p>
            <w:pPr>
              <w:pStyle w:val="TableParagraph"/>
              <w:spacing w:line="273" w:lineRule="auto"/>
              <w:ind w:left="107" w:right="101"/>
              <w:rPr>
                <w:sz w:val="21"/>
              </w:rPr>
            </w:pPr>
            <w:r>
              <w:rPr>
                <w:sz w:val="21"/>
              </w:rPr>
              <w:t>颅脑手术（轻症）</w:t>
            </w:r>
          </w:p>
        </w:tc>
        <w:tc>
          <w:tcPr>
            <w:tcW w:w="8143" w:type="dxa"/>
          </w:tcPr>
          <w:p>
            <w:pPr>
              <w:pStyle w:val="TableParagraph"/>
              <w:spacing w:line="273" w:lineRule="auto"/>
              <w:ind w:left="104" w:right="245"/>
              <w:rPr>
                <w:rFonts w:ascii="黑体" w:eastAsia="黑体" w:hint="eastAsia"/>
                <w:sz w:val="21"/>
              </w:rPr>
            </w:pPr>
            <w:r>
              <w:rPr>
                <w:sz w:val="21"/>
              </w:rPr>
              <w:t>指被保险人因疾病已经实施全麻下的颅骨钻孔手术或经鼻蝶窦入颅手术。</w:t>
            </w:r>
            <w:r>
              <w:rPr>
                <w:rFonts w:ascii="黑体" w:eastAsia="黑体" w:hint="eastAsia"/>
                <w:sz w:val="21"/>
              </w:rPr>
              <w:t>因外伤而实施的颅脑手术不在保障范围内。</w:t>
            </w:r>
          </w:p>
        </w:tc>
      </w:tr>
      <w:tr>
        <w:trPr>
          <w:trHeight w:val="2275" w:hRule="atLeast"/>
        </w:trPr>
        <w:tc>
          <w:tcPr>
            <w:tcW w:w="943" w:type="dxa"/>
          </w:tcPr>
          <w:p>
            <w:pPr>
              <w:pStyle w:val="TableParagraph"/>
              <w:ind w:right="105"/>
              <w:jc w:val="right"/>
              <w:rPr>
                <w:sz w:val="21"/>
              </w:rPr>
            </w:pPr>
            <w:r>
              <w:rPr>
                <w:sz w:val="21"/>
              </w:rPr>
              <w:t>9.1.13</w:t>
            </w:r>
          </w:p>
        </w:tc>
        <w:tc>
          <w:tcPr>
            <w:tcW w:w="1529" w:type="dxa"/>
          </w:tcPr>
          <w:p>
            <w:pPr>
              <w:pStyle w:val="TableParagraph"/>
              <w:ind w:left="108"/>
              <w:rPr>
                <w:sz w:val="21"/>
              </w:rPr>
            </w:pPr>
            <w:r>
              <w:rPr>
                <w:sz w:val="21"/>
              </w:rPr>
              <w:t>脑损伤</w:t>
            </w:r>
          </w:p>
        </w:tc>
        <w:tc>
          <w:tcPr>
            <w:tcW w:w="8143" w:type="dxa"/>
          </w:tcPr>
          <w:p>
            <w:pPr>
              <w:pStyle w:val="TableParagraph"/>
              <w:spacing w:line="273" w:lineRule="auto"/>
              <w:ind w:left="104" w:right="266"/>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1"/>
                <w:sz w:val="21"/>
              </w:rPr>
              <w:t>T</w:t>
            </w:r>
            <w:r>
              <w:rPr>
                <w:spacing w:val="-104"/>
                <w:sz w:val="21"/>
              </w:rPr>
              <w:t>）</w:t>
            </w:r>
            <w:r>
              <w:rPr>
                <w:sz w:val="21"/>
              </w:rPr>
              <w:t>、核磁共振检查</w:t>
            </w:r>
            <w:r>
              <w:rPr>
                <w:spacing w:val="1"/>
                <w:sz w:val="21"/>
              </w:rPr>
              <w:t>（</w:t>
            </w:r>
            <w:r>
              <w:rPr>
                <w:spacing w:val="-1"/>
                <w:sz w:val="21"/>
              </w:rPr>
              <w:t>MR</w:t>
            </w:r>
            <w:r>
              <w:rPr>
                <w:spacing w:val="0"/>
                <w:sz w:val="21"/>
              </w:rPr>
              <w:t>I</w:t>
            </w:r>
            <w:r>
              <w:rPr>
                <w:spacing w:val="1"/>
                <w:sz w:val="21"/>
              </w:rPr>
              <w:t>）</w:t>
            </w:r>
            <w:r>
              <w:rPr>
                <w:sz w:val="21"/>
              </w:rPr>
              <w:t>或正电子发射断层扫描</w:t>
            </w:r>
            <w:r>
              <w:rPr>
                <w:spacing w:val="1"/>
                <w:sz w:val="21"/>
              </w:rPr>
              <w:t>（</w:t>
            </w:r>
            <w:r>
              <w:rPr>
                <w:sz w:val="21"/>
              </w:rPr>
              <w:t>P</w:t>
            </w:r>
            <w:r>
              <w:rPr>
                <w:spacing w:val="-1"/>
                <w:sz w:val="21"/>
              </w:rPr>
              <w:t>E</w:t>
            </w:r>
            <w:r>
              <w:rPr>
                <w:spacing w:val="1"/>
                <w:sz w:val="21"/>
              </w:rPr>
              <w:t>T）等影</w:t>
            </w:r>
            <w:r>
              <w:rPr>
                <w:spacing w:val="-5"/>
                <w:sz w:val="21"/>
              </w:rPr>
              <w:t>像学检查证实。神经系统永久性的功能障碍，指脑损伤 </w:t>
            </w:r>
            <w:r>
              <w:rPr>
                <w:sz w:val="21"/>
              </w:rPr>
              <w:t>180</w:t>
            </w:r>
            <w:r>
              <w:rPr>
                <w:spacing w:val="-9"/>
                <w:sz w:val="21"/>
              </w:rPr>
              <w:t> 天后，并须满足下列条件之一：</w:t>
            </w:r>
          </w:p>
          <w:p>
            <w:pPr>
              <w:pStyle w:val="TableParagraph"/>
              <w:numPr>
                <w:ilvl w:val="0"/>
                <w:numId w:val="23"/>
              </w:numPr>
              <w:tabs>
                <w:tab w:pos="735" w:val="left" w:leader="none"/>
              </w:tabs>
              <w:spacing w:line="240" w:lineRule="auto" w:before="85" w:after="0"/>
              <w:ind w:left="734" w:right="0" w:hanging="630"/>
              <w:jc w:val="both"/>
              <w:rPr>
                <w:sz w:val="21"/>
              </w:rPr>
            </w:pPr>
            <w:r>
              <w:rPr>
                <w:sz w:val="21"/>
              </w:rPr>
              <w:t>已接受全麻下颅骨切开颅内血肿清除术或颅骨钻孔术；</w:t>
            </w:r>
          </w:p>
          <w:p>
            <w:pPr>
              <w:pStyle w:val="TableParagraph"/>
              <w:numPr>
                <w:ilvl w:val="0"/>
                <w:numId w:val="23"/>
              </w:numPr>
              <w:tabs>
                <w:tab w:pos="735" w:val="left" w:leader="none"/>
              </w:tabs>
              <w:spacing w:line="240" w:lineRule="auto" w:before="114" w:after="0"/>
              <w:ind w:left="734" w:right="0" w:hanging="630"/>
              <w:jc w:val="both"/>
              <w:rPr>
                <w:sz w:val="21"/>
              </w:rPr>
            </w:pPr>
            <w:r>
              <w:rPr>
                <w:spacing w:val="-11"/>
                <w:sz w:val="21"/>
              </w:rPr>
              <w:t>在遭受外伤 </w:t>
            </w:r>
            <w:r>
              <w:rPr>
                <w:sz w:val="21"/>
              </w:rPr>
              <w:t>180</w:t>
            </w:r>
            <w:r>
              <w:rPr>
                <w:spacing w:val="-5"/>
                <w:sz w:val="21"/>
              </w:rPr>
              <w:t> 天后一肢或一肢以上肢体机能部分丧失，其肢体肌力为Ⅲ级。</w:t>
            </w:r>
          </w:p>
        </w:tc>
      </w:tr>
      <w:tr>
        <w:trPr>
          <w:trHeight w:val="1183" w:hRule="atLeast"/>
        </w:trPr>
        <w:tc>
          <w:tcPr>
            <w:tcW w:w="943" w:type="dxa"/>
          </w:tcPr>
          <w:p>
            <w:pPr>
              <w:pStyle w:val="TableParagraph"/>
              <w:ind w:right="106"/>
              <w:jc w:val="right"/>
              <w:rPr>
                <w:sz w:val="21"/>
              </w:rPr>
            </w:pPr>
            <w:r>
              <w:rPr>
                <w:sz w:val="21"/>
              </w:rPr>
              <w:t>9.1.14</w:t>
            </w:r>
          </w:p>
        </w:tc>
        <w:tc>
          <w:tcPr>
            <w:tcW w:w="1529" w:type="dxa"/>
          </w:tcPr>
          <w:p>
            <w:pPr>
              <w:pStyle w:val="TableParagraph"/>
              <w:ind w:left="107"/>
              <w:rPr>
                <w:sz w:val="21"/>
              </w:rPr>
            </w:pPr>
            <w:r>
              <w:rPr>
                <w:sz w:val="21"/>
              </w:rPr>
              <w:t>瘫痪（轻症）</w:t>
            </w:r>
          </w:p>
        </w:tc>
        <w:tc>
          <w:tcPr>
            <w:tcW w:w="8143" w:type="dxa"/>
          </w:tcPr>
          <w:p>
            <w:pPr>
              <w:pStyle w:val="TableParagraph"/>
              <w:spacing w:line="273" w:lineRule="auto"/>
              <w:ind w:left="104" w:right="198"/>
              <w:rPr>
                <w:sz w:val="21"/>
              </w:rPr>
            </w:pPr>
            <w:r>
              <w:rPr>
                <w:spacing w:val="-2"/>
                <w:sz w:val="21"/>
              </w:rPr>
              <w:t>指因疾病或意外伤害导致一肢肢体机能永久完全丧失，肢体机能永久完全丧失，指疾</w:t>
            </w:r>
            <w:r>
              <w:rPr>
                <w:spacing w:val="-18"/>
                <w:sz w:val="21"/>
              </w:rPr>
              <w:t>病确诊 </w:t>
            </w:r>
            <w:r>
              <w:rPr>
                <w:sz w:val="21"/>
              </w:rPr>
              <w:t>180</w:t>
            </w:r>
            <w:r>
              <w:rPr>
                <w:spacing w:val="-15"/>
                <w:sz w:val="21"/>
              </w:rPr>
              <w:t> 天后或意外伤害发生 </w:t>
            </w:r>
            <w:r>
              <w:rPr>
                <w:sz w:val="21"/>
              </w:rPr>
              <w:t>180</w:t>
            </w:r>
            <w:r>
              <w:rPr>
                <w:spacing w:val="-14"/>
                <w:sz w:val="21"/>
              </w:rPr>
              <w:t> 天后，每肢三大关节中的两大关节仍然完全僵硬， 或不能随意识活动。</w:t>
            </w:r>
          </w:p>
        </w:tc>
      </w:tr>
      <w:tr>
        <w:trPr>
          <w:trHeight w:val="872" w:hRule="atLeast"/>
        </w:trPr>
        <w:tc>
          <w:tcPr>
            <w:tcW w:w="943" w:type="dxa"/>
          </w:tcPr>
          <w:p>
            <w:pPr>
              <w:pStyle w:val="TableParagraph"/>
              <w:ind w:right="106"/>
              <w:jc w:val="right"/>
              <w:rPr>
                <w:sz w:val="21"/>
              </w:rPr>
            </w:pPr>
            <w:r>
              <w:rPr>
                <w:sz w:val="21"/>
              </w:rPr>
              <w:t>9.1.15</w:t>
            </w:r>
          </w:p>
        </w:tc>
        <w:tc>
          <w:tcPr>
            <w:tcW w:w="1529" w:type="dxa"/>
          </w:tcPr>
          <w:p>
            <w:pPr>
              <w:pStyle w:val="TableParagraph"/>
              <w:ind w:left="107"/>
              <w:rPr>
                <w:sz w:val="21"/>
              </w:rPr>
            </w:pPr>
            <w:r>
              <w:rPr>
                <w:sz w:val="21"/>
              </w:rPr>
              <w:t>胆道重建手术</w:t>
            </w:r>
          </w:p>
        </w:tc>
        <w:tc>
          <w:tcPr>
            <w:tcW w:w="8143" w:type="dxa"/>
          </w:tcPr>
          <w:p>
            <w:pPr>
              <w:pStyle w:val="TableParagraph"/>
              <w:spacing w:line="273" w:lineRule="auto"/>
              <w:ind w:left="104" w:right="245"/>
              <w:rPr>
                <w:sz w:val="21"/>
              </w:rPr>
            </w:pPr>
            <w:r>
              <w:rPr>
                <w:sz w:val="21"/>
              </w:rPr>
              <w:t>指为治疗疾病或意外损伤，已经实施了胆总管小肠吻合术的胆道重建手术。手术必须由本公司认可的医院的专科医生认为是医疗所需的情况下进</w:t>
            </w:r>
            <w:r>
              <w:rPr>
                <w:rFonts w:ascii="Times New Roman" w:eastAsia="Times New Roman"/>
                <w:w w:val="110"/>
                <w:sz w:val="21"/>
              </w:rPr>
              <w:t>行</w:t>
            </w:r>
            <w:r>
              <w:rPr>
                <w:sz w:val="21"/>
              </w:rPr>
              <w:t>。</w:t>
            </w:r>
          </w:p>
        </w:tc>
      </w:tr>
      <w:tr>
        <w:trPr>
          <w:trHeight w:val="871" w:hRule="atLeast"/>
        </w:trPr>
        <w:tc>
          <w:tcPr>
            <w:tcW w:w="943" w:type="dxa"/>
          </w:tcPr>
          <w:p>
            <w:pPr>
              <w:pStyle w:val="TableParagraph"/>
              <w:ind w:right="106"/>
              <w:jc w:val="right"/>
              <w:rPr>
                <w:sz w:val="21"/>
              </w:rPr>
            </w:pPr>
            <w:r>
              <w:rPr>
                <w:sz w:val="21"/>
              </w:rPr>
              <w:t>9.1.16</w:t>
            </w:r>
          </w:p>
        </w:tc>
        <w:tc>
          <w:tcPr>
            <w:tcW w:w="1529" w:type="dxa"/>
          </w:tcPr>
          <w:p>
            <w:pPr>
              <w:pStyle w:val="TableParagraph"/>
              <w:ind w:left="107"/>
              <w:rPr>
                <w:sz w:val="21"/>
              </w:rPr>
            </w:pPr>
            <w:r>
              <w:rPr>
                <w:sz w:val="21"/>
              </w:rPr>
              <w:t>肝叶切除手术</w:t>
            </w:r>
          </w:p>
        </w:tc>
        <w:tc>
          <w:tcPr>
            <w:tcW w:w="8143" w:type="dxa"/>
          </w:tcPr>
          <w:p>
            <w:pPr>
              <w:pStyle w:val="TableParagraph"/>
              <w:spacing w:line="273" w:lineRule="auto"/>
              <w:ind w:left="104" w:right="245"/>
              <w:rPr>
                <w:rFonts w:ascii="黑体" w:eastAsia="黑体" w:hint="eastAsia"/>
                <w:sz w:val="21"/>
              </w:rPr>
            </w:pPr>
            <w:r>
              <w:rPr>
                <w:sz w:val="21"/>
              </w:rPr>
              <w:t>指为治疗疾病或意外损伤，已经实施了至少一整叶肝脏切除。</w:t>
            </w:r>
            <w:r>
              <w:rPr>
                <w:rFonts w:ascii="黑体" w:eastAsia="黑体" w:hint="eastAsia"/>
                <w:sz w:val="21"/>
              </w:rPr>
              <w:t>因酒精或滥用药物引致的疾病或紊乱及／或因捐赠肝脏而所需的肝叶切除均不在保障范围内。</w:t>
            </w:r>
          </w:p>
        </w:tc>
      </w:tr>
      <w:tr>
        <w:trPr>
          <w:trHeight w:val="2041" w:hRule="atLeast"/>
        </w:trPr>
        <w:tc>
          <w:tcPr>
            <w:tcW w:w="943" w:type="dxa"/>
          </w:tcPr>
          <w:p>
            <w:pPr>
              <w:pStyle w:val="TableParagraph"/>
              <w:ind w:right="106"/>
              <w:jc w:val="right"/>
              <w:rPr>
                <w:sz w:val="21"/>
              </w:rPr>
            </w:pPr>
            <w:r>
              <w:rPr>
                <w:sz w:val="21"/>
              </w:rPr>
              <w:t>9.1.17</w:t>
            </w:r>
          </w:p>
        </w:tc>
        <w:tc>
          <w:tcPr>
            <w:tcW w:w="1529" w:type="dxa"/>
          </w:tcPr>
          <w:p>
            <w:pPr>
              <w:pStyle w:val="TableParagraph"/>
              <w:ind w:left="107"/>
              <w:rPr>
                <w:sz w:val="21"/>
              </w:rPr>
            </w:pPr>
            <w:r>
              <w:rPr>
                <w:sz w:val="21"/>
              </w:rPr>
              <w:t>视力严重受损</w:t>
            </w:r>
          </w:p>
        </w:tc>
        <w:tc>
          <w:tcPr>
            <w:tcW w:w="8143" w:type="dxa"/>
          </w:tcPr>
          <w:p>
            <w:pPr>
              <w:pStyle w:val="TableParagraph"/>
              <w:ind w:left="104"/>
              <w:rPr>
                <w:sz w:val="21"/>
              </w:rPr>
            </w:pPr>
            <w:r>
              <w:rPr>
                <w:sz w:val="21"/>
              </w:rPr>
              <w:t>指因疾病或意外伤害导致双眼视力永久不可逆性丧失，并满足下列条件之一：</w:t>
            </w:r>
          </w:p>
          <w:p>
            <w:pPr>
              <w:pStyle w:val="TableParagraph"/>
              <w:numPr>
                <w:ilvl w:val="0"/>
                <w:numId w:val="24"/>
              </w:numPr>
              <w:tabs>
                <w:tab w:pos="706" w:val="left" w:leader="none"/>
              </w:tabs>
              <w:spacing w:line="273" w:lineRule="auto" w:before="115" w:after="0"/>
              <w:ind w:left="705" w:right="303" w:hanging="601"/>
              <w:jc w:val="left"/>
              <w:rPr>
                <w:sz w:val="21"/>
              </w:rPr>
            </w:pPr>
            <w:r>
              <w:rPr>
                <w:spacing w:val="-3"/>
                <w:sz w:val="21"/>
              </w:rPr>
              <w:t>双眼中较好眼矫正视力低于 </w:t>
            </w:r>
            <w:r>
              <w:rPr>
                <w:sz w:val="21"/>
              </w:rPr>
              <w:t>0.1（采用国际标准视力表，如果使用其他视力表应进行换算</w:t>
            </w:r>
            <w:r>
              <w:rPr>
                <w:spacing w:val="-106"/>
                <w:sz w:val="21"/>
              </w:rPr>
              <w:t>）</w:t>
            </w:r>
            <w:r>
              <w:rPr>
                <w:sz w:val="21"/>
              </w:rPr>
              <w:t>；</w:t>
            </w:r>
          </w:p>
          <w:p>
            <w:pPr>
              <w:pStyle w:val="TableParagraph"/>
              <w:numPr>
                <w:ilvl w:val="0"/>
                <w:numId w:val="24"/>
              </w:numPr>
              <w:tabs>
                <w:tab w:pos="706" w:val="left" w:leader="none"/>
              </w:tabs>
              <w:spacing w:line="240" w:lineRule="auto" w:before="85" w:after="0"/>
              <w:ind w:left="705" w:right="0" w:hanging="601"/>
              <w:jc w:val="left"/>
              <w:rPr>
                <w:sz w:val="21"/>
              </w:rPr>
            </w:pPr>
            <w:r>
              <w:rPr>
                <w:spacing w:val="-5"/>
                <w:sz w:val="21"/>
              </w:rPr>
              <w:t>双眼中较好眼视野半径小于 </w:t>
            </w:r>
            <w:r>
              <w:rPr>
                <w:sz w:val="21"/>
              </w:rPr>
              <w:t>20</w:t>
            </w:r>
            <w:r>
              <w:rPr>
                <w:spacing w:val="-20"/>
                <w:sz w:val="21"/>
              </w:rPr>
              <w:t> 度。</w:t>
            </w:r>
          </w:p>
          <w:p>
            <w:pPr>
              <w:pStyle w:val="TableParagraph"/>
              <w:spacing w:before="114"/>
              <w:ind w:left="104"/>
              <w:rPr>
                <w:rFonts w:ascii="黑体" w:eastAsia="黑体" w:hint="eastAsia"/>
                <w:sz w:val="21"/>
              </w:rPr>
            </w:pPr>
            <w:r>
              <w:rPr>
                <w:rFonts w:ascii="黑体" w:eastAsia="黑体" w:hint="eastAsia"/>
                <w:sz w:val="21"/>
              </w:rPr>
              <w:t>被保险人在 3 周岁之前因疾病导致视力严重受损不在保障范围内。</w:t>
            </w:r>
          </w:p>
        </w:tc>
      </w:tr>
      <w:tr>
        <w:trPr>
          <w:trHeight w:val="1555" w:hRule="atLeast"/>
        </w:trPr>
        <w:tc>
          <w:tcPr>
            <w:tcW w:w="943" w:type="dxa"/>
          </w:tcPr>
          <w:p>
            <w:pPr>
              <w:pStyle w:val="TableParagraph"/>
              <w:ind w:right="105"/>
              <w:jc w:val="right"/>
              <w:rPr>
                <w:sz w:val="21"/>
              </w:rPr>
            </w:pPr>
            <w:r>
              <w:rPr>
                <w:sz w:val="21"/>
              </w:rPr>
              <w:t>9.1.18</w:t>
            </w:r>
          </w:p>
        </w:tc>
        <w:tc>
          <w:tcPr>
            <w:tcW w:w="1529" w:type="dxa"/>
          </w:tcPr>
          <w:p>
            <w:pPr>
              <w:pStyle w:val="TableParagraph"/>
              <w:ind w:left="108"/>
              <w:rPr>
                <w:sz w:val="21"/>
              </w:rPr>
            </w:pPr>
            <w:r>
              <w:rPr>
                <w:sz w:val="21"/>
              </w:rPr>
              <w:t>单目失明</w:t>
            </w:r>
          </w:p>
        </w:tc>
        <w:tc>
          <w:tcPr>
            <w:tcW w:w="8143" w:type="dxa"/>
          </w:tcPr>
          <w:p>
            <w:pPr>
              <w:pStyle w:val="TableParagraph"/>
              <w:ind w:left="104"/>
              <w:rPr>
                <w:sz w:val="21"/>
              </w:rPr>
            </w:pPr>
            <w:r>
              <w:rPr>
                <w:sz w:val="21"/>
              </w:rPr>
              <w:t>指因疾病或意外伤害导致单眼视力永久不可逆性丧失，并须满足下列至少一项条件：</w:t>
            </w:r>
          </w:p>
          <w:p>
            <w:pPr>
              <w:pStyle w:val="TableParagraph"/>
              <w:numPr>
                <w:ilvl w:val="0"/>
                <w:numId w:val="25"/>
              </w:numPr>
              <w:tabs>
                <w:tab w:pos="735" w:val="left" w:leader="none"/>
              </w:tabs>
              <w:spacing w:line="240" w:lineRule="auto" w:before="114" w:after="0"/>
              <w:ind w:left="734" w:right="0" w:hanging="630"/>
              <w:jc w:val="left"/>
              <w:rPr>
                <w:sz w:val="21"/>
              </w:rPr>
            </w:pPr>
            <w:r>
              <w:rPr>
                <w:sz w:val="21"/>
              </w:rPr>
              <w:t>眼球缺失或摘除；</w:t>
            </w:r>
          </w:p>
          <w:p>
            <w:pPr>
              <w:pStyle w:val="TableParagraph"/>
              <w:numPr>
                <w:ilvl w:val="0"/>
                <w:numId w:val="25"/>
              </w:numPr>
              <w:tabs>
                <w:tab w:pos="735" w:val="left" w:leader="none"/>
              </w:tabs>
              <w:spacing w:line="240" w:lineRule="auto" w:before="114" w:after="0"/>
              <w:ind w:left="734" w:right="0" w:hanging="630"/>
              <w:jc w:val="left"/>
              <w:rPr>
                <w:sz w:val="21"/>
              </w:rPr>
            </w:pPr>
            <w:r>
              <w:rPr>
                <w:spacing w:val="-8"/>
                <w:sz w:val="21"/>
              </w:rPr>
              <w:t>矫正视力低于 </w:t>
            </w:r>
            <w:r>
              <w:rPr>
                <w:sz w:val="21"/>
              </w:rPr>
              <w:t>0.0</w:t>
            </w:r>
            <w:r>
              <w:rPr>
                <w:spacing w:val="-45"/>
                <w:sz w:val="21"/>
              </w:rPr>
              <w:t>2</w:t>
            </w:r>
            <w:r>
              <w:rPr>
                <w:sz w:val="21"/>
              </w:rPr>
              <w:t>（</w:t>
            </w:r>
            <w:r>
              <w:rPr>
                <w:spacing w:val="-5"/>
                <w:sz w:val="21"/>
              </w:rPr>
              <w:t>采用国际标准视力表，如果使用其它视力表应进行换算</w:t>
            </w:r>
            <w:r>
              <w:rPr>
                <w:spacing w:val="-105"/>
                <w:sz w:val="21"/>
              </w:rPr>
              <w:t>）</w:t>
            </w:r>
            <w:r>
              <w:rPr>
                <w:sz w:val="21"/>
              </w:rPr>
              <w:t>；</w:t>
            </w:r>
          </w:p>
          <w:p>
            <w:pPr>
              <w:pStyle w:val="TableParagraph"/>
              <w:numPr>
                <w:ilvl w:val="0"/>
                <w:numId w:val="25"/>
              </w:numPr>
              <w:tabs>
                <w:tab w:pos="735" w:val="left" w:leader="none"/>
              </w:tabs>
              <w:spacing w:line="255" w:lineRule="exact" w:before="114" w:after="0"/>
              <w:ind w:left="734" w:right="0" w:hanging="630"/>
              <w:jc w:val="left"/>
              <w:rPr>
                <w:sz w:val="21"/>
              </w:rPr>
            </w:pPr>
            <w:r>
              <w:rPr>
                <w:spacing w:val="-8"/>
                <w:sz w:val="21"/>
              </w:rPr>
              <w:t>视野半径小于 </w:t>
            </w:r>
            <w:r>
              <w:rPr>
                <w:sz w:val="21"/>
              </w:rPr>
              <w:t>5</w:t>
            </w:r>
            <w:r>
              <w:rPr>
                <w:spacing w:val="-18"/>
                <w:sz w:val="21"/>
              </w:rPr>
              <w:t> 度。</w:t>
            </w:r>
          </w:p>
        </w:tc>
      </w:tr>
    </w:tbl>
    <w:p>
      <w:pPr>
        <w:spacing w:after="0" w:line="255" w:lineRule="exact"/>
        <w:jc w:val="left"/>
        <w:rPr>
          <w:sz w:val="21"/>
        </w:rPr>
        <w:sectPr>
          <w:pgSz w:w="11900" w:h="16840"/>
          <w:pgMar w:top="1100" w:bottom="280" w:left="820" w:right="2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29"/>
        <w:gridCol w:w="8074"/>
      </w:tblGrid>
      <w:tr>
        <w:trPr>
          <w:trHeight w:val="385" w:hRule="atLeast"/>
        </w:trPr>
        <w:tc>
          <w:tcPr>
            <w:tcW w:w="943" w:type="dxa"/>
          </w:tcPr>
          <w:p>
            <w:pPr>
              <w:pStyle w:val="TableParagraph"/>
              <w:spacing w:before="0"/>
              <w:rPr>
                <w:rFonts w:ascii="Times New Roman"/>
                <w:sz w:val="20"/>
              </w:rPr>
            </w:pPr>
          </w:p>
        </w:tc>
        <w:tc>
          <w:tcPr>
            <w:tcW w:w="1529" w:type="dxa"/>
          </w:tcPr>
          <w:p>
            <w:pPr>
              <w:pStyle w:val="TableParagraph"/>
              <w:spacing w:before="0"/>
              <w:rPr>
                <w:rFonts w:ascii="Times New Roman"/>
                <w:sz w:val="20"/>
              </w:rPr>
            </w:pPr>
          </w:p>
        </w:tc>
        <w:tc>
          <w:tcPr>
            <w:tcW w:w="8074" w:type="dxa"/>
          </w:tcPr>
          <w:p>
            <w:pPr>
              <w:pStyle w:val="TableParagraph"/>
              <w:spacing w:line="210" w:lineRule="exact" w:before="0"/>
              <w:ind w:left="104"/>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1573" w:hRule="atLeast"/>
        </w:trPr>
        <w:tc>
          <w:tcPr>
            <w:tcW w:w="943" w:type="dxa"/>
          </w:tcPr>
          <w:p>
            <w:pPr>
              <w:pStyle w:val="TableParagraph"/>
              <w:ind w:right="105"/>
              <w:jc w:val="right"/>
              <w:rPr>
                <w:sz w:val="21"/>
              </w:rPr>
            </w:pPr>
            <w:r>
              <w:rPr>
                <w:sz w:val="21"/>
              </w:rPr>
              <w:t>9.1.19</w:t>
            </w:r>
          </w:p>
        </w:tc>
        <w:tc>
          <w:tcPr>
            <w:tcW w:w="1529" w:type="dxa"/>
          </w:tcPr>
          <w:p>
            <w:pPr>
              <w:pStyle w:val="TableParagraph"/>
              <w:ind w:left="108"/>
              <w:rPr>
                <w:sz w:val="21"/>
              </w:rPr>
            </w:pPr>
            <w:r>
              <w:rPr>
                <w:sz w:val="21"/>
              </w:rPr>
              <w:t>单耳失聪</w:t>
            </w:r>
          </w:p>
        </w:tc>
        <w:tc>
          <w:tcPr>
            <w:tcW w:w="8074" w:type="dxa"/>
          </w:tcPr>
          <w:p>
            <w:pPr>
              <w:pStyle w:val="TableParagraph"/>
              <w:ind w:left="104"/>
              <w:rPr>
                <w:sz w:val="21"/>
              </w:rPr>
            </w:pPr>
            <w:r>
              <w:rPr>
                <w:spacing w:val="-5"/>
                <w:sz w:val="21"/>
              </w:rPr>
              <w:t>指因疾病或意外伤害导致单耳听力永久不可逆性丧失，在 </w:t>
            </w:r>
            <w:r>
              <w:rPr>
                <w:sz w:val="21"/>
              </w:rPr>
              <w:t>500</w:t>
            </w:r>
            <w:r>
              <w:rPr>
                <w:spacing w:val="-32"/>
                <w:sz w:val="21"/>
              </w:rPr>
              <w:t> 赫兹、</w:t>
            </w:r>
            <w:r>
              <w:rPr>
                <w:sz w:val="21"/>
              </w:rPr>
              <w:t>1000</w:t>
            </w:r>
            <w:r>
              <w:rPr>
                <w:spacing w:val="-22"/>
                <w:sz w:val="21"/>
              </w:rPr>
              <w:t> 赫兹和 </w:t>
            </w:r>
            <w:r>
              <w:rPr>
                <w:sz w:val="21"/>
              </w:rPr>
              <w:t>2000</w:t>
            </w:r>
          </w:p>
          <w:p>
            <w:pPr>
              <w:pStyle w:val="TableParagraph"/>
              <w:spacing w:line="273" w:lineRule="auto" w:before="36"/>
              <w:ind w:left="104" w:right="176"/>
              <w:rPr>
                <w:sz w:val="21"/>
              </w:rPr>
            </w:pPr>
            <w:r>
              <w:rPr>
                <w:sz w:val="21"/>
              </w:rPr>
              <w:t>赫兹语音频率下，平均听阈大于 90 分贝，且经纯音听力测试、声导抗检测或听觉诱发电位检测等证实。</w:t>
            </w:r>
          </w:p>
          <w:p>
            <w:pPr>
              <w:pStyle w:val="TableParagraph"/>
              <w:spacing w:before="85"/>
              <w:ind w:left="104"/>
              <w:rPr>
                <w:rFonts w:ascii="黑体" w:eastAsia="黑体" w:hint="eastAsia"/>
                <w:sz w:val="21"/>
              </w:rPr>
            </w:pPr>
            <w:r>
              <w:rPr>
                <w:rFonts w:ascii="黑体" w:eastAsia="黑体" w:hint="eastAsia"/>
                <w:sz w:val="21"/>
              </w:rPr>
              <w:t>被保险人在 3 周岁之前因疾病导致的单耳失聪不在保障范围内。</w:t>
            </w:r>
          </w:p>
        </w:tc>
      </w:tr>
      <w:tr>
        <w:trPr>
          <w:trHeight w:val="871" w:hRule="atLeast"/>
        </w:trPr>
        <w:tc>
          <w:tcPr>
            <w:tcW w:w="943" w:type="dxa"/>
          </w:tcPr>
          <w:p>
            <w:pPr>
              <w:pStyle w:val="TableParagraph"/>
              <w:ind w:right="106"/>
              <w:jc w:val="right"/>
              <w:rPr>
                <w:sz w:val="21"/>
              </w:rPr>
            </w:pPr>
            <w:r>
              <w:rPr>
                <w:sz w:val="21"/>
              </w:rPr>
              <w:t>9.1.20</w:t>
            </w:r>
          </w:p>
        </w:tc>
        <w:tc>
          <w:tcPr>
            <w:tcW w:w="1529" w:type="dxa"/>
          </w:tcPr>
          <w:p>
            <w:pPr>
              <w:pStyle w:val="TableParagraph"/>
              <w:spacing w:line="273" w:lineRule="auto"/>
              <w:ind w:left="107" w:right="101"/>
              <w:rPr>
                <w:sz w:val="21"/>
              </w:rPr>
            </w:pPr>
            <w:r>
              <w:rPr>
                <w:sz w:val="21"/>
              </w:rPr>
              <w:t>双侧睾丸切除手术</w:t>
            </w:r>
          </w:p>
        </w:tc>
        <w:tc>
          <w:tcPr>
            <w:tcW w:w="8074" w:type="dxa"/>
          </w:tcPr>
          <w:p>
            <w:pPr>
              <w:pStyle w:val="TableParagraph"/>
              <w:spacing w:line="273" w:lineRule="auto"/>
              <w:ind w:left="104" w:right="176"/>
              <w:rPr>
                <w:rFonts w:ascii="黑体" w:eastAsia="黑体" w:hint="eastAsia"/>
                <w:sz w:val="21"/>
              </w:rPr>
            </w:pPr>
            <w:r>
              <w:rPr>
                <w:sz w:val="21"/>
              </w:rPr>
              <w:t>指为治疗疾病或意外损伤，已经实施了双侧睾丸完全切除手术。</w:t>
            </w:r>
            <w:r>
              <w:rPr>
                <w:rFonts w:ascii="黑体" w:eastAsia="黑体" w:hint="eastAsia"/>
                <w:sz w:val="21"/>
              </w:rPr>
              <w:t>部分睾丸切除不在保障范围内。</w:t>
            </w:r>
          </w:p>
        </w:tc>
      </w:tr>
      <w:tr>
        <w:trPr>
          <w:trHeight w:val="872" w:hRule="atLeast"/>
        </w:trPr>
        <w:tc>
          <w:tcPr>
            <w:tcW w:w="943" w:type="dxa"/>
          </w:tcPr>
          <w:p>
            <w:pPr>
              <w:pStyle w:val="TableParagraph"/>
              <w:ind w:right="106"/>
              <w:jc w:val="right"/>
              <w:rPr>
                <w:sz w:val="21"/>
              </w:rPr>
            </w:pPr>
            <w:r>
              <w:rPr>
                <w:sz w:val="21"/>
              </w:rPr>
              <w:t>9.1.21</w:t>
            </w:r>
          </w:p>
        </w:tc>
        <w:tc>
          <w:tcPr>
            <w:tcW w:w="1529" w:type="dxa"/>
          </w:tcPr>
          <w:p>
            <w:pPr>
              <w:pStyle w:val="TableParagraph"/>
              <w:spacing w:line="273" w:lineRule="auto"/>
              <w:ind w:left="107" w:right="101"/>
              <w:rPr>
                <w:sz w:val="21"/>
              </w:rPr>
            </w:pPr>
            <w:r>
              <w:rPr>
                <w:sz w:val="21"/>
              </w:rPr>
              <w:t>单侧肾脏切除手术</w:t>
            </w:r>
          </w:p>
        </w:tc>
        <w:tc>
          <w:tcPr>
            <w:tcW w:w="8074" w:type="dxa"/>
          </w:tcPr>
          <w:p>
            <w:pPr>
              <w:pStyle w:val="TableParagraph"/>
              <w:spacing w:line="273" w:lineRule="auto"/>
              <w:ind w:left="104" w:right="176"/>
              <w:rPr>
                <w:rFonts w:ascii="黑体" w:eastAsia="黑体" w:hint="eastAsia"/>
                <w:sz w:val="21"/>
              </w:rPr>
            </w:pPr>
            <w:r>
              <w:rPr>
                <w:sz w:val="21"/>
              </w:rPr>
              <w:t>指为治疗疾病或意外损伤，已经实施了至少单侧肾脏切除手术。</w:t>
            </w:r>
            <w:r>
              <w:rPr>
                <w:rFonts w:ascii="黑体" w:eastAsia="黑体" w:hint="eastAsia"/>
                <w:sz w:val="21"/>
              </w:rPr>
              <w:t>肾脏部分切除手术或因捐赠肾脏而所需的肾脏切除手术不在保障范围内。</w:t>
            </w:r>
          </w:p>
        </w:tc>
      </w:tr>
      <w:tr>
        <w:trPr>
          <w:trHeight w:val="871" w:hRule="atLeast"/>
        </w:trPr>
        <w:tc>
          <w:tcPr>
            <w:tcW w:w="943" w:type="dxa"/>
          </w:tcPr>
          <w:p>
            <w:pPr>
              <w:pStyle w:val="TableParagraph"/>
              <w:ind w:right="106"/>
              <w:jc w:val="right"/>
              <w:rPr>
                <w:sz w:val="21"/>
              </w:rPr>
            </w:pPr>
            <w:r>
              <w:rPr>
                <w:sz w:val="21"/>
              </w:rPr>
              <w:t>9.1.22</w:t>
            </w:r>
          </w:p>
        </w:tc>
        <w:tc>
          <w:tcPr>
            <w:tcW w:w="1529" w:type="dxa"/>
          </w:tcPr>
          <w:p>
            <w:pPr>
              <w:pStyle w:val="TableParagraph"/>
              <w:spacing w:line="273" w:lineRule="auto"/>
              <w:ind w:left="107" w:right="101"/>
              <w:rPr>
                <w:sz w:val="21"/>
              </w:rPr>
            </w:pPr>
            <w:r>
              <w:rPr>
                <w:sz w:val="21"/>
              </w:rPr>
              <w:t>单侧肺脏切除手术</w:t>
            </w:r>
          </w:p>
        </w:tc>
        <w:tc>
          <w:tcPr>
            <w:tcW w:w="8074" w:type="dxa"/>
          </w:tcPr>
          <w:p>
            <w:pPr>
              <w:pStyle w:val="TableParagraph"/>
              <w:spacing w:line="273" w:lineRule="auto"/>
              <w:ind w:left="104" w:right="176"/>
              <w:rPr>
                <w:rFonts w:ascii="黑体" w:eastAsia="黑体" w:hint="eastAsia"/>
                <w:sz w:val="21"/>
              </w:rPr>
            </w:pPr>
            <w:r>
              <w:rPr>
                <w:sz w:val="21"/>
              </w:rPr>
              <w:t>指为治疗疾病或意外损伤，已经实施了至少一侧肺切除手术。</w:t>
            </w:r>
            <w:r>
              <w:rPr>
                <w:rFonts w:ascii="黑体" w:eastAsia="黑体" w:hint="eastAsia"/>
                <w:sz w:val="21"/>
              </w:rPr>
              <w:t>肺脏部分切除手术或因捐献肺而所需的肺切除手术不在保障范围内。</w:t>
            </w:r>
          </w:p>
        </w:tc>
      </w:tr>
      <w:tr>
        <w:trPr>
          <w:trHeight w:val="871" w:hRule="atLeast"/>
        </w:trPr>
        <w:tc>
          <w:tcPr>
            <w:tcW w:w="943" w:type="dxa"/>
          </w:tcPr>
          <w:p>
            <w:pPr>
              <w:pStyle w:val="TableParagraph"/>
              <w:spacing w:before="109"/>
              <w:ind w:right="106"/>
              <w:jc w:val="right"/>
              <w:rPr>
                <w:sz w:val="21"/>
              </w:rPr>
            </w:pPr>
            <w:r>
              <w:rPr>
                <w:sz w:val="21"/>
              </w:rPr>
              <w:t>9.1.23</w:t>
            </w:r>
          </w:p>
        </w:tc>
        <w:tc>
          <w:tcPr>
            <w:tcW w:w="1529" w:type="dxa"/>
          </w:tcPr>
          <w:p>
            <w:pPr>
              <w:pStyle w:val="TableParagraph"/>
              <w:spacing w:line="273" w:lineRule="auto" w:before="109"/>
              <w:ind w:left="107" w:right="101"/>
              <w:rPr>
                <w:sz w:val="21"/>
              </w:rPr>
            </w:pPr>
            <w:r>
              <w:rPr>
                <w:sz w:val="21"/>
              </w:rPr>
              <w:t>心包膜切除手术</w:t>
            </w:r>
          </w:p>
        </w:tc>
        <w:tc>
          <w:tcPr>
            <w:tcW w:w="8074" w:type="dxa"/>
          </w:tcPr>
          <w:p>
            <w:pPr>
              <w:pStyle w:val="TableParagraph"/>
              <w:spacing w:line="273" w:lineRule="auto" w:before="109"/>
              <w:ind w:left="104" w:right="176"/>
              <w:rPr>
                <w:sz w:val="21"/>
              </w:rPr>
            </w:pPr>
            <w:r>
              <w:rPr>
                <w:sz w:val="21"/>
              </w:rPr>
              <w:t>指为治疗心包膜疾病，已经实施了心包膜切除手术，手术必须在本公司认可的医院的心脏科医生认为是医学上必需的情况下进行。</w:t>
            </w:r>
          </w:p>
        </w:tc>
      </w:tr>
      <w:tr>
        <w:trPr>
          <w:trHeight w:val="872" w:hRule="atLeast"/>
        </w:trPr>
        <w:tc>
          <w:tcPr>
            <w:tcW w:w="943" w:type="dxa"/>
          </w:tcPr>
          <w:p>
            <w:pPr>
              <w:pStyle w:val="TableParagraph"/>
              <w:ind w:right="106"/>
              <w:jc w:val="right"/>
              <w:rPr>
                <w:sz w:val="21"/>
              </w:rPr>
            </w:pPr>
            <w:r>
              <w:rPr>
                <w:sz w:val="21"/>
              </w:rPr>
              <w:t>9.1.24</w:t>
            </w:r>
          </w:p>
        </w:tc>
        <w:tc>
          <w:tcPr>
            <w:tcW w:w="1529" w:type="dxa"/>
          </w:tcPr>
          <w:p>
            <w:pPr>
              <w:pStyle w:val="TableParagraph"/>
              <w:spacing w:line="273" w:lineRule="auto"/>
              <w:ind w:left="107" w:right="101"/>
              <w:rPr>
                <w:sz w:val="21"/>
              </w:rPr>
            </w:pPr>
            <w:r>
              <w:rPr>
                <w:sz w:val="21"/>
              </w:rPr>
              <w:t>腔静脉过滤器植入手术</w:t>
            </w:r>
          </w:p>
        </w:tc>
        <w:tc>
          <w:tcPr>
            <w:tcW w:w="8074" w:type="dxa"/>
          </w:tcPr>
          <w:p>
            <w:pPr>
              <w:pStyle w:val="TableParagraph"/>
              <w:spacing w:line="273" w:lineRule="auto"/>
              <w:ind w:left="104" w:right="176"/>
              <w:rPr>
                <w:sz w:val="21"/>
              </w:rPr>
            </w:pPr>
            <w:r>
              <w:rPr>
                <w:sz w:val="21"/>
              </w:rPr>
              <w:t>指为治疗反复肺栓塞发作，抗凝血疗法无效，已经实施了腔静脉过滤器植入手术。手术必须在本公司认可的医院的专科医生认为是医学上必需的情况下进行。</w:t>
            </w:r>
          </w:p>
        </w:tc>
      </w:tr>
      <w:tr>
        <w:trPr>
          <w:trHeight w:val="3601" w:hRule="atLeast"/>
        </w:trPr>
        <w:tc>
          <w:tcPr>
            <w:tcW w:w="943" w:type="dxa"/>
          </w:tcPr>
          <w:p>
            <w:pPr>
              <w:pStyle w:val="TableParagraph"/>
              <w:ind w:right="106"/>
              <w:jc w:val="right"/>
              <w:rPr>
                <w:sz w:val="21"/>
              </w:rPr>
            </w:pPr>
            <w:r>
              <w:rPr>
                <w:sz w:val="21"/>
              </w:rPr>
              <w:t>9.1.25</w:t>
            </w:r>
          </w:p>
        </w:tc>
        <w:tc>
          <w:tcPr>
            <w:tcW w:w="1529" w:type="dxa"/>
          </w:tcPr>
          <w:p>
            <w:pPr>
              <w:pStyle w:val="TableParagraph"/>
              <w:spacing w:line="273" w:lineRule="auto"/>
              <w:ind w:left="107" w:right="101"/>
              <w:jc w:val="both"/>
              <w:rPr>
                <w:sz w:val="21"/>
              </w:rPr>
            </w:pPr>
            <w:r>
              <w:rPr>
                <w:sz w:val="21"/>
              </w:rPr>
              <w:t>特定周围动脉疾病的血管介入治疗</w:t>
            </w:r>
          </w:p>
        </w:tc>
        <w:tc>
          <w:tcPr>
            <w:tcW w:w="8074" w:type="dxa"/>
          </w:tcPr>
          <w:p>
            <w:pPr>
              <w:pStyle w:val="TableParagraph"/>
              <w:ind w:left="104"/>
              <w:rPr>
                <w:sz w:val="21"/>
              </w:rPr>
            </w:pPr>
            <w:r>
              <w:rPr>
                <w:sz w:val="21"/>
              </w:rPr>
              <w:t>指为治疗一条或一条以上的下列动脉狭窄而实施的血管介入治疗：</w:t>
            </w:r>
          </w:p>
          <w:p>
            <w:pPr>
              <w:pStyle w:val="TableParagraph"/>
              <w:numPr>
                <w:ilvl w:val="0"/>
                <w:numId w:val="26"/>
              </w:numPr>
              <w:tabs>
                <w:tab w:pos="735" w:val="left" w:leader="none"/>
              </w:tabs>
              <w:spacing w:line="240" w:lineRule="auto" w:before="114" w:after="0"/>
              <w:ind w:left="734" w:right="0" w:hanging="630"/>
              <w:jc w:val="left"/>
              <w:rPr>
                <w:sz w:val="21"/>
              </w:rPr>
            </w:pPr>
            <w:r>
              <w:rPr>
                <w:sz w:val="21"/>
              </w:rPr>
              <w:t>上肢动脉或下肢动脉；</w:t>
            </w:r>
          </w:p>
          <w:p>
            <w:pPr>
              <w:pStyle w:val="TableParagraph"/>
              <w:numPr>
                <w:ilvl w:val="0"/>
                <w:numId w:val="26"/>
              </w:numPr>
              <w:tabs>
                <w:tab w:pos="735" w:val="left" w:leader="none"/>
              </w:tabs>
              <w:spacing w:line="240" w:lineRule="auto" w:before="114" w:after="0"/>
              <w:ind w:left="734" w:right="0" w:hanging="630"/>
              <w:jc w:val="left"/>
              <w:rPr>
                <w:sz w:val="21"/>
              </w:rPr>
            </w:pPr>
            <w:r>
              <w:rPr>
                <w:sz w:val="21"/>
              </w:rPr>
              <w:t>肾动脉；</w:t>
            </w:r>
          </w:p>
          <w:p>
            <w:pPr>
              <w:pStyle w:val="TableParagraph"/>
              <w:numPr>
                <w:ilvl w:val="0"/>
                <w:numId w:val="26"/>
              </w:numPr>
              <w:tabs>
                <w:tab w:pos="735" w:val="left" w:leader="none"/>
              </w:tabs>
              <w:spacing w:line="240" w:lineRule="auto" w:before="114" w:after="0"/>
              <w:ind w:left="734" w:right="0" w:hanging="630"/>
              <w:jc w:val="left"/>
              <w:rPr>
                <w:sz w:val="21"/>
              </w:rPr>
            </w:pPr>
            <w:r>
              <w:rPr>
                <w:sz w:val="21"/>
              </w:rPr>
              <w:t>肠系膜动脉。</w:t>
            </w:r>
          </w:p>
          <w:p>
            <w:pPr>
              <w:pStyle w:val="TableParagraph"/>
              <w:spacing w:before="114"/>
              <w:ind w:left="104"/>
              <w:rPr>
                <w:rFonts w:ascii="黑体" w:eastAsia="黑体" w:hint="eastAsia"/>
                <w:sz w:val="21"/>
              </w:rPr>
            </w:pPr>
            <w:r>
              <w:rPr>
                <w:rFonts w:ascii="黑体" w:eastAsia="黑体" w:hint="eastAsia"/>
                <w:sz w:val="21"/>
              </w:rPr>
              <w:t>并须满足下列全部条件：</w:t>
            </w:r>
          </w:p>
          <w:p>
            <w:pPr>
              <w:pStyle w:val="TableParagraph"/>
              <w:numPr>
                <w:ilvl w:val="0"/>
                <w:numId w:val="27"/>
              </w:numPr>
              <w:tabs>
                <w:tab w:pos="735" w:val="left" w:leader="none"/>
              </w:tabs>
              <w:spacing w:line="240" w:lineRule="auto" w:before="114" w:after="0"/>
              <w:ind w:left="705" w:right="0" w:hanging="601"/>
              <w:jc w:val="left"/>
              <w:rPr>
                <w:sz w:val="21"/>
              </w:rPr>
            </w:pPr>
            <w:r>
              <w:rPr>
                <w:spacing w:val="-3"/>
                <w:sz w:val="21"/>
              </w:rPr>
              <w:t>经血管造影术证实一条或一条以上的上述动脉狭窄达到 </w:t>
            </w:r>
            <w:r>
              <w:rPr>
                <w:sz w:val="21"/>
              </w:rPr>
              <w:t>50％或以上；</w:t>
            </w:r>
          </w:p>
          <w:p>
            <w:pPr>
              <w:pStyle w:val="TableParagraph"/>
              <w:numPr>
                <w:ilvl w:val="0"/>
                <w:numId w:val="27"/>
              </w:numPr>
              <w:tabs>
                <w:tab w:pos="706" w:val="left" w:leader="none"/>
              </w:tabs>
              <w:spacing w:line="273" w:lineRule="auto" w:before="114" w:after="0"/>
              <w:ind w:left="705" w:right="234" w:hanging="601"/>
              <w:jc w:val="left"/>
              <w:rPr>
                <w:sz w:val="21"/>
              </w:rPr>
            </w:pPr>
            <w:r>
              <w:rPr>
                <w:sz w:val="21"/>
              </w:rPr>
              <w:t>对一条或一条以上的上述动脉施行了血管介入治疗，如血管成形术及/或进行植入支架或动脉粥样瘤清除手术。</w:t>
            </w:r>
          </w:p>
          <w:p>
            <w:pPr>
              <w:pStyle w:val="TableParagraph"/>
              <w:spacing w:before="85"/>
              <w:ind w:left="104"/>
              <w:rPr>
                <w:sz w:val="21"/>
              </w:rPr>
            </w:pPr>
            <w:r>
              <w:rPr>
                <w:sz w:val="21"/>
              </w:rPr>
              <w:t>上述动脉疾病的诊断以及相关治疗的必要性必须由本公司认可医院的专科医生确定。</w:t>
            </w:r>
          </w:p>
        </w:tc>
      </w:tr>
      <w:tr>
        <w:trPr>
          <w:trHeight w:val="559" w:hRule="atLeast"/>
        </w:trPr>
        <w:tc>
          <w:tcPr>
            <w:tcW w:w="943" w:type="dxa"/>
          </w:tcPr>
          <w:p>
            <w:pPr>
              <w:pStyle w:val="TableParagraph"/>
              <w:ind w:right="106"/>
              <w:jc w:val="right"/>
              <w:rPr>
                <w:sz w:val="21"/>
              </w:rPr>
            </w:pPr>
            <w:r>
              <w:rPr>
                <w:sz w:val="21"/>
              </w:rPr>
              <w:t>9.1.26</w:t>
            </w:r>
          </w:p>
        </w:tc>
        <w:tc>
          <w:tcPr>
            <w:tcW w:w="1529" w:type="dxa"/>
          </w:tcPr>
          <w:p>
            <w:pPr>
              <w:pStyle w:val="TableParagraph"/>
              <w:ind w:left="107"/>
              <w:rPr>
                <w:sz w:val="21"/>
              </w:rPr>
            </w:pPr>
            <w:r>
              <w:rPr>
                <w:sz w:val="21"/>
              </w:rPr>
              <w:t>单个肢体缺失</w:t>
            </w:r>
          </w:p>
        </w:tc>
        <w:tc>
          <w:tcPr>
            <w:tcW w:w="8074" w:type="dxa"/>
          </w:tcPr>
          <w:p>
            <w:pPr>
              <w:pStyle w:val="TableParagraph"/>
              <w:ind w:left="104"/>
              <w:rPr>
                <w:sz w:val="21"/>
              </w:rPr>
            </w:pPr>
            <w:r>
              <w:rPr>
                <w:sz w:val="21"/>
              </w:rPr>
              <w:t>指一个肢体自腕关节或踝关节近端（靠近躯干端）以上完全性断离。</w:t>
            </w:r>
          </w:p>
        </w:tc>
      </w:tr>
      <w:tr>
        <w:trPr>
          <w:trHeight w:val="872" w:hRule="atLeast"/>
        </w:trPr>
        <w:tc>
          <w:tcPr>
            <w:tcW w:w="943" w:type="dxa"/>
          </w:tcPr>
          <w:p>
            <w:pPr>
              <w:pStyle w:val="TableParagraph"/>
              <w:ind w:right="105"/>
              <w:jc w:val="right"/>
              <w:rPr>
                <w:sz w:val="21"/>
              </w:rPr>
            </w:pPr>
            <w:r>
              <w:rPr>
                <w:sz w:val="21"/>
              </w:rPr>
              <w:t>9.1.27</w:t>
            </w:r>
          </w:p>
        </w:tc>
        <w:tc>
          <w:tcPr>
            <w:tcW w:w="1529" w:type="dxa"/>
          </w:tcPr>
          <w:p>
            <w:pPr>
              <w:pStyle w:val="TableParagraph"/>
              <w:ind w:left="108"/>
              <w:rPr>
                <w:sz w:val="21"/>
              </w:rPr>
            </w:pPr>
            <w:r>
              <w:rPr>
                <w:sz w:val="21"/>
              </w:rPr>
              <w:t>Ⅲ度烧伤</w:t>
            </w:r>
          </w:p>
        </w:tc>
        <w:tc>
          <w:tcPr>
            <w:tcW w:w="8074" w:type="dxa"/>
          </w:tcPr>
          <w:p>
            <w:pPr>
              <w:pStyle w:val="TableParagraph"/>
              <w:spacing w:line="273" w:lineRule="auto"/>
              <w:ind w:left="104" w:right="177"/>
              <w:rPr>
                <w:sz w:val="21"/>
              </w:rPr>
            </w:pPr>
            <w:r>
              <w:rPr>
                <w:sz w:val="21"/>
              </w:rPr>
              <w:t>指烧伤程度为Ⅲ度，且Ⅲ度烧伤面积为全身体表面积的 10％或 10％以上，但尚未达到 20％。体表面积根据《中国新九分法》计算。</w:t>
            </w:r>
          </w:p>
        </w:tc>
      </w:tr>
      <w:tr>
        <w:trPr>
          <w:trHeight w:val="877" w:hRule="atLeast"/>
        </w:trPr>
        <w:tc>
          <w:tcPr>
            <w:tcW w:w="943" w:type="dxa"/>
          </w:tcPr>
          <w:p>
            <w:pPr>
              <w:pStyle w:val="TableParagraph"/>
              <w:ind w:right="105"/>
              <w:jc w:val="right"/>
              <w:rPr>
                <w:sz w:val="21"/>
              </w:rPr>
            </w:pPr>
            <w:r>
              <w:rPr>
                <w:sz w:val="21"/>
              </w:rPr>
              <w:t>9.1.28</w:t>
            </w:r>
          </w:p>
        </w:tc>
        <w:tc>
          <w:tcPr>
            <w:tcW w:w="1529" w:type="dxa"/>
          </w:tcPr>
          <w:p>
            <w:pPr>
              <w:pStyle w:val="TableParagraph"/>
              <w:ind w:left="108"/>
              <w:rPr>
                <w:sz w:val="21"/>
              </w:rPr>
            </w:pPr>
            <w:r>
              <w:rPr>
                <w:sz w:val="21"/>
              </w:rPr>
              <w:t>面部烧伤</w:t>
            </w:r>
          </w:p>
        </w:tc>
        <w:tc>
          <w:tcPr>
            <w:tcW w:w="8074" w:type="dxa"/>
          </w:tcPr>
          <w:p>
            <w:pPr>
              <w:pStyle w:val="TableParagraph"/>
              <w:spacing w:line="273" w:lineRule="auto"/>
              <w:ind w:left="104" w:right="177"/>
              <w:rPr>
                <w:sz w:val="21"/>
              </w:rPr>
            </w:pPr>
            <w:r>
              <w:rPr>
                <w:sz w:val="21"/>
              </w:rPr>
              <w:t>指烧伤程度为Ⅲ度，且Ⅲ度烧伤的面积达到面部表面积的 30％或 30％以上，但未达到面部表面积的 80％。</w:t>
            </w:r>
          </w:p>
        </w:tc>
      </w:tr>
      <w:tr>
        <w:trPr>
          <w:trHeight w:val="1013" w:hRule="atLeast"/>
        </w:trPr>
        <w:tc>
          <w:tcPr>
            <w:tcW w:w="943" w:type="dxa"/>
          </w:tcPr>
          <w:p>
            <w:pPr>
              <w:pStyle w:val="TableParagraph"/>
              <w:spacing w:before="115"/>
              <w:ind w:right="106"/>
              <w:jc w:val="right"/>
              <w:rPr>
                <w:sz w:val="21"/>
              </w:rPr>
            </w:pPr>
            <w:r>
              <w:rPr>
                <w:sz w:val="21"/>
              </w:rPr>
              <w:t>9.1.29</w:t>
            </w:r>
          </w:p>
        </w:tc>
        <w:tc>
          <w:tcPr>
            <w:tcW w:w="1529" w:type="dxa"/>
          </w:tcPr>
          <w:p>
            <w:pPr>
              <w:pStyle w:val="TableParagraph"/>
              <w:spacing w:before="115"/>
              <w:ind w:left="107"/>
              <w:rPr>
                <w:sz w:val="21"/>
              </w:rPr>
            </w:pPr>
            <w:r>
              <w:rPr>
                <w:sz w:val="21"/>
              </w:rPr>
              <w:t>面部重建手术</w:t>
            </w:r>
          </w:p>
        </w:tc>
        <w:tc>
          <w:tcPr>
            <w:tcW w:w="8074" w:type="dxa"/>
          </w:tcPr>
          <w:p>
            <w:pPr>
              <w:pStyle w:val="TableParagraph"/>
              <w:spacing w:line="312" w:lineRule="exact" w:before="111"/>
              <w:ind w:left="104" w:right="233"/>
              <w:jc w:val="both"/>
              <w:rPr>
                <w:rFonts w:ascii="黑体" w:eastAsia="黑体" w:hint="eastAsia"/>
                <w:sz w:val="21"/>
              </w:rPr>
            </w:pPr>
            <w:r>
              <w:rPr>
                <w:sz w:val="21"/>
              </w:rPr>
              <w:t>指因疾病或意外伤害导致颈部以上的面部构造</w:t>
            </w:r>
            <w:r>
              <w:rPr>
                <w:rFonts w:ascii="Times New Roman" w:eastAsia="Times New Roman"/>
                <w:w w:val="110"/>
                <w:sz w:val="21"/>
              </w:rPr>
              <w:t>不</w:t>
            </w:r>
            <w:r>
              <w:rPr>
                <w:spacing w:val="-10"/>
                <w:sz w:val="21"/>
              </w:rPr>
              <w:t>完整、缺失或受损而对其形态及外观</w:t>
            </w:r>
            <w:r>
              <w:rPr>
                <w:sz w:val="21"/>
              </w:rPr>
              <w:t>进</w:t>
            </w:r>
            <w:r>
              <w:rPr>
                <w:rFonts w:ascii="Times New Roman" w:eastAsia="Times New Roman"/>
                <w:w w:val="110"/>
                <w:sz w:val="21"/>
              </w:rPr>
              <w:t>行</w:t>
            </w:r>
            <w:r>
              <w:rPr>
                <w:spacing w:val="-3"/>
                <w:sz w:val="21"/>
              </w:rPr>
              <w:t>修复或重建，已经实施了面部重建手术。</w:t>
            </w:r>
            <w:r>
              <w:rPr>
                <w:rFonts w:ascii="黑体" w:eastAsia="黑体" w:hint="eastAsia"/>
                <w:spacing w:val="-3"/>
                <w:sz w:val="21"/>
              </w:rPr>
              <w:t>因纯粹整容原因、独立的牙齿修复、</w:t>
            </w:r>
            <w:r>
              <w:rPr>
                <w:rFonts w:ascii="黑体" w:eastAsia="黑体" w:hint="eastAsia"/>
                <w:sz w:val="21"/>
              </w:rPr>
              <w:t>独立的鼻骨折断或独立的皮肤伤口所进行的手术不在保障范围内。</w:t>
            </w:r>
          </w:p>
        </w:tc>
      </w:tr>
    </w:tbl>
    <w:p>
      <w:pPr>
        <w:spacing w:after="0" w:line="312" w:lineRule="exact"/>
        <w:jc w:val="both"/>
        <w:rPr>
          <w:rFonts w:ascii="黑体" w:eastAsia="黑体" w:hint="eastAsia"/>
          <w:sz w:val="21"/>
        </w:rPr>
        <w:sectPr>
          <w:pgSz w:w="11900" w:h="16840"/>
          <w:pgMar w:top="1260" w:bottom="280" w:left="820" w:right="300"/>
        </w:sectPr>
      </w:pPr>
    </w:p>
    <w:p>
      <w:pPr>
        <w:pStyle w:val="BodyText"/>
        <w:tabs>
          <w:tab w:pos="964" w:val="left" w:leader="none"/>
        </w:tabs>
        <w:spacing w:before="17"/>
        <w:ind w:left="114"/>
      </w:pPr>
      <w:r>
        <w:rPr/>
        <w:t>9.1.30</w:t>
        <w:tab/>
      </w:r>
      <w:r>
        <w:rPr>
          <w:spacing w:val="7"/>
        </w:rPr>
        <w:t>再生障碍性贫</w:t>
      </w:r>
    </w:p>
    <w:p>
      <w:pPr>
        <w:pStyle w:val="BodyText"/>
        <w:spacing w:before="37"/>
        <w:ind w:right="140"/>
        <w:jc w:val="center"/>
      </w:pPr>
      <w:r>
        <w:rPr/>
        <w:t>血</w:t>
      </w:r>
    </w:p>
    <w:p>
      <w:pPr>
        <w:pStyle w:val="BodyText"/>
        <w:spacing w:line="273" w:lineRule="auto" w:before="17"/>
        <w:ind w:left="114" w:right="176"/>
        <w:rPr>
          <w:rFonts w:ascii="黑体" w:eastAsia="黑体" w:hint="eastAsia"/>
        </w:rPr>
      </w:pPr>
      <w:r>
        <w:rPr/>
        <w:br w:type="column"/>
      </w:r>
      <w:r>
        <w:rPr/>
        <w:t>指因骨髓造血功能慢性持续性衰竭导致的贫血、中性粒细胞减少及血小板减少，本病须本公司认可的医院的血液专科医生明确诊断，</w:t>
      </w:r>
      <w:r>
        <w:rPr>
          <w:rFonts w:ascii="黑体" w:eastAsia="黑体" w:hint="eastAsia"/>
        </w:rPr>
        <w:t>并须满足下列全部条件：</w:t>
      </w:r>
    </w:p>
    <w:p>
      <w:pPr>
        <w:pStyle w:val="ListParagraph"/>
        <w:numPr>
          <w:ilvl w:val="0"/>
          <w:numId w:val="28"/>
        </w:numPr>
        <w:tabs>
          <w:tab w:pos="716" w:val="left" w:leader="none"/>
        </w:tabs>
        <w:spacing w:line="240" w:lineRule="auto" w:before="85" w:after="0"/>
        <w:ind w:left="715" w:right="0" w:hanging="601"/>
        <w:jc w:val="left"/>
        <w:rPr>
          <w:sz w:val="21"/>
        </w:rPr>
      </w:pPr>
      <w:r>
        <w:rPr>
          <w:sz w:val="21"/>
        </w:rPr>
        <w:t>骨髓穿刺检查或骨髓活检结果支持诊断；</w:t>
      </w:r>
    </w:p>
    <w:p>
      <w:pPr>
        <w:pStyle w:val="ListParagraph"/>
        <w:numPr>
          <w:ilvl w:val="0"/>
          <w:numId w:val="28"/>
        </w:numPr>
        <w:tabs>
          <w:tab w:pos="716" w:val="left" w:leader="none"/>
        </w:tabs>
        <w:spacing w:line="273" w:lineRule="auto" w:before="114" w:after="0"/>
        <w:ind w:left="715" w:right="233" w:hanging="601"/>
        <w:jc w:val="left"/>
        <w:rPr>
          <w:sz w:val="21"/>
        </w:rPr>
      </w:pPr>
      <w:r>
        <w:rPr>
          <w:spacing w:val="-2"/>
          <w:sz w:val="21"/>
        </w:rPr>
        <w:t>病历资料显示接受了下列任一项的血液专科治疗：骨髓刺激疗法；免疫抑制剂</w:t>
      </w:r>
      <w:r>
        <w:rPr>
          <w:spacing w:val="-5"/>
          <w:sz w:val="21"/>
        </w:rPr>
        <w:t>治疗；骨髓移植。其中骨髓刺激疗法、免疫抑制剂治疗须至少持续 </w:t>
      </w:r>
      <w:r>
        <w:rPr>
          <w:sz w:val="21"/>
        </w:rPr>
        <w:t>30</w:t>
      </w:r>
      <w:r>
        <w:rPr>
          <w:spacing w:val="-24"/>
          <w:sz w:val="21"/>
        </w:rPr>
        <w:t> 天。</w:t>
      </w:r>
    </w:p>
    <w:p>
      <w:pPr>
        <w:spacing w:after="0" w:line="273" w:lineRule="auto"/>
        <w:jc w:val="left"/>
        <w:rPr>
          <w:sz w:val="21"/>
        </w:rPr>
        <w:sectPr>
          <w:pgSz w:w="11900" w:h="16840"/>
          <w:pgMar w:top="1180" w:bottom="280" w:left="1020" w:right="420"/>
          <w:cols w:num="2" w:equalWidth="0">
            <w:col w:w="2283" w:space="93"/>
            <w:col w:w="8084"/>
          </w:cols>
        </w:sectPr>
      </w:pPr>
    </w:p>
    <w:p>
      <w:pPr>
        <w:pStyle w:val="BodyText"/>
        <w:spacing w:before="9"/>
        <w:rPr>
          <w:sz w:val="15"/>
        </w:rPr>
      </w:pPr>
    </w:p>
    <w:p>
      <w:pPr>
        <w:pStyle w:val="BodyText"/>
        <w:spacing w:line="266" w:lineRule="auto" w:before="26"/>
        <w:ind w:left="2490" w:right="199" w:hanging="2376"/>
        <w:jc w:val="both"/>
        <w:rPr>
          <w:rFonts w:ascii="黑体" w:hAnsi="黑体" w:eastAsia="黑体" w:hint="eastAsia"/>
        </w:rPr>
      </w:pPr>
      <w:r>
        <w:rPr>
          <w:position w:val="1"/>
        </w:rPr>
        <w:t>9.2</w:t>
      </w:r>
      <w:r>
        <w:rPr>
          <w:spacing w:val="5"/>
          <w:position w:val="1"/>
        </w:rPr>
        <w:t> 重大疾病定义 </w:t>
      </w:r>
      <w:r>
        <w:rPr>
          <w:spacing w:val="-3"/>
        </w:rPr>
        <w:t>本合同所定义的重大疾病共有 </w:t>
      </w:r>
      <w:r>
        <w:rPr/>
        <w:t>60</w:t>
      </w:r>
      <w:r>
        <w:rPr>
          <w:spacing w:val="-7"/>
        </w:rPr>
        <w:t> 种，其中加“</w:t>
      </w:r>
      <w:r>
        <w:rPr>
          <w:sz w:val="24"/>
        </w:rPr>
        <w:t>*</w:t>
      </w:r>
      <w:r>
        <w:rPr>
          <w:spacing w:val="-13"/>
        </w:rPr>
        <w:t>”的 </w:t>
      </w:r>
      <w:r>
        <w:rPr/>
        <w:t>25</w:t>
      </w:r>
      <w:r>
        <w:rPr>
          <w:spacing w:val="-7"/>
        </w:rPr>
        <w:t> 种重大疾病为中国保险行业协会</w:t>
      </w:r>
      <w:r>
        <w:rPr>
          <w:spacing w:val="-12"/>
        </w:rPr>
        <w:t>颁布的《重大疾病保险的疾病定义使用规范》</w:t>
      </w:r>
      <w:r>
        <w:rPr/>
        <w:t>（</w:t>
      </w:r>
      <w:r>
        <w:rPr>
          <w:spacing w:val="-14"/>
        </w:rPr>
        <w:t>以下简称“规范”</w:t>
      </w:r>
      <w:r>
        <w:rPr>
          <w:spacing w:val="-2"/>
        </w:rPr>
        <w:t>）</w:t>
      </w:r>
      <w:r>
        <w:rPr/>
        <w:t>规定的疾病，且疾</w:t>
      </w:r>
      <w:r>
        <w:rPr>
          <w:spacing w:val="-5"/>
        </w:rPr>
        <w:t>病名称和疾病定义与“规范”一致，其他重大疾病为“规范”规定范围之外的疾病。</w:t>
      </w:r>
      <w:r>
        <w:rPr>
          <w:rFonts w:ascii="黑体" w:hAnsi="黑体" w:eastAsia="黑体" w:hint="eastAsia"/>
          <w:spacing w:val="-5"/>
        </w:rPr>
        <w:t>重大疾病须同时满足疾病诊断和定义条件。</w:t>
      </w:r>
    </w:p>
    <w:p>
      <w:pPr>
        <w:pStyle w:val="BodyText"/>
        <w:spacing w:before="12"/>
        <w:rPr>
          <w:rFonts w:ascii="黑体"/>
          <w:sz w:val="16"/>
        </w:rPr>
      </w:pPr>
    </w:p>
    <w:p>
      <w:pPr>
        <w:pStyle w:val="BodyText"/>
        <w:ind w:left="964"/>
      </w:pPr>
      <w:r>
        <w:rPr/>
        <w:t>重大疾病列表（60 种）</w:t>
      </w:r>
    </w:p>
    <w:p>
      <w:pPr>
        <w:pStyle w:val="BodyText"/>
        <w:rPr>
          <w:sz w:val="20"/>
        </w:rPr>
      </w:pPr>
    </w:p>
    <w:tbl>
      <w:tblPr>
        <w:tblW w:w="0" w:type="auto"/>
        <w:jc w:val="left"/>
        <w:tblInd w:w="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5"/>
        <w:gridCol w:w="479"/>
        <w:gridCol w:w="3877"/>
        <w:gridCol w:w="518"/>
        <w:gridCol w:w="3076"/>
      </w:tblGrid>
      <w:tr>
        <w:trPr>
          <w:trHeight w:val="479" w:hRule="atLeas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0"/>
              <w:ind w:left="339"/>
              <w:rPr>
                <w:sz w:val="21"/>
              </w:rPr>
            </w:pPr>
            <w:r>
              <w:rPr>
                <w:sz w:val="21"/>
              </w:rPr>
              <w:t>肿瘤相关</w:t>
            </w:r>
          </w:p>
          <w:p>
            <w:pPr>
              <w:pStyle w:val="TableParagraph"/>
              <w:spacing w:line="256" w:lineRule="exact" w:before="0"/>
              <w:ind w:left="365"/>
              <w:rPr>
                <w:sz w:val="21"/>
              </w:rPr>
            </w:pPr>
            <w:r>
              <w:rPr>
                <w:sz w:val="21"/>
              </w:rPr>
              <w:t>（2 种）</w:t>
            </w:r>
          </w:p>
        </w:tc>
        <w:tc>
          <w:tcPr>
            <w:tcW w:w="479" w:type="dxa"/>
            <w:tcBorders>
              <w:top w:val="single" w:sz="4" w:space="0" w:color="000000"/>
              <w:left w:val="single" w:sz="4" w:space="0" w:color="000000"/>
              <w:bottom w:val="single" w:sz="4" w:space="0" w:color="000000"/>
            </w:tcBorders>
          </w:tcPr>
          <w:p>
            <w:pPr>
              <w:pStyle w:val="TableParagraph"/>
              <w:spacing w:before="66"/>
              <w:ind w:right="47"/>
              <w:jc w:val="right"/>
              <w:rPr>
                <w:sz w:val="21"/>
              </w:rPr>
            </w:pPr>
            <w:r>
              <w:rPr>
                <w:sz w:val="21"/>
              </w:rPr>
              <w:t>1</w:t>
            </w:r>
          </w:p>
        </w:tc>
        <w:tc>
          <w:tcPr>
            <w:tcW w:w="3877" w:type="dxa"/>
            <w:tcBorders>
              <w:top w:val="single" w:sz="4" w:space="0" w:color="000000"/>
              <w:bottom w:val="single" w:sz="4" w:space="0" w:color="000000"/>
            </w:tcBorders>
          </w:tcPr>
          <w:p>
            <w:pPr>
              <w:pStyle w:val="TableParagraph"/>
              <w:spacing w:before="31"/>
              <w:ind w:left="59"/>
              <w:rPr>
                <w:sz w:val="24"/>
              </w:rPr>
            </w:pPr>
            <w:r>
              <w:rPr>
                <w:sz w:val="21"/>
              </w:rPr>
              <w:t>恶性肿瘤</w:t>
            </w:r>
            <w:r>
              <w:rPr>
                <w:sz w:val="24"/>
              </w:rPr>
              <w:t>*</w:t>
            </w:r>
          </w:p>
        </w:tc>
        <w:tc>
          <w:tcPr>
            <w:tcW w:w="518" w:type="dxa"/>
            <w:tcBorders>
              <w:top w:val="single" w:sz="4" w:space="0" w:color="000000"/>
              <w:bottom w:val="single" w:sz="4" w:space="0" w:color="000000"/>
            </w:tcBorders>
          </w:tcPr>
          <w:p>
            <w:pPr>
              <w:pStyle w:val="TableParagraph"/>
              <w:spacing w:before="66"/>
              <w:ind w:right="48"/>
              <w:jc w:val="right"/>
              <w:rPr>
                <w:sz w:val="21"/>
              </w:rPr>
            </w:pPr>
            <w:r>
              <w:rPr>
                <w:sz w:val="21"/>
              </w:rPr>
              <w:t>2</w:t>
            </w:r>
          </w:p>
        </w:tc>
        <w:tc>
          <w:tcPr>
            <w:tcW w:w="3076" w:type="dxa"/>
            <w:tcBorders>
              <w:top w:val="single" w:sz="4" w:space="0" w:color="000000"/>
              <w:bottom w:val="single" w:sz="4" w:space="0" w:color="000000"/>
              <w:right w:val="single" w:sz="4" w:space="0" w:color="000000"/>
            </w:tcBorders>
          </w:tcPr>
          <w:p>
            <w:pPr>
              <w:pStyle w:val="TableParagraph"/>
              <w:spacing w:before="66"/>
              <w:ind w:left="59"/>
              <w:rPr>
                <w:sz w:val="21"/>
              </w:rPr>
            </w:pPr>
            <w:r>
              <w:rPr>
                <w:sz w:val="21"/>
              </w:rPr>
              <w:t>侵蚀性葡萄胎</w:t>
            </w:r>
          </w:p>
        </w:tc>
      </w:tr>
      <w:tr>
        <w:trPr>
          <w:trHeight w:val="375"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rPr>
                <w:sz w:val="20"/>
              </w:rPr>
            </w:pPr>
          </w:p>
          <w:p>
            <w:pPr>
              <w:pStyle w:val="TableParagraph"/>
              <w:spacing w:before="10"/>
              <w:rPr>
                <w:sz w:val="26"/>
              </w:rPr>
            </w:pPr>
          </w:p>
          <w:p>
            <w:pPr>
              <w:pStyle w:val="TableParagraph"/>
              <w:spacing w:line="208" w:lineRule="auto" w:before="0"/>
              <w:ind w:left="129" w:right="120"/>
              <w:jc w:val="center"/>
              <w:rPr>
                <w:sz w:val="21"/>
              </w:rPr>
            </w:pPr>
            <w:r>
              <w:rPr>
                <w:sz w:val="21"/>
              </w:rPr>
              <w:t>心脏或脑血管相关</w:t>
            </w:r>
          </w:p>
          <w:p>
            <w:pPr>
              <w:pStyle w:val="TableParagraph"/>
              <w:spacing w:line="240" w:lineRule="exact" w:before="0"/>
              <w:ind w:left="128" w:right="120"/>
              <w:jc w:val="center"/>
              <w:rPr>
                <w:sz w:val="21"/>
              </w:rPr>
            </w:pPr>
            <w:r>
              <w:rPr>
                <w:sz w:val="21"/>
              </w:rPr>
              <w:t>（9 种）</w:t>
            </w:r>
          </w:p>
        </w:tc>
        <w:tc>
          <w:tcPr>
            <w:tcW w:w="479" w:type="dxa"/>
            <w:tcBorders>
              <w:top w:val="single" w:sz="4" w:space="0" w:color="000000"/>
              <w:left w:val="single" w:sz="4" w:space="0" w:color="000000"/>
            </w:tcBorders>
          </w:tcPr>
          <w:p>
            <w:pPr>
              <w:pStyle w:val="TableParagraph"/>
              <w:spacing w:before="21"/>
              <w:ind w:right="47"/>
              <w:jc w:val="right"/>
              <w:rPr>
                <w:sz w:val="21"/>
              </w:rPr>
            </w:pPr>
            <w:r>
              <w:rPr>
                <w:sz w:val="21"/>
              </w:rPr>
              <w:t>3</w:t>
            </w:r>
          </w:p>
        </w:tc>
        <w:tc>
          <w:tcPr>
            <w:tcW w:w="3877" w:type="dxa"/>
            <w:tcBorders>
              <w:top w:val="single" w:sz="4" w:space="0" w:color="000000"/>
            </w:tcBorders>
          </w:tcPr>
          <w:p>
            <w:pPr>
              <w:pStyle w:val="TableParagraph"/>
              <w:spacing w:line="300" w:lineRule="exact" w:before="0"/>
              <w:ind w:left="59"/>
              <w:rPr>
                <w:sz w:val="24"/>
              </w:rPr>
            </w:pPr>
            <w:r>
              <w:rPr>
                <w:sz w:val="21"/>
              </w:rPr>
              <w:t>急性心肌梗塞</w:t>
            </w:r>
            <w:r>
              <w:rPr>
                <w:sz w:val="24"/>
              </w:rPr>
              <w:t>*</w:t>
            </w:r>
          </w:p>
        </w:tc>
        <w:tc>
          <w:tcPr>
            <w:tcW w:w="518" w:type="dxa"/>
            <w:tcBorders>
              <w:top w:val="single" w:sz="4" w:space="0" w:color="000000"/>
            </w:tcBorders>
          </w:tcPr>
          <w:p>
            <w:pPr>
              <w:pStyle w:val="TableParagraph"/>
              <w:spacing w:before="21"/>
              <w:ind w:right="48"/>
              <w:jc w:val="right"/>
              <w:rPr>
                <w:sz w:val="21"/>
              </w:rPr>
            </w:pPr>
            <w:r>
              <w:rPr>
                <w:sz w:val="21"/>
              </w:rPr>
              <w:t>8</w:t>
            </w:r>
          </w:p>
        </w:tc>
        <w:tc>
          <w:tcPr>
            <w:tcW w:w="3076" w:type="dxa"/>
            <w:tcBorders>
              <w:top w:val="single" w:sz="4" w:space="0" w:color="000000"/>
              <w:right w:val="single" w:sz="4" w:space="0" w:color="000000"/>
            </w:tcBorders>
          </w:tcPr>
          <w:p>
            <w:pPr>
              <w:pStyle w:val="TableParagraph"/>
              <w:spacing w:line="300" w:lineRule="exact" w:before="0"/>
              <w:ind w:left="59"/>
              <w:rPr>
                <w:sz w:val="24"/>
              </w:rPr>
            </w:pPr>
            <w:r>
              <w:rPr>
                <w:sz w:val="21"/>
              </w:rPr>
              <w:t>主动脉手术</w:t>
            </w:r>
            <w:r>
              <w:rPr>
                <w:sz w:val="24"/>
              </w:rPr>
              <w:t>*</w:t>
            </w:r>
          </w:p>
        </w:tc>
      </w:tr>
      <w:tr>
        <w:trPr>
          <w:trHeight w:val="390"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6"/>
              <w:ind w:right="47"/>
              <w:jc w:val="right"/>
              <w:rPr>
                <w:sz w:val="21"/>
              </w:rPr>
            </w:pPr>
            <w:r>
              <w:rPr>
                <w:sz w:val="21"/>
              </w:rPr>
              <w:t>4</w:t>
            </w:r>
          </w:p>
        </w:tc>
        <w:tc>
          <w:tcPr>
            <w:tcW w:w="3877" w:type="dxa"/>
          </w:tcPr>
          <w:p>
            <w:pPr>
              <w:pStyle w:val="TableParagraph"/>
              <w:spacing w:before="1"/>
              <w:ind w:left="59"/>
              <w:rPr>
                <w:sz w:val="24"/>
              </w:rPr>
            </w:pPr>
            <w:r>
              <w:rPr>
                <w:sz w:val="21"/>
              </w:rPr>
              <w:t>脑中风后遗症</w:t>
            </w:r>
            <w:r>
              <w:rPr>
                <w:sz w:val="24"/>
              </w:rPr>
              <w:t>*</w:t>
            </w:r>
          </w:p>
        </w:tc>
        <w:tc>
          <w:tcPr>
            <w:tcW w:w="518" w:type="dxa"/>
          </w:tcPr>
          <w:p>
            <w:pPr>
              <w:pStyle w:val="TableParagraph"/>
              <w:spacing w:before="36"/>
              <w:ind w:right="48"/>
              <w:jc w:val="right"/>
              <w:rPr>
                <w:sz w:val="21"/>
              </w:rPr>
            </w:pPr>
            <w:r>
              <w:rPr>
                <w:sz w:val="21"/>
              </w:rPr>
              <w:t>9</w:t>
            </w:r>
          </w:p>
        </w:tc>
        <w:tc>
          <w:tcPr>
            <w:tcW w:w="3076" w:type="dxa"/>
            <w:tcBorders>
              <w:right w:val="single" w:sz="4" w:space="0" w:color="000000"/>
            </w:tcBorders>
          </w:tcPr>
          <w:p>
            <w:pPr>
              <w:pStyle w:val="TableParagraph"/>
              <w:spacing w:before="36"/>
              <w:ind w:left="59"/>
              <w:rPr>
                <w:sz w:val="21"/>
              </w:rPr>
            </w:pPr>
            <w:r>
              <w:rPr>
                <w:sz w:val="21"/>
              </w:rPr>
              <w:t>严重原发性心肌病</w:t>
            </w:r>
          </w:p>
        </w:tc>
      </w:tr>
      <w:tr>
        <w:trPr>
          <w:trHeight w:val="389"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5"/>
              <w:ind w:right="47"/>
              <w:jc w:val="right"/>
              <w:rPr>
                <w:sz w:val="21"/>
              </w:rPr>
            </w:pPr>
            <w:r>
              <w:rPr>
                <w:sz w:val="21"/>
              </w:rPr>
              <w:t>5</w:t>
            </w:r>
          </w:p>
        </w:tc>
        <w:tc>
          <w:tcPr>
            <w:tcW w:w="3877" w:type="dxa"/>
          </w:tcPr>
          <w:p>
            <w:pPr>
              <w:pStyle w:val="TableParagraph"/>
              <w:spacing w:before="0"/>
              <w:ind w:left="59"/>
              <w:rPr>
                <w:sz w:val="24"/>
              </w:rPr>
            </w:pPr>
            <w:r>
              <w:rPr>
                <w:sz w:val="21"/>
              </w:rPr>
              <w:t>冠状动脉搭桥术</w:t>
            </w:r>
            <w:r>
              <w:rPr>
                <w:sz w:val="24"/>
              </w:rPr>
              <w:t>*</w:t>
            </w:r>
          </w:p>
        </w:tc>
        <w:tc>
          <w:tcPr>
            <w:tcW w:w="518" w:type="dxa"/>
          </w:tcPr>
          <w:p>
            <w:pPr>
              <w:pStyle w:val="TableParagraph"/>
              <w:spacing w:before="35"/>
              <w:ind w:right="47"/>
              <w:jc w:val="right"/>
              <w:rPr>
                <w:sz w:val="21"/>
              </w:rPr>
            </w:pPr>
            <w:r>
              <w:rPr>
                <w:sz w:val="21"/>
              </w:rPr>
              <w:t>10</w:t>
            </w:r>
          </w:p>
        </w:tc>
        <w:tc>
          <w:tcPr>
            <w:tcW w:w="3076" w:type="dxa"/>
            <w:tcBorders>
              <w:right w:val="single" w:sz="4" w:space="0" w:color="000000"/>
            </w:tcBorders>
          </w:tcPr>
          <w:p>
            <w:pPr>
              <w:pStyle w:val="TableParagraph"/>
              <w:spacing w:before="35"/>
              <w:ind w:left="59"/>
              <w:rPr>
                <w:sz w:val="21"/>
              </w:rPr>
            </w:pPr>
            <w:r>
              <w:rPr>
                <w:sz w:val="21"/>
              </w:rPr>
              <w:t>严重川崎病</w:t>
            </w:r>
          </w:p>
        </w:tc>
      </w:tr>
      <w:tr>
        <w:trPr>
          <w:trHeight w:val="390"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5"/>
              <w:ind w:right="47"/>
              <w:jc w:val="right"/>
              <w:rPr>
                <w:sz w:val="21"/>
              </w:rPr>
            </w:pPr>
            <w:r>
              <w:rPr>
                <w:sz w:val="21"/>
              </w:rPr>
              <w:t>6</w:t>
            </w:r>
          </w:p>
        </w:tc>
        <w:tc>
          <w:tcPr>
            <w:tcW w:w="3877" w:type="dxa"/>
          </w:tcPr>
          <w:p>
            <w:pPr>
              <w:pStyle w:val="TableParagraph"/>
              <w:spacing w:before="0"/>
              <w:ind w:left="59"/>
              <w:rPr>
                <w:sz w:val="24"/>
              </w:rPr>
            </w:pPr>
            <w:r>
              <w:rPr>
                <w:sz w:val="21"/>
              </w:rPr>
              <w:t>心脏瓣膜手术</w:t>
            </w:r>
            <w:r>
              <w:rPr>
                <w:sz w:val="24"/>
              </w:rPr>
              <w:t>*</w:t>
            </w:r>
          </w:p>
        </w:tc>
        <w:tc>
          <w:tcPr>
            <w:tcW w:w="518" w:type="dxa"/>
          </w:tcPr>
          <w:p>
            <w:pPr>
              <w:pStyle w:val="TableParagraph"/>
              <w:spacing w:before="35"/>
              <w:ind w:right="47"/>
              <w:jc w:val="right"/>
              <w:rPr>
                <w:sz w:val="21"/>
              </w:rPr>
            </w:pPr>
            <w:r>
              <w:rPr>
                <w:sz w:val="21"/>
              </w:rPr>
              <w:t>11</w:t>
            </w:r>
          </w:p>
        </w:tc>
        <w:tc>
          <w:tcPr>
            <w:tcW w:w="3076" w:type="dxa"/>
            <w:tcBorders>
              <w:right w:val="single" w:sz="4" w:space="0" w:color="000000"/>
            </w:tcBorders>
          </w:tcPr>
          <w:p>
            <w:pPr>
              <w:pStyle w:val="TableParagraph"/>
              <w:spacing w:before="35"/>
              <w:ind w:left="59"/>
              <w:rPr>
                <w:sz w:val="21"/>
              </w:rPr>
            </w:pPr>
            <w:r>
              <w:rPr>
                <w:sz w:val="21"/>
              </w:rPr>
              <w:t>严重感染性心内膜炎</w:t>
            </w:r>
          </w:p>
        </w:tc>
      </w:tr>
      <w:tr>
        <w:trPr>
          <w:trHeight w:val="405"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bottom w:val="single" w:sz="4" w:space="0" w:color="000000"/>
            </w:tcBorders>
          </w:tcPr>
          <w:p>
            <w:pPr>
              <w:pStyle w:val="TableParagraph"/>
              <w:spacing w:before="36"/>
              <w:ind w:right="47"/>
              <w:jc w:val="right"/>
              <w:rPr>
                <w:sz w:val="21"/>
              </w:rPr>
            </w:pPr>
            <w:r>
              <w:rPr>
                <w:sz w:val="21"/>
              </w:rPr>
              <w:t>7</w:t>
            </w:r>
          </w:p>
        </w:tc>
        <w:tc>
          <w:tcPr>
            <w:tcW w:w="3877" w:type="dxa"/>
            <w:tcBorders>
              <w:bottom w:val="single" w:sz="4" w:space="0" w:color="000000"/>
            </w:tcBorders>
          </w:tcPr>
          <w:p>
            <w:pPr>
              <w:pStyle w:val="TableParagraph"/>
              <w:spacing w:before="1"/>
              <w:ind w:left="59"/>
              <w:rPr>
                <w:sz w:val="24"/>
              </w:rPr>
            </w:pPr>
            <w:r>
              <w:rPr>
                <w:sz w:val="21"/>
              </w:rPr>
              <w:t>严重原发性肺动脉高压</w:t>
            </w:r>
            <w:r>
              <w:rPr>
                <w:sz w:val="24"/>
              </w:rPr>
              <w:t>*</w:t>
            </w:r>
          </w:p>
        </w:tc>
        <w:tc>
          <w:tcPr>
            <w:tcW w:w="518" w:type="dxa"/>
            <w:tcBorders>
              <w:bottom w:val="single" w:sz="4" w:space="0" w:color="000000"/>
            </w:tcBorders>
          </w:tcPr>
          <w:p>
            <w:pPr>
              <w:pStyle w:val="TableParagraph"/>
              <w:spacing w:before="0"/>
              <w:rPr>
                <w:rFonts w:ascii="Times New Roman"/>
                <w:sz w:val="20"/>
              </w:rPr>
            </w:pPr>
          </w:p>
        </w:tc>
        <w:tc>
          <w:tcPr>
            <w:tcW w:w="3076" w:type="dxa"/>
            <w:tcBorders>
              <w:bottom w:val="single" w:sz="4" w:space="0" w:color="000000"/>
              <w:right w:val="single" w:sz="4" w:space="0" w:color="000000"/>
            </w:tcBorders>
          </w:tcPr>
          <w:p>
            <w:pPr>
              <w:pStyle w:val="TableParagraph"/>
              <w:spacing w:before="0"/>
              <w:rPr>
                <w:rFonts w:ascii="Times New Roman"/>
                <w:sz w:val="20"/>
              </w:rPr>
            </w:pPr>
          </w:p>
        </w:tc>
      </w:tr>
      <w:tr>
        <w:trPr>
          <w:trHeight w:val="374"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19"/>
              </w:rPr>
            </w:pPr>
          </w:p>
          <w:p>
            <w:pPr>
              <w:pStyle w:val="TableParagraph"/>
              <w:spacing w:line="257" w:lineRule="exact" w:before="0"/>
              <w:ind w:left="111" w:right="104"/>
              <w:jc w:val="center"/>
              <w:rPr>
                <w:sz w:val="21"/>
              </w:rPr>
            </w:pPr>
            <w:r>
              <w:rPr>
                <w:sz w:val="21"/>
              </w:rPr>
              <w:t>神经系统相关</w:t>
            </w:r>
          </w:p>
          <w:p>
            <w:pPr>
              <w:pStyle w:val="TableParagraph"/>
              <w:spacing w:line="257" w:lineRule="exact" w:before="0"/>
              <w:ind w:left="128" w:right="120"/>
              <w:jc w:val="center"/>
              <w:rPr>
                <w:sz w:val="21"/>
              </w:rPr>
            </w:pPr>
            <w:r>
              <w:rPr>
                <w:sz w:val="21"/>
              </w:rPr>
              <w:t>（16 种）</w:t>
            </w:r>
          </w:p>
        </w:tc>
        <w:tc>
          <w:tcPr>
            <w:tcW w:w="479" w:type="dxa"/>
            <w:tcBorders>
              <w:top w:val="single" w:sz="4" w:space="0" w:color="000000"/>
              <w:left w:val="single" w:sz="4" w:space="0" w:color="000000"/>
            </w:tcBorders>
          </w:tcPr>
          <w:p>
            <w:pPr>
              <w:pStyle w:val="TableParagraph"/>
              <w:spacing w:before="21"/>
              <w:ind w:right="47"/>
              <w:jc w:val="right"/>
              <w:rPr>
                <w:sz w:val="21"/>
              </w:rPr>
            </w:pPr>
            <w:r>
              <w:rPr>
                <w:sz w:val="21"/>
              </w:rPr>
              <w:t>12</w:t>
            </w:r>
          </w:p>
        </w:tc>
        <w:tc>
          <w:tcPr>
            <w:tcW w:w="3877" w:type="dxa"/>
            <w:tcBorders>
              <w:top w:val="single" w:sz="4" w:space="0" w:color="000000"/>
            </w:tcBorders>
          </w:tcPr>
          <w:p>
            <w:pPr>
              <w:pStyle w:val="TableParagraph"/>
              <w:spacing w:line="300" w:lineRule="exact" w:before="0"/>
              <w:ind w:left="59"/>
              <w:rPr>
                <w:sz w:val="24"/>
              </w:rPr>
            </w:pPr>
            <w:r>
              <w:rPr>
                <w:sz w:val="21"/>
              </w:rPr>
              <w:t>良性脑肿瘤</w:t>
            </w:r>
            <w:r>
              <w:rPr>
                <w:sz w:val="24"/>
              </w:rPr>
              <w:t>*</w:t>
            </w:r>
          </w:p>
        </w:tc>
        <w:tc>
          <w:tcPr>
            <w:tcW w:w="518" w:type="dxa"/>
            <w:tcBorders>
              <w:top w:val="single" w:sz="4" w:space="0" w:color="000000"/>
            </w:tcBorders>
          </w:tcPr>
          <w:p>
            <w:pPr>
              <w:pStyle w:val="TableParagraph"/>
              <w:spacing w:before="21"/>
              <w:ind w:right="47"/>
              <w:jc w:val="right"/>
              <w:rPr>
                <w:sz w:val="21"/>
              </w:rPr>
            </w:pPr>
            <w:r>
              <w:rPr>
                <w:sz w:val="21"/>
              </w:rPr>
              <w:t>20</w:t>
            </w:r>
          </w:p>
        </w:tc>
        <w:tc>
          <w:tcPr>
            <w:tcW w:w="3076" w:type="dxa"/>
            <w:tcBorders>
              <w:top w:val="single" w:sz="4" w:space="0" w:color="000000"/>
              <w:right w:val="single" w:sz="4" w:space="0" w:color="000000"/>
            </w:tcBorders>
          </w:tcPr>
          <w:p>
            <w:pPr>
              <w:pStyle w:val="TableParagraph"/>
              <w:spacing w:line="300" w:lineRule="exact" w:before="0"/>
              <w:ind w:left="59"/>
              <w:rPr>
                <w:sz w:val="24"/>
              </w:rPr>
            </w:pPr>
            <w:r>
              <w:rPr>
                <w:sz w:val="21"/>
              </w:rPr>
              <w:t>语言能力丧失</w:t>
            </w:r>
            <w:r>
              <w:rPr>
                <w:sz w:val="24"/>
              </w:rPr>
              <w:t>*</w:t>
            </w:r>
          </w:p>
        </w:tc>
      </w:tr>
      <w:tr>
        <w:trPr>
          <w:trHeight w:val="390"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5"/>
              <w:ind w:right="47"/>
              <w:jc w:val="right"/>
              <w:rPr>
                <w:sz w:val="21"/>
              </w:rPr>
            </w:pPr>
            <w:r>
              <w:rPr>
                <w:sz w:val="21"/>
              </w:rPr>
              <w:t>13</w:t>
            </w:r>
          </w:p>
        </w:tc>
        <w:tc>
          <w:tcPr>
            <w:tcW w:w="3877" w:type="dxa"/>
          </w:tcPr>
          <w:p>
            <w:pPr>
              <w:pStyle w:val="TableParagraph"/>
              <w:spacing w:before="0"/>
              <w:ind w:left="59"/>
              <w:rPr>
                <w:sz w:val="24"/>
              </w:rPr>
            </w:pPr>
            <w:r>
              <w:rPr>
                <w:sz w:val="21"/>
              </w:rPr>
              <w:t>脑炎后遗症或脑膜炎后遗症</w:t>
            </w:r>
            <w:r>
              <w:rPr>
                <w:sz w:val="24"/>
              </w:rPr>
              <w:t>*</w:t>
            </w:r>
          </w:p>
        </w:tc>
        <w:tc>
          <w:tcPr>
            <w:tcW w:w="518" w:type="dxa"/>
          </w:tcPr>
          <w:p>
            <w:pPr>
              <w:pStyle w:val="TableParagraph"/>
              <w:spacing w:before="35"/>
              <w:ind w:right="47"/>
              <w:jc w:val="right"/>
              <w:rPr>
                <w:sz w:val="21"/>
              </w:rPr>
            </w:pPr>
            <w:r>
              <w:rPr>
                <w:sz w:val="21"/>
              </w:rPr>
              <w:t>21</w:t>
            </w:r>
          </w:p>
        </w:tc>
        <w:tc>
          <w:tcPr>
            <w:tcW w:w="3076" w:type="dxa"/>
            <w:tcBorders>
              <w:right w:val="single" w:sz="4" w:space="0" w:color="000000"/>
            </w:tcBorders>
          </w:tcPr>
          <w:p>
            <w:pPr>
              <w:pStyle w:val="TableParagraph"/>
              <w:spacing w:before="35"/>
              <w:ind w:left="59"/>
              <w:rPr>
                <w:sz w:val="21"/>
              </w:rPr>
            </w:pPr>
            <w:r>
              <w:rPr>
                <w:sz w:val="21"/>
              </w:rPr>
              <w:t>严重多发性硬化</w:t>
            </w:r>
          </w:p>
        </w:tc>
      </w:tr>
      <w:tr>
        <w:trPr>
          <w:trHeight w:val="390"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6"/>
              <w:ind w:right="47"/>
              <w:jc w:val="right"/>
              <w:rPr>
                <w:sz w:val="21"/>
              </w:rPr>
            </w:pPr>
            <w:r>
              <w:rPr>
                <w:sz w:val="21"/>
              </w:rPr>
              <w:t>14</w:t>
            </w:r>
          </w:p>
        </w:tc>
        <w:tc>
          <w:tcPr>
            <w:tcW w:w="3877" w:type="dxa"/>
          </w:tcPr>
          <w:p>
            <w:pPr>
              <w:pStyle w:val="TableParagraph"/>
              <w:spacing w:before="1"/>
              <w:ind w:left="59"/>
              <w:rPr>
                <w:sz w:val="24"/>
              </w:rPr>
            </w:pPr>
            <w:r>
              <w:rPr>
                <w:sz w:val="21"/>
              </w:rPr>
              <w:t>深度昏迷</w:t>
            </w:r>
            <w:r>
              <w:rPr>
                <w:sz w:val="24"/>
              </w:rPr>
              <w:t>*</w:t>
            </w:r>
          </w:p>
        </w:tc>
        <w:tc>
          <w:tcPr>
            <w:tcW w:w="518" w:type="dxa"/>
          </w:tcPr>
          <w:p>
            <w:pPr>
              <w:pStyle w:val="TableParagraph"/>
              <w:spacing w:before="36"/>
              <w:ind w:right="47"/>
              <w:jc w:val="right"/>
              <w:rPr>
                <w:sz w:val="21"/>
              </w:rPr>
            </w:pPr>
            <w:r>
              <w:rPr>
                <w:sz w:val="21"/>
              </w:rPr>
              <w:t>22</w:t>
            </w:r>
          </w:p>
        </w:tc>
        <w:tc>
          <w:tcPr>
            <w:tcW w:w="3076" w:type="dxa"/>
            <w:tcBorders>
              <w:right w:val="single" w:sz="4" w:space="0" w:color="000000"/>
            </w:tcBorders>
          </w:tcPr>
          <w:p>
            <w:pPr>
              <w:pStyle w:val="TableParagraph"/>
              <w:spacing w:before="36"/>
              <w:ind w:left="59"/>
              <w:rPr>
                <w:sz w:val="21"/>
              </w:rPr>
            </w:pPr>
            <w:r>
              <w:rPr>
                <w:sz w:val="21"/>
              </w:rPr>
              <w:t>颅脑手术</w:t>
            </w:r>
          </w:p>
        </w:tc>
      </w:tr>
      <w:tr>
        <w:trPr>
          <w:trHeight w:val="389"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5"/>
              <w:ind w:right="47"/>
              <w:jc w:val="right"/>
              <w:rPr>
                <w:sz w:val="21"/>
              </w:rPr>
            </w:pPr>
            <w:r>
              <w:rPr>
                <w:sz w:val="21"/>
              </w:rPr>
              <w:t>15</w:t>
            </w:r>
          </w:p>
        </w:tc>
        <w:tc>
          <w:tcPr>
            <w:tcW w:w="3877" w:type="dxa"/>
          </w:tcPr>
          <w:p>
            <w:pPr>
              <w:pStyle w:val="TableParagraph"/>
              <w:spacing w:before="0"/>
              <w:ind w:left="59"/>
              <w:rPr>
                <w:sz w:val="24"/>
              </w:rPr>
            </w:pPr>
            <w:r>
              <w:rPr>
                <w:sz w:val="21"/>
              </w:rPr>
              <w:t>瘫痪</w:t>
            </w:r>
            <w:r>
              <w:rPr>
                <w:sz w:val="24"/>
              </w:rPr>
              <w:t>*</w:t>
            </w:r>
          </w:p>
        </w:tc>
        <w:tc>
          <w:tcPr>
            <w:tcW w:w="518" w:type="dxa"/>
          </w:tcPr>
          <w:p>
            <w:pPr>
              <w:pStyle w:val="TableParagraph"/>
              <w:spacing w:before="35"/>
              <w:ind w:right="47"/>
              <w:jc w:val="right"/>
              <w:rPr>
                <w:sz w:val="21"/>
              </w:rPr>
            </w:pPr>
            <w:r>
              <w:rPr>
                <w:sz w:val="21"/>
              </w:rPr>
              <w:t>23</w:t>
            </w:r>
          </w:p>
        </w:tc>
        <w:tc>
          <w:tcPr>
            <w:tcW w:w="3076" w:type="dxa"/>
            <w:tcBorders>
              <w:right w:val="single" w:sz="4" w:space="0" w:color="000000"/>
            </w:tcBorders>
          </w:tcPr>
          <w:p>
            <w:pPr>
              <w:pStyle w:val="TableParagraph"/>
              <w:spacing w:before="35"/>
              <w:ind w:left="59"/>
              <w:rPr>
                <w:sz w:val="21"/>
              </w:rPr>
            </w:pPr>
            <w:r>
              <w:rPr>
                <w:sz w:val="21"/>
              </w:rPr>
              <w:t>重症肌无力</w:t>
            </w:r>
          </w:p>
        </w:tc>
      </w:tr>
      <w:tr>
        <w:trPr>
          <w:trHeight w:val="390"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5"/>
              <w:ind w:right="47"/>
              <w:jc w:val="right"/>
              <w:rPr>
                <w:sz w:val="21"/>
              </w:rPr>
            </w:pPr>
            <w:r>
              <w:rPr>
                <w:sz w:val="21"/>
              </w:rPr>
              <w:t>16</w:t>
            </w:r>
          </w:p>
        </w:tc>
        <w:tc>
          <w:tcPr>
            <w:tcW w:w="3877" w:type="dxa"/>
          </w:tcPr>
          <w:p>
            <w:pPr>
              <w:pStyle w:val="TableParagraph"/>
              <w:spacing w:before="0"/>
              <w:ind w:left="59"/>
              <w:rPr>
                <w:sz w:val="24"/>
              </w:rPr>
            </w:pPr>
            <w:r>
              <w:rPr>
                <w:sz w:val="21"/>
              </w:rPr>
              <w:t>严重阿尔茨海默病</w:t>
            </w:r>
            <w:r>
              <w:rPr>
                <w:sz w:val="24"/>
              </w:rPr>
              <w:t>*</w:t>
            </w:r>
          </w:p>
        </w:tc>
        <w:tc>
          <w:tcPr>
            <w:tcW w:w="518" w:type="dxa"/>
          </w:tcPr>
          <w:p>
            <w:pPr>
              <w:pStyle w:val="TableParagraph"/>
              <w:spacing w:before="35"/>
              <w:ind w:right="47"/>
              <w:jc w:val="right"/>
              <w:rPr>
                <w:sz w:val="21"/>
              </w:rPr>
            </w:pPr>
            <w:r>
              <w:rPr>
                <w:sz w:val="21"/>
              </w:rPr>
              <w:t>24</w:t>
            </w:r>
          </w:p>
        </w:tc>
        <w:tc>
          <w:tcPr>
            <w:tcW w:w="3076" w:type="dxa"/>
            <w:tcBorders>
              <w:right w:val="single" w:sz="4" w:space="0" w:color="000000"/>
            </w:tcBorders>
          </w:tcPr>
          <w:p>
            <w:pPr>
              <w:pStyle w:val="TableParagraph"/>
              <w:spacing w:before="35"/>
              <w:ind w:left="59"/>
              <w:rPr>
                <w:sz w:val="21"/>
              </w:rPr>
            </w:pPr>
            <w:r>
              <w:rPr>
                <w:sz w:val="21"/>
              </w:rPr>
              <w:t>持续植物人状态</w:t>
            </w:r>
          </w:p>
        </w:tc>
      </w:tr>
      <w:tr>
        <w:trPr>
          <w:trHeight w:val="390"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6"/>
              <w:ind w:right="47"/>
              <w:jc w:val="right"/>
              <w:rPr>
                <w:sz w:val="21"/>
              </w:rPr>
            </w:pPr>
            <w:r>
              <w:rPr>
                <w:sz w:val="21"/>
              </w:rPr>
              <w:t>17</w:t>
            </w:r>
          </w:p>
        </w:tc>
        <w:tc>
          <w:tcPr>
            <w:tcW w:w="3877" w:type="dxa"/>
          </w:tcPr>
          <w:p>
            <w:pPr>
              <w:pStyle w:val="TableParagraph"/>
              <w:spacing w:before="1"/>
              <w:ind w:left="59"/>
              <w:rPr>
                <w:sz w:val="24"/>
              </w:rPr>
            </w:pPr>
            <w:r>
              <w:rPr>
                <w:sz w:val="21"/>
              </w:rPr>
              <w:t>严重脑损伤</w:t>
            </w:r>
            <w:r>
              <w:rPr>
                <w:sz w:val="24"/>
              </w:rPr>
              <w:t>*</w:t>
            </w:r>
          </w:p>
        </w:tc>
        <w:tc>
          <w:tcPr>
            <w:tcW w:w="518" w:type="dxa"/>
          </w:tcPr>
          <w:p>
            <w:pPr>
              <w:pStyle w:val="TableParagraph"/>
              <w:spacing w:before="36"/>
              <w:ind w:right="47"/>
              <w:jc w:val="right"/>
              <w:rPr>
                <w:sz w:val="21"/>
              </w:rPr>
            </w:pPr>
            <w:r>
              <w:rPr>
                <w:sz w:val="21"/>
              </w:rPr>
              <w:t>25</w:t>
            </w:r>
          </w:p>
        </w:tc>
        <w:tc>
          <w:tcPr>
            <w:tcW w:w="3076" w:type="dxa"/>
            <w:tcBorders>
              <w:right w:val="single" w:sz="4" w:space="0" w:color="000000"/>
            </w:tcBorders>
          </w:tcPr>
          <w:p>
            <w:pPr>
              <w:pStyle w:val="TableParagraph"/>
              <w:spacing w:before="36"/>
              <w:ind w:left="59"/>
              <w:rPr>
                <w:sz w:val="21"/>
              </w:rPr>
            </w:pPr>
            <w:r>
              <w:rPr>
                <w:sz w:val="21"/>
              </w:rPr>
              <w:t>进行性核上性麻痹</w:t>
            </w:r>
          </w:p>
        </w:tc>
      </w:tr>
      <w:tr>
        <w:trPr>
          <w:trHeight w:val="389"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5"/>
              <w:ind w:right="47"/>
              <w:jc w:val="right"/>
              <w:rPr>
                <w:sz w:val="21"/>
              </w:rPr>
            </w:pPr>
            <w:r>
              <w:rPr>
                <w:sz w:val="21"/>
              </w:rPr>
              <w:t>18</w:t>
            </w:r>
          </w:p>
        </w:tc>
        <w:tc>
          <w:tcPr>
            <w:tcW w:w="3877" w:type="dxa"/>
          </w:tcPr>
          <w:p>
            <w:pPr>
              <w:pStyle w:val="TableParagraph"/>
              <w:spacing w:before="0"/>
              <w:ind w:left="59"/>
              <w:rPr>
                <w:sz w:val="24"/>
              </w:rPr>
            </w:pPr>
            <w:r>
              <w:rPr>
                <w:sz w:val="21"/>
              </w:rPr>
              <w:t>严重帕金森病</w:t>
            </w:r>
            <w:r>
              <w:rPr>
                <w:sz w:val="24"/>
              </w:rPr>
              <w:t>*</w:t>
            </w:r>
          </w:p>
        </w:tc>
        <w:tc>
          <w:tcPr>
            <w:tcW w:w="518" w:type="dxa"/>
          </w:tcPr>
          <w:p>
            <w:pPr>
              <w:pStyle w:val="TableParagraph"/>
              <w:spacing w:before="35"/>
              <w:ind w:right="47"/>
              <w:jc w:val="right"/>
              <w:rPr>
                <w:sz w:val="21"/>
              </w:rPr>
            </w:pPr>
            <w:r>
              <w:rPr>
                <w:sz w:val="21"/>
              </w:rPr>
              <w:t>26</w:t>
            </w:r>
          </w:p>
        </w:tc>
        <w:tc>
          <w:tcPr>
            <w:tcW w:w="3076" w:type="dxa"/>
            <w:tcBorders>
              <w:right w:val="single" w:sz="4" w:space="0" w:color="000000"/>
            </w:tcBorders>
          </w:tcPr>
          <w:p>
            <w:pPr>
              <w:pStyle w:val="TableParagraph"/>
              <w:spacing w:before="35"/>
              <w:ind w:left="59"/>
              <w:rPr>
                <w:sz w:val="21"/>
              </w:rPr>
            </w:pPr>
            <w:r>
              <w:rPr>
                <w:sz w:val="21"/>
              </w:rPr>
              <w:t>非阿尔茨海默病所致严重痴呆</w:t>
            </w:r>
          </w:p>
        </w:tc>
      </w:tr>
      <w:tr>
        <w:trPr>
          <w:trHeight w:val="405"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bottom w:val="single" w:sz="4" w:space="0" w:color="000000"/>
            </w:tcBorders>
          </w:tcPr>
          <w:p>
            <w:pPr>
              <w:pStyle w:val="TableParagraph"/>
              <w:spacing w:before="35"/>
              <w:ind w:right="47"/>
              <w:jc w:val="right"/>
              <w:rPr>
                <w:sz w:val="21"/>
              </w:rPr>
            </w:pPr>
            <w:r>
              <w:rPr>
                <w:sz w:val="21"/>
              </w:rPr>
              <w:t>19</w:t>
            </w:r>
          </w:p>
        </w:tc>
        <w:tc>
          <w:tcPr>
            <w:tcW w:w="3877" w:type="dxa"/>
            <w:tcBorders>
              <w:bottom w:val="single" w:sz="4" w:space="0" w:color="000000"/>
            </w:tcBorders>
          </w:tcPr>
          <w:p>
            <w:pPr>
              <w:pStyle w:val="TableParagraph"/>
              <w:spacing w:before="0"/>
              <w:ind w:left="59"/>
              <w:rPr>
                <w:sz w:val="24"/>
              </w:rPr>
            </w:pPr>
            <w:r>
              <w:rPr>
                <w:sz w:val="21"/>
              </w:rPr>
              <w:t>严重运动神经元病</w:t>
            </w:r>
            <w:r>
              <w:rPr>
                <w:sz w:val="24"/>
              </w:rPr>
              <w:t>*</w:t>
            </w:r>
          </w:p>
        </w:tc>
        <w:tc>
          <w:tcPr>
            <w:tcW w:w="518" w:type="dxa"/>
            <w:tcBorders>
              <w:bottom w:val="single" w:sz="4" w:space="0" w:color="000000"/>
            </w:tcBorders>
          </w:tcPr>
          <w:p>
            <w:pPr>
              <w:pStyle w:val="TableParagraph"/>
              <w:spacing w:before="35"/>
              <w:ind w:right="47"/>
              <w:jc w:val="right"/>
              <w:rPr>
                <w:sz w:val="21"/>
              </w:rPr>
            </w:pPr>
            <w:r>
              <w:rPr>
                <w:sz w:val="21"/>
              </w:rPr>
              <w:t>27</w:t>
            </w:r>
          </w:p>
        </w:tc>
        <w:tc>
          <w:tcPr>
            <w:tcW w:w="3076" w:type="dxa"/>
            <w:tcBorders>
              <w:bottom w:val="single" w:sz="4" w:space="0" w:color="000000"/>
              <w:right w:val="single" w:sz="4" w:space="0" w:color="000000"/>
            </w:tcBorders>
          </w:tcPr>
          <w:p>
            <w:pPr>
              <w:pStyle w:val="TableParagraph"/>
              <w:spacing w:before="35"/>
              <w:ind w:left="59"/>
              <w:rPr>
                <w:sz w:val="21"/>
              </w:rPr>
            </w:pPr>
            <w:r>
              <w:rPr>
                <w:sz w:val="21"/>
              </w:rPr>
              <w:t>克雅氏病</w:t>
            </w:r>
          </w:p>
        </w:tc>
      </w:tr>
      <w:tr>
        <w:trPr>
          <w:trHeight w:val="374"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rPr>
                <w:sz w:val="20"/>
              </w:rPr>
            </w:pPr>
          </w:p>
          <w:p>
            <w:pPr>
              <w:pStyle w:val="TableParagraph"/>
              <w:spacing w:before="11"/>
              <w:rPr>
                <w:sz w:val="17"/>
              </w:rPr>
            </w:pPr>
          </w:p>
          <w:p>
            <w:pPr>
              <w:pStyle w:val="TableParagraph"/>
              <w:spacing w:line="257" w:lineRule="exact" w:before="1"/>
              <w:ind w:left="111" w:right="104"/>
              <w:jc w:val="center"/>
              <w:rPr>
                <w:sz w:val="21"/>
              </w:rPr>
            </w:pPr>
            <w:r>
              <w:rPr>
                <w:sz w:val="21"/>
              </w:rPr>
              <w:t>消化系统相关</w:t>
            </w:r>
          </w:p>
          <w:p>
            <w:pPr>
              <w:pStyle w:val="TableParagraph"/>
              <w:spacing w:line="257" w:lineRule="exact" w:before="0"/>
              <w:ind w:left="128" w:right="120"/>
              <w:jc w:val="center"/>
              <w:rPr>
                <w:sz w:val="21"/>
              </w:rPr>
            </w:pPr>
            <w:r>
              <w:rPr>
                <w:sz w:val="21"/>
              </w:rPr>
              <w:t>（8 种）</w:t>
            </w:r>
          </w:p>
        </w:tc>
        <w:tc>
          <w:tcPr>
            <w:tcW w:w="479" w:type="dxa"/>
            <w:tcBorders>
              <w:top w:val="single" w:sz="4" w:space="0" w:color="000000"/>
              <w:left w:val="single" w:sz="4" w:space="0" w:color="000000"/>
            </w:tcBorders>
          </w:tcPr>
          <w:p>
            <w:pPr>
              <w:pStyle w:val="TableParagraph"/>
              <w:spacing w:before="21"/>
              <w:ind w:right="47"/>
              <w:jc w:val="right"/>
              <w:rPr>
                <w:sz w:val="21"/>
              </w:rPr>
            </w:pPr>
            <w:r>
              <w:rPr>
                <w:sz w:val="21"/>
              </w:rPr>
              <w:t>28</w:t>
            </w:r>
          </w:p>
        </w:tc>
        <w:tc>
          <w:tcPr>
            <w:tcW w:w="3877" w:type="dxa"/>
            <w:tcBorders>
              <w:top w:val="single" w:sz="4" w:space="0" w:color="000000"/>
            </w:tcBorders>
          </w:tcPr>
          <w:p>
            <w:pPr>
              <w:pStyle w:val="TableParagraph"/>
              <w:spacing w:line="300" w:lineRule="exact" w:before="0"/>
              <w:ind w:left="59"/>
              <w:rPr>
                <w:sz w:val="24"/>
              </w:rPr>
            </w:pPr>
            <w:r>
              <w:rPr>
                <w:sz w:val="21"/>
              </w:rPr>
              <w:t>急性或亚急性重症肝炎</w:t>
            </w:r>
            <w:r>
              <w:rPr>
                <w:sz w:val="24"/>
              </w:rPr>
              <w:t>*</w:t>
            </w:r>
          </w:p>
        </w:tc>
        <w:tc>
          <w:tcPr>
            <w:tcW w:w="518" w:type="dxa"/>
            <w:tcBorders>
              <w:top w:val="single" w:sz="4" w:space="0" w:color="000000"/>
            </w:tcBorders>
          </w:tcPr>
          <w:p>
            <w:pPr>
              <w:pStyle w:val="TableParagraph"/>
              <w:spacing w:before="21"/>
              <w:ind w:right="47"/>
              <w:jc w:val="right"/>
              <w:rPr>
                <w:sz w:val="21"/>
              </w:rPr>
            </w:pPr>
            <w:r>
              <w:rPr>
                <w:sz w:val="21"/>
              </w:rPr>
              <w:t>32</w:t>
            </w:r>
          </w:p>
        </w:tc>
        <w:tc>
          <w:tcPr>
            <w:tcW w:w="3076" w:type="dxa"/>
            <w:tcBorders>
              <w:top w:val="single" w:sz="4" w:space="0" w:color="000000"/>
              <w:right w:val="single" w:sz="4" w:space="0" w:color="000000"/>
            </w:tcBorders>
          </w:tcPr>
          <w:p>
            <w:pPr>
              <w:pStyle w:val="TableParagraph"/>
              <w:spacing w:before="21"/>
              <w:ind w:left="59"/>
              <w:rPr>
                <w:sz w:val="21"/>
              </w:rPr>
            </w:pPr>
            <w:r>
              <w:rPr>
                <w:sz w:val="21"/>
              </w:rPr>
              <w:t>严重克隆病</w:t>
            </w:r>
          </w:p>
        </w:tc>
      </w:tr>
      <w:tr>
        <w:trPr>
          <w:trHeight w:val="402"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5"/>
              <w:ind w:right="47"/>
              <w:jc w:val="right"/>
              <w:rPr>
                <w:sz w:val="21"/>
              </w:rPr>
            </w:pPr>
            <w:r>
              <w:rPr>
                <w:sz w:val="21"/>
              </w:rPr>
              <w:t>29</w:t>
            </w:r>
          </w:p>
        </w:tc>
        <w:tc>
          <w:tcPr>
            <w:tcW w:w="3877" w:type="dxa"/>
          </w:tcPr>
          <w:p>
            <w:pPr>
              <w:pStyle w:val="TableParagraph"/>
              <w:spacing w:before="0"/>
              <w:ind w:left="59"/>
              <w:rPr>
                <w:sz w:val="24"/>
              </w:rPr>
            </w:pPr>
            <w:r>
              <w:rPr>
                <w:sz w:val="21"/>
              </w:rPr>
              <w:t>慢性肝功能衰竭失代偿期</w:t>
            </w:r>
            <w:r>
              <w:rPr>
                <w:sz w:val="24"/>
              </w:rPr>
              <w:t>*</w:t>
            </w:r>
          </w:p>
        </w:tc>
        <w:tc>
          <w:tcPr>
            <w:tcW w:w="518" w:type="dxa"/>
          </w:tcPr>
          <w:p>
            <w:pPr>
              <w:pStyle w:val="TableParagraph"/>
              <w:spacing w:before="35"/>
              <w:ind w:right="47"/>
              <w:jc w:val="right"/>
              <w:rPr>
                <w:sz w:val="21"/>
              </w:rPr>
            </w:pPr>
            <w:r>
              <w:rPr>
                <w:sz w:val="21"/>
              </w:rPr>
              <w:t>33</w:t>
            </w:r>
          </w:p>
        </w:tc>
        <w:tc>
          <w:tcPr>
            <w:tcW w:w="3076" w:type="dxa"/>
            <w:tcBorders>
              <w:right w:val="single" w:sz="4" w:space="0" w:color="000000"/>
            </w:tcBorders>
          </w:tcPr>
          <w:p>
            <w:pPr>
              <w:pStyle w:val="TableParagraph"/>
              <w:spacing w:before="35"/>
              <w:ind w:left="59"/>
              <w:rPr>
                <w:sz w:val="21"/>
              </w:rPr>
            </w:pPr>
            <w:r>
              <w:rPr>
                <w:sz w:val="21"/>
              </w:rPr>
              <w:t>严重慢性复发性胰腺炎</w:t>
            </w:r>
          </w:p>
        </w:tc>
      </w:tr>
      <w:tr>
        <w:trPr>
          <w:trHeight w:val="388"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23"/>
              <w:ind w:right="47"/>
              <w:jc w:val="right"/>
              <w:rPr>
                <w:sz w:val="21"/>
              </w:rPr>
            </w:pPr>
            <w:r>
              <w:rPr>
                <w:sz w:val="21"/>
              </w:rPr>
              <w:t>30</w:t>
            </w:r>
          </w:p>
        </w:tc>
        <w:tc>
          <w:tcPr>
            <w:tcW w:w="3877" w:type="dxa"/>
          </w:tcPr>
          <w:p>
            <w:pPr>
              <w:pStyle w:val="TableParagraph"/>
              <w:spacing w:before="23"/>
              <w:ind w:left="59"/>
              <w:rPr>
                <w:sz w:val="21"/>
              </w:rPr>
            </w:pPr>
            <w:r>
              <w:rPr>
                <w:sz w:val="21"/>
              </w:rPr>
              <w:t>急性出血坏死性胰腺炎开腹手术</w:t>
            </w:r>
          </w:p>
        </w:tc>
        <w:tc>
          <w:tcPr>
            <w:tcW w:w="518" w:type="dxa"/>
          </w:tcPr>
          <w:p>
            <w:pPr>
              <w:pStyle w:val="TableParagraph"/>
              <w:spacing w:before="23"/>
              <w:ind w:right="47"/>
              <w:jc w:val="right"/>
              <w:rPr>
                <w:sz w:val="21"/>
              </w:rPr>
            </w:pPr>
            <w:r>
              <w:rPr>
                <w:sz w:val="21"/>
              </w:rPr>
              <w:t>34</w:t>
            </w:r>
          </w:p>
        </w:tc>
        <w:tc>
          <w:tcPr>
            <w:tcW w:w="3076" w:type="dxa"/>
            <w:tcBorders>
              <w:right w:val="single" w:sz="4" w:space="0" w:color="000000"/>
            </w:tcBorders>
          </w:tcPr>
          <w:p>
            <w:pPr>
              <w:pStyle w:val="TableParagraph"/>
              <w:spacing w:before="23"/>
              <w:ind w:left="59"/>
              <w:rPr>
                <w:sz w:val="21"/>
              </w:rPr>
            </w:pPr>
            <w:r>
              <w:rPr>
                <w:sz w:val="21"/>
              </w:rPr>
              <w:t>原发性硬化性胆管炎</w:t>
            </w:r>
          </w:p>
        </w:tc>
      </w:tr>
      <w:tr>
        <w:trPr>
          <w:trHeight w:val="394"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bottom w:val="single" w:sz="4" w:space="0" w:color="000000"/>
            </w:tcBorders>
          </w:tcPr>
          <w:p>
            <w:pPr>
              <w:pStyle w:val="TableParagraph"/>
              <w:spacing w:before="25"/>
              <w:ind w:right="47"/>
              <w:jc w:val="right"/>
              <w:rPr>
                <w:sz w:val="21"/>
              </w:rPr>
            </w:pPr>
            <w:r>
              <w:rPr>
                <w:sz w:val="21"/>
              </w:rPr>
              <w:t>31</w:t>
            </w:r>
          </w:p>
        </w:tc>
        <w:tc>
          <w:tcPr>
            <w:tcW w:w="3877" w:type="dxa"/>
            <w:tcBorders>
              <w:bottom w:val="single" w:sz="4" w:space="0" w:color="000000"/>
            </w:tcBorders>
          </w:tcPr>
          <w:p>
            <w:pPr>
              <w:pStyle w:val="TableParagraph"/>
              <w:spacing w:before="25"/>
              <w:ind w:left="59"/>
              <w:rPr>
                <w:sz w:val="21"/>
              </w:rPr>
            </w:pPr>
            <w:r>
              <w:rPr>
                <w:sz w:val="21"/>
              </w:rPr>
              <w:t>严重溃疡性结肠炎</w:t>
            </w:r>
          </w:p>
        </w:tc>
        <w:tc>
          <w:tcPr>
            <w:tcW w:w="518" w:type="dxa"/>
            <w:tcBorders>
              <w:bottom w:val="single" w:sz="4" w:space="0" w:color="000000"/>
            </w:tcBorders>
          </w:tcPr>
          <w:p>
            <w:pPr>
              <w:pStyle w:val="TableParagraph"/>
              <w:spacing w:before="25"/>
              <w:ind w:right="47"/>
              <w:jc w:val="right"/>
              <w:rPr>
                <w:sz w:val="21"/>
              </w:rPr>
            </w:pPr>
            <w:r>
              <w:rPr>
                <w:sz w:val="21"/>
              </w:rPr>
              <w:t>35</w:t>
            </w:r>
          </w:p>
        </w:tc>
        <w:tc>
          <w:tcPr>
            <w:tcW w:w="3076" w:type="dxa"/>
            <w:tcBorders>
              <w:bottom w:val="single" w:sz="4" w:space="0" w:color="000000"/>
              <w:right w:val="single" w:sz="4" w:space="0" w:color="000000"/>
            </w:tcBorders>
          </w:tcPr>
          <w:p>
            <w:pPr>
              <w:pStyle w:val="TableParagraph"/>
              <w:spacing w:before="25"/>
              <w:ind w:left="59"/>
              <w:rPr>
                <w:sz w:val="21"/>
              </w:rPr>
            </w:pPr>
            <w:r>
              <w:rPr>
                <w:sz w:val="21"/>
              </w:rPr>
              <w:t>胰腺移植术</w:t>
            </w:r>
          </w:p>
        </w:tc>
      </w:tr>
      <w:tr>
        <w:trPr>
          <w:trHeight w:val="374"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rPr>
                <w:sz w:val="20"/>
              </w:rPr>
            </w:pPr>
          </w:p>
          <w:p>
            <w:pPr>
              <w:pStyle w:val="TableParagraph"/>
              <w:spacing w:before="10"/>
              <w:rPr>
                <w:sz w:val="26"/>
              </w:rPr>
            </w:pPr>
          </w:p>
          <w:p>
            <w:pPr>
              <w:pStyle w:val="TableParagraph"/>
              <w:spacing w:line="208" w:lineRule="auto" w:before="0"/>
              <w:ind w:left="129" w:right="119" w:hanging="1"/>
              <w:jc w:val="center"/>
              <w:rPr>
                <w:sz w:val="21"/>
              </w:rPr>
            </w:pPr>
            <w:r>
              <w:rPr>
                <w:sz w:val="21"/>
              </w:rPr>
              <w:t>其他器官功能严重受损相关</w:t>
            </w:r>
          </w:p>
          <w:p>
            <w:pPr>
              <w:pStyle w:val="TableParagraph"/>
              <w:spacing w:line="240" w:lineRule="exact" w:before="0"/>
              <w:ind w:left="128" w:right="120"/>
              <w:jc w:val="center"/>
              <w:rPr>
                <w:sz w:val="21"/>
              </w:rPr>
            </w:pPr>
            <w:r>
              <w:rPr>
                <w:sz w:val="21"/>
              </w:rPr>
              <w:t>（9 种）</w:t>
            </w:r>
          </w:p>
        </w:tc>
        <w:tc>
          <w:tcPr>
            <w:tcW w:w="479" w:type="dxa"/>
            <w:tcBorders>
              <w:top w:val="single" w:sz="4" w:space="0" w:color="000000"/>
              <w:left w:val="single" w:sz="4" w:space="0" w:color="000000"/>
            </w:tcBorders>
          </w:tcPr>
          <w:p>
            <w:pPr>
              <w:pStyle w:val="TableParagraph"/>
              <w:spacing w:before="21"/>
              <w:ind w:right="47"/>
              <w:jc w:val="right"/>
              <w:rPr>
                <w:sz w:val="21"/>
              </w:rPr>
            </w:pPr>
            <w:r>
              <w:rPr>
                <w:sz w:val="21"/>
              </w:rPr>
              <w:t>36</w:t>
            </w:r>
          </w:p>
        </w:tc>
        <w:tc>
          <w:tcPr>
            <w:tcW w:w="3877" w:type="dxa"/>
            <w:tcBorders>
              <w:top w:val="single" w:sz="4" w:space="0" w:color="000000"/>
            </w:tcBorders>
          </w:tcPr>
          <w:p>
            <w:pPr>
              <w:pStyle w:val="TableParagraph"/>
              <w:spacing w:line="300" w:lineRule="exact" w:before="0"/>
              <w:ind w:left="59"/>
              <w:rPr>
                <w:sz w:val="24"/>
              </w:rPr>
            </w:pPr>
            <w:r>
              <w:rPr>
                <w:sz w:val="21"/>
              </w:rPr>
              <w:t>重大器官移植术或造血干细胞移植术</w:t>
            </w:r>
            <w:r>
              <w:rPr>
                <w:sz w:val="24"/>
              </w:rPr>
              <w:t>*</w:t>
            </w:r>
          </w:p>
        </w:tc>
        <w:tc>
          <w:tcPr>
            <w:tcW w:w="518" w:type="dxa"/>
            <w:tcBorders>
              <w:top w:val="single" w:sz="4" w:space="0" w:color="000000"/>
            </w:tcBorders>
          </w:tcPr>
          <w:p>
            <w:pPr>
              <w:pStyle w:val="TableParagraph"/>
              <w:spacing w:before="21"/>
              <w:ind w:right="47"/>
              <w:jc w:val="right"/>
              <w:rPr>
                <w:sz w:val="21"/>
              </w:rPr>
            </w:pPr>
            <w:r>
              <w:rPr>
                <w:sz w:val="21"/>
              </w:rPr>
              <w:t>41</w:t>
            </w:r>
          </w:p>
        </w:tc>
        <w:tc>
          <w:tcPr>
            <w:tcW w:w="3076" w:type="dxa"/>
            <w:tcBorders>
              <w:top w:val="single" w:sz="4" w:space="0" w:color="000000"/>
              <w:right w:val="single" w:sz="4" w:space="0" w:color="000000"/>
            </w:tcBorders>
          </w:tcPr>
          <w:p>
            <w:pPr>
              <w:pStyle w:val="TableParagraph"/>
              <w:spacing w:before="21"/>
              <w:ind w:left="59"/>
              <w:rPr>
                <w:sz w:val="21"/>
              </w:rPr>
            </w:pPr>
            <w:r>
              <w:rPr>
                <w:sz w:val="21"/>
              </w:rPr>
              <w:t>终末期肺病</w:t>
            </w:r>
          </w:p>
        </w:tc>
      </w:tr>
      <w:tr>
        <w:trPr>
          <w:trHeight w:val="390"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5"/>
              <w:ind w:right="47"/>
              <w:jc w:val="right"/>
              <w:rPr>
                <w:sz w:val="21"/>
              </w:rPr>
            </w:pPr>
            <w:r>
              <w:rPr>
                <w:sz w:val="21"/>
              </w:rPr>
              <w:t>37</w:t>
            </w:r>
          </w:p>
        </w:tc>
        <w:tc>
          <w:tcPr>
            <w:tcW w:w="3877" w:type="dxa"/>
          </w:tcPr>
          <w:p>
            <w:pPr>
              <w:pStyle w:val="TableParagraph"/>
              <w:spacing w:before="0"/>
              <w:ind w:left="59"/>
              <w:rPr>
                <w:sz w:val="24"/>
              </w:rPr>
            </w:pPr>
            <w:r>
              <w:rPr>
                <w:sz w:val="21"/>
              </w:rPr>
              <w:t>终末期肾病</w:t>
            </w:r>
            <w:r>
              <w:rPr>
                <w:sz w:val="24"/>
              </w:rPr>
              <w:t>*</w:t>
            </w:r>
          </w:p>
        </w:tc>
        <w:tc>
          <w:tcPr>
            <w:tcW w:w="518" w:type="dxa"/>
          </w:tcPr>
          <w:p>
            <w:pPr>
              <w:pStyle w:val="TableParagraph"/>
              <w:spacing w:before="35"/>
              <w:ind w:right="47"/>
              <w:jc w:val="right"/>
              <w:rPr>
                <w:sz w:val="21"/>
              </w:rPr>
            </w:pPr>
            <w:r>
              <w:rPr>
                <w:sz w:val="21"/>
              </w:rPr>
              <w:t>42</w:t>
            </w:r>
          </w:p>
        </w:tc>
        <w:tc>
          <w:tcPr>
            <w:tcW w:w="3076" w:type="dxa"/>
            <w:tcBorders>
              <w:right w:val="single" w:sz="4" w:space="0" w:color="000000"/>
            </w:tcBorders>
          </w:tcPr>
          <w:p>
            <w:pPr>
              <w:pStyle w:val="TableParagraph"/>
              <w:spacing w:before="35"/>
              <w:ind w:left="59"/>
              <w:rPr>
                <w:sz w:val="21"/>
              </w:rPr>
            </w:pPr>
            <w:r>
              <w:rPr>
                <w:sz w:val="21"/>
              </w:rPr>
              <w:t>肺泡蛋白质沉积症</w:t>
            </w:r>
          </w:p>
        </w:tc>
      </w:tr>
      <w:tr>
        <w:trPr>
          <w:trHeight w:val="390"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6"/>
              <w:ind w:right="47"/>
              <w:jc w:val="right"/>
              <w:rPr>
                <w:sz w:val="21"/>
              </w:rPr>
            </w:pPr>
            <w:r>
              <w:rPr>
                <w:sz w:val="21"/>
              </w:rPr>
              <w:t>38</w:t>
            </w:r>
          </w:p>
        </w:tc>
        <w:tc>
          <w:tcPr>
            <w:tcW w:w="3877" w:type="dxa"/>
          </w:tcPr>
          <w:p>
            <w:pPr>
              <w:pStyle w:val="TableParagraph"/>
              <w:spacing w:before="1"/>
              <w:ind w:left="59"/>
              <w:rPr>
                <w:sz w:val="24"/>
              </w:rPr>
            </w:pPr>
            <w:r>
              <w:rPr>
                <w:sz w:val="21"/>
              </w:rPr>
              <w:t>双耳失聪</w:t>
            </w:r>
            <w:r>
              <w:rPr>
                <w:sz w:val="24"/>
              </w:rPr>
              <w:t>*</w:t>
            </w:r>
          </w:p>
        </w:tc>
        <w:tc>
          <w:tcPr>
            <w:tcW w:w="518" w:type="dxa"/>
          </w:tcPr>
          <w:p>
            <w:pPr>
              <w:pStyle w:val="TableParagraph"/>
              <w:spacing w:before="36"/>
              <w:ind w:right="47"/>
              <w:jc w:val="right"/>
              <w:rPr>
                <w:sz w:val="21"/>
              </w:rPr>
            </w:pPr>
            <w:r>
              <w:rPr>
                <w:sz w:val="21"/>
              </w:rPr>
              <w:t>43</w:t>
            </w:r>
          </w:p>
        </w:tc>
        <w:tc>
          <w:tcPr>
            <w:tcW w:w="3076" w:type="dxa"/>
            <w:tcBorders>
              <w:right w:val="single" w:sz="4" w:space="0" w:color="000000"/>
            </w:tcBorders>
          </w:tcPr>
          <w:p>
            <w:pPr>
              <w:pStyle w:val="TableParagraph"/>
              <w:spacing w:before="36"/>
              <w:ind w:left="59"/>
              <w:rPr>
                <w:sz w:val="21"/>
              </w:rPr>
            </w:pPr>
            <w:r>
              <w:rPr>
                <w:sz w:val="21"/>
              </w:rPr>
              <w:t>肺淋巴管肌瘤病</w:t>
            </w:r>
          </w:p>
        </w:tc>
      </w:tr>
      <w:tr>
        <w:trPr>
          <w:trHeight w:val="389"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35"/>
              <w:ind w:right="47"/>
              <w:jc w:val="right"/>
              <w:rPr>
                <w:sz w:val="21"/>
              </w:rPr>
            </w:pPr>
            <w:r>
              <w:rPr>
                <w:sz w:val="21"/>
              </w:rPr>
              <w:t>39</w:t>
            </w:r>
          </w:p>
        </w:tc>
        <w:tc>
          <w:tcPr>
            <w:tcW w:w="3877" w:type="dxa"/>
          </w:tcPr>
          <w:p>
            <w:pPr>
              <w:pStyle w:val="TableParagraph"/>
              <w:spacing w:before="0"/>
              <w:ind w:left="59"/>
              <w:rPr>
                <w:sz w:val="24"/>
              </w:rPr>
            </w:pPr>
            <w:r>
              <w:rPr>
                <w:sz w:val="21"/>
              </w:rPr>
              <w:t>双目失明</w:t>
            </w:r>
            <w:r>
              <w:rPr>
                <w:sz w:val="24"/>
              </w:rPr>
              <w:t>*</w:t>
            </w:r>
          </w:p>
        </w:tc>
        <w:tc>
          <w:tcPr>
            <w:tcW w:w="518" w:type="dxa"/>
          </w:tcPr>
          <w:p>
            <w:pPr>
              <w:pStyle w:val="TableParagraph"/>
              <w:spacing w:before="35"/>
              <w:ind w:right="47"/>
              <w:jc w:val="right"/>
              <w:rPr>
                <w:sz w:val="21"/>
              </w:rPr>
            </w:pPr>
            <w:r>
              <w:rPr>
                <w:sz w:val="21"/>
              </w:rPr>
              <w:t>44</w:t>
            </w:r>
          </w:p>
        </w:tc>
        <w:tc>
          <w:tcPr>
            <w:tcW w:w="3076" w:type="dxa"/>
            <w:tcBorders>
              <w:right w:val="single" w:sz="4" w:space="0" w:color="000000"/>
            </w:tcBorders>
          </w:tcPr>
          <w:p>
            <w:pPr>
              <w:pStyle w:val="TableParagraph"/>
              <w:spacing w:before="35"/>
              <w:ind w:left="59"/>
              <w:rPr>
                <w:sz w:val="21"/>
              </w:rPr>
            </w:pPr>
            <w:r>
              <w:rPr>
                <w:sz w:val="21"/>
              </w:rPr>
              <w:t>肾髓质囊性病</w:t>
            </w:r>
          </w:p>
        </w:tc>
      </w:tr>
      <w:tr>
        <w:trPr>
          <w:trHeight w:val="405"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bottom w:val="single" w:sz="4" w:space="0" w:color="000000"/>
            </w:tcBorders>
          </w:tcPr>
          <w:p>
            <w:pPr>
              <w:pStyle w:val="TableParagraph"/>
              <w:spacing w:before="35"/>
              <w:ind w:right="47"/>
              <w:jc w:val="right"/>
              <w:rPr>
                <w:sz w:val="21"/>
              </w:rPr>
            </w:pPr>
            <w:r>
              <w:rPr>
                <w:sz w:val="21"/>
              </w:rPr>
              <w:t>40</w:t>
            </w:r>
          </w:p>
        </w:tc>
        <w:tc>
          <w:tcPr>
            <w:tcW w:w="3877" w:type="dxa"/>
            <w:tcBorders>
              <w:bottom w:val="single" w:sz="4" w:space="0" w:color="000000"/>
            </w:tcBorders>
          </w:tcPr>
          <w:p>
            <w:pPr>
              <w:pStyle w:val="TableParagraph"/>
              <w:spacing w:before="0"/>
              <w:ind w:left="59"/>
              <w:rPr>
                <w:sz w:val="24"/>
              </w:rPr>
            </w:pPr>
            <w:r>
              <w:rPr>
                <w:sz w:val="21"/>
              </w:rPr>
              <w:t>重型再生障碍性贫血</w:t>
            </w:r>
            <w:r>
              <w:rPr>
                <w:sz w:val="24"/>
              </w:rPr>
              <w:t>*</w:t>
            </w:r>
          </w:p>
        </w:tc>
        <w:tc>
          <w:tcPr>
            <w:tcW w:w="518" w:type="dxa"/>
            <w:tcBorders>
              <w:bottom w:val="single" w:sz="4" w:space="0" w:color="000000"/>
            </w:tcBorders>
          </w:tcPr>
          <w:p>
            <w:pPr>
              <w:pStyle w:val="TableParagraph"/>
              <w:spacing w:before="0"/>
              <w:rPr>
                <w:rFonts w:ascii="Times New Roman"/>
                <w:sz w:val="20"/>
              </w:rPr>
            </w:pPr>
          </w:p>
        </w:tc>
        <w:tc>
          <w:tcPr>
            <w:tcW w:w="3076" w:type="dxa"/>
            <w:tcBorders>
              <w:bottom w:val="single" w:sz="4" w:space="0" w:color="000000"/>
              <w:right w:val="single" w:sz="4" w:space="0" w:color="000000"/>
            </w:tcBorders>
          </w:tcPr>
          <w:p>
            <w:pPr>
              <w:pStyle w:val="TableParagraph"/>
              <w:spacing w:before="0"/>
              <w:rPr>
                <w:rFonts w:ascii="Times New Roman"/>
                <w:sz w:val="20"/>
              </w:rPr>
            </w:pPr>
          </w:p>
        </w:tc>
      </w:tr>
      <w:tr>
        <w:trPr>
          <w:trHeight w:val="385" w:hRule="atLeast"/>
        </w:trPr>
        <w:tc>
          <w:tcPr>
            <w:tcW w:w="15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rPr>
                <w:sz w:val="16"/>
              </w:rPr>
            </w:pPr>
          </w:p>
          <w:p>
            <w:pPr>
              <w:pStyle w:val="TableParagraph"/>
              <w:spacing w:line="208" w:lineRule="auto" w:before="0"/>
              <w:ind w:left="129" w:right="120"/>
              <w:jc w:val="both"/>
              <w:rPr>
                <w:sz w:val="21"/>
              </w:rPr>
            </w:pPr>
            <w:r>
              <w:rPr>
                <w:sz w:val="21"/>
              </w:rPr>
              <w:t>内分泌风湿免疫营养代谢相关（6 种）</w:t>
            </w:r>
          </w:p>
        </w:tc>
        <w:tc>
          <w:tcPr>
            <w:tcW w:w="479" w:type="dxa"/>
            <w:tcBorders>
              <w:top w:val="single" w:sz="4" w:space="0" w:color="000000"/>
              <w:left w:val="single" w:sz="4" w:space="0" w:color="000000"/>
            </w:tcBorders>
          </w:tcPr>
          <w:p>
            <w:pPr>
              <w:pStyle w:val="TableParagraph"/>
              <w:spacing w:before="21"/>
              <w:ind w:right="47"/>
              <w:jc w:val="right"/>
              <w:rPr>
                <w:sz w:val="21"/>
              </w:rPr>
            </w:pPr>
            <w:r>
              <w:rPr>
                <w:sz w:val="21"/>
              </w:rPr>
              <w:t>45</w:t>
            </w:r>
          </w:p>
        </w:tc>
        <w:tc>
          <w:tcPr>
            <w:tcW w:w="3877" w:type="dxa"/>
            <w:tcBorders>
              <w:top w:val="single" w:sz="4" w:space="0" w:color="000000"/>
            </w:tcBorders>
          </w:tcPr>
          <w:p>
            <w:pPr>
              <w:pStyle w:val="TableParagraph"/>
              <w:spacing w:before="21"/>
              <w:ind w:left="59"/>
              <w:rPr>
                <w:sz w:val="21"/>
              </w:rPr>
            </w:pPr>
            <w:r>
              <w:rPr>
                <w:sz w:val="21"/>
              </w:rPr>
              <w:t>严重Ｉ型糖尿病</w:t>
            </w:r>
          </w:p>
        </w:tc>
        <w:tc>
          <w:tcPr>
            <w:tcW w:w="518" w:type="dxa"/>
            <w:tcBorders>
              <w:top w:val="single" w:sz="4" w:space="0" w:color="000000"/>
            </w:tcBorders>
          </w:tcPr>
          <w:p>
            <w:pPr>
              <w:pStyle w:val="TableParagraph"/>
              <w:spacing w:before="21"/>
              <w:ind w:right="47"/>
              <w:jc w:val="right"/>
              <w:rPr>
                <w:sz w:val="21"/>
              </w:rPr>
            </w:pPr>
            <w:r>
              <w:rPr>
                <w:sz w:val="21"/>
              </w:rPr>
              <w:t>48</w:t>
            </w:r>
          </w:p>
        </w:tc>
        <w:tc>
          <w:tcPr>
            <w:tcW w:w="3076" w:type="dxa"/>
            <w:tcBorders>
              <w:top w:val="single" w:sz="4" w:space="0" w:color="000000"/>
              <w:right w:val="single" w:sz="4" w:space="0" w:color="000000"/>
            </w:tcBorders>
          </w:tcPr>
          <w:p>
            <w:pPr>
              <w:pStyle w:val="TableParagraph"/>
              <w:spacing w:before="21"/>
              <w:ind w:left="59"/>
              <w:rPr>
                <w:sz w:val="21"/>
              </w:rPr>
            </w:pPr>
            <w:r>
              <w:rPr>
                <w:sz w:val="21"/>
              </w:rPr>
              <w:t>系统性硬皮病</w:t>
            </w:r>
          </w:p>
        </w:tc>
      </w:tr>
      <w:tr>
        <w:trPr>
          <w:trHeight w:val="389"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25"/>
              <w:ind w:right="47"/>
              <w:jc w:val="right"/>
              <w:rPr>
                <w:sz w:val="21"/>
              </w:rPr>
            </w:pPr>
            <w:r>
              <w:rPr>
                <w:sz w:val="21"/>
              </w:rPr>
              <w:t>46</w:t>
            </w:r>
          </w:p>
        </w:tc>
        <w:tc>
          <w:tcPr>
            <w:tcW w:w="3877" w:type="dxa"/>
          </w:tcPr>
          <w:p>
            <w:pPr>
              <w:pStyle w:val="TableParagraph"/>
              <w:spacing w:before="25"/>
              <w:ind w:left="59"/>
              <w:rPr>
                <w:sz w:val="21"/>
              </w:rPr>
            </w:pPr>
            <w:r>
              <w:rPr>
                <w:sz w:val="21"/>
              </w:rPr>
              <w:t>严重类风湿性关节炎</w:t>
            </w:r>
          </w:p>
        </w:tc>
        <w:tc>
          <w:tcPr>
            <w:tcW w:w="518" w:type="dxa"/>
          </w:tcPr>
          <w:p>
            <w:pPr>
              <w:pStyle w:val="TableParagraph"/>
              <w:spacing w:before="25"/>
              <w:ind w:right="47"/>
              <w:jc w:val="right"/>
              <w:rPr>
                <w:sz w:val="21"/>
              </w:rPr>
            </w:pPr>
            <w:r>
              <w:rPr>
                <w:sz w:val="21"/>
              </w:rPr>
              <w:t>49</w:t>
            </w:r>
          </w:p>
        </w:tc>
        <w:tc>
          <w:tcPr>
            <w:tcW w:w="3076" w:type="dxa"/>
            <w:tcBorders>
              <w:right w:val="single" w:sz="4" w:space="0" w:color="000000"/>
            </w:tcBorders>
          </w:tcPr>
          <w:p>
            <w:pPr>
              <w:pStyle w:val="TableParagraph"/>
              <w:spacing w:before="25"/>
              <w:ind w:left="59"/>
              <w:rPr>
                <w:sz w:val="21"/>
              </w:rPr>
            </w:pPr>
            <w:r>
              <w:rPr>
                <w:sz w:val="21"/>
              </w:rPr>
              <w:t>特发性慢性肾上腺皮质功能减退</w:t>
            </w:r>
          </w:p>
        </w:tc>
      </w:tr>
      <w:tr>
        <w:trPr>
          <w:trHeight w:val="394" w:hRule="atLeast"/>
        </w:trPr>
        <w:tc>
          <w:tcPr>
            <w:tcW w:w="1525" w:type="dxa"/>
            <w:vMerge/>
            <w:tcBorders>
              <w:top w:val="nil"/>
              <w:left w:val="single" w:sz="4" w:space="0" w:color="000000"/>
              <w:bottom w:val="single" w:sz="4" w:space="0" w:color="000000"/>
              <w:right w:val="single" w:sz="4" w:space="0" w:color="000000"/>
            </w:tcBorders>
          </w:tcPr>
          <w:p>
            <w:pPr>
              <w:rPr>
                <w:sz w:val="2"/>
                <w:szCs w:val="2"/>
              </w:rPr>
            </w:pPr>
          </w:p>
        </w:tc>
        <w:tc>
          <w:tcPr>
            <w:tcW w:w="479" w:type="dxa"/>
            <w:tcBorders>
              <w:left w:val="single" w:sz="4" w:space="0" w:color="000000"/>
              <w:bottom w:val="single" w:sz="4" w:space="0" w:color="000000"/>
            </w:tcBorders>
          </w:tcPr>
          <w:p>
            <w:pPr>
              <w:pStyle w:val="TableParagraph"/>
              <w:spacing w:before="25"/>
              <w:ind w:right="47"/>
              <w:jc w:val="right"/>
              <w:rPr>
                <w:sz w:val="21"/>
              </w:rPr>
            </w:pPr>
            <w:r>
              <w:rPr>
                <w:sz w:val="21"/>
              </w:rPr>
              <w:t>47</w:t>
            </w:r>
          </w:p>
        </w:tc>
        <w:tc>
          <w:tcPr>
            <w:tcW w:w="3877" w:type="dxa"/>
            <w:tcBorders>
              <w:bottom w:val="single" w:sz="4" w:space="0" w:color="000000"/>
            </w:tcBorders>
          </w:tcPr>
          <w:p>
            <w:pPr>
              <w:pStyle w:val="TableParagraph"/>
              <w:spacing w:before="25"/>
              <w:ind w:left="59"/>
              <w:rPr>
                <w:sz w:val="21"/>
              </w:rPr>
            </w:pPr>
            <w:r>
              <w:rPr>
                <w:sz w:val="21"/>
              </w:rPr>
              <w:t>系统性红斑狼疮并发重度的肾功能损害</w:t>
            </w:r>
          </w:p>
        </w:tc>
        <w:tc>
          <w:tcPr>
            <w:tcW w:w="518" w:type="dxa"/>
            <w:tcBorders>
              <w:bottom w:val="single" w:sz="4" w:space="0" w:color="000000"/>
            </w:tcBorders>
          </w:tcPr>
          <w:p>
            <w:pPr>
              <w:pStyle w:val="TableParagraph"/>
              <w:spacing w:before="25"/>
              <w:ind w:right="47"/>
              <w:jc w:val="right"/>
              <w:rPr>
                <w:sz w:val="21"/>
              </w:rPr>
            </w:pPr>
            <w:r>
              <w:rPr>
                <w:sz w:val="21"/>
              </w:rPr>
              <w:t>50</w:t>
            </w:r>
          </w:p>
        </w:tc>
        <w:tc>
          <w:tcPr>
            <w:tcW w:w="3076" w:type="dxa"/>
            <w:tcBorders>
              <w:bottom w:val="single" w:sz="4" w:space="0" w:color="000000"/>
              <w:right w:val="single" w:sz="4" w:space="0" w:color="000000"/>
            </w:tcBorders>
          </w:tcPr>
          <w:p>
            <w:pPr>
              <w:pStyle w:val="TableParagraph"/>
              <w:spacing w:before="25"/>
              <w:ind w:left="59"/>
              <w:rPr>
                <w:sz w:val="21"/>
              </w:rPr>
            </w:pPr>
            <w:r>
              <w:rPr>
                <w:sz w:val="21"/>
              </w:rPr>
              <w:t>嗜铬细胞瘤</w:t>
            </w:r>
          </w:p>
        </w:tc>
      </w:tr>
    </w:tbl>
    <w:p>
      <w:pPr>
        <w:spacing w:after="0"/>
        <w:rPr>
          <w:sz w:val="21"/>
        </w:rPr>
        <w:sectPr>
          <w:type w:val="continuous"/>
          <w:pgSz w:w="11900" w:h="16840"/>
          <w:pgMar w:top="300" w:bottom="280" w:left="1020" w:right="4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25"/>
        <w:gridCol w:w="479"/>
        <w:gridCol w:w="3981"/>
        <w:gridCol w:w="412"/>
        <w:gridCol w:w="3074"/>
      </w:tblGrid>
      <w:tr>
        <w:trPr>
          <w:trHeight w:val="379" w:hRule="atLeast"/>
        </w:trPr>
        <w:tc>
          <w:tcPr>
            <w:tcW w:w="943" w:type="dxa"/>
            <w:tcBorders>
              <w:right w:val="single" w:sz="4" w:space="0" w:color="000000"/>
            </w:tcBorders>
          </w:tcPr>
          <w:p>
            <w:pPr>
              <w:pStyle w:val="TableParagraph"/>
              <w:spacing w:before="0"/>
              <w:rPr>
                <w:rFonts w:ascii="Times New Roman"/>
                <w:sz w:val="20"/>
              </w:rPr>
            </w:pPr>
          </w:p>
        </w:tc>
        <w:tc>
          <w:tcPr>
            <w:tcW w:w="1525" w:type="dxa"/>
            <w:tcBorders>
              <w:top w:val="single" w:sz="4" w:space="0" w:color="000000"/>
              <w:left w:val="single" w:sz="4" w:space="0" w:color="000000"/>
              <w:right w:val="single" w:sz="4" w:space="0" w:color="000000"/>
            </w:tcBorders>
          </w:tcPr>
          <w:p>
            <w:pPr>
              <w:pStyle w:val="TableParagraph"/>
              <w:spacing w:before="0"/>
              <w:rPr>
                <w:rFonts w:ascii="Times New Roman"/>
                <w:sz w:val="20"/>
              </w:rPr>
            </w:pPr>
          </w:p>
        </w:tc>
        <w:tc>
          <w:tcPr>
            <w:tcW w:w="479" w:type="dxa"/>
            <w:tcBorders>
              <w:top w:val="single" w:sz="4" w:space="0" w:color="000000"/>
              <w:left w:val="single" w:sz="4" w:space="0" w:color="000000"/>
            </w:tcBorders>
          </w:tcPr>
          <w:p>
            <w:pPr>
              <w:pStyle w:val="TableParagraph"/>
              <w:spacing w:before="15"/>
              <w:ind w:right="52"/>
              <w:jc w:val="right"/>
              <w:rPr>
                <w:sz w:val="21"/>
              </w:rPr>
            </w:pPr>
            <w:r>
              <w:rPr>
                <w:sz w:val="21"/>
              </w:rPr>
              <w:t>51</w:t>
            </w:r>
          </w:p>
        </w:tc>
        <w:tc>
          <w:tcPr>
            <w:tcW w:w="3981" w:type="dxa"/>
            <w:tcBorders>
              <w:top w:val="single" w:sz="4" w:space="0" w:color="000000"/>
            </w:tcBorders>
          </w:tcPr>
          <w:p>
            <w:pPr>
              <w:pStyle w:val="TableParagraph"/>
              <w:spacing w:line="294" w:lineRule="exact" w:before="0"/>
              <w:ind w:left="55"/>
              <w:rPr>
                <w:sz w:val="24"/>
              </w:rPr>
            </w:pPr>
            <w:r>
              <w:rPr>
                <w:sz w:val="21"/>
              </w:rPr>
              <w:t>多个肢体缺失</w:t>
            </w:r>
            <w:r>
              <w:rPr>
                <w:sz w:val="24"/>
              </w:rPr>
              <w:t>*</w:t>
            </w:r>
          </w:p>
        </w:tc>
        <w:tc>
          <w:tcPr>
            <w:tcW w:w="412" w:type="dxa"/>
            <w:tcBorders>
              <w:top w:val="single" w:sz="4" w:space="0" w:color="000000"/>
            </w:tcBorders>
          </w:tcPr>
          <w:p>
            <w:pPr>
              <w:pStyle w:val="TableParagraph"/>
              <w:spacing w:before="15"/>
              <w:ind w:right="50"/>
              <w:jc w:val="right"/>
              <w:rPr>
                <w:sz w:val="21"/>
              </w:rPr>
            </w:pPr>
            <w:r>
              <w:rPr>
                <w:sz w:val="21"/>
              </w:rPr>
              <w:t>56</w:t>
            </w:r>
          </w:p>
        </w:tc>
        <w:tc>
          <w:tcPr>
            <w:tcW w:w="3074" w:type="dxa"/>
            <w:tcBorders>
              <w:top w:val="single" w:sz="4" w:space="0" w:color="000000"/>
              <w:right w:val="single" w:sz="6" w:space="0" w:color="000000"/>
            </w:tcBorders>
          </w:tcPr>
          <w:p>
            <w:pPr>
              <w:pStyle w:val="TableParagraph"/>
              <w:spacing w:before="15"/>
              <w:ind w:left="56"/>
              <w:rPr>
                <w:sz w:val="21"/>
              </w:rPr>
            </w:pPr>
            <w:r>
              <w:rPr>
                <w:sz w:val="21"/>
              </w:rPr>
              <w:t>坏死性筋膜炎</w:t>
            </w:r>
          </w:p>
        </w:tc>
      </w:tr>
      <w:tr>
        <w:trPr>
          <w:trHeight w:val="413" w:hRule="atLeast"/>
        </w:trPr>
        <w:tc>
          <w:tcPr>
            <w:tcW w:w="943" w:type="dxa"/>
            <w:tcBorders>
              <w:right w:val="single" w:sz="4" w:space="0" w:color="000000"/>
            </w:tcBorders>
          </w:tcPr>
          <w:p>
            <w:pPr>
              <w:pStyle w:val="TableParagraph"/>
              <w:spacing w:before="0"/>
              <w:rPr>
                <w:rFonts w:ascii="Times New Roman"/>
                <w:sz w:val="20"/>
              </w:rPr>
            </w:pPr>
          </w:p>
        </w:tc>
        <w:tc>
          <w:tcPr>
            <w:tcW w:w="1525" w:type="dxa"/>
            <w:tcBorders>
              <w:left w:val="single" w:sz="4" w:space="0" w:color="000000"/>
              <w:right w:val="single" w:sz="4" w:space="0" w:color="000000"/>
            </w:tcBorders>
          </w:tcPr>
          <w:p>
            <w:pPr>
              <w:pStyle w:val="TableParagraph"/>
              <w:spacing w:before="0"/>
              <w:rPr>
                <w:rFonts w:ascii="Times New Roman"/>
                <w:sz w:val="20"/>
              </w:rPr>
            </w:pPr>
          </w:p>
        </w:tc>
        <w:tc>
          <w:tcPr>
            <w:tcW w:w="479" w:type="dxa"/>
            <w:tcBorders>
              <w:left w:val="single" w:sz="4" w:space="0" w:color="000000"/>
            </w:tcBorders>
          </w:tcPr>
          <w:p>
            <w:pPr>
              <w:pStyle w:val="TableParagraph"/>
              <w:spacing w:before="34"/>
              <w:ind w:right="52"/>
              <w:jc w:val="right"/>
              <w:rPr>
                <w:sz w:val="21"/>
              </w:rPr>
            </w:pPr>
            <w:r>
              <w:rPr>
                <w:sz w:val="21"/>
              </w:rPr>
              <w:t>52</w:t>
            </w:r>
          </w:p>
        </w:tc>
        <w:tc>
          <w:tcPr>
            <w:tcW w:w="3981" w:type="dxa"/>
          </w:tcPr>
          <w:p>
            <w:pPr>
              <w:pStyle w:val="TableParagraph"/>
              <w:spacing w:line="314" w:lineRule="exact" w:before="0"/>
              <w:ind w:left="55"/>
              <w:rPr>
                <w:sz w:val="24"/>
              </w:rPr>
            </w:pPr>
            <w:r>
              <w:rPr>
                <w:sz w:val="21"/>
              </w:rPr>
              <w:t>严重Ⅲ度烧伤</w:t>
            </w:r>
            <w:r>
              <w:rPr>
                <w:sz w:val="24"/>
              </w:rPr>
              <w:t>*</w:t>
            </w:r>
          </w:p>
        </w:tc>
        <w:tc>
          <w:tcPr>
            <w:tcW w:w="412" w:type="dxa"/>
          </w:tcPr>
          <w:p>
            <w:pPr>
              <w:pStyle w:val="TableParagraph"/>
              <w:spacing w:before="34"/>
              <w:ind w:right="50"/>
              <w:jc w:val="right"/>
              <w:rPr>
                <w:sz w:val="21"/>
              </w:rPr>
            </w:pPr>
            <w:r>
              <w:rPr>
                <w:sz w:val="21"/>
              </w:rPr>
              <w:t>57</w:t>
            </w:r>
          </w:p>
        </w:tc>
        <w:tc>
          <w:tcPr>
            <w:tcW w:w="3074" w:type="dxa"/>
            <w:tcBorders>
              <w:right w:val="single" w:sz="6" w:space="0" w:color="000000"/>
            </w:tcBorders>
          </w:tcPr>
          <w:p>
            <w:pPr>
              <w:pStyle w:val="TableParagraph"/>
              <w:spacing w:before="34"/>
              <w:ind w:left="56"/>
              <w:rPr>
                <w:sz w:val="21"/>
              </w:rPr>
            </w:pPr>
            <w:r>
              <w:rPr>
                <w:sz w:val="21"/>
              </w:rPr>
              <w:t>严重面部烧伤</w:t>
            </w:r>
          </w:p>
        </w:tc>
      </w:tr>
      <w:tr>
        <w:trPr>
          <w:trHeight w:val="398" w:hRule="atLeast"/>
        </w:trPr>
        <w:tc>
          <w:tcPr>
            <w:tcW w:w="943" w:type="dxa"/>
            <w:vMerge w:val="restart"/>
            <w:tcBorders>
              <w:right w:val="single" w:sz="4" w:space="0" w:color="000000"/>
            </w:tcBorders>
          </w:tcPr>
          <w:p>
            <w:pPr>
              <w:pStyle w:val="TableParagraph"/>
              <w:spacing w:before="0"/>
              <w:rPr>
                <w:rFonts w:ascii="Times New Roman"/>
                <w:sz w:val="20"/>
              </w:rPr>
            </w:pPr>
          </w:p>
        </w:tc>
        <w:tc>
          <w:tcPr>
            <w:tcW w:w="1525" w:type="dxa"/>
            <w:vMerge w:val="restart"/>
            <w:tcBorders>
              <w:left w:val="single" w:sz="4" w:space="0" w:color="000000"/>
              <w:right w:val="single" w:sz="4" w:space="0" w:color="000000"/>
            </w:tcBorders>
          </w:tcPr>
          <w:p>
            <w:pPr>
              <w:pStyle w:val="TableParagraph"/>
              <w:spacing w:line="257" w:lineRule="exact" w:before="98"/>
              <w:ind w:left="119" w:right="120"/>
              <w:jc w:val="center"/>
              <w:rPr>
                <w:sz w:val="21"/>
              </w:rPr>
            </w:pPr>
            <w:r>
              <w:rPr>
                <w:sz w:val="21"/>
              </w:rPr>
              <w:t>其他</w:t>
            </w:r>
          </w:p>
          <w:p>
            <w:pPr>
              <w:pStyle w:val="TableParagraph"/>
              <w:spacing w:line="257" w:lineRule="exact" w:before="0"/>
              <w:ind w:left="119" w:right="120"/>
              <w:jc w:val="center"/>
              <w:rPr>
                <w:sz w:val="21"/>
              </w:rPr>
            </w:pPr>
            <w:r>
              <w:rPr>
                <w:sz w:val="21"/>
              </w:rPr>
              <w:t>（10 种）</w:t>
            </w:r>
          </w:p>
        </w:tc>
        <w:tc>
          <w:tcPr>
            <w:tcW w:w="479" w:type="dxa"/>
            <w:tcBorders>
              <w:left w:val="single" w:sz="4" w:space="0" w:color="000000"/>
            </w:tcBorders>
          </w:tcPr>
          <w:p>
            <w:pPr>
              <w:pStyle w:val="TableParagraph"/>
              <w:spacing w:before="22"/>
              <w:ind w:right="52"/>
              <w:jc w:val="right"/>
              <w:rPr>
                <w:sz w:val="21"/>
              </w:rPr>
            </w:pPr>
            <w:r>
              <w:rPr>
                <w:sz w:val="21"/>
              </w:rPr>
              <w:t>53</w:t>
            </w:r>
          </w:p>
        </w:tc>
        <w:tc>
          <w:tcPr>
            <w:tcW w:w="3981" w:type="dxa"/>
          </w:tcPr>
          <w:p>
            <w:pPr>
              <w:pStyle w:val="TableParagraph"/>
              <w:spacing w:before="22"/>
              <w:ind w:left="55"/>
              <w:rPr>
                <w:sz w:val="21"/>
              </w:rPr>
            </w:pPr>
            <w:r>
              <w:rPr>
                <w:sz w:val="21"/>
              </w:rPr>
              <w:t>经输血导致的感染艾滋病病毒或患艾滋病</w:t>
            </w:r>
          </w:p>
        </w:tc>
        <w:tc>
          <w:tcPr>
            <w:tcW w:w="412" w:type="dxa"/>
          </w:tcPr>
          <w:p>
            <w:pPr>
              <w:pStyle w:val="TableParagraph"/>
              <w:spacing w:before="22"/>
              <w:ind w:right="50"/>
              <w:jc w:val="right"/>
              <w:rPr>
                <w:sz w:val="21"/>
              </w:rPr>
            </w:pPr>
            <w:r>
              <w:rPr>
                <w:sz w:val="21"/>
              </w:rPr>
              <w:t>58</w:t>
            </w:r>
          </w:p>
        </w:tc>
        <w:tc>
          <w:tcPr>
            <w:tcW w:w="3074" w:type="dxa"/>
            <w:tcBorders>
              <w:right w:val="single" w:sz="6" w:space="0" w:color="000000"/>
            </w:tcBorders>
          </w:tcPr>
          <w:p>
            <w:pPr>
              <w:pStyle w:val="TableParagraph"/>
              <w:spacing w:before="22"/>
              <w:ind w:left="56"/>
              <w:rPr>
                <w:sz w:val="21"/>
              </w:rPr>
            </w:pPr>
            <w:r>
              <w:rPr>
                <w:sz w:val="21"/>
              </w:rPr>
              <w:t>象皮病</w:t>
            </w:r>
          </w:p>
        </w:tc>
      </w:tr>
      <w:tr>
        <w:trPr>
          <w:trHeight w:val="399" w:hRule="atLeast"/>
        </w:trPr>
        <w:tc>
          <w:tcPr>
            <w:tcW w:w="943" w:type="dxa"/>
            <w:vMerge/>
            <w:tcBorders>
              <w:top w:val="nil"/>
              <w:right w:val="single" w:sz="4" w:space="0" w:color="000000"/>
            </w:tcBorders>
          </w:tcPr>
          <w:p>
            <w:pPr>
              <w:rPr>
                <w:sz w:val="2"/>
                <w:szCs w:val="2"/>
              </w:rPr>
            </w:pPr>
          </w:p>
        </w:tc>
        <w:tc>
          <w:tcPr>
            <w:tcW w:w="1525" w:type="dxa"/>
            <w:vMerge/>
            <w:tcBorders>
              <w:top w:val="nil"/>
              <w:left w:val="single" w:sz="4" w:space="0" w:color="000000"/>
              <w:right w:val="single" w:sz="4" w:space="0" w:color="000000"/>
            </w:tcBorders>
          </w:tcPr>
          <w:p>
            <w:pPr>
              <w:rPr>
                <w:sz w:val="2"/>
                <w:szCs w:val="2"/>
              </w:rPr>
            </w:pPr>
          </w:p>
        </w:tc>
        <w:tc>
          <w:tcPr>
            <w:tcW w:w="479" w:type="dxa"/>
            <w:tcBorders>
              <w:left w:val="single" w:sz="4" w:space="0" w:color="000000"/>
            </w:tcBorders>
          </w:tcPr>
          <w:p>
            <w:pPr>
              <w:pStyle w:val="TableParagraph"/>
              <w:spacing w:before="24"/>
              <w:ind w:right="52"/>
              <w:jc w:val="right"/>
              <w:rPr>
                <w:sz w:val="21"/>
              </w:rPr>
            </w:pPr>
            <w:r>
              <w:rPr>
                <w:sz w:val="21"/>
              </w:rPr>
              <w:t>54</w:t>
            </w:r>
          </w:p>
        </w:tc>
        <w:tc>
          <w:tcPr>
            <w:tcW w:w="3981" w:type="dxa"/>
          </w:tcPr>
          <w:p>
            <w:pPr>
              <w:pStyle w:val="TableParagraph"/>
              <w:spacing w:before="24"/>
              <w:ind w:left="55"/>
              <w:rPr>
                <w:sz w:val="21"/>
              </w:rPr>
            </w:pPr>
            <w:r>
              <w:rPr>
                <w:sz w:val="21"/>
              </w:rPr>
              <w:t>因职业关系导致的感染艾滋病病毒或患艾</w:t>
            </w:r>
          </w:p>
        </w:tc>
        <w:tc>
          <w:tcPr>
            <w:tcW w:w="412" w:type="dxa"/>
          </w:tcPr>
          <w:p>
            <w:pPr>
              <w:pStyle w:val="TableParagraph"/>
              <w:spacing w:before="24"/>
              <w:ind w:right="50"/>
              <w:jc w:val="right"/>
              <w:rPr>
                <w:sz w:val="21"/>
              </w:rPr>
            </w:pPr>
            <w:r>
              <w:rPr>
                <w:sz w:val="21"/>
              </w:rPr>
              <w:t>59</w:t>
            </w:r>
          </w:p>
        </w:tc>
        <w:tc>
          <w:tcPr>
            <w:tcW w:w="3074" w:type="dxa"/>
            <w:tcBorders>
              <w:right w:val="single" w:sz="6" w:space="0" w:color="000000"/>
            </w:tcBorders>
          </w:tcPr>
          <w:p>
            <w:pPr>
              <w:pStyle w:val="TableParagraph"/>
              <w:spacing w:before="24"/>
              <w:ind w:left="56"/>
              <w:rPr>
                <w:sz w:val="21"/>
              </w:rPr>
            </w:pPr>
            <w:r>
              <w:rPr>
                <w:sz w:val="21"/>
              </w:rPr>
              <w:t>埃博拉病毒感染</w:t>
            </w:r>
          </w:p>
        </w:tc>
      </w:tr>
      <w:tr>
        <w:trPr>
          <w:trHeight w:val="400" w:hRule="atLeast"/>
        </w:trPr>
        <w:tc>
          <w:tcPr>
            <w:tcW w:w="943" w:type="dxa"/>
            <w:tcBorders>
              <w:right w:val="single" w:sz="4" w:space="0" w:color="000000"/>
            </w:tcBorders>
          </w:tcPr>
          <w:p>
            <w:pPr>
              <w:pStyle w:val="TableParagraph"/>
              <w:spacing w:before="0"/>
              <w:rPr>
                <w:rFonts w:ascii="Times New Roman"/>
                <w:sz w:val="20"/>
              </w:rPr>
            </w:pPr>
          </w:p>
        </w:tc>
        <w:tc>
          <w:tcPr>
            <w:tcW w:w="1525" w:type="dxa"/>
            <w:tcBorders>
              <w:left w:val="single" w:sz="4" w:space="0" w:color="000000"/>
              <w:right w:val="single" w:sz="4" w:space="0" w:color="000000"/>
            </w:tcBorders>
          </w:tcPr>
          <w:p>
            <w:pPr>
              <w:pStyle w:val="TableParagraph"/>
              <w:spacing w:before="0"/>
              <w:rPr>
                <w:rFonts w:ascii="Times New Roman"/>
                <w:sz w:val="20"/>
              </w:rPr>
            </w:pPr>
          </w:p>
        </w:tc>
        <w:tc>
          <w:tcPr>
            <w:tcW w:w="479" w:type="dxa"/>
            <w:tcBorders>
              <w:left w:val="single" w:sz="4" w:space="0" w:color="000000"/>
            </w:tcBorders>
          </w:tcPr>
          <w:p>
            <w:pPr>
              <w:pStyle w:val="TableParagraph"/>
              <w:spacing w:before="0"/>
              <w:rPr>
                <w:rFonts w:ascii="Times New Roman"/>
                <w:sz w:val="20"/>
              </w:rPr>
            </w:pPr>
          </w:p>
        </w:tc>
        <w:tc>
          <w:tcPr>
            <w:tcW w:w="3981" w:type="dxa"/>
          </w:tcPr>
          <w:p>
            <w:pPr>
              <w:pStyle w:val="TableParagraph"/>
              <w:spacing w:before="24"/>
              <w:ind w:left="55"/>
              <w:rPr>
                <w:sz w:val="21"/>
              </w:rPr>
            </w:pPr>
            <w:r>
              <w:rPr>
                <w:sz w:val="21"/>
              </w:rPr>
              <w:t>滋病</w:t>
            </w:r>
          </w:p>
        </w:tc>
        <w:tc>
          <w:tcPr>
            <w:tcW w:w="412" w:type="dxa"/>
          </w:tcPr>
          <w:p>
            <w:pPr>
              <w:pStyle w:val="TableParagraph"/>
              <w:spacing w:before="24"/>
              <w:ind w:right="50"/>
              <w:jc w:val="right"/>
              <w:rPr>
                <w:sz w:val="21"/>
              </w:rPr>
            </w:pPr>
            <w:r>
              <w:rPr>
                <w:sz w:val="21"/>
              </w:rPr>
              <w:t>60</w:t>
            </w:r>
          </w:p>
        </w:tc>
        <w:tc>
          <w:tcPr>
            <w:tcW w:w="3074" w:type="dxa"/>
            <w:tcBorders>
              <w:right w:val="single" w:sz="6" w:space="0" w:color="000000"/>
            </w:tcBorders>
          </w:tcPr>
          <w:p>
            <w:pPr>
              <w:pStyle w:val="TableParagraph"/>
              <w:spacing w:before="24"/>
              <w:ind w:left="56"/>
              <w:rPr>
                <w:sz w:val="21"/>
              </w:rPr>
            </w:pPr>
            <w:r>
              <w:rPr>
                <w:sz w:val="21"/>
              </w:rPr>
              <w:t>失去一肢及一眼</w:t>
            </w:r>
          </w:p>
        </w:tc>
      </w:tr>
      <w:tr>
        <w:trPr>
          <w:trHeight w:val="399" w:hRule="atLeast"/>
        </w:trPr>
        <w:tc>
          <w:tcPr>
            <w:tcW w:w="943" w:type="dxa"/>
            <w:tcBorders>
              <w:right w:val="single" w:sz="4" w:space="0" w:color="000000"/>
            </w:tcBorders>
          </w:tcPr>
          <w:p>
            <w:pPr>
              <w:pStyle w:val="TableParagraph"/>
              <w:spacing w:before="0"/>
              <w:rPr>
                <w:rFonts w:ascii="Times New Roman"/>
                <w:sz w:val="20"/>
              </w:rPr>
            </w:pPr>
          </w:p>
        </w:tc>
        <w:tc>
          <w:tcPr>
            <w:tcW w:w="1525" w:type="dxa"/>
            <w:tcBorders>
              <w:left w:val="single" w:sz="4" w:space="0" w:color="000000"/>
              <w:bottom w:val="single" w:sz="4" w:space="0" w:color="000000"/>
              <w:right w:val="single" w:sz="4" w:space="0" w:color="000000"/>
            </w:tcBorders>
          </w:tcPr>
          <w:p>
            <w:pPr>
              <w:pStyle w:val="TableParagraph"/>
              <w:spacing w:before="0"/>
              <w:rPr>
                <w:rFonts w:ascii="Times New Roman"/>
                <w:sz w:val="20"/>
              </w:rPr>
            </w:pPr>
          </w:p>
        </w:tc>
        <w:tc>
          <w:tcPr>
            <w:tcW w:w="479" w:type="dxa"/>
            <w:tcBorders>
              <w:left w:val="single" w:sz="4" w:space="0" w:color="000000"/>
              <w:bottom w:val="single" w:sz="4" w:space="0" w:color="000000"/>
            </w:tcBorders>
          </w:tcPr>
          <w:p>
            <w:pPr>
              <w:pStyle w:val="TableParagraph"/>
              <w:spacing w:before="24"/>
              <w:ind w:right="52"/>
              <w:jc w:val="right"/>
              <w:rPr>
                <w:sz w:val="21"/>
              </w:rPr>
            </w:pPr>
            <w:r>
              <w:rPr>
                <w:sz w:val="21"/>
              </w:rPr>
              <w:t>55</w:t>
            </w:r>
          </w:p>
        </w:tc>
        <w:tc>
          <w:tcPr>
            <w:tcW w:w="3981" w:type="dxa"/>
            <w:tcBorders>
              <w:bottom w:val="single" w:sz="4" w:space="0" w:color="000000"/>
            </w:tcBorders>
          </w:tcPr>
          <w:p>
            <w:pPr>
              <w:pStyle w:val="TableParagraph"/>
              <w:spacing w:before="24"/>
              <w:ind w:left="55"/>
              <w:rPr>
                <w:sz w:val="21"/>
              </w:rPr>
            </w:pPr>
            <w:r>
              <w:rPr>
                <w:sz w:val="21"/>
              </w:rPr>
              <w:t>溶血性链球菌引起的坏疽</w:t>
            </w:r>
          </w:p>
        </w:tc>
        <w:tc>
          <w:tcPr>
            <w:tcW w:w="412" w:type="dxa"/>
            <w:tcBorders>
              <w:bottom w:val="single" w:sz="4" w:space="0" w:color="000000"/>
            </w:tcBorders>
          </w:tcPr>
          <w:p>
            <w:pPr>
              <w:pStyle w:val="TableParagraph"/>
              <w:spacing w:before="0"/>
              <w:rPr>
                <w:rFonts w:ascii="Times New Roman"/>
                <w:sz w:val="20"/>
              </w:rPr>
            </w:pPr>
          </w:p>
        </w:tc>
        <w:tc>
          <w:tcPr>
            <w:tcW w:w="3074" w:type="dxa"/>
            <w:tcBorders>
              <w:bottom w:val="single" w:sz="4" w:space="0" w:color="000000"/>
              <w:right w:val="single" w:sz="6" w:space="0" w:color="000000"/>
            </w:tcBorders>
          </w:tcPr>
          <w:p>
            <w:pPr>
              <w:pStyle w:val="TableParagraph"/>
              <w:spacing w:before="0"/>
              <w:rPr>
                <w:rFonts w:ascii="Times New Roman"/>
                <w:sz w:val="20"/>
              </w:rPr>
            </w:pPr>
          </w:p>
        </w:tc>
      </w:tr>
      <w:tr>
        <w:trPr>
          <w:trHeight w:val="4339" w:hRule="atLeast"/>
        </w:trPr>
        <w:tc>
          <w:tcPr>
            <w:tcW w:w="943" w:type="dxa"/>
          </w:tcPr>
          <w:p>
            <w:pPr>
              <w:pStyle w:val="TableParagraph"/>
              <w:spacing w:before="8"/>
              <w:rPr>
                <w:sz w:val="16"/>
              </w:rPr>
            </w:pPr>
          </w:p>
          <w:p>
            <w:pPr>
              <w:pStyle w:val="TableParagraph"/>
              <w:spacing w:before="0"/>
              <w:ind w:left="183" w:right="194"/>
              <w:jc w:val="center"/>
              <w:rPr>
                <w:sz w:val="21"/>
              </w:rPr>
            </w:pPr>
            <w:r>
              <w:rPr>
                <w:sz w:val="21"/>
              </w:rPr>
              <w:t>9.2.1</w:t>
            </w:r>
          </w:p>
        </w:tc>
        <w:tc>
          <w:tcPr>
            <w:tcW w:w="1525" w:type="dxa"/>
            <w:tcBorders>
              <w:top w:val="single" w:sz="4" w:space="0" w:color="000000"/>
            </w:tcBorders>
          </w:tcPr>
          <w:p>
            <w:pPr>
              <w:pStyle w:val="TableParagraph"/>
              <w:spacing w:before="193"/>
              <w:ind w:left="107"/>
              <w:rPr>
                <w:sz w:val="24"/>
              </w:rPr>
            </w:pPr>
            <w:r>
              <w:rPr>
                <w:sz w:val="21"/>
              </w:rPr>
              <w:t>恶性肿瘤</w:t>
            </w:r>
            <w:r>
              <w:rPr>
                <w:sz w:val="24"/>
              </w:rPr>
              <w:t>*</w:t>
            </w:r>
          </w:p>
        </w:tc>
        <w:tc>
          <w:tcPr>
            <w:tcW w:w="7946" w:type="dxa"/>
            <w:gridSpan w:val="4"/>
            <w:tcBorders>
              <w:top w:val="single" w:sz="4" w:space="0" w:color="000000"/>
            </w:tcBorders>
          </w:tcPr>
          <w:p>
            <w:pPr>
              <w:pStyle w:val="TableParagraph"/>
              <w:spacing w:before="8"/>
              <w:rPr>
                <w:sz w:val="16"/>
              </w:rPr>
            </w:pPr>
          </w:p>
          <w:p>
            <w:pPr>
              <w:pStyle w:val="TableParagraph"/>
              <w:spacing w:line="273" w:lineRule="auto" w:before="0"/>
              <w:ind w:left="108" w:right="65"/>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85"/>
              <w:ind w:left="108"/>
              <w:jc w:val="both"/>
              <w:rPr>
                <w:rFonts w:ascii="黑体" w:eastAsia="黑体" w:hint="eastAsia"/>
                <w:sz w:val="21"/>
              </w:rPr>
            </w:pPr>
            <w:r>
              <w:rPr>
                <w:rFonts w:ascii="黑体" w:eastAsia="黑体" w:hint="eastAsia"/>
                <w:sz w:val="21"/>
              </w:rPr>
              <w:t>下列疾病不在保障范围内：</w:t>
            </w:r>
          </w:p>
          <w:p>
            <w:pPr>
              <w:pStyle w:val="TableParagraph"/>
              <w:numPr>
                <w:ilvl w:val="0"/>
                <w:numId w:val="29"/>
              </w:numPr>
              <w:tabs>
                <w:tab w:pos="844" w:val="left" w:leader="none"/>
              </w:tabs>
              <w:spacing w:line="240" w:lineRule="auto" w:before="114" w:after="0"/>
              <w:ind w:left="843" w:right="0" w:hanging="735"/>
              <w:jc w:val="both"/>
              <w:rPr>
                <w:rFonts w:ascii="黑体" w:eastAsia="黑体" w:hint="eastAsia"/>
                <w:sz w:val="21"/>
              </w:rPr>
            </w:pPr>
            <w:r>
              <w:rPr>
                <w:rFonts w:ascii="黑体" w:eastAsia="黑体" w:hint="eastAsia"/>
                <w:sz w:val="21"/>
              </w:rPr>
              <w:t>原位癌；</w:t>
            </w:r>
          </w:p>
          <w:p>
            <w:pPr>
              <w:pStyle w:val="TableParagraph"/>
              <w:numPr>
                <w:ilvl w:val="0"/>
                <w:numId w:val="29"/>
              </w:numPr>
              <w:tabs>
                <w:tab w:pos="844" w:val="left" w:leader="none"/>
              </w:tabs>
              <w:spacing w:line="240" w:lineRule="auto" w:before="114" w:after="0"/>
              <w:ind w:left="843" w:right="0" w:hanging="735"/>
              <w:jc w:val="both"/>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2"/>
                <w:sz w:val="21"/>
              </w:rPr>
              <w:t> 分期方案</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29"/>
              </w:numPr>
              <w:tabs>
                <w:tab w:pos="844" w:val="left" w:leader="none"/>
              </w:tabs>
              <w:spacing w:line="240" w:lineRule="auto" w:before="114" w:after="0"/>
              <w:ind w:left="843" w:right="0" w:hanging="735"/>
              <w:jc w:val="both"/>
              <w:rPr>
                <w:rFonts w:ascii="黑体" w:hAnsi="黑体" w:eastAsia="黑体" w:hint="eastAsia"/>
                <w:sz w:val="21"/>
              </w:rPr>
            </w:pPr>
            <w:r>
              <w:rPr>
                <w:rFonts w:ascii="黑体" w:hAnsi="黑体" w:eastAsia="黑体" w:hint="eastAsia"/>
                <w:spacing w:val="-14"/>
                <w:sz w:val="21"/>
              </w:rPr>
              <w:t>相当于 </w:t>
            </w:r>
            <w:r>
              <w:rPr>
                <w:rFonts w:ascii="黑体" w:hAnsi="黑体" w:eastAsia="黑体" w:hint="eastAsia"/>
                <w:sz w:val="21"/>
              </w:rPr>
              <w:t>Ann</w:t>
            </w:r>
            <w:r>
              <w:rPr>
                <w:rFonts w:ascii="黑体" w:hAnsi="黑体" w:eastAsia="黑体" w:hint="eastAsia"/>
                <w:spacing w:val="-1"/>
                <w:sz w:val="21"/>
              </w:rPr>
              <w:t> </w:t>
            </w:r>
            <w:r>
              <w:rPr>
                <w:rFonts w:ascii="黑体" w:hAnsi="黑体" w:eastAsia="黑体" w:hint="eastAsia"/>
                <w:sz w:val="21"/>
              </w:rPr>
              <w:t>Arbor</w:t>
            </w:r>
            <w:r>
              <w:rPr>
                <w:rFonts w:ascii="黑体" w:hAnsi="黑体" w:eastAsia="黑体" w:hint="eastAsia"/>
                <w:spacing w:val="-8"/>
                <w:sz w:val="21"/>
              </w:rPr>
              <w:t> 分期方案Ⅰ期程度的何杰金氏病；</w:t>
            </w:r>
          </w:p>
          <w:p>
            <w:pPr>
              <w:pStyle w:val="TableParagraph"/>
              <w:numPr>
                <w:ilvl w:val="0"/>
                <w:numId w:val="29"/>
              </w:numPr>
              <w:tabs>
                <w:tab w:pos="844" w:val="left" w:leader="none"/>
              </w:tabs>
              <w:spacing w:line="240" w:lineRule="auto" w:before="114" w:after="0"/>
              <w:ind w:left="843" w:right="0" w:hanging="735"/>
              <w:jc w:val="both"/>
              <w:rPr>
                <w:rFonts w:ascii="黑体" w:eastAsia="黑体" w:hint="eastAsia"/>
                <w:sz w:val="21"/>
              </w:rPr>
            </w:pPr>
            <w:r>
              <w:rPr>
                <w:rFonts w:ascii="黑体" w:eastAsia="黑体" w:hint="eastAsia"/>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TableParagraph"/>
              <w:numPr>
                <w:ilvl w:val="0"/>
                <w:numId w:val="29"/>
              </w:numPr>
              <w:tabs>
                <w:tab w:pos="844" w:val="left" w:leader="none"/>
              </w:tabs>
              <w:spacing w:line="240" w:lineRule="auto" w:before="114" w:after="0"/>
              <w:ind w:left="843" w:right="0" w:hanging="735"/>
              <w:jc w:val="both"/>
              <w:rPr>
                <w:rFonts w:ascii="黑体" w:eastAsia="黑体" w:hint="eastAsia"/>
                <w:sz w:val="21"/>
              </w:rPr>
            </w:pPr>
            <w:r>
              <w:rPr>
                <w:rFonts w:ascii="黑体" w:eastAsia="黑体" w:hint="eastAsia"/>
                <w:spacing w:val="-1"/>
                <w:position w:val="1"/>
                <w:sz w:val="21"/>
              </w:rPr>
              <w:t>TNM分期为</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position w:val="1"/>
                <w:sz w:val="21"/>
              </w:rPr>
              <w:t>期或更轻分期的前列腺癌；</w:t>
            </w:r>
          </w:p>
          <w:p>
            <w:pPr>
              <w:pStyle w:val="TableParagraph"/>
              <w:numPr>
                <w:ilvl w:val="0"/>
                <w:numId w:val="29"/>
              </w:numPr>
              <w:tabs>
                <w:tab w:pos="844" w:val="left" w:leader="none"/>
              </w:tabs>
              <w:spacing w:line="240" w:lineRule="auto" w:before="115" w:after="0"/>
              <w:ind w:left="843" w:right="0" w:hanging="735"/>
              <w:jc w:val="both"/>
              <w:rPr>
                <w:rFonts w:ascii="黑体" w:eastAsia="黑体" w:hint="eastAsia"/>
                <w:sz w:val="21"/>
              </w:rPr>
            </w:pPr>
            <w:r>
              <w:rPr>
                <w:rFonts w:ascii="黑体" w:eastAsia="黑体" w:hint="eastAsia"/>
                <w:sz w:val="21"/>
              </w:rPr>
              <w:t>感染艾滋病病毒或患艾滋病期间所患恶性肿瘤。</w:t>
            </w:r>
          </w:p>
        </w:tc>
      </w:tr>
      <w:tr>
        <w:trPr>
          <w:trHeight w:val="1183" w:hRule="atLeast"/>
        </w:trPr>
        <w:tc>
          <w:tcPr>
            <w:tcW w:w="943" w:type="dxa"/>
          </w:tcPr>
          <w:p>
            <w:pPr>
              <w:pStyle w:val="TableParagraph"/>
              <w:spacing w:before="104"/>
              <w:ind w:left="183" w:right="194"/>
              <w:jc w:val="center"/>
              <w:rPr>
                <w:sz w:val="21"/>
              </w:rPr>
            </w:pPr>
            <w:r>
              <w:rPr>
                <w:sz w:val="21"/>
              </w:rPr>
              <w:t>9.2.2</w:t>
            </w:r>
          </w:p>
        </w:tc>
        <w:tc>
          <w:tcPr>
            <w:tcW w:w="1525" w:type="dxa"/>
          </w:tcPr>
          <w:p>
            <w:pPr>
              <w:pStyle w:val="TableParagraph"/>
              <w:spacing w:before="104"/>
              <w:ind w:left="107"/>
              <w:rPr>
                <w:sz w:val="21"/>
              </w:rPr>
            </w:pPr>
            <w:r>
              <w:rPr>
                <w:sz w:val="21"/>
              </w:rPr>
              <w:t>侵蚀性葡萄胎</w:t>
            </w:r>
          </w:p>
          <w:p>
            <w:pPr>
              <w:pStyle w:val="TableParagraph"/>
              <w:spacing w:line="273" w:lineRule="auto" w:before="37"/>
              <w:ind w:left="107" w:right="151"/>
              <w:rPr>
                <w:sz w:val="21"/>
              </w:rPr>
            </w:pPr>
            <w:r>
              <w:rPr>
                <w:sz w:val="21"/>
              </w:rPr>
              <w:t>（或称恶性葡萄胎）</w:t>
            </w:r>
          </w:p>
        </w:tc>
        <w:tc>
          <w:tcPr>
            <w:tcW w:w="7946" w:type="dxa"/>
            <w:gridSpan w:val="4"/>
          </w:tcPr>
          <w:p>
            <w:pPr>
              <w:pStyle w:val="TableParagraph"/>
              <w:spacing w:line="273" w:lineRule="auto" w:before="104"/>
              <w:ind w:left="108" w:right="65"/>
              <w:rPr>
                <w:sz w:val="21"/>
              </w:rPr>
            </w:pPr>
            <w:r>
              <w:rPr>
                <w:sz w:val="21"/>
              </w:rPr>
              <w:t>指异常增生的绒毛组织浸润性生长浸入子宫肌层或转移至其他器官或组织的葡萄胎， 并已经进行化疗或手术治疗的。</w:t>
            </w:r>
          </w:p>
        </w:tc>
      </w:tr>
      <w:tr>
        <w:trPr>
          <w:trHeight w:val="2393" w:hRule="atLeast"/>
        </w:trPr>
        <w:tc>
          <w:tcPr>
            <w:tcW w:w="943" w:type="dxa"/>
          </w:tcPr>
          <w:p>
            <w:pPr>
              <w:pStyle w:val="TableParagraph"/>
              <w:spacing w:before="104"/>
              <w:ind w:left="183" w:right="194"/>
              <w:jc w:val="center"/>
              <w:rPr>
                <w:sz w:val="21"/>
              </w:rPr>
            </w:pPr>
            <w:r>
              <w:rPr>
                <w:sz w:val="21"/>
              </w:rPr>
              <w:t>9.2.3</w:t>
            </w:r>
          </w:p>
        </w:tc>
        <w:tc>
          <w:tcPr>
            <w:tcW w:w="1525" w:type="dxa"/>
          </w:tcPr>
          <w:p>
            <w:pPr>
              <w:pStyle w:val="TableParagraph"/>
              <w:spacing w:before="104"/>
              <w:ind w:left="107"/>
              <w:rPr>
                <w:sz w:val="21"/>
              </w:rPr>
            </w:pPr>
            <w:r>
              <w:rPr>
                <w:sz w:val="21"/>
              </w:rPr>
              <w:t>急性心肌梗塞</w:t>
            </w:r>
          </w:p>
          <w:p>
            <w:pPr>
              <w:pStyle w:val="TableParagraph"/>
              <w:spacing w:before="12"/>
              <w:ind w:left="107"/>
              <w:rPr>
                <w:sz w:val="24"/>
              </w:rPr>
            </w:pPr>
            <w:r>
              <w:rPr>
                <w:sz w:val="24"/>
              </w:rPr>
              <w:t>*</w:t>
            </w:r>
          </w:p>
        </w:tc>
        <w:tc>
          <w:tcPr>
            <w:tcW w:w="7946" w:type="dxa"/>
            <w:gridSpan w:val="4"/>
          </w:tcPr>
          <w:p>
            <w:pPr>
              <w:pStyle w:val="TableParagraph"/>
              <w:spacing w:line="273" w:lineRule="auto" w:before="104"/>
              <w:ind w:left="107" w:right="45"/>
              <w:rPr>
                <w:rFonts w:ascii="黑体" w:eastAsia="黑体" w:hint="eastAsia"/>
                <w:sz w:val="21"/>
              </w:rPr>
            </w:pPr>
            <w:r>
              <w:rPr>
                <w:sz w:val="21"/>
              </w:rPr>
              <w:t>指因冠状动脉阻塞导致的相应区域供血不足造成部分心肌坏死。</w:t>
            </w:r>
            <w:r>
              <w:rPr>
                <w:rFonts w:ascii="黑体" w:eastAsia="黑体" w:hint="eastAsia"/>
                <w:sz w:val="21"/>
              </w:rPr>
              <w:t>并须满足下列至少三项条件：</w:t>
            </w:r>
          </w:p>
          <w:p>
            <w:pPr>
              <w:pStyle w:val="TableParagraph"/>
              <w:numPr>
                <w:ilvl w:val="0"/>
                <w:numId w:val="30"/>
              </w:numPr>
              <w:tabs>
                <w:tab w:pos="843" w:val="left" w:leader="none"/>
                <w:tab w:pos="844" w:val="left" w:leader="none"/>
              </w:tabs>
              <w:spacing w:line="240" w:lineRule="auto" w:before="85" w:after="0"/>
              <w:ind w:left="843" w:right="0" w:hanging="735"/>
              <w:jc w:val="left"/>
              <w:rPr>
                <w:sz w:val="21"/>
              </w:rPr>
            </w:pPr>
            <w:r>
              <w:rPr>
                <w:sz w:val="21"/>
              </w:rPr>
              <w:t>典型临床表现，例如急性胸痛等；</w:t>
            </w:r>
          </w:p>
          <w:p>
            <w:pPr>
              <w:pStyle w:val="TableParagraph"/>
              <w:numPr>
                <w:ilvl w:val="0"/>
                <w:numId w:val="30"/>
              </w:numPr>
              <w:tabs>
                <w:tab w:pos="843" w:val="left" w:leader="none"/>
                <w:tab w:pos="844" w:val="left" w:leader="none"/>
              </w:tabs>
              <w:spacing w:line="240" w:lineRule="auto" w:before="115" w:after="0"/>
              <w:ind w:left="843" w:right="0" w:hanging="735"/>
              <w:jc w:val="left"/>
              <w:rPr>
                <w:sz w:val="21"/>
              </w:rPr>
            </w:pPr>
            <w:r>
              <w:rPr>
                <w:sz w:val="21"/>
              </w:rPr>
              <w:t>新近的心电图改变提示急性心肌梗塞；</w:t>
            </w:r>
          </w:p>
          <w:p>
            <w:pPr>
              <w:pStyle w:val="TableParagraph"/>
              <w:numPr>
                <w:ilvl w:val="0"/>
                <w:numId w:val="30"/>
              </w:numPr>
              <w:tabs>
                <w:tab w:pos="842" w:val="left" w:leader="none"/>
                <w:tab w:pos="843" w:val="left" w:leader="none"/>
              </w:tabs>
              <w:spacing w:line="240" w:lineRule="auto" w:before="115" w:after="0"/>
              <w:ind w:left="842" w:right="-15" w:hanging="734"/>
              <w:jc w:val="left"/>
              <w:rPr>
                <w:sz w:val="21"/>
              </w:rPr>
            </w:pPr>
            <w:r>
              <w:rPr>
                <w:spacing w:val="-4"/>
                <w:sz w:val="21"/>
              </w:rPr>
              <w:t>心肌酶或肌钙蛋白有诊断意义的升高，或呈符合急性心肌梗塞的动态性变化；</w:t>
            </w:r>
          </w:p>
          <w:p>
            <w:pPr>
              <w:pStyle w:val="TableParagraph"/>
              <w:numPr>
                <w:ilvl w:val="0"/>
                <w:numId w:val="30"/>
              </w:numPr>
              <w:tabs>
                <w:tab w:pos="843" w:val="left" w:leader="none"/>
                <w:tab w:pos="844" w:val="left" w:leader="none"/>
              </w:tabs>
              <w:spacing w:line="240" w:lineRule="auto" w:before="115" w:after="0"/>
              <w:ind w:left="843" w:right="0" w:hanging="735"/>
              <w:jc w:val="left"/>
              <w:rPr>
                <w:sz w:val="21"/>
              </w:rPr>
            </w:pPr>
            <w:r>
              <w:rPr>
                <w:spacing w:val="-22"/>
                <w:sz w:val="21"/>
              </w:rPr>
              <w:t>发病 </w:t>
            </w:r>
            <w:r>
              <w:rPr>
                <w:sz w:val="21"/>
              </w:rPr>
              <w:t>90</w:t>
            </w:r>
            <w:r>
              <w:rPr>
                <w:spacing w:val="-11"/>
                <w:sz w:val="21"/>
              </w:rPr>
              <w:t> 天后，经检查证实左心室功能降低，如左心室射血分数低于 </w:t>
            </w:r>
            <w:r>
              <w:rPr>
                <w:sz w:val="21"/>
              </w:rPr>
              <w:t>50％。</w:t>
            </w:r>
          </w:p>
        </w:tc>
      </w:tr>
      <w:tr>
        <w:trPr>
          <w:trHeight w:val="2626" w:hRule="atLeast"/>
        </w:trPr>
        <w:tc>
          <w:tcPr>
            <w:tcW w:w="943" w:type="dxa"/>
          </w:tcPr>
          <w:p>
            <w:pPr>
              <w:pStyle w:val="TableParagraph"/>
              <w:spacing w:before="143"/>
              <w:ind w:left="183" w:right="194"/>
              <w:jc w:val="center"/>
              <w:rPr>
                <w:sz w:val="21"/>
              </w:rPr>
            </w:pPr>
            <w:r>
              <w:rPr>
                <w:sz w:val="21"/>
              </w:rPr>
              <w:t>9.2.4</w:t>
            </w:r>
          </w:p>
        </w:tc>
        <w:tc>
          <w:tcPr>
            <w:tcW w:w="1525" w:type="dxa"/>
          </w:tcPr>
          <w:p>
            <w:pPr>
              <w:pStyle w:val="TableParagraph"/>
              <w:spacing w:before="143"/>
              <w:ind w:left="107"/>
              <w:rPr>
                <w:sz w:val="21"/>
              </w:rPr>
            </w:pPr>
            <w:r>
              <w:rPr>
                <w:sz w:val="21"/>
              </w:rPr>
              <w:t>脑中风后遗症</w:t>
            </w:r>
          </w:p>
          <w:p>
            <w:pPr>
              <w:pStyle w:val="TableParagraph"/>
              <w:spacing w:before="12"/>
              <w:ind w:left="107"/>
              <w:rPr>
                <w:sz w:val="24"/>
              </w:rPr>
            </w:pPr>
            <w:r>
              <w:rPr>
                <w:sz w:val="24"/>
              </w:rPr>
              <w:t>*</w:t>
            </w:r>
          </w:p>
        </w:tc>
        <w:tc>
          <w:tcPr>
            <w:tcW w:w="7946" w:type="dxa"/>
            <w:gridSpan w:val="4"/>
          </w:tcPr>
          <w:p>
            <w:pPr>
              <w:pStyle w:val="TableParagraph"/>
              <w:spacing w:line="273" w:lineRule="auto" w:before="65"/>
              <w:ind w:left="107" w:right="101"/>
              <w:jc w:val="both"/>
              <w:rPr>
                <w:sz w:val="21"/>
              </w:rPr>
            </w:pPr>
            <w:r>
              <w:rPr>
                <w:spacing w:val="-3"/>
                <w:sz w:val="21"/>
              </w:rPr>
              <w:t>指因脑血管的突发病变引起脑血管出血、栓塞或梗塞，并导致神经系统永久性的功能</w:t>
            </w:r>
            <w:r>
              <w:rPr>
                <w:spacing w:val="-8"/>
                <w:sz w:val="21"/>
              </w:rPr>
              <w:t>障碍。神经系统永久性的功能障碍，指疾病确诊 </w:t>
            </w:r>
            <w:r>
              <w:rPr>
                <w:sz w:val="21"/>
              </w:rPr>
              <w:t>180</w:t>
            </w:r>
            <w:r>
              <w:rPr>
                <w:spacing w:val="-9"/>
                <w:sz w:val="21"/>
              </w:rPr>
              <w:t> 天后，仍遗留下列一种或一种以上障碍：</w:t>
            </w:r>
          </w:p>
          <w:p>
            <w:pPr>
              <w:pStyle w:val="TableParagraph"/>
              <w:numPr>
                <w:ilvl w:val="0"/>
                <w:numId w:val="31"/>
              </w:numPr>
              <w:tabs>
                <w:tab w:pos="843" w:val="left" w:leader="none"/>
                <w:tab w:pos="844" w:val="left" w:leader="none"/>
              </w:tabs>
              <w:spacing w:line="240" w:lineRule="auto" w:before="85" w:after="0"/>
              <w:ind w:left="844" w:right="0" w:hanging="736"/>
              <w:jc w:val="left"/>
              <w:rPr>
                <w:sz w:val="21"/>
              </w:rPr>
            </w:pPr>
            <w:r>
              <w:rPr>
                <w:spacing w:val="-1"/>
                <w:sz w:val="21"/>
              </w:rPr>
              <w:t>一肢或一肢以上肢体机能完全丧失</w:t>
            </w:r>
            <w:r>
              <w:rPr>
                <w:sz w:val="21"/>
              </w:rPr>
              <w:t>（</w:t>
            </w:r>
            <w:r>
              <w:rPr>
                <w:spacing w:val="-27"/>
                <w:sz w:val="21"/>
              </w:rPr>
              <w:t>见 </w:t>
            </w:r>
            <w:r>
              <w:rPr>
                <w:sz w:val="21"/>
              </w:rPr>
              <w:t>1</w:t>
            </w:r>
            <w:r>
              <w:rPr>
                <w:spacing w:val="-1"/>
                <w:sz w:val="21"/>
              </w:rPr>
              <w:t>0</w:t>
            </w:r>
            <w:r>
              <w:rPr>
                <w:sz w:val="21"/>
              </w:rPr>
              <w:t>.</w:t>
            </w:r>
            <w:r>
              <w:rPr>
                <w:spacing w:val="-1"/>
                <w:sz w:val="21"/>
              </w:rPr>
              <w:t>21</w:t>
            </w:r>
            <w:r>
              <w:rPr>
                <w:spacing w:val="-105"/>
                <w:sz w:val="21"/>
              </w:rPr>
              <w:t>）</w:t>
            </w:r>
            <w:r>
              <w:rPr>
                <w:sz w:val="21"/>
              </w:rPr>
              <w:t>；</w:t>
            </w:r>
          </w:p>
          <w:p>
            <w:pPr>
              <w:pStyle w:val="TableParagraph"/>
              <w:numPr>
                <w:ilvl w:val="0"/>
                <w:numId w:val="31"/>
              </w:numPr>
              <w:tabs>
                <w:tab w:pos="843" w:val="left" w:leader="none"/>
                <w:tab w:pos="844" w:val="left" w:leader="none"/>
              </w:tabs>
              <w:spacing w:line="240" w:lineRule="auto" w:before="115" w:after="0"/>
              <w:ind w:left="844" w:right="0" w:hanging="736"/>
              <w:jc w:val="left"/>
              <w:rPr>
                <w:sz w:val="21"/>
              </w:rPr>
            </w:pPr>
            <w:r>
              <w:rPr>
                <w:spacing w:val="-1"/>
                <w:sz w:val="21"/>
              </w:rPr>
              <w:t>语言能力或咀嚼吞咽能力完全丧失</w:t>
            </w:r>
            <w:r>
              <w:rPr>
                <w:sz w:val="21"/>
              </w:rPr>
              <w:t>（</w:t>
            </w:r>
            <w:r>
              <w:rPr>
                <w:spacing w:val="-27"/>
                <w:sz w:val="21"/>
              </w:rPr>
              <w:t>见 </w:t>
            </w:r>
            <w:r>
              <w:rPr>
                <w:sz w:val="21"/>
              </w:rPr>
              <w:t>1</w:t>
            </w:r>
            <w:r>
              <w:rPr>
                <w:spacing w:val="-1"/>
                <w:sz w:val="21"/>
              </w:rPr>
              <w:t>0</w:t>
            </w:r>
            <w:r>
              <w:rPr>
                <w:sz w:val="21"/>
              </w:rPr>
              <w:t>.</w:t>
            </w:r>
            <w:r>
              <w:rPr>
                <w:spacing w:val="-1"/>
                <w:sz w:val="21"/>
              </w:rPr>
              <w:t>22</w:t>
            </w:r>
            <w:r>
              <w:rPr>
                <w:spacing w:val="-105"/>
                <w:sz w:val="21"/>
              </w:rPr>
              <w:t>）</w:t>
            </w:r>
            <w:r>
              <w:rPr>
                <w:sz w:val="21"/>
              </w:rPr>
              <w:t>；</w:t>
            </w:r>
          </w:p>
          <w:p>
            <w:pPr>
              <w:pStyle w:val="TableParagraph"/>
              <w:numPr>
                <w:ilvl w:val="0"/>
                <w:numId w:val="31"/>
              </w:numPr>
              <w:tabs>
                <w:tab w:pos="843" w:val="left" w:leader="none"/>
                <w:tab w:pos="844" w:val="left" w:leader="none"/>
              </w:tabs>
              <w:spacing w:line="273" w:lineRule="auto" w:before="115" w:after="0"/>
              <w:ind w:left="844" w:right="98" w:hanging="736"/>
              <w:jc w:val="left"/>
              <w:rPr>
                <w:sz w:val="21"/>
              </w:rPr>
            </w:pPr>
            <w:r>
              <w:rPr>
                <w:sz w:val="21"/>
              </w:rPr>
              <w:t>自主生活能力完全丧失，无法独立完成六项基本日常生活活动中的三项或三项以上。</w:t>
            </w:r>
          </w:p>
        </w:tc>
      </w:tr>
      <w:tr>
        <w:trPr>
          <w:trHeight w:val="1335" w:hRule="atLeast"/>
        </w:trPr>
        <w:tc>
          <w:tcPr>
            <w:tcW w:w="943" w:type="dxa"/>
          </w:tcPr>
          <w:p>
            <w:pPr>
              <w:pStyle w:val="TableParagraph"/>
              <w:spacing w:before="104"/>
              <w:ind w:left="183" w:right="194"/>
              <w:jc w:val="center"/>
              <w:rPr>
                <w:sz w:val="21"/>
              </w:rPr>
            </w:pPr>
            <w:r>
              <w:rPr>
                <w:sz w:val="21"/>
              </w:rPr>
              <w:t>9.2.5</w:t>
            </w:r>
          </w:p>
        </w:tc>
        <w:tc>
          <w:tcPr>
            <w:tcW w:w="1525" w:type="dxa"/>
          </w:tcPr>
          <w:p>
            <w:pPr>
              <w:pStyle w:val="TableParagraph"/>
              <w:spacing w:line="273" w:lineRule="auto" w:before="104"/>
              <w:ind w:left="107" w:right="151"/>
              <w:jc w:val="both"/>
              <w:rPr>
                <w:sz w:val="21"/>
              </w:rPr>
            </w:pPr>
            <w:r>
              <w:rPr>
                <w:sz w:val="21"/>
              </w:rPr>
              <w:t>冠状动脉搭桥术（或称冠状动脉旁路移植</w:t>
            </w:r>
          </w:p>
          <w:p>
            <w:pPr>
              <w:pStyle w:val="TableParagraph"/>
              <w:spacing w:line="284" w:lineRule="exact" w:before="0"/>
              <w:ind w:left="107"/>
              <w:jc w:val="both"/>
              <w:rPr>
                <w:sz w:val="24"/>
              </w:rPr>
            </w:pPr>
            <w:r>
              <w:rPr>
                <w:sz w:val="21"/>
              </w:rPr>
              <w:t>术）</w:t>
            </w:r>
            <w:r>
              <w:rPr>
                <w:sz w:val="24"/>
              </w:rPr>
              <w:t>*</w:t>
            </w:r>
          </w:p>
        </w:tc>
        <w:tc>
          <w:tcPr>
            <w:tcW w:w="7946" w:type="dxa"/>
            <w:gridSpan w:val="4"/>
          </w:tcPr>
          <w:p>
            <w:pPr>
              <w:pStyle w:val="TableParagraph"/>
              <w:spacing w:before="104"/>
              <w:ind w:left="108"/>
              <w:rPr>
                <w:sz w:val="21"/>
              </w:rPr>
            </w:pPr>
            <w:r>
              <w:rPr>
                <w:sz w:val="21"/>
              </w:rPr>
              <w:t>指为治疗严重的冠心病，实际实施了开胸进行的冠状动脉血管旁路移植的手术。</w:t>
            </w:r>
          </w:p>
          <w:p>
            <w:pPr>
              <w:pStyle w:val="TableParagraph"/>
              <w:spacing w:line="273" w:lineRule="auto" w:before="115"/>
              <w:ind w:left="108" w:right="65"/>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bl>
    <w:p>
      <w:pPr>
        <w:spacing w:after="0" w:line="273" w:lineRule="auto"/>
        <w:rPr>
          <w:rFonts w:ascii="黑体" w:eastAsia="黑体" w:hint="eastAsia"/>
          <w:sz w:val="21"/>
        </w:rPr>
        <w:sectPr>
          <w:pgSz w:w="11900" w:h="16840"/>
          <w:pgMar w:top="1140" w:bottom="280" w:left="820" w:right="4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3"/>
        <w:gridCol w:w="8101"/>
      </w:tblGrid>
      <w:tr>
        <w:trPr>
          <w:trHeight w:val="678" w:hRule="atLeast"/>
        </w:trPr>
        <w:tc>
          <w:tcPr>
            <w:tcW w:w="943" w:type="dxa"/>
          </w:tcPr>
          <w:p>
            <w:pPr>
              <w:pStyle w:val="TableParagraph"/>
              <w:spacing w:line="210" w:lineRule="exact" w:before="0"/>
              <w:ind w:left="200"/>
              <w:rPr>
                <w:sz w:val="21"/>
              </w:rPr>
            </w:pPr>
            <w:r>
              <w:rPr>
                <w:sz w:val="21"/>
              </w:rPr>
              <w:t>9.2.6</w:t>
            </w:r>
          </w:p>
        </w:tc>
        <w:tc>
          <w:tcPr>
            <w:tcW w:w="1503" w:type="dxa"/>
          </w:tcPr>
          <w:p>
            <w:pPr>
              <w:pStyle w:val="TableParagraph"/>
              <w:spacing w:line="210" w:lineRule="exact" w:before="0"/>
              <w:ind w:left="107"/>
              <w:rPr>
                <w:sz w:val="21"/>
              </w:rPr>
            </w:pPr>
            <w:r>
              <w:rPr>
                <w:sz w:val="21"/>
              </w:rPr>
              <w:t>心脏瓣膜手术</w:t>
            </w:r>
          </w:p>
          <w:p>
            <w:pPr>
              <w:pStyle w:val="TableParagraph"/>
              <w:spacing w:before="13"/>
              <w:ind w:left="107"/>
              <w:rPr>
                <w:sz w:val="24"/>
              </w:rPr>
            </w:pPr>
            <w:r>
              <w:rPr>
                <w:sz w:val="24"/>
              </w:rPr>
              <w:t>*</w:t>
            </w:r>
          </w:p>
        </w:tc>
        <w:tc>
          <w:tcPr>
            <w:tcW w:w="8101" w:type="dxa"/>
          </w:tcPr>
          <w:p>
            <w:pPr>
              <w:pStyle w:val="TableParagraph"/>
              <w:spacing w:line="210" w:lineRule="exact" w:before="0"/>
              <w:ind w:left="130"/>
              <w:rPr>
                <w:sz w:val="21"/>
              </w:rPr>
            </w:pPr>
            <w:r>
              <w:rPr>
                <w:sz w:val="21"/>
              </w:rPr>
              <w:t>指为治疗心脏瓣膜疾病，实际实施了开胸进行的心脏瓣膜置换或修复的手术。</w:t>
            </w:r>
          </w:p>
        </w:tc>
      </w:tr>
      <w:tr>
        <w:trPr>
          <w:trHeight w:val="1115" w:hRule="atLeast"/>
        </w:trPr>
        <w:tc>
          <w:tcPr>
            <w:tcW w:w="943" w:type="dxa"/>
          </w:tcPr>
          <w:p>
            <w:pPr>
              <w:pStyle w:val="TableParagraph"/>
              <w:spacing w:before="129"/>
              <w:ind w:left="200"/>
              <w:rPr>
                <w:sz w:val="21"/>
              </w:rPr>
            </w:pPr>
            <w:r>
              <w:rPr>
                <w:sz w:val="21"/>
              </w:rPr>
              <w:t>9.2.7</w:t>
            </w:r>
          </w:p>
        </w:tc>
        <w:tc>
          <w:tcPr>
            <w:tcW w:w="1503" w:type="dxa"/>
          </w:tcPr>
          <w:p>
            <w:pPr>
              <w:pStyle w:val="TableParagraph"/>
              <w:spacing w:line="249" w:lineRule="auto" w:before="76"/>
              <w:ind w:left="107" w:right="129"/>
              <w:rPr>
                <w:sz w:val="24"/>
              </w:rPr>
            </w:pPr>
            <w:r>
              <w:rPr>
                <w:sz w:val="21"/>
              </w:rPr>
              <w:t>严重原发性肺动脉高压</w:t>
            </w:r>
            <w:r>
              <w:rPr>
                <w:sz w:val="24"/>
              </w:rPr>
              <w:t>*</w:t>
            </w:r>
          </w:p>
        </w:tc>
        <w:tc>
          <w:tcPr>
            <w:tcW w:w="8101" w:type="dxa"/>
          </w:tcPr>
          <w:p>
            <w:pPr>
              <w:pStyle w:val="TableParagraph"/>
              <w:spacing w:line="271" w:lineRule="auto" w:before="76"/>
              <w:ind w:left="130" w:right="234"/>
              <w:jc w:val="both"/>
              <w:rPr>
                <w:sz w:val="21"/>
              </w:rPr>
            </w:pPr>
            <w:r>
              <w:rPr>
                <w:spacing w:val="-3"/>
                <w:sz w:val="21"/>
              </w:rPr>
              <w:t>指不明原因的肺动脉压力持续性增高，进行性发展而导致的慢性疾病，已经造成永久</w:t>
            </w:r>
            <w:r>
              <w:rPr>
                <w:spacing w:val="-4"/>
                <w:sz w:val="21"/>
              </w:rPr>
              <w:t>不可逆性的体力活动能力受限，达到美国纽约心脏病学会心功能状态分级 </w:t>
            </w:r>
            <w:r>
              <w:rPr>
                <w:sz w:val="21"/>
              </w:rPr>
              <w:t>IV</w:t>
            </w:r>
            <w:r>
              <w:rPr>
                <w:spacing w:val="-6"/>
                <w:sz w:val="21"/>
              </w:rPr>
              <w:t> 级，且</w:t>
            </w:r>
            <w:r>
              <w:rPr>
                <w:spacing w:val="-11"/>
                <w:sz w:val="21"/>
              </w:rPr>
              <w:t>静息状态下肺动脉平均压超过 </w:t>
            </w:r>
            <w:r>
              <w:rPr>
                <w:sz w:val="21"/>
              </w:rPr>
              <w:t>30mmHg。</w:t>
            </w:r>
          </w:p>
        </w:tc>
      </w:tr>
      <w:tr>
        <w:trPr>
          <w:trHeight w:val="1296" w:hRule="atLeast"/>
        </w:trPr>
        <w:tc>
          <w:tcPr>
            <w:tcW w:w="943" w:type="dxa"/>
          </w:tcPr>
          <w:p>
            <w:pPr>
              <w:pStyle w:val="TableParagraph"/>
              <w:spacing w:before="144"/>
              <w:ind w:left="200"/>
              <w:rPr>
                <w:sz w:val="21"/>
              </w:rPr>
            </w:pPr>
            <w:r>
              <w:rPr>
                <w:sz w:val="21"/>
              </w:rPr>
              <w:t>9.2.8</w:t>
            </w:r>
          </w:p>
        </w:tc>
        <w:tc>
          <w:tcPr>
            <w:tcW w:w="1503" w:type="dxa"/>
          </w:tcPr>
          <w:p>
            <w:pPr>
              <w:pStyle w:val="TableParagraph"/>
              <w:spacing w:before="67"/>
              <w:ind w:left="107"/>
              <w:rPr>
                <w:sz w:val="24"/>
              </w:rPr>
            </w:pPr>
            <w:r>
              <w:rPr>
                <w:sz w:val="21"/>
              </w:rPr>
              <w:t>主动脉手术</w:t>
            </w:r>
            <w:r>
              <w:rPr>
                <w:sz w:val="24"/>
              </w:rPr>
              <w:t>*</w:t>
            </w:r>
          </w:p>
        </w:tc>
        <w:tc>
          <w:tcPr>
            <w:tcW w:w="8101" w:type="dxa"/>
          </w:tcPr>
          <w:p>
            <w:pPr>
              <w:pStyle w:val="TableParagraph"/>
              <w:spacing w:line="273" w:lineRule="auto" w:before="144"/>
              <w:ind w:left="130" w:right="199"/>
              <w:rPr>
                <w:rFonts w:ascii="黑体" w:eastAsia="黑体" w:hint="eastAsia"/>
                <w:sz w:val="21"/>
              </w:rPr>
            </w:pP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TableParagraph"/>
              <w:spacing w:before="85"/>
              <w:ind w:left="130"/>
              <w:rPr>
                <w:rFonts w:ascii="黑体" w:eastAsia="黑体" w:hint="eastAsia"/>
                <w:sz w:val="21"/>
              </w:rPr>
            </w:pPr>
            <w:r>
              <w:rPr>
                <w:rFonts w:ascii="黑体" w:eastAsia="黑体" w:hint="eastAsia"/>
                <w:sz w:val="21"/>
              </w:rPr>
              <w:t>动脉内血管成形术不在保障范围内。</w:t>
            </w:r>
          </w:p>
        </w:tc>
      </w:tr>
      <w:tr>
        <w:trPr>
          <w:trHeight w:val="3211" w:hRule="atLeast"/>
        </w:trPr>
        <w:tc>
          <w:tcPr>
            <w:tcW w:w="943" w:type="dxa"/>
          </w:tcPr>
          <w:p>
            <w:pPr>
              <w:pStyle w:val="TableParagraph"/>
              <w:ind w:left="200"/>
              <w:rPr>
                <w:sz w:val="21"/>
              </w:rPr>
            </w:pPr>
            <w:r>
              <w:rPr>
                <w:sz w:val="21"/>
              </w:rPr>
              <w:t>9.2.9</w:t>
            </w:r>
          </w:p>
        </w:tc>
        <w:tc>
          <w:tcPr>
            <w:tcW w:w="1503" w:type="dxa"/>
          </w:tcPr>
          <w:p>
            <w:pPr>
              <w:pStyle w:val="TableParagraph"/>
              <w:spacing w:line="273" w:lineRule="auto"/>
              <w:ind w:left="107" w:right="129"/>
              <w:rPr>
                <w:sz w:val="21"/>
              </w:rPr>
            </w:pPr>
            <w:r>
              <w:rPr>
                <w:sz w:val="21"/>
              </w:rPr>
              <w:t>严重原发性心肌病</w:t>
            </w:r>
          </w:p>
        </w:tc>
        <w:tc>
          <w:tcPr>
            <w:tcW w:w="8101" w:type="dxa"/>
          </w:tcPr>
          <w:p>
            <w:pPr>
              <w:pStyle w:val="TableParagraph"/>
              <w:spacing w:line="273" w:lineRule="auto"/>
              <w:ind w:left="130" w:right="234"/>
              <w:jc w:val="both"/>
              <w:rPr>
                <w:sz w:val="21"/>
              </w:rPr>
            </w:pPr>
            <w:r>
              <w:rPr>
                <w:spacing w:val="-3"/>
                <w:sz w:val="21"/>
              </w:rPr>
              <w:t>指不明原因引起的一类心肌病变，包括原发性扩张型心肌病、原发性肥厚型心肌病及</w:t>
            </w:r>
            <w:r>
              <w:rPr>
                <w:spacing w:val="-6"/>
                <w:sz w:val="21"/>
              </w:rPr>
              <w:t>原发性限制型心肌病三种，病变必须已造成事实上心室功能障碍而出现明显的心功能</w:t>
            </w:r>
            <w:r>
              <w:rPr>
                <w:spacing w:val="-13"/>
                <w:sz w:val="21"/>
              </w:rPr>
              <w:t>衰竭</w:t>
            </w:r>
            <w:r>
              <w:rPr>
                <w:sz w:val="21"/>
              </w:rPr>
              <w:t>（</w:t>
            </w:r>
            <w:r>
              <w:rPr>
                <w:spacing w:val="-1"/>
                <w:sz w:val="21"/>
              </w:rPr>
              <w:t>指按照美国纽约心脏病学会提出的心功能状态分级的标准判定，心功能状态已</w:t>
            </w:r>
            <w:r>
              <w:rPr>
                <w:spacing w:val="-13"/>
                <w:sz w:val="21"/>
              </w:rPr>
              <w:t>达到 </w:t>
            </w:r>
            <w:r>
              <w:rPr>
                <w:spacing w:val="-1"/>
                <w:sz w:val="21"/>
              </w:rPr>
              <w:t>I</w:t>
            </w:r>
            <w:r>
              <w:rPr>
                <w:sz w:val="21"/>
              </w:rPr>
              <w:t>V</w:t>
            </w:r>
            <w:r>
              <w:rPr>
                <w:spacing w:val="-19"/>
                <w:sz w:val="21"/>
              </w:rPr>
              <w:t> 级</w:t>
            </w:r>
            <w:r>
              <w:rPr>
                <w:spacing w:val="-105"/>
                <w:sz w:val="21"/>
              </w:rPr>
              <w:t>）</w:t>
            </w:r>
            <w:r>
              <w:rPr>
                <w:spacing w:val="-4"/>
                <w:sz w:val="21"/>
              </w:rPr>
              <w:t>，且有相关住院医疗记录显示 </w:t>
            </w:r>
            <w:r>
              <w:rPr>
                <w:spacing w:val="-1"/>
                <w:sz w:val="21"/>
              </w:rPr>
              <w:t>I</w:t>
            </w:r>
            <w:r>
              <w:rPr>
                <w:sz w:val="21"/>
              </w:rPr>
              <w:t>V</w:t>
            </w:r>
            <w:r>
              <w:rPr>
                <w:spacing w:val="-7"/>
                <w:sz w:val="21"/>
              </w:rPr>
              <w:t> 级心功能衰竭状态。本病须经本公司认</w:t>
            </w:r>
            <w:r>
              <w:rPr>
                <w:spacing w:val="-3"/>
                <w:sz w:val="21"/>
              </w:rPr>
              <w:t>可的医院的专科医生明确诊断。理赔时需提供超声心动图或其它支持性检查结果及诊断报告。</w:t>
            </w:r>
          </w:p>
          <w:p>
            <w:pPr>
              <w:pStyle w:val="TableParagraph"/>
              <w:spacing w:before="85"/>
              <w:ind w:left="130"/>
              <w:rPr>
                <w:rFonts w:ascii="黑体" w:eastAsia="黑体" w:hint="eastAsia"/>
                <w:sz w:val="21"/>
              </w:rPr>
            </w:pPr>
            <w:r>
              <w:rPr>
                <w:rFonts w:ascii="黑体" w:eastAsia="黑体" w:hint="eastAsia"/>
                <w:sz w:val="21"/>
              </w:rPr>
              <w:t>酗酒或滥用药物引起的心肌病不在保障范围内。</w:t>
            </w:r>
          </w:p>
          <w:p>
            <w:pPr>
              <w:pStyle w:val="TableParagraph"/>
              <w:spacing w:line="273" w:lineRule="auto" w:before="114"/>
              <w:ind w:left="130" w:right="234"/>
              <w:jc w:val="both"/>
              <w:rPr>
                <w:sz w:val="21"/>
              </w:rPr>
            </w:pPr>
            <w:r>
              <w:rPr>
                <w:spacing w:val="-2"/>
                <w:sz w:val="21"/>
              </w:rPr>
              <w:t>美国纽约心脏病学会心功能状态分级Ⅳ级是指不能从事任何体力活动，休息时亦有症状。</w:t>
            </w:r>
          </w:p>
        </w:tc>
      </w:tr>
      <w:tr>
        <w:trPr>
          <w:trHeight w:val="1963" w:hRule="atLeast"/>
        </w:trPr>
        <w:tc>
          <w:tcPr>
            <w:tcW w:w="943" w:type="dxa"/>
          </w:tcPr>
          <w:p>
            <w:pPr>
              <w:pStyle w:val="TableParagraph"/>
              <w:ind w:left="200"/>
              <w:rPr>
                <w:sz w:val="21"/>
              </w:rPr>
            </w:pPr>
            <w:r>
              <w:rPr>
                <w:sz w:val="21"/>
              </w:rPr>
              <w:t>9.2.10</w:t>
            </w:r>
          </w:p>
        </w:tc>
        <w:tc>
          <w:tcPr>
            <w:tcW w:w="1503" w:type="dxa"/>
          </w:tcPr>
          <w:p>
            <w:pPr>
              <w:pStyle w:val="TableParagraph"/>
              <w:ind w:left="107"/>
              <w:rPr>
                <w:sz w:val="21"/>
              </w:rPr>
            </w:pPr>
            <w:r>
              <w:rPr>
                <w:sz w:val="21"/>
              </w:rPr>
              <w:t>严重川崎病</w:t>
            </w:r>
          </w:p>
        </w:tc>
        <w:tc>
          <w:tcPr>
            <w:tcW w:w="8101" w:type="dxa"/>
          </w:tcPr>
          <w:p>
            <w:pPr>
              <w:pStyle w:val="TableParagraph"/>
              <w:spacing w:line="273" w:lineRule="auto"/>
              <w:ind w:left="130" w:right="234"/>
              <w:jc w:val="both"/>
              <w:rPr>
                <w:sz w:val="21"/>
              </w:rPr>
            </w:pPr>
            <w:r>
              <w:rPr>
                <w:spacing w:val="-4"/>
                <w:sz w:val="21"/>
              </w:rPr>
              <w:t>是一种血管炎综合征，临床表现为急性发热，皮肤粘膜病损和淋巴结肿大。本病须经</w:t>
            </w:r>
            <w:r>
              <w:rPr>
                <w:spacing w:val="-7"/>
                <w:sz w:val="21"/>
              </w:rPr>
              <w:t>专科医生明确诊断，同时须由血管造影或超声心动图检查证实，满足下列至少一项条件：</w:t>
            </w:r>
          </w:p>
          <w:p>
            <w:pPr>
              <w:pStyle w:val="TableParagraph"/>
              <w:numPr>
                <w:ilvl w:val="0"/>
                <w:numId w:val="32"/>
              </w:numPr>
              <w:tabs>
                <w:tab w:pos="865" w:val="left" w:leader="none"/>
              </w:tabs>
              <w:spacing w:line="240" w:lineRule="auto" w:before="86" w:after="0"/>
              <w:ind w:left="864" w:right="0" w:hanging="734"/>
              <w:jc w:val="both"/>
              <w:rPr>
                <w:sz w:val="21"/>
              </w:rPr>
            </w:pPr>
            <w:r>
              <w:rPr>
                <w:spacing w:val="-3"/>
                <w:sz w:val="21"/>
              </w:rPr>
              <w:t>伴有冠状动脉瘤，且冠状动脉瘤于最初急性发病后持续至少 </w:t>
            </w:r>
            <w:r>
              <w:rPr>
                <w:sz w:val="21"/>
              </w:rPr>
              <w:t>180</w:t>
            </w:r>
            <w:r>
              <w:rPr>
                <w:spacing w:val="-23"/>
                <w:sz w:val="21"/>
              </w:rPr>
              <w:t> 天；</w:t>
            </w:r>
          </w:p>
          <w:p>
            <w:pPr>
              <w:pStyle w:val="TableParagraph"/>
              <w:numPr>
                <w:ilvl w:val="0"/>
                <w:numId w:val="32"/>
              </w:numPr>
              <w:tabs>
                <w:tab w:pos="865" w:val="left" w:leader="none"/>
              </w:tabs>
              <w:spacing w:line="240" w:lineRule="auto" w:before="115" w:after="0"/>
              <w:ind w:left="864" w:right="0" w:hanging="734"/>
              <w:jc w:val="both"/>
              <w:rPr>
                <w:sz w:val="21"/>
              </w:rPr>
            </w:pPr>
            <w:r>
              <w:rPr>
                <w:spacing w:val="-1"/>
                <w:sz w:val="21"/>
              </w:rPr>
              <w:t>伴有冠状动脉瘤，且已经实施了对冠状动脉瘤进行的手术治疗。</w:t>
            </w:r>
          </w:p>
        </w:tc>
      </w:tr>
      <w:tr>
        <w:trPr>
          <w:trHeight w:val="2658" w:hRule="atLeast"/>
        </w:trPr>
        <w:tc>
          <w:tcPr>
            <w:tcW w:w="943" w:type="dxa"/>
          </w:tcPr>
          <w:p>
            <w:pPr>
              <w:pStyle w:val="TableParagraph"/>
              <w:ind w:left="200"/>
              <w:rPr>
                <w:sz w:val="21"/>
              </w:rPr>
            </w:pPr>
            <w:r>
              <w:rPr>
                <w:sz w:val="21"/>
              </w:rPr>
              <w:t>9.2.11</w:t>
            </w:r>
          </w:p>
        </w:tc>
        <w:tc>
          <w:tcPr>
            <w:tcW w:w="1503" w:type="dxa"/>
          </w:tcPr>
          <w:p>
            <w:pPr>
              <w:pStyle w:val="TableParagraph"/>
              <w:spacing w:line="273" w:lineRule="auto"/>
              <w:ind w:left="107" w:right="129" w:hanging="1"/>
              <w:rPr>
                <w:sz w:val="21"/>
              </w:rPr>
            </w:pPr>
            <w:r>
              <w:rPr>
                <w:sz w:val="21"/>
              </w:rPr>
              <w:t>严重感染性心内膜炎</w:t>
            </w:r>
          </w:p>
        </w:tc>
        <w:tc>
          <w:tcPr>
            <w:tcW w:w="8101" w:type="dxa"/>
          </w:tcPr>
          <w:p>
            <w:pPr>
              <w:pStyle w:val="TableParagraph"/>
              <w:ind w:left="130"/>
              <w:rPr>
                <w:rFonts w:ascii="黑体" w:eastAsia="黑体" w:hint="eastAsia"/>
                <w:sz w:val="21"/>
              </w:rPr>
            </w:pPr>
            <w:r>
              <w:rPr>
                <w:sz w:val="21"/>
              </w:rPr>
              <w:t>是指由感染性微生物引致的心脏内膜炎症，</w:t>
            </w:r>
            <w:r>
              <w:rPr>
                <w:rFonts w:ascii="黑体" w:eastAsia="黑体" w:hint="eastAsia"/>
                <w:sz w:val="21"/>
              </w:rPr>
              <w:t>并须符合下列全部条件：</w:t>
            </w:r>
          </w:p>
          <w:p>
            <w:pPr>
              <w:pStyle w:val="TableParagraph"/>
              <w:numPr>
                <w:ilvl w:val="0"/>
                <w:numId w:val="33"/>
              </w:numPr>
              <w:tabs>
                <w:tab w:pos="865" w:val="left" w:leader="none"/>
                <w:tab w:pos="866" w:val="left" w:leader="none"/>
              </w:tabs>
              <w:spacing w:line="240" w:lineRule="auto" w:before="114" w:after="0"/>
              <w:ind w:left="865" w:right="0" w:hanging="735"/>
              <w:jc w:val="left"/>
              <w:rPr>
                <w:sz w:val="21"/>
              </w:rPr>
            </w:pPr>
            <w:r>
              <w:rPr>
                <w:sz w:val="21"/>
              </w:rPr>
              <w:t>血液细菌培养结果呈阳性反应，证明感染性微生物的存在；</w:t>
            </w:r>
          </w:p>
          <w:p>
            <w:pPr>
              <w:pStyle w:val="TableParagraph"/>
              <w:numPr>
                <w:ilvl w:val="0"/>
                <w:numId w:val="33"/>
              </w:numPr>
              <w:tabs>
                <w:tab w:pos="866" w:val="left" w:leader="none"/>
              </w:tabs>
              <w:spacing w:line="273" w:lineRule="auto" w:before="114" w:after="0"/>
              <w:ind w:left="865" w:right="231" w:hanging="735"/>
              <w:jc w:val="both"/>
              <w:rPr>
                <w:sz w:val="21"/>
              </w:rPr>
            </w:pPr>
            <w:r>
              <w:rPr>
                <w:sz w:val="21"/>
              </w:rPr>
              <w:t>由感染性心内膜炎导致至少中度的心脏瓣膜功能不全（即返流部分达百分之二十或以上）或中度的心脏瓣膜狭窄（即心脏瓣面积为正常值的百分之三十或以下</w:t>
            </w:r>
            <w:r>
              <w:rPr>
                <w:spacing w:val="-105"/>
                <w:sz w:val="21"/>
              </w:rPr>
              <w:t>）</w:t>
            </w:r>
            <w:r>
              <w:rPr>
                <w:sz w:val="21"/>
              </w:rPr>
              <w:t>；</w:t>
            </w:r>
          </w:p>
          <w:p>
            <w:pPr>
              <w:pStyle w:val="TableParagraph"/>
              <w:numPr>
                <w:ilvl w:val="0"/>
                <w:numId w:val="33"/>
              </w:numPr>
              <w:tabs>
                <w:tab w:pos="865" w:val="left" w:leader="none"/>
                <w:tab w:pos="866" w:val="left" w:leader="none"/>
              </w:tabs>
              <w:spacing w:line="273" w:lineRule="auto" w:before="85" w:after="0"/>
              <w:ind w:left="865" w:right="231" w:hanging="735"/>
              <w:jc w:val="left"/>
              <w:rPr>
                <w:sz w:val="21"/>
              </w:rPr>
            </w:pPr>
            <w:r>
              <w:rPr>
                <w:sz w:val="21"/>
              </w:rPr>
              <w:t>感染性心内膜炎的诊断及瓣膜受损的严重程度必须由心脏病专科医生确定， 并提供超声心动图或放射影像学检查结果报告以支持诊断。</w:t>
            </w:r>
          </w:p>
        </w:tc>
      </w:tr>
      <w:tr>
        <w:trPr>
          <w:trHeight w:val="2361" w:hRule="atLeast"/>
        </w:trPr>
        <w:tc>
          <w:tcPr>
            <w:tcW w:w="943" w:type="dxa"/>
          </w:tcPr>
          <w:p>
            <w:pPr>
              <w:pStyle w:val="TableParagraph"/>
              <w:spacing w:before="118"/>
              <w:ind w:left="200"/>
              <w:rPr>
                <w:sz w:val="21"/>
              </w:rPr>
            </w:pPr>
            <w:r>
              <w:rPr>
                <w:sz w:val="21"/>
              </w:rPr>
              <w:t>9.2.12</w:t>
            </w:r>
          </w:p>
        </w:tc>
        <w:tc>
          <w:tcPr>
            <w:tcW w:w="1503" w:type="dxa"/>
          </w:tcPr>
          <w:p>
            <w:pPr>
              <w:pStyle w:val="TableParagraph"/>
              <w:spacing w:before="93"/>
              <w:ind w:left="107"/>
              <w:rPr>
                <w:sz w:val="24"/>
              </w:rPr>
            </w:pPr>
            <w:r>
              <w:rPr>
                <w:sz w:val="21"/>
              </w:rPr>
              <w:t>良性脑肿瘤</w:t>
            </w:r>
            <w:r>
              <w:rPr>
                <w:sz w:val="24"/>
              </w:rPr>
              <w:t>*</w:t>
            </w:r>
          </w:p>
        </w:tc>
        <w:tc>
          <w:tcPr>
            <w:tcW w:w="8101" w:type="dxa"/>
          </w:tcPr>
          <w:p>
            <w:pPr>
              <w:pStyle w:val="TableParagraph"/>
              <w:spacing w:line="273" w:lineRule="auto" w:before="118"/>
              <w:ind w:left="130" w:right="200"/>
              <w:jc w:val="both"/>
              <w:rPr>
                <w:sz w:val="21"/>
              </w:rPr>
            </w:pPr>
            <w:r>
              <w:rPr>
                <w:spacing w:val="-5"/>
                <w:sz w:val="21"/>
              </w:rPr>
              <w:t>指脑的良性肿瘤，已经引起颅内压增高，临床表现为视神经乳头水肿、精神症状、癫</w:t>
            </w:r>
            <w:r>
              <w:rPr>
                <w:spacing w:val="-1"/>
                <w:sz w:val="21"/>
              </w:rPr>
              <w:t>痫及运动感觉障碍等，并危及生命。须由头颅断层扫描（CT</w:t>
            </w:r>
            <w:r>
              <w:rPr>
                <w:spacing w:val="-104"/>
                <w:sz w:val="21"/>
              </w:rPr>
              <w:t>）</w:t>
            </w:r>
            <w:r>
              <w:rPr>
                <w:spacing w:val="-1"/>
                <w:sz w:val="21"/>
              </w:rPr>
              <w:t>、核磁共振检查（MRI）或正电子发射断层扫描（PET）等影像学检查证实，并须满足下列至少一项条件：</w:t>
            </w:r>
          </w:p>
          <w:p>
            <w:pPr>
              <w:pStyle w:val="TableParagraph"/>
              <w:numPr>
                <w:ilvl w:val="0"/>
                <w:numId w:val="34"/>
              </w:numPr>
              <w:tabs>
                <w:tab w:pos="866" w:val="left" w:leader="none"/>
              </w:tabs>
              <w:spacing w:line="240" w:lineRule="auto" w:before="86" w:after="0"/>
              <w:ind w:left="865" w:right="0" w:hanging="735"/>
              <w:jc w:val="both"/>
              <w:rPr>
                <w:sz w:val="21"/>
              </w:rPr>
            </w:pPr>
            <w:r>
              <w:rPr>
                <w:sz w:val="21"/>
              </w:rPr>
              <w:t>实际实施了开颅进行的脑肿瘤完全切除或部分切除的手术；</w:t>
            </w:r>
          </w:p>
          <w:p>
            <w:pPr>
              <w:pStyle w:val="TableParagraph"/>
              <w:numPr>
                <w:ilvl w:val="0"/>
                <w:numId w:val="34"/>
              </w:numPr>
              <w:tabs>
                <w:tab w:pos="866" w:val="left" w:leader="none"/>
              </w:tabs>
              <w:spacing w:line="240" w:lineRule="auto" w:before="115" w:after="0"/>
              <w:ind w:left="865" w:right="0" w:hanging="735"/>
              <w:jc w:val="both"/>
              <w:rPr>
                <w:sz w:val="21"/>
              </w:rPr>
            </w:pPr>
            <w:r>
              <w:rPr>
                <w:sz w:val="21"/>
              </w:rPr>
              <w:t>实际实施了对脑肿瘤进行的放射治疗。</w:t>
            </w:r>
          </w:p>
          <w:p>
            <w:pPr>
              <w:pStyle w:val="TableParagraph"/>
              <w:spacing w:before="115"/>
              <w:ind w:left="130"/>
              <w:jc w:val="both"/>
              <w:rPr>
                <w:rFonts w:ascii="黑体" w:eastAsia="黑体" w:hint="eastAsia"/>
                <w:sz w:val="21"/>
              </w:rPr>
            </w:pPr>
            <w:r>
              <w:rPr>
                <w:rFonts w:ascii="黑体" w:eastAsia="黑体" w:hint="eastAsia"/>
                <w:sz w:val="21"/>
              </w:rPr>
              <w:t>脑垂体瘤、脑囊肿、脑血管性疾病不在保障范围内。</w:t>
            </w:r>
          </w:p>
        </w:tc>
      </w:tr>
      <w:tr>
        <w:trPr>
          <w:trHeight w:val="1086" w:hRule="atLeast"/>
        </w:trPr>
        <w:tc>
          <w:tcPr>
            <w:tcW w:w="943" w:type="dxa"/>
          </w:tcPr>
          <w:p>
            <w:pPr>
              <w:pStyle w:val="TableParagraph"/>
              <w:ind w:left="200"/>
              <w:rPr>
                <w:sz w:val="21"/>
              </w:rPr>
            </w:pPr>
            <w:r>
              <w:rPr>
                <w:sz w:val="21"/>
              </w:rPr>
              <w:t>9.2.13</w:t>
            </w:r>
          </w:p>
        </w:tc>
        <w:tc>
          <w:tcPr>
            <w:tcW w:w="1503" w:type="dxa"/>
          </w:tcPr>
          <w:p>
            <w:pPr>
              <w:pStyle w:val="TableParagraph"/>
              <w:spacing w:line="273" w:lineRule="auto"/>
              <w:ind w:left="107" w:right="129" w:hanging="1"/>
              <w:rPr>
                <w:sz w:val="21"/>
              </w:rPr>
            </w:pPr>
            <w:r>
              <w:rPr>
                <w:sz w:val="21"/>
              </w:rPr>
              <w:t>脑炎后遗症或脑膜炎后遗症</w:t>
            </w:r>
          </w:p>
          <w:p>
            <w:pPr>
              <w:pStyle w:val="TableParagraph"/>
              <w:spacing w:line="298" w:lineRule="exact" w:before="0"/>
              <w:ind w:left="107"/>
              <w:rPr>
                <w:sz w:val="24"/>
              </w:rPr>
            </w:pPr>
            <w:r>
              <w:rPr>
                <w:sz w:val="24"/>
              </w:rPr>
              <w:t>*</w:t>
            </w:r>
          </w:p>
        </w:tc>
        <w:tc>
          <w:tcPr>
            <w:tcW w:w="8101" w:type="dxa"/>
          </w:tcPr>
          <w:p>
            <w:pPr>
              <w:pStyle w:val="TableParagraph"/>
              <w:spacing w:line="273" w:lineRule="auto"/>
              <w:ind w:left="130" w:right="233"/>
              <w:rPr>
                <w:sz w:val="21"/>
              </w:rPr>
            </w:pPr>
            <w:r>
              <w:rPr>
                <w:sz w:val="21"/>
              </w:rPr>
              <w:t>指因患脑炎或脑膜炎导致的神经系统永久性的功能障碍。神经系统永久性的功能障碍，指疾病确诊 180 天后，仍遗留下列一种或一种以上障碍：</w:t>
            </w:r>
          </w:p>
          <w:p>
            <w:pPr>
              <w:pStyle w:val="TableParagraph"/>
              <w:tabs>
                <w:tab w:pos="865" w:val="left" w:leader="none"/>
              </w:tabs>
              <w:spacing w:line="255" w:lineRule="exact" w:before="86"/>
              <w:ind w:left="130"/>
              <w:rPr>
                <w:sz w:val="21"/>
              </w:rPr>
            </w:pPr>
            <w:r>
              <w:rPr>
                <w:sz w:val="21"/>
              </w:rPr>
              <w:t>（1）</w:t>
              <w:tab/>
              <w:t>一肢或一肢以上肢体机能完全丧失；</w:t>
            </w:r>
          </w:p>
        </w:tc>
      </w:tr>
    </w:tbl>
    <w:p>
      <w:pPr>
        <w:spacing w:after="0" w:line="255" w:lineRule="exact"/>
        <w:rPr>
          <w:sz w:val="21"/>
        </w:rPr>
        <w:sectPr>
          <w:pgSz w:w="11900" w:h="16840"/>
          <w:pgMar w:top="1260" w:bottom="280" w:left="820" w:right="3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3"/>
        <w:gridCol w:w="8101"/>
      </w:tblGrid>
      <w:tr>
        <w:trPr>
          <w:trHeight w:val="1079" w:hRule="atLeast"/>
        </w:trPr>
        <w:tc>
          <w:tcPr>
            <w:tcW w:w="943" w:type="dxa"/>
          </w:tcPr>
          <w:p>
            <w:pPr>
              <w:pStyle w:val="TableParagraph"/>
              <w:spacing w:before="0"/>
              <w:rPr>
                <w:rFonts w:ascii="Times New Roman"/>
                <w:sz w:val="20"/>
              </w:rPr>
            </w:pPr>
          </w:p>
        </w:tc>
        <w:tc>
          <w:tcPr>
            <w:tcW w:w="1503" w:type="dxa"/>
          </w:tcPr>
          <w:p>
            <w:pPr>
              <w:pStyle w:val="TableParagraph"/>
              <w:spacing w:before="0"/>
              <w:rPr>
                <w:rFonts w:ascii="Times New Roman"/>
                <w:sz w:val="20"/>
              </w:rPr>
            </w:pPr>
          </w:p>
        </w:tc>
        <w:tc>
          <w:tcPr>
            <w:tcW w:w="8101" w:type="dxa"/>
          </w:tcPr>
          <w:p>
            <w:pPr>
              <w:pStyle w:val="TableParagraph"/>
              <w:numPr>
                <w:ilvl w:val="0"/>
                <w:numId w:val="35"/>
              </w:numPr>
              <w:tabs>
                <w:tab w:pos="865" w:val="left" w:leader="none"/>
                <w:tab w:pos="866" w:val="left" w:leader="none"/>
              </w:tabs>
              <w:spacing w:line="210" w:lineRule="exact" w:before="0" w:after="0"/>
              <w:ind w:left="865" w:right="0" w:hanging="735"/>
              <w:jc w:val="left"/>
              <w:rPr>
                <w:sz w:val="21"/>
              </w:rPr>
            </w:pPr>
            <w:r>
              <w:rPr>
                <w:sz w:val="21"/>
              </w:rPr>
              <w:t>语言能力或咀嚼吞咽能力完全丧失；</w:t>
            </w:r>
          </w:p>
          <w:p>
            <w:pPr>
              <w:pStyle w:val="TableParagraph"/>
              <w:numPr>
                <w:ilvl w:val="0"/>
                <w:numId w:val="35"/>
              </w:numPr>
              <w:tabs>
                <w:tab w:pos="865" w:val="left" w:leader="none"/>
                <w:tab w:pos="866" w:val="left" w:leader="none"/>
              </w:tabs>
              <w:spacing w:line="273" w:lineRule="auto" w:before="115" w:after="0"/>
              <w:ind w:left="865" w:right="231" w:hanging="735"/>
              <w:jc w:val="left"/>
              <w:rPr>
                <w:sz w:val="21"/>
              </w:rPr>
            </w:pPr>
            <w:r>
              <w:rPr>
                <w:sz w:val="21"/>
              </w:rPr>
              <w:t>自主生活能力完全丧失，无法独立完成六项基本日常生活活动中的三项或三项以上。</w:t>
            </w:r>
          </w:p>
        </w:tc>
      </w:tr>
      <w:tr>
        <w:trPr>
          <w:trHeight w:val="1573" w:hRule="atLeast"/>
        </w:trPr>
        <w:tc>
          <w:tcPr>
            <w:tcW w:w="943" w:type="dxa"/>
          </w:tcPr>
          <w:p>
            <w:pPr>
              <w:pStyle w:val="TableParagraph"/>
              <w:spacing w:before="118"/>
              <w:ind w:right="106"/>
              <w:jc w:val="right"/>
              <w:rPr>
                <w:sz w:val="21"/>
              </w:rPr>
            </w:pPr>
            <w:r>
              <w:rPr>
                <w:sz w:val="21"/>
              </w:rPr>
              <w:t>9.2.14</w:t>
            </w:r>
          </w:p>
        </w:tc>
        <w:tc>
          <w:tcPr>
            <w:tcW w:w="1503" w:type="dxa"/>
          </w:tcPr>
          <w:p>
            <w:pPr>
              <w:pStyle w:val="TableParagraph"/>
              <w:spacing w:before="93"/>
              <w:ind w:left="107"/>
              <w:rPr>
                <w:sz w:val="24"/>
              </w:rPr>
            </w:pPr>
            <w:r>
              <w:rPr>
                <w:sz w:val="21"/>
              </w:rPr>
              <w:t>深度昏迷</w:t>
            </w:r>
            <w:r>
              <w:rPr>
                <w:sz w:val="24"/>
              </w:rPr>
              <w:t>*</w:t>
            </w:r>
          </w:p>
        </w:tc>
        <w:tc>
          <w:tcPr>
            <w:tcW w:w="8101" w:type="dxa"/>
          </w:tcPr>
          <w:p>
            <w:pPr>
              <w:pStyle w:val="TableParagraph"/>
              <w:spacing w:line="273" w:lineRule="auto" w:before="118"/>
              <w:ind w:left="130" w:right="235"/>
              <w:jc w:val="both"/>
              <w:rPr>
                <w:sz w:val="21"/>
              </w:rPr>
            </w:pPr>
            <w:r>
              <w:rPr>
                <w:spacing w:val="-3"/>
                <w:sz w:val="21"/>
              </w:rPr>
              <w:t>指因疾病或意外伤害导致意识丧失，对外界刺激和体内需求均无反应，昏迷程度按照格拉斯哥昏迷分级（Glasgow </w:t>
            </w:r>
            <w:r>
              <w:rPr>
                <w:sz w:val="21"/>
              </w:rPr>
              <w:t>coma scale）</w:t>
            </w:r>
            <w:r>
              <w:rPr>
                <w:spacing w:val="-15"/>
                <w:sz w:val="21"/>
              </w:rPr>
              <w:t>结果为 </w:t>
            </w:r>
            <w:r>
              <w:rPr>
                <w:sz w:val="21"/>
              </w:rPr>
              <w:t>5</w:t>
            </w:r>
            <w:r>
              <w:rPr>
                <w:spacing w:val="-30"/>
                <w:sz w:val="21"/>
              </w:rPr>
              <w:t> 分或 </w:t>
            </w:r>
            <w:r>
              <w:rPr>
                <w:sz w:val="21"/>
              </w:rPr>
              <w:t>5</w:t>
            </w:r>
            <w:r>
              <w:rPr>
                <w:spacing w:val="-8"/>
                <w:sz w:val="21"/>
              </w:rPr>
              <w:t> 分以下，且已经持续使用</w:t>
            </w:r>
            <w:r>
              <w:rPr>
                <w:spacing w:val="-13"/>
                <w:sz w:val="21"/>
              </w:rPr>
              <w:t>呼吸机及其它生命维持系统 </w:t>
            </w:r>
            <w:r>
              <w:rPr>
                <w:sz w:val="21"/>
              </w:rPr>
              <w:t>96</w:t>
            </w:r>
            <w:r>
              <w:rPr>
                <w:spacing w:val="-11"/>
                <w:sz w:val="21"/>
              </w:rPr>
              <w:t> 小时以上。</w:t>
            </w:r>
          </w:p>
          <w:p>
            <w:pPr>
              <w:pStyle w:val="TableParagraph"/>
              <w:spacing w:before="86"/>
              <w:ind w:left="130"/>
              <w:jc w:val="both"/>
              <w:rPr>
                <w:rFonts w:ascii="黑体" w:eastAsia="黑体" w:hint="eastAsia"/>
                <w:sz w:val="21"/>
              </w:rPr>
            </w:pPr>
            <w:r>
              <w:rPr>
                <w:rFonts w:ascii="黑体" w:eastAsia="黑体" w:hint="eastAsia"/>
                <w:sz w:val="21"/>
              </w:rPr>
              <w:t>因酗酒或药物滥用导致的深度昏迷不在保障范围内。</w:t>
            </w:r>
          </w:p>
        </w:tc>
      </w:tr>
      <w:tr>
        <w:trPr>
          <w:trHeight w:val="1191" w:hRule="atLeast"/>
        </w:trPr>
        <w:tc>
          <w:tcPr>
            <w:tcW w:w="943" w:type="dxa"/>
          </w:tcPr>
          <w:p>
            <w:pPr>
              <w:pStyle w:val="TableParagraph"/>
              <w:spacing w:before="117"/>
              <w:ind w:right="106"/>
              <w:jc w:val="right"/>
              <w:rPr>
                <w:sz w:val="21"/>
              </w:rPr>
            </w:pPr>
            <w:r>
              <w:rPr>
                <w:sz w:val="21"/>
              </w:rPr>
              <w:t>9.2.15</w:t>
            </w:r>
          </w:p>
        </w:tc>
        <w:tc>
          <w:tcPr>
            <w:tcW w:w="1503" w:type="dxa"/>
          </w:tcPr>
          <w:p>
            <w:pPr>
              <w:pStyle w:val="TableParagraph"/>
              <w:spacing w:before="93"/>
              <w:ind w:left="107"/>
              <w:rPr>
                <w:sz w:val="24"/>
              </w:rPr>
            </w:pPr>
            <w:r>
              <w:rPr>
                <w:sz w:val="21"/>
              </w:rPr>
              <w:t>瘫痪</w:t>
            </w:r>
            <w:r>
              <w:rPr>
                <w:sz w:val="24"/>
              </w:rPr>
              <w:t>*</w:t>
            </w:r>
          </w:p>
        </w:tc>
        <w:tc>
          <w:tcPr>
            <w:tcW w:w="8101" w:type="dxa"/>
          </w:tcPr>
          <w:p>
            <w:pPr>
              <w:pStyle w:val="TableParagraph"/>
              <w:spacing w:line="273" w:lineRule="auto" w:before="117"/>
              <w:ind w:left="130" w:right="234"/>
              <w:jc w:val="both"/>
              <w:rPr>
                <w:sz w:val="21"/>
              </w:rPr>
            </w:pPr>
            <w:r>
              <w:rPr>
                <w:spacing w:val="-2"/>
                <w:sz w:val="21"/>
              </w:rPr>
              <w:t>指因疾病或意外伤害导致两肢或两肢以上肢体机能永久完全丧失。肢体机能永久完全</w:t>
            </w:r>
            <w:r>
              <w:rPr>
                <w:spacing w:val="-11"/>
                <w:sz w:val="21"/>
              </w:rPr>
              <w:t>丧失，指疾病确诊 </w:t>
            </w:r>
            <w:r>
              <w:rPr>
                <w:sz w:val="21"/>
              </w:rPr>
              <w:t>180</w:t>
            </w:r>
            <w:r>
              <w:rPr>
                <w:spacing w:val="-13"/>
                <w:sz w:val="21"/>
              </w:rPr>
              <w:t> 天后或意外伤害发生 </w:t>
            </w:r>
            <w:r>
              <w:rPr>
                <w:sz w:val="21"/>
              </w:rPr>
              <w:t>180</w:t>
            </w:r>
            <w:r>
              <w:rPr>
                <w:spacing w:val="-9"/>
                <w:sz w:val="21"/>
              </w:rPr>
              <w:t> 天后，每肢三大关节中的两大关节仍然完全僵硬，或不能随意识活动。</w:t>
            </w:r>
          </w:p>
        </w:tc>
      </w:tr>
      <w:tr>
        <w:trPr>
          <w:trHeight w:val="2181" w:hRule="atLeast"/>
        </w:trPr>
        <w:tc>
          <w:tcPr>
            <w:tcW w:w="943" w:type="dxa"/>
          </w:tcPr>
          <w:p>
            <w:pPr>
              <w:pStyle w:val="TableParagraph"/>
              <w:ind w:right="106"/>
              <w:jc w:val="right"/>
              <w:rPr>
                <w:sz w:val="21"/>
              </w:rPr>
            </w:pPr>
            <w:r>
              <w:rPr>
                <w:sz w:val="21"/>
              </w:rPr>
              <w:t>9.2.16</w:t>
            </w:r>
          </w:p>
        </w:tc>
        <w:tc>
          <w:tcPr>
            <w:tcW w:w="1503" w:type="dxa"/>
          </w:tcPr>
          <w:p>
            <w:pPr>
              <w:pStyle w:val="TableParagraph"/>
              <w:spacing w:line="252" w:lineRule="auto"/>
              <w:ind w:left="107" w:right="129" w:hanging="1"/>
              <w:rPr>
                <w:sz w:val="24"/>
              </w:rPr>
            </w:pPr>
            <w:r>
              <w:rPr>
                <w:sz w:val="21"/>
              </w:rPr>
              <w:t>严重阿尔茨海默病</w:t>
            </w:r>
            <w:r>
              <w:rPr>
                <w:sz w:val="24"/>
              </w:rPr>
              <w:t>*</w:t>
            </w:r>
          </w:p>
        </w:tc>
        <w:tc>
          <w:tcPr>
            <w:tcW w:w="8101" w:type="dxa"/>
          </w:tcPr>
          <w:p>
            <w:pPr>
              <w:pStyle w:val="TableParagraph"/>
              <w:spacing w:line="273" w:lineRule="auto"/>
              <w:ind w:left="130" w:right="231"/>
              <w:jc w:val="both"/>
              <w:rPr>
                <w:sz w:val="21"/>
              </w:rPr>
            </w:pPr>
            <w:r>
              <w:rPr>
                <w:spacing w:val="-4"/>
                <w:sz w:val="21"/>
              </w:rPr>
              <w:t>指因大脑进行性、不可逆性改变导致智能严重衰退或丧失，临床表现为明显的认知能</w:t>
            </w:r>
            <w:r>
              <w:rPr>
                <w:spacing w:val="-7"/>
                <w:sz w:val="21"/>
              </w:rPr>
              <w:t>力障碍、行为异常和社交能力减退，其日常生活必须持续受到他人监护。须由头颅断</w:t>
            </w:r>
            <w:r>
              <w:rPr>
                <w:spacing w:val="1"/>
                <w:sz w:val="21"/>
              </w:rPr>
              <w:t>层扫描（</w:t>
            </w:r>
            <w:r>
              <w:rPr>
                <w:spacing w:val="-1"/>
                <w:sz w:val="21"/>
              </w:rPr>
              <w:t>C</w:t>
            </w:r>
            <w:r>
              <w:rPr>
                <w:spacing w:val="1"/>
                <w:sz w:val="21"/>
              </w:rPr>
              <w:t>T</w:t>
            </w:r>
            <w:r>
              <w:rPr>
                <w:spacing w:val="-105"/>
                <w:sz w:val="21"/>
              </w:rPr>
              <w:t>）</w:t>
            </w:r>
            <w:r>
              <w:rPr>
                <w:sz w:val="21"/>
              </w:rPr>
              <w:t>、核磁共振检查</w:t>
            </w:r>
            <w:r>
              <w:rPr>
                <w:spacing w:val="1"/>
                <w:sz w:val="21"/>
              </w:rPr>
              <w:t>（</w:t>
            </w:r>
            <w:r>
              <w:rPr>
                <w:spacing w:val="-1"/>
                <w:sz w:val="21"/>
              </w:rPr>
              <w:t>MR</w:t>
            </w:r>
            <w:r>
              <w:rPr>
                <w:spacing w:val="0"/>
                <w:sz w:val="21"/>
              </w:rPr>
              <w:t>I</w:t>
            </w:r>
            <w:r>
              <w:rPr>
                <w:spacing w:val="1"/>
                <w:sz w:val="21"/>
              </w:rPr>
              <w:t>）</w:t>
            </w:r>
            <w:r>
              <w:rPr>
                <w:sz w:val="21"/>
              </w:rPr>
              <w:t>或正电子发射断层扫描</w:t>
            </w:r>
            <w:r>
              <w:rPr>
                <w:spacing w:val="1"/>
                <w:sz w:val="21"/>
              </w:rPr>
              <w:t>（</w:t>
            </w:r>
            <w:r>
              <w:rPr>
                <w:sz w:val="21"/>
              </w:rPr>
              <w:t>P</w:t>
            </w:r>
            <w:r>
              <w:rPr>
                <w:spacing w:val="-1"/>
                <w:sz w:val="21"/>
              </w:rPr>
              <w:t>E</w:t>
            </w:r>
            <w:r>
              <w:rPr>
                <w:spacing w:val="1"/>
                <w:sz w:val="21"/>
              </w:rPr>
              <w:t>T）</w:t>
            </w:r>
            <w:r>
              <w:rPr>
                <w:sz w:val="21"/>
              </w:rPr>
              <w:t>等影像学检查证</w:t>
            </w:r>
            <w:r>
              <w:rPr>
                <w:spacing w:val="-6"/>
                <w:sz w:val="21"/>
              </w:rPr>
              <w:t>实，且自主生活能力完全丧失，无法独立完成六项基本日常生活活动中的三项或三项以上。</w:t>
            </w:r>
          </w:p>
          <w:p>
            <w:pPr>
              <w:pStyle w:val="TableParagraph"/>
              <w:spacing w:before="85"/>
              <w:ind w:left="130"/>
              <w:jc w:val="both"/>
              <w:rPr>
                <w:rFonts w:ascii="黑体" w:eastAsia="黑体" w:hint="eastAsia"/>
                <w:sz w:val="21"/>
              </w:rPr>
            </w:pPr>
            <w:r>
              <w:rPr>
                <w:rFonts w:ascii="黑体" w:eastAsia="黑体" w:hint="eastAsia"/>
                <w:sz w:val="21"/>
              </w:rPr>
              <w:t>神经官能症和精神疾病不在保障范围内。</w:t>
            </w:r>
          </w:p>
        </w:tc>
      </w:tr>
      <w:tr>
        <w:trPr>
          <w:trHeight w:val="2985" w:hRule="atLeast"/>
        </w:trPr>
        <w:tc>
          <w:tcPr>
            <w:tcW w:w="943" w:type="dxa"/>
          </w:tcPr>
          <w:p>
            <w:pPr>
              <w:pStyle w:val="TableParagraph"/>
              <w:spacing w:before="127"/>
              <w:ind w:right="106"/>
              <w:jc w:val="right"/>
              <w:rPr>
                <w:sz w:val="21"/>
              </w:rPr>
            </w:pPr>
            <w:r>
              <w:rPr>
                <w:sz w:val="21"/>
              </w:rPr>
              <w:t>9.2.17</w:t>
            </w:r>
          </w:p>
        </w:tc>
        <w:tc>
          <w:tcPr>
            <w:tcW w:w="1503" w:type="dxa"/>
          </w:tcPr>
          <w:p>
            <w:pPr>
              <w:pStyle w:val="TableParagraph"/>
              <w:spacing w:before="84"/>
              <w:ind w:left="107"/>
              <w:rPr>
                <w:sz w:val="24"/>
              </w:rPr>
            </w:pPr>
            <w:r>
              <w:rPr>
                <w:sz w:val="21"/>
              </w:rPr>
              <w:t>严重脑损伤</w:t>
            </w:r>
            <w:r>
              <w:rPr>
                <w:sz w:val="24"/>
              </w:rPr>
              <w:t>*</w:t>
            </w:r>
          </w:p>
        </w:tc>
        <w:tc>
          <w:tcPr>
            <w:tcW w:w="8101" w:type="dxa"/>
          </w:tcPr>
          <w:p>
            <w:pPr>
              <w:pStyle w:val="TableParagraph"/>
              <w:spacing w:line="273" w:lineRule="auto" w:before="127"/>
              <w:ind w:left="130" w:right="198"/>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1"/>
                <w:sz w:val="21"/>
              </w:rPr>
              <w:t>T</w:t>
            </w:r>
            <w:r>
              <w:rPr>
                <w:spacing w:val="-104"/>
                <w:sz w:val="21"/>
              </w:rPr>
              <w:t>）</w:t>
            </w:r>
            <w:r>
              <w:rPr>
                <w:sz w:val="21"/>
              </w:rPr>
              <w:t>、核磁共振检查</w:t>
            </w:r>
            <w:r>
              <w:rPr>
                <w:spacing w:val="1"/>
                <w:sz w:val="21"/>
              </w:rPr>
              <w:t>（</w:t>
            </w:r>
            <w:r>
              <w:rPr>
                <w:spacing w:val="-1"/>
                <w:sz w:val="21"/>
              </w:rPr>
              <w:t>MR</w:t>
            </w:r>
            <w:r>
              <w:rPr>
                <w:spacing w:val="0"/>
                <w:sz w:val="21"/>
              </w:rPr>
              <w:t>I</w:t>
            </w:r>
            <w:r>
              <w:rPr>
                <w:spacing w:val="1"/>
                <w:sz w:val="21"/>
              </w:rPr>
              <w:t>）</w:t>
            </w:r>
            <w:r>
              <w:rPr>
                <w:sz w:val="21"/>
              </w:rPr>
              <w:t>或正电子发射断层扫描</w:t>
            </w:r>
            <w:r>
              <w:rPr>
                <w:spacing w:val="1"/>
                <w:sz w:val="21"/>
              </w:rPr>
              <w:t>（</w:t>
            </w:r>
            <w:r>
              <w:rPr>
                <w:sz w:val="21"/>
              </w:rPr>
              <w:t>P</w:t>
            </w:r>
            <w:r>
              <w:rPr>
                <w:spacing w:val="-1"/>
                <w:sz w:val="21"/>
              </w:rPr>
              <w:t>E</w:t>
            </w:r>
            <w:r>
              <w:rPr>
                <w:spacing w:val="1"/>
                <w:sz w:val="21"/>
              </w:rPr>
              <w:t>T）等影</w:t>
            </w:r>
            <w:r>
              <w:rPr>
                <w:spacing w:val="-5"/>
                <w:sz w:val="21"/>
              </w:rPr>
              <w:t>像学检查证实。神经系统永久性的功能障碍，指脑损伤 </w:t>
            </w:r>
            <w:r>
              <w:rPr>
                <w:sz w:val="21"/>
              </w:rPr>
              <w:t>180</w:t>
            </w:r>
            <w:r>
              <w:rPr>
                <w:spacing w:val="-9"/>
                <w:sz w:val="21"/>
              </w:rPr>
              <w:t> 天后，仍遗留下列一种或一种以上障碍：</w:t>
            </w:r>
          </w:p>
          <w:p>
            <w:pPr>
              <w:pStyle w:val="TableParagraph"/>
              <w:numPr>
                <w:ilvl w:val="0"/>
                <w:numId w:val="36"/>
              </w:numPr>
              <w:tabs>
                <w:tab w:pos="865" w:val="left" w:leader="none"/>
                <w:tab w:pos="866" w:val="left" w:leader="none"/>
              </w:tabs>
              <w:spacing w:line="240" w:lineRule="auto" w:before="86" w:after="0"/>
              <w:ind w:left="865" w:right="0" w:hanging="735"/>
              <w:jc w:val="left"/>
              <w:rPr>
                <w:sz w:val="21"/>
              </w:rPr>
            </w:pPr>
            <w:r>
              <w:rPr>
                <w:sz w:val="21"/>
              </w:rPr>
              <w:t>一肢或一肢以上肢体机能完全丧失；</w:t>
            </w:r>
          </w:p>
          <w:p>
            <w:pPr>
              <w:pStyle w:val="TableParagraph"/>
              <w:numPr>
                <w:ilvl w:val="0"/>
                <w:numId w:val="36"/>
              </w:numPr>
              <w:tabs>
                <w:tab w:pos="865" w:val="left" w:leader="none"/>
                <w:tab w:pos="866" w:val="left" w:leader="none"/>
              </w:tabs>
              <w:spacing w:line="240" w:lineRule="auto" w:before="115" w:after="0"/>
              <w:ind w:left="865" w:right="0" w:hanging="735"/>
              <w:jc w:val="left"/>
              <w:rPr>
                <w:sz w:val="21"/>
              </w:rPr>
            </w:pPr>
            <w:r>
              <w:rPr>
                <w:sz w:val="21"/>
              </w:rPr>
              <w:t>语言能力或咀嚼吞咽能力完全丧失；</w:t>
            </w:r>
          </w:p>
          <w:p>
            <w:pPr>
              <w:pStyle w:val="TableParagraph"/>
              <w:numPr>
                <w:ilvl w:val="0"/>
                <w:numId w:val="36"/>
              </w:numPr>
              <w:tabs>
                <w:tab w:pos="865" w:val="left" w:leader="none"/>
                <w:tab w:pos="866" w:val="left" w:leader="none"/>
              </w:tabs>
              <w:spacing w:line="273" w:lineRule="auto" w:before="115" w:after="0"/>
              <w:ind w:left="865" w:right="231" w:hanging="735"/>
              <w:jc w:val="left"/>
              <w:rPr>
                <w:sz w:val="21"/>
              </w:rPr>
            </w:pPr>
            <w:r>
              <w:rPr>
                <w:sz w:val="21"/>
              </w:rPr>
              <w:t>自主生活能力完全丧失，无法独立完成六项基本日常生活活动中的三项或三项以上。</w:t>
            </w:r>
          </w:p>
        </w:tc>
      </w:tr>
      <w:tr>
        <w:trPr>
          <w:trHeight w:val="2362" w:hRule="atLeast"/>
        </w:trPr>
        <w:tc>
          <w:tcPr>
            <w:tcW w:w="943" w:type="dxa"/>
          </w:tcPr>
          <w:p>
            <w:pPr>
              <w:pStyle w:val="TableParagraph"/>
              <w:spacing w:before="118"/>
              <w:ind w:right="106"/>
              <w:jc w:val="right"/>
              <w:rPr>
                <w:sz w:val="21"/>
              </w:rPr>
            </w:pPr>
            <w:r>
              <w:rPr>
                <w:sz w:val="21"/>
              </w:rPr>
              <w:t>9.2.18</w:t>
            </w:r>
          </w:p>
        </w:tc>
        <w:tc>
          <w:tcPr>
            <w:tcW w:w="1503" w:type="dxa"/>
          </w:tcPr>
          <w:p>
            <w:pPr>
              <w:pStyle w:val="TableParagraph"/>
              <w:spacing w:before="100"/>
              <w:ind w:left="107"/>
              <w:rPr>
                <w:sz w:val="21"/>
              </w:rPr>
            </w:pPr>
            <w:r>
              <w:rPr>
                <w:sz w:val="21"/>
              </w:rPr>
              <w:t>严重帕金森病</w:t>
            </w:r>
          </w:p>
          <w:p>
            <w:pPr>
              <w:pStyle w:val="TableParagraph"/>
              <w:spacing w:before="12"/>
              <w:ind w:left="107"/>
              <w:rPr>
                <w:sz w:val="24"/>
              </w:rPr>
            </w:pPr>
            <w:r>
              <w:rPr>
                <w:sz w:val="24"/>
              </w:rPr>
              <w:t>*</w:t>
            </w:r>
          </w:p>
        </w:tc>
        <w:tc>
          <w:tcPr>
            <w:tcW w:w="8101" w:type="dxa"/>
          </w:tcPr>
          <w:p>
            <w:pPr>
              <w:pStyle w:val="TableParagraph"/>
              <w:spacing w:line="273" w:lineRule="auto" w:before="118"/>
              <w:ind w:left="130" w:right="177"/>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须满足下列全部条件：</w:t>
            </w:r>
          </w:p>
          <w:p>
            <w:pPr>
              <w:pStyle w:val="TableParagraph"/>
              <w:numPr>
                <w:ilvl w:val="0"/>
                <w:numId w:val="37"/>
              </w:numPr>
              <w:tabs>
                <w:tab w:pos="865" w:val="left" w:leader="none"/>
                <w:tab w:pos="866" w:val="left" w:leader="none"/>
              </w:tabs>
              <w:spacing w:line="240" w:lineRule="auto" w:before="85" w:after="0"/>
              <w:ind w:left="865" w:right="0" w:hanging="735"/>
              <w:jc w:val="left"/>
              <w:rPr>
                <w:sz w:val="21"/>
              </w:rPr>
            </w:pPr>
            <w:r>
              <w:rPr>
                <w:sz w:val="21"/>
              </w:rPr>
              <w:t>药物治疗无法控制病情；</w:t>
            </w:r>
          </w:p>
          <w:p>
            <w:pPr>
              <w:pStyle w:val="TableParagraph"/>
              <w:numPr>
                <w:ilvl w:val="0"/>
                <w:numId w:val="37"/>
              </w:numPr>
              <w:tabs>
                <w:tab w:pos="865" w:val="left" w:leader="none"/>
                <w:tab w:pos="866" w:val="left" w:leader="none"/>
              </w:tabs>
              <w:spacing w:line="273" w:lineRule="auto" w:before="115" w:after="0"/>
              <w:ind w:left="865" w:right="231" w:hanging="735"/>
              <w:jc w:val="left"/>
              <w:rPr>
                <w:sz w:val="21"/>
              </w:rPr>
            </w:pPr>
            <w:r>
              <w:rPr>
                <w:sz w:val="21"/>
              </w:rPr>
              <w:t>自主生活能力完全丧失，无法独立完成六项基本日常生活活动中的三项或三项以上。</w:t>
            </w:r>
          </w:p>
          <w:p>
            <w:pPr>
              <w:pStyle w:val="TableParagraph"/>
              <w:spacing w:before="85"/>
              <w:ind w:left="130"/>
              <w:rPr>
                <w:rFonts w:ascii="黑体" w:eastAsia="黑体" w:hint="eastAsia"/>
                <w:sz w:val="21"/>
              </w:rPr>
            </w:pPr>
            <w:r>
              <w:rPr>
                <w:rFonts w:ascii="黑体" w:eastAsia="黑体" w:hint="eastAsia"/>
                <w:sz w:val="21"/>
              </w:rPr>
              <w:t>继发性帕金森综合征不在保障范围内。</w:t>
            </w:r>
          </w:p>
        </w:tc>
      </w:tr>
      <w:tr>
        <w:trPr>
          <w:trHeight w:val="1184" w:hRule="atLeast"/>
        </w:trPr>
        <w:tc>
          <w:tcPr>
            <w:tcW w:w="943" w:type="dxa"/>
          </w:tcPr>
          <w:p>
            <w:pPr>
              <w:pStyle w:val="TableParagraph"/>
              <w:ind w:right="106"/>
              <w:jc w:val="right"/>
              <w:rPr>
                <w:sz w:val="21"/>
              </w:rPr>
            </w:pPr>
            <w:r>
              <w:rPr>
                <w:sz w:val="21"/>
              </w:rPr>
              <w:t>9.2.19</w:t>
            </w:r>
          </w:p>
        </w:tc>
        <w:tc>
          <w:tcPr>
            <w:tcW w:w="1503" w:type="dxa"/>
          </w:tcPr>
          <w:p>
            <w:pPr>
              <w:pStyle w:val="TableParagraph"/>
              <w:spacing w:line="252" w:lineRule="auto"/>
              <w:ind w:left="107" w:right="129" w:hanging="1"/>
              <w:rPr>
                <w:sz w:val="24"/>
              </w:rPr>
            </w:pPr>
            <w:r>
              <w:rPr>
                <w:sz w:val="21"/>
              </w:rPr>
              <w:t>严重运动神经元病</w:t>
            </w:r>
            <w:r>
              <w:rPr>
                <w:sz w:val="24"/>
              </w:rPr>
              <w:t>*</w:t>
            </w:r>
          </w:p>
        </w:tc>
        <w:tc>
          <w:tcPr>
            <w:tcW w:w="8101" w:type="dxa"/>
          </w:tcPr>
          <w:p>
            <w:pPr>
              <w:pStyle w:val="TableParagraph"/>
              <w:spacing w:line="273" w:lineRule="auto"/>
              <w:ind w:left="130" w:right="234"/>
              <w:jc w:val="both"/>
              <w:rPr>
                <w:sz w:val="21"/>
              </w:rPr>
            </w:pPr>
            <w:r>
              <w:rPr>
                <w:spacing w:val="-2"/>
                <w:sz w:val="21"/>
              </w:rPr>
              <w:t>是一组中枢神经系统运动神经元的进行性变性疾病，包括进行性脊肌萎缩症、进行性</w:t>
            </w:r>
            <w:r>
              <w:rPr>
                <w:spacing w:val="-6"/>
                <w:sz w:val="21"/>
              </w:rPr>
              <w:t>延髓麻痹症、原发性侧索硬化症、肌萎缩性侧索硬化症。须满足自主生活能力完全丧失，无法独立完成六项基本日常生活活动中的三项或三项以上的条件。</w:t>
            </w:r>
          </w:p>
        </w:tc>
      </w:tr>
      <w:tr>
        <w:trPr>
          <w:trHeight w:val="1477" w:hRule="atLeast"/>
        </w:trPr>
        <w:tc>
          <w:tcPr>
            <w:tcW w:w="943" w:type="dxa"/>
          </w:tcPr>
          <w:p>
            <w:pPr>
              <w:pStyle w:val="TableParagraph"/>
              <w:ind w:right="106"/>
              <w:jc w:val="right"/>
              <w:rPr>
                <w:sz w:val="21"/>
              </w:rPr>
            </w:pPr>
            <w:r>
              <w:rPr>
                <w:sz w:val="21"/>
              </w:rPr>
              <w:t>9.2.20</w:t>
            </w:r>
          </w:p>
        </w:tc>
        <w:tc>
          <w:tcPr>
            <w:tcW w:w="1503" w:type="dxa"/>
          </w:tcPr>
          <w:p>
            <w:pPr>
              <w:pStyle w:val="TableParagraph"/>
              <w:ind w:left="107"/>
              <w:rPr>
                <w:sz w:val="21"/>
              </w:rPr>
            </w:pPr>
            <w:r>
              <w:rPr>
                <w:sz w:val="21"/>
              </w:rPr>
              <w:t>语言能力丧失</w:t>
            </w:r>
          </w:p>
          <w:p>
            <w:pPr>
              <w:pStyle w:val="TableParagraph"/>
              <w:spacing w:before="12"/>
              <w:ind w:left="107"/>
              <w:rPr>
                <w:sz w:val="24"/>
              </w:rPr>
            </w:pPr>
            <w:r>
              <w:rPr>
                <w:sz w:val="24"/>
              </w:rPr>
              <w:t>*</w:t>
            </w:r>
          </w:p>
        </w:tc>
        <w:tc>
          <w:tcPr>
            <w:tcW w:w="8101" w:type="dxa"/>
          </w:tcPr>
          <w:p>
            <w:pPr>
              <w:pStyle w:val="TableParagraph"/>
              <w:spacing w:line="273" w:lineRule="auto"/>
              <w:ind w:left="130" w:right="234"/>
              <w:rPr>
                <w:sz w:val="21"/>
              </w:rPr>
            </w:pPr>
            <w:r>
              <w:rPr>
                <w:spacing w:val="-1"/>
                <w:sz w:val="21"/>
              </w:rPr>
              <w:t>指因疾病或意外伤害导致完全丧失语言能力，经过积极治疗至少 </w:t>
            </w:r>
            <w:r>
              <w:rPr>
                <w:sz w:val="21"/>
              </w:rPr>
              <w:t>12</w:t>
            </w:r>
            <w:r>
              <w:rPr>
                <w:spacing w:val="-7"/>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85"/>
              <w:ind w:left="130"/>
              <w:rPr>
                <w:rFonts w:ascii="黑体" w:eastAsia="黑体" w:hint="eastAsia"/>
                <w:sz w:val="21"/>
              </w:rPr>
            </w:pPr>
            <w:r>
              <w:rPr>
                <w:rFonts w:ascii="黑体" w:eastAsia="黑体" w:hint="eastAsia"/>
                <w:sz w:val="21"/>
              </w:rPr>
              <w:t>精神心理因素所致的语言能力丧失不在保障范围内。</w:t>
            </w:r>
          </w:p>
          <w:p>
            <w:pPr>
              <w:pStyle w:val="TableParagraph"/>
              <w:spacing w:line="255" w:lineRule="exact" w:before="114"/>
              <w:ind w:left="130"/>
              <w:rPr>
                <w:rFonts w:ascii="黑体" w:eastAsia="黑体" w:hint="eastAsia"/>
                <w:sz w:val="21"/>
              </w:rPr>
            </w:pPr>
            <w:r>
              <w:rPr>
                <w:rFonts w:ascii="黑体" w:eastAsia="黑体" w:hint="eastAsia"/>
                <w:sz w:val="21"/>
              </w:rPr>
              <w:t>被保险人在 3 周岁之前因疾病导致的语言能力丧失不在保障范围内。</w:t>
            </w:r>
          </w:p>
        </w:tc>
      </w:tr>
    </w:tbl>
    <w:p>
      <w:pPr>
        <w:spacing w:after="0" w:line="255" w:lineRule="exact"/>
        <w:rPr>
          <w:rFonts w:ascii="黑体" w:eastAsia="黑体" w:hint="eastAsia"/>
          <w:sz w:val="21"/>
        </w:rPr>
        <w:sectPr>
          <w:pgSz w:w="11900" w:h="16840"/>
          <w:pgMar w:top="1260" w:bottom="280" w:left="820" w:right="3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2"/>
        <w:gridCol w:w="8170"/>
      </w:tblGrid>
      <w:tr>
        <w:trPr>
          <w:trHeight w:val="1633" w:hRule="atLeast"/>
        </w:trPr>
        <w:tc>
          <w:tcPr>
            <w:tcW w:w="943" w:type="dxa"/>
          </w:tcPr>
          <w:p>
            <w:pPr>
              <w:pStyle w:val="TableParagraph"/>
              <w:spacing w:line="210" w:lineRule="exact" w:before="0"/>
              <w:ind w:right="106"/>
              <w:jc w:val="right"/>
              <w:rPr>
                <w:sz w:val="21"/>
              </w:rPr>
            </w:pPr>
            <w:r>
              <w:rPr>
                <w:sz w:val="21"/>
              </w:rPr>
              <w:t>9.2.21</w:t>
            </w:r>
          </w:p>
        </w:tc>
        <w:tc>
          <w:tcPr>
            <w:tcW w:w="1502" w:type="dxa"/>
          </w:tcPr>
          <w:p>
            <w:pPr>
              <w:pStyle w:val="TableParagraph"/>
              <w:spacing w:line="210" w:lineRule="exact" w:before="0"/>
              <w:ind w:left="107"/>
              <w:rPr>
                <w:sz w:val="21"/>
              </w:rPr>
            </w:pPr>
            <w:r>
              <w:rPr>
                <w:sz w:val="21"/>
              </w:rPr>
              <w:t>严重多发性硬</w:t>
            </w:r>
          </w:p>
          <w:p>
            <w:pPr>
              <w:pStyle w:val="TableParagraph"/>
              <w:spacing w:before="37"/>
              <w:ind w:left="107"/>
              <w:rPr>
                <w:sz w:val="21"/>
              </w:rPr>
            </w:pPr>
            <w:r>
              <w:rPr>
                <w:sz w:val="21"/>
              </w:rPr>
              <w:t>化</w:t>
            </w:r>
          </w:p>
        </w:tc>
        <w:tc>
          <w:tcPr>
            <w:tcW w:w="8170" w:type="dxa"/>
          </w:tcPr>
          <w:p>
            <w:pPr>
              <w:pStyle w:val="TableParagraph"/>
              <w:spacing w:line="210" w:lineRule="exact" w:before="0"/>
              <w:ind w:left="131"/>
              <w:rPr>
                <w:sz w:val="21"/>
              </w:rPr>
            </w:pPr>
            <w:r>
              <w:rPr>
                <w:sz w:val="21"/>
              </w:rPr>
              <w:t>指被保险人因脑及脊髓内的脱髓鞘病变而出现神经系统多灶性（多发性）多时相（至</w:t>
            </w:r>
          </w:p>
          <w:p>
            <w:pPr>
              <w:pStyle w:val="TableParagraph"/>
              <w:spacing w:line="273" w:lineRule="auto" w:before="37"/>
              <w:ind w:left="131" w:right="197"/>
              <w:rPr>
                <w:sz w:val="21"/>
              </w:rPr>
            </w:pPr>
            <w:r>
              <w:rPr>
                <w:spacing w:val="-27"/>
                <w:sz w:val="21"/>
              </w:rPr>
              <w:t>少 </w:t>
            </w:r>
            <w:r>
              <w:rPr>
                <w:sz w:val="21"/>
              </w:rPr>
              <w:t>6</w:t>
            </w:r>
            <w:r>
              <w:rPr>
                <w:spacing w:val="-14"/>
                <w:sz w:val="21"/>
              </w:rPr>
              <w:t> 个月以内有一次以上</w:t>
            </w:r>
            <w:r>
              <w:rPr>
                <w:spacing w:val="-1"/>
                <w:sz w:val="21"/>
              </w:rPr>
              <w:t>（不包含一次</w:t>
            </w:r>
            <w:r>
              <w:rPr>
                <w:spacing w:val="-50"/>
                <w:sz w:val="21"/>
              </w:rPr>
              <w:t>）</w:t>
            </w:r>
            <w:r>
              <w:rPr>
                <w:spacing w:val="-1"/>
                <w:sz w:val="21"/>
              </w:rPr>
              <w:t>的发作</w:t>
            </w:r>
            <w:r>
              <w:rPr>
                <w:spacing w:val="-50"/>
                <w:sz w:val="21"/>
              </w:rPr>
              <w:t>）</w:t>
            </w:r>
            <w:r>
              <w:rPr>
                <w:spacing w:val="-13"/>
                <w:sz w:val="21"/>
              </w:rPr>
              <w:t>的病变，须由计算机断层扫描</w:t>
            </w:r>
            <w:r>
              <w:rPr>
                <w:spacing w:val="-1"/>
                <w:sz w:val="21"/>
              </w:rPr>
              <w:t>（CT</w:t>
            </w:r>
            <w:r>
              <w:rPr>
                <w:spacing w:val="-104"/>
                <w:sz w:val="21"/>
              </w:rPr>
              <w:t>）</w:t>
            </w:r>
            <w:r>
              <w:rPr>
                <w:sz w:val="21"/>
              </w:rPr>
              <w:t>、</w:t>
            </w:r>
            <w:r>
              <w:rPr>
                <w:spacing w:val="-2"/>
                <w:sz w:val="21"/>
              </w:rPr>
              <w:t>核磁共振检查</w:t>
            </w:r>
            <w:r>
              <w:rPr>
                <w:spacing w:val="-3"/>
                <w:sz w:val="21"/>
              </w:rPr>
              <w:t>（MRI）</w:t>
            </w:r>
            <w:r>
              <w:rPr>
                <w:spacing w:val="-1"/>
                <w:sz w:val="21"/>
              </w:rPr>
              <w:t>或正电子发射断层扫描</w:t>
            </w:r>
            <w:r>
              <w:rPr>
                <w:spacing w:val="-3"/>
                <w:sz w:val="21"/>
              </w:rPr>
              <w:t>（PET）</w:t>
            </w:r>
            <w:r>
              <w:rPr>
                <w:spacing w:val="-1"/>
                <w:sz w:val="21"/>
              </w:rPr>
              <w:t>等影像学检查证实，且已经造成自主生活能力完全丧失，无法独立完成六项基本日常生活活动中的三项或三项以上， </w:t>
            </w:r>
            <w:r>
              <w:rPr>
                <w:spacing w:val="-12"/>
                <w:sz w:val="21"/>
              </w:rPr>
              <w:t>持续至少 </w:t>
            </w:r>
            <w:r>
              <w:rPr>
                <w:sz w:val="21"/>
              </w:rPr>
              <w:t>180</w:t>
            </w:r>
            <w:r>
              <w:rPr>
                <w:spacing w:val="-18"/>
                <w:sz w:val="21"/>
              </w:rPr>
              <w:t> 天。</w:t>
            </w:r>
          </w:p>
        </w:tc>
      </w:tr>
      <w:tr>
        <w:trPr>
          <w:trHeight w:val="1651" w:hRule="atLeast"/>
        </w:trPr>
        <w:tc>
          <w:tcPr>
            <w:tcW w:w="943" w:type="dxa"/>
          </w:tcPr>
          <w:p>
            <w:pPr>
              <w:pStyle w:val="TableParagraph"/>
              <w:ind w:right="105"/>
              <w:jc w:val="right"/>
              <w:rPr>
                <w:sz w:val="21"/>
              </w:rPr>
            </w:pPr>
            <w:r>
              <w:rPr>
                <w:sz w:val="21"/>
              </w:rPr>
              <w:t>9.2.22</w:t>
            </w:r>
          </w:p>
        </w:tc>
        <w:tc>
          <w:tcPr>
            <w:tcW w:w="1502" w:type="dxa"/>
          </w:tcPr>
          <w:p>
            <w:pPr>
              <w:pStyle w:val="TableParagraph"/>
              <w:ind w:left="108"/>
              <w:rPr>
                <w:sz w:val="21"/>
              </w:rPr>
            </w:pPr>
            <w:r>
              <w:rPr>
                <w:sz w:val="21"/>
              </w:rPr>
              <w:t>颅脑手术</w:t>
            </w:r>
          </w:p>
        </w:tc>
        <w:tc>
          <w:tcPr>
            <w:tcW w:w="8170" w:type="dxa"/>
          </w:tcPr>
          <w:p>
            <w:pPr>
              <w:pStyle w:val="TableParagraph"/>
              <w:spacing w:line="273" w:lineRule="auto"/>
              <w:ind w:left="131" w:right="303"/>
              <w:rPr>
                <w:sz w:val="21"/>
              </w:rPr>
            </w:pPr>
            <w:r>
              <w:rPr>
                <w:spacing w:val="-1"/>
                <w:sz w:val="21"/>
              </w:rPr>
              <w:t>指被保险人因疾病已经实施了全麻下的开颅手术</w:t>
            </w:r>
            <w:r>
              <w:rPr>
                <w:sz w:val="21"/>
              </w:rPr>
              <w:t>（</w:t>
            </w:r>
            <w:r>
              <w:rPr>
                <w:spacing w:val="-3"/>
                <w:sz w:val="21"/>
              </w:rPr>
              <w:t>以切开硬脑膜为准；不包括颅骨钻孔手术、不包括经鼻蝶窦入颅的手术</w:t>
            </w:r>
            <w:r>
              <w:rPr>
                <w:spacing w:val="-105"/>
                <w:sz w:val="21"/>
              </w:rPr>
              <w:t>）</w:t>
            </w:r>
            <w:r>
              <w:rPr>
                <w:sz w:val="21"/>
              </w:rPr>
              <w:t>。</w:t>
            </w:r>
          </w:p>
          <w:p>
            <w:pPr>
              <w:pStyle w:val="TableParagraph"/>
              <w:spacing w:before="85"/>
              <w:ind w:left="131"/>
              <w:rPr>
                <w:sz w:val="21"/>
              </w:rPr>
            </w:pPr>
            <w:r>
              <w:rPr>
                <w:sz w:val="21"/>
              </w:rPr>
              <w:t>理赔时必须提供由本公司认可的医院的神经外科医生出具的诊断书及手术报告。</w:t>
            </w:r>
          </w:p>
          <w:p>
            <w:pPr>
              <w:pStyle w:val="TableParagraph"/>
              <w:spacing w:before="114"/>
              <w:ind w:left="131"/>
              <w:rPr>
                <w:rFonts w:ascii="黑体" w:eastAsia="黑体" w:hint="eastAsia"/>
                <w:sz w:val="21"/>
              </w:rPr>
            </w:pPr>
            <w:r>
              <w:rPr>
                <w:rFonts w:ascii="黑体" w:eastAsia="黑体" w:hint="eastAsia"/>
                <w:sz w:val="21"/>
              </w:rPr>
              <w:t>因外伤而实施的颅脑手术不在保障范围内。</w:t>
            </w:r>
          </w:p>
        </w:tc>
      </w:tr>
      <w:tr>
        <w:trPr>
          <w:trHeight w:val="2275" w:hRule="atLeast"/>
        </w:trPr>
        <w:tc>
          <w:tcPr>
            <w:tcW w:w="943" w:type="dxa"/>
          </w:tcPr>
          <w:p>
            <w:pPr>
              <w:pStyle w:val="TableParagraph"/>
              <w:ind w:right="106"/>
              <w:jc w:val="right"/>
              <w:rPr>
                <w:sz w:val="21"/>
              </w:rPr>
            </w:pPr>
            <w:r>
              <w:rPr>
                <w:sz w:val="21"/>
              </w:rPr>
              <w:t>9.2.23</w:t>
            </w:r>
          </w:p>
        </w:tc>
        <w:tc>
          <w:tcPr>
            <w:tcW w:w="1502" w:type="dxa"/>
          </w:tcPr>
          <w:p>
            <w:pPr>
              <w:pStyle w:val="TableParagraph"/>
              <w:ind w:left="107"/>
              <w:rPr>
                <w:sz w:val="21"/>
              </w:rPr>
            </w:pPr>
            <w:r>
              <w:rPr>
                <w:sz w:val="21"/>
              </w:rPr>
              <w:t>重症肌无力</w:t>
            </w:r>
          </w:p>
        </w:tc>
        <w:tc>
          <w:tcPr>
            <w:tcW w:w="8170" w:type="dxa"/>
          </w:tcPr>
          <w:p>
            <w:pPr>
              <w:pStyle w:val="TableParagraph"/>
              <w:spacing w:line="273" w:lineRule="auto"/>
              <w:ind w:left="131" w:right="302"/>
              <w:jc w:val="both"/>
              <w:rPr>
                <w:rFonts w:ascii="黑体" w:eastAsia="黑体" w:hint="eastAsia"/>
                <w:sz w:val="21"/>
              </w:rPr>
            </w:pPr>
            <w:r>
              <w:rPr>
                <w:spacing w:val="-2"/>
                <w:sz w:val="21"/>
              </w:rPr>
              <w:t>指一种神经与肌肉接头部位传递障碍的自身免疫性疾病，临床特征是局部或全身横纹</w:t>
            </w:r>
            <w:r>
              <w:rPr>
                <w:spacing w:val="-5"/>
                <w:sz w:val="21"/>
              </w:rPr>
              <w:t>肌于活动时易于疲劳无力，颅神经眼外肌最易累及，也可涉及呼吸肌、下肢近端肌群</w:t>
            </w:r>
            <w:r>
              <w:rPr>
                <w:spacing w:val="-1"/>
                <w:sz w:val="21"/>
              </w:rPr>
              <w:t>以至全身肌肉。</w:t>
            </w:r>
            <w:r>
              <w:rPr>
                <w:rFonts w:ascii="黑体" w:eastAsia="黑体" w:hint="eastAsia"/>
                <w:sz w:val="21"/>
              </w:rPr>
              <w:t>并须满足下列全部条件：</w:t>
            </w:r>
          </w:p>
          <w:p>
            <w:pPr>
              <w:pStyle w:val="TableParagraph"/>
              <w:numPr>
                <w:ilvl w:val="0"/>
                <w:numId w:val="38"/>
              </w:numPr>
              <w:tabs>
                <w:tab w:pos="866" w:val="left" w:leader="none"/>
                <w:tab w:pos="867" w:val="left" w:leader="none"/>
              </w:tabs>
              <w:spacing w:line="240" w:lineRule="auto" w:before="86" w:after="0"/>
              <w:ind w:left="866" w:right="0" w:hanging="735"/>
              <w:jc w:val="left"/>
              <w:rPr>
                <w:sz w:val="21"/>
              </w:rPr>
            </w:pPr>
            <w:r>
              <w:rPr>
                <w:sz w:val="21"/>
              </w:rPr>
              <w:t>经药物治疗和胸腺手术治疗一年以上无法控制病情；</w:t>
            </w:r>
          </w:p>
          <w:p>
            <w:pPr>
              <w:pStyle w:val="TableParagraph"/>
              <w:numPr>
                <w:ilvl w:val="0"/>
                <w:numId w:val="38"/>
              </w:numPr>
              <w:tabs>
                <w:tab w:pos="866" w:val="left" w:leader="none"/>
                <w:tab w:pos="867" w:val="left" w:leader="none"/>
              </w:tabs>
              <w:spacing w:line="273" w:lineRule="auto" w:before="115" w:after="0"/>
              <w:ind w:left="866" w:right="299" w:hanging="735"/>
              <w:jc w:val="left"/>
              <w:rPr>
                <w:sz w:val="21"/>
              </w:rPr>
            </w:pPr>
            <w:r>
              <w:rPr>
                <w:sz w:val="21"/>
              </w:rPr>
              <w:t>自主生活能力完全丧失，无法独立完成六项基本日常生活活动中的三项或三项以上。</w:t>
            </w:r>
          </w:p>
        </w:tc>
      </w:tr>
      <w:tr>
        <w:trPr>
          <w:trHeight w:val="1964" w:hRule="atLeast"/>
        </w:trPr>
        <w:tc>
          <w:tcPr>
            <w:tcW w:w="943" w:type="dxa"/>
          </w:tcPr>
          <w:p>
            <w:pPr>
              <w:pStyle w:val="TableParagraph"/>
              <w:ind w:right="106"/>
              <w:jc w:val="right"/>
              <w:rPr>
                <w:sz w:val="21"/>
              </w:rPr>
            </w:pPr>
            <w:r>
              <w:rPr>
                <w:sz w:val="21"/>
              </w:rPr>
              <w:t>9.2.24</w:t>
            </w:r>
          </w:p>
        </w:tc>
        <w:tc>
          <w:tcPr>
            <w:tcW w:w="1502" w:type="dxa"/>
          </w:tcPr>
          <w:p>
            <w:pPr>
              <w:pStyle w:val="TableParagraph"/>
              <w:spacing w:line="273" w:lineRule="auto"/>
              <w:ind w:left="107" w:right="128" w:hanging="1"/>
              <w:rPr>
                <w:sz w:val="21"/>
              </w:rPr>
            </w:pPr>
            <w:r>
              <w:rPr>
                <w:sz w:val="21"/>
              </w:rPr>
              <w:t>持续植物人状态</w:t>
            </w:r>
          </w:p>
        </w:tc>
        <w:tc>
          <w:tcPr>
            <w:tcW w:w="8170" w:type="dxa"/>
          </w:tcPr>
          <w:p>
            <w:pPr>
              <w:pStyle w:val="TableParagraph"/>
              <w:spacing w:line="273" w:lineRule="auto"/>
              <w:ind w:left="131" w:right="302"/>
              <w:jc w:val="both"/>
              <w:rPr>
                <w:sz w:val="21"/>
              </w:rPr>
            </w:pPr>
            <w:r>
              <w:rPr>
                <w:spacing w:val="-2"/>
                <w:sz w:val="21"/>
              </w:rPr>
              <w:t>指因疾病或意外伤害导致被保险人躯体反射和自主反射全部丧失的深昏迷，但呼吸和</w:t>
            </w:r>
            <w:r>
              <w:rPr>
                <w:spacing w:val="-5"/>
                <w:sz w:val="21"/>
              </w:rPr>
              <w:t>心跳是正常的，此时完全依赖支持疗法</w:t>
            </w:r>
            <w:r>
              <w:rPr>
                <w:sz w:val="21"/>
              </w:rPr>
              <w:t>（</w:t>
            </w:r>
            <w:r>
              <w:rPr>
                <w:spacing w:val="-2"/>
                <w:sz w:val="21"/>
              </w:rPr>
              <w:t>如流质食物、静脉注射营养液等</w:t>
            </w:r>
            <w:r>
              <w:rPr>
                <w:spacing w:val="-9"/>
                <w:sz w:val="21"/>
              </w:rPr>
              <w:t>）</w:t>
            </w:r>
            <w:r>
              <w:rPr>
                <w:sz w:val="21"/>
              </w:rPr>
              <w:t>维持生命的临床状态。并须满足下列全部条件：</w:t>
            </w:r>
          </w:p>
          <w:p>
            <w:pPr>
              <w:pStyle w:val="TableParagraph"/>
              <w:numPr>
                <w:ilvl w:val="0"/>
                <w:numId w:val="39"/>
              </w:numPr>
              <w:tabs>
                <w:tab w:pos="867" w:val="left" w:leader="none"/>
              </w:tabs>
              <w:spacing w:line="240" w:lineRule="auto" w:before="85" w:after="0"/>
              <w:ind w:left="866" w:right="0" w:hanging="735"/>
              <w:jc w:val="both"/>
              <w:rPr>
                <w:sz w:val="21"/>
              </w:rPr>
            </w:pPr>
            <w:r>
              <w:rPr>
                <w:spacing w:val="-4"/>
                <w:sz w:val="21"/>
              </w:rPr>
              <w:t>诊断为植物人状态后并继续维持治疗 </w:t>
            </w:r>
            <w:r>
              <w:rPr>
                <w:sz w:val="21"/>
              </w:rPr>
              <w:t>30</w:t>
            </w:r>
            <w:r>
              <w:rPr>
                <w:spacing w:val="-14"/>
                <w:sz w:val="21"/>
              </w:rPr>
              <w:t> 天以上；</w:t>
            </w:r>
          </w:p>
          <w:p>
            <w:pPr>
              <w:pStyle w:val="TableParagraph"/>
              <w:numPr>
                <w:ilvl w:val="0"/>
                <w:numId w:val="39"/>
              </w:numPr>
              <w:tabs>
                <w:tab w:pos="867" w:val="left" w:leader="none"/>
              </w:tabs>
              <w:spacing w:line="240" w:lineRule="auto" w:before="114" w:after="0"/>
              <w:ind w:left="866" w:right="0" w:hanging="735"/>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5"/>
                <w:sz w:val="21"/>
              </w:rPr>
              <w:t>）</w:t>
            </w:r>
            <w:r>
              <w:rPr>
                <w:sz w:val="21"/>
              </w:rPr>
              <w:t>。</w:t>
            </w:r>
          </w:p>
        </w:tc>
      </w:tr>
      <w:tr>
        <w:trPr>
          <w:trHeight w:val="2041" w:hRule="atLeast"/>
        </w:trPr>
        <w:tc>
          <w:tcPr>
            <w:tcW w:w="943" w:type="dxa"/>
          </w:tcPr>
          <w:p>
            <w:pPr>
              <w:pStyle w:val="TableParagraph"/>
              <w:ind w:right="106"/>
              <w:jc w:val="right"/>
              <w:rPr>
                <w:sz w:val="21"/>
              </w:rPr>
            </w:pPr>
            <w:r>
              <w:rPr>
                <w:sz w:val="21"/>
              </w:rPr>
              <w:t>9.2.25</w:t>
            </w:r>
          </w:p>
        </w:tc>
        <w:tc>
          <w:tcPr>
            <w:tcW w:w="1502" w:type="dxa"/>
          </w:tcPr>
          <w:p>
            <w:pPr>
              <w:pStyle w:val="TableParagraph"/>
              <w:spacing w:line="273" w:lineRule="auto"/>
              <w:ind w:left="107" w:right="128" w:hanging="1"/>
              <w:rPr>
                <w:sz w:val="21"/>
              </w:rPr>
            </w:pPr>
            <w:r>
              <w:rPr>
                <w:sz w:val="21"/>
              </w:rPr>
              <w:t>进行性核上性麻痹</w:t>
            </w:r>
          </w:p>
        </w:tc>
        <w:tc>
          <w:tcPr>
            <w:tcW w:w="8170" w:type="dxa"/>
          </w:tcPr>
          <w:p>
            <w:pPr>
              <w:pStyle w:val="TableParagraph"/>
              <w:spacing w:line="273" w:lineRule="auto"/>
              <w:ind w:left="131" w:right="245"/>
              <w:rPr>
                <w:rFonts w:ascii="黑体" w:eastAsia="黑体" w:hint="eastAsia"/>
                <w:sz w:val="21"/>
              </w:rPr>
            </w:pPr>
            <w:r>
              <w:rPr>
                <w:sz w:val="21"/>
              </w:rPr>
              <w:t>指一种隐袭起病、逐渐加重的神经系统变性疾病，本疾病必须由本公司认可的医院的神经科专科医生确诊，</w:t>
            </w:r>
            <w:r>
              <w:rPr>
                <w:rFonts w:ascii="黑体" w:eastAsia="黑体" w:hint="eastAsia"/>
                <w:sz w:val="21"/>
              </w:rPr>
              <w:t>并须满足下列全部临床特征：</w:t>
            </w:r>
          </w:p>
          <w:p>
            <w:pPr>
              <w:pStyle w:val="TableParagraph"/>
              <w:numPr>
                <w:ilvl w:val="0"/>
                <w:numId w:val="40"/>
              </w:numPr>
              <w:tabs>
                <w:tab w:pos="866" w:val="left" w:leader="none"/>
                <w:tab w:pos="867" w:val="left" w:leader="none"/>
              </w:tabs>
              <w:spacing w:line="240" w:lineRule="auto" w:before="85" w:after="0"/>
              <w:ind w:left="866" w:right="0" w:hanging="735"/>
              <w:jc w:val="left"/>
              <w:rPr>
                <w:sz w:val="21"/>
              </w:rPr>
            </w:pPr>
            <w:r>
              <w:rPr>
                <w:sz w:val="21"/>
              </w:rPr>
              <w:t>共济失调；</w:t>
            </w:r>
          </w:p>
          <w:p>
            <w:pPr>
              <w:pStyle w:val="TableParagraph"/>
              <w:numPr>
                <w:ilvl w:val="0"/>
                <w:numId w:val="40"/>
              </w:numPr>
              <w:tabs>
                <w:tab w:pos="866" w:val="left" w:leader="none"/>
                <w:tab w:pos="867" w:val="left" w:leader="none"/>
              </w:tabs>
              <w:spacing w:line="240" w:lineRule="auto" w:before="114" w:after="0"/>
              <w:ind w:left="866" w:right="0" w:hanging="735"/>
              <w:jc w:val="left"/>
              <w:rPr>
                <w:sz w:val="21"/>
              </w:rPr>
            </w:pPr>
            <w:r>
              <w:rPr>
                <w:sz w:val="21"/>
              </w:rPr>
              <w:t>对称性眼球垂直运动障碍；</w:t>
            </w:r>
          </w:p>
          <w:p>
            <w:pPr>
              <w:pStyle w:val="TableParagraph"/>
              <w:numPr>
                <w:ilvl w:val="0"/>
                <w:numId w:val="40"/>
              </w:numPr>
              <w:tabs>
                <w:tab w:pos="866" w:val="left" w:leader="none"/>
                <w:tab w:pos="867" w:val="left" w:leader="none"/>
              </w:tabs>
              <w:spacing w:line="240" w:lineRule="auto" w:before="114" w:after="0"/>
              <w:ind w:left="866" w:right="0" w:hanging="735"/>
              <w:jc w:val="left"/>
              <w:rPr>
                <w:sz w:val="21"/>
              </w:rPr>
            </w:pPr>
            <w:r>
              <w:rPr>
                <w:sz w:val="21"/>
              </w:rPr>
              <w:t>假性球麻痹（构音障碍和吞咽困难</w:t>
            </w:r>
            <w:r>
              <w:rPr>
                <w:spacing w:val="-106"/>
                <w:sz w:val="21"/>
              </w:rPr>
              <w:t>）</w:t>
            </w:r>
            <w:r>
              <w:rPr>
                <w:sz w:val="21"/>
              </w:rPr>
              <w:t>。</w:t>
            </w:r>
          </w:p>
        </w:tc>
      </w:tr>
      <w:tr>
        <w:trPr>
          <w:trHeight w:val="2197" w:hRule="atLeast"/>
        </w:trPr>
        <w:tc>
          <w:tcPr>
            <w:tcW w:w="943" w:type="dxa"/>
          </w:tcPr>
          <w:p>
            <w:pPr>
              <w:pStyle w:val="TableParagraph"/>
              <w:spacing w:before="109"/>
              <w:ind w:right="106"/>
              <w:jc w:val="right"/>
              <w:rPr>
                <w:sz w:val="21"/>
              </w:rPr>
            </w:pPr>
            <w:r>
              <w:rPr>
                <w:sz w:val="21"/>
              </w:rPr>
              <w:t>9.2.26</w:t>
            </w:r>
          </w:p>
        </w:tc>
        <w:tc>
          <w:tcPr>
            <w:tcW w:w="1502" w:type="dxa"/>
          </w:tcPr>
          <w:p>
            <w:pPr>
              <w:pStyle w:val="TableParagraph"/>
              <w:spacing w:line="273" w:lineRule="auto" w:before="109"/>
              <w:ind w:left="107" w:right="128" w:hanging="1"/>
              <w:jc w:val="both"/>
              <w:rPr>
                <w:sz w:val="21"/>
              </w:rPr>
            </w:pPr>
            <w:r>
              <w:rPr>
                <w:sz w:val="21"/>
              </w:rPr>
              <w:t>非阿尔茨海默病所致严重痴呆</w:t>
            </w:r>
          </w:p>
        </w:tc>
        <w:tc>
          <w:tcPr>
            <w:tcW w:w="8170" w:type="dxa"/>
          </w:tcPr>
          <w:p>
            <w:pPr>
              <w:pStyle w:val="TableParagraph"/>
              <w:spacing w:line="273" w:lineRule="auto" w:before="109"/>
              <w:ind w:left="131" w:right="301"/>
              <w:jc w:val="both"/>
              <w:rPr>
                <w:sz w:val="21"/>
              </w:rPr>
            </w:pPr>
            <w:r>
              <w:rPr>
                <w:spacing w:val="0"/>
                <w:sz w:val="21"/>
              </w:rPr>
              <w:t>指因阿尔茨海默病以外的脑的器质性疾病造成脑功能衰竭导致永久不可逆性严重痴</w:t>
            </w:r>
            <w:r>
              <w:rPr>
                <w:spacing w:val="-5"/>
                <w:sz w:val="21"/>
              </w:rPr>
              <w:t>呆，临床表现为明显的认知能力障碍、行为异常和社交能力减退。被保险人自主生活</w:t>
            </w:r>
            <w:r>
              <w:rPr>
                <w:spacing w:val="-8"/>
                <w:sz w:val="21"/>
              </w:rPr>
              <w:t>能力完全丧失，无法独立完成六项基本日常生活活动中的三项或三项以上，日常生活</w:t>
            </w:r>
            <w:r>
              <w:rPr>
                <w:spacing w:val="-11"/>
                <w:sz w:val="21"/>
              </w:rPr>
              <w:t>必须持续受到他人监护。导致痴呆的疾病必须明确诊断，并且由完整的临床、实验室和影像学检查结果证实。</w:t>
            </w:r>
          </w:p>
          <w:p>
            <w:pPr>
              <w:pStyle w:val="TableParagraph"/>
              <w:spacing w:before="85"/>
              <w:ind w:left="131"/>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1184" w:hRule="atLeast"/>
        </w:trPr>
        <w:tc>
          <w:tcPr>
            <w:tcW w:w="943" w:type="dxa"/>
          </w:tcPr>
          <w:p>
            <w:pPr>
              <w:pStyle w:val="TableParagraph"/>
              <w:ind w:right="105"/>
              <w:jc w:val="right"/>
              <w:rPr>
                <w:sz w:val="21"/>
              </w:rPr>
            </w:pPr>
            <w:r>
              <w:rPr>
                <w:sz w:val="21"/>
              </w:rPr>
              <w:t>9.2.27</w:t>
            </w:r>
          </w:p>
        </w:tc>
        <w:tc>
          <w:tcPr>
            <w:tcW w:w="1502" w:type="dxa"/>
          </w:tcPr>
          <w:p>
            <w:pPr>
              <w:pStyle w:val="TableParagraph"/>
              <w:ind w:left="108"/>
              <w:rPr>
                <w:sz w:val="21"/>
              </w:rPr>
            </w:pPr>
            <w:r>
              <w:rPr>
                <w:sz w:val="21"/>
              </w:rPr>
              <w:t>克雅氏病</w:t>
            </w:r>
          </w:p>
        </w:tc>
        <w:tc>
          <w:tcPr>
            <w:tcW w:w="8170" w:type="dxa"/>
          </w:tcPr>
          <w:p>
            <w:pPr>
              <w:pStyle w:val="TableParagraph"/>
              <w:spacing w:line="273" w:lineRule="auto"/>
              <w:ind w:left="131" w:right="302"/>
              <w:jc w:val="both"/>
              <w:rPr>
                <w:sz w:val="21"/>
              </w:rPr>
            </w:pPr>
            <w:r>
              <w:rPr>
                <w:spacing w:val="-2"/>
                <w:sz w:val="21"/>
              </w:rPr>
              <w:t>是一种由动物传染而来的中枢神经系统变性性疾病，大脑呈海绵状改变伴神经元缺失</w:t>
            </w:r>
            <w:r>
              <w:rPr>
                <w:spacing w:val="-7"/>
                <w:sz w:val="21"/>
              </w:rPr>
              <w:t>和胶质化。临床表现为进行性痴呆、不随意运动及抽搐、行动困难等。克雅氏病必须由权威医疗机构根据致病蛋白的发现而明确诊断。</w:t>
            </w:r>
          </w:p>
        </w:tc>
      </w:tr>
      <w:tr>
        <w:trPr>
          <w:trHeight w:val="1087" w:hRule="atLeast"/>
        </w:trPr>
        <w:tc>
          <w:tcPr>
            <w:tcW w:w="943" w:type="dxa"/>
          </w:tcPr>
          <w:p>
            <w:pPr>
              <w:pStyle w:val="TableParagraph"/>
              <w:ind w:right="106"/>
              <w:jc w:val="right"/>
              <w:rPr>
                <w:sz w:val="21"/>
              </w:rPr>
            </w:pPr>
            <w:r>
              <w:rPr>
                <w:sz w:val="21"/>
              </w:rPr>
              <w:t>9.2.28</w:t>
            </w:r>
          </w:p>
        </w:tc>
        <w:tc>
          <w:tcPr>
            <w:tcW w:w="1502" w:type="dxa"/>
          </w:tcPr>
          <w:p>
            <w:pPr>
              <w:pStyle w:val="TableParagraph"/>
              <w:spacing w:line="252" w:lineRule="auto"/>
              <w:ind w:left="107" w:right="128" w:hanging="1"/>
              <w:rPr>
                <w:sz w:val="24"/>
              </w:rPr>
            </w:pPr>
            <w:r>
              <w:rPr>
                <w:sz w:val="21"/>
              </w:rPr>
              <w:t>急性或亚急性重症肝炎</w:t>
            </w:r>
            <w:r>
              <w:rPr>
                <w:sz w:val="24"/>
              </w:rPr>
              <w:t>*</w:t>
            </w:r>
          </w:p>
        </w:tc>
        <w:tc>
          <w:tcPr>
            <w:tcW w:w="8170" w:type="dxa"/>
          </w:tcPr>
          <w:p>
            <w:pPr>
              <w:pStyle w:val="TableParagraph"/>
              <w:spacing w:line="273" w:lineRule="auto"/>
              <w:ind w:left="131" w:right="245"/>
              <w:rPr>
                <w:rFonts w:ascii="黑体" w:eastAsia="黑体" w:hint="eastAsia"/>
                <w:sz w:val="21"/>
              </w:rPr>
            </w:pPr>
            <w:r>
              <w:rPr>
                <w:sz w:val="21"/>
              </w:rPr>
              <w:t>指因肝炎病毒感染引起肝脏组织弥漫性坏死，导致急性肝功能衰竭，且经血清学或病毒学检查证实，</w:t>
            </w:r>
            <w:r>
              <w:rPr>
                <w:rFonts w:ascii="黑体" w:eastAsia="黑体" w:hint="eastAsia"/>
                <w:sz w:val="21"/>
              </w:rPr>
              <w:t>并须满足下列全部条件：</w:t>
            </w:r>
          </w:p>
          <w:p>
            <w:pPr>
              <w:pStyle w:val="TableParagraph"/>
              <w:spacing w:line="255" w:lineRule="exact" w:before="85"/>
              <w:ind w:left="131"/>
              <w:rPr>
                <w:sz w:val="21"/>
              </w:rPr>
            </w:pPr>
            <w:r>
              <w:rPr>
                <w:sz w:val="21"/>
              </w:rPr>
              <w:t>（1） 重度黄疸或黄疸迅速加重；</w:t>
            </w:r>
          </w:p>
        </w:tc>
      </w:tr>
    </w:tbl>
    <w:p>
      <w:pPr>
        <w:spacing w:after="0" w:line="255" w:lineRule="exact"/>
        <w:rPr>
          <w:sz w:val="21"/>
        </w:rPr>
        <w:sectPr>
          <w:pgSz w:w="11900" w:h="16840"/>
          <w:pgMar w:top="1260" w:bottom="280" w:left="820" w:right="2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0"/>
        <w:gridCol w:w="8070"/>
      </w:tblGrid>
      <w:tr>
        <w:trPr>
          <w:trHeight w:val="1135" w:hRule="atLeast"/>
        </w:trPr>
        <w:tc>
          <w:tcPr>
            <w:tcW w:w="943" w:type="dxa"/>
          </w:tcPr>
          <w:p>
            <w:pPr>
              <w:pStyle w:val="TableParagraph"/>
              <w:spacing w:before="0"/>
              <w:rPr>
                <w:rFonts w:ascii="Times New Roman"/>
                <w:sz w:val="20"/>
              </w:rPr>
            </w:pPr>
          </w:p>
        </w:tc>
        <w:tc>
          <w:tcPr>
            <w:tcW w:w="1500" w:type="dxa"/>
          </w:tcPr>
          <w:p>
            <w:pPr>
              <w:pStyle w:val="TableParagraph"/>
              <w:spacing w:before="0"/>
              <w:rPr>
                <w:rFonts w:ascii="Times New Roman"/>
                <w:sz w:val="20"/>
              </w:rPr>
            </w:pPr>
          </w:p>
        </w:tc>
        <w:tc>
          <w:tcPr>
            <w:tcW w:w="8070" w:type="dxa"/>
          </w:tcPr>
          <w:p>
            <w:pPr>
              <w:pStyle w:val="TableParagraph"/>
              <w:numPr>
                <w:ilvl w:val="0"/>
                <w:numId w:val="41"/>
              </w:numPr>
              <w:tabs>
                <w:tab w:pos="763" w:val="left" w:leader="none"/>
              </w:tabs>
              <w:spacing w:line="210" w:lineRule="exact" w:before="0" w:after="0"/>
              <w:ind w:left="763" w:right="0" w:hanging="630"/>
              <w:jc w:val="left"/>
              <w:rPr>
                <w:sz w:val="21"/>
              </w:rPr>
            </w:pPr>
            <w:r>
              <w:rPr>
                <w:sz w:val="21"/>
              </w:rPr>
              <w:t>肝性脑病；</w:t>
            </w:r>
          </w:p>
          <w:p>
            <w:pPr>
              <w:pStyle w:val="TableParagraph"/>
              <w:numPr>
                <w:ilvl w:val="0"/>
                <w:numId w:val="41"/>
              </w:numPr>
              <w:tabs>
                <w:tab w:pos="763" w:val="left" w:leader="none"/>
              </w:tabs>
              <w:spacing w:line="240" w:lineRule="auto" w:before="115" w:after="0"/>
              <w:ind w:left="763" w:right="0" w:hanging="630"/>
              <w:jc w:val="left"/>
              <w:rPr>
                <w:sz w:val="21"/>
              </w:rPr>
            </w:pPr>
            <w:r>
              <w:rPr>
                <w:sz w:val="21"/>
              </w:rPr>
              <w:t>B</w:t>
            </w:r>
            <w:r>
              <w:rPr>
                <w:spacing w:val="-8"/>
                <w:sz w:val="21"/>
              </w:rPr>
              <w:t> 超或其它影像学检查显示肝脏体积急速萎缩；</w:t>
            </w:r>
          </w:p>
          <w:p>
            <w:pPr>
              <w:pStyle w:val="TableParagraph"/>
              <w:numPr>
                <w:ilvl w:val="0"/>
                <w:numId w:val="41"/>
              </w:numPr>
              <w:tabs>
                <w:tab w:pos="763" w:val="left" w:leader="none"/>
              </w:tabs>
              <w:spacing w:line="240" w:lineRule="auto" w:before="94" w:after="0"/>
              <w:ind w:left="763" w:right="0" w:hanging="630"/>
              <w:jc w:val="left"/>
              <w:rPr>
                <w:sz w:val="21"/>
              </w:rPr>
            </w:pPr>
            <w:r>
              <w:rPr>
                <w:sz w:val="21"/>
              </w:rPr>
              <w:t>肝功能指标进行性恶化。</w:t>
            </w:r>
          </w:p>
        </w:tc>
      </w:tr>
      <w:tr>
        <w:trPr>
          <w:trHeight w:val="2537" w:hRule="atLeast"/>
        </w:trPr>
        <w:tc>
          <w:tcPr>
            <w:tcW w:w="943" w:type="dxa"/>
          </w:tcPr>
          <w:p>
            <w:pPr>
              <w:pStyle w:val="TableParagraph"/>
              <w:spacing w:before="100"/>
              <w:ind w:right="106"/>
              <w:jc w:val="right"/>
              <w:rPr>
                <w:sz w:val="21"/>
              </w:rPr>
            </w:pPr>
            <w:r>
              <w:rPr>
                <w:sz w:val="21"/>
              </w:rPr>
              <w:t>9.2.29</w:t>
            </w:r>
          </w:p>
        </w:tc>
        <w:tc>
          <w:tcPr>
            <w:tcW w:w="1500" w:type="dxa"/>
          </w:tcPr>
          <w:p>
            <w:pPr>
              <w:pStyle w:val="TableParagraph"/>
              <w:spacing w:line="252" w:lineRule="auto" w:before="100"/>
              <w:ind w:left="107" w:right="126" w:hanging="1"/>
              <w:rPr>
                <w:sz w:val="24"/>
              </w:rPr>
            </w:pPr>
            <w:r>
              <w:rPr>
                <w:sz w:val="21"/>
              </w:rPr>
              <w:t>慢性肝功能衰竭失代偿期</w:t>
            </w:r>
            <w:r>
              <w:rPr>
                <w:sz w:val="24"/>
              </w:rPr>
              <w:t>*</w:t>
            </w:r>
          </w:p>
        </w:tc>
        <w:tc>
          <w:tcPr>
            <w:tcW w:w="8070" w:type="dxa"/>
          </w:tcPr>
          <w:p>
            <w:pPr>
              <w:pStyle w:val="TableParagraph"/>
              <w:spacing w:before="101"/>
              <w:ind w:left="133"/>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42"/>
              </w:numPr>
              <w:tabs>
                <w:tab w:pos="868" w:val="left" w:leader="none"/>
                <w:tab w:pos="869" w:val="left" w:leader="none"/>
              </w:tabs>
              <w:spacing w:line="240" w:lineRule="auto" w:before="115" w:after="0"/>
              <w:ind w:left="868" w:right="0" w:hanging="735"/>
              <w:jc w:val="left"/>
              <w:rPr>
                <w:sz w:val="21"/>
              </w:rPr>
            </w:pPr>
            <w:r>
              <w:rPr>
                <w:sz w:val="21"/>
              </w:rPr>
              <w:t>持续性黄疸；</w:t>
            </w:r>
          </w:p>
          <w:p>
            <w:pPr>
              <w:pStyle w:val="TableParagraph"/>
              <w:numPr>
                <w:ilvl w:val="0"/>
                <w:numId w:val="42"/>
              </w:numPr>
              <w:tabs>
                <w:tab w:pos="868" w:val="left" w:leader="none"/>
                <w:tab w:pos="869" w:val="left" w:leader="none"/>
              </w:tabs>
              <w:spacing w:line="240" w:lineRule="auto" w:before="115" w:after="0"/>
              <w:ind w:left="868" w:right="0" w:hanging="735"/>
              <w:jc w:val="left"/>
              <w:rPr>
                <w:sz w:val="21"/>
              </w:rPr>
            </w:pPr>
            <w:r>
              <w:rPr>
                <w:sz w:val="21"/>
              </w:rPr>
              <w:t>腹水；</w:t>
            </w:r>
          </w:p>
          <w:p>
            <w:pPr>
              <w:pStyle w:val="TableParagraph"/>
              <w:numPr>
                <w:ilvl w:val="0"/>
                <w:numId w:val="42"/>
              </w:numPr>
              <w:tabs>
                <w:tab w:pos="868" w:val="left" w:leader="none"/>
                <w:tab w:pos="869" w:val="left" w:leader="none"/>
              </w:tabs>
              <w:spacing w:line="240" w:lineRule="auto" w:before="115" w:after="0"/>
              <w:ind w:left="868" w:right="0" w:hanging="735"/>
              <w:jc w:val="left"/>
              <w:rPr>
                <w:sz w:val="21"/>
              </w:rPr>
            </w:pPr>
            <w:r>
              <w:rPr>
                <w:sz w:val="21"/>
              </w:rPr>
              <w:t>肝性脑病；</w:t>
            </w:r>
          </w:p>
          <w:p>
            <w:pPr>
              <w:pStyle w:val="TableParagraph"/>
              <w:numPr>
                <w:ilvl w:val="0"/>
                <w:numId w:val="42"/>
              </w:numPr>
              <w:tabs>
                <w:tab w:pos="868" w:val="left" w:leader="none"/>
                <w:tab w:pos="869" w:val="left" w:leader="none"/>
              </w:tabs>
              <w:spacing w:line="240" w:lineRule="auto" w:before="115" w:after="0"/>
              <w:ind w:left="868" w:right="0" w:hanging="735"/>
              <w:jc w:val="left"/>
              <w:rPr>
                <w:sz w:val="21"/>
              </w:rPr>
            </w:pPr>
            <w:r>
              <w:rPr>
                <w:sz w:val="21"/>
              </w:rPr>
              <w:t>充血性脾肿大伴脾功能亢进或食管胃底静脉曲张。</w:t>
            </w:r>
          </w:p>
          <w:p>
            <w:pPr>
              <w:pStyle w:val="TableParagraph"/>
              <w:spacing w:before="115"/>
              <w:ind w:left="133"/>
              <w:rPr>
                <w:rFonts w:ascii="黑体" w:eastAsia="黑体" w:hint="eastAsia"/>
                <w:sz w:val="21"/>
              </w:rPr>
            </w:pPr>
            <w:r>
              <w:rPr>
                <w:rFonts w:ascii="黑体" w:eastAsia="黑体" w:hint="eastAsia"/>
                <w:sz w:val="21"/>
              </w:rPr>
              <w:t>因酗酒或药物滥用导致的肝功能衰竭不在保障范围内。</w:t>
            </w:r>
          </w:p>
        </w:tc>
      </w:tr>
      <w:tr>
        <w:trPr>
          <w:trHeight w:val="1298" w:hRule="atLeast"/>
        </w:trPr>
        <w:tc>
          <w:tcPr>
            <w:tcW w:w="943" w:type="dxa"/>
          </w:tcPr>
          <w:p>
            <w:pPr>
              <w:pStyle w:val="TableParagraph"/>
              <w:spacing w:before="147"/>
              <w:ind w:right="106"/>
              <w:jc w:val="right"/>
              <w:rPr>
                <w:sz w:val="21"/>
              </w:rPr>
            </w:pPr>
            <w:r>
              <w:rPr>
                <w:sz w:val="21"/>
              </w:rPr>
              <w:t>9.2.30</w:t>
            </w:r>
          </w:p>
        </w:tc>
        <w:tc>
          <w:tcPr>
            <w:tcW w:w="1500" w:type="dxa"/>
          </w:tcPr>
          <w:p>
            <w:pPr>
              <w:pStyle w:val="TableParagraph"/>
              <w:spacing w:line="273" w:lineRule="auto" w:before="147"/>
              <w:ind w:left="107" w:right="126" w:hanging="1"/>
              <w:jc w:val="both"/>
              <w:rPr>
                <w:sz w:val="21"/>
              </w:rPr>
            </w:pPr>
            <w:r>
              <w:rPr>
                <w:sz w:val="21"/>
              </w:rPr>
              <w:t>急性出血坏死性胰腺炎开腹手术</w:t>
            </w:r>
          </w:p>
        </w:tc>
        <w:tc>
          <w:tcPr>
            <w:tcW w:w="8070" w:type="dxa"/>
          </w:tcPr>
          <w:p>
            <w:pPr>
              <w:pStyle w:val="TableParagraph"/>
              <w:spacing w:line="273" w:lineRule="auto" w:before="147"/>
              <w:ind w:left="133" w:right="143"/>
              <w:rPr>
                <w:sz w:val="21"/>
              </w:rPr>
            </w:pPr>
            <w:r>
              <w:rPr>
                <w:sz w:val="21"/>
              </w:rPr>
              <w:t>指被保险人因为急性出血坏死性胰腺炎已经接受了外科开腹手术治疗，以进行坏死组织清除、坏死病灶切除或胰腺切除。</w:t>
            </w:r>
          </w:p>
          <w:p>
            <w:pPr>
              <w:pStyle w:val="TableParagraph"/>
              <w:spacing w:before="85"/>
              <w:ind w:left="133"/>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83" w:hRule="atLeast"/>
        </w:trPr>
        <w:tc>
          <w:tcPr>
            <w:tcW w:w="943" w:type="dxa"/>
          </w:tcPr>
          <w:p>
            <w:pPr>
              <w:pStyle w:val="TableParagraph"/>
              <w:ind w:right="106"/>
              <w:jc w:val="right"/>
              <w:rPr>
                <w:sz w:val="21"/>
              </w:rPr>
            </w:pPr>
            <w:r>
              <w:rPr>
                <w:sz w:val="21"/>
              </w:rPr>
              <w:t>9.2.31</w:t>
            </w:r>
          </w:p>
        </w:tc>
        <w:tc>
          <w:tcPr>
            <w:tcW w:w="1500" w:type="dxa"/>
          </w:tcPr>
          <w:p>
            <w:pPr>
              <w:pStyle w:val="TableParagraph"/>
              <w:spacing w:line="273" w:lineRule="auto"/>
              <w:ind w:left="107" w:right="126" w:hanging="1"/>
              <w:rPr>
                <w:sz w:val="21"/>
              </w:rPr>
            </w:pPr>
            <w:r>
              <w:rPr>
                <w:sz w:val="21"/>
              </w:rPr>
              <w:t>严重溃疡性结肠炎</w:t>
            </w:r>
          </w:p>
        </w:tc>
        <w:tc>
          <w:tcPr>
            <w:tcW w:w="8070" w:type="dxa"/>
          </w:tcPr>
          <w:p>
            <w:pPr>
              <w:pStyle w:val="TableParagraph"/>
              <w:spacing w:line="273" w:lineRule="auto"/>
              <w:ind w:left="133" w:right="201"/>
              <w:jc w:val="both"/>
              <w:rPr>
                <w:sz w:val="21"/>
              </w:rPr>
            </w:pPr>
            <w:r>
              <w:rPr>
                <w:spacing w:val="-2"/>
                <w:sz w:val="21"/>
              </w:rPr>
              <w:t>指伴有致命性电解质紊乱的急性暴发性溃疡性结肠炎，病变累及全结肠，表现为严重</w:t>
            </w:r>
            <w:r>
              <w:rPr>
                <w:spacing w:val="-5"/>
                <w:sz w:val="21"/>
              </w:rPr>
              <w:t>的血便和系统性症状体征，须根据组织病理学特点诊断，并且被保险人已经接受了全结肠切除和回肠造瘘术。</w:t>
            </w:r>
          </w:p>
        </w:tc>
      </w:tr>
      <w:tr>
        <w:trPr>
          <w:trHeight w:val="871" w:hRule="atLeast"/>
        </w:trPr>
        <w:tc>
          <w:tcPr>
            <w:tcW w:w="943" w:type="dxa"/>
          </w:tcPr>
          <w:p>
            <w:pPr>
              <w:pStyle w:val="TableParagraph"/>
              <w:ind w:right="106"/>
              <w:jc w:val="right"/>
              <w:rPr>
                <w:sz w:val="21"/>
              </w:rPr>
            </w:pPr>
            <w:r>
              <w:rPr>
                <w:sz w:val="21"/>
              </w:rPr>
              <w:t>9.2.32</w:t>
            </w:r>
          </w:p>
        </w:tc>
        <w:tc>
          <w:tcPr>
            <w:tcW w:w="1500" w:type="dxa"/>
          </w:tcPr>
          <w:p>
            <w:pPr>
              <w:pStyle w:val="TableParagraph"/>
              <w:ind w:left="107"/>
              <w:rPr>
                <w:sz w:val="21"/>
              </w:rPr>
            </w:pPr>
            <w:r>
              <w:rPr>
                <w:sz w:val="21"/>
              </w:rPr>
              <w:t>严重克隆病</w:t>
            </w:r>
          </w:p>
        </w:tc>
        <w:tc>
          <w:tcPr>
            <w:tcW w:w="8070" w:type="dxa"/>
          </w:tcPr>
          <w:p>
            <w:pPr>
              <w:pStyle w:val="TableParagraph"/>
              <w:spacing w:line="273" w:lineRule="auto"/>
              <w:ind w:left="133" w:right="143"/>
              <w:rPr>
                <w:sz w:val="21"/>
              </w:rPr>
            </w:pPr>
            <w:r>
              <w:rPr>
                <w:sz w:val="21"/>
              </w:rPr>
              <w:t>指一种慢性肉芽肿性肠炎，具有特征性的克隆病病理组织学变化，须由病理学检查结果证实，且已经造成瘘管形成并伴有肠梗阻或肠穿孔。</w:t>
            </w:r>
          </w:p>
        </w:tc>
      </w:tr>
      <w:tr>
        <w:trPr>
          <w:trHeight w:val="1574" w:hRule="atLeast"/>
        </w:trPr>
        <w:tc>
          <w:tcPr>
            <w:tcW w:w="943" w:type="dxa"/>
          </w:tcPr>
          <w:p>
            <w:pPr>
              <w:pStyle w:val="TableParagraph"/>
              <w:ind w:right="106"/>
              <w:jc w:val="right"/>
              <w:rPr>
                <w:sz w:val="21"/>
              </w:rPr>
            </w:pPr>
            <w:r>
              <w:rPr>
                <w:sz w:val="21"/>
              </w:rPr>
              <w:t>9.2.33</w:t>
            </w:r>
          </w:p>
        </w:tc>
        <w:tc>
          <w:tcPr>
            <w:tcW w:w="1500" w:type="dxa"/>
          </w:tcPr>
          <w:p>
            <w:pPr>
              <w:pStyle w:val="TableParagraph"/>
              <w:spacing w:line="273" w:lineRule="auto"/>
              <w:ind w:left="107" w:right="126" w:hanging="1"/>
              <w:rPr>
                <w:sz w:val="21"/>
              </w:rPr>
            </w:pPr>
            <w:r>
              <w:rPr>
                <w:sz w:val="21"/>
              </w:rPr>
              <w:t>严重慢性复发性胰腺炎</w:t>
            </w:r>
          </w:p>
        </w:tc>
        <w:tc>
          <w:tcPr>
            <w:tcW w:w="8070" w:type="dxa"/>
          </w:tcPr>
          <w:p>
            <w:pPr>
              <w:pStyle w:val="TableParagraph"/>
              <w:spacing w:line="273" w:lineRule="auto"/>
              <w:ind w:left="129" w:right="199"/>
              <w:jc w:val="both"/>
              <w:rPr>
                <w:sz w:val="21"/>
              </w:rPr>
            </w:pPr>
            <w:r>
              <w:rPr>
                <w:spacing w:val="-2"/>
                <w:sz w:val="21"/>
              </w:rPr>
              <w:t>指有腹痛等典型症状的胰腺炎反复发作，导致胰腺进行性破坏，并导致胰腺功能紊乱而导致严重糖尿病以及营养不良、恶液质。CT</w:t>
            </w:r>
            <w:r>
              <w:rPr>
                <w:sz w:val="21"/>
              </w:rPr>
              <w:t> 检查证实胰腺存在广泛钙化，且必须</w:t>
            </w:r>
            <w:r>
              <w:rPr>
                <w:spacing w:val="-4"/>
                <w:sz w:val="21"/>
              </w:rPr>
              <w:t>接受酶替代以及胰岛素替代治疗 </w:t>
            </w:r>
            <w:r>
              <w:rPr>
                <w:sz w:val="21"/>
              </w:rPr>
              <w:t>6 个月以上。诊断必须由消化科专科医生确诊。</w:t>
            </w:r>
          </w:p>
          <w:p>
            <w:pPr>
              <w:pStyle w:val="TableParagraph"/>
              <w:spacing w:before="85"/>
              <w:ind w:left="132"/>
              <w:jc w:val="both"/>
              <w:rPr>
                <w:rFonts w:ascii="黑体" w:eastAsia="黑体" w:hint="eastAsia"/>
                <w:sz w:val="21"/>
              </w:rPr>
            </w:pPr>
            <w:r>
              <w:rPr>
                <w:rFonts w:ascii="黑体" w:eastAsia="黑体" w:hint="eastAsia"/>
                <w:sz w:val="21"/>
              </w:rPr>
              <w:t>酒精导致的慢性复发性胰腺炎不在保障范围内。</w:t>
            </w:r>
          </w:p>
        </w:tc>
      </w:tr>
      <w:tr>
        <w:trPr>
          <w:trHeight w:val="2743" w:hRule="atLeast"/>
        </w:trPr>
        <w:tc>
          <w:tcPr>
            <w:tcW w:w="943" w:type="dxa"/>
          </w:tcPr>
          <w:p>
            <w:pPr>
              <w:pStyle w:val="TableParagraph"/>
              <w:ind w:right="106"/>
              <w:jc w:val="right"/>
              <w:rPr>
                <w:sz w:val="21"/>
              </w:rPr>
            </w:pPr>
            <w:r>
              <w:rPr>
                <w:sz w:val="21"/>
              </w:rPr>
              <w:t>9.2.34</w:t>
            </w:r>
          </w:p>
        </w:tc>
        <w:tc>
          <w:tcPr>
            <w:tcW w:w="1500" w:type="dxa"/>
          </w:tcPr>
          <w:p>
            <w:pPr>
              <w:pStyle w:val="TableParagraph"/>
              <w:spacing w:line="273" w:lineRule="auto"/>
              <w:ind w:left="107" w:right="126" w:hanging="1"/>
              <w:rPr>
                <w:sz w:val="21"/>
              </w:rPr>
            </w:pPr>
            <w:r>
              <w:rPr>
                <w:sz w:val="21"/>
              </w:rPr>
              <w:t>原发性硬化性胆管炎</w:t>
            </w:r>
          </w:p>
        </w:tc>
        <w:tc>
          <w:tcPr>
            <w:tcW w:w="8070" w:type="dxa"/>
          </w:tcPr>
          <w:p>
            <w:pPr>
              <w:pStyle w:val="TableParagraph"/>
              <w:spacing w:line="273" w:lineRule="auto"/>
              <w:ind w:left="133" w:right="200"/>
              <w:jc w:val="both"/>
              <w:rPr>
                <w:sz w:val="21"/>
              </w:rPr>
            </w:pPr>
            <w:r>
              <w:rPr>
                <w:spacing w:val="-4"/>
                <w:sz w:val="21"/>
              </w:rPr>
              <w:t>指一种胆汁淤积综合征，其特征是肝内、肝外胆道因纤维化性炎症逐渐狭窄，并最终</w:t>
            </w:r>
            <w:r>
              <w:rPr>
                <w:spacing w:val="-7"/>
                <w:sz w:val="21"/>
              </w:rPr>
              <w:t>导致完全阻塞而发展为肝硬化。本病须经内镜逆行胰胆管造影等影像学检查证实，并须满足下列全部条件：</w:t>
            </w:r>
          </w:p>
          <w:p>
            <w:pPr>
              <w:pStyle w:val="TableParagraph"/>
              <w:numPr>
                <w:ilvl w:val="0"/>
                <w:numId w:val="43"/>
              </w:numPr>
              <w:tabs>
                <w:tab w:pos="869" w:val="left" w:leader="none"/>
              </w:tabs>
              <w:spacing w:line="240" w:lineRule="auto" w:before="85" w:after="0"/>
              <w:ind w:left="868" w:right="0" w:hanging="735"/>
              <w:jc w:val="both"/>
              <w:rPr>
                <w:sz w:val="21"/>
              </w:rPr>
            </w:pPr>
            <w:r>
              <w:rPr>
                <w:spacing w:val="-5"/>
                <w:sz w:val="21"/>
              </w:rPr>
              <w:t>总胆红素和直接胆红素同时升高，血清 </w:t>
            </w:r>
            <w:r>
              <w:rPr>
                <w:sz w:val="21"/>
              </w:rPr>
              <w:t>ALP＞200U/L；</w:t>
            </w:r>
          </w:p>
          <w:p>
            <w:pPr>
              <w:pStyle w:val="TableParagraph"/>
              <w:numPr>
                <w:ilvl w:val="0"/>
                <w:numId w:val="43"/>
              </w:numPr>
              <w:tabs>
                <w:tab w:pos="869" w:val="left" w:leader="none"/>
              </w:tabs>
              <w:spacing w:line="240" w:lineRule="auto" w:before="115" w:after="0"/>
              <w:ind w:left="868" w:right="0" w:hanging="735"/>
              <w:jc w:val="both"/>
              <w:rPr>
                <w:sz w:val="21"/>
              </w:rPr>
            </w:pPr>
            <w:r>
              <w:rPr>
                <w:sz w:val="21"/>
              </w:rPr>
              <w:t>持续性黄疸病史；</w:t>
            </w:r>
          </w:p>
          <w:p>
            <w:pPr>
              <w:pStyle w:val="TableParagraph"/>
              <w:numPr>
                <w:ilvl w:val="0"/>
                <w:numId w:val="43"/>
              </w:numPr>
              <w:tabs>
                <w:tab w:pos="869" w:val="left" w:leader="none"/>
              </w:tabs>
              <w:spacing w:line="240" w:lineRule="auto" w:before="115" w:after="0"/>
              <w:ind w:left="868" w:right="0" w:hanging="735"/>
              <w:jc w:val="both"/>
              <w:rPr>
                <w:sz w:val="21"/>
              </w:rPr>
            </w:pPr>
            <w:r>
              <w:rPr>
                <w:sz w:val="21"/>
              </w:rPr>
              <w:t>出现胆汁性肝硬化或门脉高压。</w:t>
            </w:r>
          </w:p>
          <w:p>
            <w:pPr>
              <w:pStyle w:val="TableParagraph"/>
              <w:spacing w:before="115"/>
              <w:ind w:left="133"/>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1252" w:hRule="atLeast"/>
        </w:trPr>
        <w:tc>
          <w:tcPr>
            <w:tcW w:w="943" w:type="dxa"/>
          </w:tcPr>
          <w:p>
            <w:pPr>
              <w:pStyle w:val="TableParagraph"/>
              <w:ind w:right="106"/>
              <w:jc w:val="right"/>
              <w:rPr>
                <w:sz w:val="21"/>
              </w:rPr>
            </w:pPr>
            <w:r>
              <w:rPr>
                <w:sz w:val="21"/>
              </w:rPr>
              <w:t>9.2.35</w:t>
            </w:r>
          </w:p>
        </w:tc>
        <w:tc>
          <w:tcPr>
            <w:tcW w:w="1500" w:type="dxa"/>
          </w:tcPr>
          <w:p>
            <w:pPr>
              <w:pStyle w:val="TableParagraph"/>
              <w:ind w:left="107"/>
              <w:rPr>
                <w:sz w:val="21"/>
              </w:rPr>
            </w:pPr>
            <w:r>
              <w:rPr>
                <w:sz w:val="21"/>
              </w:rPr>
              <w:t>胰腺移植术</w:t>
            </w:r>
          </w:p>
        </w:tc>
        <w:tc>
          <w:tcPr>
            <w:tcW w:w="8070" w:type="dxa"/>
          </w:tcPr>
          <w:p>
            <w:pPr>
              <w:pStyle w:val="TableParagraph"/>
              <w:spacing w:line="273" w:lineRule="auto"/>
              <w:ind w:left="133" w:right="201"/>
              <w:rPr>
                <w:sz w:val="21"/>
              </w:rPr>
            </w:pPr>
            <w:r>
              <w:rPr>
                <w:spacing w:val="-4"/>
                <w:sz w:val="21"/>
              </w:rPr>
              <w:t>指因胰腺功能衰竭，已经实施了在全身麻醉下进行的胰腺的异体器官移植手术</w:t>
            </w:r>
            <w:r>
              <w:rPr>
                <w:sz w:val="21"/>
              </w:rPr>
              <w:t>（供体必须是人体器官</w:t>
            </w:r>
            <w:r>
              <w:rPr>
                <w:spacing w:val="-105"/>
                <w:sz w:val="21"/>
              </w:rPr>
              <w:t>）</w:t>
            </w:r>
            <w:r>
              <w:rPr>
                <w:sz w:val="21"/>
              </w:rPr>
              <w:t>。</w:t>
            </w:r>
          </w:p>
          <w:p>
            <w:pPr>
              <w:pStyle w:val="TableParagraph"/>
              <w:spacing w:before="86"/>
              <w:ind w:left="133"/>
              <w:rPr>
                <w:rFonts w:ascii="黑体" w:eastAsia="黑体" w:hint="eastAsia"/>
                <w:sz w:val="21"/>
              </w:rPr>
            </w:pPr>
            <w:r>
              <w:rPr>
                <w:rFonts w:ascii="黑体" w:eastAsia="黑体" w:hint="eastAsia"/>
                <w:sz w:val="21"/>
              </w:rPr>
              <w:t>单纯胰岛移植、部分胰腺组织或细胞的移植不在保障范围内。</w:t>
            </w:r>
          </w:p>
        </w:tc>
      </w:tr>
      <w:tr>
        <w:trPr>
          <w:trHeight w:val="1408" w:hRule="atLeast"/>
        </w:trPr>
        <w:tc>
          <w:tcPr>
            <w:tcW w:w="943" w:type="dxa"/>
          </w:tcPr>
          <w:p>
            <w:pPr>
              <w:pStyle w:val="TableParagraph"/>
              <w:spacing w:before="119"/>
              <w:ind w:right="106"/>
              <w:jc w:val="right"/>
              <w:rPr>
                <w:sz w:val="21"/>
              </w:rPr>
            </w:pPr>
            <w:r>
              <w:rPr>
                <w:sz w:val="21"/>
              </w:rPr>
              <w:t>9.2.36</w:t>
            </w:r>
          </w:p>
        </w:tc>
        <w:tc>
          <w:tcPr>
            <w:tcW w:w="1500" w:type="dxa"/>
          </w:tcPr>
          <w:p>
            <w:pPr>
              <w:pStyle w:val="TableParagraph"/>
              <w:spacing w:line="273" w:lineRule="auto" w:before="101"/>
              <w:ind w:left="107" w:right="126"/>
              <w:jc w:val="both"/>
              <w:rPr>
                <w:sz w:val="21"/>
              </w:rPr>
            </w:pPr>
            <w:r>
              <w:rPr>
                <w:sz w:val="21"/>
              </w:rPr>
              <w:t>重大器官移植术或造血干细胞移植术*</w:t>
            </w:r>
          </w:p>
        </w:tc>
        <w:tc>
          <w:tcPr>
            <w:tcW w:w="8070" w:type="dxa"/>
          </w:tcPr>
          <w:p>
            <w:pPr>
              <w:pStyle w:val="TableParagraph"/>
              <w:spacing w:line="273" w:lineRule="auto" w:before="119"/>
              <w:ind w:left="133" w:right="146" w:hanging="7"/>
              <w:rPr>
                <w:sz w:val="21"/>
              </w:rPr>
            </w:pPr>
            <w:r>
              <w:rPr>
                <w:sz w:val="21"/>
              </w:rPr>
              <w:t>重大器官移植术，指因相应器官功能衰竭，已经实施了肾脏、肝脏、心脏或肺脏的异体移植手术。</w:t>
            </w:r>
          </w:p>
          <w:p>
            <w:pPr>
              <w:pStyle w:val="TableParagraph"/>
              <w:spacing w:before="85"/>
              <w:ind w:left="133"/>
              <w:rPr>
                <w:sz w:val="21"/>
              </w:rPr>
            </w:pPr>
            <w:r>
              <w:rPr>
                <w:sz w:val="21"/>
              </w:rPr>
              <w:t>造血干细胞移植术，指因造血功能损害或造血系统恶性肿瘤，已经实施了造血干细胞</w:t>
            </w:r>
          </w:p>
          <w:p>
            <w:pPr>
              <w:pStyle w:val="TableParagraph"/>
              <w:spacing w:line="255" w:lineRule="exact" w:before="37"/>
              <w:ind w:left="133"/>
              <w:rPr>
                <w:sz w:val="21"/>
              </w:rPr>
            </w:pPr>
            <w:r>
              <w:rPr>
                <w:sz w:val="21"/>
              </w:rPr>
              <w:t>（包括骨髓造血干细胞、外周血造血干细胞和脐血造血干细胞）的异体移植手术。</w:t>
            </w:r>
          </w:p>
        </w:tc>
      </w:tr>
    </w:tbl>
    <w:p>
      <w:pPr>
        <w:spacing w:after="0" w:line="255" w:lineRule="exact"/>
        <w:rPr>
          <w:sz w:val="21"/>
        </w:rPr>
        <w:sectPr>
          <w:pgSz w:w="11900" w:h="16840"/>
          <w:pgMar w:top="1260" w:bottom="280" w:left="820" w:right="3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3"/>
        <w:gridCol w:w="8171"/>
      </w:tblGrid>
      <w:tr>
        <w:trPr>
          <w:trHeight w:val="1321" w:hRule="atLeast"/>
        </w:trPr>
        <w:tc>
          <w:tcPr>
            <w:tcW w:w="943" w:type="dxa"/>
          </w:tcPr>
          <w:p>
            <w:pPr>
              <w:pStyle w:val="TableParagraph"/>
              <w:spacing w:line="228" w:lineRule="exact" w:before="0"/>
              <w:ind w:right="106"/>
              <w:jc w:val="right"/>
              <w:rPr>
                <w:sz w:val="21"/>
              </w:rPr>
            </w:pPr>
            <w:r>
              <w:rPr>
                <w:sz w:val="21"/>
              </w:rPr>
              <w:t>9.2.37</w:t>
            </w:r>
          </w:p>
        </w:tc>
        <w:tc>
          <w:tcPr>
            <w:tcW w:w="1503" w:type="dxa"/>
          </w:tcPr>
          <w:p>
            <w:pPr>
              <w:pStyle w:val="TableParagraph"/>
              <w:spacing w:line="210" w:lineRule="exact" w:before="0"/>
              <w:ind w:left="107"/>
              <w:rPr>
                <w:sz w:val="21"/>
              </w:rPr>
            </w:pPr>
            <w:r>
              <w:rPr>
                <w:sz w:val="21"/>
              </w:rPr>
              <w:t>终末期肾病</w:t>
            </w:r>
          </w:p>
          <w:p>
            <w:pPr>
              <w:pStyle w:val="TableParagraph"/>
              <w:spacing w:line="261" w:lineRule="auto" w:before="37"/>
              <w:ind w:left="107" w:right="129"/>
              <w:jc w:val="both"/>
              <w:rPr>
                <w:sz w:val="24"/>
              </w:rPr>
            </w:pPr>
            <w:r>
              <w:rPr>
                <w:sz w:val="21"/>
              </w:rPr>
              <w:t>（或称慢性肾功能衰竭尿毒症期）</w:t>
            </w:r>
            <w:r>
              <w:rPr>
                <w:sz w:val="24"/>
              </w:rPr>
              <w:t>*</w:t>
            </w:r>
          </w:p>
        </w:tc>
        <w:tc>
          <w:tcPr>
            <w:tcW w:w="8171" w:type="dxa"/>
          </w:tcPr>
          <w:p>
            <w:pPr>
              <w:pStyle w:val="TableParagraph"/>
              <w:spacing w:line="210" w:lineRule="exact" w:before="0"/>
              <w:ind w:left="130"/>
              <w:rPr>
                <w:sz w:val="21"/>
              </w:rPr>
            </w:pPr>
            <w:r>
              <w:rPr>
                <w:sz w:val="21"/>
              </w:rPr>
              <w:t>指双肾功能慢性不可逆性衰竭，达到尿毒症期，经诊断后已经进行了至少 90 天的规</w:t>
            </w:r>
          </w:p>
          <w:p>
            <w:pPr>
              <w:pStyle w:val="TableParagraph"/>
              <w:spacing w:before="37"/>
              <w:ind w:left="130"/>
              <w:rPr>
                <w:sz w:val="21"/>
              </w:rPr>
            </w:pPr>
            <w:r>
              <w:rPr>
                <w:sz w:val="21"/>
              </w:rPr>
              <w:t>律性透析治疗或实施了肾脏移植手术。</w:t>
            </w:r>
          </w:p>
        </w:tc>
      </w:tr>
      <w:tr>
        <w:trPr>
          <w:trHeight w:val="1566" w:hRule="atLeast"/>
        </w:trPr>
        <w:tc>
          <w:tcPr>
            <w:tcW w:w="943" w:type="dxa"/>
          </w:tcPr>
          <w:p>
            <w:pPr>
              <w:pStyle w:val="TableParagraph"/>
              <w:ind w:right="106"/>
              <w:jc w:val="right"/>
              <w:rPr>
                <w:sz w:val="21"/>
              </w:rPr>
            </w:pPr>
            <w:r>
              <w:rPr>
                <w:sz w:val="21"/>
              </w:rPr>
              <w:t>9.2.38</w:t>
            </w:r>
          </w:p>
        </w:tc>
        <w:tc>
          <w:tcPr>
            <w:tcW w:w="1503" w:type="dxa"/>
          </w:tcPr>
          <w:p>
            <w:pPr>
              <w:pStyle w:val="TableParagraph"/>
              <w:spacing w:before="86"/>
              <w:ind w:left="107"/>
              <w:rPr>
                <w:sz w:val="24"/>
              </w:rPr>
            </w:pPr>
            <w:r>
              <w:rPr>
                <w:sz w:val="21"/>
              </w:rPr>
              <w:t>双耳失聪</w:t>
            </w:r>
            <w:r>
              <w:rPr>
                <w:sz w:val="24"/>
              </w:rPr>
              <w:t>*</w:t>
            </w:r>
          </w:p>
        </w:tc>
        <w:tc>
          <w:tcPr>
            <w:tcW w:w="8171" w:type="dxa"/>
          </w:tcPr>
          <w:p>
            <w:pPr>
              <w:pStyle w:val="TableParagraph"/>
              <w:ind w:left="130"/>
              <w:rPr>
                <w:sz w:val="21"/>
              </w:rPr>
            </w:pPr>
            <w:r>
              <w:rPr>
                <w:spacing w:val="-5"/>
                <w:sz w:val="21"/>
              </w:rPr>
              <w:t>指因疾病或意外伤害导致双耳听力永久不可逆性丧失，在 </w:t>
            </w:r>
            <w:r>
              <w:rPr>
                <w:sz w:val="21"/>
              </w:rPr>
              <w:t>500</w:t>
            </w:r>
            <w:r>
              <w:rPr>
                <w:spacing w:val="-32"/>
                <w:sz w:val="21"/>
              </w:rPr>
              <w:t> 赫兹、</w:t>
            </w:r>
            <w:r>
              <w:rPr>
                <w:sz w:val="21"/>
              </w:rPr>
              <w:t>1000</w:t>
            </w:r>
            <w:r>
              <w:rPr>
                <w:spacing w:val="-22"/>
                <w:sz w:val="21"/>
              </w:rPr>
              <w:t> 赫兹和 </w:t>
            </w:r>
            <w:r>
              <w:rPr>
                <w:sz w:val="21"/>
              </w:rPr>
              <w:t>2000</w:t>
            </w:r>
          </w:p>
          <w:p>
            <w:pPr>
              <w:pStyle w:val="TableParagraph"/>
              <w:spacing w:line="273" w:lineRule="auto" w:before="37"/>
              <w:ind w:left="130" w:right="247"/>
              <w:rPr>
                <w:sz w:val="21"/>
              </w:rPr>
            </w:pPr>
            <w:r>
              <w:rPr>
                <w:sz w:val="21"/>
              </w:rPr>
              <w:t>赫兹语音频率下，平均听阈大于 90 分贝，且经纯音听力测试、声导抗检测或听觉诱发电位检测等证实。</w:t>
            </w:r>
          </w:p>
          <w:p>
            <w:pPr>
              <w:pStyle w:val="TableParagraph"/>
              <w:spacing w:before="86"/>
              <w:ind w:left="130"/>
              <w:rPr>
                <w:rFonts w:ascii="黑体" w:eastAsia="黑体" w:hint="eastAsia"/>
                <w:sz w:val="21"/>
              </w:rPr>
            </w:pPr>
            <w:r>
              <w:rPr>
                <w:rFonts w:ascii="黑体" w:eastAsia="黑体" w:hint="eastAsia"/>
                <w:sz w:val="21"/>
              </w:rPr>
              <w:t>被保险人在 3 周岁之前因疾病导致的双耳失聪不在保障范围内。</w:t>
            </w:r>
          </w:p>
        </w:tc>
      </w:tr>
      <w:tr>
        <w:trPr>
          <w:trHeight w:val="2439" w:hRule="atLeast"/>
        </w:trPr>
        <w:tc>
          <w:tcPr>
            <w:tcW w:w="943" w:type="dxa"/>
          </w:tcPr>
          <w:p>
            <w:pPr>
              <w:pStyle w:val="TableParagraph"/>
              <w:spacing w:before="117"/>
              <w:ind w:right="106"/>
              <w:jc w:val="right"/>
              <w:rPr>
                <w:sz w:val="21"/>
              </w:rPr>
            </w:pPr>
            <w:r>
              <w:rPr>
                <w:sz w:val="21"/>
              </w:rPr>
              <w:t>9.2.39</w:t>
            </w:r>
          </w:p>
        </w:tc>
        <w:tc>
          <w:tcPr>
            <w:tcW w:w="1503" w:type="dxa"/>
          </w:tcPr>
          <w:p>
            <w:pPr>
              <w:pStyle w:val="TableParagraph"/>
              <w:spacing w:before="93"/>
              <w:ind w:left="107"/>
              <w:rPr>
                <w:sz w:val="24"/>
              </w:rPr>
            </w:pPr>
            <w:r>
              <w:rPr>
                <w:sz w:val="21"/>
              </w:rPr>
              <w:t>双目失明</w:t>
            </w:r>
            <w:r>
              <w:rPr>
                <w:sz w:val="24"/>
              </w:rPr>
              <w:t>*</w:t>
            </w:r>
          </w:p>
        </w:tc>
        <w:tc>
          <w:tcPr>
            <w:tcW w:w="8171" w:type="dxa"/>
          </w:tcPr>
          <w:p>
            <w:pPr>
              <w:pStyle w:val="TableParagraph"/>
              <w:spacing w:line="273" w:lineRule="auto" w:before="117"/>
              <w:ind w:left="130" w:right="247"/>
              <w:rPr>
                <w:sz w:val="21"/>
              </w:rPr>
            </w:pPr>
            <w:r>
              <w:rPr>
                <w:sz w:val="21"/>
              </w:rPr>
              <w:t>指因疾病或意外伤害导致双眼视力永久不可逆性丧失，双眼中较好眼须满足下列至少一项条件：</w:t>
            </w:r>
          </w:p>
          <w:p>
            <w:pPr>
              <w:pStyle w:val="TableParagraph"/>
              <w:numPr>
                <w:ilvl w:val="0"/>
                <w:numId w:val="44"/>
              </w:numPr>
              <w:tabs>
                <w:tab w:pos="761" w:val="left" w:leader="none"/>
              </w:tabs>
              <w:spacing w:line="240" w:lineRule="auto" w:before="85" w:after="0"/>
              <w:ind w:left="760" w:right="0" w:hanging="630"/>
              <w:jc w:val="left"/>
              <w:rPr>
                <w:sz w:val="21"/>
              </w:rPr>
            </w:pPr>
            <w:r>
              <w:rPr>
                <w:sz w:val="21"/>
              </w:rPr>
              <w:t>眼球缺失或摘除；</w:t>
            </w:r>
          </w:p>
          <w:p>
            <w:pPr>
              <w:pStyle w:val="TableParagraph"/>
              <w:numPr>
                <w:ilvl w:val="0"/>
                <w:numId w:val="44"/>
              </w:numPr>
              <w:tabs>
                <w:tab w:pos="761" w:val="left" w:leader="none"/>
              </w:tabs>
              <w:spacing w:line="240" w:lineRule="auto" w:before="114" w:after="0"/>
              <w:ind w:left="760" w:right="0" w:hanging="630"/>
              <w:jc w:val="left"/>
              <w:rPr>
                <w:sz w:val="21"/>
              </w:rPr>
            </w:pPr>
            <w:r>
              <w:rPr>
                <w:spacing w:val="-8"/>
                <w:sz w:val="21"/>
              </w:rPr>
              <w:t>矫正视力低于 </w:t>
            </w:r>
            <w:r>
              <w:rPr>
                <w:sz w:val="21"/>
              </w:rPr>
              <w:t>0.0</w:t>
            </w:r>
            <w:r>
              <w:rPr>
                <w:spacing w:val="-45"/>
                <w:sz w:val="21"/>
              </w:rPr>
              <w:t>2</w:t>
            </w:r>
            <w:r>
              <w:rPr>
                <w:sz w:val="21"/>
              </w:rPr>
              <w:t>（</w:t>
            </w:r>
            <w:r>
              <w:rPr>
                <w:spacing w:val="-5"/>
                <w:sz w:val="21"/>
              </w:rPr>
              <w:t>采用国际标准视力表，如果使用其它视力表应进行换算</w:t>
            </w:r>
            <w:r>
              <w:rPr>
                <w:spacing w:val="-105"/>
                <w:sz w:val="21"/>
              </w:rPr>
              <w:t>）</w:t>
            </w:r>
            <w:r>
              <w:rPr>
                <w:sz w:val="21"/>
              </w:rPr>
              <w:t>；</w:t>
            </w:r>
          </w:p>
          <w:p>
            <w:pPr>
              <w:pStyle w:val="TableParagraph"/>
              <w:numPr>
                <w:ilvl w:val="0"/>
                <w:numId w:val="44"/>
              </w:numPr>
              <w:tabs>
                <w:tab w:pos="761" w:val="left" w:leader="none"/>
              </w:tabs>
              <w:spacing w:line="240" w:lineRule="auto" w:before="114" w:after="0"/>
              <w:ind w:left="760" w:right="0" w:hanging="630"/>
              <w:jc w:val="left"/>
              <w:rPr>
                <w:sz w:val="21"/>
              </w:rPr>
            </w:pPr>
            <w:r>
              <w:rPr>
                <w:spacing w:val="-8"/>
                <w:sz w:val="21"/>
              </w:rPr>
              <w:t>视野半径小于 </w:t>
            </w:r>
            <w:r>
              <w:rPr>
                <w:sz w:val="21"/>
              </w:rPr>
              <w:t>5</w:t>
            </w:r>
            <w:r>
              <w:rPr>
                <w:spacing w:val="-18"/>
                <w:sz w:val="21"/>
              </w:rPr>
              <w:t> 度。</w:t>
            </w:r>
          </w:p>
          <w:p>
            <w:pPr>
              <w:pStyle w:val="TableParagraph"/>
              <w:spacing w:before="114"/>
              <w:ind w:left="130"/>
              <w:rPr>
                <w:rFonts w:ascii="黑体" w:eastAsia="黑体" w:hint="eastAsia"/>
                <w:sz w:val="21"/>
              </w:rPr>
            </w:pPr>
            <w:r>
              <w:rPr>
                <w:rFonts w:ascii="黑体" w:eastAsia="黑体" w:hint="eastAsia"/>
                <w:sz w:val="21"/>
              </w:rPr>
              <w:t>被保险人在 3 周岁之前因疾病导致的双目失明不在保障范围内。</w:t>
            </w:r>
          </w:p>
        </w:tc>
      </w:tr>
      <w:tr>
        <w:trPr>
          <w:trHeight w:val="2822" w:hRule="atLeast"/>
        </w:trPr>
        <w:tc>
          <w:tcPr>
            <w:tcW w:w="943" w:type="dxa"/>
          </w:tcPr>
          <w:p>
            <w:pPr>
              <w:pStyle w:val="TableParagraph"/>
              <w:ind w:right="106"/>
              <w:jc w:val="right"/>
              <w:rPr>
                <w:sz w:val="21"/>
              </w:rPr>
            </w:pPr>
            <w:r>
              <w:rPr>
                <w:sz w:val="21"/>
              </w:rPr>
              <w:t>9.2.40</w:t>
            </w:r>
          </w:p>
        </w:tc>
        <w:tc>
          <w:tcPr>
            <w:tcW w:w="1503" w:type="dxa"/>
          </w:tcPr>
          <w:p>
            <w:pPr>
              <w:pStyle w:val="TableParagraph"/>
              <w:spacing w:line="252" w:lineRule="auto"/>
              <w:ind w:left="107" w:right="129" w:hanging="1"/>
              <w:rPr>
                <w:sz w:val="24"/>
              </w:rPr>
            </w:pPr>
            <w:r>
              <w:rPr>
                <w:sz w:val="21"/>
              </w:rPr>
              <w:t>重型再生障碍性贫血</w:t>
            </w:r>
            <w:r>
              <w:rPr>
                <w:sz w:val="24"/>
              </w:rPr>
              <w:t>*</w:t>
            </w:r>
          </w:p>
        </w:tc>
        <w:tc>
          <w:tcPr>
            <w:tcW w:w="8171" w:type="dxa"/>
          </w:tcPr>
          <w:p>
            <w:pPr>
              <w:pStyle w:val="TableParagraph"/>
              <w:spacing w:line="273" w:lineRule="auto"/>
              <w:ind w:left="130" w:right="247"/>
              <w:rPr>
                <w:rFonts w:ascii="黑体" w:eastAsia="黑体" w:hint="eastAsia"/>
                <w:sz w:val="21"/>
              </w:rPr>
            </w:pPr>
            <w:r>
              <w:rPr>
                <w:sz w:val="21"/>
              </w:rPr>
              <w:t>指因骨髓造血功能慢性持续性衰竭导致的贫血、中性粒细胞减少及血小板减少。</w:t>
            </w:r>
            <w:r>
              <w:rPr>
                <w:rFonts w:ascii="黑体" w:eastAsia="黑体" w:hint="eastAsia"/>
                <w:sz w:val="21"/>
              </w:rPr>
              <w:t>须满足下列全部条件：</w:t>
            </w:r>
          </w:p>
          <w:p>
            <w:pPr>
              <w:pStyle w:val="TableParagraph"/>
              <w:numPr>
                <w:ilvl w:val="0"/>
                <w:numId w:val="45"/>
              </w:numPr>
              <w:tabs>
                <w:tab w:pos="761" w:val="left" w:leader="none"/>
              </w:tabs>
              <w:spacing w:line="240" w:lineRule="auto" w:before="85" w:after="0"/>
              <w:ind w:left="760" w:right="0" w:hanging="630"/>
              <w:jc w:val="left"/>
              <w:rPr>
                <w:sz w:val="21"/>
              </w:rPr>
            </w:pPr>
            <w:r>
              <w:rPr>
                <w:sz w:val="21"/>
              </w:rPr>
              <w:t>骨髓穿刺检查或骨髓活检结果支持诊断；</w:t>
            </w:r>
          </w:p>
          <w:p>
            <w:pPr>
              <w:pStyle w:val="TableParagraph"/>
              <w:numPr>
                <w:ilvl w:val="0"/>
                <w:numId w:val="45"/>
              </w:numPr>
              <w:tabs>
                <w:tab w:pos="761" w:val="left" w:leader="none"/>
              </w:tabs>
              <w:spacing w:line="240" w:lineRule="auto" w:before="115" w:after="0"/>
              <w:ind w:left="760" w:right="0" w:hanging="630"/>
              <w:jc w:val="left"/>
              <w:rPr>
                <w:sz w:val="21"/>
              </w:rPr>
            </w:pPr>
            <w:r>
              <w:rPr>
                <w:sz w:val="21"/>
              </w:rPr>
              <w:t>外周血象须具备以下三项条件：</w:t>
            </w:r>
          </w:p>
          <w:p>
            <w:pPr>
              <w:pStyle w:val="TableParagraph"/>
              <w:tabs>
                <w:tab w:pos="1179" w:val="left" w:leader="none"/>
              </w:tabs>
              <w:spacing w:before="115"/>
              <w:ind w:left="760"/>
              <w:rPr>
                <w:sz w:val="21"/>
              </w:rPr>
            </w:pPr>
            <w:r>
              <w:rPr>
                <w:sz w:val="21"/>
              </w:rPr>
              <w:t>①</w:t>
              <w:tab/>
            </w:r>
            <w:r>
              <w:rPr>
                <w:spacing w:val="-1"/>
                <w:sz w:val="21"/>
              </w:rPr>
              <w:t>中性粒细胞绝对值≤0.5×10</w:t>
            </w:r>
            <w:r>
              <w:rPr>
                <w:spacing w:val="-1"/>
                <w:position w:val="11"/>
                <w:sz w:val="11"/>
              </w:rPr>
              <w:t>9</w:t>
            </w:r>
            <w:r>
              <w:rPr>
                <w:spacing w:val="-1"/>
                <w:sz w:val="21"/>
              </w:rPr>
              <w:t>/L；</w:t>
            </w:r>
          </w:p>
          <w:p>
            <w:pPr>
              <w:pStyle w:val="TableParagraph"/>
              <w:tabs>
                <w:tab w:pos="1179" w:val="left" w:leader="none"/>
              </w:tabs>
              <w:spacing w:before="118"/>
              <w:ind w:left="760"/>
              <w:rPr>
                <w:sz w:val="21"/>
              </w:rPr>
            </w:pPr>
            <w:r>
              <w:rPr>
                <w:sz w:val="21"/>
              </w:rPr>
              <w:t>②</w:t>
              <w:tab/>
              <w:t>网织红细胞</w:t>
            </w:r>
            <w:r>
              <w:rPr>
                <w:spacing w:val="5"/>
                <w:sz w:val="21"/>
              </w:rPr>
              <w:drawing>
                <wp:inline distT="0" distB="0" distL="0" distR="0">
                  <wp:extent cx="59721" cy="103727"/>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59721" cy="103727"/>
                          </a:xfrm>
                          <a:prstGeom prst="rect">
                            <a:avLst/>
                          </a:prstGeom>
                        </pic:spPr>
                      </pic:pic>
                    </a:graphicData>
                  </a:graphic>
                </wp:inline>
              </w:drawing>
            </w:r>
            <w:r>
              <w:rPr>
                <w:spacing w:val="5"/>
                <w:sz w:val="21"/>
              </w:rPr>
            </w:r>
            <w:r>
              <w:rPr>
                <w:sz w:val="21"/>
              </w:rPr>
              <w:t>；</w:t>
            </w:r>
          </w:p>
          <w:p>
            <w:pPr>
              <w:pStyle w:val="TableParagraph"/>
              <w:tabs>
                <w:tab w:pos="1180" w:val="left" w:leader="none"/>
              </w:tabs>
              <w:spacing w:before="111"/>
              <w:ind w:left="760"/>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2431" w:hRule="atLeast"/>
        </w:trPr>
        <w:tc>
          <w:tcPr>
            <w:tcW w:w="943" w:type="dxa"/>
          </w:tcPr>
          <w:p>
            <w:pPr>
              <w:pStyle w:val="TableParagraph"/>
              <w:ind w:right="106"/>
              <w:jc w:val="right"/>
              <w:rPr>
                <w:sz w:val="21"/>
              </w:rPr>
            </w:pPr>
            <w:r>
              <w:rPr>
                <w:sz w:val="21"/>
              </w:rPr>
              <w:t>9.2.41</w:t>
            </w:r>
          </w:p>
        </w:tc>
        <w:tc>
          <w:tcPr>
            <w:tcW w:w="1503" w:type="dxa"/>
          </w:tcPr>
          <w:p>
            <w:pPr>
              <w:pStyle w:val="TableParagraph"/>
              <w:ind w:left="107"/>
              <w:rPr>
                <w:sz w:val="21"/>
              </w:rPr>
            </w:pPr>
            <w:r>
              <w:rPr>
                <w:sz w:val="21"/>
              </w:rPr>
              <w:t>终末期肺病</w:t>
            </w:r>
          </w:p>
        </w:tc>
        <w:tc>
          <w:tcPr>
            <w:tcW w:w="8171" w:type="dxa"/>
          </w:tcPr>
          <w:p>
            <w:pPr>
              <w:pStyle w:val="TableParagraph"/>
              <w:spacing w:line="273" w:lineRule="auto"/>
              <w:ind w:left="130" w:right="247"/>
              <w:rPr>
                <w:rFonts w:ascii="黑体" w:eastAsia="黑体" w:hint="eastAsia"/>
                <w:sz w:val="21"/>
              </w:rPr>
            </w:pPr>
            <w:r>
              <w:rPr>
                <w:sz w:val="21"/>
              </w:rPr>
              <w:t>指慢性肺部疾病导致永久不可逆性的慢性呼吸功能衰竭。慢性呼吸功能衰竭必须明确诊断</w:t>
            </w:r>
            <w:r>
              <w:rPr>
                <w:rFonts w:ascii="黑体" w:eastAsia="黑体" w:hint="eastAsia"/>
                <w:sz w:val="21"/>
              </w:rPr>
              <w:t>并须满足下列至少三个条件：</w:t>
            </w:r>
          </w:p>
          <w:p>
            <w:pPr>
              <w:pStyle w:val="TableParagraph"/>
              <w:numPr>
                <w:ilvl w:val="0"/>
                <w:numId w:val="46"/>
              </w:numPr>
              <w:tabs>
                <w:tab w:pos="761" w:val="left" w:leader="none"/>
              </w:tabs>
              <w:spacing w:line="240" w:lineRule="auto" w:before="85" w:after="0"/>
              <w:ind w:left="760" w:right="0" w:hanging="630"/>
              <w:jc w:val="left"/>
              <w:rPr>
                <w:sz w:val="21"/>
              </w:rPr>
            </w:pPr>
            <w:r>
              <w:rPr>
                <w:sz w:val="21"/>
              </w:rPr>
              <w:t>肺功能测试：一秒用力呼气容积（FEV1）</w:t>
            </w:r>
            <w:r>
              <w:rPr>
                <w:spacing w:val="-14"/>
                <w:sz w:val="21"/>
              </w:rPr>
              <w:t>持续低于 </w:t>
            </w:r>
            <w:r>
              <w:rPr>
                <w:sz w:val="21"/>
              </w:rPr>
              <w:t>0.75</w:t>
            </w:r>
            <w:r>
              <w:rPr>
                <w:spacing w:val="-23"/>
                <w:sz w:val="21"/>
              </w:rPr>
              <w:t> 升；</w:t>
            </w:r>
          </w:p>
          <w:p>
            <w:pPr>
              <w:pStyle w:val="TableParagraph"/>
              <w:numPr>
                <w:ilvl w:val="0"/>
                <w:numId w:val="46"/>
              </w:numPr>
              <w:tabs>
                <w:tab w:pos="761" w:val="left" w:leader="none"/>
              </w:tabs>
              <w:spacing w:line="240" w:lineRule="auto" w:before="114" w:after="0"/>
              <w:ind w:left="760" w:right="0" w:hanging="630"/>
              <w:jc w:val="left"/>
              <w:rPr>
                <w:sz w:val="21"/>
              </w:rPr>
            </w:pPr>
            <w:r>
              <w:rPr>
                <w:sz w:val="21"/>
              </w:rPr>
              <w:t>动脉血氧分压（PaO2）＜55mmHg；</w:t>
            </w:r>
          </w:p>
          <w:p>
            <w:pPr>
              <w:pStyle w:val="TableParagraph"/>
              <w:numPr>
                <w:ilvl w:val="0"/>
                <w:numId w:val="46"/>
              </w:numPr>
              <w:tabs>
                <w:tab w:pos="761" w:val="left" w:leader="none"/>
              </w:tabs>
              <w:spacing w:line="240" w:lineRule="auto" w:before="114" w:after="0"/>
              <w:ind w:left="760" w:right="0" w:hanging="630"/>
              <w:jc w:val="left"/>
              <w:rPr>
                <w:sz w:val="21"/>
              </w:rPr>
            </w:pPr>
            <w:r>
              <w:rPr>
                <w:sz w:val="21"/>
              </w:rPr>
              <w:t>动脉血氧饱和度（SaO2）＜80％；</w:t>
            </w:r>
          </w:p>
          <w:p>
            <w:pPr>
              <w:pStyle w:val="TableParagraph"/>
              <w:numPr>
                <w:ilvl w:val="0"/>
                <w:numId w:val="46"/>
              </w:numPr>
              <w:tabs>
                <w:tab w:pos="761" w:val="left" w:leader="none"/>
              </w:tabs>
              <w:spacing w:line="240" w:lineRule="auto" w:before="114" w:after="0"/>
              <w:ind w:left="760" w:right="0" w:hanging="630"/>
              <w:jc w:val="left"/>
              <w:rPr>
                <w:sz w:val="21"/>
              </w:rPr>
            </w:pPr>
            <w:r>
              <w:rPr>
                <w:sz w:val="21"/>
              </w:rPr>
              <w:t>休息时出现呼吸困难；因缺氧必须广泛持续地进行输氧治疗。</w:t>
            </w:r>
          </w:p>
        </w:tc>
      </w:tr>
      <w:tr>
        <w:trPr>
          <w:trHeight w:val="1183" w:hRule="atLeast"/>
        </w:trPr>
        <w:tc>
          <w:tcPr>
            <w:tcW w:w="943" w:type="dxa"/>
          </w:tcPr>
          <w:p>
            <w:pPr>
              <w:pStyle w:val="TableParagraph"/>
              <w:ind w:right="106"/>
              <w:jc w:val="right"/>
              <w:rPr>
                <w:sz w:val="21"/>
              </w:rPr>
            </w:pPr>
            <w:r>
              <w:rPr>
                <w:sz w:val="21"/>
              </w:rPr>
              <w:t>9.2.42</w:t>
            </w:r>
          </w:p>
        </w:tc>
        <w:tc>
          <w:tcPr>
            <w:tcW w:w="1503" w:type="dxa"/>
          </w:tcPr>
          <w:p>
            <w:pPr>
              <w:pStyle w:val="TableParagraph"/>
              <w:spacing w:line="273" w:lineRule="auto"/>
              <w:ind w:left="107" w:right="129" w:hanging="1"/>
              <w:rPr>
                <w:sz w:val="21"/>
              </w:rPr>
            </w:pPr>
            <w:r>
              <w:rPr>
                <w:sz w:val="21"/>
              </w:rPr>
              <w:t>肺泡蛋白质沉积症</w:t>
            </w:r>
          </w:p>
        </w:tc>
        <w:tc>
          <w:tcPr>
            <w:tcW w:w="8171" w:type="dxa"/>
          </w:tcPr>
          <w:p>
            <w:pPr>
              <w:pStyle w:val="TableParagraph"/>
              <w:spacing w:line="273" w:lineRule="auto"/>
              <w:ind w:left="130" w:right="304"/>
              <w:jc w:val="both"/>
              <w:rPr>
                <w:sz w:val="21"/>
              </w:rPr>
            </w:pPr>
            <w:r>
              <w:rPr>
                <w:spacing w:val="-4"/>
                <w:sz w:val="21"/>
              </w:rPr>
              <w:t>指肺泡和细支气管腔内充满不可溶性富磷脂蛋白的疾病，胸部 </w:t>
            </w:r>
            <w:r>
              <w:rPr>
                <w:sz w:val="21"/>
              </w:rPr>
              <w:t>X</w:t>
            </w:r>
            <w:r>
              <w:rPr>
                <w:spacing w:val="-8"/>
                <w:sz w:val="21"/>
              </w:rPr>
              <w:t> 线呈双肺弥漫性肺部磨玻璃影，病理学检查肺泡内充满有过碘酸雪夫（PAS）染色阳性的蛋白样物质，并且接受了肺灌洗治疗。</w:t>
            </w:r>
          </w:p>
        </w:tc>
      </w:tr>
      <w:tr>
        <w:trPr>
          <w:trHeight w:val="2042" w:hRule="atLeast"/>
        </w:trPr>
        <w:tc>
          <w:tcPr>
            <w:tcW w:w="943" w:type="dxa"/>
          </w:tcPr>
          <w:p>
            <w:pPr>
              <w:pStyle w:val="TableParagraph"/>
              <w:ind w:right="106"/>
              <w:jc w:val="right"/>
              <w:rPr>
                <w:sz w:val="21"/>
              </w:rPr>
            </w:pPr>
            <w:r>
              <w:rPr>
                <w:sz w:val="21"/>
              </w:rPr>
              <w:t>9.2.43</w:t>
            </w:r>
          </w:p>
        </w:tc>
        <w:tc>
          <w:tcPr>
            <w:tcW w:w="1503" w:type="dxa"/>
          </w:tcPr>
          <w:p>
            <w:pPr>
              <w:pStyle w:val="TableParagraph"/>
              <w:spacing w:line="273" w:lineRule="auto"/>
              <w:ind w:left="107" w:right="129" w:hanging="1"/>
              <w:rPr>
                <w:sz w:val="21"/>
              </w:rPr>
            </w:pPr>
            <w:r>
              <w:rPr>
                <w:sz w:val="21"/>
              </w:rPr>
              <w:t>肺淋巴管肌瘤病</w:t>
            </w:r>
          </w:p>
        </w:tc>
        <w:tc>
          <w:tcPr>
            <w:tcW w:w="8171" w:type="dxa"/>
          </w:tcPr>
          <w:p>
            <w:pPr>
              <w:pStyle w:val="TableParagraph"/>
              <w:spacing w:line="273" w:lineRule="auto"/>
              <w:ind w:left="130" w:right="247"/>
              <w:rPr>
                <w:sz w:val="21"/>
              </w:rPr>
            </w:pPr>
            <w:r>
              <w:rPr>
                <w:sz w:val="21"/>
              </w:rPr>
              <w:t>是一种弥漫性肺部疾病，主要病理改变为肺间质、支气管、血管和淋巴管内出现未成熟的平滑肌异常增生，并须满足下列全部条件：</w:t>
            </w:r>
          </w:p>
          <w:p>
            <w:pPr>
              <w:pStyle w:val="TableParagraph"/>
              <w:numPr>
                <w:ilvl w:val="0"/>
                <w:numId w:val="47"/>
              </w:numPr>
              <w:tabs>
                <w:tab w:pos="761" w:val="left" w:leader="none"/>
              </w:tabs>
              <w:spacing w:line="240" w:lineRule="auto" w:before="85" w:after="0"/>
              <w:ind w:left="760" w:right="0" w:hanging="630"/>
              <w:jc w:val="left"/>
              <w:rPr>
                <w:sz w:val="21"/>
              </w:rPr>
            </w:pPr>
            <w:r>
              <w:rPr>
                <w:sz w:val="21"/>
              </w:rPr>
              <w:t>经组织病理学诊断；</w:t>
            </w:r>
          </w:p>
          <w:p>
            <w:pPr>
              <w:pStyle w:val="TableParagraph"/>
              <w:numPr>
                <w:ilvl w:val="0"/>
                <w:numId w:val="47"/>
              </w:numPr>
              <w:tabs>
                <w:tab w:pos="761" w:val="left" w:leader="none"/>
              </w:tabs>
              <w:spacing w:line="240" w:lineRule="auto" w:before="114" w:after="0"/>
              <w:ind w:left="760" w:right="0" w:hanging="630"/>
              <w:jc w:val="left"/>
              <w:rPr>
                <w:sz w:val="21"/>
              </w:rPr>
            </w:pPr>
            <w:r>
              <w:rPr>
                <w:sz w:val="21"/>
              </w:rPr>
              <w:t>CT</w:t>
            </w:r>
            <w:r>
              <w:rPr>
                <w:spacing w:val="-8"/>
                <w:sz w:val="21"/>
              </w:rPr>
              <w:t> 显示双肺弥漫性囊性改变；</w:t>
            </w:r>
          </w:p>
          <w:p>
            <w:pPr>
              <w:pStyle w:val="TableParagraph"/>
              <w:numPr>
                <w:ilvl w:val="0"/>
                <w:numId w:val="47"/>
              </w:numPr>
              <w:tabs>
                <w:tab w:pos="761" w:val="left" w:leader="none"/>
              </w:tabs>
              <w:spacing w:line="240" w:lineRule="auto" w:before="114" w:after="0"/>
              <w:ind w:left="760" w:right="0" w:hanging="630"/>
              <w:jc w:val="left"/>
              <w:rPr>
                <w:sz w:val="21"/>
              </w:rPr>
            </w:pPr>
            <w:r>
              <w:rPr>
                <w:sz w:val="21"/>
              </w:rPr>
              <w:t>动脉血氧分压（PaO2）＜55mmHg。</w:t>
            </w:r>
          </w:p>
        </w:tc>
      </w:tr>
      <w:tr>
        <w:trPr>
          <w:trHeight w:val="385" w:hRule="atLeast"/>
        </w:trPr>
        <w:tc>
          <w:tcPr>
            <w:tcW w:w="943" w:type="dxa"/>
          </w:tcPr>
          <w:p>
            <w:pPr>
              <w:pStyle w:val="TableParagraph"/>
              <w:spacing w:line="255" w:lineRule="exact"/>
              <w:ind w:right="106"/>
              <w:jc w:val="right"/>
              <w:rPr>
                <w:sz w:val="21"/>
              </w:rPr>
            </w:pPr>
            <w:r>
              <w:rPr>
                <w:sz w:val="21"/>
              </w:rPr>
              <w:t>9.2.44</w:t>
            </w:r>
          </w:p>
        </w:tc>
        <w:tc>
          <w:tcPr>
            <w:tcW w:w="1503" w:type="dxa"/>
          </w:tcPr>
          <w:p>
            <w:pPr>
              <w:pStyle w:val="TableParagraph"/>
              <w:spacing w:line="255" w:lineRule="exact"/>
              <w:ind w:left="107"/>
              <w:rPr>
                <w:sz w:val="21"/>
              </w:rPr>
            </w:pPr>
            <w:r>
              <w:rPr>
                <w:sz w:val="21"/>
              </w:rPr>
              <w:t>肾髓质囊性病</w:t>
            </w:r>
          </w:p>
        </w:tc>
        <w:tc>
          <w:tcPr>
            <w:tcW w:w="8171" w:type="dxa"/>
          </w:tcPr>
          <w:p>
            <w:pPr>
              <w:pStyle w:val="TableParagraph"/>
              <w:spacing w:line="255" w:lineRule="exact"/>
              <w:ind w:left="130"/>
              <w:rPr>
                <w:rFonts w:ascii="黑体" w:eastAsia="黑体" w:hint="eastAsia"/>
                <w:sz w:val="21"/>
              </w:rPr>
            </w:pPr>
            <w:r>
              <w:rPr>
                <w:rFonts w:ascii="黑体" w:eastAsia="黑体" w:hint="eastAsia"/>
                <w:sz w:val="21"/>
              </w:rPr>
              <w:t>肾髓质囊性病的诊断须同时符合下列要求：</w:t>
            </w:r>
          </w:p>
        </w:tc>
      </w:tr>
    </w:tbl>
    <w:p>
      <w:pPr>
        <w:spacing w:after="0" w:line="255" w:lineRule="exact"/>
        <w:rPr>
          <w:rFonts w:ascii="黑体" w:eastAsia="黑体" w:hint="eastAsia"/>
          <w:sz w:val="21"/>
        </w:rPr>
        <w:sectPr>
          <w:pgSz w:w="11900" w:h="16840"/>
          <w:pgMar w:top="1240" w:bottom="280" w:left="820" w:right="2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03"/>
        <w:gridCol w:w="8170"/>
      </w:tblGrid>
      <w:tr>
        <w:trPr>
          <w:trHeight w:val="1555" w:hRule="atLeast"/>
        </w:trPr>
        <w:tc>
          <w:tcPr>
            <w:tcW w:w="943" w:type="dxa"/>
          </w:tcPr>
          <w:p>
            <w:pPr>
              <w:pStyle w:val="TableParagraph"/>
              <w:spacing w:before="0"/>
              <w:rPr>
                <w:rFonts w:ascii="Times New Roman"/>
                <w:sz w:val="20"/>
              </w:rPr>
            </w:pPr>
          </w:p>
        </w:tc>
        <w:tc>
          <w:tcPr>
            <w:tcW w:w="1503" w:type="dxa"/>
          </w:tcPr>
          <w:p>
            <w:pPr>
              <w:pStyle w:val="TableParagraph"/>
              <w:spacing w:before="0"/>
              <w:rPr>
                <w:rFonts w:ascii="Times New Roman"/>
                <w:sz w:val="20"/>
              </w:rPr>
            </w:pPr>
          </w:p>
        </w:tc>
        <w:tc>
          <w:tcPr>
            <w:tcW w:w="8170" w:type="dxa"/>
          </w:tcPr>
          <w:p>
            <w:pPr>
              <w:pStyle w:val="TableParagraph"/>
              <w:numPr>
                <w:ilvl w:val="0"/>
                <w:numId w:val="48"/>
              </w:numPr>
              <w:tabs>
                <w:tab w:pos="865" w:val="left" w:leader="none"/>
                <w:tab w:pos="866" w:val="left" w:leader="none"/>
              </w:tabs>
              <w:spacing w:line="210" w:lineRule="exact" w:before="0" w:after="0"/>
              <w:ind w:left="865" w:right="0" w:hanging="735"/>
              <w:jc w:val="left"/>
              <w:rPr>
                <w:sz w:val="21"/>
              </w:rPr>
            </w:pPr>
            <w:r>
              <w:rPr>
                <w:sz w:val="21"/>
              </w:rPr>
              <w:t>肾髓质有囊肿、肾小管萎缩及间质纤维化等病理改变；</w:t>
            </w:r>
          </w:p>
          <w:p>
            <w:pPr>
              <w:pStyle w:val="TableParagraph"/>
              <w:numPr>
                <w:ilvl w:val="0"/>
                <w:numId w:val="48"/>
              </w:numPr>
              <w:tabs>
                <w:tab w:pos="865" w:val="left" w:leader="none"/>
                <w:tab w:pos="866" w:val="left" w:leader="none"/>
              </w:tabs>
              <w:spacing w:line="240" w:lineRule="auto" w:before="115" w:after="0"/>
              <w:ind w:left="865" w:right="0" w:hanging="735"/>
              <w:jc w:val="left"/>
              <w:rPr>
                <w:sz w:val="21"/>
              </w:rPr>
            </w:pPr>
            <w:r>
              <w:rPr>
                <w:sz w:val="21"/>
              </w:rPr>
              <w:t>贫血、多尿及肾功能衰竭等临床表现；</w:t>
            </w:r>
          </w:p>
          <w:p>
            <w:pPr>
              <w:pStyle w:val="TableParagraph"/>
              <w:numPr>
                <w:ilvl w:val="0"/>
                <w:numId w:val="48"/>
              </w:numPr>
              <w:tabs>
                <w:tab w:pos="865" w:val="left" w:leader="none"/>
                <w:tab w:pos="866" w:val="left" w:leader="none"/>
              </w:tabs>
              <w:spacing w:line="240" w:lineRule="auto" w:before="115" w:after="0"/>
              <w:ind w:left="865" w:right="0" w:hanging="735"/>
              <w:jc w:val="left"/>
              <w:rPr>
                <w:sz w:val="21"/>
              </w:rPr>
            </w:pPr>
            <w:r>
              <w:rPr>
                <w:sz w:val="21"/>
              </w:rPr>
              <w:t>诊断须由肾组织活检确定。</w:t>
            </w:r>
          </w:p>
          <w:p>
            <w:pPr>
              <w:pStyle w:val="TableParagraph"/>
              <w:spacing w:before="115"/>
              <w:ind w:left="130"/>
              <w:rPr>
                <w:rFonts w:ascii="黑体" w:eastAsia="黑体" w:hint="eastAsia"/>
                <w:sz w:val="21"/>
              </w:rPr>
            </w:pPr>
            <w:r>
              <w:rPr>
                <w:rFonts w:ascii="黑体" w:eastAsia="黑体" w:hint="eastAsia"/>
                <w:sz w:val="21"/>
              </w:rPr>
              <w:t>单独或良性肾囊肿则不在保障范围内。</w:t>
            </w:r>
          </w:p>
        </w:tc>
      </w:tr>
      <w:tr>
        <w:trPr>
          <w:trHeight w:val="2656" w:hRule="atLeast"/>
        </w:trPr>
        <w:tc>
          <w:tcPr>
            <w:tcW w:w="943" w:type="dxa"/>
          </w:tcPr>
          <w:p>
            <w:pPr>
              <w:pStyle w:val="TableParagraph"/>
              <w:ind w:right="106"/>
              <w:jc w:val="right"/>
              <w:rPr>
                <w:sz w:val="21"/>
              </w:rPr>
            </w:pPr>
            <w:r>
              <w:rPr>
                <w:sz w:val="21"/>
              </w:rPr>
              <w:t>9.2.45</w:t>
            </w:r>
          </w:p>
        </w:tc>
        <w:tc>
          <w:tcPr>
            <w:tcW w:w="1503" w:type="dxa"/>
          </w:tcPr>
          <w:p>
            <w:pPr>
              <w:pStyle w:val="TableParagraph"/>
              <w:spacing w:line="273" w:lineRule="auto"/>
              <w:ind w:left="107" w:right="129" w:hanging="1"/>
              <w:rPr>
                <w:sz w:val="21"/>
              </w:rPr>
            </w:pPr>
            <w:r>
              <w:rPr>
                <w:sz w:val="21"/>
              </w:rPr>
              <w:t>严重Ｉ型糖尿病</w:t>
            </w:r>
          </w:p>
        </w:tc>
        <w:tc>
          <w:tcPr>
            <w:tcW w:w="8170" w:type="dxa"/>
          </w:tcPr>
          <w:p>
            <w:pPr>
              <w:pStyle w:val="TableParagraph"/>
              <w:spacing w:line="273" w:lineRule="auto"/>
              <w:ind w:left="130" w:right="303"/>
              <w:jc w:val="both"/>
              <w:rPr>
                <w:sz w:val="21"/>
              </w:rPr>
            </w:pPr>
            <w:r>
              <w:rPr>
                <w:spacing w:val="-3"/>
                <w:sz w:val="21"/>
              </w:rPr>
              <w:t>指因严重的胰岛素缺乏导致的一组糖、脂肪、蛋白质代谢异常综合症，且须依赖外源</w:t>
            </w:r>
            <w:r>
              <w:rPr>
                <w:spacing w:val="-7"/>
                <w:sz w:val="21"/>
              </w:rPr>
              <w:t>性胰岛素进行机体的葡萄糖代谢和维持生命。本病须经血胰岛素测定、血 </w:t>
            </w:r>
            <w:r>
              <w:rPr>
                <w:sz w:val="21"/>
              </w:rPr>
              <w:t>C</w:t>
            </w:r>
            <w:r>
              <w:rPr>
                <w:spacing w:val="-12"/>
                <w:sz w:val="21"/>
              </w:rPr>
              <w:t> 肽测定或</w:t>
            </w:r>
            <w:r>
              <w:rPr>
                <w:spacing w:val="-33"/>
                <w:sz w:val="21"/>
              </w:rPr>
              <w:t>尿 </w:t>
            </w:r>
            <w:r>
              <w:rPr>
                <w:sz w:val="21"/>
              </w:rPr>
              <w:t>C</w:t>
            </w:r>
            <w:r>
              <w:rPr>
                <w:spacing w:val="-11"/>
                <w:sz w:val="21"/>
              </w:rPr>
              <w:t> 肽测定检查证实，且被保险人已经接受了持续的胰岛素治疗 </w:t>
            </w:r>
            <w:r>
              <w:rPr>
                <w:sz w:val="21"/>
              </w:rPr>
              <w:t>180</w:t>
            </w:r>
            <w:r>
              <w:rPr>
                <w:spacing w:val="-11"/>
                <w:sz w:val="21"/>
              </w:rPr>
              <w:t> 天以上，并须满足下列至少一项条件：</w:t>
            </w:r>
          </w:p>
          <w:p>
            <w:pPr>
              <w:pStyle w:val="TableParagraph"/>
              <w:numPr>
                <w:ilvl w:val="0"/>
                <w:numId w:val="49"/>
              </w:numPr>
              <w:tabs>
                <w:tab w:pos="761" w:val="left" w:leader="none"/>
              </w:tabs>
              <w:spacing w:line="240" w:lineRule="auto" w:before="85" w:after="0"/>
              <w:ind w:left="760" w:right="0" w:hanging="630"/>
              <w:jc w:val="both"/>
              <w:rPr>
                <w:sz w:val="21"/>
              </w:rPr>
            </w:pPr>
            <w:r>
              <w:rPr>
                <w:sz w:val="21"/>
              </w:rPr>
              <w:t>并发增殖性视网膜病变；</w:t>
            </w:r>
          </w:p>
          <w:p>
            <w:pPr>
              <w:pStyle w:val="TableParagraph"/>
              <w:numPr>
                <w:ilvl w:val="0"/>
                <w:numId w:val="49"/>
              </w:numPr>
              <w:tabs>
                <w:tab w:pos="761" w:val="left" w:leader="none"/>
              </w:tabs>
              <w:spacing w:line="240" w:lineRule="auto" w:before="115" w:after="0"/>
              <w:ind w:left="760" w:right="0" w:hanging="630"/>
              <w:jc w:val="both"/>
              <w:rPr>
                <w:sz w:val="21"/>
              </w:rPr>
            </w:pPr>
            <w:r>
              <w:rPr>
                <w:sz w:val="21"/>
              </w:rPr>
              <w:t>并发心脏病变，已经植入心脏起搏器；</w:t>
            </w:r>
          </w:p>
          <w:p>
            <w:pPr>
              <w:pStyle w:val="TableParagraph"/>
              <w:numPr>
                <w:ilvl w:val="0"/>
                <w:numId w:val="49"/>
              </w:numPr>
              <w:tabs>
                <w:tab w:pos="761" w:val="left" w:leader="none"/>
              </w:tabs>
              <w:spacing w:line="240" w:lineRule="auto" w:before="115" w:after="0"/>
              <w:ind w:left="760" w:right="0" w:hanging="630"/>
              <w:jc w:val="both"/>
              <w:rPr>
                <w:sz w:val="21"/>
              </w:rPr>
            </w:pPr>
            <w:r>
              <w:rPr>
                <w:sz w:val="21"/>
              </w:rPr>
              <w:t>至少一个脚趾发生坏疽并已经实施手术切除。</w:t>
            </w:r>
          </w:p>
        </w:tc>
      </w:tr>
      <w:tr>
        <w:trPr>
          <w:trHeight w:val="3427" w:hRule="atLeast"/>
        </w:trPr>
        <w:tc>
          <w:tcPr>
            <w:tcW w:w="943" w:type="dxa"/>
          </w:tcPr>
          <w:p>
            <w:pPr>
              <w:pStyle w:val="TableParagraph"/>
              <w:spacing w:before="118"/>
              <w:ind w:right="106"/>
              <w:jc w:val="right"/>
              <w:rPr>
                <w:sz w:val="21"/>
              </w:rPr>
            </w:pPr>
            <w:r>
              <w:rPr>
                <w:sz w:val="21"/>
              </w:rPr>
              <w:t>9.2.46</w:t>
            </w:r>
          </w:p>
        </w:tc>
        <w:tc>
          <w:tcPr>
            <w:tcW w:w="1503" w:type="dxa"/>
          </w:tcPr>
          <w:p>
            <w:pPr>
              <w:pStyle w:val="TableParagraph"/>
              <w:spacing w:line="273" w:lineRule="auto" w:before="101"/>
              <w:ind w:left="107" w:right="129"/>
              <w:rPr>
                <w:sz w:val="21"/>
              </w:rPr>
            </w:pPr>
            <w:r>
              <w:rPr>
                <w:sz w:val="21"/>
              </w:rPr>
              <w:t>严重类风湿性关节炎</w:t>
            </w:r>
          </w:p>
        </w:tc>
        <w:tc>
          <w:tcPr>
            <w:tcW w:w="8170" w:type="dxa"/>
          </w:tcPr>
          <w:p>
            <w:pPr>
              <w:pStyle w:val="TableParagraph"/>
              <w:spacing w:before="119"/>
              <w:ind w:left="130"/>
              <w:rPr>
                <w:sz w:val="21"/>
              </w:rPr>
            </w:pPr>
            <w:r>
              <w:rPr>
                <w:sz w:val="21"/>
              </w:rPr>
              <w:t>指广泛分布的慢性进行性多关节病变，表现为关节严重变形，侵犯至少三个主要关节</w:t>
            </w:r>
          </w:p>
          <w:p>
            <w:pPr>
              <w:pStyle w:val="TableParagraph"/>
              <w:spacing w:line="273" w:lineRule="auto" w:before="37"/>
              <w:ind w:left="130" w:right="199"/>
              <w:rPr>
                <w:rFonts w:ascii="黑体" w:eastAsia="黑体" w:hint="eastAsia"/>
                <w:sz w:val="21"/>
              </w:rPr>
            </w:pPr>
            <w:r>
              <w:rPr>
                <w:sz w:val="21"/>
              </w:rPr>
              <w:t>（</w:t>
            </w:r>
            <w:r>
              <w:rPr>
                <w:spacing w:val="-11"/>
                <w:sz w:val="21"/>
              </w:rPr>
              <w:t>腕关节、肘关节、肩关节、踝关节、膝关节、髋关节</w:t>
            </w:r>
            <w:r>
              <w:rPr>
                <w:spacing w:val="-21"/>
                <w:sz w:val="21"/>
              </w:rPr>
              <w:t>）</w:t>
            </w:r>
            <w:r>
              <w:rPr>
                <w:spacing w:val="-6"/>
                <w:sz w:val="21"/>
              </w:rPr>
              <w:t>或关节组</w:t>
            </w:r>
            <w:r>
              <w:rPr>
                <w:sz w:val="21"/>
              </w:rPr>
              <w:t>（如手的多个指间、</w:t>
            </w:r>
            <w:r>
              <w:rPr>
                <w:spacing w:val="-9"/>
                <w:sz w:val="21"/>
              </w:rPr>
              <w:t>掌指关节，足的多个足趾、跖趾关节等</w:t>
            </w:r>
            <w:r>
              <w:rPr>
                <w:spacing w:val="-68"/>
                <w:sz w:val="21"/>
              </w:rPr>
              <w:t>）</w:t>
            </w:r>
            <w:r>
              <w:rPr>
                <w:spacing w:val="-12"/>
                <w:sz w:val="21"/>
              </w:rPr>
              <w:t>，并已达到类风湿性关节炎功能分类 </w:t>
            </w:r>
            <w:r>
              <w:rPr>
                <w:sz w:val="21"/>
              </w:rPr>
              <w:t>IV</w:t>
            </w:r>
            <w:r>
              <w:rPr>
                <w:spacing w:val="-3"/>
                <w:sz w:val="21"/>
              </w:rPr>
              <w:t> 级的</w:t>
            </w:r>
            <w:r>
              <w:rPr>
                <w:spacing w:val="-1"/>
                <w:sz w:val="21"/>
              </w:rPr>
              <w:t>永久不可逆性关节功能障碍，</w:t>
            </w:r>
            <w:r>
              <w:rPr>
                <w:rFonts w:ascii="黑体" w:eastAsia="黑体" w:hint="eastAsia"/>
                <w:sz w:val="21"/>
              </w:rPr>
              <w:t>并须满足下列全部条件：</w:t>
            </w:r>
          </w:p>
          <w:p>
            <w:pPr>
              <w:pStyle w:val="TableParagraph"/>
              <w:numPr>
                <w:ilvl w:val="0"/>
                <w:numId w:val="50"/>
              </w:numPr>
              <w:tabs>
                <w:tab w:pos="761" w:val="left" w:leader="none"/>
              </w:tabs>
              <w:spacing w:line="240" w:lineRule="auto" w:before="85" w:after="0"/>
              <w:ind w:left="760" w:right="0" w:hanging="630"/>
              <w:jc w:val="left"/>
              <w:rPr>
                <w:sz w:val="21"/>
              </w:rPr>
            </w:pPr>
            <w:r>
              <w:rPr>
                <w:sz w:val="21"/>
              </w:rPr>
              <w:t>晨僵；</w:t>
            </w:r>
          </w:p>
          <w:p>
            <w:pPr>
              <w:pStyle w:val="TableParagraph"/>
              <w:numPr>
                <w:ilvl w:val="0"/>
                <w:numId w:val="50"/>
              </w:numPr>
              <w:tabs>
                <w:tab w:pos="761" w:val="left" w:leader="none"/>
              </w:tabs>
              <w:spacing w:line="240" w:lineRule="auto" w:before="114" w:after="0"/>
              <w:ind w:left="760" w:right="0" w:hanging="630"/>
              <w:jc w:val="left"/>
              <w:rPr>
                <w:sz w:val="21"/>
              </w:rPr>
            </w:pPr>
            <w:r>
              <w:rPr>
                <w:sz w:val="21"/>
              </w:rPr>
              <w:t>对称性关节炎；</w:t>
            </w:r>
          </w:p>
          <w:p>
            <w:pPr>
              <w:pStyle w:val="TableParagraph"/>
              <w:numPr>
                <w:ilvl w:val="0"/>
                <w:numId w:val="50"/>
              </w:numPr>
              <w:tabs>
                <w:tab w:pos="761" w:val="left" w:leader="none"/>
              </w:tabs>
              <w:spacing w:line="240" w:lineRule="auto" w:before="114" w:after="0"/>
              <w:ind w:left="760" w:right="0" w:hanging="630"/>
              <w:jc w:val="left"/>
              <w:rPr>
                <w:sz w:val="21"/>
              </w:rPr>
            </w:pPr>
            <w:r>
              <w:rPr>
                <w:sz w:val="21"/>
              </w:rPr>
              <w:t>类风湿性皮下结节；</w:t>
            </w:r>
          </w:p>
          <w:p>
            <w:pPr>
              <w:pStyle w:val="TableParagraph"/>
              <w:numPr>
                <w:ilvl w:val="0"/>
                <w:numId w:val="50"/>
              </w:numPr>
              <w:tabs>
                <w:tab w:pos="761" w:val="left" w:leader="none"/>
              </w:tabs>
              <w:spacing w:line="240" w:lineRule="auto" w:before="114" w:after="0"/>
              <w:ind w:left="760" w:right="0" w:hanging="630"/>
              <w:jc w:val="left"/>
              <w:rPr>
                <w:sz w:val="21"/>
              </w:rPr>
            </w:pPr>
            <w:r>
              <w:rPr>
                <w:sz w:val="21"/>
              </w:rPr>
              <w:t>类风湿因子滴度升高；</w:t>
            </w:r>
          </w:p>
          <w:p>
            <w:pPr>
              <w:pStyle w:val="TableParagraph"/>
              <w:numPr>
                <w:ilvl w:val="0"/>
                <w:numId w:val="50"/>
              </w:numPr>
              <w:tabs>
                <w:tab w:pos="761" w:val="left" w:leader="none"/>
              </w:tabs>
              <w:spacing w:line="240" w:lineRule="auto" w:before="96" w:after="0"/>
              <w:ind w:left="760" w:right="0" w:hanging="630"/>
              <w:jc w:val="left"/>
              <w:rPr>
                <w:sz w:val="21"/>
              </w:rPr>
            </w:pPr>
            <w:r>
              <w:rPr>
                <w:sz w:val="21"/>
              </w:rPr>
              <w:t>X 线显示严重的关节（软骨和骨）破坏和关节畸形。</w:t>
            </w:r>
          </w:p>
        </w:tc>
      </w:tr>
      <w:tr>
        <w:trPr>
          <w:trHeight w:val="3839" w:hRule="atLeast"/>
        </w:trPr>
        <w:tc>
          <w:tcPr>
            <w:tcW w:w="943" w:type="dxa"/>
          </w:tcPr>
          <w:p>
            <w:pPr>
              <w:pStyle w:val="TableParagraph"/>
              <w:spacing w:before="119"/>
              <w:ind w:right="106"/>
              <w:jc w:val="right"/>
              <w:rPr>
                <w:sz w:val="21"/>
              </w:rPr>
            </w:pPr>
            <w:r>
              <w:rPr>
                <w:sz w:val="21"/>
              </w:rPr>
              <w:t>9.2.47</w:t>
            </w:r>
          </w:p>
        </w:tc>
        <w:tc>
          <w:tcPr>
            <w:tcW w:w="1503" w:type="dxa"/>
          </w:tcPr>
          <w:p>
            <w:pPr>
              <w:pStyle w:val="TableParagraph"/>
              <w:spacing w:line="273" w:lineRule="auto" w:before="101"/>
              <w:ind w:left="107" w:right="129"/>
              <w:jc w:val="both"/>
              <w:rPr>
                <w:sz w:val="21"/>
              </w:rPr>
            </w:pPr>
            <w:r>
              <w:rPr>
                <w:sz w:val="21"/>
              </w:rPr>
              <w:t>系统性红斑狼疮并发重度的肾功能损害</w:t>
            </w:r>
          </w:p>
        </w:tc>
        <w:tc>
          <w:tcPr>
            <w:tcW w:w="8170" w:type="dxa"/>
          </w:tcPr>
          <w:p>
            <w:pPr>
              <w:pStyle w:val="TableParagraph"/>
              <w:spacing w:line="273" w:lineRule="auto" w:before="101"/>
              <w:ind w:left="130" w:right="267"/>
              <w:rPr>
                <w:sz w:val="21"/>
              </w:rPr>
            </w:pPr>
            <w:r>
              <w:rPr>
                <w:spacing w:val="-3"/>
                <w:sz w:val="21"/>
              </w:rPr>
              <w:t>指系统性红斑狼疮累及肾脏，且经肾脏活检确认，符合 </w:t>
            </w:r>
            <w:r>
              <w:rPr>
                <w:sz w:val="21"/>
              </w:rPr>
              <w:t>WHO</w:t>
            </w:r>
            <w:r>
              <w:rPr>
                <w:spacing w:val="-8"/>
                <w:sz w:val="21"/>
              </w:rPr>
              <w:t> 诊断标准定义Ⅲ型</w:t>
            </w:r>
            <w:r>
              <w:rPr>
                <w:sz w:val="21"/>
              </w:rPr>
              <w:t>（含） 以上的狼疮性肾炎。</w:t>
            </w:r>
          </w:p>
          <w:p>
            <w:pPr>
              <w:pStyle w:val="TableParagraph"/>
              <w:spacing w:before="67"/>
              <w:ind w:left="130"/>
              <w:rPr>
                <w:rFonts w:ascii="黑体" w:eastAsia="黑体" w:hint="eastAsia"/>
                <w:sz w:val="21"/>
              </w:rPr>
            </w:pPr>
            <w:r>
              <w:rPr>
                <w:rFonts w:ascii="黑体" w:eastAsia="黑体" w:hint="eastAsia"/>
                <w:sz w:val="21"/>
              </w:rPr>
              <w:t>其他类型的红斑性狼疮，如盘状红斑狼疮、未累及肾脏的红斑狼疮不在保障范围内。</w:t>
            </w:r>
          </w:p>
          <w:p>
            <w:pPr>
              <w:pStyle w:val="TableParagraph"/>
              <w:spacing w:before="96"/>
              <w:ind w:left="130"/>
              <w:rPr>
                <w:sz w:val="21"/>
              </w:rPr>
            </w:pPr>
            <w:r>
              <w:rPr>
                <w:sz w:val="21"/>
              </w:rPr>
              <w:t>世界卫生组织（WHO）狼疮性肾炎分型：</w:t>
            </w:r>
          </w:p>
          <w:p>
            <w:pPr>
              <w:pStyle w:val="TableParagraph"/>
              <w:numPr>
                <w:ilvl w:val="0"/>
                <w:numId w:val="51"/>
              </w:numPr>
              <w:tabs>
                <w:tab w:pos="865" w:val="left" w:leader="none"/>
                <w:tab w:pos="866" w:val="left" w:leader="none"/>
              </w:tabs>
              <w:spacing w:line="240" w:lineRule="auto" w:before="96" w:after="0"/>
              <w:ind w:left="865" w:right="0" w:hanging="735"/>
              <w:jc w:val="left"/>
              <w:rPr>
                <w:sz w:val="21"/>
              </w:rPr>
            </w:pPr>
            <w:r>
              <w:rPr>
                <w:sz w:val="21"/>
              </w:rPr>
              <w:t>I</w:t>
            </w:r>
            <w:r>
              <w:rPr>
                <w:spacing w:val="-8"/>
                <w:sz w:val="21"/>
              </w:rPr>
              <w:t> 型微小病变型；</w:t>
            </w:r>
          </w:p>
          <w:p>
            <w:pPr>
              <w:pStyle w:val="TableParagraph"/>
              <w:numPr>
                <w:ilvl w:val="0"/>
                <w:numId w:val="51"/>
              </w:numPr>
              <w:tabs>
                <w:tab w:pos="865" w:val="left" w:leader="none"/>
                <w:tab w:pos="866" w:val="left" w:leader="none"/>
              </w:tabs>
              <w:spacing w:line="240" w:lineRule="auto" w:before="96" w:after="0"/>
              <w:ind w:left="865" w:right="0" w:hanging="735"/>
              <w:jc w:val="left"/>
              <w:rPr>
                <w:sz w:val="21"/>
              </w:rPr>
            </w:pPr>
            <w:r>
              <w:rPr>
                <w:sz w:val="21"/>
              </w:rPr>
              <w:t>Ⅱ型系膜病变型；</w:t>
            </w:r>
          </w:p>
          <w:p>
            <w:pPr>
              <w:pStyle w:val="TableParagraph"/>
              <w:numPr>
                <w:ilvl w:val="0"/>
                <w:numId w:val="51"/>
              </w:numPr>
              <w:tabs>
                <w:tab w:pos="865" w:val="left" w:leader="none"/>
                <w:tab w:pos="866" w:val="left" w:leader="none"/>
              </w:tabs>
              <w:spacing w:line="240" w:lineRule="auto" w:before="96" w:after="0"/>
              <w:ind w:left="865" w:right="0" w:hanging="735"/>
              <w:jc w:val="left"/>
              <w:rPr>
                <w:sz w:val="21"/>
              </w:rPr>
            </w:pPr>
            <w:r>
              <w:rPr>
                <w:sz w:val="21"/>
              </w:rPr>
              <w:t>Ⅲ型局灶及节段增生型；</w:t>
            </w:r>
          </w:p>
          <w:p>
            <w:pPr>
              <w:pStyle w:val="TableParagraph"/>
              <w:numPr>
                <w:ilvl w:val="0"/>
                <w:numId w:val="51"/>
              </w:numPr>
              <w:tabs>
                <w:tab w:pos="865" w:val="left" w:leader="none"/>
                <w:tab w:pos="866" w:val="left" w:leader="none"/>
              </w:tabs>
              <w:spacing w:line="240" w:lineRule="auto" w:before="96" w:after="0"/>
              <w:ind w:left="865" w:right="0" w:hanging="735"/>
              <w:jc w:val="left"/>
              <w:rPr>
                <w:sz w:val="21"/>
              </w:rPr>
            </w:pPr>
            <w:r>
              <w:rPr>
                <w:sz w:val="21"/>
              </w:rPr>
              <w:t>Ⅳ型弥漫增生型；</w:t>
            </w:r>
          </w:p>
          <w:p>
            <w:pPr>
              <w:pStyle w:val="TableParagraph"/>
              <w:numPr>
                <w:ilvl w:val="0"/>
                <w:numId w:val="51"/>
              </w:numPr>
              <w:tabs>
                <w:tab w:pos="865" w:val="left" w:leader="none"/>
                <w:tab w:pos="866" w:val="left" w:leader="none"/>
              </w:tabs>
              <w:spacing w:line="240" w:lineRule="auto" w:before="96" w:after="0"/>
              <w:ind w:left="865" w:right="0" w:hanging="735"/>
              <w:jc w:val="left"/>
              <w:rPr>
                <w:sz w:val="21"/>
              </w:rPr>
            </w:pPr>
            <w:r>
              <w:rPr>
                <w:sz w:val="21"/>
              </w:rPr>
              <w:t>V</w:t>
            </w:r>
            <w:r>
              <w:rPr>
                <w:spacing w:val="-12"/>
                <w:sz w:val="21"/>
              </w:rPr>
              <w:t> 型膜型；</w:t>
            </w:r>
          </w:p>
          <w:p>
            <w:pPr>
              <w:pStyle w:val="TableParagraph"/>
              <w:numPr>
                <w:ilvl w:val="0"/>
                <w:numId w:val="51"/>
              </w:numPr>
              <w:tabs>
                <w:tab w:pos="865" w:val="left" w:leader="none"/>
                <w:tab w:pos="866" w:val="left" w:leader="none"/>
              </w:tabs>
              <w:spacing w:line="240" w:lineRule="auto" w:before="96" w:after="0"/>
              <w:ind w:left="865" w:right="0" w:hanging="735"/>
              <w:jc w:val="left"/>
              <w:rPr>
                <w:sz w:val="21"/>
              </w:rPr>
            </w:pPr>
            <w:r>
              <w:rPr>
                <w:sz w:val="21"/>
              </w:rPr>
              <w:t>VI</w:t>
            </w:r>
            <w:r>
              <w:rPr>
                <w:spacing w:val="-8"/>
                <w:sz w:val="21"/>
              </w:rPr>
              <w:t> 型肾小球硬化型。</w:t>
            </w:r>
          </w:p>
        </w:tc>
      </w:tr>
      <w:tr>
        <w:trPr>
          <w:trHeight w:val="2647" w:hRule="atLeast"/>
        </w:trPr>
        <w:tc>
          <w:tcPr>
            <w:tcW w:w="943" w:type="dxa"/>
          </w:tcPr>
          <w:p>
            <w:pPr>
              <w:pStyle w:val="TableParagraph"/>
              <w:ind w:right="106"/>
              <w:jc w:val="right"/>
              <w:rPr>
                <w:sz w:val="21"/>
              </w:rPr>
            </w:pPr>
            <w:r>
              <w:rPr>
                <w:sz w:val="21"/>
              </w:rPr>
              <w:t>9.2.48</w:t>
            </w:r>
          </w:p>
        </w:tc>
        <w:tc>
          <w:tcPr>
            <w:tcW w:w="1503" w:type="dxa"/>
          </w:tcPr>
          <w:p>
            <w:pPr>
              <w:pStyle w:val="TableParagraph"/>
              <w:ind w:left="107"/>
              <w:rPr>
                <w:sz w:val="21"/>
              </w:rPr>
            </w:pPr>
            <w:r>
              <w:rPr>
                <w:sz w:val="21"/>
              </w:rPr>
              <w:t>系统性硬皮病</w:t>
            </w:r>
          </w:p>
        </w:tc>
        <w:tc>
          <w:tcPr>
            <w:tcW w:w="8170" w:type="dxa"/>
          </w:tcPr>
          <w:p>
            <w:pPr>
              <w:pStyle w:val="TableParagraph"/>
              <w:spacing w:line="273" w:lineRule="auto"/>
              <w:ind w:left="130" w:right="246"/>
              <w:rPr>
                <w:rFonts w:ascii="黑体" w:eastAsia="黑体" w:hint="eastAsia"/>
                <w:sz w:val="21"/>
              </w:rPr>
            </w:pPr>
            <w:r>
              <w:rPr>
                <w:sz w:val="21"/>
              </w:rPr>
              <w:t>一种系统性胶原血管病引起进行性的皮肤、血管和内脏器官的弥漫性纤维化。本病症须经专科医生明确诊断，</w:t>
            </w:r>
            <w:r>
              <w:rPr>
                <w:rFonts w:ascii="黑体" w:eastAsia="黑体" w:hint="eastAsia"/>
                <w:sz w:val="21"/>
              </w:rPr>
              <w:t>并须满足下列全部条件：</w:t>
            </w:r>
          </w:p>
          <w:p>
            <w:pPr>
              <w:pStyle w:val="TableParagraph"/>
              <w:numPr>
                <w:ilvl w:val="0"/>
                <w:numId w:val="52"/>
              </w:numPr>
              <w:tabs>
                <w:tab w:pos="761" w:val="left" w:leader="none"/>
              </w:tabs>
              <w:spacing w:line="240" w:lineRule="auto" w:before="85" w:after="0"/>
              <w:ind w:left="760" w:right="0" w:hanging="630"/>
              <w:jc w:val="left"/>
              <w:rPr>
                <w:sz w:val="21"/>
              </w:rPr>
            </w:pPr>
            <w:r>
              <w:rPr>
                <w:sz w:val="21"/>
              </w:rPr>
              <w:t>由活检和血清学证据支持；</w:t>
            </w:r>
          </w:p>
          <w:p>
            <w:pPr>
              <w:pStyle w:val="TableParagraph"/>
              <w:numPr>
                <w:ilvl w:val="0"/>
                <w:numId w:val="52"/>
              </w:numPr>
              <w:tabs>
                <w:tab w:pos="761" w:val="left" w:leader="none"/>
              </w:tabs>
              <w:spacing w:line="240" w:lineRule="auto" w:before="114" w:after="0"/>
              <w:ind w:left="760" w:right="0" w:hanging="630"/>
              <w:jc w:val="left"/>
              <w:rPr>
                <w:sz w:val="21"/>
              </w:rPr>
            </w:pPr>
            <w:r>
              <w:rPr>
                <w:sz w:val="21"/>
              </w:rPr>
              <w:t>疾病已经影响到肺脏、心脏或肾脏等内脏器官并且达到下列标准之一：</w:t>
            </w:r>
          </w:p>
          <w:p>
            <w:pPr>
              <w:pStyle w:val="TableParagraph"/>
              <w:spacing w:before="114"/>
              <w:ind w:left="731"/>
              <w:rPr>
                <w:sz w:val="21"/>
              </w:rPr>
            </w:pPr>
            <w:r>
              <w:rPr>
                <w:sz w:val="21"/>
              </w:rPr>
              <w:t>① 肺脏：已造成肺脏纤维化，并同时出现肺动脉高压和肺心病；</w:t>
            </w:r>
          </w:p>
          <w:p>
            <w:pPr>
              <w:pStyle w:val="TableParagraph"/>
              <w:spacing w:before="114"/>
              <w:ind w:left="731"/>
              <w:rPr>
                <w:sz w:val="21"/>
              </w:rPr>
            </w:pPr>
            <w:r>
              <w:rPr>
                <w:sz w:val="21"/>
              </w:rPr>
              <w:t>② 心脏：心脏功能衰竭程度达到美国纽约心脏病学会心功能状态分级 IV 级；</w:t>
            </w:r>
          </w:p>
          <w:p>
            <w:pPr>
              <w:pStyle w:val="TableParagraph"/>
              <w:spacing w:line="255" w:lineRule="exact" w:before="114"/>
              <w:ind w:left="731"/>
              <w:rPr>
                <w:sz w:val="21"/>
              </w:rPr>
            </w:pPr>
            <w:r>
              <w:rPr>
                <w:sz w:val="21"/>
              </w:rPr>
              <w:t>③ 肾脏：已造成肾脏损害，并出现肾功能衰竭。</w:t>
            </w:r>
          </w:p>
        </w:tc>
      </w:tr>
    </w:tbl>
    <w:p>
      <w:pPr>
        <w:spacing w:after="0" w:line="255" w:lineRule="exact"/>
        <w:rPr>
          <w:sz w:val="21"/>
        </w:rPr>
        <w:sectPr>
          <w:pgSz w:w="11900" w:h="16840"/>
          <w:pgMar w:top="1260" w:bottom="280" w:left="820" w:right="2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501"/>
        <w:gridCol w:w="8171"/>
      </w:tblGrid>
      <w:tr>
        <w:trPr>
          <w:trHeight w:val="1087" w:hRule="atLeast"/>
        </w:trPr>
        <w:tc>
          <w:tcPr>
            <w:tcW w:w="942" w:type="dxa"/>
          </w:tcPr>
          <w:p>
            <w:pPr>
              <w:pStyle w:val="TableParagraph"/>
              <w:spacing w:before="0"/>
              <w:rPr>
                <w:rFonts w:ascii="Times New Roman"/>
                <w:sz w:val="20"/>
              </w:rPr>
            </w:pPr>
          </w:p>
        </w:tc>
        <w:tc>
          <w:tcPr>
            <w:tcW w:w="1501" w:type="dxa"/>
          </w:tcPr>
          <w:p>
            <w:pPr>
              <w:pStyle w:val="TableParagraph"/>
              <w:spacing w:before="0"/>
              <w:rPr>
                <w:rFonts w:ascii="Times New Roman"/>
                <w:sz w:val="20"/>
              </w:rPr>
            </w:pPr>
          </w:p>
        </w:tc>
        <w:tc>
          <w:tcPr>
            <w:tcW w:w="8171" w:type="dxa"/>
          </w:tcPr>
          <w:p>
            <w:pPr>
              <w:pStyle w:val="TableParagraph"/>
              <w:spacing w:line="210" w:lineRule="exact" w:before="0"/>
              <w:ind w:left="133"/>
              <w:rPr>
                <w:rFonts w:ascii="黑体" w:eastAsia="黑体" w:hint="eastAsia"/>
                <w:sz w:val="21"/>
              </w:rPr>
            </w:pPr>
            <w:r>
              <w:rPr>
                <w:rFonts w:ascii="黑体" w:eastAsia="黑体" w:hint="eastAsia"/>
                <w:sz w:val="21"/>
              </w:rPr>
              <w:t>局限性硬皮病、嗜酸细胞筋膜炎和 CREST 综合征不在保障范围内。</w:t>
            </w:r>
          </w:p>
          <w:p>
            <w:pPr>
              <w:pStyle w:val="TableParagraph"/>
              <w:spacing w:line="273" w:lineRule="auto" w:before="115"/>
              <w:ind w:left="133" w:right="244"/>
              <w:rPr>
                <w:sz w:val="21"/>
              </w:rPr>
            </w:pPr>
            <w:r>
              <w:rPr>
                <w:sz w:val="21"/>
              </w:rPr>
              <w:t>美国纽约心脏病学会心功能状态分级Ⅳ级是指不能从事任何体力活动，休息时亦有症状。</w:t>
            </w:r>
          </w:p>
        </w:tc>
      </w:tr>
      <w:tr>
        <w:trPr>
          <w:trHeight w:val="3835" w:hRule="atLeast"/>
        </w:trPr>
        <w:tc>
          <w:tcPr>
            <w:tcW w:w="942" w:type="dxa"/>
          </w:tcPr>
          <w:p>
            <w:pPr>
              <w:pStyle w:val="TableParagraph"/>
              <w:ind w:right="105"/>
              <w:jc w:val="right"/>
              <w:rPr>
                <w:sz w:val="21"/>
              </w:rPr>
            </w:pPr>
            <w:r>
              <w:rPr>
                <w:sz w:val="21"/>
              </w:rPr>
              <w:t>9.2.49</w:t>
            </w:r>
          </w:p>
        </w:tc>
        <w:tc>
          <w:tcPr>
            <w:tcW w:w="1501" w:type="dxa"/>
          </w:tcPr>
          <w:p>
            <w:pPr>
              <w:pStyle w:val="TableParagraph"/>
              <w:spacing w:line="273" w:lineRule="auto"/>
              <w:ind w:left="108" w:right="126" w:hanging="1"/>
              <w:jc w:val="both"/>
              <w:rPr>
                <w:sz w:val="21"/>
              </w:rPr>
            </w:pPr>
            <w:r>
              <w:rPr>
                <w:sz w:val="21"/>
              </w:rPr>
              <w:t>特发性慢性肾上腺皮质功能减退</w:t>
            </w:r>
          </w:p>
        </w:tc>
        <w:tc>
          <w:tcPr>
            <w:tcW w:w="8171" w:type="dxa"/>
          </w:tcPr>
          <w:p>
            <w:pPr>
              <w:pStyle w:val="TableParagraph"/>
              <w:spacing w:line="273" w:lineRule="auto"/>
              <w:ind w:left="133" w:right="244"/>
              <w:rPr>
                <w:rFonts w:ascii="黑体" w:eastAsia="黑体" w:hint="eastAsia"/>
                <w:sz w:val="21"/>
              </w:rPr>
            </w:pPr>
            <w:r>
              <w:rPr>
                <w:sz w:val="21"/>
              </w:rPr>
              <w:t>指自身免疫性肾上腺炎（既往称：特发性肾上腺皮质萎缩）导致肾上腺萎缩和慢性肾上腺皮质功能减退。</w:t>
            </w:r>
            <w:r>
              <w:rPr>
                <w:rFonts w:ascii="黑体" w:eastAsia="黑体" w:hint="eastAsia"/>
                <w:sz w:val="21"/>
              </w:rPr>
              <w:t>并须满足下列全部条件：</w:t>
            </w:r>
          </w:p>
          <w:p>
            <w:pPr>
              <w:pStyle w:val="TableParagraph"/>
              <w:numPr>
                <w:ilvl w:val="0"/>
                <w:numId w:val="53"/>
              </w:numPr>
              <w:tabs>
                <w:tab w:pos="735" w:val="left" w:leader="none"/>
              </w:tabs>
              <w:spacing w:line="240" w:lineRule="auto" w:before="85" w:after="0"/>
              <w:ind w:left="734" w:right="0" w:hanging="601"/>
              <w:jc w:val="left"/>
              <w:rPr>
                <w:sz w:val="21"/>
              </w:rPr>
            </w:pPr>
            <w:r>
              <w:rPr>
                <w:sz w:val="21"/>
              </w:rPr>
              <w:t>明确诊断，符合所有以下诊断标准：</w:t>
            </w:r>
          </w:p>
          <w:p>
            <w:pPr>
              <w:pStyle w:val="TableParagraph"/>
              <w:spacing w:before="114"/>
              <w:ind w:left="734"/>
              <w:rPr>
                <w:sz w:val="21"/>
              </w:rPr>
            </w:pPr>
            <w:r>
              <w:rPr>
                <w:sz w:val="21"/>
              </w:rPr>
              <w:t>① 血浆促肾上腺皮质激素（ACTH）水平测定大于 100pg/ml；</w:t>
            </w:r>
          </w:p>
          <w:p>
            <w:pPr>
              <w:pStyle w:val="TableParagraph"/>
              <w:spacing w:line="273" w:lineRule="auto" w:before="114"/>
              <w:ind w:left="1017" w:right="196" w:hanging="284"/>
              <w:rPr>
                <w:sz w:val="21"/>
              </w:rPr>
            </w:pPr>
            <w:r>
              <w:rPr>
                <w:spacing w:val="-7"/>
                <w:sz w:val="21"/>
              </w:rPr>
              <w:t>② 血浆和尿游离皮质醇及尿 </w:t>
            </w:r>
            <w:r>
              <w:rPr>
                <w:sz w:val="21"/>
              </w:rPr>
              <w:t>17</w:t>
            </w:r>
            <w:r>
              <w:rPr>
                <w:spacing w:val="-12"/>
                <w:sz w:val="21"/>
              </w:rPr>
              <w:t> 羟皮质类固醇、</w:t>
            </w:r>
            <w:r>
              <w:rPr>
                <w:sz w:val="21"/>
              </w:rPr>
              <w:t>17</w:t>
            </w:r>
            <w:r>
              <w:rPr>
                <w:spacing w:val="-10"/>
                <w:sz w:val="21"/>
              </w:rPr>
              <w:t> 酮皮质类固醇测定、血浆肾</w:t>
            </w:r>
            <w:r>
              <w:rPr>
                <w:spacing w:val="-17"/>
                <w:sz w:val="21"/>
              </w:rPr>
              <w:t>素活性、血管紧张素Ⅱ和醛固酮测定，显示为原发性肾上腺皮质功能减退症；</w:t>
            </w:r>
          </w:p>
          <w:p>
            <w:pPr>
              <w:pStyle w:val="TableParagraph"/>
              <w:spacing w:before="85"/>
              <w:ind w:left="734"/>
              <w:rPr>
                <w:sz w:val="21"/>
              </w:rPr>
            </w:pPr>
            <w:r>
              <w:rPr>
                <w:sz w:val="21"/>
              </w:rPr>
              <w:t>③ 促肾上腺皮质激素（ACTH）刺激试验显示为原发性肾上腺皮质功能减退症。</w:t>
            </w:r>
          </w:p>
          <w:p>
            <w:pPr>
              <w:pStyle w:val="TableParagraph"/>
              <w:numPr>
                <w:ilvl w:val="0"/>
                <w:numId w:val="53"/>
              </w:numPr>
              <w:tabs>
                <w:tab w:pos="735" w:val="left" w:leader="none"/>
              </w:tabs>
              <w:spacing w:line="240" w:lineRule="auto" w:before="114" w:after="0"/>
              <w:ind w:left="734" w:right="0" w:hanging="601"/>
              <w:jc w:val="left"/>
              <w:rPr>
                <w:sz w:val="21"/>
              </w:rPr>
            </w:pPr>
            <w:r>
              <w:rPr>
                <w:spacing w:val="-4"/>
                <w:sz w:val="21"/>
              </w:rPr>
              <w:t>已经采用皮质类固醇替代治疗 </w:t>
            </w:r>
            <w:r>
              <w:rPr>
                <w:sz w:val="21"/>
              </w:rPr>
              <w:t>180</w:t>
            </w:r>
            <w:r>
              <w:rPr>
                <w:spacing w:val="-12"/>
                <w:sz w:val="21"/>
              </w:rPr>
              <w:t> 天以上。</w:t>
            </w:r>
          </w:p>
          <w:p>
            <w:pPr>
              <w:pStyle w:val="TableParagraph"/>
              <w:spacing w:line="273" w:lineRule="auto" w:before="114"/>
              <w:ind w:left="133" w:right="301"/>
              <w:rPr>
                <w:rFonts w:ascii="黑体" w:eastAsia="黑体" w:hint="eastAsia"/>
                <w:sz w:val="21"/>
              </w:rPr>
            </w:pPr>
            <w:r>
              <w:rPr>
                <w:rFonts w:ascii="黑体" w:eastAsia="黑体" w:hint="eastAsia"/>
                <w:sz w:val="21"/>
              </w:rPr>
              <w:t>肾上腺结核、HIV</w:t>
            </w:r>
            <w:r>
              <w:rPr>
                <w:rFonts w:ascii="黑体" w:eastAsia="黑体" w:hint="eastAsia"/>
                <w:spacing w:val="-7"/>
                <w:sz w:val="21"/>
              </w:rPr>
              <w:t> 感染或艾滋病、感染、肿瘤所致的原发性肾上腺皮质功能减退和继发性肾上腺皮质功能减退不在保障范围内。</w:t>
            </w:r>
          </w:p>
        </w:tc>
      </w:tr>
      <w:tr>
        <w:trPr>
          <w:trHeight w:val="871" w:hRule="atLeast"/>
        </w:trPr>
        <w:tc>
          <w:tcPr>
            <w:tcW w:w="942" w:type="dxa"/>
          </w:tcPr>
          <w:p>
            <w:pPr>
              <w:pStyle w:val="TableParagraph"/>
              <w:ind w:right="105"/>
              <w:jc w:val="right"/>
              <w:rPr>
                <w:sz w:val="21"/>
              </w:rPr>
            </w:pPr>
            <w:r>
              <w:rPr>
                <w:sz w:val="21"/>
              </w:rPr>
              <w:t>9.2.50</w:t>
            </w:r>
          </w:p>
        </w:tc>
        <w:tc>
          <w:tcPr>
            <w:tcW w:w="1501" w:type="dxa"/>
          </w:tcPr>
          <w:p>
            <w:pPr>
              <w:pStyle w:val="TableParagraph"/>
              <w:ind w:left="108"/>
              <w:rPr>
                <w:sz w:val="21"/>
              </w:rPr>
            </w:pPr>
            <w:r>
              <w:rPr>
                <w:sz w:val="21"/>
              </w:rPr>
              <w:t>嗜铬细胞瘤</w:t>
            </w:r>
          </w:p>
        </w:tc>
        <w:tc>
          <w:tcPr>
            <w:tcW w:w="8171" w:type="dxa"/>
          </w:tcPr>
          <w:p>
            <w:pPr>
              <w:pStyle w:val="TableParagraph"/>
              <w:spacing w:line="273" w:lineRule="auto"/>
              <w:ind w:left="133" w:right="244"/>
              <w:rPr>
                <w:sz w:val="21"/>
              </w:rPr>
            </w:pPr>
            <w:r>
              <w:rPr>
                <w:sz w:val="21"/>
              </w:rPr>
              <w:t>指肾上腺或嗜铬组织出现神经内分泌肿瘤，并分泌过多的儿茶酚胺类，需要确实进行手术以切除肿瘤。</w:t>
            </w:r>
          </w:p>
        </w:tc>
      </w:tr>
      <w:tr>
        <w:trPr>
          <w:trHeight w:val="879" w:hRule="atLeast"/>
        </w:trPr>
        <w:tc>
          <w:tcPr>
            <w:tcW w:w="942" w:type="dxa"/>
          </w:tcPr>
          <w:p>
            <w:pPr>
              <w:pStyle w:val="TableParagraph"/>
              <w:ind w:right="105"/>
              <w:jc w:val="right"/>
              <w:rPr>
                <w:sz w:val="21"/>
              </w:rPr>
            </w:pPr>
            <w:r>
              <w:rPr>
                <w:sz w:val="21"/>
              </w:rPr>
              <w:t>9.2.51</w:t>
            </w:r>
          </w:p>
        </w:tc>
        <w:tc>
          <w:tcPr>
            <w:tcW w:w="1501" w:type="dxa"/>
          </w:tcPr>
          <w:p>
            <w:pPr>
              <w:pStyle w:val="TableParagraph"/>
              <w:ind w:left="108"/>
              <w:rPr>
                <w:sz w:val="21"/>
              </w:rPr>
            </w:pPr>
            <w:r>
              <w:rPr>
                <w:sz w:val="21"/>
              </w:rPr>
              <w:t>多个肢体缺失</w:t>
            </w:r>
          </w:p>
          <w:p>
            <w:pPr>
              <w:pStyle w:val="TableParagraph"/>
              <w:spacing w:before="12"/>
              <w:ind w:left="108"/>
              <w:rPr>
                <w:sz w:val="24"/>
              </w:rPr>
            </w:pPr>
            <w:r>
              <w:rPr>
                <w:sz w:val="24"/>
              </w:rPr>
              <w:t>*</w:t>
            </w:r>
          </w:p>
        </w:tc>
        <w:tc>
          <w:tcPr>
            <w:tcW w:w="8171" w:type="dxa"/>
          </w:tcPr>
          <w:p>
            <w:pPr>
              <w:pStyle w:val="TableParagraph"/>
              <w:spacing w:line="273" w:lineRule="auto"/>
              <w:ind w:left="133" w:right="265"/>
              <w:rPr>
                <w:sz w:val="21"/>
              </w:rPr>
            </w:pPr>
            <w:r>
              <w:rPr>
                <w:sz w:val="21"/>
              </w:rPr>
              <w:t>指因疾病或意外伤害导致两个或两个以上肢体自腕关节或踝关节近端（靠近躯干端） 以上完全性断离。</w:t>
            </w:r>
          </w:p>
        </w:tc>
      </w:tr>
      <w:tr>
        <w:trPr>
          <w:trHeight w:val="832" w:hRule="atLeast"/>
        </w:trPr>
        <w:tc>
          <w:tcPr>
            <w:tcW w:w="942" w:type="dxa"/>
          </w:tcPr>
          <w:p>
            <w:pPr>
              <w:pStyle w:val="TableParagraph"/>
              <w:spacing w:before="103"/>
              <w:ind w:right="105"/>
              <w:jc w:val="right"/>
              <w:rPr>
                <w:sz w:val="21"/>
              </w:rPr>
            </w:pPr>
            <w:r>
              <w:rPr>
                <w:sz w:val="21"/>
              </w:rPr>
              <w:t>9.2.52</w:t>
            </w:r>
          </w:p>
        </w:tc>
        <w:tc>
          <w:tcPr>
            <w:tcW w:w="1501" w:type="dxa"/>
          </w:tcPr>
          <w:p>
            <w:pPr>
              <w:pStyle w:val="TableParagraph"/>
              <w:spacing w:before="103"/>
              <w:ind w:left="108"/>
              <w:rPr>
                <w:sz w:val="21"/>
              </w:rPr>
            </w:pPr>
            <w:r>
              <w:rPr>
                <w:sz w:val="21"/>
              </w:rPr>
              <w:t>严重Ⅲ度烧伤</w:t>
            </w:r>
          </w:p>
          <w:p>
            <w:pPr>
              <w:pStyle w:val="TableParagraph"/>
              <w:spacing w:before="13"/>
              <w:ind w:left="108"/>
              <w:rPr>
                <w:sz w:val="24"/>
              </w:rPr>
            </w:pPr>
            <w:r>
              <w:rPr>
                <w:sz w:val="24"/>
              </w:rPr>
              <w:t>*</w:t>
            </w:r>
          </w:p>
        </w:tc>
        <w:tc>
          <w:tcPr>
            <w:tcW w:w="8171" w:type="dxa"/>
          </w:tcPr>
          <w:p>
            <w:pPr>
              <w:pStyle w:val="TableParagraph"/>
              <w:spacing w:line="273" w:lineRule="auto" w:before="103"/>
              <w:ind w:left="133" w:right="244"/>
              <w:rPr>
                <w:sz w:val="21"/>
              </w:rPr>
            </w:pPr>
            <w:r>
              <w:rPr>
                <w:sz w:val="21"/>
              </w:rPr>
              <w:t>指烧伤程度为Ⅲ度，且Ⅲ度烧伤的面积达到全身体表面积的 20％或 20％以上。体表面积根据《中国新九分法》计算。</w:t>
            </w:r>
          </w:p>
        </w:tc>
      </w:tr>
      <w:tr>
        <w:trPr>
          <w:trHeight w:val="3009" w:hRule="atLeast"/>
        </w:trPr>
        <w:tc>
          <w:tcPr>
            <w:tcW w:w="942" w:type="dxa"/>
          </w:tcPr>
          <w:p>
            <w:pPr>
              <w:pStyle w:val="TableParagraph"/>
              <w:spacing w:before="141"/>
              <w:ind w:right="105"/>
              <w:jc w:val="right"/>
              <w:rPr>
                <w:sz w:val="21"/>
              </w:rPr>
            </w:pPr>
            <w:r>
              <w:rPr>
                <w:sz w:val="21"/>
              </w:rPr>
              <w:t>9.2.53</w:t>
            </w:r>
          </w:p>
        </w:tc>
        <w:tc>
          <w:tcPr>
            <w:tcW w:w="1501" w:type="dxa"/>
          </w:tcPr>
          <w:p>
            <w:pPr>
              <w:pStyle w:val="TableParagraph"/>
              <w:spacing w:line="273" w:lineRule="auto" w:before="141"/>
              <w:ind w:left="108" w:right="126" w:hanging="1"/>
              <w:jc w:val="both"/>
              <w:rPr>
                <w:sz w:val="21"/>
              </w:rPr>
            </w:pPr>
            <w:r>
              <w:rPr>
                <w:sz w:val="21"/>
              </w:rPr>
              <w:t>经输血导致的感染艾滋病病毒或患艾滋病</w:t>
            </w:r>
          </w:p>
        </w:tc>
        <w:tc>
          <w:tcPr>
            <w:tcW w:w="8171" w:type="dxa"/>
          </w:tcPr>
          <w:p>
            <w:pPr>
              <w:pStyle w:val="TableParagraph"/>
              <w:spacing w:before="63"/>
              <w:ind w:left="129"/>
              <w:rPr>
                <w:rFonts w:ascii="黑体" w:eastAsia="黑体" w:hint="eastAsia"/>
                <w:sz w:val="21"/>
              </w:rPr>
            </w:pPr>
            <w:r>
              <w:rPr>
                <w:sz w:val="21"/>
              </w:rPr>
              <w:t>指被保险人感染艾滋病病毒或患艾滋病，</w:t>
            </w:r>
            <w:r>
              <w:rPr>
                <w:rFonts w:ascii="黑体" w:eastAsia="黑体" w:hint="eastAsia"/>
                <w:sz w:val="21"/>
              </w:rPr>
              <w:t>并须满足下列全部条件：</w:t>
            </w:r>
          </w:p>
          <w:p>
            <w:pPr>
              <w:pStyle w:val="TableParagraph"/>
              <w:numPr>
                <w:ilvl w:val="0"/>
                <w:numId w:val="54"/>
              </w:numPr>
              <w:tabs>
                <w:tab w:pos="868" w:val="left" w:leader="none"/>
                <w:tab w:pos="869" w:val="left" w:leader="none"/>
              </w:tabs>
              <w:spacing w:line="240" w:lineRule="auto" w:before="37" w:after="0"/>
              <w:ind w:left="868" w:right="0" w:hanging="736"/>
              <w:jc w:val="left"/>
              <w:rPr>
                <w:sz w:val="21"/>
              </w:rPr>
            </w:pPr>
            <w:r>
              <w:rPr>
                <w:sz w:val="21"/>
              </w:rPr>
              <w:t>在保险责任起始日或复效日之后因输血而感染；</w:t>
            </w:r>
          </w:p>
          <w:p>
            <w:pPr>
              <w:pStyle w:val="TableParagraph"/>
              <w:numPr>
                <w:ilvl w:val="0"/>
                <w:numId w:val="54"/>
              </w:numPr>
              <w:tabs>
                <w:tab w:pos="868" w:val="left" w:leader="none"/>
                <w:tab w:pos="869" w:val="left" w:leader="none"/>
              </w:tabs>
              <w:spacing w:line="273" w:lineRule="auto" w:before="37" w:after="0"/>
              <w:ind w:left="868" w:right="298" w:hanging="736"/>
              <w:jc w:val="left"/>
              <w:rPr>
                <w:sz w:val="21"/>
              </w:rPr>
            </w:pPr>
            <w:r>
              <w:rPr>
                <w:sz w:val="21"/>
              </w:rPr>
              <w:t>提供输血治疗的输血中心或医院出具的该项输血感染属医疗事故的报告，或法院确认被保险人系因输血导致感染艾滋病病毒或患艾滋病的生效判决；</w:t>
            </w:r>
          </w:p>
          <w:p>
            <w:pPr>
              <w:pStyle w:val="TableParagraph"/>
              <w:numPr>
                <w:ilvl w:val="0"/>
                <w:numId w:val="54"/>
              </w:numPr>
              <w:tabs>
                <w:tab w:pos="868" w:val="left" w:leader="none"/>
                <w:tab w:pos="869" w:val="left" w:leader="none"/>
              </w:tabs>
              <w:spacing w:line="240" w:lineRule="auto" w:before="7" w:after="0"/>
              <w:ind w:left="868" w:right="0" w:hanging="736"/>
              <w:jc w:val="left"/>
              <w:rPr>
                <w:sz w:val="21"/>
              </w:rPr>
            </w:pPr>
            <w:r>
              <w:rPr>
                <w:sz w:val="21"/>
              </w:rPr>
              <w:t>受感染的被保险人不是血友病患者。</w:t>
            </w:r>
          </w:p>
          <w:p>
            <w:pPr>
              <w:pStyle w:val="TableParagraph"/>
              <w:spacing w:line="273" w:lineRule="auto" w:before="36"/>
              <w:ind w:left="129" w:right="302"/>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73" w:lineRule="auto" w:before="7"/>
              <w:ind w:left="129" w:right="246"/>
              <w:rPr>
                <w:rFonts w:ascii="黑体" w:eastAsia="黑体" w:hint="eastAsia"/>
                <w:sz w:val="21"/>
              </w:rPr>
            </w:pPr>
            <w:r>
              <w:rPr>
                <w:rFonts w:ascii="黑体" w:eastAsia="黑体" w:hint="eastAsia"/>
                <w:sz w:val="21"/>
              </w:rPr>
              <w:t>任何因其他传播方式（包括：性传播或静脉注射毒品）导致感染艾滋病病毒或患艾滋病不在保障范围内。</w:t>
            </w:r>
          </w:p>
        </w:tc>
      </w:tr>
      <w:tr>
        <w:trPr>
          <w:trHeight w:val="3290" w:hRule="atLeast"/>
        </w:trPr>
        <w:tc>
          <w:tcPr>
            <w:tcW w:w="942" w:type="dxa"/>
          </w:tcPr>
          <w:p>
            <w:pPr>
              <w:pStyle w:val="TableParagraph"/>
              <w:ind w:right="105"/>
              <w:jc w:val="right"/>
              <w:rPr>
                <w:sz w:val="21"/>
              </w:rPr>
            </w:pPr>
            <w:r>
              <w:rPr>
                <w:sz w:val="21"/>
              </w:rPr>
              <w:t>9.2.54</w:t>
            </w:r>
          </w:p>
        </w:tc>
        <w:tc>
          <w:tcPr>
            <w:tcW w:w="1501" w:type="dxa"/>
          </w:tcPr>
          <w:p>
            <w:pPr>
              <w:pStyle w:val="TableParagraph"/>
              <w:spacing w:line="273" w:lineRule="auto"/>
              <w:ind w:left="108" w:right="126" w:hanging="1"/>
              <w:jc w:val="both"/>
              <w:rPr>
                <w:sz w:val="21"/>
              </w:rPr>
            </w:pPr>
            <w:r>
              <w:rPr>
                <w:sz w:val="21"/>
              </w:rPr>
              <w:t>因职业关系导致的感染艾滋病病毒或患艾滋病</w:t>
            </w:r>
          </w:p>
        </w:tc>
        <w:tc>
          <w:tcPr>
            <w:tcW w:w="8171" w:type="dxa"/>
          </w:tcPr>
          <w:p>
            <w:pPr>
              <w:pStyle w:val="TableParagraph"/>
              <w:spacing w:line="273" w:lineRule="auto"/>
              <w:ind w:left="133" w:right="244"/>
              <w:rPr>
                <w:rFonts w:ascii="黑体" w:eastAsia="黑体" w:hint="eastAsia"/>
                <w:sz w:val="21"/>
              </w:rPr>
            </w:pPr>
            <w:r>
              <w:rPr>
                <w:sz w:val="21"/>
              </w:rPr>
              <w:t>被保险人在其常规职业工作过程中遭遇外伤，或职业需要处理血液或其他体液时感染上艾滋病病毒或患上艾滋病。</w:t>
            </w:r>
            <w:r>
              <w:rPr>
                <w:rFonts w:ascii="黑体" w:eastAsia="黑体" w:hint="eastAsia"/>
                <w:sz w:val="21"/>
              </w:rPr>
              <w:t>并须满足下列全部条件：</w:t>
            </w:r>
          </w:p>
          <w:p>
            <w:pPr>
              <w:pStyle w:val="TableParagraph"/>
              <w:numPr>
                <w:ilvl w:val="0"/>
                <w:numId w:val="55"/>
              </w:numPr>
              <w:tabs>
                <w:tab w:pos="868" w:val="left" w:leader="none"/>
                <w:tab w:pos="869" w:val="left" w:leader="none"/>
              </w:tabs>
              <w:spacing w:line="273" w:lineRule="auto" w:before="85" w:after="0"/>
              <w:ind w:left="868" w:right="196" w:hanging="735"/>
              <w:jc w:val="left"/>
              <w:rPr>
                <w:sz w:val="21"/>
              </w:rPr>
            </w:pPr>
            <w:r>
              <w:rPr>
                <w:sz w:val="21"/>
              </w:rPr>
              <w:t>感染必须是在被保险人正在从事其职业工作中发生，该职业必须属于下列职</w:t>
            </w:r>
            <w:r>
              <w:rPr>
                <w:spacing w:val="-7"/>
                <w:sz w:val="21"/>
              </w:rPr>
              <w:t>业：医生、护士、实验室工作人员、医院护工、医生助理、救护车工作人员、助产士、消防队员、警察；</w:t>
            </w:r>
          </w:p>
          <w:p>
            <w:pPr>
              <w:pStyle w:val="TableParagraph"/>
              <w:numPr>
                <w:ilvl w:val="0"/>
                <w:numId w:val="55"/>
              </w:numPr>
              <w:tabs>
                <w:tab w:pos="868" w:val="left" w:leader="none"/>
                <w:tab w:pos="869" w:val="left" w:leader="none"/>
              </w:tabs>
              <w:spacing w:line="273" w:lineRule="auto" w:before="85" w:after="0"/>
              <w:ind w:left="868" w:right="301" w:hanging="735"/>
              <w:jc w:val="left"/>
              <w:rPr>
                <w:sz w:val="21"/>
              </w:rPr>
            </w:pPr>
            <w:r>
              <w:rPr>
                <w:spacing w:val="-1"/>
                <w:sz w:val="21"/>
              </w:rPr>
              <w:t>必须提供被保险人在所报事故发生后的 </w:t>
            </w:r>
            <w:r>
              <w:rPr>
                <w:sz w:val="21"/>
              </w:rPr>
              <w:t>5</w:t>
            </w:r>
            <w:r>
              <w:rPr>
                <w:spacing w:val="-5"/>
                <w:sz w:val="21"/>
              </w:rPr>
              <w:t> 天以内进行的检查报告，该报告必</w:t>
            </w:r>
            <w:r>
              <w:rPr>
                <w:spacing w:val="-11"/>
                <w:sz w:val="21"/>
              </w:rPr>
              <w:t>须显示被保险人血液 </w:t>
            </w:r>
            <w:r>
              <w:rPr>
                <w:sz w:val="21"/>
              </w:rPr>
              <w:t>HIV</w:t>
            </w:r>
            <w:r>
              <w:rPr>
                <w:spacing w:val="-10"/>
                <w:sz w:val="21"/>
              </w:rPr>
              <w:t> 病毒阴性和</w:t>
            </w:r>
            <w:r>
              <w:rPr>
                <w:sz w:val="21"/>
              </w:rPr>
              <w:t>/</w:t>
            </w:r>
            <w:r>
              <w:rPr>
                <w:spacing w:val="-29"/>
                <w:sz w:val="21"/>
              </w:rPr>
              <w:t>或 </w:t>
            </w:r>
            <w:r>
              <w:rPr>
                <w:sz w:val="21"/>
              </w:rPr>
              <w:t>HIV</w:t>
            </w:r>
            <w:r>
              <w:rPr>
                <w:spacing w:val="-10"/>
                <w:sz w:val="21"/>
              </w:rPr>
              <w:t> 抗体阴性；</w:t>
            </w:r>
          </w:p>
          <w:p>
            <w:pPr>
              <w:pStyle w:val="TableParagraph"/>
              <w:numPr>
                <w:ilvl w:val="0"/>
                <w:numId w:val="55"/>
              </w:numPr>
              <w:tabs>
                <w:tab w:pos="868" w:val="left" w:leader="none"/>
                <w:tab w:pos="869" w:val="left" w:leader="none"/>
              </w:tabs>
              <w:spacing w:line="273" w:lineRule="auto" w:before="85" w:after="0"/>
              <w:ind w:left="868" w:right="213" w:hanging="735"/>
              <w:jc w:val="left"/>
              <w:rPr>
                <w:sz w:val="21"/>
              </w:rPr>
            </w:pPr>
            <w:r>
              <w:rPr>
                <w:spacing w:val="-6"/>
                <w:sz w:val="21"/>
              </w:rPr>
              <w:t>必须在事故发生后的 </w:t>
            </w:r>
            <w:r>
              <w:rPr>
                <w:sz w:val="21"/>
              </w:rPr>
              <w:t>6</w:t>
            </w:r>
            <w:r>
              <w:rPr>
                <w:spacing w:val="-8"/>
                <w:sz w:val="21"/>
              </w:rPr>
              <w:t> 个月内证实被保险人体内存在 </w:t>
            </w:r>
            <w:r>
              <w:rPr>
                <w:sz w:val="21"/>
              </w:rPr>
              <w:t>HIV</w:t>
            </w:r>
            <w:r>
              <w:rPr>
                <w:spacing w:val="-14"/>
                <w:sz w:val="21"/>
              </w:rPr>
              <w:t> 病毒或 </w:t>
            </w:r>
            <w:r>
              <w:rPr>
                <w:sz w:val="21"/>
              </w:rPr>
              <w:t>HIV</w:t>
            </w:r>
            <w:r>
              <w:rPr>
                <w:spacing w:val="-3"/>
                <w:sz w:val="21"/>
              </w:rPr>
              <w:t> 抗体， </w:t>
            </w:r>
            <w:r>
              <w:rPr>
                <w:spacing w:val="-17"/>
                <w:sz w:val="21"/>
              </w:rPr>
              <w:t>即血液 </w:t>
            </w:r>
            <w:r>
              <w:rPr>
                <w:sz w:val="21"/>
              </w:rPr>
              <w:t>HIV</w:t>
            </w:r>
            <w:r>
              <w:rPr>
                <w:spacing w:val="-10"/>
                <w:sz w:val="21"/>
              </w:rPr>
              <w:t> 病毒阳性和</w:t>
            </w:r>
            <w:r>
              <w:rPr>
                <w:sz w:val="21"/>
              </w:rPr>
              <w:t>/</w:t>
            </w:r>
            <w:r>
              <w:rPr>
                <w:spacing w:val="-29"/>
                <w:sz w:val="21"/>
              </w:rPr>
              <w:t>或 </w:t>
            </w:r>
            <w:r>
              <w:rPr>
                <w:sz w:val="21"/>
              </w:rPr>
              <w:t>HIV</w:t>
            </w:r>
            <w:r>
              <w:rPr>
                <w:spacing w:val="-10"/>
                <w:sz w:val="21"/>
              </w:rPr>
              <w:t> 抗体阳性。</w:t>
            </w:r>
          </w:p>
        </w:tc>
      </w:tr>
      <w:tr>
        <w:trPr>
          <w:trHeight w:val="385" w:hRule="atLeast"/>
        </w:trPr>
        <w:tc>
          <w:tcPr>
            <w:tcW w:w="942" w:type="dxa"/>
          </w:tcPr>
          <w:p>
            <w:pPr>
              <w:pStyle w:val="TableParagraph"/>
              <w:spacing w:line="255" w:lineRule="exact"/>
              <w:ind w:right="105"/>
              <w:jc w:val="right"/>
              <w:rPr>
                <w:sz w:val="21"/>
              </w:rPr>
            </w:pPr>
            <w:r>
              <w:rPr>
                <w:sz w:val="21"/>
              </w:rPr>
              <w:t>9.2.55</w:t>
            </w:r>
          </w:p>
        </w:tc>
        <w:tc>
          <w:tcPr>
            <w:tcW w:w="1501" w:type="dxa"/>
          </w:tcPr>
          <w:p>
            <w:pPr>
              <w:pStyle w:val="TableParagraph"/>
              <w:spacing w:line="255" w:lineRule="exact"/>
              <w:ind w:left="108"/>
              <w:rPr>
                <w:sz w:val="21"/>
              </w:rPr>
            </w:pPr>
            <w:r>
              <w:rPr>
                <w:sz w:val="21"/>
              </w:rPr>
              <w:t>溶血性链球菌</w:t>
            </w:r>
          </w:p>
        </w:tc>
        <w:tc>
          <w:tcPr>
            <w:tcW w:w="8171" w:type="dxa"/>
          </w:tcPr>
          <w:p>
            <w:pPr>
              <w:pStyle w:val="TableParagraph"/>
              <w:spacing w:line="255" w:lineRule="exact"/>
              <w:ind w:left="133"/>
              <w:rPr>
                <w:sz w:val="21"/>
              </w:rPr>
            </w:pPr>
            <w:r>
              <w:rPr>
                <w:sz w:val="21"/>
              </w:rPr>
              <w:t>指包围肢体或躯干的浅筋膜或深筋膜受到溶血性链球菌的感染，病情在短时间内急剧</w:t>
            </w:r>
          </w:p>
        </w:tc>
      </w:tr>
    </w:tbl>
    <w:p>
      <w:pPr>
        <w:spacing w:after="0" w:line="255" w:lineRule="exact"/>
        <w:rPr>
          <w:sz w:val="21"/>
        </w:rPr>
        <w:sectPr>
          <w:pgSz w:w="11900" w:h="16840"/>
          <w:pgMar w:top="1260" w:bottom="280" w:left="820" w:right="240"/>
        </w:sectPr>
      </w:pPr>
    </w:p>
    <w:p>
      <w:pPr>
        <w:pStyle w:val="BodyText"/>
        <w:tabs>
          <w:tab w:pos="2589" w:val="left" w:leader="none"/>
        </w:tabs>
        <w:spacing w:line="273" w:lineRule="auto" w:before="19"/>
        <w:ind w:left="2590" w:right="214" w:hanging="1526"/>
      </w:pPr>
      <w:r>
        <w:rPr/>
        <w:t>引起的坏疽</w:t>
        <w:tab/>
        <w:t>恶化</w:t>
      </w:r>
      <w:r>
        <w:rPr>
          <w:spacing w:val="-19"/>
        </w:rPr>
        <w:t>，</w:t>
      </w:r>
      <w:r>
        <w:rPr/>
        <w:t>且已经立刻进行了手术治疗</w:t>
      </w:r>
      <w:r>
        <w:rPr>
          <w:spacing w:val="-19"/>
        </w:rPr>
        <w:t>。</w:t>
      </w:r>
      <w:r>
        <w:rPr/>
        <w:t>最后的诊断必须由微生物或病理学专家进行相关检查后证实。</w:t>
      </w:r>
    </w:p>
    <w:p>
      <w:pPr>
        <w:pStyle w:val="BodyText"/>
        <w:spacing w:before="6" w:after="1"/>
        <w:rPr>
          <w:sz w:val="24"/>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503"/>
        <w:gridCol w:w="7971"/>
      </w:tblGrid>
      <w:tr>
        <w:trPr>
          <w:trHeight w:val="1866" w:hRule="atLeast"/>
        </w:trPr>
        <w:tc>
          <w:tcPr>
            <w:tcW w:w="851" w:type="dxa"/>
          </w:tcPr>
          <w:p>
            <w:pPr>
              <w:pStyle w:val="TableParagraph"/>
              <w:spacing w:line="210" w:lineRule="exact" w:before="0"/>
              <w:ind w:left="108"/>
              <w:rPr>
                <w:sz w:val="21"/>
              </w:rPr>
            </w:pPr>
            <w:r>
              <w:rPr>
                <w:sz w:val="21"/>
              </w:rPr>
              <w:t>9.2.56</w:t>
            </w:r>
          </w:p>
        </w:tc>
        <w:tc>
          <w:tcPr>
            <w:tcW w:w="1503" w:type="dxa"/>
          </w:tcPr>
          <w:p>
            <w:pPr>
              <w:pStyle w:val="TableParagraph"/>
              <w:spacing w:line="210" w:lineRule="exact" w:before="0"/>
              <w:ind w:left="107"/>
              <w:rPr>
                <w:sz w:val="21"/>
              </w:rPr>
            </w:pPr>
            <w:r>
              <w:rPr>
                <w:sz w:val="21"/>
              </w:rPr>
              <w:t>坏死性筋膜炎</w:t>
            </w:r>
          </w:p>
        </w:tc>
        <w:tc>
          <w:tcPr>
            <w:tcW w:w="7971" w:type="dxa"/>
          </w:tcPr>
          <w:p>
            <w:pPr>
              <w:pStyle w:val="TableParagraph"/>
              <w:spacing w:line="210" w:lineRule="exact" w:before="0"/>
              <w:ind w:left="130"/>
              <w:rPr>
                <w:sz w:val="21"/>
              </w:rPr>
            </w:pPr>
            <w:r>
              <w:rPr>
                <w:sz w:val="21"/>
              </w:rPr>
              <w:t>是一种由细菌侵入皮下组织和筋膜引起的急性坏死性软组织感染，可伴有毒血症、败</w:t>
            </w:r>
          </w:p>
          <w:p>
            <w:pPr>
              <w:pStyle w:val="TableParagraph"/>
              <w:spacing w:before="37"/>
              <w:ind w:left="130"/>
              <w:rPr>
                <w:rFonts w:ascii="黑体" w:eastAsia="黑体" w:hint="eastAsia"/>
                <w:sz w:val="21"/>
              </w:rPr>
            </w:pPr>
            <w:r>
              <w:rPr>
                <w:sz w:val="21"/>
              </w:rPr>
              <w:t>血症、中毒性休克、弥漫性血管内凝血及多器官衰竭。</w:t>
            </w:r>
            <w:r>
              <w:rPr>
                <w:rFonts w:ascii="黑体" w:eastAsia="黑体" w:hint="eastAsia"/>
                <w:sz w:val="21"/>
              </w:rPr>
              <w:t>并须满足以下所有条件：</w:t>
            </w:r>
          </w:p>
          <w:p>
            <w:pPr>
              <w:pStyle w:val="TableParagraph"/>
              <w:numPr>
                <w:ilvl w:val="0"/>
                <w:numId w:val="56"/>
              </w:numPr>
              <w:tabs>
                <w:tab w:pos="865" w:val="left" w:leader="none"/>
                <w:tab w:pos="866" w:val="left" w:leader="none"/>
              </w:tabs>
              <w:spacing w:line="240" w:lineRule="auto" w:before="115" w:after="0"/>
              <w:ind w:left="865" w:right="0" w:hanging="735"/>
              <w:jc w:val="left"/>
              <w:rPr>
                <w:sz w:val="21"/>
              </w:rPr>
            </w:pPr>
            <w:r>
              <w:rPr>
                <w:sz w:val="21"/>
              </w:rPr>
              <w:t>符合坏死性筋膜炎的一般临床表现；</w:t>
            </w:r>
          </w:p>
          <w:p>
            <w:pPr>
              <w:pStyle w:val="TableParagraph"/>
              <w:numPr>
                <w:ilvl w:val="0"/>
                <w:numId w:val="56"/>
              </w:numPr>
              <w:tabs>
                <w:tab w:pos="865" w:val="left" w:leader="none"/>
                <w:tab w:pos="866" w:val="left" w:leader="none"/>
              </w:tabs>
              <w:spacing w:line="240" w:lineRule="auto" w:before="115" w:after="0"/>
              <w:ind w:left="865" w:right="0" w:hanging="735"/>
              <w:jc w:val="left"/>
              <w:rPr>
                <w:sz w:val="21"/>
              </w:rPr>
            </w:pPr>
            <w:r>
              <w:rPr>
                <w:sz w:val="21"/>
              </w:rPr>
              <w:t>细菌培养检出致病菌；</w:t>
            </w:r>
          </w:p>
          <w:p>
            <w:pPr>
              <w:pStyle w:val="TableParagraph"/>
              <w:numPr>
                <w:ilvl w:val="0"/>
                <w:numId w:val="56"/>
              </w:numPr>
              <w:tabs>
                <w:tab w:pos="865" w:val="left" w:leader="none"/>
                <w:tab w:pos="866" w:val="left" w:leader="none"/>
              </w:tabs>
              <w:spacing w:line="240" w:lineRule="auto" w:before="115" w:after="0"/>
              <w:ind w:left="865" w:right="0" w:hanging="735"/>
              <w:jc w:val="left"/>
              <w:rPr>
                <w:sz w:val="21"/>
              </w:rPr>
            </w:pPr>
            <w:r>
              <w:rPr>
                <w:sz w:val="21"/>
              </w:rPr>
              <w:t>受感染肢体已被截肢（自腕关节或踝关节近端</w:t>
            </w:r>
            <w:r>
              <w:rPr>
                <w:spacing w:val="-106"/>
                <w:sz w:val="21"/>
              </w:rPr>
              <w:t>）</w:t>
            </w:r>
            <w:r>
              <w:rPr>
                <w:sz w:val="21"/>
              </w:rPr>
              <w:t>。</w:t>
            </w:r>
          </w:p>
        </w:tc>
      </w:tr>
      <w:tr>
        <w:trPr>
          <w:trHeight w:val="620" w:hRule="atLeast"/>
        </w:trPr>
        <w:tc>
          <w:tcPr>
            <w:tcW w:w="851" w:type="dxa"/>
          </w:tcPr>
          <w:p>
            <w:pPr>
              <w:pStyle w:val="TableParagraph"/>
              <w:ind w:left="108"/>
              <w:rPr>
                <w:sz w:val="21"/>
              </w:rPr>
            </w:pPr>
            <w:r>
              <w:rPr>
                <w:sz w:val="21"/>
              </w:rPr>
              <w:t>9.2.57</w:t>
            </w:r>
          </w:p>
        </w:tc>
        <w:tc>
          <w:tcPr>
            <w:tcW w:w="1503" w:type="dxa"/>
          </w:tcPr>
          <w:p>
            <w:pPr>
              <w:pStyle w:val="TableParagraph"/>
              <w:ind w:left="107"/>
              <w:rPr>
                <w:sz w:val="21"/>
              </w:rPr>
            </w:pPr>
            <w:r>
              <w:rPr>
                <w:sz w:val="21"/>
              </w:rPr>
              <w:t>严重面部烧伤</w:t>
            </w:r>
          </w:p>
        </w:tc>
        <w:tc>
          <w:tcPr>
            <w:tcW w:w="7971" w:type="dxa"/>
          </w:tcPr>
          <w:p>
            <w:pPr>
              <w:pStyle w:val="TableParagraph"/>
              <w:spacing w:before="156"/>
              <w:ind w:left="130"/>
              <w:rPr>
                <w:sz w:val="21"/>
              </w:rPr>
            </w:pPr>
            <w:r>
              <w:rPr>
                <w:sz w:val="21"/>
              </w:rPr>
              <w:t>指烧伤程度为Ⅲ度，且Ⅲ度烧伤的面积达到面部表面积的 80％或 80％以上。</w:t>
            </w:r>
          </w:p>
        </w:tc>
      </w:tr>
      <w:tr>
        <w:trPr>
          <w:trHeight w:val="1142" w:hRule="atLeast"/>
        </w:trPr>
        <w:tc>
          <w:tcPr>
            <w:tcW w:w="851" w:type="dxa"/>
          </w:tcPr>
          <w:p>
            <w:pPr>
              <w:pStyle w:val="TableParagraph"/>
              <w:spacing w:before="144"/>
              <w:ind w:left="108"/>
              <w:rPr>
                <w:sz w:val="21"/>
              </w:rPr>
            </w:pPr>
            <w:r>
              <w:rPr>
                <w:sz w:val="21"/>
              </w:rPr>
              <w:t>9.2.58</w:t>
            </w:r>
          </w:p>
        </w:tc>
        <w:tc>
          <w:tcPr>
            <w:tcW w:w="1503" w:type="dxa"/>
          </w:tcPr>
          <w:p>
            <w:pPr>
              <w:pStyle w:val="TableParagraph"/>
              <w:spacing w:before="144"/>
              <w:ind w:left="108"/>
              <w:rPr>
                <w:sz w:val="21"/>
              </w:rPr>
            </w:pPr>
            <w:r>
              <w:rPr>
                <w:sz w:val="21"/>
              </w:rPr>
              <w:t>象皮病</w:t>
            </w:r>
          </w:p>
        </w:tc>
        <w:tc>
          <w:tcPr>
            <w:tcW w:w="7971" w:type="dxa"/>
          </w:tcPr>
          <w:p>
            <w:pPr>
              <w:pStyle w:val="TableParagraph"/>
              <w:spacing w:line="237" w:lineRule="auto" w:before="127"/>
              <w:ind w:left="130" w:right="105"/>
              <w:jc w:val="both"/>
              <w:rPr>
                <w:sz w:val="21"/>
              </w:rPr>
            </w:pPr>
            <w:r>
              <w:rPr>
                <w:spacing w:val="-4"/>
                <w:sz w:val="21"/>
              </w:rPr>
              <w:t>指末期丝虫病，按国际淋巴学会分级为三度淋巴液肿，其临床表现为肢体非凹陷性水</w:t>
            </w:r>
            <w:r>
              <w:rPr>
                <w:spacing w:val="-8"/>
                <w:sz w:val="21"/>
              </w:rPr>
              <w:t>肿伴畸形增大、硬皮症和疣状增生。此病症须经相关专科医生根据临床表现和微丝蚴的化验结果确诊。</w:t>
            </w:r>
          </w:p>
        </w:tc>
      </w:tr>
      <w:tr>
        <w:trPr>
          <w:trHeight w:val="2508" w:hRule="atLeast"/>
        </w:trPr>
        <w:tc>
          <w:tcPr>
            <w:tcW w:w="851" w:type="dxa"/>
          </w:tcPr>
          <w:p>
            <w:pPr>
              <w:pStyle w:val="TableParagraph"/>
              <w:spacing w:before="133"/>
              <w:ind w:left="108"/>
              <w:rPr>
                <w:sz w:val="21"/>
              </w:rPr>
            </w:pPr>
            <w:r>
              <w:rPr>
                <w:sz w:val="21"/>
              </w:rPr>
              <w:t>9.2.59</w:t>
            </w:r>
          </w:p>
        </w:tc>
        <w:tc>
          <w:tcPr>
            <w:tcW w:w="1503" w:type="dxa"/>
          </w:tcPr>
          <w:p>
            <w:pPr>
              <w:pStyle w:val="TableParagraph"/>
              <w:spacing w:line="273" w:lineRule="auto" w:before="133"/>
              <w:ind w:left="107" w:right="129" w:hanging="1"/>
              <w:rPr>
                <w:sz w:val="21"/>
              </w:rPr>
            </w:pPr>
            <w:r>
              <w:rPr>
                <w:sz w:val="21"/>
              </w:rPr>
              <w:t>埃博拉病毒感染</w:t>
            </w:r>
          </w:p>
        </w:tc>
        <w:tc>
          <w:tcPr>
            <w:tcW w:w="7971" w:type="dxa"/>
          </w:tcPr>
          <w:p>
            <w:pPr>
              <w:pStyle w:val="TableParagraph"/>
              <w:spacing w:line="273" w:lineRule="auto" w:before="133"/>
              <w:ind w:left="130" w:right="47"/>
              <w:rPr>
                <w:rFonts w:ascii="黑体" w:eastAsia="黑体" w:hint="eastAsia"/>
                <w:sz w:val="21"/>
              </w:rPr>
            </w:pPr>
            <w:r>
              <w:rPr>
                <w:sz w:val="21"/>
              </w:rPr>
              <w:t>指埃博拉病毒感染导致的出血性发热。必须经本公司认可的医院的传染病专科医生确诊，</w:t>
            </w:r>
            <w:r>
              <w:rPr>
                <w:rFonts w:ascii="黑体" w:eastAsia="黑体" w:hint="eastAsia"/>
                <w:sz w:val="21"/>
              </w:rPr>
              <w:t>并须满足下列全部条件：</w:t>
            </w:r>
          </w:p>
          <w:p>
            <w:pPr>
              <w:pStyle w:val="TableParagraph"/>
              <w:numPr>
                <w:ilvl w:val="0"/>
                <w:numId w:val="57"/>
              </w:numPr>
              <w:tabs>
                <w:tab w:pos="865" w:val="left" w:leader="none"/>
                <w:tab w:pos="866" w:val="left" w:leader="none"/>
              </w:tabs>
              <w:spacing w:line="240" w:lineRule="auto" w:before="85" w:after="0"/>
              <w:ind w:left="865" w:right="0" w:hanging="735"/>
              <w:jc w:val="left"/>
              <w:rPr>
                <w:sz w:val="21"/>
              </w:rPr>
            </w:pPr>
            <w:r>
              <w:rPr>
                <w:sz w:val="21"/>
              </w:rPr>
              <w:t>埃博拉病毒的存在必须经过实验室检查证实；</w:t>
            </w:r>
          </w:p>
          <w:p>
            <w:pPr>
              <w:pStyle w:val="TableParagraph"/>
              <w:numPr>
                <w:ilvl w:val="0"/>
                <w:numId w:val="57"/>
              </w:numPr>
              <w:tabs>
                <w:tab w:pos="865" w:val="left" w:leader="none"/>
                <w:tab w:pos="866" w:val="left" w:leader="none"/>
              </w:tabs>
              <w:spacing w:line="240" w:lineRule="auto" w:before="115" w:after="0"/>
              <w:ind w:left="865" w:right="0" w:hanging="735"/>
              <w:jc w:val="left"/>
              <w:rPr>
                <w:sz w:val="21"/>
              </w:rPr>
            </w:pPr>
            <w:r>
              <w:rPr>
                <w:sz w:val="21"/>
              </w:rPr>
              <w:t>存在皮肤粘膜出血，呕血，咯血，便血或血尿等临床表现；</w:t>
            </w:r>
          </w:p>
          <w:p>
            <w:pPr>
              <w:pStyle w:val="TableParagraph"/>
              <w:numPr>
                <w:ilvl w:val="0"/>
                <w:numId w:val="57"/>
              </w:numPr>
              <w:tabs>
                <w:tab w:pos="865" w:val="left" w:leader="none"/>
                <w:tab w:pos="866" w:val="left" w:leader="none"/>
              </w:tabs>
              <w:spacing w:line="240" w:lineRule="auto" w:before="115" w:after="0"/>
              <w:ind w:left="865" w:right="0" w:hanging="735"/>
              <w:jc w:val="left"/>
              <w:rPr>
                <w:sz w:val="21"/>
              </w:rPr>
            </w:pPr>
            <w:r>
              <w:rPr>
                <w:spacing w:val="-4"/>
                <w:sz w:val="21"/>
              </w:rPr>
              <w:t>感染埃博拉病毒并出现出血性发热持续 </w:t>
            </w:r>
            <w:r>
              <w:rPr>
                <w:sz w:val="21"/>
              </w:rPr>
              <w:t>30</w:t>
            </w:r>
            <w:r>
              <w:rPr>
                <w:spacing w:val="-14"/>
                <w:sz w:val="21"/>
              </w:rPr>
              <w:t> 天以上。</w:t>
            </w:r>
          </w:p>
          <w:p>
            <w:pPr>
              <w:pStyle w:val="TableParagraph"/>
              <w:spacing w:before="115"/>
              <w:ind w:left="130"/>
              <w:rPr>
                <w:rFonts w:ascii="黑体" w:eastAsia="黑体" w:hint="eastAsia"/>
                <w:sz w:val="21"/>
              </w:rPr>
            </w:pPr>
            <w:r>
              <w:rPr>
                <w:rFonts w:ascii="黑体" w:eastAsia="黑体" w:hint="eastAsia"/>
                <w:sz w:val="21"/>
              </w:rPr>
              <w:t>单纯实验室诊断但没有临床出血表现的不在保障范围内。</w:t>
            </w:r>
          </w:p>
        </w:tc>
      </w:tr>
      <w:tr>
        <w:trPr>
          <w:trHeight w:val="2906" w:hRule="atLeast"/>
        </w:trPr>
        <w:tc>
          <w:tcPr>
            <w:tcW w:w="851" w:type="dxa"/>
          </w:tcPr>
          <w:p>
            <w:pPr>
              <w:pStyle w:val="TableParagraph"/>
              <w:spacing w:before="163"/>
              <w:ind w:left="108"/>
              <w:rPr>
                <w:sz w:val="21"/>
              </w:rPr>
            </w:pPr>
            <w:r>
              <w:rPr>
                <w:sz w:val="21"/>
              </w:rPr>
              <w:t>9.2.60</w:t>
            </w:r>
          </w:p>
        </w:tc>
        <w:tc>
          <w:tcPr>
            <w:tcW w:w="1503" w:type="dxa"/>
          </w:tcPr>
          <w:p>
            <w:pPr>
              <w:pStyle w:val="TableParagraph"/>
              <w:spacing w:line="273" w:lineRule="auto" w:before="163"/>
              <w:ind w:left="107" w:right="129" w:hanging="1"/>
              <w:rPr>
                <w:sz w:val="21"/>
              </w:rPr>
            </w:pPr>
            <w:r>
              <w:rPr>
                <w:sz w:val="21"/>
              </w:rPr>
              <w:t>失去一肢及一眼</w:t>
            </w:r>
          </w:p>
        </w:tc>
        <w:tc>
          <w:tcPr>
            <w:tcW w:w="7971" w:type="dxa"/>
          </w:tcPr>
          <w:p>
            <w:pPr>
              <w:pStyle w:val="TableParagraph"/>
              <w:spacing w:line="273" w:lineRule="auto" w:before="163"/>
              <w:ind w:left="130" w:right="103"/>
              <w:rPr>
                <w:sz w:val="21"/>
              </w:rPr>
            </w:pPr>
            <w:r>
              <w:rPr>
                <w:sz w:val="21"/>
              </w:rPr>
              <w:t>因疾病或意外伤害导致单眼视力丧失及任何一肢自腕关节或踝关节近端（靠近躯干端）以上完全性断离。</w:t>
            </w:r>
          </w:p>
          <w:p>
            <w:pPr>
              <w:pStyle w:val="TableParagraph"/>
              <w:spacing w:before="85"/>
              <w:ind w:left="130"/>
              <w:rPr>
                <w:sz w:val="21"/>
              </w:rPr>
            </w:pPr>
            <w:r>
              <w:rPr>
                <w:sz w:val="21"/>
              </w:rPr>
              <w:t>单眼视力丧失指单眼视力永久不可逆性丧失，患眼须满足下列至少一项条件：</w:t>
            </w:r>
          </w:p>
          <w:p>
            <w:pPr>
              <w:pStyle w:val="TableParagraph"/>
              <w:numPr>
                <w:ilvl w:val="0"/>
                <w:numId w:val="58"/>
              </w:numPr>
              <w:tabs>
                <w:tab w:pos="761" w:val="left" w:leader="none"/>
              </w:tabs>
              <w:spacing w:line="240" w:lineRule="auto" w:before="114" w:after="0"/>
              <w:ind w:left="760" w:right="0" w:hanging="630"/>
              <w:jc w:val="left"/>
              <w:rPr>
                <w:sz w:val="21"/>
              </w:rPr>
            </w:pPr>
            <w:r>
              <w:rPr>
                <w:sz w:val="21"/>
              </w:rPr>
              <w:t>眼球缺失或摘除；</w:t>
            </w:r>
          </w:p>
          <w:p>
            <w:pPr>
              <w:pStyle w:val="TableParagraph"/>
              <w:numPr>
                <w:ilvl w:val="0"/>
                <w:numId w:val="58"/>
              </w:numPr>
              <w:tabs>
                <w:tab w:pos="761" w:val="left" w:leader="none"/>
              </w:tabs>
              <w:spacing w:line="240" w:lineRule="auto" w:before="114" w:after="0"/>
              <w:ind w:left="760" w:right="0" w:hanging="630"/>
              <w:jc w:val="left"/>
              <w:rPr>
                <w:sz w:val="21"/>
              </w:rPr>
            </w:pPr>
            <w:r>
              <w:rPr>
                <w:spacing w:val="-8"/>
                <w:sz w:val="21"/>
              </w:rPr>
              <w:t>矫正视力低于 </w:t>
            </w:r>
            <w:r>
              <w:rPr>
                <w:sz w:val="21"/>
              </w:rPr>
              <w:t>0.0</w:t>
            </w:r>
            <w:r>
              <w:rPr>
                <w:spacing w:val="-45"/>
                <w:sz w:val="21"/>
              </w:rPr>
              <w:t>2</w:t>
            </w:r>
            <w:r>
              <w:rPr>
                <w:sz w:val="21"/>
              </w:rPr>
              <w:t>（</w:t>
            </w:r>
            <w:r>
              <w:rPr>
                <w:spacing w:val="-5"/>
                <w:sz w:val="21"/>
              </w:rPr>
              <w:t>采用国际标准视力表，如果使用其它视力表应进行换算</w:t>
            </w:r>
            <w:r>
              <w:rPr>
                <w:spacing w:val="-105"/>
                <w:sz w:val="21"/>
              </w:rPr>
              <w:t>）</w:t>
            </w:r>
            <w:r>
              <w:rPr>
                <w:sz w:val="21"/>
              </w:rPr>
              <w:t>；</w:t>
            </w:r>
          </w:p>
          <w:p>
            <w:pPr>
              <w:pStyle w:val="TableParagraph"/>
              <w:numPr>
                <w:ilvl w:val="0"/>
                <w:numId w:val="58"/>
              </w:numPr>
              <w:tabs>
                <w:tab w:pos="761" w:val="left" w:leader="none"/>
              </w:tabs>
              <w:spacing w:line="240" w:lineRule="auto" w:before="114" w:after="0"/>
              <w:ind w:left="760" w:right="0" w:hanging="630"/>
              <w:jc w:val="left"/>
              <w:rPr>
                <w:sz w:val="21"/>
              </w:rPr>
            </w:pPr>
            <w:r>
              <w:rPr>
                <w:spacing w:val="-8"/>
                <w:sz w:val="21"/>
              </w:rPr>
              <w:t>视野半径小于 </w:t>
            </w:r>
            <w:r>
              <w:rPr>
                <w:sz w:val="21"/>
              </w:rPr>
              <w:t>5 度。</w:t>
            </w:r>
          </w:p>
          <w:p>
            <w:pPr>
              <w:pStyle w:val="TableParagraph"/>
              <w:spacing w:before="114"/>
              <w:ind w:left="130"/>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611" w:hRule="atLeast"/>
        </w:trPr>
        <w:tc>
          <w:tcPr>
            <w:tcW w:w="851" w:type="dxa"/>
            <w:tcBorders>
              <w:bottom w:val="single" w:sz="4" w:space="0" w:color="000000"/>
            </w:tcBorders>
          </w:tcPr>
          <w:p>
            <w:pPr>
              <w:pStyle w:val="TableParagraph"/>
              <w:spacing w:before="132"/>
              <w:ind w:left="108"/>
              <w:rPr>
                <w:sz w:val="24"/>
              </w:rPr>
            </w:pPr>
            <w:r>
              <w:rPr>
                <w:sz w:val="24"/>
              </w:rPr>
              <w:t>10.</w:t>
            </w:r>
          </w:p>
        </w:tc>
        <w:tc>
          <w:tcPr>
            <w:tcW w:w="1503" w:type="dxa"/>
            <w:tcBorders>
              <w:bottom w:val="single" w:sz="4" w:space="0" w:color="000000"/>
            </w:tcBorders>
          </w:tcPr>
          <w:p>
            <w:pPr>
              <w:pStyle w:val="TableParagraph"/>
              <w:spacing w:before="132"/>
              <w:ind w:left="107"/>
              <w:rPr>
                <w:sz w:val="24"/>
              </w:rPr>
            </w:pPr>
            <w:r>
              <w:rPr>
                <w:sz w:val="24"/>
              </w:rPr>
              <w:t>释义</w:t>
            </w:r>
          </w:p>
        </w:tc>
        <w:tc>
          <w:tcPr>
            <w:tcW w:w="7971" w:type="dxa"/>
            <w:tcBorders>
              <w:bottom w:val="single" w:sz="4" w:space="0" w:color="000000"/>
            </w:tcBorders>
          </w:tcPr>
          <w:p>
            <w:pPr>
              <w:pStyle w:val="TableParagraph"/>
              <w:spacing w:before="0"/>
              <w:rPr>
                <w:rFonts w:ascii="Times New Roman"/>
                <w:sz w:val="20"/>
              </w:rPr>
            </w:pPr>
          </w:p>
        </w:tc>
      </w:tr>
      <w:tr>
        <w:trPr>
          <w:trHeight w:val="985" w:hRule="atLeast"/>
        </w:trPr>
        <w:tc>
          <w:tcPr>
            <w:tcW w:w="851" w:type="dxa"/>
            <w:tcBorders>
              <w:top w:val="single" w:sz="4" w:space="0" w:color="000000"/>
            </w:tcBorders>
          </w:tcPr>
          <w:p>
            <w:pPr>
              <w:pStyle w:val="TableParagraph"/>
              <w:spacing w:before="1"/>
              <w:rPr>
                <w:sz w:val="17"/>
              </w:rPr>
            </w:pPr>
          </w:p>
          <w:p>
            <w:pPr>
              <w:pStyle w:val="TableParagraph"/>
              <w:spacing w:before="0"/>
              <w:ind w:left="108"/>
              <w:rPr>
                <w:sz w:val="21"/>
              </w:rPr>
            </w:pPr>
            <w:r>
              <w:rPr>
                <w:sz w:val="21"/>
              </w:rPr>
              <w:t>10.1</w:t>
            </w:r>
          </w:p>
        </w:tc>
        <w:tc>
          <w:tcPr>
            <w:tcW w:w="1503" w:type="dxa"/>
            <w:tcBorders>
              <w:top w:val="single" w:sz="4" w:space="0" w:color="000000"/>
            </w:tcBorders>
          </w:tcPr>
          <w:p>
            <w:pPr>
              <w:pStyle w:val="TableParagraph"/>
              <w:spacing w:before="1"/>
              <w:rPr>
                <w:sz w:val="17"/>
              </w:rPr>
            </w:pPr>
          </w:p>
          <w:p>
            <w:pPr>
              <w:pStyle w:val="TableParagraph"/>
              <w:spacing w:before="0"/>
              <w:ind w:left="107"/>
              <w:rPr>
                <w:sz w:val="21"/>
              </w:rPr>
            </w:pPr>
            <w:r>
              <w:rPr>
                <w:sz w:val="21"/>
              </w:rPr>
              <w:t>合法有效</w:t>
            </w:r>
          </w:p>
        </w:tc>
        <w:tc>
          <w:tcPr>
            <w:tcW w:w="7971" w:type="dxa"/>
            <w:tcBorders>
              <w:top w:val="single" w:sz="4" w:space="0" w:color="000000"/>
            </w:tcBorders>
          </w:tcPr>
          <w:p>
            <w:pPr>
              <w:pStyle w:val="TableParagraph"/>
              <w:spacing w:before="1"/>
              <w:rPr>
                <w:sz w:val="17"/>
              </w:rPr>
            </w:pPr>
          </w:p>
          <w:p>
            <w:pPr>
              <w:pStyle w:val="TableParagraph"/>
              <w:spacing w:line="273" w:lineRule="auto" w:before="0"/>
              <w:ind w:left="130" w:right="47"/>
              <w:rPr>
                <w:sz w:val="21"/>
              </w:rPr>
            </w:pPr>
            <w:r>
              <w:rPr>
                <w:sz w:val="21"/>
              </w:rPr>
              <w:t>本合同所指合法有效均以中华人民共和国法律、行政法规、地方性法规、行政规章及有关规范性法律文件的规定为判定依据。</w:t>
            </w:r>
          </w:p>
        </w:tc>
      </w:tr>
      <w:tr>
        <w:trPr>
          <w:trHeight w:val="1183" w:hRule="atLeast"/>
        </w:trPr>
        <w:tc>
          <w:tcPr>
            <w:tcW w:w="851" w:type="dxa"/>
          </w:tcPr>
          <w:p>
            <w:pPr>
              <w:pStyle w:val="TableParagraph"/>
              <w:ind w:left="108"/>
              <w:rPr>
                <w:sz w:val="21"/>
              </w:rPr>
            </w:pPr>
            <w:r>
              <w:rPr>
                <w:sz w:val="21"/>
              </w:rPr>
              <w:t>10.2</w:t>
            </w:r>
          </w:p>
        </w:tc>
        <w:tc>
          <w:tcPr>
            <w:tcW w:w="1503" w:type="dxa"/>
          </w:tcPr>
          <w:p>
            <w:pPr>
              <w:pStyle w:val="TableParagraph"/>
              <w:ind w:left="107"/>
              <w:rPr>
                <w:sz w:val="21"/>
              </w:rPr>
            </w:pPr>
            <w:r>
              <w:rPr>
                <w:sz w:val="21"/>
              </w:rPr>
              <w:t>保单年度</w:t>
            </w:r>
          </w:p>
        </w:tc>
        <w:tc>
          <w:tcPr>
            <w:tcW w:w="7971" w:type="dxa"/>
          </w:tcPr>
          <w:p>
            <w:pPr>
              <w:pStyle w:val="TableParagraph"/>
              <w:spacing w:line="273" w:lineRule="auto"/>
              <w:ind w:left="130" w:right="103"/>
              <w:jc w:val="both"/>
              <w:rPr>
                <w:sz w:val="21"/>
              </w:rPr>
            </w:pPr>
            <w:r>
              <w:rPr>
                <w:spacing w:val="0"/>
                <w:sz w:val="21"/>
              </w:rPr>
              <w:t>从保险合同生效日或者年生效对应日零时起至下一年度保险合同年生效对应日的前</w:t>
            </w:r>
            <w:r>
              <w:rPr>
                <w:spacing w:val="-6"/>
                <w:sz w:val="21"/>
              </w:rPr>
              <w:t>一日 </w:t>
            </w:r>
            <w:r>
              <w:rPr>
                <w:sz w:val="21"/>
              </w:rPr>
              <w:t>24</w:t>
            </w:r>
            <w:r>
              <w:rPr>
                <w:spacing w:val="-5"/>
                <w:sz w:val="21"/>
              </w:rPr>
              <w:t> 时止为一个保单年度。如果当月无对应的同一日，则以该月最后一日为对应日。</w:t>
            </w:r>
          </w:p>
        </w:tc>
      </w:tr>
      <w:tr>
        <w:trPr>
          <w:trHeight w:val="872" w:hRule="atLeast"/>
        </w:trPr>
        <w:tc>
          <w:tcPr>
            <w:tcW w:w="851" w:type="dxa"/>
          </w:tcPr>
          <w:p>
            <w:pPr>
              <w:pStyle w:val="TableParagraph"/>
              <w:ind w:left="108"/>
              <w:rPr>
                <w:sz w:val="21"/>
              </w:rPr>
            </w:pPr>
            <w:r>
              <w:rPr>
                <w:sz w:val="21"/>
              </w:rPr>
              <w:t>10.3</w:t>
            </w:r>
          </w:p>
        </w:tc>
        <w:tc>
          <w:tcPr>
            <w:tcW w:w="1503" w:type="dxa"/>
          </w:tcPr>
          <w:p>
            <w:pPr>
              <w:pStyle w:val="TableParagraph"/>
              <w:spacing w:line="273" w:lineRule="auto"/>
              <w:ind w:left="107" w:right="129"/>
              <w:rPr>
                <w:sz w:val="21"/>
              </w:rPr>
            </w:pPr>
            <w:r>
              <w:rPr>
                <w:sz w:val="21"/>
              </w:rPr>
              <w:t>保险费约定交纳日</w:t>
            </w:r>
          </w:p>
        </w:tc>
        <w:tc>
          <w:tcPr>
            <w:tcW w:w="7971" w:type="dxa"/>
          </w:tcPr>
          <w:p>
            <w:pPr>
              <w:pStyle w:val="TableParagraph"/>
              <w:spacing w:line="273" w:lineRule="auto"/>
              <w:ind w:left="130" w:right="47"/>
              <w:rPr>
                <w:sz w:val="21"/>
              </w:rPr>
            </w:pPr>
            <w:r>
              <w:rPr>
                <w:sz w:val="21"/>
              </w:rPr>
              <w:t>保险合同生效日在每月、每季、每半年或者每年（根据交费方式确定）的对应日。如果当月无对应的同一日，则以该月最后一日为对应日。</w:t>
            </w:r>
          </w:p>
        </w:tc>
      </w:tr>
      <w:tr>
        <w:trPr>
          <w:trHeight w:val="697" w:hRule="atLeast"/>
        </w:trPr>
        <w:tc>
          <w:tcPr>
            <w:tcW w:w="851" w:type="dxa"/>
          </w:tcPr>
          <w:p>
            <w:pPr>
              <w:pStyle w:val="TableParagraph"/>
              <w:ind w:left="108"/>
              <w:rPr>
                <w:sz w:val="21"/>
              </w:rPr>
            </w:pPr>
            <w:r>
              <w:rPr>
                <w:sz w:val="21"/>
              </w:rPr>
              <w:t>10.4</w:t>
            </w:r>
          </w:p>
        </w:tc>
        <w:tc>
          <w:tcPr>
            <w:tcW w:w="1503" w:type="dxa"/>
          </w:tcPr>
          <w:p>
            <w:pPr>
              <w:pStyle w:val="TableParagraph"/>
              <w:ind w:left="108"/>
              <w:rPr>
                <w:sz w:val="21"/>
              </w:rPr>
            </w:pPr>
            <w:r>
              <w:rPr>
                <w:sz w:val="21"/>
              </w:rPr>
              <w:t>周岁</w:t>
            </w:r>
          </w:p>
        </w:tc>
        <w:tc>
          <w:tcPr>
            <w:tcW w:w="7971" w:type="dxa"/>
          </w:tcPr>
          <w:p>
            <w:pPr>
              <w:pStyle w:val="TableParagraph"/>
              <w:spacing w:line="310" w:lineRule="atLeast" w:before="75"/>
              <w:ind w:left="130" w:right="104"/>
              <w:rPr>
                <w:sz w:val="21"/>
              </w:rPr>
            </w:pPr>
            <w:r>
              <w:rPr>
                <w:spacing w:val="-2"/>
                <w:sz w:val="21"/>
              </w:rPr>
              <w:t>指按有效身份证件中记载的出生日期计算的年龄，自出生之日起为零周岁，每经过一</w:t>
            </w:r>
            <w:r>
              <w:rPr>
                <w:spacing w:val="-4"/>
                <w:sz w:val="21"/>
              </w:rPr>
              <w:t>年增加一岁，不足一年的不计。例如，出生日期为 </w:t>
            </w:r>
            <w:r>
              <w:rPr>
                <w:sz w:val="21"/>
              </w:rPr>
              <w:t>2000</w:t>
            </w:r>
            <w:r>
              <w:rPr>
                <w:spacing w:val="-32"/>
                <w:sz w:val="21"/>
              </w:rPr>
              <w:t> 年 </w:t>
            </w:r>
            <w:r>
              <w:rPr>
                <w:sz w:val="21"/>
              </w:rPr>
              <w:t>9</w:t>
            </w:r>
            <w:r>
              <w:rPr>
                <w:spacing w:val="-31"/>
                <w:sz w:val="21"/>
              </w:rPr>
              <w:t> 月 </w:t>
            </w:r>
            <w:r>
              <w:rPr>
                <w:sz w:val="21"/>
              </w:rPr>
              <w:t>1</w:t>
            </w:r>
            <w:r>
              <w:rPr>
                <w:spacing w:val="-16"/>
                <w:sz w:val="21"/>
              </w:rPr>
              <w:t> 日，</w:t>
            </w:r>
            <w:r>
              <w:rPr>
                <w:sz w:val="21"/>
              </w:rPr>
              <w:t>2000</w:t>
            </w:r>
            <w:r>
              <w:rPr>
                <w:spacing w:val="-31"/>
                <w:sz w:val="21"/>
              </w:rPr>
              <w:t> 年 </w:t>
            </w:r>
            <w:r>
              <w:rPr>
                <w:sz w:val="21"/>
              </w:rPr>
              <w:t>9</w:t>
            </w:r>
            <w:r>
              <w:rPr>
                <w:spacing w:val="-31"/>
                <w:sz w:val="21"/>
              </w:rPr>
              <w:t> 月 </w:t>
            </w:r>
            <w:r>
              <w:rPr>
                <w:sz w:val="21"/>
              </w:rPr>
              <w:t>1</w:t>
            </w:r>
          </w:p>
        </w:tc>
      </w:tr>
    </w:tbl>
    <w:p>
      <w:pPr>
        <w:spacing w:after="0" w:line="310" w:lineRule="atLeast"/>
        <w:rPr>
          <w:sz w:val="21"/>
        </w:rPr>
        <w:sectPr>
          <w:pgSz w:w="11900" w:h="16840"/>
          <w:pgMar w:top="1100" w:bottom="280" w:left="920" w:right="440"/>
        </w:sectPr>
      </w:pPr>
    </w:p>
    <w:p>
      <w:pPr>
        <w:pStyle w:val="BodyText"/>
        <w:spacing w:line="273" w:lineRule="auto" w:before="19"/>
        <w:ind w:left="2690" w:right="355"/>
      </w:pPr>
      <w:r>
        <w:rPr>
          <w:spacing w:val="-18"/>
        </w:rPr>
        <w:t>日至 </w:t>
      </w:r>
      <w:r>
        <w:rPr/>
        <w:t>2001</w:t>
      </w:r>
      <w:r>
        <w:rPr>
          <w:spacing w:val="-36"/>
        </w:rPr>
        <w:t> 年 </w:t>
      </w:r>
      <w:r>
        <w:rPr/>
        <w:t>8</w:t>
      </w:r>
      <w:r>
        <w:rPr>
          <w:spacing w:val="-36"/>
        </w:rPr>
        <w:t> 月 </w:t>
      </w:r>
      <w:r>
        <w:rPr/>
        <w:t>31</w:t>
      </w:r>
      <w:r>
        <w:rPr>
          <w:spacing w:val="-19"/>
        </w:rPr>
        <w:t> 日期间为 </w:t>
      </w:r>
      <w:r>
        <w:rPr/>
        <w:t>0</w:t>
      </w:r>
      <w:r>
        <w:rPr>
          <w:spacing w:val="-16"/>
        </w:rPr>
        <w:t> 周岁，</w:t>
      </w:r>
      <w:r>
        <w:rPr>
          <w:spacing w:val="-8"/>
        </w:rPr>
        <w:t>2001</w:t>
      </w:r>
      <w:r>
        <w:rPr>
          <w:spacing w:val="-36"/>
        </w:rPr>
        <w:t> 年 </w:t>
      </w:r>
      <w:r>
        <w:rPr/>
        <w:t>9</w:t>
      </w:r>
      <w:r>
        <w:rPr>
          <w:spacing w:val="-36"/>
        </w:rPr>
        <w:t> 月 </w:t>
      </w:r>
      <w:r>
        <w:rPr/>
        <w:t>1</w:t>
      </w:r>
      <w:r>
        <w:rPr>
          <w:spacing w:val="-27"/>
        </w:rPr>
        <w:t> 日至 </w:t>
      </w:r>
      <w:r>
        <w:rPr/>
        <w:t>2002</w:t>
      </w:r>
      <w:r>
        <w:rPr>
          <w:spacing w:val="-36"/>
        </w:rPr>
        <w:t> 年 </w:t>
      </w:r>
      <w:r>
        <w:rPr/>
        <w:t>8</w:t>
      </w:r>
      <w:r>
        <w:rPr>
          <w:spacing w:val="-36"/>
        </w:rPr>
        <w:t> 月 </w:t>
      </w:r>
      <w:r>
        <w:rPr/>
        <w:t>31</w:t>
      </w:r>
      <w:r>
        <w:rPr>
          <w:spacing w:val="-19"/>
        </w:rPr>
        <w:t> 日期间为 </w:t>
      </w:r>
      <w:r>
        <w:rPr/>
        <w:t>1 周岁，依此类推。</w:t>
      </w:r>
    </w:p>
    <w:p>
      <w:pPr>
        <w:pStyle w:val="BodyText"/>
        <w:spacing w:before="6" w:after="1"/>
        <w:rPr>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555"/>
        <w:gridCol w:w="8101"/>
      </w:tblGrid>
      <w:tr>
        <w:trPr>
          <w:trHeight w:val="999" w:hRule="atLeast"/>
        </w:trPr>
        <w:tc>
          <w:tcPr>
            <w:tcW w:w="891" w:type="dxa"/>
          </w:tcPr>
          <w:p>
            <w:pPr>
              <w:pStyle w:val="TableParagraph"/>
              <w:spacing w:line="210" w:lineRule="exact" w:before="0"/>
              <w:ind w:left="78" w:right="143"/>
              <w:jc w:val="center"/>
              <w:rPr>
                <w:sz w:val="21"/>
              </w:rPr>
            </w:pPr>
            <w:r>
              <w:rPr>
                <w:sz w:val="21"/>
              </w:rPr>
              <w:t>10.5</w:t>
            </w:r>
          </w:p>
        </w:tc>
        <w:tc>
          <w:tcPr>
            <w:tcW w:w="1555" w:type="dxa"/>
          </w:tcPr>
          <w:p>
            <w:pPr>
              <w:pStyle w:val="TableParagraph"/>
              <w:spacing w:line="210" w:lineRule="exact" w:before="0"/>
              <w:ind w:left="159"/>
              <w:rPr>
                <w:sz w:val="21"/>
              </w:rPr>
            </w:pPr>
            <w:r>
              <w:rPr>
                <w:sz w:val="21"/>
              </w:rPr>
              <w:t>有效身份证件</w:t>
            </w:r>
          </w:p>
        </w:tc>
        <w:tc>
          <w:tcPr>
            <w:tcW w:w="8101" w:type="dxa"/>
          </w:tcPr>
          <w:p>
            <w:pPr>
              <w:pStyle w:val="TableParagraph"/>
              <w:spacing w:line="210" w:lineRule="exact" w:before="0"/>
              <w:ind w:left="130"/>
              <w:rPr>
                <w:sz w:val="21"/>
              </w:rPr>
            </w:pPr>
            <w:r>
              <w:rPr>
                <w:sz w:val="21"/>
              </w:rPr>
              <w:t>指由中华人民共和国政府主管部门规定的能够证明其身份的证件，如：居民身份证、</w:t>
            </w:r>
          </w:p>
          <w:p>
            <w:pPr>
              <w:pStyle w:val="TableParagraph"/>
              <w:spacing w:line="273" w:lineRule="auto" w:before="37"/>
              <w:ind w:left="130" w:right="234"/>
              <w:rPr>
                <w:sz w:val="21"/>
              </w:rPr>
            </w:pPr>
            <w:r>
              <w:rPr>
                <w:spacing w:val="-6"/>
                <w:sz w:val="21"/>
              </w:rPr>
              <w:t>军官证、警官证、士兵证、户口簿以及中华人民共和国政府主管部门颁发或者认可的有效护照或者其他身份证明文件。</w:t>
            </w:r>
          </w:p>
        </w:tc>
      </w:tr>
      <w:tr>
        <w:trPr>
          <w:trHeight w:val="871" w:hRule="atLeast"/>
        </w:trPr>
        <w:tc>
          <w:tcPr>
            <w:tcW w:w="891" w:type="dxa"/>
          </w:tcPr>
          <w:p>
            <w:pPr>
              <w:pStyle w:val="TableParagraph"/>
              <w:spacing w:before="118"/>
              <w:ind w:left="78" w:right="143"/>
              <w:jc w:val="center"/>
              <w:rPr>
                <w:sz w:val="21"/>
              </w:rPr>
            </w:pPr>
            <w:r>
              <w:rPr>
                <w:sz w:val="21"/>
              </w:rPr>
              <w:t>10.6</w:t>
            </w:r>
          </w:p>
        </w:tc>
        <w:tc>
          <w:tcPr>
            <w:tcW w:w="1555" w:type="dxa"/>
          </w:tcPr>
          <w:p>
            <w:pPr>
              <w:pStyle w:val="TableParagraph"/>
              <w:spacing w:before="101"/>
              <w:ind w:left="159"/>
              <w:rPr>
                <w:sz w:val="21"/>
              </w:rPr>
            </w:pPr>
            <w:r>
              <w:rPr>
                <w:sz w:val="21"/>
              </w:rPr>
              <w:t>医院</w:t>
            </w:r>
          </w:p>
        </w:tc>
        <w:tc>
          <w:tcPr>
            <w:tcW w:w="8101" w:type="dxa"/>
          </w:tcPr>
          <w:p>
            <w:pPr>
              <w:pStyle w:val="TableParagraph"/>
              <w:spacing w:line="273" w:lineRule="auto" w:before="118"/>
              <w:ind w:left="130" w:right="177"/>
              <w:rPr>
                <w:rFonts w:ascii="黑体" w:eastAsia="黑体" w:hint="eastAsia"/>
                <w:sz w:val="21"/>
              </w:rPr>
            </w:pPr>
            <w:r>
              <w:rPr>
                <w:sz w:val="21"/>
              </w:rPr>
              <w:t>指国务院卫生行政主管部门医院等级分类中的</w:t>
            </w:r>
            <w:r>
              <w:rPr>
                <w:rFonts w:ascii="黑体" w:eastAsia="黑体" w:hint="eastAsia"/>
                <w:sz w:val="21"/>
              </w:rPr>
              <w:t>二级合格或者二级合格以上的医院，不包括以康复、护理、疗养、戒酒、戒毒或者类似功能为主要功能的医疗机构。</w:t>
            </w:r>
          </w:p>
        </w:tc>
      </w:tr>
      <w:tr>
        <w:trPr>
          <w:trHeight w:val="5483" w:hRule="atLeast"/>
        </w:trPr>
        <w:tc>
          <w:tcPr>
            <w:tcW w:w="891" w:type="dxa"/>
          </w:tcPr>
          <w:p>
            <w:pPr>
              <w:pStyle w:val="TableParagraph"/>
              <w:spacing w:before="119"/>
              <w:ind w:left="78" w:right="143"/>
              <w:jc w:val="center"/>
              <w:rPr>
                <w:sz w:val="21"/>
              </w:rPr>
            </w:pPr>
            <w:r>
              <w:rPr>
                <w:sz w:val="21"/>
              </w:rPr>
              <w:t>10.7</w:t>
            </w:r>
          </w:p>
        </w:tc>
        <w:tc>
          <w:tcPr>
            <w:tcW w:w="1555" w:type="dxa"/>
          </w:tcPr>
          <w:p>
            <w:pPr>
              <w:pStyle w:val="TableParagraph"/>
              <w:spacing w:before="101"/>
              <w:ind w:left="159"/>
              <w:rPr>
                <w:sz w:val="21"/>
              </w:rPr>
            </w:pPr>
            <w:r>
              <w:rPr>
                <w:sz w:val="21"/>
              </w:rPr>
              <w:t>初次确诊</w:t>
            </w:r>
          </w:p>
        </w:tc>
        <w:tc>
          <w:tcPr>
            <w:tcW w:w="8101" w:type="dxa"/>
          </w:tcPr>
          <w:p>
            <w:pPr>
              <w:pStyle w:val="TableParagraph"/>
              <w:spacing w:line="273" w:lineRule="auto" w:before="119"/>
              <w:ind w:left="130" w:right="199"/>
              <w:jc w:val="both"/>
              <w:rPr>
                <w:sz w:val="21"/>
              </w:rPr>
            </w:pPr>
            <w:r>
              <w:rPr>
                <w:sz w:val="21"/>
              </w:rPr>
              <w:t>指自被保险人出生之日起第一次经医院确诊患有某种疾病，</w:t>
            </w:r>
            <w:r>
              <w:rPr>
                <w:rFonts w:ascii="黑体" w:eastAsia="黑体" w:hint="eastAsia"/>
                <w:sz w:val="21"/>
              </w:rPr>
              <w:t>而不是指自本合同Th效、</w:t>
            </w:r>
            <w:r>
              <w:rPr>
                <w:rFonts w:ascii="黑体" w:eastAsia="黑体" w:hint="eastAsia"/>
                <w:spacing w:val="-3"/>
                <w:sz w:val="21"/>
              </w:rPr>
              <w:t>复效之后第一次经医院确诊患有某种疾病。</w:t>
            </w:r>
            <w:r>
              <w:rPr>
                <w:spacing w:val="-4"/>
                <w:sz w:val="21"/>
              </w:rPr>
              <w:t>例如，</w:t>
            </w:r>
            <w:r>
              <w:rPr>
                <w:spacing w:val="-10"/>
                <w:sz w:val="21"/>
              </w:rPr>
              <w:t>2010</w:t>
            </w:r>
            <w:r>
              <w:rPr>
                <w:spacing w:val="-37"/>
                <w:sz w:val="21"/>
              </w:rPr>
              <w:t> 年 </w:t>
            </w:r>
            <w:r>
              <w:rPr>
                <w:sz w:val="21"/>
              </w:rPr>
              <w:t>1</w:t>
            </w:r>
            <w:r>
              <w:rPr>
                <w:spacing w:val="-37"/>
                <w:sz w:val="21"/>
              </w:rPr>
              <w:t> 月 </w:t>
            </w:r>
            <w:r>
              <w:rPr>
                <w:sz w:val="21"/>
              </w:rPr>
              <w:t>1</w:t>
            </w:r>
            <w:r>
              <w:rPr>
                <w:spacing w:val="-8"/>
                <w:sz w:val="21"/>
              </w:rPr>
              <w:t> 日本合同经首次投保后生效，若：</w:t>
            </w:r>
          </w:p>
          <w:p>
            <w:pPr>
              <w:pStyle w:val="TableParagraph"/>
              <w:numPr>
                <w:ilvl w:val="0"/>
                <w:numId w:val="59"/>
              </w:numPr>
              <w:tabs>
                <w:tab w:pos="885" w:val="left" w:leader="none"/>
                <w:tab w:pos="886" w:val="left" w:leader="none"/>
              </w:tabs>
              <w:spacing w:line="240" w:lineRule="auto" w:before="85" w:after="0"/>
              <w:ind w:left="886" w:right="0" w:hanging="720"/>
              <w:jc w:val="left"/>
              <w:rPr>
                <w:sz w:val="18"/>
              </w:rPr>
            </w:pPr>
            <w:r>
              <w:rPr>
                <w:sz w:val="21"/>
              </w:rPr>
              <w:t>2009</w:t>
            </w:r>
            <w:r>
              <w:rPr>
                <w:spacing w:val="-36"/>
                <w:sz w:val="21"/>
              </w:rPr>
              <w:t> 年 </w:t>
            </w:r>
            <w:r>
              <w:rPr>
                <w:sz w:val="21"/>
              </w:rPr>
              <w:t>1</w:t>
            </w:r>
            <w:r>
              <w:rPr>
                <w:spacing w:val="-36"/>
                <w:sz w:val="21"/>
              </w:rPr>
              <w:t> 月 </w:t>
            </w:r>
            <w:r>
              <w:rPr>
                <w:sz w:val="21"/>
              </w:rPr>
              <w:t>1</w:t>
            </w:r>
            <w:r>
              <w:rPr>
                <w:spacing w:val="-17"/>
                <w:sz w:val="21"/>
              </w:rPr>
              <w:t> 日被保险人自出生后第一次经医院确诊罹患“恶性肿瘤”，</w:t>
            </w:r>
            <w:r>
              <w:rPr>
                <w:sz w:val="21"/>
              </w:rPr>
              <w:t>2</w:t>
            </w:r>
            <w:r>
              <w:rPr>
                <w:spacing w:val="-1"/>
                <w:sz w:val="21"/>
              </w:rPr>
              <w:t>0</w:t>
            </w:r>
            <w:r>
              <w:rPr>
                <w:sz w:val="21"/>
              </w:rPr>
              <w:t>10</w:t>
            </w:r>
          </w:p>
          <w:p>
            <w:pPr>
              <w:pStyle w:val="TableParagraph"/>
              <w:spacing w:line="273" w:lineRule="auto" w:before="36"/>
              <w:ind w:left="886" w:right="235"/>
              <w:jc w:val="both"/>
              <w:rPr>
                <w:sz w:val="21"/>
              </w:rPr>
            </w:pPr>
            <w:r>
              <w:rPr>
                <w:spacing w:val="-27"/>
                <w:sz w:val="21"/>
              </w:rPr>
              <w:t>年 </w:t>
            </w:r>
            <w:r>
              <w:rPr>
                <w:sz w:val="21"/>
              </w:rPr>
              <w:t>1</w:t>
            </w:r>
            <w:r>
              <w:rPr>
                <w:spacing w:val="-36"/>
                <w:sz w:val="21"/>
              </w:rPr>
              <w:t> 月 </w:t>
            </w:r>
            <w:r>
              <w:rPr>
                <w:sz w:val="21"/>
              </w:rPr>
              <w:t>10</w:t>
            </w:r>
            <w:r>
              <w:rPr>
                <w:spacing w:val="-18"/>
                <w:sz w:val="21"/>
              </w:rPr>
              <w:t> 日被保险人再次经医院确诊罹患“恶性肿瘤”，则 </w:t>
            </w:r>
            <w:r>
              <w:rPr>
                <w:sz w:val="21"/>
              </w:rPr>
              <w:t>2009</w:t>
            </w:r>
            <w:r>
              <w:rPr>
                <w:spacing w:val="-36"/>
                <w:sz w:val="21"/>
              </w:rPr>
              <w:t> 年 </w:t>
            </w:r>
            <w:r>
              <w:rPr>
                <w:sz w:val="21"/>
              </w:rPr>
              <w:t>1</w:t>
            </w:r>
            <w:r>
              <w:rPr>
                <w:spacing w:val="-37"/>
                <w:sz w:val="21"/>
              </w:rPr>
              <w:t> 月 </w:t>
            </w:r>
            <w:r>
              <w:rPr>
                <w:sz w:val="21"/>
              </w:rPr>
              <w:t>1</w:t>
            </w:r>
            <w:r>
              <w:rPr>
                <w:spacing w:val="-27"/>
                <w:sz w:val="21"/>
              </w:rPr>
              <w:t> 日为被保险人经医院初次确诊罹患“恶性肿瘤”的时间，由于“初次确诊”发生在本合同生效之前，因此不属于保险责任范围，我们不承担保险责任；</w:t>
            </w:r>
          </w:p>
          <w:p>
            <w:pPr>
              <w:pStyle w:val="TableParagraph"/>
              <w:numPr>
                <w:ilvl w:val="0"/>
                <w:numId w:val="59"/>
              </w:numPr>
              <w:tabs>
                <w:tab w:pos="886" w:val="left" w:leader="none"/>
              </w:tabs>
              <w:spacing w:line="273" w:lineRule="auto" w:before="85" w:after="0"/>
              <w:ind w:left="886" w:right="234" w:hanging="720"/>
              <w:jc w:val="both"/>
              <w:rPr>
                <w:sz w:val="21"/>
              </w:rPr>
            </w:pPr>
            <w:r>
              <w:rPr>
                <w:sz w:val="21"/>
              </w:rPr>
              <w:t>2010</w:t>
            </w:r>
            <w:r>
              <w:rPr>
                <w:spacing w:val="-36"/>
                <w:sz w:val="21"/>
              </w:rPr>
              <w:t> 年 </w:t>
            </w:r>
            <w:r>
              <w:rPr>
                <w:sz w:val="21"/>
              </w:rPr>
              <w:t>2</w:t>
            </w:r>
            <w:r>
              <w:rPr>
                <w:spacing w:val="-36"/>
                <w:sz w:val="21"/>
              </w:rPr>
              <w:t> 月 </w:t>
            </w:r>
            <w:r>
              <w:rPr>
                <w:sz w:val="21"/>
              </w:rPr>
              <w:t>2</w:t>
            </w:r>
            <w:r>
              <w:rPr>
                <w:spacing w:val="-8"/>
                <w:sz w:val="21"/>
              </w:rPr>
              <w:t> 日被保险人自出生后第一次经医院确诊非因意外伤害罹患“恶</w:t>
            </w:r>
            <w:r>
              <w:rPr>
                <w:spacing w:val="-45"/>
                <w:sz w:val="21"/>
              </w:rPr>
              <w:t>性肿瘤”，</w:t>
            </w:r>
            <w:r>
              <w:rPr>
                <w:spacing w:val="-1"/>
                <w:sz w:val="21"/>
              </w:rPr>
              <w:t>201</w:t>
            </w:r>
            <w:r>
              <w:rPr>
                <w:sz w:val="21"/>
              </w:rPr>
              <w:t>0</w:t>
            </w:r>
            <w:r>
              <w:rPr>
                <w:spacing w:val="-36"/>
                <w:sz w:val="21"/>
              </w:rPr>
              <w:t> 年 </w:t>
            </w:r>
            <w:r>
              <w:rPr>
                <w:sz w:val="21"/>
              </w:rPr>
              <w:t>5</w:t>
            </w:r>
            <w:r>
              <w:rPr>
                <w:spacing w:val="-36"/>
                <w:sz w:val="21"/>
              </w:rPr>
              <w:t> 月 </w:t>
            </w:r>
            <w:r>
              <w:rPr>
                <w:sz w:val="21"/>
              </w:rPr>
              <w:t>5</w:t>
            </w:r>
            <w:r>
              <w:rPr>
                <w:spacing w:val="-25"/>
                <w:sz w:val="21"/>
              </w:rPr>
              <w:t> 日被保险人再次经医院确诊罹患“恶性肿瘤”，则 </w:t>
            </w:r>
            <w:r>
              <w:rPr>
                <w:spacing w:val="-1"/>
                <w:sz w:val="21"/>
              </w:rPr>
              <w:t>2</w:t>
            </w:r>
            <w:r>
              <w:rPr>
                <w:sz w:val="21"/>
              </w:rPr>
              <w:t>0</w:t>
            </w:r>
            <w:r>
              <w:rPr>
                <w:spacing w:val="-1"/>
                <w:sz w:val="21"/>
              </w:rPr>
              <w:t>1</w:t>
            </w:r>
            <w:r>
              <w:rPr>
                <w:sz w:val="21"/>
              </w:rPr>
              <w:t>0</w:t>
            </w:r>
            <w:r>
              <w:rPr>
                <w:spacing w:val="-21"/>
                <w:sz w:val="21"/>
              </w:rPr>
              <w:t>年 </w:t>
            </w:r>
            <w:r>
              <w:rPr>
                <w:sz w:val="21"/>
              </w:rPr>
              <w:t>2</w:t>
            </w:r>
            <w:r>
              <w:rPr>
                <w:spacing w:val="-28"/>
                <w:sz w:val="21"/>
              </w:rPr>
              <w:t> 月 </w:t>
            </w:r>
            <w:r>
              <w:rPr>
                <w:sz w:val="21"/>
              </w:rPr>
              <w:t>2</w:t>
            </w:r>
            <w:r>
              <w:rPr>
                <w:spacing w:val="-7"/>
                <w:sz w:val="21"/>
              </w:rPr>
              <w:t> 日为被保险人经医院初次确诊罹患“恶性肿瘤”的时间，由于“初</w:t>
            </w:r>
          </w:p>
          <w:p>
            <w:pPr>
              <w:pStyle w:val="TableParagraph"/>
              <w:spacing w:line="273" w:lineRule="auto" w:before="7"/>
              <w:ind w:left="886" w:right="234"/>
              <w:jc w:val="both"/>
              <w:rPr>
                <w:sz w:val="21"/>
              </w:rPr>
            </w:pPr>
            <w:r>
              <w:rPr>
                <w:spacing w:val="-2"/>
                <w:sz w:val="21"/>
              </w:rPr>
              <w:t>次确诊”发生在本合同生效之日起 </w:t>
            </w:r>
            <w:r>
              <w:rPr>
                <w:sz w:val="21"/>
              </w:rPr>
              <w:t>180</w:t>
            </w:r>
            <w:r>
              <w:rPr>
                <w:spacing w:val="-6"/>
                <w:sz w:val="21"/>
              </w:rPr>
              <w:t> 日内，我们向您无息返还累计已交纳的本合同的保险费，本合同终止；</w:t>
            </w:r>
          </w:p>
          <w:p>
            <w:pPr>
              <w:pStyle w:val="TableParagraph"/>
              <w:numPr>
                <w:ilvl w:val="0"/>
                <w:numId w:val="59"/>
              </w:numPr>
              <w:tabs>
                <w:tab w:pos="886" w:val="left" w:leader="none"/>
              </w:tabs>
              <w:spacing w:line="240" w:lineRule="auto" w:before="85" w:after="0"/>
              <w:ind w:left="886" w:right="0" w:hanging="720"/>
              <w:jc w:val="left"/>
              <w:rPr>
                <w:sz w:val="21"/>
              </w:rPr>
            </w:pPr>
            <w:r>
              <w:rPr>
                <w:sz w:val="21"/>
              </w:rPr>
              <w:t>2011</w:t>
            </w:r>
            <w:r>
              <w:rPr>
                <w:spacing w:val="-22"/>
                <w:sz w:val="21"/>
              </w:rPr>
              <w:t> 年 </w:t>
            </w:r>
            <w:r>
              <w:rPr>
                <w:sz w:val="21"/>
              </w:rPr>
              <w:t>5</w:t>
            </w:r>
            <w:r>
              <w:rPr>
                <w:spacing w:val="-22"/>
                <w:sz w:val="21"/>
              </w:rPr>
              <w:t> 月 </w:t>
            </w:r>
            <w:r>
              <w:rPr>
                <w:sz w:val="21"/>
              </w:rPr>
              <w:t>5</w:t>
            </w:r>
            <w:r>
              <w:rPr>
                <w:spacing w:val="-10"/>
                <w:sz w:val="21"/>
              </w:rPr>
              <w:t> 日被保险人自出生后第一次经医院确诊罹患“恶性肿瘤”，则</w:t>
            </w:r>
          </w:p>
          <w:p>
            <w:pPr>
              <w:pStyle w:val="TableParagraph"/>
              <w:spacing w:before="37"/>
              <w:ind w:left="886"/>
              <w:rPr>
                <w:sz w:val="21"/>
              </w:rPr>
            </w:pPr>
            <w:r>
              <w:rPr>
                <w:sz w:val="21"/>
              </w:rPr>
              <w:t>2011</w:t>
            </w:r>
            <w:r>
              <w:rPr>
                <w:spacing w:val="-36"/>
                <w:sz w:val="21"/>
              </w:rPr>
              <w:t> 年 </w:t>
            </w:r>
            <w:r>
              <w:rPr>
                <w:sz w:val="21"/>
              </w:rPr>
              <w:t>5</w:t>
            </w:r>
            <w:r>
              <w:rPr>
                <w:spacing w:val="-37"/>
                <w:sz w:val="21"/>
              </w:rPr>
              <w:t> 月 </w:t>
            </w:r>
            <w:r>
              <w:rPr>
                <w:sz w:val="21"/>
              </w:rPr>
              <w:t>5</w:t>
            </w:r>
            <w:r>
              <w:rPr>
                <w:spacing w:val="-8"/>
                <w:sz w:val="21"/>
              </w:rPr>
              <w:t> 日为被保险人经医院初次确诊罹患“恶性肿瘤”的时间，由于</w:t>
            </w:r>
          </w:p>
          <w:p>
            <w:pPr>
              <w:pStyle w:val="TableParagraph"/>
              <w:spacing w:line="273" w:lineRule="auto" w:before="37"/>
              <w:ind w:left="886" w:right="234"/>
              <w:jc w:val="both"/>
              <w:rPr>
                <w:sz w:val="21"/>
              </w:rPr>
            </w:pPr>
            <w:r>
              <w:rPr>
                <w:spacing w:val="-2"/>
                <w:sz w:val="21"/>
              </w:rPr>
              <w:t>“初次确诊”发生在本合同生效之日起 </w:t>
            </w:r>
            <w:r>
              <w:rPr>
                <w:sz w:val="21"/>
              </w:rPr>
              <w:t>180</w:t>
            </w:r>
            <w:r>
              <w:rPr>
                <w:spacing w:val="-6"/>
                <w:sz w:val="21"/>
              </w:rPr>
              <w:t> 日后，我们承担豁免保险费的责任，本合同终止。</w:t>
            </w:r>
          </w:p>
        </w:tc>
      </w:tr>
      <w:tr>
        <w:trPr>
          <w:trHeight w:val="1885" w:hRule="atLeast"/>
        </w:trPr>
        <w:tc>
          <w:tcPr>
            <w:tcW w:w="891" w:type="dxa"/>
          </w:tcPr>
          <w:p>
            <w:pPr>
              <w:pStyle w:val="TableParagraph"/>
              <w:ind w:left="79" w:right="143"/>
              <w:jc w:val="center"/>
              <w:rPr>
                <w:sz w:val="21"/>
              </w:rPr>
            </w:pPr>
            <w:r>
              <w:rPr>
                <w:sz w:val="21"/>
              </w:rPr>
              <w:t>10.8</w:t>
            </w:r>
          </w:p>
        </w:tc>
        <w:tc>
          <w:tcPr>
            <w:tcW w:w="1555" w:type="dxa"/>
          </w:tcPr>
          <w:p>
            <w:pPr>
              <w:pStyle w:val="TableParagraph"/>
              <w:ind w:left="159"/>
              <w:rPr>
                <w:sz w:val="21"/>
              </w:rPr>
            </w:pPr>
            <w:r>
              <w:rPr>
                <w:sz w:val="21"/>
              </w:rPr>
              <w:t>意外伤害</w:t>
            </w:r>
          </w:p>
        </w:tc>
        <w:tc>
          <w:tcPr>
            <w:tcW w:w="8101" w:type="dxa"/>
          </w:tcPr>
          <w:p>
            <w:pPr>
              <w:pStyle w:val="TableParagraph"/>
              <w:spacing w:line="273" w:lineRule="auto"/>
              <w:ind w:left="130" w:right="235"/>
              <w:jc w:val="both"/>
              <w:rPr>
                <w:rFonts w:ascii="黑体" w:eastAsia="黑体" w:hint="eastAsia"/>
                <w:sz w:val="21"/>
              </w:rPr>
            </w:pPr>
            <w:r>
              <w:rPr>
                <w:spacing w:val="-5"/>
                <w:sz w:val="21"/>
              </w:rPr>
              <w:t>指外来的、突然的、非本意的、非疾病的使被保险人身体受到伤害的客观事件，并以</w:t>
            </w:r>
            <w:r>
              <w:rPr>
                <w:spacing w:val="-6"/>
                <w:sz w:val="21"/>
              </w:rPr>
              <w:t>此客观事件为直接且单独原因导致被保险人身体蒙受伤害或者身故，</w:t>
            </w:r>
            <w:r>
              <w:rPr>
                <w:rFonts w:ascii="黑体" w:eastAsia="黑体" w:hint="eastAsia"/>
                <w:spacing w:val="-5"/>
                <w:sz w:val="21"/>
              </w:rPr>
              <w:t>猝死、自杀以及自伤均不属于意外伤害。</w:t>
            </w:r>
          </w:p>
          <w:p>
            <w:pPr>
              <w:pStyle w:val="TableParagraph"/>
              <w:spacing w:line="273" w:lineRule="auto" w:before="85"/>
              <w:ind w:left="130" w:right="234"/>
              <w:jc w:val="both"/>
              <w:rPr>
                <w:sz w:val="21"/>
              </w:rPr>
            </w:pPr>
            <w:r>
              <w:rPr>
                <w:spacing w:val="-1"/>
                <w:sz w:val="21"/>
              </w:rPr>
              <w:t>猝死指表面健康的人因潜在疾病、机能障碍或者其他原因在出现症状后 </w:t>
            </w:r>
            <w:r>
              <w:rPr>
                <w:sz w:val="21"/>
              </w:rPr>
              <w:t>24</w:t>
            </w:r>
            <w:r>
              <w:rPr>
                <w:spacing w:val="-5"/>
                <w:sz w:val="21"/>
              </w:rPr>
              <w:t> 小时内发生的非暴力性突然死亡。猝死的认定以医院的诊断和公安部门的鉴定为准。</w:t>
            </w:r>
          </w:p>
        </w:tc>
      </w:tr>
      <w:tr>
        <w:trPr>
          <w:trHeight w:val="1183" w:hRule="atLeast"/>
        </w:trPr>
        <w:tc>
          <w:tcPr>
            <w:tcW w:w="891" w:type="dxa"/>
          </w:tcPr>
          <w:p>
            <w:pPr>
              <w:pStyle w:val="TableParagraph"/>
              <w:ind w:left="79" w:right="143"/>
              <w:jc w:val="center"/>
              <w:rPr>
                <w:sz w:val="21"/>
              </w:rPr>
            </w:pPr>
            <w:r>
              <w:rPr>
                <w:sz w:val="21"/>
              </w:rPr>
              <w:t>10.9</w:t>
            </w:r>
          </w:p>
        </w:tc>
        <w:tc>
          <w:tcPr>
            <w:tcW w:w="1555" w:type="dxa"/>
          </w:tcPr>
          <w:p>
            <w:pPr>
              <w:pStyle w:val="TableParagraph"/>
              <w:ind w:left="160"/>
              <w:rPr>
                <w:sz w:val="21"/>
              </w:rPr>
            </w:pPr>
            <w:r>
              <w:rPr>
                <w:sz w:val="21"/>
              </w:rPr>
              <w:t>毒品</w:t>
            </w:r>
          </w:p>
        </w:tc>
        <w:tc>
          <w:tcPr>
            <w:tcW w:w="8101" w:type="dxa"/>
          </w:tcPr>
          <w:p>
            <w:pPr>
              <w:pStyle w:val="TableParagraph"/>
              <w:spacing w:line="273" w:lineRule="auto"/>
              <w:ind w:left="130" w:right="234"/>
              <w:jc w:val="both"/>
              <w:rPr>
                <w:sz w:val="21"/>
              </w:rPr>
            </w:pPr>
            <w:r>
              <w:rPr>
                <w:sz w:val="21"/>
              </w:rPr>
              <w:t>指中华人民共和国刑法规定的鸦片、海洛因、甲基苯丙胺（冰毒</w:t>
            </w:r>
            <w:r>
              <w:rPr>
                <w:spacing w:val="-105"/>
                <w:sz w:val="21"/>
              </w:rPr>
              <w:t>）</w:t>
            </w:r>
            <w:r>
              <w:rPr>
                <w:sz w:val="21"/>
              </w:rPr>
              <w:t>、吗啡、大麻、可</w:t>
            </w:r>
            <w:r>
              <w:rPr>
                <w:spacing w:val="-2"/>
                <w:sz w:val="21"/>
              </w:rPr>
              <w:t>卡因以及国家规定管制的其他能够使人形成瘾癖的麻醉药品和精神药品，但不包括由医生开具并遵医嘱使用的用于治疗疾病但含有毒品成分的处方药品。</w:t>
            </w:r>
          </w:p>
        </w:tc>
      </w:tr>
      <w:tr>
        <w:trPr>
          <w:trHeight w:val="1184" w:hRule="atLeast"/>
        </w:trPr>
        <w:tc>
          <w:tcPr>
            <w:tcW w:w="891" w:type="dxa"/>
          </w:tcPr>
          <w:p>
            <w:pPr>
              <w:pStyle w:val="TableParagraph"/>
              <w:ind w:left="182" w:right="143"/>
              <w:jc w:val="center"/>
              <w:rPr>
                <w:sz w:val="21"/>
              </w:rPr>
            </w:pPr>
            <w:r>
              <w:rPr>
                <w:sz w:val="21"/>
              </w:rPr>
              <w:t>10.10</w:t>
            </w:r>
          </w:p>
        </w:tc>
        <w:tc>
          <w:tcPr>
            <w:tcW w:w="1555" w:type="dxa"/>
          </w:tcPr>
          <w:p>
            <w:pPr>
              <w:pStyle w:val="TableParagraph"/>
              <w:ind w:left="160"/>
              <w:rPr>
                <w:sz w:val="21"/>
              </w:rPr>
            </w:pPr>
            <w:r>
              <w:rPr>
                <w:sz w:val="21"/>
              </w:rPr>
              <w:t>酒后驾驶</w:t>
            </w:r>
          </w:p>
        </w:tc>
        <w:tc>
          <w:tcPr>
            <w:tcW w:w="8101" w:type="dxa"/>
          </w:tcPr>
          <w:p>
            <w:pPr>
              <w:pStyle w:val="TableParagraph"/>
              <w:spacing w:line="273" w:lineRule="auto"/>
              <w:ind w:left="130" w:right="234"/>
              <w:jc w:val="both"/>
              <w:rPr>
                <w:sz w:val="21"/>
              </w:rPr>
            </w:pPr>
            <w:r>
              <w:rPr>
                <w:spacing w:val="-4"/>
                <w:sz w:val="21"/>
              </w:rPr>
              <w:t>指经检测或者鉴定，发生保险事故时每百毫升血液中的酒精含量达到或者超过一定的</w:t>
            </w:r>
            <w:r>
              <w:rPr>
                <w:spacing w:val="-7"/>
                <w:sz w:val="21"/>
              </w:rPr>
              <w:t>标准，是否达到前述标准由公安机关交通管理部门依据《道路交通安全法》的规定认定，我们根据公安机关交通管理部门的认定确认是否属于酒后驾驶。</w:t>
            </w:r>
          </w:p>
        </w:tc>
      </w:tr>
      <w:tr>
        <w:trPr>
          <w:trHeight w:val="1945" w:hRule="atLeast"/>
        </w:trPr>
        <w:tc>
          <w:tcPr>
            <w:tcW w:w="891" w:type="dxa"/>
          </w:tcPr>
          <w:p>
            <w:pPr>
              <w:pStyle w:val="TableParagraph"/>
              <w:ind w:left="181" w:right="143"/>
              <w:jc w:val="center"/>
              <w:rPr>
                <w:sz w:val="21"/>
              </w:rPr>
            </w:pPr>
            <w:r>
              <w:rPr>
                <w:sz w:val="21"/>
              </w:rPr>
              <w:t>10.11</w:t>
            </w:r>
          </w:p>
        </w:tc>
        <w:tc>
          <w:tcPr>
            <w:tcW w:w="1555" w:type="dxa"/>
          </w:tcPr>
          <w:p>
            <w:pPr>
              <w:pStyle w:val="TableParagraph"/>
              <w:spacing w:line="273" w:lineRule="auto"/>
              <w:ind w:left="159" w:right="129"/>
              <w:rPr>
                <w:sz w:val="21"/>
              </w:rPr>
            </w:pPr>
            <w:r>
              <w:rPr>
                <w:sz w:val="21"/>
              </w:rPr>
              <w:t>无合法有效驾驶证驾驶</w:t>
            </w:r>
          </w:p>
        </w:tc>
        <w:tc>
          <w:tcPr>
            <w:tcW w:w="8101" w:type="dxa"/>
          </w:tcPr>
          <w:p>
            <w:pPr>
              <w:pStyle w:val="TableParagraph"/>
              <w:ind w:left="130"/>
              <w:rPr>
                <w:sz w:val="21"/>
              </w:rPr>
            </w:pPr>
            <w:r>
              <w:rPr>
                <w:sz w:val="21"/>
              </w:rPr>
              <w:t>指下列情形之一：</w:t>
            </w:r>
          </w:p>
          <w:p>
            <w:pPr>
              <w:pStyle w:val="TableParagraph"/>
              <w:numPr>
                <w:ilvl w:val="0"/>
                <w:numId w:val="60"/>
              </w:numPr>
              <w:tabs>
                <w:tab w:pos="865" w:val="left" w:leader="none"/>
                <w:tab w:pos="866" w:val="left" w:leader="none"/>
              </w:tabs>
              <w:spacing w:line="240" w:lineRule="auto" w:before="114" w:after="0"/>
              <w:ind w:left="865" w:right="0" w:hanging="735"/>
              <w:jc w:val="left"/>
              <w:rPr>
                <w:sz w:val="21"/>
              </w:rPr>
            </w:pPr>
            <w:r>
              <w:rPr>
                <w:sz w:val="21"/>
              </w:rPr>
              <w:t>没有取得中华人民共和国有关主管部门颁发或者认可的驾驶资格证书；</w:t>
            </w:r>
          </w:p>
          <w:p>
            <w:pPr>
              <w:pStyle w:val="TableParagraph"/>
              <w:numPr>
                <w:ilvl w:val="0"/>
                <w:numId w:val="60"/>
              </w:numPr>
              <w:tabs>
                <w:tab w:pos="865" w:val="left" w:leader="none"/>
                <w:tab w:pos="866" w:val="left" w:leader="none"/>
              </w:tabs>
              <w:spacing w:line="240" w:lineRule="auto" w:before="114" w:after="0"/>
              <w:ind w:left="865" w:right="0" w:hanging="735"/>
              <w:jc w:val="left"/>
              <w:rPr>
                <w:sz w:val="21"/>
              </w:rPr>
            </w:pPr>
            <w:r>
              <w:rPr>
                <w:sz w:val="21"/>
              </w:rPr>
              <w:t>驾驶与合法有效驾驶证准驾车型不相符合的车辆；</w:t>
            </w:r>
          </w:p>
          <w:p>
            <w:pPr>
              <w:pStyle w:val="TableParagraph"/>
              <w:numPr>
                <w:ilvl w:val="0"/>
                <w:numId w:val="60"/>
              </w:numPr>
              <w:tabs>
                <w:tab w:pos="865" w:val="left" w:leader="none"/>
                <w:tab w:pos="866" w:val="left" w:leader="none"/>
              </w:tabs>
              <w:spacing w:line="240" w:lineRule="auto" w:before="114" w:after="0"/>
              <w:ind w:left="865" w:right="0" w:hanging="735"/>
              <w:jc w:val="left"/>
              <w:rPr>
                <w:sz w:val="21"/>
              </w:rPr>
            </w:pPr>
            <w:r>
              <w:rPr>
                <w:sz w:val="21"/>
              </w:rPr>
              <w:t>持审验不合格的驾驶证驾驶；</w:t>
            </w:r>
          </w:p>
          <w:p>
            <w:pPr>
              <w:pStyle w:val="TableParagraph"/>
              <w:numPr>
                <w:ilvl w:val="0"/>
                <w:numId w:val="60"/>
              </w:numPr>
              <w:tabs>
                <w:tab w:pos="865" w:val="left" w:leader="none"/>
                <w:tab w:pos="866" w:val="left" w:leader="none"/>
              </w:tabs>
              <w:spacing w:line="255" w:lineRule="exact" w:before="114" w:after="0"/>
              <w:ind w:left="865" w:right="0" w:hanging="735"/>
              <w:jc w:val="left"/>
              <w:rPr>
                <w:sz w:val="21"/>
              </w:rPr>
            </w:pPr>
            <w:r>
              <w:rPr>
                <w:sz w:val="21"/>
              </w:rPr>
              <w:t>在驾驶证有效期内未按照中华人民共和国法律、行政法规的规定，定期对机</w:t>
            </w:r>
          </w:p>
        </w:tc>
      </w:tr>
    </w:tbl>
    <w:p>
      <w:pPr>
        <w:spacing w:after="0" w:line="255" w:lineRule="exact"/>
        <w:jc w:val="left"/>
        <w:rPr>
          <w:sz w:val="21"/>
        </w:rPr>
        <w:sectPr>
          <w:pgSz w:w="11900" w:h="16840"/>
          <w:pgMar w:top="1100" w:bottom="280" w:left="820" w:right="300"/>
        </w:sectPr>
      </w:pPr>
    </w:p>
    <w:p>
      <w:pPr>
        <w:pStyle w:val="BodyText"/>
        <w:spacing w:before="19"/>
        <w:ind w:left="3425"/>
      </w:pPr>
      <w:r>
        <w:rPr/>
        <w:t>动车驾驶证实施审验的；</w:t>
      </w:r>
    </w:p>
    <w:p>
      <w:pPr>
        <w:pStyle w:val="BodyText"/>
        <w:spacing w:before="9"/>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555"/>
        <w:gridCol w:w="8170"/>
      </w:tblGrid>
      <w:tr>
        <w:trPr>
          <w:trHeight w:val="385" w:hRule="atLeast"/>
        </w:trPr>
        <w:tc>
          <w:tcPr>
            <w:tcW w:w="891" w:type="dxa"/>
          </w:tcPr>
          <w:p>
            <w:pPr>
              <w:pStyle w:val="TableParagraph"/>
              <w:spacing w:before="0"/>
              <w:rPr>
                <w:rFonts w:ascii="Times New Roman"/>
                <w:sz w:val="20"/>
              </w:rPr>
            </w:pPr>
          </w:p>
        </w:tc>
        <w:tc>
          <w:tcPr>
            <w:tcW w:w="1555" w:type="dxa"/>
          </w:tcPr>
          <w:p>
            <w:pPr>
              <w:pStyle w:val="TableParagraph"/>
              <w:spacing w:before="0"/>
              <w:rPr>
                <w:rFonts w:ascii="Times New Roman"/>
                <w:sz w:val="20"/>
              </w:rPr>
            </w:pPr>
          </w:p>
        </w:tc>
        <w:tc>
          <w:tcPr>
            <w:tcW w:w="8170" w:type="dxa"/>
          </w:tcPr>
          <w:p>
            <w:pPr>
              <w:pStyle w:val="TableParagraph"/>
              <w:tabs>
                <w:tab w:pos="865" w:val="left" w:leader="none"/>
              </w:tabs>
              <w:spacing w:line="210" w:lineRule="exact" w:before="0"/>
              <w:ind w:left="129"/>
              <w:rPr>
                <w:sz w:val="21"/>
              </w:rPr>
            </w:pPr>
            <w:r>
              <w:rPr>
                <w:sz w:val="21"/>
              </w:rPr>
              <w:t>（5）</w:t>
              <w:tab/>
              <w:t>驾驶证已过有效期的。</w:t>
            </w:r>
          </w:p>
        </w:tc>
      </w:tr>
      <w:tr>
        <w:trPr>
          <w:trHeight w:val="2041" w:hRule="atLeast"/>
        </w:trPr>
        <w:tc>
          <w:tcPr>
            <w:tcW w:w="891" w:type="dxa"/>
          </w:tcPr>
          <w:p>
            <w:pPr>
              <w:pStyle w:val="TableParagraph"/>
              <w:ind w:left="181" w:right="143"/>
              <w:jc w:val="center"/>
              <w:rPr>
                <w:sz w:val="21"/>
              </w:rPr>
            </w:pPr>
            <w:r>
              <w:rPr>
                <w:sz w:val="21"/>
              </w:rPr>
              <w:t>10.12</w:t>
            </w:r>
          </w:p>
        </w:tc>
        <w:tc>
          <w:tcPr>
            <w:tcW w:w="1555" w:type="dxa"/>
          </w:tcPr>
          <w:p>
            <w:pPr>
              <w:pStyle w:val="TableParagraph"/>
              <w:spacing w:line="273" w:lineRule="auto"/>
              <w:ind w:left="159" w:right="129"/>
              <w:rPr>
                <w:sz w:val="21"/>
              </w:rPr>
            </w:pPr>
            <w:r>
              <w:rPr>
                <w:sz w:val="21"/>
              </w:rPr>
              <w:t>无合法有效行驶证</w:t>
            </w:r>
          </w:p>
        </w:tc>
        <w:tc>
          <w:tcPr>
            <w:tcW w:w="8170" w:type="dxa"/>
          </w:tcPr>
          <w:p>
            <w:pPr>
              <w:pStyle w:val="TableParagraph"/>
              <w:spacing w:line="273" w:lineRule="auto"/>
              <w:ind w:left="130" w:right="302"/>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61"/>
              </w:numPr>
              <w:tabs>
                <w:tab w:pos="865" w:val="left" w:leader="none"/>
                <w:tab w:pos="866" w:val="left" w:leader="none"/>
              </w:tabs>
              <w:spacing w:line="240" w:lineRule="auto" w:before="85" w:after="0"/>
              <w:ind w:left="865" w:right="0" w:hanging="735"/>
              <w:jc w:val="left"/>
              <w:rPr>
                <w:sz w:val="21"/>
              </w:rPr>
            </w:pPr>
            <w:r>
              <w:rPr>
                <w:sz w:val="21"/>
              </w:rPr>
              <w:t>未办理行驶证或者行驶证在申办过程中的；</w:t>
            </w:r>
          </w:p>
          <w:p>
            <w:pPr>
              <w:pStyle w:val="TableParagraph"/>
              <w:numPr>
                <w:ilvl w:val="0"/>
                <w:numId w:val="61"/>
              </w:numPr>
              <w:tabs>
                <w:tab w:pos="865" w:val="left" w:leader="none"/>
                <w:tab w:pos="866" w:val="left" w:leader="none"/>
              </w:tabs>
              <w:spacing w:line="240" w:lineRule="auto" w:before="114" w:after="0"/>
              <w:ind w:left="865" w:right="0" w:hanging="735"/>
              <w:jc w:val="left"/>
              <w:rPr>
                <w:sz w:val="21"/>
              </w:rPr>
            </w:pPr>
            <w:r>
              <w:rPr>
                <w:sz w:val="21"/>
              </w:rPr>
              <w:t>机动车行驶证被依法注销登记的；</w:t>
            </w:r>
          </w:p>
          <w:p>
            <w:pPr>
              <w:pStyle w:val="TableParagraph"/>
              <w:numPr>
                <w:ilvl w:val="0"/>
                <w:numId w:val="61"/>
              </w:numPr>
              <w:tabs>
                <w:tab w:pos="865" w:val="left" w:leader="none"/>
                <w:tab w:pos="866" w:val="left" w:leader="none"/>
              </w:tabs>
              <w:spacing w:line="240" w:lineRule="auto" w:before="114" w:after="0"/>
              <w:ind w:left="865" w:right="0" w:hanging="735"/>
              <w:jc w:val="left"/>
              <w:rPr>
                <w:sz w:val="21"/>
              </w:rPr>
            </w:pPr>
            <w:r>
              <w:rPr>
                <w:sz w:val="21"/>
              </w:rPr>
              <w:t>未在行驶证检验有效期内依法按时进行或者未通过机动车安全技术检验的。</w:t>
            </w:r>
          </w:p>
        </w:tc>
      </w:tr>
      <w:tr>
        <w:trPr>
          <w:trHeight w:val="871" w:hRule="atLeast"/>
        </w:trPr>
        <w:tc>
          <w:tcPr>
            <w:tcW w:w="891" w:type="dxa"/>
          </w:tcPr>
          <w:p>
            <w:pPr>
              <w:pStyle w:val="TableParagraph"/>
              <w:spacing w:before="109"/>
              <w:ind w:left="182" w:right="143"/>
              <w:jc w:val="center"/>
              <w:rPr>
                <w:sz w:val="21"/>
              </w:rPr>
            </w:pPr>
            <w:r>
              <w:rPr>
                <w:sz w:val="21"/>
              </w:rPr>
              <w:t>10.13</w:t>
            </w:r>
          </w:p>
        </w:tc>
        <w:tc>
          <w:tcPr>
            <w:tcW w:w="1555" w:type="dxa"/>
          </w:tcPr>
          <w:p>
            <w:pPr>
              <w:pStyle w:val="TableParagraph"/>
              <w:spacing w:before="109"/>
              <w:ind w:left="160"/>
              <w:rPr>
                <w:sz w:val="21"/>
              </w:rPr>
            </w:pPr>
            <w:r>
              <w:rPr>
                <w:sz w:val="21"/>
              </w:rPr>
              <w:t>机动车</w:t>
            </w:r>
          </w:p>
        </w:tc>
        <w:tc>
          <w:tcPr>
            <w:tcW w:w="8170" w:type="dxa"/>
          </w:tcPr>
          <w:p>
            <w:pPr>
              <w:pStyle w:val="TableParagraph"/>
              <w:spacing w:line="273" w:lineRule="auto" w:before="109"/>
              <w:ind w:left="130" w:right="246"/>
              <w:rPr>
                <w:sz w:val="21"/>
              </w:rPr>
            </w:pPr>
            <w:r>
              <w:rPr>
                <w:sz w:val="21"/>
              </w:rPr>
              <w:t>指以动力装置驱动或者牵引，上道路行驶的供人员乘用或者用于运送物品以及进行工程专项作业的轮式车辆。</w:t>
            </w:r>
          </w:p>
        </w:tc>
      </w:tr>
      <w:tr>
        <w:trPr>
          <w:trHeight w:val="1886" w:hRule="atLeast"/>
        </w:trPr>
        <w:tc>
          <w:tcPr>
            <w:tcW w:w="891" w:type="dxa"/>
          </w:tcPr>
          <w:p>
            <w:pPr>
              <w:pStyle w:val="TableParagraph"/>
              <w:ind w:left="181" w:right="143"/>
              <w:jc w:val="center"/>
              <w:rPr>
                <w:sz w:val="21"/>
              </w:rPr>
            </w:pPr>
            <w:r>
              <w:rPr>
                <w:sz w:val="21"/>
              </w:rPr>
              <w:t>10.14</w:t>
            </w:r>
          </w:p>
        </w:tc>
        <w:tc>
          <w:tcPr>
            <w:tcW w:w="1555" w:type="dxa"/>
          </w:tcPr>
          <w:p>
            <w:pPr>
              <w:pStyle w:val="TableParagraph"/>
              <w:spacing w:line="273" w:lineRule="auto"/>
              <w:ind w:left="159" w:right="129"/>
              <w:jc w:val="both"/>
              <w:rPr>
                <w:sz w:val="21"/>
              </w:rPr>
            </w:pPr>
            <w:r>
              <w:rPr>
                <w:sz w:val="21"/>
              </w:rPr>
              <w:t>感染艾滋病病毒或者患艾滋病</w:t>
            </w:r>
          </w:p>
        </w:tc>
        <w:tc>
          <w:tcPr>
            <w:tcW w:w="8170" w:type="dxa"/>
          </w:tcPr>
          <w:p>
            <w:pPr>
              <w:pStyle w:val="TableParagraph"/>
              <w:spacing w:line="273" w:lineRule="auto"/>
              <w:ind w:left="130" w:right="304"/>
              <w:jc w:val="both"/>
              <w:rPr>
                <w:sz w:val="21"/>
              </w:rPr>
            </w:pPr>
            <w:r>
              <w:rPr>
                <w:spacing w:val="-3"/>
                <w:sz w:val="21"/>
              </w:rPr>
              <w:t>艾滋病病毒指人类免疫缺陷病毒，英文缩写为 </w:t>
            </w:r>
            <w:r>
              <w:rPr>
                <w:sz w:val="21"/>
              </w:rPr>
              <w:t>HIV。艾滋病指人类免疫缺陷病毒引起</w:t>
            </w:r>
            <w:r>
              <w:rPr>
                <w:spacing w:val="-3"/>
                <w:sz w:val="21"/>
              </w:rPr>
              <w:t>的获得性免疫缺陷综合征，英文缩写为 </w:t>
            </w:r>
            <w:r>
              <w:rPr>
                <w:sz w:val="21"/>
              </w:rPr>
              <w:t>AIDS。</w:t>
            </w:r>
          </w:p>
          <w:p>
            <w:pPr>
              <w:pStyle w:val="TableParagraph"/>
              <w:spacing w:line="273" w:lineRule="auto" w:before="85"/>
              <w:ind w:left="130" w:right="303"/>
              <w:jc w:val="both"/>
              <w:rPr>
                <w:sz w:val="21"/>
              </w:rPr>
            </w:pPr>
            <w:r>
              <w:rPr>
                <w:spacing w:val="-2"/>
                <w:sz w:val="21"/>
              </w:rPr>
              <w:t>在人体血液或者其他样本中检测到艾滋病病毒或者其抗体呈阳性，没有出现临床症状</w:t>
            </w:r>
            <w:r>
              <w:rPr>
                <w:spacing w:val="-6"/>
                <w:sz w:val="21"/>
              </w:rPr>
              <w:t>或者体征的，为感染艾滋病病毒；如果同时出现了明显临床症状或者体征的，为患艾滋病。</w:t>
            </w:r>
          </w:p>
        </w:tc>
      </w:tr>
      <w:tr>
        <w:trPr>
          <w:trHeight w:val="871" w:hRule="atLeast"/>
        </w:trPr>
        <w:tc>
          <w:tcPr>
            <w:tcW w:w="891" w:type="dxa"/>
          </w:tcPr>
          <w:p>
            <w:pPr>
              <w:pStyle w:val="TableParagraph"/>
              <w:ind w:left="181" w:right="143"/>
              <w:jc w:val="center"/>
              <w:rPr>
                <w:sz w:val="21"/>
              </w:rPr>
            </w:pPr>
            <w:r>
              <w:rPr>
                <w:sz w:val="21"/>
              </w:rPr>
              <w:t>10.15</w:t>
            </w:r>
          </w:p>
        </w:tc>
        <w:tc>
          <w:tcPr>
            <w:tcW w:w="1555" w:type="dxa"/>
          </w:tcPr>
          <w:p>
            <w:pPr>
              <w:pStyle w:val="TableParagraph"/>
              <w:ind w:left="159"/>
              <w:rPr>
                <w:sz w:val="21"/>
              </w:rPr>
            </w:pPr>
            <w:r>
              <w:rPr>
                <w:sz w:val="21"/>
              </w:rPr>
              <w:t>遗传性疾病</w:t>
            </w:r>
          </w:p>
        </w:tc>
        <w:tc>
          <w:tcPr>
            <w:tcW w:w="8170" w:type="dxa"/>
          </w:tcPr>
          <w:p>
            <w:pPr>
              <w:pStyle w:val="TableParagraph"/>
              <w:spacing w:line="273" w:lineRule="auto"/>
              <w:ind w:left="130" w:right="199" w:hanging="1"/>
              <w:rPr>
                <w:sz w:val="21"/>
              </w:rPr>
            </w:pPr>
            <w:r>
              <w:rPr>
                <w:spacing w:val="-5"/>
                <w:sz w:val="21"/>
              </w:rPr>
              <w:t>指生殖细胞或者受精卵的遗传物质</w:t>
            </w:r>
            <w:r>
              <w:rPr>
                <w:sz w:val="21"/>
              </w:rPr>
              <w:t>（染色体和基因</w:t>
            </w:r>
            <w:r>
              <w:rPr>
                <w:spacing w:val="-71"/>
                <w:sz w:val="21"/>
              </w:rPr>
              <w:t>）</w:t>
            </w:r>
            <w:r>
              <w:rPr>
                <w:sz w:val="21"/>
              </w:rPr>
              <w:t>发生突变或者畸变所引起的疾病， 通常具有由亲代传至后代的垂直传递的特征。</w:t>
            </w:r>
          </w:p>
        </w:tc>
      </w:tr>
      <w:tr>
        <w:trPr>
          <w:trHeight w:val="1183" w:hRule="atLeast"/>
        </w:trPr>
        <w:tc>
          <w:tcPr>
            <w:tcW w:w="891" w:type="dxa"/>
          </w:tcPr>
          <w:p>
            <w:pPr>
              <w:pStyle w:val="TableParagraph"/>
              <w:spacing w:before="109"/>
              <w:ind w:left="181" w:right="143"/>
              <w:jc w:val="center"/>
              <w:rPr>
                <w:sz w:val="21"/>
              </w:rPr>
            </w:pPr>
            <w:r>
              <w:rPr>
                <w:sz w:val="21"/>
              </w:rPr>
              <w:t>10.16</w:t>
            </w:r>
          </w:p>
        </w:tc>
        <w:tc>
          <w:tcPr>
            <w:tcW w:w="1555" w:type="dxa"/>
          </w:tcPr>
          <w:p>
            <w:pPr>
              <w:pStyle w:val="TableParagraph"/>
              <w:spacing w:line="273" w:lineRule="auto" w:before="109"/>
              <w:ind w:left="159" w:right="129"/>
              <w:jc w:val="both"/>
              <w:rPr>
                <w:sz w:val="21"/>
              </w:rPr>
            </w:pPr>
            <w:r>
              <w:rPr>
                <w:sz w:val="21"/>
              </w:rPr>
              <w:t>先天性畸形、变形或者染色体异常</w:t>
            </w:r>
          </w:p>
        </w:tc>
        <w:tc>
          <w:tcPr>
            <w:tcW w:w="8170" w:type="dxa"/>
          </w:tcPr>
          <w:p>
            <w:pPr>
              <w:pStyle w:val="TableParagraph"/>
              <w:spacing w:line="273" w:lineRule="auto" w:before="109"/>
              <w:ind w:left="130" w:right="246"/>
              <w:rPr>
                <w:sz w:val="21"/>
              </w:rPr>
            </w:pPr>
            <w:r>
              <w:rPr>
                <w:sz w:val="21"/>
              </w:rPr>
              <w:t>指被保险人出生时就具有的畸形、变形或者染色体异常。先天性畸形、变形和染色体异常依照世界卫生组织《疾病和有关健康问题的国际统计分类》（ICD-10）确定。</w:t>
            </w:r>
          </w:p>
        </w:tc>
      </w:tr>
      <w:tr>
        <w:trPr>
          <w:trHeight w:val="871" w:hRule="atLeast"/>
        </w:trPr>
        <w:tc>
          <w:tcPr>
            <w:tcW w:w="891" w:type="dxa"/>
          </w:tcPr>
          <w:p>
            <w:pPr>
              <w:pStyle w:val="TableParagraph"/>
              <w:ind w:left="182" w:right="143"/>
              <w:jc w:val="center"/>
              <w:rPr>
                <w:sz w:val="21"/>
              </w:rPr>
            </w:pPr>
            <w:r>
              <w:rPr>
                <w:sz w:val="21"/>
              </w:rPr>
              <w:t>10.17</w:t>
            </w:r>
          </w:p>
        </w:tc>
        <w:tc>
          <w:tcPr>
            <w:tcW w:w="1555" w:type="dxa"/>
          </w:tcPr>
          <w:p>
            <w:pPr>
              <w:pStyle w:val="TableParagraph"/>
              <w:ind w:left="160"/>
              <w:rPr>
                <w:sz w:val="21"/>
              </w:rPr>
            </w:pPr>
            <w:r>
              <w:rPr>
                <w:sz w:val="21"/>
              </w:rPr>
              <w:t>现金价值</w:t>
            </w:r>
          </w:p>
        </w:tc>
        <w:tc>
          <w:tcPr>
            <w:tcW w:w="8170" w:type="dxa"/>
          </w:tcPr>
          <w:p>
            <w:pPr>
              <w:pStyle w:val="TableParagraph"/>
              <w:spacing w:line="273" w:lineRule="auto"/>
              <w:ind w:left="130" w:right="246"/>
              <w:rPr>
                <w:sz w:val="21"/>
              </w:rPr>
            </w:pPr>
            <w:r>
              <w:rPr>
                <w:sz w:val="21"/>
              </w:rPr>
              <w:t>指保险合同所具有的价值，通常体现为解除合同时，根据精算原理计算的，由我们退还的那部分金额。</w:t>
            </w:r>
          </w:p>
        </w:tc>
      </w:tr>
      <w:tr>
        <w:trPr>
          <w:trHeight w:val="2439" w:hRule="atLeast"/>
        </w:trPr>
        <w:tc>
          <w:tcPr>
            <w:tcW w:w="891" w:type="dxa"/>
          </w:tcPr>
          <w:p>
            <w:pPr>
              <w:pStyle w:val="TableParagraph"/>
              <w:ind w:left="181" w:right="143"/>
              <w:jc w:val="center"/>
              <w:rPr>
                <w:sz w:val="21"/>
              </w:rPr>
            </w:pPr>
            <w:r>
              <w:rPr>
                <w:sz w:val="21"/>
              </w:rPr>
              <w:t>10.18</w:t>
            </w:r>
          </w:p>
        </w:tc>
        <w:tc>
          <w:tcPr>
            <w:tcW w:w="1555" w:type="dxa"/>
          </w:tcPr>
          <w:p>
            <w:pPr>
              <w:pStyle w:val="TableParagraph"/>
              <w:ind w:left="159"/>
              <w:rPr>
                <w:sz w:val="21"/>
              </w:rPr>
            </w:pPr>
            <w:r>
              <w:rPr>
                <w:sz w:val="21"/>
              </w:rPr>
              <w:t>专科医生</w:t>
            </w:r>
          </w:p>
        </w:tc>
        <w:tc>
          <w:tcPr>
            <w:tcW w:w="8170" w:type="dxa"/>
          </w:tcPr>
          <w:p>
            <w:pPr>
              <w:pStyle w:val="TableParagraph"/>
              <w:ind w:left="130"/>
              <w:rPr>
                <w:sz w:val="21"/>
              </w:rPr>
            </w:pPr>
            <w:r>
              <w:rPr>
                <w:sz w:val="21"/>
              </w:rPr>
              <w:t>专科医生应当同时满足以下四项资格条件：</w:t>
            </w:r>
          </w:p>
          <w:p>
            <w:pPr>
              <w:pStyle w:val="TableParagraph"/>
              <w:numPr>
                <w:ilvl w:val="0"/>
                <w:numId w:val="62"/>
              </w:numPr>
              <w:tabs>
                <w:tab w:pos="865" w:val="left" w:leader="none"/>
                <w:tab w:pos="866" w:val="left" w:leader="none"/>
              </w:tabs>
              <w:spacing w:line="240" w:lineRule="auto" w:before="115" w:after="0"/>
              <w:ind w:left="865" w:right="0" w:hanging="735"/>
              <w:jc w:val="left"/>
              <w:rPr>
                <w:sz w:val="21"/>
              </w:rPr>
            </w:pPr>
            <w:r>
              <w:rPr>
                <w:spacing w:val="-6"/>
                <w:sz w:val="21"/>
              </w:rPr>
              <w:t>具有有效的中华人民共和国《医师资格证书》；</w:t>
            </w:r>
          </w:p>
          <w:p>
            <w:pPr>
              <w:pStyle w:val="TableParagraph"/>
              <w:numPr>
                <w:ilvl w:val="0"/>
                <w:numId w:val="62"/>
              </w:numPr>
              <w:tabs>
                <w:tab w:pos="865" w:val="left" w:leader="none"/>
                <w:tab w:pos="866" w:val="left" w:leader="none"/>
              </w:tabs>
              <w:spacing w:line="240" w:lineRule="auto" w:before="115" w:after="0"/>
              <w:ind w:left="865" w:right="0" w:hanging="735"/>
              <w:jc w:val="left"/>
              <w:rPr>
                <w:sz w:val="21"/>
              </w:rPr>
            </w:pPr>
            <w:r>
              <w:rPr>
                <w:spacing w:val="-7"/>
                <w:sz w:val="21"/>
              </w:rPr>
              <w:t>具有有效的中华人民共和国《医师执业证书》，并按期到相关部门登记注册；</w:t>
            </w:r>
          </w:p>
          <w:p>
            <w:pPr>
              <w:pStyle w:val="TableParagraph"/>
              <w:numPr>
                <w:ilvl w:val="0"/>
                <w:numId w:val="62"/>
              </w:numPr>
              <w:tabs>
                <w:tab w:pos="865" w:val="left" w:leader="none"/>
                <w:tab w:pos="866" w:val="left" w:leader="none"/>
              </w:tabs>
              <w:spacing w:line="273" w:lineRule="auto" w:before="115" w:after="0"/>
              <w:ind w:left="865" w:right="300" w:hanging="735"/>
              <w:jc w:val="left"/>
              <w:rPr>
                <w:sz w:val="21"/>
              </w:rPr>
            </w:pPr>
            <w:r>
              <w:rPr>
                <w:sz w:val="21"/>
              </w:rPr>
              <w:t>具有有效的中华人民共和国主治医师或者主治医师以上职称的《医师职称证</w:t>
            </w:r>
            <w:r>
              <w:rPr>
                <w:spacing w:val="-36"/>
                <w:sz w:val="21"/>
              </w:rPr>
              <w:t>书》；</w:t>
            </w:r>
          </w:p>
          <w:p>
            <w:pPr>
              <w:pStyle w:val="TableParagraph"/>
              <w:numPr>
                <w:ilvl w:val="0"/>
                <w:numId w:val="62"/>
              </w:numPr>
              <w:tabs>
                <w:tab w:pos="865" w:val="left" w:leader="none"/>
                <w:tab w:pos="866" w:val="left" w:leader="none"/>
              </w:tabs>
              <w:spacing w:line="240" w:lineRule="auto" w:before="85" w:after="0"/>
              <w:ind w:left="865" w:right="0" w:hanging="735"/>
              <w:jc w:val="left"/>
              <w:rPr>
                <w:sz w:val="21"/>
              </w:rPr>
            </w:pPr>
            <w:r>
              <w:rPr>
                <w:sz w:val="21"/>
              </w:rPr>
              <w:t>在二级或者二级以上医院的相应科室从事临床工作三年以上。</w:t>
            </w:r>
          </w:p>
        </w:tc>
      </w:tr>
      <w:tr>
        <w:trPr>
          <w:trHeight w:val="665" w:hRule="atLeast"/>
        </w:trPr>
        <w:tc>
          <w:tcPr>
            <w:tcW w:w="891" w:type="dxa"/>
          </w:tcPr>
          <w:p>
            <w:pPr>
              <w:pStyle w:val="TableParagraph"/>
              <w:spacing w:before="138"/>
              <w:ind w:left="181" w:right="143"/>
              <w:jc w:val="center"/>
              <w:rPr>
                <w:sz w:val="21"/>
              </w:rPr>
            </w:pPr>
            <w:r>
              <w:rPr>
                <w:sz w:val="21"/>
              </w:rPr>
              <w:t>10.19</w:t>
            </w:r>
          </w:p>
        </w:tc>
        <w:tc>
          <w:tcPr>
            <w:tcW w:w="1555" w:type="dxa"/>
          </w:tcPr>
          <w:p>
            <w:pPr>
              <w:pStyle w:val="TableParagraph"/>
              <w:spacing w:before="138"/>
              <w:ind w:left="159"/>
              <w:rPr>
                <w:sz w:val="21"/>
              </w:rPr>
            </w:pPr>
            <w:r>
              <w:rPr>
                <w:sz w:val="21"/>
              </w:rPr>
              <w:t>永久不可逆</w:t>
            </w:r>
          </w:p>
        </w:tc>
        <w:tc>
          <w:tcPr>
            <w:tcW w:w="8170" w:type="dxa"/>
          </w:tcPr>
          <w:p>
            <w:pPr>
              <w:pStyle w:val="TableParagraph"/>
              <w:spacing w:line="272" w:lineRule="exact" w:before="146"/>
              <w:ind w:left="130" w:right="304"/>
              <w:rPr>
                <w:sz w:val="21"/>
              </w:rPr>
            </w:pPr>
            <w:r>
              <w:rPr>
                <w:spacing w:val="-5"/>
                <w:sz w:val="21"/>
              </w:rPr>
              <w:t>指自疾病确诊或者意外伤害发生之日起，经过积极治疗 </w:t>
            </w:r>
            <w:r>
              <w:rPr>
                <w:sz w:val="21"/>
              </w:rPr>
              <w:t>180</w:t>
            </w:r>
            <w:r>
              <w:rPr>
                <w:spacing w:val="-9"/>
                <w:sz w:val="21"/>
              </w:rPr>
              <w:t> 天后，仍无法通过现有医疗手段恢复。</w:t>
            </w:r>
          </w:p>
        </w:tc>
      </w:tr>
    </w:tbl>
    <w:p>
      <w:pPr>
        <w:spacing w:after="0" w:line="272" w:lineRule="exact"/>
        <w:rPr>
          <w:sz w:val="21"/>
        </w:rPr>
        <w:sectPr>
          <w:pgSz w:w="11900" w:h="16840"/>
          <w:pgMar w:top="1100" w:bottom="280" w:left="820" w:right="2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555"/>
        <w:gridCol w:w="8101"/>
      </w:tblGrid>
      <w:tr>
        <w:trPr>
          <w:trHeight w:val="2696" w:hRule="atLeast"/>
        </w:trPr>
        <w:tc>
          <w:tcPr>
            <w:tcW w:w="890" w:type="dxa"/>
          </w:tcPr>
          <w:p>
            <w:pPr>
              <w:pStyle w:val="TableParagraph"/>
              <w:spacing w:line="210" w:lineRule="exact" w:before="0"/>
              <w:ind w:left="182" w:right="143"/>
              <w:jc w:val="center"/>
              <w:rPr>
                <w:sz w:val="21"/>
              </w:rPr>
            </w:pPr>
            <w:r>
              <w:rPr>
                <w:sz w:val="21"/>
              </w:rPr>
              <w:t>10.20</w:t>
            </w:r>
          </w:p>
        </w:tc>
        <w:tc>
          <w:tcPr>
            <w:tcW w:w="1555" w:type="dxa"/>
          </w:tcPr>
          <w:p>
            <w:pPr>
              <w:pStyle w:val="TableParagraph"/>
              <w:spacing w:line="210" w:lineRule="exact" w:before="0"/>
              <w:ind w:left="160"/>
              <w:rPr>
                <w:sz w:val="21"/>
              </w:rPr>
            </w:pPr>
            <w:r>
              <w:rPr>
                <w:sz w:val="21"/>
              </w:rPr>
              <w:t>六项基本日常</w:t>
            </w:r>
          </w:p>
          <w:p>
            <w:pPr>
              <w:pStyle w:val="TableParagraph"/>
              <w:spacing w:before="37"/>
              <w:ind w:left="160"/>
              <w:rPr>
                <w:sz w:val="21"/>
              </w:rPr>
            </w:pPr>
            <w:r>
              <w:rPr>
                <w:sz w:val="21"/>
              </w:rPr>
              <w:t>生活活动</w:t>
            </w:r>
          </w:p>
        </w:tc>
        <w:tc>
          <w:tcPr>
            <w:tcW w:w="8101" w:type="dxa"/>
          </w:tcPr>
          <w:p>
            <w:pPr>
              <w:pStyle w:val="TableParagraph"/>
              <w:spacing w:line="210" w:lineRule="exact" w:before="0"/>
              <w:ind w:left="131"/>
              <w:rPr>
                <w:sz w:val="21"/>
              </w:rPr>
            </w:pPr>
            <w:r>
              <w:rPr>
                <w:sz w:val="21"/>
              </w:rPr>
              <w:t>六项基本日常生活活动是指：</w:t>
            </w:r>
          </w:p>
          <w:p>
            <w:pPr>
              <w:pStyle w:val="TableParagraph"/>
              <w:numPr>
                <w:ilvl w:val="0"/>
                <w:numId w:val="63"/>
              </w:numPr>
              <w:tabs>
                <w:tab w:pos="866" w:val="left" w:leader="none"/>
                <w:tab w:pos="867" w:val="left" w:leader="none"/>
              </w:tabs>
              <w:spacing w:line="240" w:lineRule="auto" w:before="115" w:after="0"/>
              <w:ind w:left="866" w:right="0" w:hanging="735"/>
              <w:jc w:val="left"/>
              <w:rPr>
                <w:sz w:val="21"/>
              </w:rPr>
            </w:pPr>
            <w:r>
              <w:rPr>
                <w:spacing w:val="-1"/>
                <w:sz w:val="21"/>
              </w:rPr>
              <w:t>穿衣：自己能够穿衣及脱衣；</w:t>
            </w:r>
          </w:p>
          <w:p>
            <w:pPr>
              <w:pStyle w:val="TableParagraph"/>
              <w:numPr>
                <w:ilvl w:val="0"/>
                <w:numId w:val="63"/>
              </w:numPr>
              <w:tabs>
                <w:tab w:pos="866" w:val="left" w:leader="none"/>
                <w:tab w:pos="867" w:val="left" w:leader="none"/>
              </w:tabs>
              <w:spacing w:line="240" w:lineRule="auto" w:before="115" w:after="0"/>
              <w:ind w:left="866" w:right="0" w:hanging="735"/>
              <w:jc w:val="left"/>
              <w:rPr>
                <w:sz w:val="21"/>
              </w:rPr>
            </w:pPr>
            <w:r>
              <w:rPr>
                <w:spacing w:val="-1"/>
                <w:sz w:val="21"/>
              </w:rPr>
              <w:t>移动：自己从一个房间到另一个房间；</w:t>
            </w:r>
          </w:p>
          <w:p>
            <w:pPr>
              <w:pStyle w:val="TableParagraph"/>
              <w:numPr>
                <w:ilvl w:val="0"/>
                <w:numId w:val="63"/>
              </w:numPr>
              <w:tabs>
                <w:tab w:pos="866" w:val="left" w:leader="none"/>
                <w:tab w:pos="867" w:val="left" w:leader="none"/>
              </w:tabs>
              <w:spacing w:line="240" w:lineRule="auto" w:before="115" w:after="0"/>
              <w:ind w:left="866" w:right="0" w:hanging="735"/>
              <w:jc w:val="left"/>
              <w:rPr>
                <w:sz w:val="21"/>
              </w:rPr>
            </w:pPr>
            <w:r>
              <w:rPr>
                <w:spacing w:val="-1"/>
                <w:sz w:val="21"/>
              </w:rPr>
              <w:t>行动：自己上下床或者上下轮椅；</w:t>
            </w:r>
          </w:p>
          <w:p>
            <w:pPr>
              <w:pStyle w:val="TableParagraph"/>
              <w:numPr>
                <w:ilvl w:val="0"/>
                <w:numId w:val="63"/>
              </w:numPr>
              <w:tabs>
                <w:tab w:pos="866" w:val="left" w:leader="none"/>
                <w:tab w:pos="867" w:val="left" w:leader="none"/>
              </w:tabs>
              <w:spacing w:line="240" w:lineRule="auto" w:before="115" w:after="0"/>
              <w:ind w:left="866" w:right="0" w:hanging="735"/>
              <w:jc w:val="left"/>
              <w:rPr>
                <w:sz w:val="21"/>
              </w:rPr>
            </w:pPr>
            <w:r>
              <w:rPr>
                <w:spacing w:val="-1"/>
                <w:sz w:val="21"/>
              </w:rPr>
              <w:t>如厕：自己控制进行大小便；</w:t>
            </w:r>
          </w:p>
          <w:p>
            <w:pPr>
              <w:pStyle w:val="TableParagraph"/>
              <w:numPr>
                <w:ilvl w:val="0"/>
                <w:numId w:val="63"/>
              </w:numPr>
              <w:tabs>
                <w:tab w:pos="866" w:val="left" w:leader="none"/>
                <w:tab w:pos="867" w:val="left" w:leader="none"/>
              </w:tabs>
              <w:spacing w:line="240" w:lineRule="auto" w:before="115" w:after="0"/>
              <w:ind w:left="866" w:right="0" w:hanging="735"/>
              <w:jc w:val="left"/>
              <w:rPr>
                <w:sz w:val="21"/>
              </w:rPr>
            </w:pPr>
            <w:r>
              <w:rPr>
                <w:spacing w:val="-1"/>
                <w:sz w:val="21"/>
              </w:rPr>
              <w:t>进食：自己从已准备好的碗或者碟中取食物放入口中；</w:t>
            </w:r>
          </w:p>
          <w:p>
            <w:pPr>
              <w:pStyle w:val="TableParagraph"/>
              <w:numPr>
                <w:ilvl w:val="0"/>
                <w:numId w:val="63"/>
              </w:numPr>
              <w:tabs>
                <w:tab w:pos="866" w:val="left" w:leader="none"/>
                <w:tab w:pos="867" w:val="left" w:leader="none"/>
              </w:tabs>
              <w:spacing w:line="240" w:lineRule="auto" w:before="115" w:after="0"/>
              <w:ind w:left="866" w:right="0" w:hanging="735"/>
              <w:jc w:val="left"/>
              <w:rPr>
                <w:sz w:val="21"/>
              </w:rPr>
            </w:pPr>
            <w:r>
              <w:rPr>
                <w:spacing w:val="-1"/>
                <w:sz w:val="21"/>
              </w:rPr>
              <w:t>洗澡：自己进行淋浴或者盆浴。</w:t>
            </w:r>
          </w:p>
        </w:tc>
      </w:tr>
      <w:tr>
        <w:trPr>
          <w:trHeight w:val="863" w:hRule="atLeast"/>
        </w:trPr>
        <w:tc>
          <w:tcPr>
            <w:tcW w:w="890" w:type="dxa"/>
          </w:tcPr>
          <w:p>
            <w:pPr>
              <w:pStyle w:val="TableParagraph"/>
              <w:spacing w:before="102"/>
              <w:ind w:left="182" w:right="143"/>
              <w:jc w:val="center"/>
              <w:rPr>
                <w:sz w:val="21"/>
              </w:rPr>
            </w:pPr>
            <w:r>
              <w:rPr>
                <w:sz w:val="21"/>
              </w:rPr>
              <w:t>10.21</w:t>
            </w:r>
          </w:p>
        </w:tc>
        <w:tc>
          <w:tcPr>
            <w:tcW w:w="1555" w:type="dxa"/>
          </w:tcPr>
          <w:p>
            <w:pPr>
              <w:pStyle w:val="TableParagraph"/>
              <w:spacing w:line="273" w:lineRule="auto" w:before="102"/>
              <w:ind w:left="160" w:right="128"/>
              <w:rPr>
                <w:sz w:val="21"/>
              </w:rPr>
            </w:pPr>
            <w:r>
              <w:rPr>
                <w:sz w:val="21"/>
              </w:rPr>
              <w:t>肢体机能完全丧失</w:t>
            </w:r>
          </w:p>
        </w:tc>
        <w:tc>
          <w:tcPr>
            <w:tcW w:w="8101" w:type="dxa"/>
          </w:tcPr>
          <w:p>
            <w:pPr>
              <w:pStyle w:val="TableParagraph"/>
              <w:spacing w:line="237" w:lineRule="auto" w:before="84"/>
              <w:ind w:left="131" w:right="176"/>
              <w:rPr>
                <w:sz w:val="21"/>
              </w:rPr>
            </w:pPr>
            <w:r>
              <w:rPr>
                <w:sz w:val="21"/>
              </w:rPr>
              <w:t>指肢体的三大关节中的两大关节僵硬，或者不能随意识活动。肢体是指包括肩关节的整个上肢或者包括髋关节的整个下肢。</w:t>
            </w:r>
          </w:p>
        </w:tc>
      </w:tr>
      <w:tr>
        <w:trPr>
          <w:trHeight w:val="1398" w:hRule="atLeast"/>
        </w:trPr>
        <w:tc>
          <w:tcPr>
            <w:tcW w:w="890" w:type="dxa"/>
          </w:tcPr>
          <w:p>
            <w:pPr>
              <w:pStyle w:val="TableParagraph"/>
              <w:spacing w:before="109"/>
              <w:ind w:left="182" w:right="143"/>
              <w:jc w:val="center"/>
              <w:rPr>
                <w:sz w:val="21"/>
              </w:rPr>
            </w:pPr>
            <w:r>
              <w:rPr>
                <w:sz w:val="21"/>
              </w:rPr>
              <w:t>10.22</w:t>
            </w:r>
          </w:p>
        </w:tc>
        <w:tc>
          <w:tcPr>
            <w:tcW w:w="1555" w:type="dxa"/>
          </w:tcPr>
          <w:p>
            <w:pPr>
              <w:pStyle w:val="TableParagraph"/>
              <w:spacing w:line="273" w:lineRule="auto" w:before="109"/>
              <w:ind w:left="160" w:right="128"/>
              <w:jc w:val="both"/>
              <w:rPr>
                <w:sz w:val="21"/>
              </w:rPr>
            </w:pPr>
            <w:r>
              <w:rPr>
                <w:sz w:val="21"/>
              </w:rPr>
              <w:t>语言能力或咀嚼吞咽能力完全丧失</w:t>
            </w:r>
          </w:p>
        </w:tc>
        <w:tc>
          <w:tcPr>
            <w:tcW w:w="8101" w:type="dxa"/>
          </w:tcPr>
          <w:p>
            <w:pPr>
              <w:pStyle w:val="TableParagraph"/>
              <w:spacing w:line="273" w:lineRule="auto" w:before="109"/>
              <w:ind w:left="131" w:right="197"/>
              <w:rPr>
                <w:sz w:val="21"/>
              </w:rPr>
            </w:pPr>
            <w:r>
              <w:rPr>
                <w:sz w:val="21"/>
              </w:rPr>
              <w:t>语言能力完全丧失，指无法发出四种语音（包括口唇音、齿舌音、口盖音和喉头音） 中的任何三种、或者声带全部切除，或者因大脑语言中枢受伤害而患失语症。</w:t>
            </w:r>
          </w:p>
          <w:p>
            <w:pPr>
              <w:pStyle w:val="TableParagraph"/>
              <w:spacing w:line="310" w:lineRule="atLeast" w:before="50"/>
              <w:ind w:left="131" w:right="176"/>
              <w:rPr>
                <w:sz w:val="21"/>
              </w:rPr>
            </w:pPr>
            <w:r>
              <w:rPr>
                <w:sz w:val="21"/>
              </w:rPr>
              <w:t>咀嚼吞咽能力完全丧失，指因牙齿以外的原因导致器质障碍或者机能障碍，以致不能作咀嚼吞咽运动，除流质食物外不能摄取或者吞咽的状态。</w:t>
            </w:r>
          </w:p>
        </w:tc>
      </w:tr>
    </w:tbl>
    <w:sectPr>
      <w:pgSz w:w="11900" w:h="16840"/>
      <w:pgMar w:top="1260" w:bottom="280" w:left="82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2">
    <w:multiLevelType w:val="hybridMultilevel"/>
    <w:lvl w:ilvl="0">
      <w:start w:val="1"/>
      <w:numFmt w:val="decimal"/>
      <w:lvlText w:val="（%1）"/>
      <w:lvlJc w:val="left"/>
      <w:pPr>
        <w:ind w:left="866" w:hanging="736"/>
        <w:jc w:val="left"/>
      </w:pPr>
      <w:rPr>
        <w:rFonts w:hint="default" w:ascii="宋体" w:hAnsi="宋体" w:eastAsia="宋体" w:cs="宋体"/>
        <w:spacing w:val="-1"/>
        <w:w w:val="100"/>
        <w:sz w:val="21"/>
        <w:szCs w:val="21"/>
      </w:rPr>
    </w:lvl>
    <w:lvl w:ilvl="1">
      <w:start w:val="0"/>
      <w:numFmt w:val="bullet"/>
      <w:lvlText w:val="•"/>
      <w:lvlJc w:val="left"/>
      <w:pPr>
        <w:ind w:left="1584" w:hanging="736"/>
      </w:pPr>
      <w:rPr>
        <w:rFonts w:hint="default"/>
      </w:rPr>
    </w:lvl>
    <w:lvl w:ilvl="2">
      <w:start w:val="0"/>
      <w:numFmt w:val="bullet"/>
      <w:lvlText w:val="•"/>
      <w:lvlJc w:val="left"/>
      <w:pPr>
        <w:ind w:left="2308" w:hanging="736"/>
      </w:pPr>
      <w:rPr>
        <w:rFonts w:hint="default"/>
      </w:rPr>
    </w:lvl>
    <w:lvl w:ilvl="3">
      <w:start w:val="0"/>
      <w:numFmt w:val="bullet"/>
      <w:lvlText w:val="•"/>
      <w:lvlJc w:val="left"/>
      <w:pPr>
        <w:ind w:left="3032" w:hanging="736"/>
      </w:pPr>
      <w:rPr>
        <w:rFonts w:hint="default"/>
      </w:rPr>
    </w:lvl>
    <w:lvl w:ilvl="4">
      <w:start w:val="0"/>
      <w:numFmt w:val="bullet"/>
      <w:lvlText w:val="•"/>
      <w:lvlJc w:val="left"/>
      <w:pPr>
        <w:ind w:left="3756" w:hanging="736"/>
      </w:pPr>
      <w:rPr>
        <w:rFonts w:hint="default"/>
      </w:rPr>
    </w:lvl>
    <w:lvl w:ilvl="5">
      <w:start w:val="0"/>
      <w:numFmt w:val="bullet"/>
      <w:lvlText w:val="•"/>
      <w:lvlJc w:val="left"/>
      <w:pPr>
        <w:ind w:left="4480" w:hanging="736"/>
      </w:pPr>
      <w:rPr>
        <w:rFonts w:hint="default"/>
      </w:rPr>
    </w:lvl>
    <w:lvl w:ilvl="6">
      <w:start w:val="0"/>
      <w:numFmt w:val="bullet"/>
      <w:lvlText w:val="•"/>
      <w:lvlJc w:val="left"/>
      <w:pPr>
        <w:ind w:left="5204" w:hanging="736"/>
      </w:pPr>
      <w:rPr>
        <w:rFonts w:hint="default"/>
      </w:rPr>
    </w:lvl>
    <w:lvl w:ilvl="7">
      <w:start w:val="0"/>
      <w:numFmt w:val="bullet"/>
      <w:lvlText w:val="•"/>
      <w:lvlJc w:val="left"/>
      <w:pPr>
        <w:ind w:left="5928" w:hanging="736"/>
      </w:pPr>
      <w:rPr>
        <w:rFonts w:hint="default"/>
      </w:rPr>
    </w:lvl>
    <w:lvl w:ilvl="8">
      <w:start w:val="0"/>
      <w:numFmt w:val="bullet"/>
      <w:lvlText w:val="•"/>
      <w:lvlJc w:val="left"/>
      <w:pPr>
        <w:ind w:left="6652" w:hanging="736"/>
      </w:pPr>
      <w:rPr>
        <w:rFonts w:hint="default"/>
      </w:rPr>
    </w:lvl>
  </w:abstractNum>
  <w:abstractNum w:abstractNumId="61">
    <w:multiLevelType w:val="hybridMultilevel"/>
    <w:lvl w:ilvl="0">
      <w:start w:val="1"/>
      <w:numFmt w:val="decimal"/>
      <w:lvlText w:val="（%1）"/>
      <w:lvlJc w:val="left"/>
      <w:pPr>
        <w:ind w:left="865" w:hanging="736"/>
        <w:jc w:val="left"/>
      </w:pPr>
      <w:rPr>
        <w:rFonts w:hint="default" w:ascii="宋体" w:hAnsi="宋体" w:eastAsia="宋体" w:cs="宋体"/>
        <w:spacing w:val="-105"/>
        <w:w w:val="100"/>
        <w:sz w:val="21"/>
        <w:szCs w:val="21"/>
      </w:rPr>
    </w:lvl>
    <w:lvl w:ilvl="1">
      <w:start w:val="0"/>
      <w:numFmt w:val="bullet"/>
      <w:lvlText w:val="•"/>
      <w:lvlJc w:val="left"/>
      <w:pPr>
        <w:ind w:left="1591" w:hanging="736"/>
      </w:pPr>
      <w:rPr>
        <w:rFonts w:hint="default"/>
      </w:rPr>
    </w:lvl>
    <w:lvl w:ilvl="2">
      <w:start w:val="0"/>
      <w:numFmt w:val="bullet"/>
      <w:lvlText w:val="•"/>
      <w:lvlJc w:val="left"/>
      <w:pPr>
        <w:ind w:left="2322" w:hanging="736"/>
      </w:pPr>
      <w:rPr>
        <w:rFonts w:hint="default"/>
      </w:rPr>
    </w:lvl>
    <w:lvl w:ilvl="3">
      <w:start w:val="0"/>
      <w:numFmt w:val="bullet"/>
      <w:lvlText w:val="•"/>
      <w:lvlJc w:val="left"/>
      <w:pPr>
        <w:ind w:left="3053" w:hanging="736"/>
      </w:pPr>
      <w:rPr>
        <w:rFonts w:hint="default"/>
      </w:rPr>
    </w:lvl>
    <w:lvl w:ilvl="4">
      <w:start w:val="0"/>
      <w:numFmt w:val="bullet"/>
      <w:lvlText w:val="•"/>
      <w:lvlJc w:val="left"/>
      <w:pPr>
        <w:ind w:left="3784" w:hanging="736"/>
      </w:pPr>
      <w:rPr>
        <w:rFonts w:hint="default"/>
      </w:rPr>
    </w:lvl>
    <w:lvl w:ilvl="5">
      <w:start w:val="0"/>
      <w:numFmt w:val="bullet"/>
      <w:lvlText w:val="•"/>
      <w:lvlJc w:val="left"/>
      <w:pPr>
        <w:ind w:left="4515" w:hanging="736"/>
      </w:pPr>
      <w:rPr>
        <w:rFonts w:hint="default"/>
      </w:rPr>
    </w:lvl>
    <w:lvl w:ilvl="6">
      <w:start w:val="0"/>
      <w:numFmt w:val="bullet"/>
      <w:lvlText w:val="•"/>
      <w:lvlJc w:val="left"/>
      <w:pPr>
        <w:ind w:left="5246" w:hanging="736"/>
      </w:pPr>
      <w:rPr>
        <w:rFonts w:hint="default"/>
      </w:rPr>
    </w:lvl>
    <w:lvl w:ilvl="7">
      <w:start w:val="0"/>
      <w:numFmt w:val="bullet"/>
      <w:lvlText w:val="•"/>
      <w:lvlJc w:val="left"/>
      <w:pPr>
        <w:ind w:left="5977" w:hanging="736"/>
      </w:pPr>
      <w:rPr>
        <w:rFonts w:hint="default"/>
      </w:rPr>
    </w:lvl>
    <w:lvl w:ilvl="8">
      <w:start w:val="0"/>
      <w:numFmt w:val="bullet"/>
      <w:lvlText w:val="•"/>
      <w:lvlJc w:val="left"/>
      <w:pPr>
        <w:ind w:left="6708" w:hanging="736"/>
      </w:pPr>
      <w:rPr>
        <w:rFonts w:hint="default"/>
      </w:rPr>
    </w:lvl>
  </w:abstractNum>
  <w:abstractNum w:abstractNumId="60">
    <w:multiLevelType w:val="hybridMultilevel"/>
    <w:lvl w:ilvl="0">
      <w:start w:val="1"/>
      <w:numFmt w:val="decimal"/>
      <w:lvlText w:val="（%1）"/>
      <w:lvlJc w:val="left"/>
      <w:pPr>
        <w:ind w:left="865" w:hanging="736"/>
        <w:jc w:val="left"/>
      </w:pPr>
      <w:rPr>
        <w:rFonts w:hint="default" w:ascii="宋体" w:hAnsi="宋体" w:eastAsia="宋体" w:cs="宋体"/>
        <w:spacing w:val="-1"/>
        <w:w w:val="100"/>
        <w:sz w:val="21"/>
        <w:szCs w:val="21"/>
      </w:rPr>
    </w:lvl>
    <w:lvl w:ilvl="1">
      <w:start w:val="0"/>
      <w:numFmt w:val="bullet"/>
      <w:lvlText w:val="•"/>
      <w:lvlJc w:val="left"/>
      <w:pPr>
        <w:ind w:left="1591" w:hanging="736"/>
      </w:pPr>
      <w:rPr>
        <w:rFonts w:hint="default"/>
      </w:rPr>
    </w:lvl>
    <w:lvl w:ilvl="2">
      <w:start w:val="0"/>
      <w:numFmt w:val="bullet"/>
      <w:lvlText w:val="•"/>
      <w:lvlJc w:val="left"/>
      <w:pPr>
        <w:ind w:left="2322" w:hanging="736"/>
      </w:pPr>
      <w:rPr>
        <w:rFonts w:hint="default"/>
      </w:rPr>
    </w:lvl>
    <w:lvl w:ilvl="3">
      <w:start w:val="0"/>
      <w:numFmt w:val="bullet"/>
      <w:lvlText w:val="•"/>
      <w:lvlJc w:val="left"/>
      <w:pPr>
        <w:ind w:left="3053" w:hanging="736"/>
      </w:pPr>
      <w:rPr>
        <w:rFonts w:hint="default"/>
      </w:rPr>
    </w:lvl>
    <w:lvl w:ilvl="4">
      <w:start w:val="0"/>
      <w:numFmt w:val="bullet"/>
      <w:lvlText w:val="•"/>
      <w:lvlJc w:val="left"/>
      <w:pPr>
        <w:ind w:left="3784" w:hanging="736"/>
      </w:pPr>
      <w:rPr>
        <w:rFonts w:hint="default"/>
      </w:rPr>
    </w:lvl>
    <w:lvl w:ilvl="5">
      <w:start w:val="0"/>
      <w:numFmt w:val="bullet"/>
      <w:lvlText w:val="•"/>
      <w:lvlJc w:val="left"/>
      <w:pPr>
        <w:ind w:left="4515" w:hanging="736"/>
      </w:pPr>
      <w:rPr>
        <w:rFonts w:hint="default"/>
      </w:rPr>
    </w:lvl>
    <w:lvl w:ilvl="6">
      <w:start w:val="0"/>
      <w:numFmt w:val="bullet"/>
      <w:lvlText w:val="•"/>
      <w:lvlJc w:val="left"/>
      <w:pPr>
        <w:ind w:left="5246" w:hanging="736"/>
      </w:pPr>
      <w:rPr>
        <w:rFonts w:hint="default"/>
      </w:rPr>
    </w:lvl>
    <w:lvl w:ilvl="7">
      <w:start w:val="0"/>
      <w:numFmt w:val="bullet"/>
      <w:lvlText w:val="•"/>
      <w:lvlJc w:val="left"/>
      <w:pPr>
        <w:ind w:left="5977" w:hanging="736"/>
      </w:pPr>
      <w:rPr>
        <w:rFonts w:hint="default"/>
      </w:rPr>
    </w:lvl>
    <w:lvl w:ilvl="8">
      <w:start w:val="0"/>
      <w:numFmt w:val="bullet"/>
      <w:lvlText w:val="•"/>
      <w:lvlJc w:val="left"/>
      <w:pPr>
        <w:ind w:left="6708" w:hanging="736"/>
      </w:pPr>
      <w:rPr>
        <w:rFonts w:hint="default"/>
      </w:rPr>
    </w:lvl>
  </w:abstractNum>
  <w:abstractNum w:abstractNumId="59">
    <w:multiLevelType w:val="hybridMultilevel"/>
    <w:lvl w:ilvl="0">
      <w:start w:val="1"/>
      <w:numFmt w:val="decimal"/>
      <w:lvlText w:val="（%1）"/>
      <w:lvlJc w:val="left"/>
      <w:pPr>
        <w:ind w:left="865" w:hanging="736"/>
        <w:jc w:val="left"/>
      </w:pPr>
      <w:rPr>
        <w:rFonts w:hint="default" w:ascii="宋体" w:hAnsi="宋体" w:eastAsia="宋体" w:cs="宋体"/>
        <w:spacing w:val="-1"/>
        <w:w w:val="100"/>
        <w:sz w:val="21"/>
        <w:szCs w:val="21"/>
      </w:rPr>
    </w:lvl>
    <w:lvl w:ilvl="1">
      <w:start w:val="0"/>
      <w:numFmt w:val="bullet"/>
      <w:lvlText w:val="•"/>
      <w:lvlJc w:val="left"/>
      <w:pPr>
        <w:ind w:left="1584" w:hanging="736"/>
      </w:pPr>
      <w:rPr>
        <w:rFonts w:hint="default"/>
      </w:rPr>
    </w:lvl>
    <w:lvl w:ilvl="2">
      <w:start w:val="0"/>
      <w:numFmt w:val="bullet"/>
      <w:lvlText w:val="•"/>
      <w:lvlJc w:val="left"/>
      <w:pPr>
        <w:ind w:left="2308" w:hanging="736"/>
      </w:pPr>
      <w:rPr>
        <w:rFonts w:hint="default"/>
      </w:rPr>
    </w:lvl>
    <w:lvl w:ilvl="3">
      <w:start w:val="0"/>
      <w:numFmt w:val="bullet"/>
      <w:lvlText w:val="•"/>
      <w:lvlJc w:val="left"/>
      <w:pPr>
        <w:ind w:left="3032" w:hanging="736"/>
      </w:pPr>
      <w:rPr>
        <w:rFonts w:hint="default"/>
      </w:rPr>
    </w:lvl>
    <w:lvl w:ilvl="4">
      <w:start w:val="0"/>
      <w:numFmt w:val="bullet"/>
      <w:lvlText w:val="•"/>
      <w:lvlJc w:val="left"/>
      <w:pPr>
        <w:ind w:left="3756" w:hanging="736"/>
      </w:pPr>
      <w:rPr>
        <w:rFonts w:hint="default"/>
      </w:rPr>
    </w:lvl>
    <w:lvl w:ilvl="5">
      <w:start w:val="0"/>
      <w:numFmt w:val="bullet"/>
      <w:lvlText w:val="•"/>
      <w:lvlJc w:val="left"/>
      <w:pPr>
        <w:ind w:left="4480" w:hanging="736"/>
      </w:pPr>
      <w:rPr>
        <w:rFonts w:hint="default"/>
      </w:rPr>
    </w:lvl>
    <w:lvl w:ilvl="6">
      <w:start w:val="0"/>
      <w:numFmt w:val="bullet"/>
      <w:lvlText w:val="•"/>
      <w:lvlJc w:val="left"/>
      <w:pPr>
        <w:ind w:left="5204" w:hanging="736"/>
      </w:pPr>
      <w:rPr>
        <w:rFonts w:hint="default"/>
      </w:rPr>
    </w:lvl>
    <w:lvl w:ilvl="7">
      <w:start w:val="0"/>
      <w:numFmt w:val="bullet"/>
      <w:lvlText w:val="•"/>
      <w:lvlJc w:val="left"/>
      <w:pPr>
        <w:ind w:left="5928" w:hanging="736"/>
      </w:pPr>
      <w:rPr>
        <w:rFonts w:hint="default"/>
      </w:rPr>
    </w:lvl>
    <w:lvl w:ilvl="8">
      <w:start w:val="0"/>
      <w:numFmt w:val="bullet"/>
      <w:lvlText w:val="•"/>
      <w:lvlJc w:val="left"/>
      <w:pPr>
        <w:ind w:left="6652" w:hanging="736"/>
      </w:pPr>
      <w:rPr>
        <w:rFonts w:hint="default"/>
      </w:rPr>
    </w:lvl>
  </w:abstractNum>
  <w:abstractNum w:abstractNumId="58">
    <w:multiLevelType w:val="hybridMultilevel"/>
    <w:lvl w:ilvl="0">
      <w:start w:val="1"/>
      <w:numFmt w:val="decimal"/>
      <w:lvlText w:val="（%1）"/>
      <w:lvlJc w:val="left"/>
      <w:pPr>
        <w:ind w:left="886" w:hanging="720"/>
        <w:jc w:val="left"/>
      </w:pPr>
      <w:rPr>
        <w:rFonts w:hint="default"/>
        <w:spacing w:val="-105"/>
        <w:w w:val="100"/>
      </w:rPr>
    </w:lvl>
    <w:lvl w:ilvl="1">
      <w:start w:val="0"/>
      <w:numFmt w:val="bullet"/>
      <w:lvlText w:val="•"/>
      <w:lvlJc w:val="left"/>
      <w:pPr>
        <w:ind w:left="1602" w:hanging="720"/>
      </w:pPr>
      <w:rPr>
        <w:rFonts w:hint="default"/>
      </w:rPr>
    </w:lvl>
    <w:lvl w:ilvl="2">
      <w:start w:val="0"/>
      <w:numFmt w:val="bullet"/>
      <w:lvlText w:val="•"/>
      <w:lvlJc w:val="left"/>
      <w:pPr>
        <w:ind w:left="2324" w:hanging="720"/>
      </w:pPr>
      <w:rPr>
        <w:rFonts w:hint="default"/>
      </w:rPr>
    </w:lvl>
    <w:lvl w:ilvl="3">
      <w:start w:val="0"/>
      <w:numFmt w:val="bullet"/>
      <w:lvlText w:val="•"/>
      <w:lvlJc w:val="left"/>
      <w:pPr>
        <w:ind w:left="3046" w:hanging="720"/>
      </w:pPr>
      <w:rPr>
        <w:rFonts w:hint="default"/>
      </w:rPr>
    </w:lvl>
    <w:lvl w:ilvl="4">
      <w:start w:val="0"/>
      <w:numFmt w:val="bullet"/>
      <w:lvlText w:val="•"/>
      <w:lvlJc w:val="left"/>
      <w:pPr>
        <w:ind w:left="3768" w:hanging="720"/>
      </w:pPr>
      <w:rPr>
        <w:rFonts w:hint="default"/>
      </w:rPr>
    </w:lvl>
    <w:lvl w:ilvl="5">
      <w:start w:val="0"/>
      <w:numFmt w:val="bullet"/>
      <w:lvlText w:val="•"/>
      <w:lvlJc w:val="left"/>
      <w:pPr>
        <w:ind w:left="4490" w:hanging="720"/>
      </w:pPr>
      <w:rPr>
        <w:rFonts w:hint="default"/>
      </w:rPr>
    </w:lvl>
    <w:lvl w:ilvl="6">
      <w:start w:val="0"/>
      <w:numFmt w:val="bullet"/>
      <w:lvlText w:val="•"/>
      <w:lvlJc w:val="left"/>
      <w:pPr>
        <w:ind w:left="5212" w:hanging="720"/>
      </w:pPr>
      <w:rPr>
        <w:rFonts w:hint="default"/>
      </w:rPr>
    </w:lvl>
    <w:lvl w:ilvl="7">
      <w:start w:val="0"/>
      <w:numFmt w:val="bullet"/>
      <w:lvlText w:val="•"/>
      <w:lvlJc w:val="left"/>
      <w:pPr>
        <w:ind w:left="5934" w:hanging="720"/>
      </w:pPr>
      <w:rPr>
        <w:rFonts w:hint="default"/>
      </w:rPr>
    </w:lvl>
    <w:lvl w:ilvl="8">
      <w:start w:val="0"/>
      <w:numFmt w:val="bullet"/>
      <w:lvlText w:val="•"/>
      <w:lvlJc w:val="left"/>
      <w:pPr>
        <w:ind w:left="6656" w:hanging="720"/>
      </w:pPr>
      <w:rPr>
        <w:rFonts w:hint="default"/>
      </w:rPr>
    </w:lvl>
  </w:abstractNum>
  <w:abstractNum w:abstractNumId="57">
    <w:multiLevelType w:val="hybridMultilevel"/>
    <w:lvl w:ilvl="0">
      <w:start w:val="1"/>
      <w:numFmt w:val="decimal"/>
      <w:lvlText w:val="（%1）"/>
      <w:lvlJc w:val="left"/>
      <w:pPr>
        <w:ind w:left="760" w:hanging="630"/>
        <w:jc w:val="left"/>
      </w:pPr>
      <w:rPr>
        <w:rFonts w:hint="default" w:ascii="宋体" w:hAnsi="宋体" w:eastAsia="宋体" w:cs="宋体"/>
        <w:w w:val="100"/>
        <w:sz w:val="21"/>
        <w:szCs w:val="21"/>
      </w:rPr>
    </w:lvl>
    <w:lvl w:ilvl="1">
      <w:start w:val="0"/>
      <w:numFmt w:val="bullet"/>
      <w:lvlText w:val="•"/>
      <w:lvlJc w:val="left"/>
      <w:pPr>
        <w:ind w:left="1481" w:hanging="630"/>
      </w:pPr>
      <w:rPr>
        <w:rFonts w:hint="default"/>
      </w:rPr>
    </w:lvl>
    <w:lvl w:ilvl="2">
      <w:start w:val="0"/>
      <w:numFmt w:val="bullet"/>
      <w:lvlText w:val="•"/>
      <w:lvlJc w:val="left"/>
      <w:pPr>
        <w:ind w:left="2202" w:hanging="630"/>
      </w:pPr>
      <w:rPr>
        <w:rFonts w:hint="default"/>
      </w:rPr>
    </w:lvl>
    <w:lvl w:ilvl="3">
      <w:start w:val="0"/>
      <w:numFmt w:val="bullet"/>
      <w:lvlText w:val="•"/>
      <w:lvlJc w:val="left"/>
      <w:pPr>
        <w:ind w:left="2923" w:hanging="630"/>
      </w:pPr>
      <w:rPr>
        <w:rFonts w:hint="default"/>
      </w:rPr>
    </w:lvl>
    <w:lvl w:ilvl="4">
      <w:start w:val="0"/>
      <w:numFmt w:val="bullet"/>
      <w:lvlText w:val="•"/>
      <w:lvlJc w:val="left"/>
      <w:pPr>
        <w:ind w:left="3644" w:hanging="630"/>
      </w:pPr>
      <w:rPr>
        <w:rFonts w:hint="default"/>
      </w:rPr>
    </w:lvl>
    <w:lvl w:ilvl="5">
      <w:start w:val="0"/>
      <w:numFmt w:val="bullet"/>
      <w:lvlText w:val="•"/>
      <w:lvlJc w:val="left"/>
      <w:pPr>
        <w:ind w:left="4365" w:hanging="630"/>
      </w:pPr>
      <w:rPr>
        <w:rFonts w:hint="default"/>
      </w:rPr>
    </w:lvl>
    <w:lvl w:ilvl="6">
      <w:start w:val="0"/>
      <w:numFmt w:val="bullet"/>
      <w:lvlText w:val="•"/>
      <w:lvlJc w:val="left"/>
      <w:pPr>
        <w:ind w:left="5086" w:hanging="630"/>
      </w:pPr>
      <w:rPr>
        <w:rFonts w:hint="default"/>
      </w:rPr>
    </w:lvl>
    <w:lvl w:ilvl="7">
      <w:start w:val="0"/>
      <w:numFmt w:val="bullet"/>
      <w:lvlText w:val="•"/>
      <w:lvlJc w:val="left"/>
      <w:pPr>
        <w:ind w:left="5807" w:hanging="630"/>
      </w:pPr>
      <w:rPr>
        <w:rFonts w:hint="default"/>
      </w:rPr>
    </w:lvl>
    <w:lvl w:ilvl="8">
      <w:start w:val="0"/>
      <w:numFmt w:val="bullet"/>
      <w:lvlText w:val="•"/>
      <w:lvlJc w:val="left"/>
      <w:pPr>
        <w:ind w:left="6528" w:hanging="630"/>
      </w:pPr>
      <w:rPr>
        <w:rFonts w:hint="default"/>
      </w:rPr>
    </w:lvl>
  </w:abstractNum>
  <w:abstractNum w:abstractNumId="56">
    <w:multiLevelType w:val="hybridMultilevel"/>
    <w:lvl w:ilvl="0">
      <w:start w:val="1"/>
      <w:numFmt w:val="decimal"/>
      <w:lvlText w:val="（%1）"/>
      <w:lvlJc w:val="left"/>
      <w:pPr>
        <w:ind w:left="865" w:hanging="736"/>
        <w:jc w:val="left"/>
      </w:pPr>
      <w:rPr>
        <w:rFonts w:hint="default" w:ascii="宋体" w:hAnsi="宋体" w:eastAsia="宋体" w:cs="宋体"/>
        <w:spacing w:val="-1"/>
        <w:w w:val="100"/>
        <w:sz w:val="21"/>
        <w:szCs w:val="21"/>
      </w:rPr>
    </w:lvl>
    <w:lvl w:ilvl="1">
      <w:start w:val="0"/>
      <w:numFmt w:val="bullet"/>
      <w:lvlText w:val="•"/>
      <w:lvlJc w:val="left"/>
      <w:pPr>
        <w:ind w:left="1571" w:hanging="736"/>
      </w:pPr>
      <w:rPr>
        <w:rFonts w:hint="default"/>
      </w:rPr>
    </w:lvl>
    <w:lvl w:ilvl="2">
      <w:start w:val="0"/>
      <w:numFmt w:val="bullet"/>
      <w:lvlText w:val="•"/>
      <w:lvlJc w:val="left"/>
      <w:pPr>
        <w:ind w:left="2282" w:hanging="736"/>
      </w:pPr>
      <w:rPr>
        <w:rFonts w:hint="default"/>
      </w:rPr>
    </w:lvl>
    <w:lvl w:ilvl="3">
      <w:start w:val="0"/>
      <w:numFmt w:val="bullet"/>
      <w:lvlText w:val="•"/>
      <w:lvlJc w:val="left"/>
      <w:pPr>
        <w:ind w:left="2993" w:hanging="736"/>
      </w:pPr>
      <w:rPr>
        <w:rFonts w:hint="default"/>
      </w:rPr>
    </w:lvl>
    <w:lvl w:ilvl="4">
      <w:start w:val="0"/>
      <w:numFmt w:val="bullet"/>
      <w:lvlText w:val="•"/>
      <w:lvlJc w:val="left"/>
      <w:pPr>
        <w:ind w:left="3704" w:hanging="736"/>
      </w:pPr>
      <w:rPr>
        <w:rFonts w:hint="default"/>
      </w:rPr>
    </w:lvl>
    <w:lvl w:ilvl="5">
      <w:start w:val="0"/>
      <w:numFmt w:val="bullet"/>
      <w:lvlText w:val="•"/>
      <w:lvlJc w:val="left"/>
      <w:pPr>
        <w:ind w:left="4415" w:hanging="736"/>
      </w:pPr>
      <w:rPr>
        <w:rFonts w:hint="default"/>
      </w:rPr>
    </w:lvl>
    <w:lvl w:ilvl="6">
      <w:start w:val="0"/>
      <w:numFmt w:val="bullet"/>
      <w:lvlText w:val="•"/>
      <w:lvlJc w:val="left"/>
      <w:pPr>
        <w:ind w:left="5126" w:hanging="736"/>
      </w:pPr>
      <w:rPr>
        <w:rFonts w:hint="default"/>
      </w:rPr>
    </w:lvl>
    <w:lvl w:ilvl="7">
      <w:start w:val="0"/>
      <w:numFmt w:val="bullet"/>
      <w:lvlText w:val="•"/>
      <w:lvlJc w:val="left"/>
      <w:pPr>
        <w:ind w:left="5837" w:hanging="736"/>
      </w:pPr>
      <w:rPr>
        <w:rFonts w:hint="default"/>
      </w:rPr>
    </w:lvl>
    <w:lvl w:ilvl="8">
      <w:start w:val="0"/>
      <w:numFmt w:val="bullet"/>
      <w:lvlText w:val="•"/>
      <w:lvlJc w:val="left"/>
      <w:pPr>
        <w:ind w:left="6548" w:hanging="736"/>
      </w:pPr>
      <w:rPr>
        <w:rFonts w:hint="default"/>
      </w:rPr>
    </w:lvl>
  </w:abstractNum>
  <w:abstractNum w:abstractNumId="55">
    <w:multiLevelType w:val="hybridMultilevel"/>
    <w:lvl w:ilvl="0">
      <w:start w:val="1"/>
      <w:numFmt w:val="decimal"/>
      <w:lvlText w:val="（%1）"/>
      <w:lvlJc w:val="left"/>
      <w:pPr>
        <w:ind w:left="865" w:hanging="736"/>
        <w:jc w:val="left"/>
      </w:pPr>
      <w:rPr>
        <w:rFonts w:hint="default" w:ascii="宋体" w:hAnsi="宋体" w:eastAsia="宋体" w:cs="宋体"/>
        <w:spacing w:val="-1"/>
        <w:w w:val="100"/>
        <w:sz w:val="21"/>
        <w:szCs w:val="21"/>
      </w:rPr>
    </w:lvl>
    <w:lvl w:ilvl="1">
      <w:start w:val="0"/>
      <w:numFmt w:val="bullet"/>
      <w:lvlText w:val="•"/>
      <w:lvlJc w:val="left"/>
      <w:pPr>
        <w:ind w:left="1571" w:hanging="736"/>
      </w:pPr>
      <w:rPr>
        <w:rFonts w:hint="default"/>
      </w:rPr>
    </w:lvl>
    <w:lvl w:ilvl="2">
      <w:start w:val="0"/>
      <w:numFmt w:val="bullet"/>
      <w:lvlText w:val="•"/>
      <w:lvlJc w:val="left"/>
      <w:pPr>
        <w:ind w:left="2282" w:hanging="736"/>
      </w:pPr>
      <w:rPr>
        <w:rFonts w:hint="default"/>
      </w:rPr>
    </w:lvl>
    <w:lvl w:ilvl="3">
      <w:start w:val="0"/>
      <w:numFmt w:val="bullet"/>
      <w:lvlText w:val="•"/>
      <w:lvlJc w:val="left"/>
      <w:pPr>
        <w:ind w:left="2993" w:hanging="736"/>
      </w:pPr>
      <w:rPr>
        <w:rFonts w:hint="default"/>
      </w:rPr>
    </w:lvl>
    <w:lvl w:ilvl="4">
      <w:start w:val="0"/>
      <w:numFmt w:val="bullet"/>
      <w:lvlText w:val="•"/>
      <w:lvlJc w:val="left"/>
      <w:pPr>
        <w:ind w:left="3704" w:hanging="736"/>
      </w:pPr>
      <w:rPr>
        <w:rFonts w:hint="default"/>
      </w:rPr>
    </w:lvl>
    <w:lvl w:ilvl="5">
      <w:start w:val="0"/>
      <w:numFmt w:val="bullet"/>
      <w:lvlText w:val="•"/>
      <w:lvlJc w:val="left"/>
      <w:pPr>
        <w:ind w:left="4415" w:hanging="736"/>
      </w:pPr>
      <w:rPr>
        <w:rFonts w:hint="default"/>
      </w:rPr>
    </w:lvl>
    <w:lvl w:ilvl="6">
      <w:start w:val="0"/>
      <w:numFmt w:val="bullet"/>
      <w:lvlText w:val="•"/>
      <w:lvlJc w:val="left"/>
      <w:pPr>
        <w:ind w:left="5126" w:hanging="736"/>
      </w:pPr>
      <w:rPr>
        <w:rFonts w:hint="default"/>
      </w:rPr>
    </w:lvl>
    <w:lvl w:ilvl="7">
      <w:start w:val="0"/>
      <w:numFmt w:val="bullet"/>
      <w:lvlText w:val="•"/>
      <w:lvlJc w:val="left"/>
      <w:pPr>
        <w:ind w:left="5837" w:hanging="736"/>
      </w:pPr>
      <w:rPr>
        <w:rFonts w:hint="default"/>
      </w:rPr>
    </w:lvl>
    <w:lvl w:ilvl="8">
      <w:start w:val="0"/>
      <w:numFmt w:val="bullet"/>
      <w:lvlText w:val="•"/>
      <w:lvlJc w:val="left"/>
      <w:pPr>
        <w:ind w:left="6548" w:hanging="736"/>
      </w:pPr>
      <w:rPr>
        <w:rFonts w:hint="default"/>
      </w:rPr>
    </w:lvl>
  </w:abstractNum>
  <w:abstractNum w:abstractNumId="54">
    <w:multiLevelType w:val="hybridMultilevel"/>
    <w:lvl w:ilvl="0">
      <w:start w:val="1"/>
      <w:numFmt w:val="decimal"/>
      <w:lvlText w:val="（%1）"/>
      <w:lvlJc w:val="left"/>
      <w:pPr>
        <w:ind w:left="868" w:hanging="736"/>
        <w:jc w:val="left"/>
      </w:pPr>
      <w:rPr>
        <w:rFonts w:hint="default" w:ascii="宋体" w:hAnsi="宋体" w:eastAsia="宋体" w:cs="宋体"/>
        <w:spacing w:val="-7"/>
        <w:w w:val="100"/>
        <w:sz w:val="21"/>
        <w:szCs w:val="21"/>
      </w:rPr>
    </w:lvl>
    <w:lvl w:ilvl="1">
      <w:start w:val="0"/>
      <w:numFmt w:val="bullet"/>
      <w:lvlText w:val="•"/>
      <w:lvlJc w:val="left"/>
      <w:pPr>
        <w:ind w:left="1591" w:hanging="736"/>
      </w:pPr>
      <w:rPr>
        <w:rFonts w:hint="default"/>
      </w:rPr>
    </w:lvl>
    <w:lvl w:ilvl="2">
      <w:start w:val="0"/>
      <w:numFmt w:val="bullet"/>
      <w:lvlText w:val="•"/>
      <w:lvlJc w:val="left"/>
      <w:pPr>
        <w:ind w:left="2322" w:hanging="736"/>
      </w:pPr>
      <w:rPr>
        <w:rFonts w:hint="default"/>
      </w:rPr>
    </w:lvl>
    <w:lvl w:ilvl="3">
      <w:start w:val="0"/>
      <w:numFmt w:val="bullet"/>
      <w:lvlText w:val="•"/>
      <w:lvlJc w:val="left"/>
      <w:pPr>
        <w:ind w:left="3053" w:hanging="736"/>
      </w:pPr>
      <w:rPr>
        <w:rFonts w:hint="default"/>
      </w:rPr>
    </w:lvl>
    <w:lvl w:ilvl="4">
      <w:start w:val="0"/>
      <w:numFmt w:val="bullet"/>
      <w:lvlText w:val="•"/>
      <w:lvlJc w:val="left"/>
      <w:pPr>
        <w:ind w:left="3784" w:hanging="736"/>
      </w:pPr>
      <w:rPr>
        <w:rFonts w:hint="default"/>
      </w:rPr>
    </w:lvl>
    <w:lvl w:ilvl="5">
      <w:start w:val="0"/>
      <w:numFmt w:val="bullet"/>
      <w:lvlText w:val="•"/>
      <w:lvlJc w:val="left"/>
      <w:pPr>
        <w:ind w:left="4515" w:hanging="736"/>
      </w:pPr>
      <w:rPr>
        <w:rFonts w:hint="default"/>
      </w:rPr>
    </w:lvl>
    <w:lvl w:ilvl="6">
      <w:start w:val="0"/>
      <w:numFmt w:val="bullet"/>
      <w:lvlText w:val="•"/>
      <w:lvlJc w:val="left"/>
      <w:pPr>
        <w:ind w:left="5246" w:hanging="736"/>
      </w:pPr>
      <w:rPr>
        <w:rFonts w:hint="default"/>
      </w:rPr>
    </w:lvl>
    <w:lvl w:ilvl="7">
      <w:start w:val="0"/>
      <w:numFmt w:val="bullet"/>
      <w:lvlText w:val="•"/>
      <w:lvlJc w:val="left"/>
      <w:pPr>
        <w:ind w:left="5977" w:hanging="736"/>
      </w:pPr>
      <w:rPr>
        <w:rFonts w:hint="default"/>
      </w:rPr>
    </w:lvl>
    <w:lvl w:ilvl="8">
      <w:start w:val="0"/>
      <w:numFmt w:val="bullet"/>
      <w:lvlText w:val="•"/>
      <w:lvlJc w:val="left"/>
      <w:pPr>
        <w:ind w:left="6708" w:hanging="736"/>
      </w:pPr>
      <w:rPr>
        <w:rFonts w:hint="default"/>
      </w:rPr>
    </w:lvl>
  </w:abstractNum>
  <w:abstractNum w:abstractNumId="53">
    <w:multiLevelType w:val="hybridMultilevel"/>
    <w:lvl w:ilvl="0">
      <w:start w:val="1"/>
      <w:numFmt w:val="decimal"/>
      <w:lvlText w:val="（%1）"/>
      <w:lvlJc w:val="left"/>
      <w:pPr>
        <w:ind w:left="868" w:hanging="736"/>
        <w:jc w:val="left"/>
      </w:pPr>
      <w:rPr>
        <w:rFonts w:hint="default" w:ascii="宋体" w:hAnsi="宋体" w:eastAsia="宋体" w:cs="宋体"/>
        <w:spacing w:val="-1"/>
        <w:w w:val="100"/>
        <w:sz w:val="21"/>
        <w:szCs w:val="21"/>
      </w:rPr>
    </w:lvl>
    <w:lvl w:ilvl="1">
      <w:start w:val="0"/>
      <w:numFmt w:val="bullet"/>
      <w:lvlText w:val="•"/>
      <w:lvlJc w:val="left"/>
      <w:pPr>
        <w:ind w:left="1591" w:hanging="736"/>
      </w:pPr>
      <w:rPr>
        <w:rFonts w:hint="default"/>
      </w:rPr>
    </w:lvl>
    <w:lvl w:ilvl="2">
      <w:start w:val="0"/>
      <w:numFmt w:val="bullet"/>
      <w:lvlText w:val="•"/>
      <w:lvlJc w:val="left"/>
      <w:pPr>
        <w:ind w:left="2322" w:hanging="736"/>
      </w:pPr>
      <w:rPr>
        <w:rFonts w:hint="default"/>
      </w:rPr>
    </w:lvl>
    <w:lvl w:ilvl="3">
      <w:start w:val="0"/>
      <w:numFmt w:val="bullet"/>
      <w:lvlText w:val="•"/>
      <w:lvlJc w:val="left"/>
      <w:pPr>
        <w:ind w:left="3053" w:hanging="736"/>
      </w:pPr>
      <w:rPr>
        <w:rFonts w:hint="default"/>
      </w:rPr>
    </w:lvl>
    <w:lvl w:ilvl="4">
      <w:start w:val="0"/>
      <w:numFmt w:val="bullet"/>
      <w:lvlText w:val="•"/>
      <w:lvlJc w:val="left"/>
      <w:pPr>
        <w:ind w:left="3784" w:hanging="736"/>
      </w:pPr>
      <w:rPr>
        <w:rFonts w:hint="default"/>
      </w:rPr>
    </w:lvl>
    <w:lvl w:ilvl="5">
      <w:start w:val="0"/>
      <w:numFmt w:val="bullet"/>
      <w:lvlText w:val="•"/>
      <w:lvlJc w:val="left"/>
      <w:pPr>
        <w:ind w:left="4515" w:hanging="736"/>
      </w:pPr>
      <w:rPr>
        <w:rFonts w:hint="default"/>
      </w:rPr>
    </w:lvl>
    <w:lvl w:ilvl="6">
      <w:start w:val="0"/>
      <w:numFmt w:val="bullet"/>
      <w:lvlText w:val="•"/>
      <w:lvlJc w:val="left"/>
      <w:pPr>
        <w:ind w:left="5246" w:hanging="736"/>
      </w:pPr>
      <w:rPr>
        <w:rFonts w:hint="default"/>
      </w:rPr>
    </w:lvl>
    <w:lvl w:ilvl="7">
      <w:start w:val="0"/>
      <w:numFmt w:val="bullet"/>
      <w:lvlText w:val="•"/>
      <w:lvlJc w:val="left"/>
      <w:pPr>
        <w:ind w:left="5977" w:hanging="736"/>
      </w:pPr>
      <w:rPr>
        <w:rFonts w:hint="default"/>
      </w:rPr>
    </w:lvl>
    <w:lvl w:ilvl="8">
      <w:start w:val="0"/>
      <w:numFmt w:val="bullet"/>
      <w:lvlText w:val="•"/>
      <w:lvlJc w:val="left"/>
      <w:pPr>
        <w:ind w:left="6708" w:hanging="736"/>
      </w:pPr>
      <w:rPr>
        <w:rFonts w:hint="default"/>
      </w:rPr>
    </w:lvl>
  </w:abstractNum>
  <w:abstractNum w:abstractNumId="52">
    <w:multiLevelType w:val="hybridMultilevel"/>
    <w:lvl w:ilvl="0">
      <w:start w:val="1"/>
      <w:numFmt w:val="decimal"/>
      <w:lvlText w:val="（%1）"/>
      <w:lvlJc w:val="left"/>
      <w:pPr>
        <w:ind w:left="734" w:hanging="602"/>
        <w:jc w:val="left"/>
      </w:pPr>
      <w:rPr>
        <w:rFonts w:hint="default" w:ascii="宋体" w:hAnsi="宋体" w:eastAsia="宋体" w:cs="宋体"/>
        <w:spacing w:val="-1"/>
        <w:w w:val="100"/>
        <w:sz w:val="21"/>
        <w:szCs w:val="21"/>
      </w:rPr>
    </w:lvl>
    <w:lvl w:ilvl="1">
      <w:start w:val="0"/>
      <w:numFmt w:val="bullet"/>
      <w:lvlText w:val="•"/>
      <w:lvlJc w:val="left"/>
      <w:pPr>
        <w:ind w:left="1483" w:hanging="602"/>
      </w:pPr>
      <w:rPr>
        <w:rFonts w:hint="default"/>
      </w:rPr>
    </w:lvl>
    <w:lvl w:ilvl="2">
      <w:start w:val="0"/>
      <w:numFmt w:val="bullet"/>
      <w:lvlText w:val="•"/>
      <w:lvlJc w:val="left"/>
      <w:pPr>
        <w:ind w:left="2226" w:hanging="602"/>
      </w:pPr>
      <w:rPr>
        <w:rFonts w:hint="default"/>
      </w:rPr>
    </w:lvl>
    <w:lvl w:ilvl="3">
      <w:start w:val="0"/>
      <w:numFmt w:val="bullet"/>
      <w:lvlText w:val="•"/>
      <w:lvlJc w:val="left"/>
      <w:pPr>
        <w:ind w:left="2969" w:hanging="602"/>
      </w:pPr>
      <w:rPr>
        <w:rFonts w:hint="default"/>
      </w:rPr>
    </w:lvl>
    <w:lvl w:ilvl="4">
      <w:start w:val="0"/>
      <w:numFmt w:val="bullet"/>
      <w:lvlText w:val="•"/>
      <w:lvlJc w:val="left"/>
      <w:pPr>
        <w:ind w:left="3712" w:hanging="602"/>
      </w:pPr>
      <w:rPr>
        <w:rFonts w:hint="default"/>
      </w:rPr>
    </w:lvl>
    <w:lvl w:ilvl="5">
      <w:start w:val="0"/>
      <w:numFmt w:val="bullet"/>
      <w:lvlText w:val="•"/>
      <w:lvlJc w:val="left"/>
      <w:pPr>
        <w:ind w:left="4455" w:hanging="602"/>
      </w:pPr>
      <w:rPr>
        <w:rFonts w:hint="default"/>
      </w:rPr>
    </w:lvl>
    <w:lvl w:ilvl="6">
      <w:start w:val="0"/>
      <w:numFmt w:val="bullet"/>
      <w:lvlText w:val="•"/>
      <w:lvlJc w:val="left"/>
      <w:pPr>
        <w:ind w:left="5198" w:hanging="602"/>
      </w:pPr>
      <w:rPr>
        <w:rFonts w:hint="default"/>
      </w:rPr>
    </w:lvl>
    <w:lvl w:ilvl="7">
      <w:start w:val="0"/>
      <w:numFmt w:val="bullet"/>
      <w:lvlText w:val="•"/>
      <w:lvlJc w:val="left"/>
      <w:pPr>
        <w:ind w:left="5941" w:hanging="602"/>
      </w:pPr>
      <w:rPr>
        <w:rFonts w:hint="default"/>
      </w:rPr>
    </w:lvl>
    <w:lvl w:ilvl="8">
      <w:start w:val="0"/>
      <w:numFmt w:val="bullet"/>
      <w:lvlText w:val="•"/>
      <w:lvlJc w:val="left"/>
      <w:pPr>
        <w:ind w:left="6684" w:hanging="602"/>
      </w:pPr>
      <w:rPr>
        <w:rFonts w:hint="default"/>
      </w:rPr>
    </w:lvl>
  </w:abstractNum>
  <w:abstractNum w:abstractNumId="51">
    <w:multiLevelType w:val="hybridMultilevel"/>
    <w:lvl w:ilvl="0">
      <w:start w:val="1"/>
      <w:numFmt w:val="decimal"/>
      <w:lvlText w:val="（%1）"/>
      <w:lvlJc w:val="left"/>
      <w:pPr>
        <w:ind w:left="760" w:hanging="630"/>
        <w:jc w:val="left"/>
      </w:pPr>
      <w:rPr>
        <w:rFonts w:hint="default" w:ascii="宋体" w:hAnsi="宋体" w:eastAsia="宋体" w:cs="宋体"/>
        <w:w w:val="100"/>
        <w:sz w:val="21"/>
        <w:szCs w:val="21"/>
      </w:rPr>
    </w:lvl>
    <w:lvl w:ilvl="1">
      <w:start w:val="0"/>
      <w:numFmt w:val="bullet"/>
      <w:lvlText w:val="•"/>
      <w:lvlJc w:val="left"/>
      <w:pPr>
        <w:ind w:left="1501" w:hanging="630"/>
      </w:pPr>
      <w:rPr>
        <w:rFonts w:hint="default"/>
      </w:rPr>
    </w:lvl>
    <w:lvl w:ilvl="2">
      <w:start w:val="0"/>
      <w:numFmt w:val="bullet"/>
      <w:lvlText w:val="•"/>
      <w:lvlJc w:val="left"/>
      <w:pPr>
        <w:ind w:left="2242" w:hanging="630"/>
      </w:pPr>
      <w:rPr>
        <w:rFonts w:hint="default"/>
      </w:rPr>
    </w:lvl>
    <w:lvl w:ilvl="3">
      <w:start w:val="0"/>
      <w:numFmt w:val="bullet"/>
      <w:lvlText w:val="•"/>
      <w:lvlJc w:val="left"/>
      <w:pPr>
        <w:ind w:left="2983" w:hanging="630"/>
      </w:pPr>
      <w:rPr>
        <w:rFonts w:hint="default"/>
      </w:rPr>
    </w:lvl>
    <w:lvl w:ilvl="4">
      <w:start w:val="0"/>
      <w:numFmt w:val="bullet"/>
      <w:lvlText w:val="•"/>
      <w:lvlJc w:val="left"/>
      <w:pPr>
        <w:ind w:left="3724" w:hanging="630"/>
      </w:pPr>
      <w:rPr>
        <w:rFonts w:hint="default"/>
      </w:rPr>
    </w:lvl>
    <w:lvl w:ilvl="5">
      <w:start w:val="0"/>
      <w:numFmt w:val="bullet"/>
      <w:lvlText w:val="•"/>
      <w:lvlJc w:val="left"/>
      <w:pPr>
        <w:ind w:left="4465" w:hanging="630"/>
      </w:pPr>
      <w:rPr>
        <w:rFonts w:hint="default"/>
      </w:rPr>
    </w:lvl>
    <w:lvl w:ilvl="6">
      <w:start w:val="0"/>
      <w:numFmt w:val="bullet"/>
      <w:lvlText w:val="•"/>
      <w:lvlJc w:val="left"/>
      <w:pPr>
        <w:ind w:left="5206" w:hanging="630"/>
      </w:pPr>
      <w:rPr>
        <w:rFonts w:hint="default"/>
      </w:rPr>
    </w:lvl>
    <w:lvl w:ilvl="7">
      <w:start w:val="0"/>
      <w:numFmt w:val="bullet"/>
      <w:lvlText w:val="•"/>
      <w:lvlJc w:val="left"/>
      <w:pPr>
        <w:ind w:left="5947" w:hanging="630"/>
      </w:pPr>
      <w:rPr>
        <w:rFonts w:hint="default"/>
      </w:rPr>
    </w:lvl>
    <w:lvl w:ilvl="8">
      <w:start w:val="0"/>
      <w:numFmt w:val="bullet"/>
      <w:lvlText w:val="•"/>
      <w:lvlJc w:val="left"/>
      <w:pPr>
        <w:ind w:left="6688" w:hanging="630"/>
      </w:pPr>
      <w:rPr>
        <w:rFonts w:hint="default"/>
      </w:rPr>
    </w:lvl>
  </w:abstractNum>
  <w:abstractNum w:abstractNumId="50">
    <w:multiLevelType w:val="hybridMultilevel"/>
    <w:lvl w:ilvl="0">
      <w:start w:val="1"/>
      <w:numFmt w:val="decimal"/>
      <w:lvlText w:val="（%1）"/>
      <w:lvlJc w:val="left"/>
      <w:pPr>
        <w:ind w:left="865" w:hanging="736"/>
        <w:jc w:val="left"/>
      </w:pPr>
      <w:rPr>
        <w:rFonts w:hint="default" w:ascii="宋体" w:hAnsi="宋体" w:eastAsia="宋体" w:cs="宋体"/>
        <w:spacing w:val="-53"/>
        <w:w w:val="100"/>
        <w:sz w:val="21"/>
        <w:szCs w:val="21"/>
      </w:rPr>
    </w:lvl>
    <w:lvl w:ilvl="1">
      <w:start w:val="0"/>
      <w:numFmt w:val="bullet"/>
      <w:lvlText w:val="•"/>
      <w:lvlJc w:val="left"/>
      <w:pPr>
        <w:ind w:left="1591" w:hanging="736"/>
      </w:pPr>
      <w:rPr>
        <w:rFonts w:hint="default"/>
      </w:rPr>
    </w:lvl>
    <w:lvl w:ilvl="2">
      <w:start w:val="0"/>
      <w:numFmt w:val="bullet"/>
      <w:lvlText w:val="•"/>
      <w:lvlJc w:val="left"/>
      <w:pPr>
        <w:ind w:left="2322" w:hanging="736"/>
      </w:pPr>
      <w:rPr>
        <w:rFonts w:hint="default"/>
      </w:rPr>
    </w:lvl>
    <w:lvl w:ilvl="3">
      <w:start w:val="0"/>
      <w:numFmt w:val="bullet"/>
      <w:lvlText w:val="•"/>
      <w:lvlJc w:val="left"/>
      <w:pPr>
        <w:ind w:left="3053" w:hanging="736"/>
      </w:pPr>
      <w:rPr>
        <w:rFonts w:hint="default"/>
      </w:rPr>
    </w:lvl>
    <w:lvl w:ilvl="4">
      <w:start w:val="0"/>
      <w:numFmt w:val="bullet"/>
      <w:lvlText w:val="•"/>
      <w:lvlJc w:val="left"/>
      <w:pPr>
        <w:ind w:left="3784" w:hanging="736"/>
      </w:pPr>
      <w:rPr>
        <w:rFonts w:hint="default"/>
      </w:rPr>
    </w:lvl>
    <w:lvl w:ilvl="5">
      <w:start w:val="0"/>
      <w:numFmt w:val="bullet"/>
      <w:lvlText w:val="•"/>
      <w:lvlJc w:val="left"/>
      <w:pPr>
        <w:ind w:left="4515" w:hanging="736"/>
      </w:pPr>
      <w:rPr>
        <w:rFonts w:hint="default"/>
      </w:rPr>
    </w:lvl>
    <w:lvl w:ilvl="6">
      <w:start w:val="0"/>
      <w:numFmt w:val="bullet"/>
      <w:lvlText w:val="•"/>
      <w:lvlJc w:val="left"/>
      <w:pPr>
        <w:ind w:left="5246" w:hanging="736"/>
      </w:pPr>
      <w:rPr>
        <w:rFonts w:hint="default"/>
      </w:rPr>
    </w:lvl>
    <w:lvl w:ilvl="7">
      <w:start w:val="0"/>
      <w:numFmt w:val="bullet"/>
      <w:lvlText w:val="•"/>
      <w:lvlJc w:val="left"/>
      <w:pPr>
        <w:ind w:left="5977" w:hanging="736"/>
      </w:pPr>
      <w:rPr>
        <w:rFonts w:hint="default"/>
      </w:rPr>
    </w:lvl>
    <w:lvl w:ilvl="8">
      <w:start w:val="0"/>
      <w:numFmt w:val="bullet"/>
      <w:lvlText w:val="•"/>
      <w:lvlJc w:val="left"/>
      <w:pPr>
        <w:ind w:left="6708" w:hanging="736"/>
      </w:pPr>
      <w:rPr>
        <w:rFonts w:hint="default"/>
      </w:rPr>
    </w:lvl>
  </w:abstractNum>
  <w:abstractNum w:abstractNumId="49">
    <w:multiLevelType w:val="hybridMultilevel"/>
    <w:lvl w:ilvl="0">
      <w:start w:val="1"/>
      <w:numFmt w:val="decimal"/>
      <w:lvlText w:val="（%1）"/>
      <w:lvlJc w:val="left"/>
      <w:pPr>
        <w:ind w:left="760" w:hanging="630"/>
        <w:jc w:val="left"/>
      </w:pPr>
      <w:rPr>
        <w:rFonts w:hint="default" w:ascii="宋体" w:hAnsi="宋体" w:eastAsia="宋体" w:cs="宋体"/>
        <w:w w:val="100"/>
        <w:sz w:val="21"/>
        <w:szCs w:val="21"/>
      </w:rPr>
    </w:lvl>
    <w:lvl w:ilvl="1">
      <w:start w:val="0"/>
      <w:numFmt w:val="bullet"/>
      <w:lvlText w:val="•"/>
      <w:lvlJc w:val="left"/>
      <w:pPr>
        <w:ind w:left="1501" w:hanging="630"/>
      </w:pPr>
      <w:rPr>
        <w:rFonts w:hint="default"/>
      </w:rPr>
    </w:lvl>
    <w:lvl w:ilvl="2">
      <w:start w:val="0"/>
      <w:numFmt w:val="bullet"/>
      <w:lvlText w:val="•"/>
      <w:lvlJc w:val="left"/>
      <w:pPr>
        <w:ind w:left="2242" w:hanging="630"/>
      </w:pPr>
      <w:rPr>
        <w:rFonts w:hint="default"/>
      </w:rPr>
    </w:lvl>
    <w:lvl w:ilvl="3">
      <w:start w:val="0"/>
      <w:numFmt w:val="bullet"/>
      <w:lvlText w:val="•"/>
      <w:lvlJc w:val="left"/>
      <w:pPr>
        <w:ind w:left="2983" w:hanging="630"/>
      </w:pPr>
      <w:rPr>
        <w:rFonts w:hint="default"/>
      </w:rPr>
    </w:lvl>
    <w:lvl w:ilvl="4">
      <w:start w:val="0"/>
      <w:numFmt w:val="bullet"/>
      <w:lvlText w:val="•"/>
      <w:lvlJc w:val="left"/>
      <w:pPr>
        <w:ind w:left="3724" w:hanging="630"/>
      </w:pPr>
      <w:rPr>
        <w:rFonts w:hint="default"/>
      </w:rPr>
    </w:lvl>
    <w:lvl w:ilvl="5">
      <w:start w:val="0"/>
      <w:numFmt w:val="bullet"/>
      <w:lvlText w:val="•"/>
      <w:lvlJc w:val="left"/>
      <w:pPr>
        <w:ind w:left="4465" w:hanging="630"/>
      </w:pPr>
      <w:rPr>
        <w:rFonts w:hint="default"/>
      </w:rPr>
    </w:lvl>
    <w:lvl w:ilvl="6">
      <w:start w:val="0"/>
      <w:numFmt w:val="bullet"/>
      <w:lvlText w:val="•"/>
      <w:lvlJc w:val="left"/>
      <w:pPr>
        <w:ind w:left="5206" w:hanging="630"/>
      </w:pPr>
      <w:rPr>
        <w:rFonts w:hint="default"/>
      </w:rPr>
    </w:lvl>
    <w:lvl w:ilvl="7">
      <w:start w:val="0"/>
      <w:numFmt w:val="bullet"/>
      <w:lvlText w:val="•"/>
      <w:lvlJc w:val="left"/>
      <w:pPr>
        <w:ind w:left="5947" w:hanging="630"/>
      </w:pPr>
      <w:rPr>
        <w:rFonts w:hint="default"/>
      </w:rPr>
    </w:lvl>
    <w:lvl w:ilvl="8">
      <w:start w:val="0"/>
      <w:numFmt w:val="bullet"/>
      <w:lvlText w:val="•"/>
      <w:lvlJc w:val="left"/>
      <w:pPr>
        <w:ind w:left="6688" w:hanging="630"/>
      </w:pPr>
      <w:rPr>
        <w:rFonts w:hint="default"/>
      </w:rPr>
    </w:lvl>
  </w:abstractNum>
  <w:abstractNum w:abstractNumId="48">
    <w:multiLevelType w:val="hybridMultilevel"/>
    <w:lvl w:ilvl="0">
      <w:start w:val="1"/>
      <w:numFmt w:val="decimal"/>
      <w:lvlText w:val="（%1）"/>
      <w:lvlJc w:val="left"/>
      <w:pPr>
        <w:ind w:left="760" w:hanging="631"/>
        <w:jc w:val="left"/>
      </w:pPr>
      <w:rPr>
        <w:rFonts w:hint="default" w:ascii="宋体" w:hAnsi="宋体" w:eastAsia="宋体" w:cs="宋体"/>
        <w:w w:val="100"/>
        <w:sz w:val="21"/>
        <w:szCs w:val="21"/>
      </w:rPr>
    </w:lvl>
    <w:lvl w:ilvl="1">
      <w:start w:val="0"/>
      <w:numFmt w:val="bullet"/>
      <w:lvlText w:val="•"/>
      <w:lvlJc w:val="left"/>
      <w:pPr>
        <w:ind w:left="1501" w:hanging="631"/>
      </w:pPr>
      <w:rPr>
        <w:rFonts w:hint="default"/>
      </w:rPr>
    </w:lvl>
    <w:lvl w:ilvl="2">
      <w:start w:val="0"/>
      <w:numFmt w:val="bullet"/>
      <w:lvlText w:val="•"/>
      <w:lvlJc w:val="left"/>
      <w:pPr>
        <w:ind w:left="2242" w:hanging="631"/>
      </w:pPr>
      <w:rPr>
        <w:rFonts w:hint="default"/>
      </w:rPr>
    </w:lvl>
    <w:lvl w:ilvl="3">
      <w:start w:val="0"/>
      <w:numFmt w:val="bullet"/>
      <w:lvlText w:val="•"/>
      <w:lvlJc w:val="left"/>
      <w:pPr>
        <w:ind w:left="2983" w:hanging="631"/>
      </w:pPr>
      <w:rPr>
        <w:rFonts w:hint="default"/>
      </w:rPr>
    </w:lvl>
    <w:lvl w:ilvl="4">
      <w:start w:val="0"/>
      <w:numFmt w:val="bullet"/>
      <w:lvlText w:val="•"/>
      <w:lvlJc w:val="left"/>
      <w:pPr>
        <w:ind w:left="3724" w:hanging="631"/>
      </w:pPr>
      <w:rPr>
        <w:rFonts w:hint="default"/>
      </w:rPr>
    </w:lvl>
    <w:lvl w:ilvl="5">
      <w:start w:val="0"/>
      <w:numFmt w:val="bullet"/>
      <w:lvlText w:val="•"/>
      <w:lvlJc w:val="left"/>
      <w:pPr>
        <w:ind w:left="4465" w:hanging="631"/>
      </w:pPr>
      <w:rPr>
        <w:rFonts w:hint="default"/>
      </w:rPr>
    </w:lvl>
    <w:lvl w:ilvl="6">
      <w:start w:val="0"/>
      <w:numFmt w:val="bullet"/>
      <w:lvlText w:val="•"/>
      <w:lvlJc w:val="left"/>
      <w:pPr>
        <w:ind w:left="5206" w:hanging="631"/>
      </w:pPr>
      <w:rPr>
        <w:rFonts w:hint="default"/>
      </w:rPr>
    </w:lvl>
    <w:lvl w:ilvl="7">
      <w:start w:val="0"/>
      <w:numFmt w:val="bullet"/>
      <w:lvlText w:val="•"/>
      <w:lvlJc w:val="left"/>
      <w:pPr>
        <w:ind w:left="5947" w:hanging="631"/>
      </w:pPr>
      <w:rPr>
        <w:rFonts w:hint="default"/>
      </w:rPr>
    </w:lvl>
    <w:lvl w:ilvl="8">
      <w:start w:val="0"/>
      <w:numFmt w:val="bullet"/>
      <w:lvlText w:val="•"/>
      <w:lvlJc w:val="left"/>
      <w:pPr>
        <w:ind w:left="6688" w:hanging="631"/>
      </w:pPr>
      <w:rPr>
        <w:rFonts w:hint="default"/>
      </w:rPr>
    </w:lvl>
  </w:abstractNum>
  <w:abstractNum w:abstractNumId="47">
    <w:multiLevelType w:val="hybridMultilevel"/>
    <w:lvl w:ilvl="0">
      <w:start w:val="1"/>
      <w:numFmt w:val="decimal"/>
      <w:lvlText w:val="（%1）"/>
      <w:lvlJc w:val="left"/>
      <w:pPr>
        <w:ind w:left="865" w:hanging="736"/>
        <w:jc w:val="left"/>
      </w:pPr>
      <w:rPr>
        <w:rFonts w:hint="default" w:ascii="宋体" w:hAnsi="宋体" w:eastAsia="宋体" w:cs="宋体"/>
        <w:spacing w:val="-1"/>
        <w:w w:val="100"/>
        <w:sz w:val="21"/>
        <w:szCs w:val="21"/>
      </w:rPr>
    </w:lvl>
    <w:lvl w:ilvl="1">
      <w:start w:val="0"/>
      <w:numFmt w:val="bullet"/>
      <w:lvlText w:val="•"/>
      <w:lvlJc w:val="left"/>
      <w:pPr>
        <w:ind w:left="1591" w:hanging="736"/>
      </w:pPr>
      <w:rPr>
        <w:rFonts w:hint="default"/>
      </w:rPr>
    </w:lvl>
    <w:lvl w:ilvl="2">
      <w:start w:val="0"/>
      <w:numFmt w:val="bullet"/>
      <w:lvlText w:val="•"/>
      <w:lvlJc w:val="left"/>
      <w:pPr>
        <w:ind w:left="2322" w:hanging="736"/>
      </w:pPr>
      <w:rPr>
        <w:rFonts w:hint="default"/>
      </w:rPr>
    </w:lvl>
    <w:lvl w:ilvl="3">
      <w:start w:val="0"/>
      <w:numFmt w:val="bullet"/>
      <w:lvlText w:val="•"/>
      <w:lvlJc w:val="left"/>
      <w:pPr>
        <w:ind w:left="3053" w:hanging="736"/>
      </w:pPr>
      <w:rPr>
        <w:rFonts w:hint="default"/>
      </w:rPr>
    </w:lvl>
    <w:lvl w:ilvl="4">
      <w:start w:val="0"/>
      <w:numFmt w:val="bullet"/>
      <w:lvlText w:val="•"/>
      <w:lvlJc w:val="left"/>
      <w:pPr>
        <w:ind w:left="3784" w:hanging="736"/>
      </w:pPr>
      <w:rPr>
        <w:rFonts w:hint="default"/>
      </w:rPr>
    </w:lvl>
    <w:lvl w:ilvl="5">
      <w:start w:val="0"/>
      <w:numFmt w:val="bullet"/>
      <w:lvlText w:val="•"/>
      <w:lvlJc w:val="left"/>
      <w:pPr>
        <w:ind w:left="4515" w:hanging="736"/>
      </w:pPr>
      <w:rPr>
        <w:rFonts w:hint="default"/>
      </w:rPr>
    </w:lvl>
    <w:lvl w:ilvl="6">
      <w:start w:val="0"/>
      <w:numFmt w:val="bullet"/>
      <w:lvlText w:val="•"/>
      <w:lvlJc w:val="left"/>
      <w:pPr>
        <w:ind w:left="5246" w:hanging="736"/>
      </w:pPr>
      <w:rPr>
        <w:rFonts w:hint="default"/>
      </w:rPr>
    </w:lvl>
    <w:lvl w:ilvl="7">
      <w:start w:val="0"/>
      <w:numFmt w:val="bullet"/>
      <w:lvlText w:val="•"/>
      <w:lvlJc w:val="left"/>
      <w:pPr>
        <w:ind w:left="5977" w:hanging="736"/>
      </w:pPr>
      <w:rPr>
        <w:rFonts w:hint="default"/>
      </w:rPr>
    </w:lvl>
    <w:lvl w:ilvl="8">
      <w:start w:val="0"/>
      <w:numFmt w:val="bullet"/>
      <w:lvlText w:val="•"/>
      <w:lvlJc w:val="left"/>
      <w:pPr>
        <w:ind w:left="6708" w:hanging="736"/>
      </w:pPr>
      <w:rPr>
        <w:rFonts w:hint="default"/>
      </w:rPr>
    </w:lvl>
  </w:abstractNum>
  <w:abstractNum w:abstractNumId="46">
    <w:multiLevelType w:val="hybridMultilevel"/>
    <w:lvl w:ilvl="0">
      <w:start w:val="1"/>
      <w:numFmt w:val="decimal"/>
      <w:lvlText w:val="（%1）"/>
      <w:lvlJc w:val="left"/>
      <w:pPr>
        <w:ind w:left="760" w:hanging="630"/>
        <w:jc w:val="left"/>
      </w:pPr>
      <w:rPr>
        <w:rFonts w:hint="default" w:ascii="宋体" w:hAnsi="宋体" w:eastAsia="宋体" w:cs="宋体"/>
        <w:spacing w:val="-1"/>
        <w:w w:val="100"/>
        <w:sz w:val="21"/>
        <w:szCs w:val="21"/>
      </w:rPr>
    </w:lvl>
    <w:lvl w:ilvl="1">
      <w:start w:val="0"/>
      <w:numFmt w:val="bullet"/>
      <w:lvlText w:val="•"/>
      <w:lvlJc w:val="left"/>
      <w:pPr>
        <w:ind w:left="1501" w:hanging="630"/>
      </w:pPr>
      <w:rPr>
        <w:rFonts w:hint="default"/>
      </w:rPr>
    </w:lvl>
    <w:lvl w:ilvl="2">
      <w:start w:val="0"/>
      <w:numFmt w:val="bullet"/>
      <w:lvlText w:val="•"/>
      <w:lvlJc w:val="left"/>
      <w:pPr>
        <w:ind w:left="2242" w:hanging="630"/>
      </w:pPr>
      <w:rPr>
        <w:rFonts w:hint="default"/>
      </w:rPr>
    </w:lvl>
    <w:lvl w:ilvl="3">
      <w:start w:val="0"/>
      <w:numFmt w:val="bullet"/>
      <w:lvlText w:val="•"/>
      <w:lvlJc w:val="left"/>
      <w:pPr>
        <w:ind w:left="2983" w:hanging="630"/>
      </w:pPr>
      <w:rPr>
        <w:rFonts w:hint="default"/>
      </w:rPr>
    </w:lvl>
    <w:lvl w:ilvl="4">
      <w:start w:val="0"/>
      <w:numFmt w:val="bullet"/>
      <w:lvlText w:val="•"/>
      <w:lvlJc w:val="left"/>
      <w:pPr>
        <w:ind w:left="3724" w:hanging="630"/>
      </w:pPr>
      <w:rPr>
        <w:rFonts w:hint="default"/>
      </w:rPr>
    </w:lvl>
    <w:lvl w:ilvl="5">
      <w:start w:val="0"/>
      <w:numFmt w:val="bullet"/>
      <w:lvlText w:val="•"/>
      <w:lvlJc w:val="left"/>
      <w:pPr>
        <w:ind w:left="4465" w:hanging="630"/>
      </w:pPr>
      <w:rPr>
        <w:rFonts w:hint="default"/>
      </w:rPr>
    </w:lvl>
    <w:lvl w:ilvl="6">
      <w:start w:val="0"/>
      <w:numFmt w:val="bullet"/>
      <w:lvlText w:val="•"/>
      <w:lvlJc w:val="left"/>
      <w:pPr>
        <w:ind w:left="5206" w:hanging="630"/>
      </w:pPr>
      <w:rPr>
        <w:rFonts w:hint="default"/>
      </w:rPr>
    </w:lvl>
    <w:lvl w:ilvl="7">
      <w:start w:val="0"/>
      <w:numFmt w:val="bullet"/>
      <w:lvlText w:val="•"/>
      <w:lvlJc w:val="left"/>
      <w:pPr>
        <w:ind w:left="5947" w:hanging="630"/>
      </w:pPr>
      <w:rPr>
        <w:rFonts w:hint="default"/>
      </w:rPr>
    </w:lvl>
    <w:lvl w:ilvl="8">
      <w:start w:val="0"/>
      <w:numFmt w:val="bullet"/>
      <w:lvlText w:val="•"/>
      <w:lvlJc w:val="left"/>
      <w:pPr>
        <w:ind w:left="6688" w:hanging="630"/>
      </w:pPr>
      <w:rPr>
        <w:rFonts w:hint="default"/>
      </w:rPr>
    </w:lvl>
  </w:abstractNum>
  <w:abstractNum w:abstractNumId="45">
    <w:multiLevelType w:val="hybridMultilevel"/>
    <w:lvl w:ilvl="0">
      <w:start w:val="1"/>
      <w:numFmt w:val="decimal"/>
      <w:lvlText w:val="（%1）"/>
      <w:lvlJc w:val="left"/>
      <w:pPr>
        <w:ind w:left="760" w:hanging="630"/>
        <w:jc w:val="left"/>
      </w:pPr>
      <w:rPr>
        <w:rFonts w:hint="default" w:ascii="宋体" w:hAnsi="宋体" w:eastAsia="宋体" w:cs="宋体"/>
        <w:spacing w:val="-53"/>
        <w:w w:val="100"/>
        <w:sz w:val="21"/>
        <w:szCs w:val="21"/>
      </w:rPr>
    </w:lvl>
    <w:lvl w:ilvl="1">
      <w:start w:val="0"/>
      <w:numFmt w:val="bullet"/>
      <w:lvlText w:val="•"/>
      <w:lvlJc w:val="left"/>
      <w:pPr>
        <w:ind w:left="1501" w:hanging="630"/>
      </w:pPr>
      <w:rPr>
        <w:rFonts w:hint="default"/>
      </w:rPr>
    </w:lvl>
    <w:lvl w:ilvl="2">
      <w:start w:val="0"/>
      <w:numFmt w:val="bullet"/>
      <w:lvlText w:val="•"/>
      <w:lvlJc w:val="left"/>
      <w:pPr>
        <w:ind w:left="2242" w:hanging="630"/>
      </w:pPr>
      <w:rPr>
        <w:rFonts w:hint="default"/>
      </w:rPr>
    </w:lvl>
    <w:lvl w:ilvl="3">
      <w:start w:val="0"/>
      <w:numFmt w:val="bullet"/>
      <w:lvlText w:val="•"/>
      <w:lvlJc w:val="left"/>
      <w:pPr>
        <w:ind w:left="2983" w:hanging="630"/>
      </w:pPr>
      <w:rPr>
        <w:rFonts w:hint="default"/>
      </w:rPr>
    </w:lvl>
    <w:lvl w:ilvl="4">
      <w:start w:val="0"/>
      <w:numFmt w:val="bullet"/>
      <w:lvlText w:val="•"/>
      <w:lvlJc w:val="left"/>
      <w:pPr>
        <w:ind w:left="3724" w:hanging="630"/>
      </w:pPr>
      <w:rPr>
        <w:rFonts w:hint="default"/>
      </w:rPr>
    </w:lvl>
    <w:lvl w:ilvl="5">
      <w:start w:val="0"/>
      <w:numFmt w:val="bullet"/>
      <w:lvlText w:val="•"/>
      <w:lvlJc w:val="left"/>
      <w:pPr>
        <w:ind w:left="4465" w:hanging="630"/>
      </w:pPr>
      <w:rPr>
        <w:rFonts w:hint="default"/>
      </w:rPr>
    </w:lvl>
    <w:lvl w:ilvl="6">
      <w:start w:val="0"/>
      <w:numFmt w:val="bullet"/>
      <w:lvlText w:val="•"/>
      <w:lvlJc w:val="left"/>
      <w:pPr>
        <w:ind w:left="5206" w:hanging="630"/>
      </w:pPr>
      <w:rPr>
        <w:rFonts w:hint="default"/>
      </w:rPr>
    </w:lvl>
    <w:lvl w:ilvl="7">
      <w:start w:val="0"/>
      <w:numFmt w:val="bullet"/>
      <w:lvlText w:val="•"/>
      <w:lvlJc w:val="left"/>
      <w:pPr>
        <w:ind w:left="5947" w:hanging="630"/>
      </w:pPr>
      <w:rPr>
        <w:rFonts w:hint="default"/>
      </w:rPr>
    </w:lvl>
    <w:lvl w:ilvl="8">
      <w:start w:val="0"/>
      <w:numFmt w:val="bullet"/>
      <w:lvlText w:val="•"/>
      <w:lvlJc w:val="left"/>
      <w:pPr>
        <w:ind w:left="6688" w:hanging="630"/>
      </w:pPr>
      <w:rPr>
        <w:rFonts w:hint="default"/>
      </w:rPr>
    </w:lvl>
  </w:abstractNum>
  <w:abstractNum w:abstractNumId="44">
    <w:multiLevelType w:val="hybridMultilevel"/>
    <w:lvl w:ilvl="0">
      <w:start w:val="1"/>
      <w:numFmt w:val="decimal"/>
      <w:lvlText w:val="（%1）"/>
      <w:lvlJc w:val="left"/>
      <w:pPr>
        <w:ind w:left="760" w:hanging="630"/>
        <w:jc w:val="left"/>
      </w:pPr>
      <w:rPr>
        <w:rFonts w:hint="default" w:ascii="宋体" w:hAnsi="宋体" w:eastAsia="宋体" w:cs="宋体"/>
        <w:w w:val="100"/>
        <w:sz w:val="21"/>
        <w:szCs w:val="21"/>
      </w:rPr>
    </w:lvl>
    <w:lvl w:ilvl="1">
      <w:start w:val="0"/>
      <w:numFmt w:val="bullet"/>
      <w:lvlText w:val="•"/>
      <w:lvlJc w:val="left"/>
      <w:pPr>
        <w:ind w:left="1501" w:hanging="630"/>
      </w:pPr>
      <w:rPr>
        <w:rFonts w:hint="default"/>
      </w:rPr>
    </w:lvl>
    <w:lvl w:ilvl="2">
      <w:start w:val="0"/>
      <w:numFmt w:val="bullet"/>
      <w:lvlText w:val="•"/>
      <w:lvlJc w:val="left"/>
      <w:pPr>
        <w:ind w:left="2242" w:hanging="630"/>
      </w:pPr>
      <w:rPr>
        <w:rFonts w:hint="default"/>
      </w:rPr>
    </w:lvl>
    <w:lvl w:ilvl="3">
      <w:start w:val="0"/>
      <w:numFmt w:val="bullet"/>
      <w:lvlText w:val="•"/>
      <w:lvlJc w:val="left"/>
      <w:pPr>
        <w:ind w:left="2983" w:hanging="630"/>
      </w:pPr>
      <w:rPr>
        <w:rFonts w:hint="default"/>
      </w:rPr>
    </w:lvl>
    <w:lvl w:ilvl="4">
      <w:start w:val="0"/>
      <w:numFmt w:val="bullet"/>
      <w:lvlText w:val="•"/>
      <w:lvlJc w:val="left"/>
      <w:pPr>
        <w:ind w:left="3724" w:hanging="630"/>
      </w:pPr>
      <w:rPr>
        <w:rFonts w:hint="default"/>
      </w:rPr>
    </w:lvl>
    <w:lvl w:ilvl="5">
      <w:start w:val="0"/>
      <w:numFmt w:val="bullet"/>
      <w:lvlText w:val="•"/>
      <w:lvlJc w:val="left"/>
      <w:pPr>
        <w:ind w:left="4465" w:hanging="630"/>
      </w:pPr>
      <w:rPr>
        <w:rFonts w:hint="default"/>
      </w:rPr>
    </w:lvl>
    <w:lvl w:ilvl="6">
      <w:start w:val="0"/>
      <w:numFmt w:val="bullet"/>
      <w:lvlText w:val="•"/>
      <w:lvlJc w:val="left"/>
      <w:pPr>
        <w:ind w:left="5206" w:hanging="630"/>
      </w:pPr>
      <w:rPr>
        <w:rFonts w:hint="default"/>
      </w:rPr>
    </w:lvl>
    <w:lvl w:ilvl="7">
      <w:start w:val="0"/>
      <w:numFmt w:val="bullet"/>
      <w:lvlText w:val="•"/>
      <w:lvlJc w:val="left"/>
      <w:pPr>
        <w:ind w:left="5947" w:hanging="630"/>
      </w:pPr>
      <w:rPr>
        <w:rFonts w:hint="default"/>
      </w:rPr>
    </w:lvl>
    <w:lvl w:ilvl="8">
      <w:start w:val="0"/>
      <w:numFmt w:val="bullet"/>
      <w:lvlText w:val="•"/>
      <w:lvlJc w:val="left"/>
      <w:pPr>
        <w:ind w:left="6688" w:hanging="630"/>
      </w:pPr>
      <w:rPr>
        <w:rFonts w:hint="default"/>
      </w:rPr>
    </w:lvl>
  </w:abstractNum>
  <w:abstractNum w:abstractNumId="43">
    <w:multiLevelType w:val="hybridMultilevel"/>
    <w:lvl w:ilvl="0">
      <w:start w:val="1"/>
      <w:numFmt w:val="decimal"/>
      <w:lvlText w:val="（%1）"/>
      <w:lvlJc w:val="left"/>
      <w:pPr>
        <w:ind w:left="760" w:hanging="630"/>
        <w:jc w:val="left"/>
      </w:pPr>
      <w:rPr>
        <w:rFonts w:hint="default" w:ascii="宋体" w:hAnsi="宋体" w:eastAsia="宋体" w:cs="宋体"/>
        <w:w w:val="100"/>
        <w:sz w:val="21"/>
        <w:szCs w:val="21"/>
      </w:rPr>
    </w:lvl>
    <w:lvl w:ilvl="1">
      <w:start w:val="0"/>
      <w:numFmt w:val="bullet"/>
      <w:lvlText w:val="•"/>
      <w:lvlJc w:val="left"/>
      <w:pPr>
        <w:ind w:left="1501" w:hanging="630"/>
      </w:pPr>
      <w:rPr>
        <w:rFonts w:hint="default"/>
      </w:rPr>
    </w:lvl>
    <w:lvl w:ilvl="2">
      <w:start w:val="0"/>
      <w:numFmt w:val="bullet"/>
      <w:lvlText w:val="•"/>
      <w:lvlJc w:val="left"/>
      <w:pPr>
        <w:ind w:left="2242" w:hanging="630"/>
      </w:pPr>
      <w:rPr>
        <w:rFonts w:hint="default"/>
      </w:rPr>
    </w:lvl>
    <w:lvl w:ilvl="3">
      <w:start w:val="0"/>
      <w:numFmt w:val="bullet"/>
      <w:lvlText w:val="•"/>
      <w:lvlJc w:val="left"/>
      <w:pPr>
        <w:ind w:left="2983" w:hanging="630"/>
      </w:pPr>
      <w:rPr>
        <w:rFonts w:hint="default"/>
      </w:rPr>
    </w:lvl>
    <w:lvl w:ilvl="4">
      <w:start w:val="0"/>
      <w:numFmt w:val="bullet"/>
      <w:lvlText w:val="•"/>
      <w:lvlJc w:val="left"/>
      <w:pPr>
        <w:ind w:left="3724" w:hanging="630"/>
      </w:pPr>
      <w:rPr>
        <w:rFonts w:hint="default"/>
      </w:rPr>
    </w:lvl>
    <w:lvl w:ilvl="5">
      <w:start w:val="0"/>
      <w:numFmt w:val="bullet"/>
      <w:lvlText w:val="•"/>
      <w:lvlJc w:val="left"/>
      <w:pPr>
        <w:ind w:left="4465" w:hanging="630"/>
      </w:pPr>
      <w:rPr>
        <w:rFonts w:hint="default"/>
      </w:rPr>
    </w:lvl>
    <w:lvl w:ilvl="6">
      <w:start w:val="0"/>
      <w:numFmt w:val="bullet"/>
      <w:lvlText w:val="•"/>
      <w:lvlJc w:val="left"/>
      <w:pPr>
        <w:ind w:left="5206" w:hanging="630"/>
      </w:pPr>
      <w:rPr>
        <w:rFonts w:hint="default"/>
      </w:rPr>
    </w:lvl>
    <w:lvl w:ilvl="7">
      <w:start w:val="0"/>
      <w:numFmt w:val="bullet"/>
      <w:lvlText w:val="•"/>
      <w:lvlJc w:val="left"/>
      <w:pPr>
        <w:ind w:left="5947" w:hanging="630"/>
      </w:pPr>
      <w:rPr>
        <w:rFonts w:hint="default"/>
      </w:rPr>
    </w:lvl>
    <w:lvl w:ilvl="8">
      <w:start w:val="0"/>
      <w:numFmt w:val="bullet"/>
      <w:lvlText w:val="•"/>
      <w:lvlJc w:val="left"/>
      <w:pPr>
        <w:ind w:left="6688" w:hanging="630"/>
      </w:pPr>
      <w:rPr>
        <w:rFonts w:hint="default"/>
      </w:rPr>
    </w:lvl>
  </w:abstractNum>
  <w:abstractNum w:abstractNumId="42">
    <w:multiLevelType w:val="hybridMultilevel"/>
    <w:lvl w:ilvl="0">
      <w:start w:val="1"/>
      <w:numFmt w:val="decimal"/>
      <w:lvlText w:val="（%1）"/>
      <w:lvlJc w:val="left"/>
      <w:pPr>
        <w:ind w:left="868" w:hanging="736"/>
        <w:jc w:val="left"/>
      </w:pPr>
      <w:rPr>
        <w:rFonts w:hint="default" w:ascii="宋体" w:hAnsi="宋体" w:eastAsia="宋体" w:cs="宋体"/>
        <w:spacing w:val="-53"/>
        <w:w w:val="100"/>
        <w:sz w:val="21"/>
        <w:szCs w:val="21"/>
      </w:rPr>
    </w:lvl>
    <w:lvl w:ilvl="1">
      <w:start w:val="0"/>
      <w:numFmt w:val="bullet"/>
      <w:lvlText w:val="•"/>
      <w:lvlJc w:val="left"/>
      <w:pPr>
        <w:ind w:left="1581" w:hanging="736"/>
      </w:pPr>
      <w:rPr>
        <w:rFonts w:hint="default"/>
      </w:rPr>
    </w:lvl>
    <w:lvl w:ilvl="2">
      <w:start w:val="0"/>
      <w:numFmt w:val="bullet"/>
      <w:lvlText w:val="•"/>
      <w:lvlJc w:val="left"/>
      <w:pPr>
        <w:ind w:left="2302" w:hanging="736"/>
      </w:pPr>
      <w:rPr>
        <w:rFonts w:hint="default"/>
      </w:rPr>
    </w:lvl>
    <w:lvl w:ilvl="3">
      <w:start w:val="0"/>
      <w:numFmt w:val="bullet"/>
      <w:lvlText w:val="•"/>
      <w:lvlJc w:val="left"/>
      <w:pPr>
        <w:ind w:left="3023" w:hanging="736"/>
      </w:pPr>
      <w:rPr>
        <w:rFonts w:hint="default"/>
      </w:rPr>
    </w:lvl>
    <w:lvl w:ilvl="4">
      <w:start w:val="0"/>
      <w:numFmt w:val="bullet"/>
      <w:lvlText w:val="•"/>
      <w:lvlJc w:val="left"/>
      <w:pPr>
        <w:ind w:left="3744" w:hanging="736"/>
      </w:pPr>
      <w:rPr>
        <w:rFonts w:hint="default"/>
      </w:rPr>
    </w:lvl>
    <w:lvl w:ilvl="5">
      <w:start w:val="0"/>
      <w:numFmt w:val="bullet"/>
      <w:lvlText w:val="•"/>
      <w:lvlJc w:val="left"/>
      <w:pPr>
        <w:ind w:left="4465" w:hanging="736"/>
      </w:pPr>
      <w:rPr>
        <w:rFonts w:hint="default"/>
      </w:rPr>
    </w:lvl>
    <w:lvl w:ilvl="6">
      <w:start w:val="0"/>
      <w:numFmt w:val="bullet"/>
      <w:lvlText w:val="•"/>
      <w:lvlJc w:val="left"/>
      <w:pPr>
        <w:ind w:left="5186" w:hanging="736"/>
      </w:pPr>
      <w:rPr>
        <w:rFonts w:hint="default"/>
      </w:rPr>
    </w:lvl>
    <w:lvl w:ilvl="7">
      <w:start w:val="0"/>
      <w:numFmt w:val="bullet"/>
      <w:lvlText w:val="•"/>
      <w:lvlJc w:val="left"/>
      <w:pPr>
        <w:ind w:left="5907" w:hanging="736"/>
      </w:pPr>
      <w:rPr>
        <w:rFonts w:hint="default"/>
      </w:rPr>
    </w:lvl>
    <w:lvl w:ilvl="8">
      <w:start w:val="0"/>
      <w:numFmt w:val="bullet"/>
      <w:lvlText w:val="•"/>
      <w:lvlJc w:val="left"/>
      <w:pPr>
        <w:ind w:left="6628" w:hanging="736"/>
      </w:pPr>
      <w:rPr>
        <w:rFonts w:hint="default"/>
      </w:rPr>
    </w:lvl>
  </w:abstractNum>
  <w:abstractNum w:abstractNumId="41">
    <w:multiLevelType w:val="hybridMultilevel"/>
    <w:lvl w:ilvl="0">
      <w:start w:val="1"/>
      <w:numFmt w:val="decimal"/>
      <w:lvlText w:val="（%1）"/>
      <w:lvlJc w:val="left"/>
      <w:pPr>
        <w:ind w:left="868" w:hanging="736"/>
        <w:jc w:val="left"/>
      </w:pPr>
      <w:rPr>
        <w:rFonts w:hint="default" w:ascii="宋体" w:hAnsi="宋体" w:eastAsia="宋体" w:cs="宋体"/>
        <w:spacing w:val="-1"/>
        <w:w w:val="100"/>
        <w:sz w:val="21"/>
        <w:szCs w:val="21"/>
      </w:rPr>
    </w:lvl>
    <w:lvl w:ilvl="1">
      <w:start w:val="0"/>
      <w:numFmt w:val="bullet"/>
      <w:lvlText w:val="•"/>
      <w:lvlJc w:val="left"/>
      <w:pPr>
        <w:ind w:left="1581" w:hanging="736"/>
      </w:pPr>
      <w:rPr>
        <w:rFonts w:hint="default"/>
      </w:rPr>
    </w:lvl>
    <w:lvl w:ilvl="2">
      <w:start w:val="0"/>
      <w:numFmt w:val="bullet"/>
      <w:lvlText w:val="•"/>
      <w:lvlJc w:val="left"/>
      <w:pPr>
        <w:ind w:left="2302" w:hanging="736"/>
      </w:pPr>
      <w:rPr>
        <w:rFonts w:hint="default"/>
      </w:rPr>
    </w:lvl>
    <w:lvl w:ilvl="3">
      <w:start w:val="0"/>
      <w:numFmt w:val="bullet"/>
      <w:lvlText w:val="•"/>
      <w:lvlJc w:val="left"/>
      <w:pPr>
        <w:ind w:left="3023" w:hanging="736"/>
      </w:pPr>
      <w:rPr>
        <w:rFonts w:hint="default"/>
      </w:rPr>
    </w:lvl>
    <w:lvl w:ilvl="4">
      <w:start w:val="0"/>
      <w:numFmt w:val="bullet"/>
      <w:lvlText w:val="•"/>
      <w:lvlJc w:val="left"/>
      <w:pPr>
        <w:ind w:left="3744" w:hanging="736"/>
      </w:pPr>
      <w:rPr>
        <w:rFonts w:hint="default"/>
      </w:rPr>
    </w:lvl>
    <w:lvl w:ilvl="5">
      <w:start w:val="0"/>
      <w:numFmt w:val="bullet"/>
      <w:lvlText w:val="•"/>
      <w:lvlJc w:val="left"/>
      <w:pPr>
        <w:ind w:left="4465" w:hanging="736"/>
      </w:pPr>
      <w:rPr>
        <w:rFonts w:hint="default"/>
      </w:rPr>
    </w:lvl>
    <w:lvl w:ilvl="6">
      <w:start w:val="0"/>
      <w:numFmt w:val="bullet"/>
      <w:lvlText w:val="•"/>
      <w:lvlJc w:val="left"/>
      <w:pPr>
        <w:ind w:left="5186" w:hanging="736"/>
      </w:pPr>
      <w:rPr>
        <w:rFonts w:hint="default"/>
      </w:rPr>
    </w:lvl>
    <w:lvl w:ilvl="7">
      <w:start w:val="0"/>
      <w:numFmt w:val="bullet"/>
      <w:lvlText w:val="•"/>
      <w:lvlJc w:val="left"/>
      <w:pPr>
        <w:ind w:left="5907" w:hanging="736"/>
      </w:pPr>
      <w:rPr>
        <w:rFonts w:hint="default"/>
      </w:rPr>
    </w:lvl>
    <w:lvl w:ilvl="8">
      <w:start w:val="0"/>
      <w:numFmt w:val="bullet"/>
      <w:lvlText w:val="•"/>
      <w:lvlJc w:val="left"/>
      <w:pPr>
        <w:ind w:left="6628" w:hanging="736"/>
      </w:pPr>
      <w:rPr>
        <w:rFonts w:hint="default"/>
      </w:rPr>
    </w:lvl>
  </w:abstractNum>
  <w:abstractNum w:abstractNumId="40">
    <w:multiLevelType w:val="hybridMultilevel"/>
    <w:lvl w:ilvl="0">
      <w:start w:val="2"/>
      <w:numFmt w:val="decimal"/>
      <w:lvlText w:val="（%1）"/>
      <w:lvlJc w:val="left"/>
      <w:pPr>
        <w:ind w:left="763" w:hanging="630"/>
        <w:jc w:val="left"/>
      </w:pPr>
      <w:rPr>
        <w:rFonts w:hint="default" w:ascii="宋体" w:hAnsi="宋体" w:eastAsia="宋体" w:cs="宋体"/>
        <w:w w:val="100"/>
        <w:sz w:val="21"/>
        <w:szCs w:val="21"/>
      </w:rPr>
    </w:lvl>
    <w:lvl w:ilvl="1">
      <w:start w:val="0"/>
      <w:numFmt w:val="bullet"/>
      <w:lvlText w:val="•"/>
      <w:lvlJc w:val="left"/>
      <w:pPr>
        <w:ind w:left="1491" w:hanging="630"/>
      </w:pPr>
      <w:rPr>
        <w:rFonts w:hint="default"/>
      </w:rPr>
    </w:lvl>
    <w:lvl w:ilvl="2">
      <w:start w:val="0"/>
      <w:numFmt w:val="bullet"/>
      <w:lvlText w:val="•"/>
      <w:lvlJc w:val="left"/>
      <w:pPr>
        <w:ind w:left="2222" w:hanging="630"/>
      </w:pPr>
      <w:rPr>
        <w:rFonts w:hint="default"/>
      </w:rPr>
    </w:lvl>
    <w:lvl w:ilvl="3">
      <w:start w:val="0"/>
      <w:numFmt w:val="bullet"/>
      <w:lvlText w:val="•"/>
      <w:lvlJc w:val="left"/>
      <w:pPr>
        <w:ind w:left="2953" w:hanging="630"/>
      </w:pPr>
      <w:rPr>
        <w:rFonts w:hint="default"/>
      </w:rPr>
    </w:lvl>
    <w:lvl w:ilvl="4">
      <w:start w:val="0"/>
      <w:numFmt w:val="bullet"/>
      <w:lvlText w:val="•"/>
      <w:lvlJc w:val="left"/>
      <w:pPr>
        <w:ind w:left="3684" w:hanging="630"/>
      </w:pPr>
      <w:rPr>
        <w:rFonts w:hint="default"/>
      </w:rPr>
    </w:lvl>
    <w:lvl w:ilvl="5">
      <w:start w:val="0"/>
      <w:numFmt w:val="bullet"/>
      <w:lvlText w:val="•"/>
      <w:lvlJc w:val="left"/>
      <w:pPr>
        <w:ind w:left="4415" w:hanging="630"/>
      </w:pPr>
      <w:rPr>
        <w:rFonts w:hint="default"/>
      </w:rPr>
    </w:lvl>
    <w:lvl w:ilvl="6">
      <w:start w:val="0"/>
      <w:numFmt w:val="bullet"/>
      <w:lvlText w:val="•"/>
      <w:lvlJc w:val="left"/>
      <w:pPr>
        <w:ind w:left="5146" w:hanging="630"/>
      </w:pPr>
      <w:rPr>
        <w:rFonts w:hint="default"/>
      </w:rPr>
    </w:lvl>
    <w:lvl w:ilvl="7">
      <w:start w:val="0"/>
      <w:numFmt w:val="bullet"/>
      <w:lvlText w:val="•"/>
      <w:lvlJc w:val="left"/>
      <w:pPr>
        <w:ind w:left="5877" w:hanging="630"/>
      </w:pPr>
      <w:rPr>
        <w:rFonts w:hint="default"/>
      </w:rPr>
    </w:lvl>
    <w:lvl w:ilvl="8">
      <w:start w:val="0"/>
      <w:numFmt w:val="bullet"/>
      <w:lvlText w:val="•"/>
      <w:lvlJc w:val="left"/>
      <w:pPr>
        <w:ind w:left="6608" w:hanging="630"/>
      </w:pPr>
      <w:rPr>
        <w:rFonts w:hint="default"/>
      </w:rPr>
    </w:lvl>
  </w:abstractNum>
  <w:abstractNum w:abstractNumId="39">
    <w:multiLevelType w:val="hybridMultilevel"/>
    <w:lvl w:ilvl="0">
      <w:start w:val="1"/>
      <w:numFmt w:val="decimal"/>
      <w:lvlText w:val="（%1）"/>
      <w:lvlJc w:val="left"/>
      <w:pPr>
        <w:ind w:left="866" w:hanging="736"/>
        <w:jc w:val="left"/>
      </w:pPr>
      <w:rPr>
        <w:rFonts w:hint="default" w:ascii="宋体" w:hAnsi="宋体" w:eastAsia="宋体" w:cs="宋体"/>
        <w:spacing w:val="-1"/>
        <w:w w:val="100"/>
        <w:sz w:val="21"/>
        <w:szCs w:val="21"/>
      </w:rPr>
    </w:lvl>
    <w:lvl w:ilvl="1">
      <w:start w:val="0"/>
      <w:numFmt w:val="bullet"/>
      <w:lvlText w:val="•"/>
      <w:lvlJc w:val="left"/>
      <w:pPr>
        <w:ind w:left="1591" w:hanging="736"/>
      </w:pPr>
      <w:rPr>
        <w:rFonts w:hint="default"/>
      </w:rPr>
    </w:lvl>
    <w:lvl w:ilvl="2">
      <w:start w:val="0"/>
      <w:numFmt w:val="bullet"/>
      <w:lvlText w:val="•"/>
      <w:lvlJc w:val="left"/>
      <w:pPr>
        <w:ind w:left="2322" w:hanging="736"/>
      </w:pPr>
      <w:rPr>
        <w:rFonts w:hint="default"/>
      </w:rPr>
    </w:lvl>
    <w:lvl w:ilvl="3">
      <w:start w:val="0"/>
      <w:numFmt w:val="bullet"/>
      <w:lvlText w:val="•"/>
      <w:lvlJc w:val="left"/>
      <w:pPr>
        <w:ind w:left="3053" w:hanging="736"/>
      </w:pPr>
      <w:rPr>
        <w:rFonts w:hint="default"/>
      </w:rPr>
    </w:lvl>
    <w:lvl w:ilvl="4">
      <w:start w:val="0"/>
      <w:numFmt w:val="bullet"/>
      <w:lvlText w:val="•"/>
      <w:lvlJc w:val="left"/>
      <w:pPr>
        <w:ind w:left="3784" w:hanging="736"/>
      </w:pPr>
      <w:rPr>
        <w:rFonts w:hint="default"/>
      </w:rPr>
    </w:lvl>
    <w:lvl w:ilvl="5">
      <w:start w:val="0"/>
      <w:numFmt w:val="bullet"/>
      <w:lvlText w:val="•"/>
      <w:lvlJc w:val="left"/>
      <w:pPr>
        <w:ind w:left="4515" w:hanging="736"/>
      </w:pPr>
      <w:rPr>
        <w:rFonts w:hint="default"/>
      </w:rPr>
    </w:lvl>
    <w:lvl w:ilvl="6">
      <w:start w:val="0"/>
      <w:numFmt w:val="bullet"/>
      <w:lvlText w:val="•"/>
      <w:lvlJc w:val="left"/>
      <w:pPr>
        <w:ind w:left="5246" w:hanging="736"/>
      </w:pPr>
      <w:rPr>
        <w:rFonts w:hint="default"/>
      </w:rPr>
    </w:lvl>
    <w:lvl w:ilvl="7">
      <w:start w:val="0"/>
      <w:numFmt w:val="bullet"/>
      <w:lvlText w:val="•"/>
      <w:lvlJc w:val="left"/>
      <w:pPr>
        <w:ind w:left="5977" w:hanging="736"/>
      </w:pPr>
      <w:rPr>
        <w:rFonts w:hint="default"/>
      </w:rPr>
    </w:lvl>
    <w:lvl w:ilvl="8">
      <w:start w:val="0"/>
      <w:numFmt w:val="bullet"/>
      <w:lvlText w:val="•"/>
      <w:lvlJc w:val="left"/>
      <w:pPr>
        <w:ind w:left="6708" w:hanging="736"/>
      </w:pPr>
      <w:rPr>
        <w:rFonts w:hint="default"/>
      </w:rPr>
    </w:lvl>
  </w:abstractNum>
  <w:abstractNum w:abstractNumId="38">
    <w:multiLevelType w:val="hybridMultilevel"/>
    <w:lvl w:ilvl="0">
      <w:start w:val="1"/>
      <w:numFmt w:val="decimal"/>
      <w:lvlText w:val="（%1）"/>
      <w:lvlJc w:val="left"/>
      <w:pPr>
        <w:ind w:left="866" w:hanging="736"/>
        <w:jc w:val="left"/>
      </w:pPr>
      <w:rPr>
        <w:rFonts w:hint="default" w:ascii="宋体" w:hAnsi="宋体" w:eastAsia="宋体" w:cs="宋体"/>
        <w:spacing w:val="-53"/>
        <w:w w:val="100"/>
        <w:sz w:val="21"/>
        <w:szCs w:val="21"/>
      </w:rPr>
    </w:lvl>
    <w:lvl w:ilvl="1">
      <w:start w:val="0"/>
      <w:numFmt w:val="bullet"/>
      <w:lvlText w:val="•"/>
      <w:lvlJc w:val="left"/>
      <w:pPr>
        <w:ind w:left="1591" w:hanging="736"/>
      </w:pPr>
      <w:rPr>
        <w:rFonts w:hint="default"/>
      </w:rPr>
    </w:lvl>
    <w:lvl w:ilvl="2">
      <w:start w:val="0"/>
      <w:numFmt w:val="bullet"/>
      <w:lvlText w:val="•"/>
      <w:lvlJc w:val="left"/>
      <w:pPr>
        <w:ind w:left="2322" w:hanging="736"/>
      </w:pPr>
      <w:rPr>
        <w:rFonts w:hint="default"/>
      </w:rPr>
    </w:lvl>
    <w:lvl w:ilvl="3">
      <w:start w:val="0"/>
      <w:numFmt w:val="bullet"/>
      <w:lvlText w:val="•"/>
      <w:lvlJc w:val="left"/>
      <w:pPr>
        <w:ind w:left="3053" w:hanging="736"/>
      </w:pPr>
      <w:rPr>
        <w:rFonts w:hint="default"/>
      </w:rPr>
    </w:lvl>
    <w:lvl w:ilvl="4">
      <w:start w:val="0"/>
      <w:numFmt w:val="bullet"/>
      <w:lvlText w:val="•"/>
      <w:lvlJc w:val="left"/>
      <w:pPr>
        <w:ind w:left="3784" w:hanging="736"/>
      </w:pPr>
      <w:rPr>
        <w:rFonts w:hint="default"/>
      </w:rPr>
    </w:lvl>
    <w:lvl w:ilvl="5">
      <w:start w:val="0"/>
      <w:numFmt w:val="bullet"/>
      <w:lvlText w:val="•"/>
      <w:lvlJc w:val="left"/>
      <w:pPr>
        <w:ind w:left="4515" w:hanging="736"/>
      </w:pPr>
      <w:rPr>
        <w:rFonts w:hint="default"/>
      </w:rPr>
    </w:lvl>
    <w:lvl w:ilvl="6">
      <w:start w:val="0"/>
      <w:numFmt w:val="bullet"/>
      <w:lvlText w:val="•"/>
      <w:lvlJc w:val="left"/>
      <w:pPr>
        <w:ind w:left="5246" w:hanging="736"/>
      </w:pPr>
      <w:rPr>
        <w:rFonts w:hint="default"/>
      </w:rPr>
    </w:lvl>
    <w:lvl w:ilvl="7">
      <w:start w:val="0"/>
      <w:numFmt w:val="bullet"/>
      <w:lvlText w:val="•"/>
      <w:lvlJc w:val="left"/>
      <w:pPr>
        <w:ind w:left="5977" w:hanging="736"/>
      </w:pPr>
      <w:rPr>
        <w:rFonts w:hint="default"/>
      </w:rPr>
    </w:lvl>
    <w:lvl w:ilvl="8">
      <w:start w:val="0"/>
      <w:numFmt w:val="bullet"/>
      <w:lvlText w:val="•"/>
      <w:lvlJc w:val="left"/>
      <w:pPr>
        <w:ind w:left="6708" w:hanging="736"/>
      </w:pPr>
      <w:rPr>
        <w:rFonts w:hint="default"/>
      </w:rPr>
    </w:lvl>
  </w:abstractNum>
  <w:abstractNum w:abstractNumId="37">
    <w:multiLevelType w:val="hybridMultilevel"/>
    <w:lvl w:ilvl="0">
      <w:start w:val="1"/>
      <w:numFmt w:val="decimal"/>
      <w:lvlText w:val="（%1）"/>
      <w:lvlJc w:val="left"/>
      <w:pPr>
        <w:ind w:left="866" w:hanging="736"/>
        <w:jc w:val="left"/>
      </w:pPr>
      <w:rPr>
        <w:rFonts w:hint="default" w:ascii="宋体" w:hAnsi="宋体" w:eastAsia="宋体" w:cs="宋体"/>
        <w:spacing w:val="-1"/>
        <w:w w:val="100"/>
        <w:sz w:val="21"/>
        <w:szCs w:val="21"/>
      </w:rPr>
    </w:lvl>
    <w:lvl w:ilvl="1">
      <w:start w:val="0"/>
      <w:numFmt w:val="bullet"/>
      <w:lvlText w:val="•"/>
      <w:lvlJc w:val="left"/>
      <w:pPr>
        <w:ind w:left="1591" w:hanging="736"/>
      </w:pPr>
      <w:rPr>
        <w:rFonts w:hint="default"/>
      </w:rPr>
    </w:lvl>
    <w:lvl w:ilvl="2">
      <w:start w:val="0"/>
      <w:numFmt w:val="bullet"/>
      <w:lvlText w:val="•"/>
      <w:lvlJc w:val="left"/>
      <w:pPr>
        <w:ind w:left="2322" w:hanging="736"/>
      </w:pPr>
      <w:rPr>
        <w:rFonts w:hint="default"/>
      </w:rPr>
    </w:lvl>
    <w:lvl w:ilvl="3">
      <w:start w:val="0"/>
      <w:numFmt w:val="bullet"/>
      <w:lvlText w:val="•"/>
      <w:lvlJc w:val="left"/>
      <w:pPr>
        <w:ind w:left="3053" w:hanging="736"/>
      </w:pPr>
      <w:rPr>
        <w:rFonts w:hint="default"/>
      </w:rPr>
    </w:lvl>
    <w:lvl w:ilvl="4">
      <w:start w:val="0"/>
      <w:numFmt w:val="bullet"/>
      <w:lvlText w:val="•"/>
      <w:lvlJc w:val="left"/>
      <w:pPr>
        <w:ind w:left="3784" w:hanging="736"/>
      </w:pPr>
      <w:rPr>
        <w:rFonts w:hint="default"/>
      </w:rPr>
    </w:lvl>
    <w:lvl w:ilvl="5">
      <w:start w:val="0"/>
      <w:numFmt w:val="bullet"/>
      <w:lvlText w:val="•"/>
      <w:lvlJc w:val="left"/>
      <w:pPr>
        <w:ind w:left="4515" w:hanging="736"/>
      </w:pPr>
      <w:rPr>
        <w:rFonts w:hint="default"/>
      </w:rPr>
    </w:lvl>
    <w:lvl w:ilvl="6">
      <w:start w:val="0"/>
      <w:numFmt w:val="bullet"/>
      <w:lvlText w:val="•"/>
      <w:lvlJc w:val="left"/>
      <w:pPr>
        <w:ind w:left="5246" w:hanging="736"/>
      </w:pPr>
      <w:rPr>
        <w:rFonts w:hint="default"/>
      </w:rPr>
    </w:lvl>
    <w:lvl w:ilvl="7">
      <w:start w:val="0"/>
      <w:numFmt w:val="bullet"/>
      <w:lvlText w:val="•"/>
      <w:lvlJc w:val="left"/>
      <w:pPr>
        <w:ind w:left="5977" w:hanging="736"/>
      </w:pPr>
      <w:rPr>
        <w:rFonts w:hint="default"/>
      </w:rPr>
    </w:lvl>
    <w:lvl w:ilvl="8">
      <w:start w:val="0"/>
      <w:numFmt w:val="bullet"/>
      <w:lvlText w:val="•"/>
      <w:lvlJc w:val="left"/>
      <w:pPr>
        <w:ind w:left="6708" w:hanging="736"/>
      </w:pPr>
      <w:rPr>
        <w:rFonts w:hint="default"/>
      </w:rPr>
    </w:lvl>
  </w:abstractNum>
  <w:abstractNum w:abstractNumId="36">
    <w:multiLevelType w:val="hybridMultilevel"/>
    <w:lvl w:ilvl="0">
      <w:start w:val="1"/>
      <w:numFmt w:val="decimal"/>
      <w:lvlText w:val="（%1）"/>
      <w:lvlJc w:val="left"/>
      <w:pPr>
        <w:ind w:left="865" w:hanging="736"/>
        <w:jc w:val="left"/>
      </w:pPr>
      <w:rPr>
        <w:rFonts w:hint="default" w:ascii="宋体" w:hAnsi="宋体" w:eastAsia="宋体" w:cs="宋体"/>
        <w:spacing w:val="-1"/>
        <w:w w:val="100"/>
        <w:sz w:val="21"/>
        <w:szCs w:val="21"/>
      </w:rPr>
    </w:lvl>
    <w:lvl w:ilvl="1">
      <w:start w:val="0"/>
      <w:numFmt w:val="bullet"/>
      <w:lvlText w:val="•"/>
      <w:lvlJc w:val="left"/>
      <w:pPr>
        <w:ind w:left="1584" w:hanging="736"/>
      </w:pPr>
      <w:rPr>
        <w:rFonts w:hint="default"/>
      </w:rPr>
    </w:lvl>
    <w:lvl w:ilvl="2">
      <w:start w:val="0"/>
      <w:numFmt w:val="bullet"/>
      <w:lvlText w:val="•"/>
      <w:lvlJc w:val="left"/>
      <w:pPr>
        <w:ind w:left="2308" w:hanging="736"/>
      </w:pPr>
      <w:rPr>
        <w:rFonts w:hint="default"/>
      </w:rPr>
    </w:lvl>
    <w:lvl w:ilvl="3">
      <w:start w:val="0"/>
      <w:numFmt w:val="bullet"/>
      <w:lvlText w:val="•"/>
      <w:lvlJc w:val="left"/>
      <w:pPr>
        <w:ind w:left="3032" w:hanging="736"/>
      </w:pPr>
      <w:rPr>
        <w:rFonts w:hint="default"/>
      </w:rPr>
    </w:lvl>
    <w:lvl w:ilvl="4">
      <w:start w:val="0"/>
      <w:numFmt w:val="bullet"/>
      <w:lvlText w:val="•"/>
      <w:lvlJc w:val="left"/>
      <w:pPr>
        <w:ind w:left="3756" w:hanging="736"/>
      </w:pPr>
      <w:rPr>
        <w:rFonts w:hint="default"/>
      </w:rPr>
    </w:lvl>
    <w:lvl w:ilvl="5">
      <w:start w:val="0"/>
      <w:numFmt w:val="bullet"/>
      <w:lvlText w:val="•"/>
      <w:lvlJc w:val="left"/>
      <w:pPr>
        <w:ind w:left="4480" w:hanging="736"/>
      </w:pPr>
      <w:rPr>
        <w:rFonts w:hint="default"/>
      </w:rPr>
    </w:lvl>
    <w:lvl w:ilvl="6">
      <w:start w:val="0"/>
      <w:numFmt w:val="bullet"/>
      <w:lvlText w:val="•"/>
      <w:lvlJc w:val="left"/>
      <w:pPr>
        <w:ind w:left="5204" w:hanging="736"/>
      </w:pPr>
      <w:rPr>
        <w:rFonts w:hint="default"/>
      </w:rPr>
    </w:lvl>
    <w:lvl w:ilvl="7">
      <w:start w:val="0"/>
      <w:numFmt w:val="bullet"/>
      <w:lvlText w:val="•"/>
      <w:lvlJc w:val="left"/>
      <w:pPr>
        <w:ind w:left="5928" w:hanging="736"/>
      </w:pPr>
      <w:rPr>
        <w:rFonts w:hint="default"/>
      </w:rPr>
    </w:lvl>
    <w:lvl w:ilvl="8">
      <w:start w:val="0"/>
      <w:numFmt w:val="bullet"/>
      <w:lvlText w:val="•"/>
      <w:lvlJc w:val="left"/>
      <w:pPr>
        <w:ind w:left="6652" w:hanging="736"/>
      </w:pPr>
      <w:rPr>
        <w:rFonts w:hint="default"/>
      </w:rPr>
    </w:lvl>
  </w:abstractNum>
  <w:abstractNum w:abstractNumId="35">
    <w:multiLevelType w:val="hybridMultilevel"/>
    <w:lvl w:ilvl="0">
      <w:start w:val="1"/>
      <w:numFmt w:val="decimal"/>
      <w:lvlText w:val="（%1）"/>
      <w:lvlJc w:val="left"/>
      <w:pPr>
        <w:ind w:left="865" w:hanging="736"/>
        <w:jc w:val="left"/>
      </w:pPr>
      <w:rPr>
        <w:rFonts w:hint="default" w:ascii="宋体" w:hAnsi="宋体" w:eastAsia="宋体" w:cs="宋体"/>
        <w:spacing w:val="-1"/>
        <w:w w:val="100"/>
        <w:sz w:val="21"/>
        <w:szCs w:val="21"/>
      </w:rPr>
    </w:lvl>
    <w:lvl w:ilvl="1">
      <w:start w:val="0"/>
      <w:numFmt w:val="bullet"/>
      <w:lvlText w:val="•"/>
      <w:lvlJc w:val="left"/>
      <w:pPr>
        <w:ind w:left="1584" w:hanging="736"/>
      </w:pPr>
      <w:rPr>
        <w:rFonts w:hint="default"/>
      </w:rPr>
    </w:lvl>
    <w:lvl w:ilvl="2">
      <w:start w:val="0"/>
      <w:numFmt w:val="bullet"/>
      <w:lvlText w:val="•"/>
      <w:lvlJc w:val="left"/>
      <w:pPr>
        <w:ind w:left="2308" w:hanging="736"/>
      </w:pPr>
      <w:rPr>
        <w:rFonts w:hint="default"/>
      </w:rPr>
    </w:lvl>
    <w:lvl w:ilvl="3">
      <w:start w:val="0"/>
      <w:numFmt w:val="bullet"/>
      <w:lvlText w:val="•"/>
      <w:lvlJc w:val="left"/>
      <w:pPr>
        <w:ind w:left="3032" w:hanging="736"/>
      </w:pPr>
      <w:rPr>
        <w:rFonts w:hint="default"/>
      </w:rPr>
    </w:lvl>
    <w:lvl w:ilvl="4">
      <w:start w:val="0"/>
      <w:numFmt w:val="bullet"/>
      <w:lvlText w:val="•"/>
      <w:lvlJc w:val="left"/>
      <w:pPr>
        <w:ind w:left="3756" w:hanging="736"/>
      </w:pPr>
      <w:rPr>
        <w:rFonts w:hint="default"/>
      </w:rPr>
    </w:lvl>
    <w:lvl w:ilvl="5">
      <w:start w:val="0"/>
      <w:numFmt w:val="bullet"/>
      <w:lvlText w:val="•"/>
      <w:lvlJc w:val="left"/>
      <w:pPr>
        <w:ind w:left="4480" w:hanging="736"/>
      </w:pPr>
      <w:rPr>
        <w:rFonts w:hint="default"/>
      </w:rPr>
    </w:lvl>
    <w:lvl w:ilvl="6">
      <w:start w:val="0"/>
      <w:numFmt w:val="bullet"/>
      <w:lvlText w:val="•"/>
      <w:lvlJc w:val="left"/>
      <w:pPr>
        <w:ind w:left="5204" w:hanging="736"/>
      </w:pPr>
      <w:rPr>
        <w:rFonts w:hint="default"/>
      </w:rPr>
    </w:lvl>
    <w:lvl w:ilvl="7">
      <w:start w:val="0"/>
      <w:numFmt w:val="bullet"/>
      <w:lvlText w:val="•"/>
      <w:lvlJc w:val="left"/>
      <w:pPr>
        <w:ind w:left="5928" w:hanging="736"/>
      </w:pPr>
      <w:rPr>
        <w:rFonts w:hint="default"/>
      </w:rPr>
    </w:lvl>
    <w:lvl w:ilvl="8">
      <w:start w:val="0"/>
      <w:numFmt w:val="bullet"/>
      <w:lvlText w:val="•"/>
      <w:lvlJc w:val="left"/>
      <w:pPr>
        <w:ind w:left="6652" w:hanging="736"/>
      </w:pPr>
      <w:rPr>
        <w:rFonts w:hint="default"/>
      </w:rPr>
    </w:lvl>
  </w:abstractNum>
  <w:abstractNum w:abstractNumId="34">
    <w:multiLevelType w:val="hybridMultilevel"/>
    <w:lvl w:ilvl="0">
      <w:start w:val="2"/>
      <w:numFmt w:val="decimal"/>
      <w:lvlText w:val="（%1）"/>
      <w:lvlJc w:val="left"/>
      <w:pPr>
        <w:ind w:left="865" w:hanging="736"/>
        <w:jc w:val="left"/>
      </w:pPr>
      <w:rPr>
        <w:rFonts w:hint="default" w:ascii="宋体" w:hAnsi="宋体" w:eastAsia="宋体" w:cs="宋体"/>
        <w:spacing w:val="-1"/>
        <w:w w:val="100"/>
        <w:sz w:val="21"/>
        <w:szCs w:val="21"/>
      </w:rPr>
    </w:lvl>
    <w:lvl w:ilvl="1">
      <w:start w:val="0"/>
      <w:numFmt w:val="bullet"/>
      <w:lvlText w:val="•"/>
      <w:lvlJc w:val="left"/>
      <w:pPr>
        <w:ind w:left="1584" w:hanging="736"/>
      </w:pPr>
      <w:rPr>
        <w:rFonts w:hint="default"/>
      </w:rPr>
    </w:lvl>
    <w:lvl w:ilvl="2">
      <w:start w:val="0"/>
      <w:numFmt w:val="bullet"/>
      <w:lvlText w:val="•"/>
      <w:lvlJc w:val="left"/>
      <w:pPr>
        <w:ind w:left="2308" w:hanging="736"/>
      </w:pPr>
      <w:rPr>
        <w:rFonts w:hint="default"/>
      </w:rPr>
    </w:lvl>
    <w:lvl w:ilvl="3">
      <w:start w:val="0"/>
      <w:numFmt w:val="bullet"/>
      <w:lvlText w:val="•"/>
      <w:lvlJc w:val="left"/>
      <w:pPr>
        <w:ind w:left="3032" w:hanging="736"/>
      </w:pPr>
      <w:rPr>
        <w:rFonts w:hint="default"/>
      </w:rPr>
    </w:lvl>
    <w:lvl w:ilvl="4">
      <w:start w:val="0"/>
      <w:numFmt w:val="bullet"/>
      <w:lvlText w:val="•"/>
      <w:lvlJc w:val="left"/>
      <w:pPr>
        <w:ind w:left="3756" w:hanging="736"/>
      </w:pPr>
      <w:rPr>
        <w:rFonts w:hint="default"/>
      </w:rPr>
    </w:lvl>
    <w:lvl w:ilvl="5">
      <w:start w:val="0"/>
      <w:numFmt w:val="bullet"/>
      <w:lvlText w:val="•"/>
      <w:lvlJc w:val="left"/>
      <w:pPr>
        <w:ind w:left="4480" w:hanging="736"/>
      </w:pPr>
      <w:rPr>
        <w:rFonts w:hint="default"/>
      </w:rPr>
    </w:lvl>
    <w:lvl w:ilvl="6">
      <w:start w:val="0"/>
      <w:numFmt w:val="bullet"/>
      <w:lvlText w:val="•"/>
      <w:lvlJc w:val="left"/>
      <w:pPr>
        <w:ind w:left="5204" w:hanging="736"/>
      </w:pPr>
      <w:rPr>
        <w:rFonts w:hint="default"/>
      </w:rPr>
    </w:lvl>
    <w:lvl w:ilvl="7">
      <w:start w:val="0"/>
      <w:numFmt w:val="bullet"/>
      <w:lvlText w:val="•"/>
      <w:lvlJc w:val="left"/>
      <w:pPr>
        <w:ind w:left="5928" w:hanging="736"/>
      </w:pPr>
      <w:rPr>
        <w:rFonts w:hint="default"/>
      </w:rPr>
    </w:lvl>
    <w:lvl w:ilvl="8">
      <w:start w:val="0"/>
      <w:numFmt w:val="bullet"/>
      <w:lvlText w:val="•"/>
      <w:lvlJc w:val="left"/>
      <w:pPr>
        <w:ind w:left="6652" w:hanging="736"/>
      </w:pPr>
      <w:rPr>
        <w:rFonts w:hint="default"/>
      </w:rPr>
    </w:lvl>
  </w:abstractNum>
  <w:abstractNum w:abstractNumId="33">
    <w:multiLevelType w:val="hybridMultilevel"/>
    <w:lvl w:ilvl="0">
      <w:start w:val="1"/>
      <w:numFmt w:val="decimal"/>
      <w:lvlText w:val="（%1）"/>
      <w:lvlJc w:val="left"/>
      <w:pPr>
        <w:ind w:left="865" w:hanging="736"/>
        <w:jc w:val="left"/>
      </w:pPr>
      <w:rPr>
        <w:rFonts w:hint="default" w:ascii="宋体" w:hAnsi="宋体" w:eastAsia="宋体" w:cs="宋体"/>
        <w:spacing w:val="-1"/>
        <w:w w:val="100"/>
        <w:sz w:val="21"/>
        <w:szCs w:val="21"/>
      </w:rPr>
    </w:lvl>
    <w:lvl w:ilvl="1">
      <w:start w:val="0"/>
      <w:numFmt w:val="bullet"/>
      <w:lvlText w:val="•"/>
      <w:lvlJc w:val="left"/>
      <w:pPr>
        <w:ind w:left="1584" w:hanging="736"/>
      </w:pPr>
      <w:rPr>
        <w:rFonts w:hint="default"/>
      </w:rPr>
    </w:lvl>
    <w:lvl w:ilvl="2">
      <w:start w:val="0"/>
      <w:numFmt w:val="bullet"/>
      <w:lvlText w:val="•"/>
      <w:lvlJc w:val="left"/>
      <w:pPr>
        <w:ind w:left="2308" w:hanging="736"/>
      </w:pPr>
      <w:rPr>
        <w:rFonts w:hint="default"/>
      </w:rPr>
    </w:lvl>
    <w:lvl w:ilvl="3">
      <w:start w:val="0"/>
      <w:numFmt w:val="bullet"/>
      <w:lvlText w:val="•"/>
      <w:lvlJc w:val="left"/>
      <w:pPr>
        <w:ind w:left="3032" w:hanging="736"/>
      </w:pPr>
      <w:rPr>
        <w:rFonts w:hint="default"/>
      </w:rPr>
    </w:lvl>
    <w:lvl w:ilvl="4">
      <w:start w:val="0"/>
      <w:numFmt w:val="bullet"/>
      <w:lvlText w:val="•"/>
      <w:lvlJc w:val="left"/>
      <w:pPr>
        <w:ind w:left="3756" w:hanging="736"/>
      </w:pPr>
      <w:rPr>
        <w:rFonts w:hint="default"/>
      </w:rPr>
    </w:lvl>
    <w:lvl w:ilvl="5">
      <w:start w:val="0"/>
      <w:numFmt w:val="bullet"/>
      <w:lvlText w:val="•"/>
      <w:lvlJc w:val="left"/>
      <w:pPr>
        <w:ind w:left="4480" w:hanging="736"/>
      </w:pPr>
      <w:rPr>
        <w:rFonts w:hint="default"/>
      </w:rPr>
    </w:lvl>
    <w:lvl w:ilvl="6">
      <w:start w:val="0"/>
      <w:numFmt w:val="bullet"/>
      <w:lvlText w:val="•"/>
      <w:lvlJc w:val="left"/>
      <w:pPr>
        <w:ind w:left="5204" w:hanging="736"/>
      </w:pPr>
      <w:rPr>
        <w:rFonts w:hint="default"/>
      </w:rPr>
    </w:lvl>
    <w:lvl w:ilvl="7">
      <w:start w:val="0"/>
      <w:numFmt w:val="bullet"/>
      <w:lvlText w:val="•"/>
      <w:lvlJc w:val="left"/>
      <w:pPr>
        <w:ind w:left="5928" w:hanging="736"/>
      </w:pPr>
      <w:rPr>
        <w:rFonts w:hint="default"/>
      </w:rPr>
    </w:lvl>
    <w:lvl w:ilvl="8">
      <w:start w:val="0"/>
      <w:numFmt w:val="bullet"/>
      <w:lvlText w:val="•"/>
      <w:lvlJc w:val="left"/>
      <w:pPr>
        <w:ind w:left="6652" w:hanging="736"/>
      </w:pPr>
      <w:rPr>
        <w:rFonts w:hint="default"/>
      </w:rPr>
    </w:lvl>
  </w:abstractNum>
  <w:abstractNum w:abstractNumId="32">
    <w:multiLevelType w:val="hybridMultilevel"/>
    <w:lvl w:ilvl="0">
      <w:start w:val="1"/>
      <w:numFmt w:val="decimal"/>
      <w:lvlText w:val="（%1）"/>
      <w:lvlJc w:val="left"/>
      <w:pPr>
        <w:ind w:left="865" w:hanging="736"/>
        <w:jc w:val="left"/>
      </w:pPr>
      <w:rPr>
        <w:rFonts w:hint="default" w:ascii="宋体" w:hAnsi="宋体" w:eastAsia="宋体" w:cs="宋体"/>
        <w:spacing w:val="-1"/>
        <w:w w:val="100"/>
        <w:sz w:val="21"/>
        <w:szCs w:val="21"/>
      </w:rPr>
    </w:lvl>
    <w:lvl w:ilvl="1">
      <w:start w:val="0"/>
      <w:numFmt w:val="bullet"/>
      <w:lvlText w:val="•"/>
      <w:lvlJc w:val="left"/>
      <w:pPr>
        <w:ind w:left="1584" w:hanging="736"/>
      </w:pPr>
      <w:rPr>
        <w:rFonts w:hint="default"/>
      </w:rPr>
    </w:lvl>
    <w:lvl w:ilvl="2">
      <w:start w:val="0"/>
      <w:numFmt w:val="bullet"/>
      <w:lvlText w:val="•"/>
      <w:lvlJc w:val="left"/>
      <w:pPr>
        <w:ind w:left="2308" w:hanging="736"/>
      </w:pPr>
      <w:rPr>
        <w:rFonts w:hint="default"/>
      </w:rPr>
    </w:lvl>
    <w:lvl w:ilvl="3">
      <w:start w:val="0"/>
      <w:numFmt w:val="bullet"/>
      <w:lvlText w:val="•"/>
      <w:lvlJc w:val="left"/>
      <w:pPr>
        <w:ind w:left="3032" w:hanging="736"/>
      </w:pPr>
      <w:rPr>
        <w:rFonts w:hint="default"/>
      </w:rPr>
    </w:lvl>
    <w:lvl w:ilvl="4">
      <w:start w:val="0"/>
      <w:numFmt w:val="bullet"/>
      <w:lvlText w:val="•"/>
      <w:lvlJc w:val="left"/>
      <w:pPr>
        <w:ind w:left="3756" w:hanging="736"/>
      </w:pPr>
      <w:rPr>
        <w:rFonts w:hint="default"/>
      </w:rPr>
    </w:lvl>
    <w:lvl w:ilvl="5">
      <w:start w:val="0"/>
      <w:numFmt w:val="bullet"/>
      <w:lvlText w:val="•"/>
      <w:lvlJc w:val="left"/>
      <w:pPr>
        <w:ind w:left="4480" w:hanging="736"/>
      </w:pPr>
      <w:rPr>
        <w:rFonts w:hint="default"/>
      </w:rPr>
    </w:lvl>
    <w:lvl w:ilvl="6">
      <w:start w:val="0"/>
      <w:numFmt w:val="bullet"/>
      <w:lvlText w:val="•"/>
      <w:lvlJc w:val="left"/>
      <w:pPr>
        <w:ind w:left="5204" w:hanging="736"/>
      </w:pPr>
      <w:rPr>
        <w:rFonts w:hint="default"/>
      </w:rPr>
    </w:lvl>
    <w:lvl w:ilvl="7">
      <w:start w:val="0"/>
      <w:numFmt w:val="bullet"/>
      <w:lvlText w:val="•"/>
      <w:lvlJc w:val="left"/>
      <w:pPr>
        <w:ind w:left="5928" w:hanging="736"/>
      </w:pPr>
      <w:rPr>
        <w:rFonts w:hint="default"/>
      </w:rPr>
    </w:lvl>
    <w:lvl w:ilvl="8">
      <w:start w:val="0"/>
      <w:numFmt w:val="bullet"/>
      <w:lvlText w:val="•"/>
      <w:lvlJc w:val="left"/>
      <w:pPr>
        <w:ind w:left="6652" w:hanging="736"/>
      </w:pPr>
      <w:rPr>
        <w:rFonts w:hint="default"/>
      </w:rPr>
    </w:lvl>
  </w:abstractNum>
  <w:abstractNum w:abstractNumId="31">
    <w:multiLevelType w:val="hybridMultilevel"/>
    <w:lvl w:ilvl="0">
      <w:start w:val="1"/>
      <w:numFmt w:val="decimal"/>
      <w:lvlText w:val="（%1）"/>
      <w:lvlJc w:val="left"/>
      <w:pPr>
        <w:ind w:left="864" w:hanging="735"/>
        <w:jc w:val="left"/>
      </w:pPr>
      <w:rPr>
        <w:rFonts w:hint="default" w:ascii="宋体" w:hAnsi="宋体" w:eastAsia="宋体" w:cs="宋体"/>
        <w:spacing w:val="-53"/>
        <w:w w:val="100"/>
        <w:sz w:val="21"/>
        <w:szCs w:val="21"/>
      </w:rPr>
    </w:lvl>
    <w:lvl w:ilvl="1">
      <w:start w:val="0"/>
      <w:numFmt w:val="bullet"/>
      <w:lvlText w:val="•"/>
      <w:lvlJc w:val="left"/>
      <w:pPr>
        <w:ind w:left="1584" w:hanging="735"/>
      </w:pPr>
      <w:rPr>
        <w:rFonts w:hint="default"/>
      </w:rPr>
    </w:lvl>
    <w:lvl w:ilvl="2">
      <w:start w:val="0"/>
      <w:numFmt w:val="bullet"/>
      <w:lvlText w:val="•"/>
      <w:lvlJc w:val="left"/>
      <w:pPr>
        <w:ind w:left="2308" w:hanging="735"/>
      </w:pPr>
      <w:rPr>
        <w:rFonts w:hint="default"/>
      </w:rPr>
    </w:lvl>
    <w:lvl w:ilvl="3">
      <w:start w:val="0"/>
      <w:numFmt w:val="bullet"/>
      <w:lvlText w:val="•"/>
      <w:lvlJc w:val="left"/>
      <w:pPr>
        <w:ind w:left="3032" w:hanging="735"/>
      </w:pPr>
      <w:rPr>
        <w:rFonts w:hint="default"/>
      </w:rPr>
    </w:lvl>
    <w:lvl w:ilvl="4">
      <w:start w:val="0"/>
      <w:numFmt w:val="bullet"/>
      <w:lvlText w:val="•"/>
      <w:lvlJc w:val="left"/>
      <w:pPr>
        <w:ind w:left="3756" w:hanging="735"/>
      </w:pPr>
      <w:rPr>
        <w:rFonts w:hint="default"/>
      </w:rPr>
    </w:lvl>
    <w:lvl w:ilvl="5">
      <w:start w:val="0"/>
      <w:numFmt w:val="bullet"/>
      <w:lvlText w:val="•"/>
      <w:lvlJc w:val="left"/>
      <w:pPr>
        <w:ind w:left="4480" w:hanging="735"/>
      </w:pPr>
      <w:rPr>
        <w:rFonts w:hint="default"/>
      </w:rPr>
    </w:lvl>
    <w:lvl w:ilvl="6">
      <w:start w:val="0"/>
      <w:numFmt w:val="bullet"/>
      <w:lvlText w:val="•"/>
      <w:lvlJc w:val="left"/>
      <w:pPr>
        <w:ind w:left="5204" w:hanging="735"/>
      </w:pPr>
      <w:rPr>
        <w:rFonts w:hint="default"/>
      </w:rPr>
    </w:lvl>
    <w:lvl w:ilvl="7">
      <w:start w:val="0"/>
      <w:numFmt w:val="bullet"/>
      <w:lvlText w:val="•"/>
      <w:lvlJc w:val="left"/>
      <w:pPr>
        <w:ind w:left="5928" w:hanging="735"/>
      </w:pPr>
      <w:rPr>
        <w:rFonts w:hint="default"/>
      </w:rPr>
    </w:lvl>
    <w:lvl w:ilvl="8">
      <w:start w:val="0"/>
      <w:numFmt w:val="bullet"/>
      <w:lvlText w:val="•"/>
      <w:lvlJc w:val="left"/>
      <w:pPr>
        <w:ind w:left="6652" w:hanging="735"/>
      </w:pPr>
      <w:rPr>
        <w:rFonts w:hint="default"/>
      </w:rPr>
    </w:lvl>
  </w:abstractNum>
  <w:abstractNum w:abstractNumId="30">
    <w:multiLevelType w:val="hybridMultilevel"/>
    <w:lvl w:ilvl="0">
      <w:start w:val="1"/>
      <w:numFmt w:val="decimal"/>
      <w:lvlText w:val="（%1）"/>
      <w:lvlJc w:val="left"/>
      <w:pPr>
        <w:ind w:left="844" w:hanging="736"/>
        <w:jc w:val="left"/>
      </w:pPr>
      <w:rPr>
        <w:rFonts w:hint="default" w:ascii="宋体" w:hAnsi="宋体" w:eastAsia="宋体" w:cs="宋体"/>
        <w:spacing w:val="-105"/>
        <w:w w:val="100"/>
        <w:sz w:val="21"/>
        <w:szCs w:val="21"/>
      </w:rPr>
    </w:lvl>
    <w:lvl w:ilvl="1">
      <w:start w:val="0"/>
      <w:numFmt w:val="bullet"/>
      <w:lvlText w:val="•"/>
      <w:lvlJc w:val="left"/>
      <w:pPr>
        <w:ind w:left="1550" w:hanging="736"/>
      </w:pPr>
      <w:rPr>
        <w:rFonts w:hint="default"/>
      </w:rPr>
    </w:lvl>
    <w:lvl w:ilvl="2">
      <w:start w:val="0"/>
      <w:numFmt w:val="bullet"/>
      <w:lvlText w:val="•"/>
      <w:lvlJc w:val="left"/>
      <w:pPr>
        <w:ind w:left="2261" w:hanging="736"/>
      </w:pPr>
      <w:rPr>
        <w:rFonts w:hint="default"/>
      </w:rPr>
    </w:lvl>
    <w:lvl w:ilvl="3">
      <w:start w:val="0"/>
      <w:numFmt w:val="bullet"/>
      <w:lvlText w:val="•"/>
      <w:lvlJc w:val="left"/>
      <w:pPr>
        <w:ind w:left="2971" w:hanging="736"/>
      </w:pPr>
      <w:rPr>
        <w:rFonts w:hint="default"/>
      </w:rPr>
    </w:lvl>
    <w:lvl w:ilvl="4">
      <w:start w:val="0"/>
      <w:numFmt w:val="bullet"/>
      <w:lvlText w:val="•"/>
      <w:lvlJc w:val="left"/>
      <w:pPr>
        <w:ind w:left="3682" w:hanging="736"/>
      </w:pPr>
      <w:rPr>
        <w:rFonts w:hint="default"/>
      </w:rPr>
    </w:lvl>
    <w:lvl w:ilvl="5">
      <w:start w:val="0"/>
      <w:numFmt w:val="bullet"/>
      <w:lvlText w:val="•"/>
      <w:lvlJc w:val="left"/>
      <w:pPr>
        <w:ind w:left="4393" w:hanging="736"/>
      </w:pPr>
      <w:rPr>
        <w:rFonts w:hint="default"/>
      </w:rPr>
    </w:lvl>
    <w:lvl w:ilvl="6">
      <w:start w:val="0"/>
      <w:numFmt w:val="bullet"/>
      <w:lvlText w:val="•"/>
      <w:lvlJc w:val="left"/>
      <w:pPr>
        <w:ind w:left="5103" w:hanging="736"/>
      </w:pPr>
      <w:rPr>
        <w:rFonts w:hint="default"/>
      </w:rPr>
    </w:lvl>
    <w:lvl w:ilvl="7">
      <w:start w:val="0"/>
      <w:numFmt w:val="bullet"/>
      <w:lvlText w:val="•"/>
      <w:lvlJc w:val="left"/>
      <w:pPr>
        <w:ind w:left="5814" w:hanging="736"/>
      </w:pPr>
      <w:rPr>
        <w:rFonts w:hint="default"/>
      </w:rPr>
    </w:lvl>
    <w:lvl w:ilvl="8">
      <w:start w:val="0"/>
      <w:numFmt w:val="bullet"/>
      <w:lvlText w:val="•"/>
      <w:lvlJc w:val="left"/>
      <w:pPr>
        <w:ind w:left="6524" w:hanging="736"/>
      </w:pPr>
      <w:rPr>
        <w:rFonts w:hint="default"/>
      </w:rPr>
    </w:lvl>
  </w:abstractNum>
  <w:abstractNum w:abstractNumId="29">
    <w:multiLevelType w:val="hybridMultilevel"/>
    <w:lvl w:ilvl="0">
      <w:start w:val="1"/>
      <w:numFmt w:val="decimal"/>
      <w:lvlText w:val="（%1）"/>
      <w:lvlJc w:val="left"/>
      <w:pPr>
        <w:ind w:left="843" w:hanging="736"/>
        <w:jc w:val="left"/>
      </w:pPr>
      <w:rPr>
        <w:rFonts w:hint="default" w:ascii="宋体" w:hAnsi="宋体" w:eastAsia="宋体" w:cs="宋体"/>
        <w:spacing w:val="-1"/>
        <w:w w:val="100"/>
        <w:sz w:val="21"/>
        <w:szCs w:val="21"/>
      </w:rPr>
    </w:lvl>
    <w:lvl w:ilvl="1">
      <w:start w:val="0"/>
      <w:numFmt w:val="bullet"/>
      <w:lvlText w:val="•"/>
      <w:lvlJc w:val="left"/>
      <w:pPr>
        <w:ind w:left="1550" w:hanging="736"/>
      </w:pPr>
      <w:rPr>
        <w:rFonts w:hint="default"/>
      </w:rPr>
    </w:lvl>
    <w:lvl w:ilvl="2">
      <w:start w:val="0"/>
      <w:numFmt w:val="bullet"/>
      <w:lvlText w:val="•"/>
      <w:lvlJc w:val="left"/>
      <w:pPr>
        <w:ind w:left="2261" w:hanging="736"/>
      </w:pPr>
      <w:rPr>
        <w:rFonts w:hint="default"/>
      </w:rPr>
    </w:lvl>
    <w:lvl w:ilvl="3">
      <w:start w:val="0"/>
      <w:numFmt w:val="bullet"/>
      <w:lvlText w:val="•"/>
      <w:lvlJc w:val="left"/>
      <w:pPr>
        <w:ind w:left="2971" w:hanging="736"/>
      </w:pPr>
      <w:rPr>
        <w:rFonts w:hint="default"/>
      </w:rPr>
    </w:lvl>
    <w:lvl w:ilvl="4">
      <w:start w:val="0"/>
      <w:numFmt w:val="bullet"/>
      <w:lvlText w:val="•"/>
      <w:lvlJc w:val="left"/>
      <w:pPr>
        <w:ind w:left="3682" w:hanging="736"/>
      </w:pPr>
      <w:rPr>
        <w:rFonts w:hint="default"/>
      </w:rPr>
    </w:lvl>
    <w:lvl w:ilvl="5">
      <w:start w:val="0"/>
      <w:numFmt w:val="bullet"/>
      <w:lvlText w:val="•"/>
      <w:lvlJc w:val="left"/>
      <w:pPr>
        <w:ind w:left="4393" w:hanging="736"/>
      </w:pPr>
      <w:rPr>
        <w:rFonts w:hint="default"/>
      </w:rPr>
    </w:lvl>
    <w:lvl w:ilvl="6">
      <w:start w:val="0"/>
      <w:numFmt w:val="bullet"/>
      <w:lvlText w:val="•"/>
      <w:lvlJc w:val="left"/>
      <w:pPr>
        <w:ind w:left="5103" w:hanging="736"/>
      </w:pPr>
      <w:rPr>
        <w:rFonts w:hint="default"/>
      </w:rPr>
    </w:lvl>
    <w:lvl w:ilvl="7">
      <w:start w:val="0"/>
      <w:numFmt w:val="bullet"/>
      <w:lvlText w:val="•"/>
      <w:lvlJc w:val="left"/>
      <w:pPr>
        <w:ind w:left="5814" w:hanging="736"/>
      </w:pPr>
      <w:rPr>
        <w:rFonts w:hint="default"/>
      </w:rPr>
    </w:lvl>
    <w:lvl w:ilvl="8">
      <w:start w:val="0"/>
      <w:numFmt w:val="bullet"/>
      <w:lvlText w:val="•"/>
      <w:lvlJc w:val="left"/>
      <w:pPr>
        <w:ind w:left="6524" w:hanging="736"/>
      </w:pPr>
      <w:rPr>
        <w:rFonts w:hint="default"/>
      </w:rPr>
    </w:lvl>
  </w:abstractNum>
  <w:abstractNum w:abstractNumId="28">
    <w:multiLevelType w:val="hybridMultilevel"/>
    <w:lvl w:ilvl="0">
      <w:start w:val="1"/>
      <w:numFmt w:val="decimal"/>
      <w:lvlText w:val="（%1）"/>
      <w:lvlJc w:val="left"/>
      <w:pPr>
        <w:ind w:left="843" w:hanging="736"/>
        <w:jc w:val="left"/>
      </w:pPr>
      <w:rPr>
        <w:rFonts w:hint="default" w:ascii="黑体" w:hAnsi="黑体" w:eastAsia="黑体" w:cs="黑体"/>
        <w:spacing w:val="-1"/>
        <w:w w:val="100"/>
        <w:sz w:val="21"/>
        <w:szCs w:val="21"/>
      </w:rPr>
    </w:lvl>
    <w:lvl w:ilvl="1">
      <w:start w:val="0"/>
      <w:numFmt w:val="bullet"/>
      <w:lvlText w:val="•"/>
      <w:lvlJc w:val="left"/>
      <w:pPr>
        <w:ind w:left="1550" w:hanging="736"/>
      </w:pPr>
      <w:rPr>
        <w:rFonts w:hint="default"/>
      </w:rPr>
    </w:lvl>
    <w:lvl w:ilvl="2">
      <w:start w:val="0"/>
      <w:numFmt w:val="bullet"/>
      <w:lvlText w:val="•"/>
      <w:lvlJc w:val="left"/>
      <w:pPr>
        <w:ind w:left="2261" w:hanging="736"/>
      </w:pPr>
      <w:rPr>
        <w:rFonts w:hint="default"/>
      </w:rPr>
    </w:lvl>
    <w:lvl w:ilvl="3">
      <w:start w:val="0"/>
      <w:numFmt w:val="bullet"/>
      <w:lvlText w:val="•"/>
      <w:lvlJc w:val="left"/>
      <w:pPr>
        <w:ind w:left="2971" w:hanging="736"/>
      </w:pPr>
      <w:rPr>
        <w:rFonts w:hint="default"/>
      </w:rPr>
    </w:lvl>
    <w:lvl w:ilvl="4">
      <w:start w:val="0"/>
      <w:numFmt w:val="bullet"/>
      <w:lvlText w:val="•"/>
      <w:lvlJc w:val="left"/>
      <w:pPr>
        <w:ind w:left="3682" w:hanging="736"/>
      </w:pPr>
      <w:rPr>
        <w:rFonts w:hint="default"/>
      </w:rPr>
    </w:lvl>
    <w:lvl w:ilvl="5">
      <w:start w:val="0"/>
      <w:numFmt w:val="bullet"/>
      <w:lvlText w:val="•"/>
      <w:lvlJc w:val="left"/>
      <w:pPr>
        <w:ind w:left="4393" w:hanging="736"/>
      </w:pPr>
      <w:rPr>
        <w:rFonts w:hint="default"/>
      </w:rPr>
    </w:lvl>
    <w:lvl w:ilvl="6">
      <w:start w:val="0"/>
      <w:numFmt w:val="bullet"/>
      <w:lvlText w:val="•"/>
      <w:lvlJc w:val="left"/>
      <w:pPr>
        <w:ind w:left="5103" w:hanging="736"/>
      </w:pPr>
      <w:rPr>
        <w:rFonts w:hint="default"/>
      </w:rPr>
    </w:lvl>
    <w:lvl w:ilvl="7">
      <w:start w:val="0"/>
      <w:numFmt w:val="bullet"/>
      <w:lvlText w:val="•"/>
      <w:lvlJc w:val="left"/>
      <w:pPr>
        <w:ind w:left="5814" w:hanging="736"/>
      </w:pPr>
      <w:rPr>
        <w:rFonts w:hint="default"/>
      </w:rPr>
    </w:lvl>
    <w:lvl w:ilvl="8">
      <w:start w:val="0"/>
      <w:numFmt w:val="bullet"/>
      <w:lvlText w:val="•"/>
      <w:lvlJc w:val="left"/>
      <w:pPr>
        <w:ind w:left="6524" w:hanging="736"/>
      </w:pPr>
      <w:rPr>
        <w:rFonts w:hint="default"/>
      </w:rPr>
    </w:lvl>
  </w:abstractNum>
  <w:abstractNum w:abstractNumId="27">
    <w:multiLevelType w:val="hybridMultilevel"/>
    <w:lvl w:ilvl="0">
      <w:start w:val="1"/>
      <w:numFmt w:val="decimal"/>
      <w:lvlText w:val="（%1）"/>
      <w:lvlJc w:val="left"/>
      <w:pPr>
        <w:ind w:left="715" w:hanging="602"/>
        <w:jc w:val="left"/>
      </w:pPr>
      <w:rPr>
        <w:rFonts w:hint="default" w:ascii="宋体" w:hAnsi="宋体" w:eastAsia="宋体" w:cs="宋体"/>
        <w:spacing w:val="-1"/>
        <w:w w:val="100"/>
        <w:sz w:val="21"/>
        <w:szCs w:val="21"/>
      </w:rPr>
    </w:lvl>
    <w:lvl w:ilvl="1">
      <w:start w:val="0"/>
      <w:numFmt w:val="bullet"/>
      <w:lvlText w:val="•"/>
      <w:lvlJc w:val="left"/>
      <w:pPr>
        <w:ind w:left="1456" w:hanging="602"/>
      </w:pPr>
      <w:rPr>
        <w:rFonts w:hint="default"/>
      </w:rPr>
    </w:lvl>
    <w:lvl w:ilvl="2">
      <w:start w:val="0"/>
      <w:numFmt w:val="bullet"/>
      <w:lvlText w:val="•"/>
      <w:lvlJc w:val="left"/>
      <w:pPr>
        <w:ind w:left="2192" w:hanging="602"/>
      </w:pPr>
      <w:rPr>
        <w:rFonts w:hint="default"/>
      </w:rPr>
    </w:lvl>
    <w:lvl w:ilvl="3">
      <w:start w:val="0"/>
      <w:numFmt w:val="bullet"/>
      <w:lvlText w:val="•"/>
      <w:lvlJc w:val="left"/>
      <w:pPr>
        <w:ind w:left="2929" w:hanging="602"/>
      </w:pPr>
      <w:rPr>
        <w:rFonts w:hint="default"/>
      </w:rPr>
    </w:lvl>
    <w:lvl w:ilvl="4">
      <w:start w:val="0"/>
      <w:numFmt w:val="bullet"/>
      <w:lvlText w:val="•"/>
      <w:lvlJc w:val="left"/>
      <w:pPr>
        <w:ind w:left="3665" w:hanging="602"/>
      </w:pPr>
      <w:rPr>
        <w:rFonts w:hint="default"/>
      </w:rPr>
    </w:lvl>
    <w:lvl w:ilvl="5">
      <w:start w:val="0"/>
      <w:numFmt w:val="bullet"/>
      <w:lvlText w:val="•"/>
      <w:lvlJc w:val="left"/>
      <w:pPr>
        <w:ind w:left="4402" w:hanging="602"/>
      </w:pPr>
      <w:rPr>
        <w:rFonts w:hint="default"/>
      </w:rPr>
    </w:lvl>
    <w:lvl w:ilvl="6">
      <w:start w:val="0"/>
      <w:numFmt w:val="bullet"/>
      <w:lvlText w:val="•"/>
      <w:lvlJc w:val="left"/>
      <w:pPr>
        <w:ind w:left="5138" w:hanging="602"/>
      </w:pPr>
      <w:rPr>
        <w:rFonts w:hint="default"/>
      </w:rPr>
    </w:lvl>
    <w:lvl w:ilvl="7">
      <w:start w:val="0"/>
      <w:numFmt w:val="bullet"/>
      <w:lvlText w:val="•"/>
      <w:lvlJc w:val="left"/>
      <w:pPr>
        <w:ind w:left="5874" w:hanging="602"/>
      </w:pPr>
      <w:rPr>
        <w:rFonts w:hint="default"/>
      </w:rPr>
    </w:lvl>
    <w:lvl w:ilvl="8">
      <w:start w:val="0"/>
      <w:numFmt w:val="bullet"/>
      <w:lvlText w:val="•"/>
      <w:lvlJc w:val="left"/>
      <w:pPr>
        <w:ind w:left="6611" w:hanging="602"/>
      </w:pPr>
      <w:rPr>
        <w:rFonts w:hint="default"/>
      </w:rPr>
    </w:lvl>
  </w:abstractNum>
  <w:abstractNum w:abstractNumId="26">
    <w:multiLevelType w:val="hybridMultilevel"/>
    <w:lvl w:ilvl="0">
      <w:start w:val="1"/>
      <w:numFmt w:val="decimal"/>
      <w:lvlText w:val="（%1）"/>
      <w:lvlJc w:val="left"/>
      <w:pPr>
        <w:ind w:left="705" w:hanging="630"/>
        <w:jc w:val="left"/>
      </w:pPr>
      <w:rPr>
        <w:rFonts w:hint="default" w:ascii="宋体" w:hAnsi="宋体" w:eastAsia="宋体" w:cs="宋体"/>
        <w:spacing w:val="-53"/>
        <w:w w:val="100"/>
        <w:sz w:val="21"/>
        <w:szCs w:val="21"/>
      </w:rPr>
    </w:lvl>
    <w:lvl w:ilvl="1">
      <w:start w:val="0"/>
      <w:numFmt w:val="bullet"/>
      <w:lvlText w:val="•"/>
      <w:lvlJc w:val="left"/>
      <w:pPr>
        <w:ind w:left="1437" w:hanging="630"/>
      </w:pPr>
      <w:rPr>
        <w:rFonts w:hint="default"/>
      </w:rPr>
    </w:lvl>
    <w:lvl w:ilvl="2">
      <w:start w:val="0"/>
      <w:numFmt w:val="bullet"/>
      <w:lvlText w:val="•"/>
      <w:lvlJc w:val="left"/>
      <w:pPr>
        <w:ind w:left="2174" w:hanging="630"/>
      </w:pPr>
      <w:rPr>
        <w:rFonts w:hint="default"/>
      </w:rPr>
    </w:lvl>
    <w:lvl w:ilvl="3">
      <w:start w:val="0"/>
      <w:numFmt w:val="bullet"/>
      <w:lvlText w:val="•"/>
      <w:lvlJc w:val="left"/>
      <w:pPr>
        <w:ind w:left="2912" w:hanging="630"/>
      </w:pPr>
      <w:rPr>
        <w:rFonts w:hint="default"/>
      </w:rPr>
    </w:lvl>
    <w:lvl w:ilvl="4">
      <w:start w:val="0"/>
      <w:numFmt w:val="bullet"/>
      <w:lvlText w:val="•"/>
      <w:lvlJc w:val="left"/>
      <w:pPr>
        <w:ind w:left="3649" w:hanging="630"/>
      </w:pPr>
      <w:rPr>
        <w:rFonts w:hint="default"/>
      </w:rPr>
    </w:lvl>
    <w:lvl w:ilvl="5">
      <w:start w:val="0"/>
      <w:numFmt w:val="bullet"/>
      <w:lvlText w:val="•"/>
      <w:lvlJc w:val="left"/>
      <w:pPr>
        <w:ind w:left="4387" w:hanging="630"/>
      </w:pPr>
      <w:rPr>
        <w:rFonts w:hint="default"/>
      </w:rPr>
    </w:lvl>
    <w:lvl w:ilvl="6">
      <w:start w:val="0"/>
      <w:numFmt w:val="bullet"/>
      <w:lvlText w:val="•"/>
      <w:lvlJc w:val="left"/>
      <w:pPr>
        <w:ind w:left="5124" w:hanging="630"/>
      </w:pPr>
      <w:rPr>
        <w:rFonts w:hint="default"/>
      </w:rPr>
    </w:lvl>
    <w:lvl w:ilvl="7">
      <w:start w:val="0"/>
      <w:numFmt w:val="bullet"/>
      <w:lvlText w:val="•"/>
      <w:lvlJc w:val="left"/>
      <w:pPr>
        <w:ind w:left="5861" w:hanging="630"/>
      </w:pPr>
      <w:rPr>
        <w:rFonts w:hint="default"/>
      </w:rPr>
    </w:lvl>
    <w:lvl w:ilvl="8">
      <w:start w:val="0"/>
      <w:numFmt w:val="bullet"/>
      <w:lvlText w:val="•"/>
      <w:lvlJc w:val="left"/>
      <w:pPr>
        <w:ind w:left="6599" w:hanging="630"/>
      </w:pPr>
      <w:rPr>
        <w:rFonts w:hint="default"/>
      </w:rPr>
    </w:lvl>
  </w:abstractNum>
  <w:abstractNum w:abstractNumId="25">
    <w:multiLevelType w:val="hybridMultilevel"/>
    <w:lvl w:ilvl="0">
      <w:start w:val="1"/>
      <w:numFmt w:val="decimal"/>
      <w:lvlText w:val="（%1）"/>
      <w:lvlJc w:val="left"/>
      <w:pPr>
        <w:ind w:left="734" w:hanging="630"/>
        <w:jc w:val="left"/>
      </w:pPr>
      <w:rPr>
        <w:rFonts w:hint="default" w:ascii="宋体" w:hAnsi="宋体" w:eastAsia="宋体" w:cs="宋体"/>
        <w:w w:val="100"/>
        <w:sz w:val="21"/>
        <w:szCs w:val="21"/>
      </w:rPr>
    </w:lvl>
    <w:lvl w:ilvl="1">
      <w:start w:val="0"/>
      <w:numFmt w:val="bullet"/>
      <w:lvlText w:val="•"/>
      <w:lvlJc w:val="left"/>
      <w:pPr>
        <w:ind w:left="1473" w:hanging="630"/>
      </w:pPr>
      <w:rPr>
        <w:rFonts w:hint="default"/>
      </w:rPr>
    </w:lvl>
    <w:lvl w:ilvl="2">
      <w:start w:val="0"/>
      <w:numFmt w:val="bullet"/>
      <w:lvlText w:val="•"/>
      <w:lvlJc w:val="left"/>
      <w:pPr>
        <w:ind w:left="2206" w:hanging="630"/>
      </w:pPr>
      <w:rPr>
        <w:rFonts w:hint="default"/>
      </w:rPr>
    </w:lvl>
    <w:lvl w:ilvl="3">
      <w:start w:val="0"/>
      <w:numFmt w:val="bullet"/>
      <w:lvlText w:val="•"/>
      <w:lvlJc w:val="left"/>
      <w:pPr>
        <w:ind w:left="2940" w:hanging="630"/>
      </w:pPr>
      <w:rPr>
        <w:rFonts w:hint="default"/>
      </w:rPr>
    </w:lvl>
    <w:lvl w:ilvl="4">
      <w:start w:val="0"/>
      <w:numFmt w:val="bullet"/>
      <w:lvlText w:val="•"/>
      <w:lvlJc w:val="left"/>
      <w:pPr>
        <w:ind w:left="3673" w:hanging="630"/>
      </w:pPr>
      <w:rPr>
        <w:rFonts w:hint="default"/>
      </w:rPr>
    </w:lvl>
    <w:lvl w:ilvl="5">
      <w:start w:val="0"/>
      <w:numFmt w:val="bullet"/>
      <w:lvlText w:val="•"/>
      <w:lvlJc w:val="left"/>
      <w:pPr>
        <w:ind w:left="4407" w:hanging="630"/>
      </w:pPr>
      <w:rPr>
        <w:rFonts w:hint="default"/>
      </w:rPr>
    </w:lvl>
    <w:lvl w:ilvl="6">
      <w:start w:val="0"/>
      <w:numFmt w:val="bullet"/>
      <w:lvlText w:val="•"/>
      <w:lvlJc w:val="left"/>
      <w:pPr>
        <w:ind w:left="5140" w:hanging="630"/>
      </w:pPr>
      <w:rPr>
        <w:rFonts w:hint="default"/>
      </w:rPr>
    </w:lvl>
    <w:lvl w:ilvl="7">
      <w:start w:val="0"/>
      <w:numFmt w:val="bullet"/>
      <w:lvlText w:val="•"/>
      <w:lvlJc w:val="left"/>
      <w:pPr>
        <w:ind w:left="5873" w:hanging="630"/>
      </w:pPr>
      <w:rPr>
        <w:rFonts w:hint="default"/>
      </w:rPr>
    </w:lvl>
    <w:lvl w:ilvl="8">
      <w:start w:val="0"/>
      <w:numFmt w:val="bullet"/>
      <w:lvlText w:val="•"/>
      <w:lvlJc w:val="left"/>
      <w:pPr>
        <w:ind w:left="6607" w:hanging="630"/>
      </w:pPr>
      <w:rPr>
        <w:rFonts w:hint="default"/>
      </w:rPr>
    </w:lvl>
  </w:abstractNum>
  <w:abstractNum w:abstractNumId="24">
    <w:multiLevelType w:val="hybridMultilevel"/>
    <w:lvl w:ilvl="0">
      <w:start w:val="1"/>
      <w:numFmt w:val="decimal"/>
      <w:lvlText w:val="（%1）"/>
      <w:lvlJc w:val="left"/>
      <w:pPr>
        <w:ind w:left="734" w:hanging="630"/>
        <w:jc w:val="left"/>
      </w:pPr>
      <w:rPr>
        <w:rFonts w:hint="default" w:ascii="宋体" w:hAnsi="宋体" w:eastAsia="宋体" w:cs="宋体"/>
        <w:w w:val="100"/>
        <w:sz w:val="21"/>
        <w:szCs w:val="21"/>
      </w:rPr>
    </w:lvl>
    <w:lvl w:ilvl="1">
      <w:start w:val="0"/>
      <w:numFmt w:val="bullet"/>
      <w:lvlText w:val="•"/>
      <w:lvlJc w:val="left"/>
      <w:pPr>
        <w:ind w:left="1480" w:hanging="630"/>
      </w:pPr>
      <w:rPr>
        <w:rFonts w:hint="default"/>
      </w:rPr>
    </w:lvl>
    <w:lvl w:ilvl="2">
      <w:start w:val="0"/>
      <w:numFmt w:val="bullet"/>
      <w:lvlText w:val="•"/>
      <w:lvlJc w:val="left"/>
      <w:pPr>
        <w:ind w:left="2220" w:hanging="630"/>
      </w:pPr>
      <w:rPr>
        <w:rFonts w:hint="default"/>
      </w:rPr>
    </w:lvl>
    <w:lvl w:ilvl="3">
      <w:start w:val="0"/>
      <w:numFmt w:val="bullet"/>
      <w:lvlText w:val="•"/>
      <w:lvlJc w:val="left"/>
      <w:pPr>
        <w:ind w:left="2960" w:hanging="630"/>
      </w:pPr>
      <w:rPr>
        <w:rFonts w:hint="default"/>
      </w:rPr>
    </w:lvl>
    <w:lvl w:ilvl="4">
      <w:start w:val="0"/>
      <w:numFmt w:val="bullet"/>
      <w:lvlText w:val="•"/>
      <w:lvlJc w:val="left"/>
      <w:pPr>
        <w:ind w:left="3701" w:hanging="630"/>
      </w:pPr>
      <w:rPr>
        <w:rFonts w:hint="default"/>
      </w:rPr>
    </w:lvl>
    <w:lvl w:ilvl="5">
      <w:start w:val="0"/>
      <w:numFmt w:val="bullet"/>
      <w:lvlText w:val="•"/>
      <w:lvlJc w:val="left"/>
      <w:pPr>
        <w:ind w:left="4441" w:hanging="630"/>
      </w:pPr>
      <w:rPr>
        <w:rFonts w:hint="default"/>
      </w:rPr>
    </w:lvl>
    <w:lvl w:ilvl="6">
      <w:start w:val="0"/>
      <w:numFmt w:val="bullet"/>
      <w:lvlText w:val="•"/>
      <w:lvlJc w:val="left"/>
      <w:pPr>
        <w:ind w:left="5181" w:hanging="630"/>
      </w:pPr>
      <w:rPr>
        <w:rFonts w:hint="default"/>
      </w:rPr>
    </w:lvl>
    <w:lvl w:ilvl="7">
      <w:start w:val="0"/>
      <w:numFmt w:val="bullet"/>
      <w:lvlText w:val="•"/>
      <w:lvlJc w:val="left"/>
      <w:pPr>
        <w:ind w:left="5922" w:hanging="630"/>
      </w:pPr>
      <w:rPr>
        <w:rFonts w:hint="default"/>
      </w:rPr>
    </w:lvl>
    <w:lvl w:ilvl="8">
      <w:start w:val="0"/>
      <w:numFmt w:val="bullet"/>
      <w:lvlText w:val="•"/>
      <w:lvlJc w:val="left"/>
      <w:pPr>
        <w:ind w:left="6662" w:hanging="630"/>
      </w:pPr>
      <w:rPr>
        <w:rFonts w:hint="default"/>
      </w:rPr>
    </w:lvl>
  </w:abstractNum>
  <w:abstractNum w:abstractNumId="23">
    <w:multiLevelType w:val="hybridMultilevel"/>
    <w:lvl w:ilvl="0">
      <w:start w:val="1"/>
      <w:numFmt w:val="decimal"/>
      <w:lvlText w:val="（%1）"/>
      <w:lvlJc w:val="left"/>
      <w:pPr>
        <w:ind w:left="705" w:hanging="602"/>
        <w:jc w:val="left"/>
      </w:pPr>
      <w:rPr>
        <w:rFonts w:hint="default" w:ascii="宋体" w:hAnsi="宋体" w:eastAsia="宋体" w:cs="宋体"/>
        <w:spacing w:val="-1"/>
        <w:w w:val="100"/>
        <w:sz w:val="21"/>
        <w:szCs w:val="21"/>
      </w:rPr>
    </w:lvl>
    <w:lvl w:ilvl="1">
      <w:start w:val="0"/>
      <w:numFmt w:val="bullet"/>
      <w:lvlText w:val="•"/>
      <w:lvlJc w:val="left"/>
      <w:pPr>
        <w:ind w:left="1444" w:hanging="602"/>
      </w:pPr>
      <w:rPr>
        <w:rFonts w:hint="default"/>
      </w:rPr>
    </w:lvl>
    <w:lvl w:ilvl="2">
      <w:start w:val="0"/>
      <w:numFmt w:val="bullet"/>
      <w:lvlText w:val="•"/>
      <w:lvlJc w:val="left"/>
      <w:pPr>
        <w:ind w:left="2188" w:hanging="602"/>
      </w:pPr>
      <w:rPr>
        <w:rFonts w:hint="default"/>
      </w:rPr>
    </w:lvl>
    <w:lvl w:ilvl="3">
      <w:start w:val="0"/>
      <w:numFmt w:val="bullet"/>
      <w:lvlText w:val="•"/>
      <w:lvlJc w:val="left"/>
      <w:pPr>
        <w:ind w:left="2932" w:hanging="602"/>
      </w:pPr>
      <w:rPr>
        <w:rFonts w:hint="default"/>
      </w:rPr>
    </w:lvl>
    <w:lvl w:ilvl="4">
      <w:start w:val="0"/>
      <w:numFmt w:val="bullet"/>
      <w:lvlText w:val="•"/>
      <w:lvlJc w:val="left"/>
      <w:pPr>
        <w:ind w:left="3677" w:hanging="602"/>
      </w:pPr>
      <w:rPr>
        <w:rFonts w:hint="default"/>
      </w:rPr>
    </w:lvl>
    <w:lvl w:ilvl="5">
      <w:start w:val="0"/>
      <w:numFmt w:val="bullet"/>
      <w:lvlText w:val="•"/>
      <w:lvlJc w:val="left"/>
      <w:pPr>
        <w:ind w:left="4421" w:hanging="602"/>
      </w:pPr>
      <w:rPr>
        <w:rFonts w:hint="default"/>
      </w:rPr>
    </w:lvl>
    <w:lvl w:ilvl="6">
      <w:start w:val="0"/>
      <w:numFmt w:val="bullet"/>
      <w:lvlText w:val="•"/>
      <w:lvlJc w:val="left"/>
      <w:pPr>
        <w:ind w:left="5165" w:hanging="602"/>
      </w:pPr>
      <w:rPr>
        <w:rFonts w:hint="default"/>
      </w:rPr>
    </w:lvl>
    <w:lvl w:ilvl="7">
      <w:start w:val="0"/>
      <w:numFmt w:val="bullet"/>
      <w:lvlText w:val="•"/>
      <w:lvlJc w:val="left"/>
      <w:pPr>
        <w:ind w:left="5910" w:hanging="602"/>
      </w:pPr>
      <w:rPr>
        <w:rFonts w:hint="default"/>
      </w:rPr>
    </w:lvl>
    <w:lvl w:ilvl="8">
      <w:start w:val="0"/>
      <w:numFmt w:val="bullet"/>
      <w:lvlText w:val="•"/>
      <w:lvlJc w:val="left"/>
      <w:pPr>
        <w:ind w:left="6654" w:hanging="602"/>
      </w:pPr>
      <w:rPr>
        <w:rFonts w:hint="default"/>
      </w:rPr>
    </w:lvl>
  </w:abstractNum>
  <w:abstractNum w:abstractNumId="22">
    <w:multiLevelType w:val="hybridMultilevel"/>
    <w:lvl w:ilvl="0">
      <w:start w:val="1"/>
      <w:numFmt w:val="decimal"/>
      <w:lvlText w:val="（%1）"/>
      <w:lvlJc w:val="left"/>
      <w:pPr>
        <w:ind w:left="734" w:hanging="630"/>
        <w:jc w:val="left"/>
      </w:pPr>
      <w:rPr>
        <w:rFonts w:hint="default" w:ascii="宋体" w:hAnsi="宋体" w:eastAsia="宋体" w:cs="宋体"/>
        <w:spacing w:val="-1"/>
        <w:w w:val="100"/>
        <w:sz w:val="21"/>
        <w:szCs w:val="21"/>
      </w:rPr>
    </w:lvl>
    <w:lvl w:ilvl="1">
      <w:start w:val="0"/>
      <w:numFmt w:val="bullet"/>
      <w:lvlText w:val="•"/>
      <w:lvlJc w:val="left"/>
      <w:pPr>
        <w:ind w:left="1480" w:hanging="630"/>
      </w:pPr>
      <w:rPr>
        <w:rFonts w:hint="default"/>
      </w:rPr>
    </w:lvl>
    <w:lvl w:ilvl="2">
      <w:start w:val="0"/>
      <w:numFmt w:val="bullet"/>
      <w:lvlText w:val="•"/>
      <w:lvlJc w:val="left"/>
      <w:pPr>
        <w:ind w:left="2220" w:hanging="630"/>
      </w:pPr>
      <w:rPr>
        <w:rFonts w:hint="default"/>
      </w:rPr>
    </w:lvl>
    <w:lvl w:ilvl="3">
      <w:start w:val="0"/>
      <w:numFmt w:val="bullet"/>
      <w:lvlText w:val="•"/>
      <w:lvlJc w:val="left"/>
      <w:pPr>
        <w:ind w:left="2960" w:hanging="630"/>
      </w:pPr>
      <w:rPr>
        <w:rFonts w:hint="default"/>
      </w:rPr>
    </w:lvl>
    <w:lvl w:ilvl="4">
      <w:start w:val="0"/>
      <w:numFmt w:val="bullet"/>
      <w:lvlText w:val="•"/>
      <w:lvlJc w:val="left"/>
      <w:pPr>
        <w:ind w:left="3701" w:hanging="630"/>
      </w:pPr>
      <w:rPr>
        <w:rFonts w:hint="default"/>
      </w:rPr>
    </w:lvl>
    <w:lvl w:ilvl="5">
      <w:start w:val="0"/>
      <w:numFmt w:val="bullet"/>
      <w:lvlText w:val="•"/>
      <w:lvlJc w:val="left"/>
      <w:pPr>
        <w:ind w:left="4441" w:hanging="630"/>
      </w:pPr>
      <w:rPr>
        <w:rFonts w:hint="default"/>
      </w:rPr>
    </w:lvl>
    <w:lvl w:ilvl="6">
      <w:start w:val="0"/>
      <w:numFmt w:val="bullet"/>
      <w:lvlText w:val="•"/>
      <w:lvlJc w:val="left"/>
      <w:pPr>
        <w:ind w:left="5181" w:hanging="630"/>
      </w:pPr>
      <w:rPr>
        <w:rFonts w:hint="default"/>
      </w:rPr>
    </w:lvl>
    <w:lvl w:ilvl="7">
      <w:start w:val="0"/>
      <w:numFmt w:val="bullet"/>
      <w:lvlText w:val="•"/>
      <w:lvlJc w:val="left"/>
      <w:pPr>
        <w:ind w:left="5922" w:hanging="630"/>
      </w:pPr>
      <w:rPr>
        <w:rFonts w:hint="default"/>
      </w:rPr>
    </w:lvl>
    <w:lvl w:ilvl="8">
      <w:start w:val="0"/>
      <w:numFmt w:val="bullet"/>
      <w:lvlText w:val="•"/>
      <w:lvlJc w:val="left"/>
      <w:pPr>
        <w:ind w:left="6662" w:hanging="630"/>
      </w:pPr>
      <w:rPr>
        <w:rFonts w:hint="default"/>
      </w:rPr>
    </w:lvl>
  </w:abstractNum>
  <w:abstractNum w:abstractNumId="21">
    <w:multiLevelType w:val="hybridMultilevel"/>
    <w:lvl w:ilvl="0">
      <w:start w:val="1"/>
      <w:numFmt w:val="decimal"/>
      <w:lvlText w:val="（%1）"/>
      <w:lvlJc w:val="left"/>
      <w:pPr>
        <w:ind w:left="734" w:hanging="630"/>
        <w:jc w:val="left"/>
      </w:pPr>
      <w:rPr>
        <w:rFonts w:hint="default" w:ascii="宋体" w:hAnsi="宋体" w:eastAsia="宋体" w:cs="宋体"/>
        <w:spacing w:val="-1"/>
        <w:w w:val="100"/>
        <w:sz w:val="21"/>
        <w:szCs w:val="21"/>
      </w:rPr>
    </w:lvl>
    <w:lvl w:ilvl="1">
      <w:start w:val="0"/>
      <w:numFmt w:val="bullet"/>
      <w:lvlText w:val="•"/>
      <w:lvlJc w:val="left"/>
      <w:pPr>
        <w:ind w:left="1480" w:hanging="630"/>
      </w:pPr>
      <w:rPr>
        <w:rFonts w:hint="default"/>
      </w:rPr>
    </w:lvl>
    <w:lvl w:ilvl="2">
      <w:start w:val="0"/>
      <w:numFmt w:val="bullet"/>
      <w:lvlText w:val="•"/>
      <w:lvlJc w:val="left"/>
      <w:pPr>
        <w:ind w:left="2220" w:hanging="630"/>
      </w:pPr>
      <w:rPr>
        <w:rFonts w:hint="default"/>
      </w:rPr>
    </w:lvl>
    <w:lvl w:ilvl="3">
      <w:start w:val="0"/>
      <w:numFmt w:val="bullet"/>
      <w:lvlText w:val="•"/>
      <w:lvlJc w:val="left"/>
      <w:pPr>
        <w:ind w:left="2960" w:hanging="630"/>
      </w:pPr>
      <w:rPr>
        <w:rFonts w:hint="default"/>
      </w:rPr>
    </w:lvl>
    <w:lvl w:ilvl="4">
      <w:start w:val="0"/>
      <w:numFmt w:val="bullet"/>
      <w:lvlText w:val="•"/>
      <w:lvlJc w:val="left"/>
      <w:pPr>
        <w:ind w:left="3701" w:hanging="630"/>
      </w:pPr>
      <w:rPr>
        <w:rFonts w:hint="default"/>
      </w:rPr>
    </w:lvl>
    <w:lvl w:ilvl="5">
      <w:start w:val="0"/>
      <w:numFmt w:val="bullet"/>
      <w:lvlText w:val="•"/>
      <w:lvlJc w:val="left"/>
      <w:pPr>
        <w:ind w:left="4441" w:hanging="630"/>
      </w:pPr>
      <w:rPr>
        <w:rFonts w:hint="default"/>
      </w:rPr>
    </w:lvl>
    <w:lvl w:ilvl="6">
      <w:start w:val="0"/>
      <w:numFmt w:val="bullet"/>
      <w:lvlText w:val="•"/>
      <w:lvlJc w:val="left"/>
      <w:pPr>
        <w:ind w:left="5181" w:hanging="630"/>
      </w:pPr>
      <w:rPr>
        <w:rFonts w:hint="default"/>
      </w:rPr>
    </w:lvl>
    <w:lvl w:ilvl="7">
      <w:start w:val="0"/>
      <w:numFmt w:val="bullet"/>
      <w:lvlText w:val="•"/>
      <w:lvlJc w:val="left"/>
      <w:pPr>
        <w:ind w:left="5922" w:hanging="630"/>
      </w:pPr>
      <w:rPr>
        <w:rFonts w:hint="default"/>
      </w:rPr>
    </w:lvl>
    <w:lvl w:ilvl="8">
      <w:start w:val="0"/>
      <w:numFmt w:val="bullet"/>
      <w:lvlText w:val="•"/>
      <w:lvlJc w:val="left"/>
      <w:pPr>
        <w:ind w:left="6662" w:hanging="630"/>
      </w:pPr>
      <w:rPr>
        <w:rFonts w:hint="default"/>
      </w:rPr>
    </w:lvl>
  </w:abstractNum>
  <w:abstractNum w:abstractNumId="20">
    <w:multiLevelType w:val="hybridMultilevel"/>
    <w:lvl w:ilvl="0">
      <w:start w:val="1"/>
      <w:numFmt w:val="decimal"/>
      <w:lvlText w:val="（%1）"/>
      <w:lvlJc w:val="left"/>
      <w:pPr>
        <w:ind w:left="734" w:hanging="630"/>
        <w:jc w:val="left"/>
      </w:pPr>
      <w:rPr>
        <w:rFonts w:hint="default" w:ascii="宋体" w:hAnsi="宋体" w:eastAsia="宋体" w:cs="宋体"/>
        <w:spacing w:val="-1"/>
        <w:w w:val="100"/>
        <w:sz w:val="21"/>
        <w:szCs w:val="21"/>
      </w:rPr>
    </w:lvl>
    <w:lvl w:ilvl="1">
      <w:start w:val="0"/>
      <w:numFmt w:val="bullet"/>
      <w:lvlText w:val="•"/>
      <w:lvlJc w:val="left"/>
      <w:pPr>
        <w:ind w:left="1480" w:hanging="630"/>
      </w:pPr>
      <w:rPr>
        <w:rFonts w:hint="default"/>
      </w:rPr>
    </w:lvl>
    <w:lvl w:ilvl="2">
      <w:start w:val="0"/>
      <w:numFmt w:val="bullet"/>
      <w:lvlText w:val="•"/>
      <w:lvlJc w:val="left"/>
      <w:pPr>
        <w:ind w:left="2220" w:hanging="630"/>
      </w:pPr>
      <w:rPr>
        <w:rFonts w:hint="default"/>
      </w:rPr>
    </w:lvl>
    <w:lvl w:ilvl="3">
      <w:start w:val="0"/>
      <w:numFmt w:val="bullet"/>
      <w:lvlText w:val="•"/>
      <w:lvlJc w:val="left"/>
      <w:pPr>
        <w:ind w:left="2960" w:hanging="630"/>
      </w:pPr>
      <w:rPr>
        <w:rFonts w:hint="default"/>
      </w:rPr>
    </w:lvl>
    <w:lvl w:ilvl="4">
      <w:start w:val="0"/>
      <w:numFmt w:val="bullet"/>
      <w:lvlText w:val="•"/>
      <w:lvlJc w:val="left"/>
      <w:pPr>
        <w:ind w:left="3701" w:hanging="630"/>
      </w:pPr>
      <w:rPr>
        <w:rFonts w:hint="default"/>
      </w:rPr>
    </w:lvl>
    <w:lvl w:ilvl="5">
      <w:start w:val="0"/>
      <w:numFmt w:val="bullet"/>
      <w:lvlText w:val="•"/>
      <w:lvlJc w:val="left"/>
      <w:pPr>
        <w:ind w:left="4441" w:hanging="630"/>
      </w:pPr>
      <w:rPr>
        <w:rFonts w:hint="default"/>
      </w:rPr>
    </w:lvl>
    <w:lvl w:ilvl="6">
      <w:start w:val="0"/>
      <w:numFmt w:val="bullet"/>
      <w:lvlText w:val="•"/>
      <w:lvlJc w:val="left"/>
      <w:pPr>
        <w:ind w:left="5181" w:hanging="630"/>
      </w:pPr>
      <w:rPr>
        <w:rFonts w:hint="default"/>
      </w:rPr>
    </w:lvl>
    <w:lvl w:ilvl="7">
      <w:start w:val="0"/>
      <w:numFmt w:val="bullet"/>
      <w:lvlText w:val="•"/>
      <w:lvlJc w:val="left"/>
      <w:pPr>
        <w:ind w:left="5922" w:hanging="630"/>
      </w:pPr>
      <w:rPr>
        <w:rFonts w:hint="default"/>
      </w:rPr>
    </w:lvl>
    <w:lvl w:ilvl="8">
      <w:start w:val="0"/>
      <w:numFmt w:val="bullet"/>
      <w:lvlText w:val="•"/>
      <w:lvlJc w:val="left"/>
      <w:pPr>
        <w:ind w:left="6662" w:hanging="630"/>
      </w:pPr>
      <w:rPr>
        <w:rFonts w:hint="default"/>
      </w:rPr>
    </w:lvl>
  </w:abstractNum>
  <w:abstractNum w:abstractNumId="19">
    <w:multiLevelType w:val="hybridMultilevel"/>
    <w:lvl w:ilvl="0">
      <w:start w:val="1"/>
      <w:numFmt w:val="decimal"/>
      <w:lvlText w:val="（%1）"/>
      <w:lvlJc w:val="left"/>
      <w:pPr>
        <w:ind w:left="709" w:hanging="630"/>
        <w:jc w:val="left"/>
      </w:pPr>
      <w:rPr>
        <w:rFonts w:hint="default" w:ascii="宋体" w:hAnsi="宋体" w:eastAsia="宋体" w:cs="宋体"/>
        <w:spacing w:val="-1"/>
        <w:w w:val="100"/>
        <w:sz w:val="21"/>
        <w:szCs w:val="21"/>
      </w:rPr>
    </w:lvl>
    <w:lvl w:ilvl="1">
      <w:start w:val="0"/>
      <w:numFmt w:val="bullet"/>
      <w:lvlText w:val="•"/>
      <w:lvlJc w:val="left"/>
      <w:pPr>
        <w:ind w:left="1424" w:hanging="630"/>
      </w:pPr>
      <w:rPr>
        <w:rFonts w:hint="default"/>
      </w:rPr>
    </w:lvl>
    <w:lvl w:ilvl="2">
      <w:start w:val="0"/>
      <w:numFmt w:val="bullet"/>
      <w:lvlText w:val="•"/>
      <w:lvlJc w:val="left"/>
      <w:pPr>
        <w:ind w:left="2149" w:hanging="630"/>
      </w:pPr>
      <w:rPr>
        <w:rFonts w:hint="default"/>
      </w:rPr>
    </w:lvl>
    <w:lvl w:ilvl="3">
      <w:start w:val="0"/>
      <w:numFmt w:val="bullet"/>
      <w:lvlText w:val="•"/>
      <w:lvlJc w:val="left"/>
      <w:pPr>
        <w:ind w:left="2874" w:hanging="630"/>
      </w:pPr>
      <w:rPr>
        <w:rFonts w:hint="default"/>
      </w:rPr>
    </w:lvl>
    <w:lvl w:ilvl="4">
      <w:start w:val="0"/>
      <w:numFmt w:val="bullet"/>
      <w:lvlText w:val="•"/>
      <w:lvlJc w:val="left"/>
      <w:pPr>
        <w:ind w:left="3598" w:hanging="630"/>
      </w:pPr>
      <w:rPr>
        <w:rFonts w:hint="default"/>
      </w:rPr>
    </w:lvl>
    <w:lvl w:ilvl="5">
      <w:start w:val="0"/>
      <w:numFmt w:val="bullet"/>
      <w:lvlText w:val="•"/>
      <w:lvlJc w:val="left"/>
      <w:pPr>
        <w:ind w:left="4323" w:hanging="630"/>
      </w:pPr>
      <w:rPr>
        <w:rFonts w:hint="default"/>
      </w:rPr>
    </w:lvl>
    <w:lvl w:ilvl="6">
      <w:start w:val="0"/>
      <w:numFmt w:val="bullet"/>
      <w:lvlText w:val="•"/>
      <w:lvlJc w:val="left"/>
      <w:pPr>
        <w:ind w:left="5048" w:hanging="630"/>
      </w:pPr>
      <w:rPr>
        <w:rFonts w:hint="default"/>
      </w:rPr>
    </w:lvl>
    <w:lvl w:ilvl="7">
      <w:start w:val="0"/>
      <w:numFmt w:val="bullet"/>
      <w:lvlText w:val="•"/>
      <w:lvlJc w:val="left"/>
      <w:pPr>
        <w:ind w:left="5772" w:hanging="630"/>
      </w:pPr>
      <w:rPr>
        <w:rFonts w:hint="default"/>
      </w:rPr>
    </w:lvl>
    <w:lvl w:ilvl="8">
      <w:start w:val="0"/>
      <w:numFmt w:val="bullet"/>
      <w:lvlText w:val="•"/>
      <w:lvlJc w:val="left"/>
      <w:pPr>
        <w:ind w:left="6497" w:hanging="630"/>
      </w:pPr>
      <w:rPr>
        <w:rFonts w:hint="default"/>
      </w:rPr>
    </w:lvl>
  </w:abstractNum>
  <w:abstractNum w:abstractNumId="18">
    <w:multiLevelType w:val="hybridMultilevel"/>
    <w:lvl w:ilvl="0">
      <w:start w:val="1"/>
      <w:numFmt w:val="decimal"/>
      <w:lvlText w:val="（%1）"/>
      <w:lvlJc w:val="left"/>
      <w:pPr>
        <w:ind w:left="828" w:hanging="721"/>
        <w:jc w:val="left"/>
      </w:pPr>
      <w:rPr>
        <w:rFonts w:hint="default" w:ascii="宋体" w:hAnsi="宋体" w:eastAsia="宋体" w:cs="宋体"/>
        <w:spacing w:val="-53"/>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5" w:hanging="721"/>
      </w:pPr>
      <w:rPr>
        <w:rFonts w:hint="default"/>
      </w:rPr>
    </w:lvl>
    <w:lvl w:ilvl="3">
      <w:start w:val="0"/>
      <w:numFmt w:val="bullet"/>
      <w:lvlText w:val="•"/>
      <w:lvlJc w:val="left"/>
      <w:pPr>
        <w:ind w:left="2958" w:hanging="721"/>
      </w:pPr>
      <w:rPr>
        <w:rFonts w:hint="default"/>
      </w:rPr>
    </w:lvl>
    <w:lvl w:ilvl="4">
      <w:start w:val="0"/>
      <w:numFmt w:val="bullet"/>
      <w:lvlText w:val="•"/>
      <w:lvlJc w:val="left"/>
      <w:pPr>
        <w:ind w:left="3670" w:hanging="721"/>
      </w:pPr>
      <w:rPr>
        <w:rFonts w:hint="default"/>
      </w:rPr>
    </w:lvl>
    <w:lvl w:ilvl="5">
      <w:start w:val="0"/>
      <w:numFmt w:val="bullet"/>
      <w:lvlText w:val="•"/>
      <w:lvlJc w:val="left"/>
      <w:pPr>
        <w:ind w:left="4383" w:hanging="721"/>
      </w:pPr>
      <w:rPr>
        <w:rFonts w:hint="default"/>
      </w:rPr>
    </w:lvl>
    <w:lvl w:ilvl="6">
      <w:start w:val="0"/>
      <w:numFmt w:val="bullet"/>
      <w:lvlText w:val="•"/>
      <w:lvlJc w:val="left"/>
      <w:pPr>
        <w:ind w:left="5096" w:hanging="721"/>
      </w:pPr>
      <w:rPr>
        <w:rFonts w:hint="default"/>
      </w:rPr>
    </w:lvl>
    <w:lvl w:ilvl="7">
      <w:start w:val="0"/>
      <w:numFmt w:val="bullet"/>
      <w:lvlText w:val="•"/>
      <w:lvlJc w:val="left"/>
      <w:pPr>
        <w:ind w:left="5808" w:hanging="721"/>
      </w:pPr>
      <w:rPr>
        <w:rFonts w:hint="default"/>
      </w:rPr>
    </w:lvl>
    <w:lvl w:ilvl="8">
      <w:start w:val="0"/>
      <w:numFmt w:val="bullet"/>
      <w:lvlText w:val="•"/>
      <w:lvlJc w:val="left"/>
      <w:pPr>
        <w:ind w:left="6521" w:hanging="721"/>
      </w:pPr>
      <w:rPr>
        <w:rFonts w:hint="default"/>
      </w:rPr>
    </w:lvl>
  </w:abstractNum>
  <w:abstractNum w:abstractNumId="17">
    <w:multiLevelType w:val="hybridMultilevel"/>
    <w:lvl w:ilvl="0">
      <w:start w:val="1"/>
      <w:numFmt w:val="decimal"/>
      <w:lvlText w:val="（%1）"/>
      <w:lvlJc w:val="left"/>
      <w:pPr>
        <w:ind w:left="843" w:hanging="736"/>
        <w:jc w:val="left"/>
      </w:pPr>
      <w:rPr>
        <w:rFonts w:hint="default" w:ascii="宋体" w:hAnsi="宋体" w:eastAsia="宋体" w:cs="宋体"/>
        <w:spacing w:val="-1"/>
        <w:w w:val="100"/>
        <w:sz w:val="21"/>
        <w:szCs w:val="21"/>
      </w:rPr>
    </w:lvl>
    <w:lvl w:ilvl="1">
      <w:start w:val="0"/>
      <w:numFmt w:val="bullet"/>
      <w:lvlText w:val="•"/>
      <w:lvlJc w:val="left"/>
      <w:pPr>
        <w:ind w:left="1550" w:hanging="736"/>
      </w:pPr>
      <w:rPr>
        <w:rFonts w:hint="default"/>
      </w:rPr>
    </w:lvl>
    <w:lvl w:ilvl="2">
      <w:start w:val="0"/>
      <w:numFmt w:val="bullet"/>
      <w:lvlText w:val="•"/>
      <w:lvlJc w:val="left"/>
      <w:pPr>
        <w:ind w:left="2261" w:hanging="736"/>
      </w:pPr>
      <w:rPr>
        <w:rFonts w:hint="default"/>
      </w:rPr>
    </w:lvl>
    <w:lvl w:ilvl="3">
      <w:start w:val="0"/>
      <w:numFmt w:val="bullet"/>
      <w:lvlText w:val="•"/>
      <w:lvlJc w:val="left"/>
      <w:pPr>
        <w:ind w:left="2972" w:hanging="736"/>
      </w:pPr>
      <w:rPr>
        <w:rFonts w:hint="default"/>
      </w:rPr>
    </w:lvl>
    <w:lvl w:ilvl="4">
      <w:start w:val="0"/>
      <w:numFmt w:val="bullet"/>
      <w:lvlText w:val="•"/>
      <w:lvlJc w:val="left"/>
      <w:pPr>
        <w:ind w:left="3682" w:hanging="736"/>
      </w:pPr>
      <w:rPr>
        <w:rFonts w:hint="default"/>
      </w:rPr>
    </w:lvl>
    <w:lvl w:ilvl="5">
      <w:start w:val="0"/>
      <w:numFmt w:val="bullet"/>
      <w:lvlText w:val="•"/>
      <w:lvlJc w:val="left"/>
      <w:pPr>
        <w:ind w:left="4393" w:hanging="736"/>
      </w:pPr>
      <w:rPr>
        <w:rFonts w:hint="default"/>
      </w:rPr>
    </w:lvl>
    <w:lvl w:ilvl="6">
      <w:start w:val="0"/>
      <w:numFmt w:val="bullet"/>
      <w:lvlText w:val="•"/>
      <w:lvlJc w:val="left"/>
      <w:pPr>
        <w:ind w:left="5104" w:hanging="736"/>
      </w:pPr>
      <w:rPr>
        <w:rFonts w:hint="default"/>
      </w:rPr>
    </w:lvl>
    <w:lvl w:ilvl="7">
      <w:start w:val="0"/>
      <w:numFmt w:val="bullet"/>
      <w:lvlText w:val="•"/>
      <w:lvlJc w:val="left"/>
      <w:pPr>
        <w:ind w:left="5814" w:hanging="736"/>
      </w:pPr>
      <w:rPr>
        <w:rFonts w:hint="default"/>
      </w:rPr>
    </w:lvl>
    <w:lvl w:ilvl="8">
      <w:start w:val="0"/>
      <w:numFmt w:val="bullet"/>
      <w:lvlText w:val="•"/>
      <w:lvlJc w:val="left"/>
      <w:pPr>
        <w:ind w:left="6525" w:hanging="736"/>
      </w:pPr>
      <w:rPr>
        <w:rFonts w:hint="default"/>
      </w:rPr>
    </w:lvl>
  </w:abstractNum>
  <w:abstractNum w:abstractNumId="16">
    <w:multiLevelType w:val="hybridMultilevel"/>
    <w:lvl w:ilvl="0">
      <w:start w:val="1"/>
      <w:numFmt w:val="decimal"/>
      <w:lvlText w:val="（%1）"/>
      <w:lvlJc w:val="left"/>
      <w:pPr>
        <w:ind w:left="843" w:hanging="736"/>
        <w:jc w:val="left"/>
      </w:pPr>
      <w:rPr>
        <w:rFonts w:hint="default" w:ascii="宋体" w:hAnsi="宋体" w:eastAsia="宋体" w:cs="宋体"/>
        <w:spacing w:val="-1"/>
        <w:w w:val="100"/>
        <w:sz w:val="21"/>
        <w:szCs w:val="21"/>
      </w:rPr>
    </w:lvl>
    <w:lvl w:ilvl="1">
      <w:start w:val="0"/>
      <w:numFmt w:val="bullet"/>
      <w:lvlText w:val="•"/>
      <w:lvlJc w:val="left"/>
      <w:pPr>
        <w:ind w:left="1550" w:hanging="736"/>
      </w:pPr>
      <w:rPr>
        <w:rFonts w:hint="default"/>
      </w:rPr>
    </w:lvl>
    <w:lvl w:ilvl="2">
      <w:start w:val="0"/>
      <w:numFmt w:val="bullet"/>
      <w:lvlText w:val="•"/>
      <w:lvlJc w:val="left"/>
      <w:pPr>
        <w:ind w:left="2261" w:hanging="736"/>
      </w:pPr>
      <w:rPr>
        <w:rFonts w:hint="default"/>
      </w:rPr>
    </w:lvl>
    <w:lvl w:ilvl="3">
      <w:start w:val="0"/>
      <w:numFmt w:val="bullet"/>
      <w:lvlText w:val="•"/>
      <w:lvlJc w:val="left"/>
      <w:pPr>
        <w:ind w:left="2972" w:hanging="736"/>
      </w:pPr>
      <w:rPr>
        <w:rFonts w:hint="default"/>
      </w:rPr>
    </w:lvl>
    <w:lvl w:ilvl="4">
      <w:start w:val="0"/>
      <w:numFmt w:val="bullet"/>
      <w:lvlText w:val="•"/>
      <w:lvlJc w:val="left"/>
      <w:pPr>
        <w:ind w:left="3682" w:hanging="736"/>
      </w:pPr>
      <w:rPr>
        <w:rFonts w:hint="default"/>
      </w:rPr>
    </w:lvl>
    <w:lvl w:ilvl="5">
      <w:start w:val="0"/>
      <w:numFmt w:val="bullet"/>
      <w:lvlText w:val="•"/>
      <w:lvlJc w:val="left"/>
      <w:pPr>
        <w:ind w:left="4393" w:hanging="736"/>
      </w:pPr>
      <w:rPr>
        <w:rFonts w:hint="default"/>
      </w:rPr>
    </w:lvl>
    <w:lvl w:ilvl="6">
      <w:start w:val="0"/>
      <w:numFmt w:val="bullet"/>
      <w:lvlText w:val="•"/>
      <w:lvlJc w:val="left"/>
      <w:pPr>
        <w:ind w:left="5104" w:hanging="736"/>
      </w:pPr>
      <w:rPr>
        <w:rFonts w:hint="default"/>
      </w:rPr>
    </w:lvl>
    <w:lvl w:ilvl="7">
      <w:start w:val="0"/>
      <w:numFmt w:val="bullet"/>
      <w:lvlText w:val="•"/>
      <w:lvlJc w:val="left"/>
      <w:pPr>
        <w:ind w:left="5814" w:hanging="736"/>
      </w:pPr>
      <w:rPr>
        <w:rFonts w:hint="default"/>
      </w:rPr>
    </w:lvl>
    <w:lvl w:ilvl="8">
      <w:start w:val="0"/>
      <w:numFmt w:val="bullet"/>
      <w:lvlText w:val="•"/>
      <w:lvlJc w:val="left"/>
      <w:pPr>
        <w:ind w:left="6525" w:hanging="736"/>
      </w:pPr>
      <w:rPr>
        <w:rFonts w:hint="default"/>
      </w:rPr>
    </w:lvl>
  </w:abstractNum>
  <w:abstractNum w:abstractNumId="15">
    <w:multiLevelType w:val="hybridMultilevel"/>
    <w:lvl w:ilvl="0">
      <w:start w:val="8"/>
      <w:numFmt w:val="decimal"/>
      <w:lvlText w:val="%1"/>
      <w:lvlJc w:val="left"/>
      <w:pPr>
        <w:ind w:left="2590" w:hanging="851"/>
        <w:jc w:val="left"/>
      </w:pPr>
      <w:rPr>
        <w:rFonts w:hint="default"/>
      </w:rPr>
    </w:lvl>
    <w:lvl w:ilvl="1">
      <w:start w:val="5"/>
      <w:numFmt w:val="decimal"/>
      <w:lvlText w:val="%1.%2"/>
      <w:lvlJc w:val="left"/>
      <w:pPr>
        <w:ind w:left="2590" w:hanging="851"/>
        <w:jc w:val="left"/>
      </w:pPr>
      <w:rPr>
        <w:rFonts w:hint="default" w:ascii="宋体" w:hAnsi="宋体" w:eastAsia="宋体" w:cs="宋体"/>
        <w:spacing w:val="-19"/>
        <w:w w:val="100"/>
        <w:sz w:val="21"/>
        <w:szCs w:val="21"/>
      </w:rPr>
    </w:lvl>
    <w:lvl w:ilvl="2">
      <w:start w:val="1"/>
      <w:numFmt w:val="decimal"/>
      <w:lvlText w:val="（%3）"/>
      <w:lvlJc w:val="left"/>
      <w:pPr>
        <w:ind w:left="3191" w:hanging="602"/>
        <w:jc w:val="left"/>
      </w:pPr>
      <w:rPr>
        <w:rFonts w:hint="default" w:ascii="宋体" w:hAnsi="宋体" w:eastAsia="宋体" w:cs="宋体"/>
        <w:spacing w:val="-1"/>
        <w:w w:val="100"/>
        <w:sz w:val="21"/>
        <w:szCs w:val="21"/>
      </w:rPr>
    </w:lvl>
    <w:lvl w:ilvl="3">
      <w:start w:val="0"/>
      <w:numFmt w:val="bullet"/>
      <w:lvlText w:val="•"/>
      <w:lvlJc w:val="left"/>
      <w:pPr>
        <w:ind w:left="4835" w:hanging="602"/>
      </w:pPr>
      <w:rPr>
        <w:rFonts w:hint="default"/>
      </w:rPr>
    </w:lvl>
    <w:lvl w:ilvl="4">
      <w:start w:val="0"/>
      <w:numFmt w:val="bullet"/>
      <w:lvlText w:val="•"/>
      <w:lvlJc w:val="left"/>
      <w:pPr>
        <w:ind w:left="5653" w:hanging="602"/>
      </w:pPr>
      <w:rPr>
        <w:rFonts w:hint="default"/>
      </w:rPr>
    </w:lvl>
    <w:lvl w:ilvl="5">
      <w:start w:val="0"/>
      <w:numFmt w:val="bullet"/>
      <w:lvlText w:val="•"/>
      <w:lvlJc w:val="left"/>
      <w:pPr>
        <w:ind w:left="6471" w:hanging="602"/>
      </w:pPr>
      <w:rPr>
        <w:rFonts w:hint="default"/>
      </w:rPr>
    </w:lvl>
    <w:lvl w:ilvl="6">
      <w:start w:val="0"/>
      <w:numFmt w:val="bullet"/>
      <w:lvlText w:val="•"/>
      <w:lvlJc w:val="left"/>
      <w:pPr>
        <w:ind w:left="7288" w:hanging="602"/>
      </w:pPr>
      <w:rPr>
        <w:rFonts w:hint="default"/>
      </w:rPr>
    </w:lvl>
    <w:lvl w:ilvl="7">
      <w:start w:val="0"/>
      <w:numFmt w:val="bullet"/>
      <w:lvlText w:val="•"/>
      <w:lvlJc w:val="left"/>
      <w:pPr>
        <w:ind w:left="8106" w:hanging="602"/>
      </w:pPr>
      <w:rPr>
        <w:rFonts w:hint="default"/>
      </w:rPr>
    </w:lvl>
    <w:lvl w:ilvl="8">
      <w:start w:val="0"/>
      <w:numFmt w:val="bullet"/>
      <w:lvlText w:val="•"/>
      <w:lvlJc w:val="left"/>
      <w:pPr>
        <w:ind w:left="8924" w:hanging="602"/>
      </w:pPr>
      <w:rPr>
        <w:rFonts w:hint="default"/>
      </w:rPr>
    </w:lvl>
  </w:abstractNum>
  <w:abstractNum w:abstractNumId="14">
    <w:multiLevelType w:val="hybridMultilevel"/>
    <w:lvl w:ilvl="0">
      <w:start w:val="1"/>
      <w:numFmt w:val="decimal"/>
      <w:lvlText w:val="（%1）"/>
      <w:lvlJc w:val="left"/>
      <w:pPr>
        <w:ind w:left="857" w:hanging="725"/>
        <w:jc w:val="left"/>
      </w:pPr>
      <w:rPr>
        <w:rFonts w:hint="default" w:ascii="黑体" w:hAnsi="黑体" w:eastAsia="黑体" w:cs="黑体"/>
        <w:spacing w:val="-11"/>
        <w:w w:val="100"/>
        <w:sz w:val="21"/>
        <w:szCs w:val="21"/>
      </w:rPr>
    </w:lvl>
    <w:lvl w:ilvl="1">
      <w:start w:val="0"/>
      <w:numFmt w:val="bullet"/>
      <w:lvlText w:val="•"/>
      <w:lvlJc w:val="left"/>
      <w:pPr>
        <w:ind w:left="1570" w:hanging="725"/>
      </w:pPr>
      <w:rPr>
        <w:rFonts w:hint="default"/>
      </w:rPr>
    </w:lvl>
    <w:lvl w:ilvl="2">
      <w:start w:val="0"/>
      <w:numFmt w:val="bullet"/>
      <w:lvlText w:val="•"/>
      <w:lvlJc w:val="left"/>
      <w:pPr>
        <w:ind w:left="2281" w:hanging="725"/>
      </w:pPr>
      <w:rPr>
        <w:rFonts w:hint="default"/>
      </w:rPr>
    </w:lvl>
    <w:lvl w:ilvl="3">
      <w:start w:val="0"/>
      <w:numFmt w:val="bullet"/>
      <w:lvlText w:val="•"/>
      <w:lvlJc w:val="left"/>
      <w:pPr>
        <w:ind w:left="2992" w:hanging="725"/>
      </w:pPr>
      <w:rPr>
        <w:rFonts w:hint="default"/>
      </w:rPr>
    </w:lvl>
    <w:lvl w:ilvl="4">
      <w:start w:val="0"/>
      <w:numFmt w:val="bullet"/>
      <w:lvlText w:val="•"/>
      <w:lvlJc w:val="left"/>
      <w:pPr>
        <w:ind w:left="3703" w:hanging="725"/>
      </w:pPr>
      <w:rPr>
        <w:rFonts w:hint="default"/>
      </w:rPr>
    </w:lvl>
    <w:lvl w:ilvl="5">
      <w:start w:val="0"/>
      <w:numFmt w:val="bullet"/>
      <w:lvlText w:val="•"/>
      <w:lvlJc w:val="left"/>
      <w:pPr>
        <w:ind w:left="4414" w:hanging="725"/>
      </w:pPr>
      <w:rPr>
        <w:rFonts w:hint="default"/>
      </w:rPr>
    </w:lvl>
    <w:lvl w:ilvl="6">
      <w:start w:val="0"/>
      <w:numFmt w:val="bullet"/>
      <w:lvlText w:val="•"/>
      <w:lvlJc w:val="left"/>
      <w:pPr>
        <w:ind w:left="5125" w:hanging="725"/>
      </w:pPr>
      <w:rPr>
        <w:rFonts w:hint="default"/>
      </w:rPr>
    </w:lvl>
    <w:lvl w:ilvl="7">
      <w:start w:val="0"/>
      <w:numFmt w:val="bullet"/>
      <w:lvlText w:val="•"/>
      <w:lvlJc w:val="left"/>
      <w:pPr>
        <w:ind w:left="5836" w:hanging="725"/>
      </w:pPr>
      <w:rPr>
        <w:rFonts w:hint="default"/>
      </w:rPr>
    </w:lvl>
    <w:lvl w:ilvl="8">
      <w:start w:val="0"/>
      <w:numFmt w:val="bullet"/>
      <w:lvlText w:val="•"/>
      <w:lvlJc w:val="left"/>
      <w:pPr>
        <w:ind w:left="6547" w:hanging="725"/>
      </w:pPr>
      <w:rPr>
        <w:rFonts w:hint="default"/>
      </w:rPr>
    </w:lvl>
  </w:abstractNum>
  <w:abstractNum w:abstractNumId="13">
    <w:multiLevelType w:val="hybridMultilevel"/>
    <w:lvl w:ilvl="0">
      <w:start w:val="1"/>
      <w:numFmt w:val="decimal"/>
      <w:lvlText w:val="（%1）"/>
      <w:lvlJc w:val="left"/>
      <w:pPr>
        <w:ind w:left="866" w:hanging="736"/>
        <w:jc w:val="left"/>
      </w:pPr>
      <w:rPr>
        <w:rFonts w:hint="default" w:ascii="宋体" w:hAnsi="宋体" w:eastAsia="宋体" w:cs="宋体"/>
        <w:spacing w:val="-1"/>
        <w:w w:val="100"/>
        <w:sz w:val="21"/>
        <w:szCs w:val="21"/>
      </w:rPr>
    </w:lvl>
    <w:lvl w:ilvl="1">
      <w:start w:val="0"/>
      <w:numFmt w:val="bullet"/>
      <w:lvlText w:val="•"/>
      <w:lvlJc w:val="left"/>
      <w:pPr>
        <w:ind w:left="1570" w:hanging="736"/>
      </w:pPr>
      <w:rPr>
        <w:rFonts w:hint="default"/>
      </w:rPr>
    </w:lvl>
    <w:lvl w:ilvl="2">
      <w:start w:val="0"/>
      <w:numFmt w:val="bullet"/>
      <w:lvlText w:val="•"/>
      <w:lvlJc w:val="left"/>
      <w:pPr>
        <w:ind w:left="2281" w:hanging="736"/>
      </w:pPr>
      <w:rPr>
        <w:rFonts w:hint="default"/>
      </w:rPr>
    </w:lvl>
    <w:lvl w:ilvl="3">
      <w:start w:val="0"/>
      <w:numFmt w:val="bullet"/>
      <w:lvlText w:val="•"/>
      <w:lvlJc w:val="left"/>
      <w:pPr>
        <w:ind w:left="2992" w:hanging="736"/>
      </w:pPr>
      <w:rPr>
        <w:rFonts w:hint="default"/>
      </w:rPr>
    </w:lvl>
    <w:lvl w:ilvl="4">
      <w:start w:val="0"/>
      <w:numFmt w:val="bullet"/>
      <w:lvlText w:val="•"/>
      <w:lvlJc w:val="left"/>
      <w:pPr>
        <w:ind w:left="3703" w:hanging="736"/>
      </w:pPr>
      <w:rPr>
        <w:rFonts w:hint="default"/>
      </w:rPr>
    </w:lvl>
    <w:lvl w:ilvl="5">
      <w:start w:val="0"/>
      <w:numFmt w:val="bullet"/>
      <w:lvlText w:val="•"/>
      <w:lvlJc w:val="left"/>
      <w:pPr>
        <w:ind w:left="4414" w:hanging="736"/>
      </w:pPr>
      <w:rPr>
        <w:rFonts w:hint="default"/>
      </w:rPr>
    </w:lvl>
    <w:lvl w:ilvl="6">
      <w:start w:val="0"/>
      <w:numFmt w:val="bullet"/>
      <w:lvlText w:val="•"/>
      <w:lvlJc w:val="left"/>
      <w:pPr>
        <w:ind w:left="5125" w:hanging="736"/>
      </w:pPr>
      <w:rPr>
        <w:rFonts w:hint="default"/>
      </w:rPr>
    </w:lvl>
    <w:lvl w:ilvl="7">
      <w:start w:val="0"/>
      <w:numFmt w:val="bullet"/>
      <w:lvlText w:val="•"/>
      <w:lvlJc w:val="left"/>
      <w:pPr>
        <w:ind w:left="5836" w:hanging="736"/>
      </w:pPr>
      <w:rPr>
        <w:rFonts w:hint="default"/>
      </w:rPr>
    </w:lvl>
    <w:lvl w:ilvl="8">
      <w:start w:val="0"/>
      <w:numFmt w:val="bullet"/>
      <w:lvlText w:val="•"/>
      <w:lvlJc w:val="left"/>
      <w:pPr>
        <w:ind w:left="6547" w:hanging="736"/>
      </w:pPr>
      <w:rPr>
        <w:rFonts w:hint="default"/>
      </w:rPr>
    </w:lvl>
  </w:abstractNum>
  <w:abstractNum w:abstractNumId="12">
    <w:multiLevelType w:val="hybridMultilevel"/>
    <w:lvl w:ilvl="0">
      <w:start w:val="1"/>
      <w:numFmt w:val="decimal"/>
      <w:lvlText w:val="（%1）"/>
      <w:lvlJc w:val="left"/>
      <w:pPr>
        <w:ind w:left="761" w:hanging="630"/>
        <w:jc w:val="left"/>
      </w:pPr>
      <w:rPr>
        <w:rFonts w:hint="default" w:ascii="宋体" w:hAnsi="宋体" w:eastAsia="宋体" w:cs="宋体"/>
        <w:spacing w:val="-1"/>
        <w:w w:val="100"/>
        <w:sz w:val="21"/>
        <w:szCs w:val="21"/>
      </w:rPr>
    </w:lvl>
    <w:lvl w:ilvl="1">
      <w:start w:val="0"/>
      <w:numFmt w:val="bullet"/>
      <w:lvlText w:val="•"/>
      <w:lvlJc w:val="left"/>
      <w:pPr>
        <w:ind w:left="1480" w:hanging="630"/>
      </w:pPr>
      <w:rPr>
        <w:rFonts w:hint="default"/>
      </w:rPr>
    </w:lvl>
    <w:lvl w:ilvl="2">
      <w:start w:val="0"/>
      <w:numFmt w:val="bullet"/>
      <w:lvlText w:val="•"/>
      <w:lvlJc w:val="left"/>
      <w:pPr>
        <w:ind w:left="2201" w:hanging="630"/>
      </w:pPr>
      <w:rPr>
        <w:rFonts w:hint="default"/>
      </w:rPr>
    </w:lvl>
    <w:lvl w:ilvl="3">
      <w:start w:val="0"/>
      <w:numFmt w:val="bullet"/>
      <w:lvlText w:val="•"/>
      <w:lvlJc w:val="left"/>
      <w:pPr>
        <w:ind w:left="2922" w:hanging="630"/>
      </w:pPr>
      <w:rPr>
        <w:rFonts w:hint="default"/>
      </w:rPr>
    </w:lvl>
    <w:lvl w:ilvl="4">
      <w:start w:val="0"/>
      <w:numFmt w:val="bullet"/>
      <w:lvlText w:val="•"/>
      <w:lvlJc w:val="left"/>
      <w:pPr>
        <w:ind w:left="3643" w:hanging="630"/>
      </w:pPr>
      <w:rPr>
        <w:rFonts w:hint="default"/>
      </w:rPr>
    </w:lvl>
    <w:lvl w:ilvl="5">
      <w:start w:val="0"/>
      <w:numFmt w:val="bullet"/>
      <w:lvlText w:val="•"/>
      <w:lvlJc w:val="left"/>
      <w:pPr>
        <w:ind w:left="4364" w:hanging="630"/>
      </w:pPr>
      <w:rPr>
        <w:rFonts w:hint="default"/>
      </w:rPr>
    </w:lvl>
    <w:lvl w:ilvl="6">
      <w:start w:val="0"/>
      <w:numFmt w:val="bullet"/>
      <w:lvlText w:val="•"/>
      <w:lvlJc w:val="left"/>
      <w:pPr>
        <w:ind w:left="5085" w:hanging="630"/>
      </w:pPr>
      <w:rPr>
        <w:rFonts w:hint="default"/>
      </w:rPr>
    </w:lvl>
    <w:lvl w:ilvl="7">
      <w:start w:val="0"/>
      <w:numFmt w:val="bullet"/>
      <w:lvlText w:val="•"/>
      <w:lvlJc w:val="left"/>
      <w:pPr>
        <w:ind w:left="5806" w:hanging="630"/>
      </w:pPr>
      <w:rPr>
        <w:rFonts w:hint="default"/>
      </w:rPr>
    </w:lvl>
    <w:lvl w:ilvl="8">
      <w:start w:val="0"/>
      <w:numFmt w:val="bullet"/>
      <w:lvlText w:val="•"/>
      <w:lvlJc w:val="left"/>
      <w:pPr>
        <w:ind w:left="6527" w:hanging="630"/>
      </w:pPr>
      <w:rPr>
        <w:rFonts w:hint="default"/>
      </w:rPr>
    </w:lvl>
  </w:abstractNum>
  <w:abstractNum w:abstractNumId="11">
    <w:multiLevelType w:val="hybridMultilevel"/>
    <w:lvl w:ilvl="0">
      <w:start w:val="1"/>
      <w:numFmt w:val="decimal"/>
      <w:lvlText w:val="（%1）"/>
      <w:lvlJc w:val="left"/>
      <w:pPr>
        <w:ind w:left="873" w:hanging="736"/>
        <w:jc w:val="left"/>
      </w:pPr>
      <w:rPr>
        <w:rFonts w:hint="default" w:ascii="宋体" w:hAnsi="宋体" w:eastAsia="宋体" w:cs="宋体"/>
        <w:spacing w:val="-1"/>
        <w:w w:val="100"/>
        <w:sz w:val="21"/>
        <w:szCs w:val="21"/>
      </w:rPr>
    </w:lvl>
    <w:lvl w:ilvl="1">
      <w:start w:val="0"/>
      <w:numFmt w:val="bullet"/>
      <w:lvlText w:val="•"/>
      <w:lvlJc w:val="left"/>
      <w:pPr>
        <w:ind w:left="1588" w:hanging="736"/>
      </w:pPr>
      <w:rPr>
        <w:rFonts w:hint="default"/>
      </w:rPr>
    </w:lvl>
    <w:lvl w:ilvl="2">
      <w:start w:val="0"/>
      <w:numFmt w:val="bullet"/>
      <w:lvlText w:val="•"/>
      <w:lvlJc w:val="left"/>
      <w:pPr>
        <w:ind w:left="2297" w:hanging="736"/>
      </w:pPr>
      <w:rPr>
        <w:rFonts w:hint="default"/>
      </w:rPr>
    </w:lvl>
    <w:lvl w:ilvl="3">
      <w:start w:val="0"/>
      <w:numFmt w:val="bullet"/>
      <w:lvlText w:val="•"/>
      <w:lvlJc w:val="left"/>
      <w:pPr>
        <w:ind w:left="3006" w:hanging="736"/>
      </w:pPr>
      <w:rPr>
        <w:rFonts w:hint="default"/>
      </w:rPr>
    </w:lvl>
    <w:lvl w:ilvl="4">
      <w:start w:val="0"/>
      <w:numFmt w:val="bullet"/>
      <w:lvlText w:val="•"/>
      <w:lvlJc w:val="left"/>
      <w:pPr>
        <w:ind w:left="3715" w:hanging="736"/>
      </w:pPr>
      <w:rPr>
        <w:rFonts w:hint="default"/>
      </w:rPr>
    </w:lvl>
    <w:lvl w:ilvl="5">
      <w:start w:val="0"/>
      <w:numFmt w:val="bullet"/>
      <w:lvlText w:val="•"/>
      <w:lvlJc w:val="left"/>
      <w:pPr>
        <w:ind w:left="4424" w:hanging="736"/>
      </w:pPr>
      <w:rPr>
        <w:rFonts w:hint="default"/>
      </w:rPr>
    </w:lvl>
    <w:lvl w:ilvl="6">
      <w:start w:val="0"/>
      <w:numFmt w:val="bullet"/>
      <w:lvlText w:val="•"/>
      <w:lvlJc w:val="left"/>
      <w:pPr>
        <w:ind w:left="5133" w:hanging="736"/>
      </w:pPr>
      <w:rPr>
        <w:rFonts w:hint="default"/>
      </w:rPr>
    </w:lvl>
    <w:lvl w:ilvl="7">
      <w:start w:val="0"/>
      <w:numFmt w:val="bullet"/>
      <w:lvlText w:val="•"/>
      <w:lvlJc w:val="left"/>
      <w:pPr>
        <w:ind w:left="5842" w:hanging="736"/>
      </w:pPr>
      <w:rPr>
        <w:rFonts w:hint="default"/>
      </w:rPr>
    </w:lvl>
    <w:lvl w:ilvl="8">
      <w:start w:val="0"/>
      <w:numFmt w:val="bullet"/>
      <w:lvlText w:val="•"/>
      <w:lvlJc w:val="left"/>
      <w:pPr>
        <w:ind w:left="6551" w:hanging="736"/>
      </w:pPr>
      <w:rPr>
        <w:rFonts w:hint="default"/>
      </w:rPr>
    </w:lvl>
  </w:abstractNum>
  <w:abstractNum w:abstractNumId="10">
    <w:multiLevelType w:val="hybridMultilevel"/>
    <w:lvl w:ilvl="0">
      <w:start w:val="1"/>
      <w:numFmt w:val="decimal"/>
      <w:lvlText w:val="（%1）"/>
      <w:lvlJc w:val="left"/>
      <w:pPr>
        <w:ind w:left="866" w:hanging="736"/>
        <w:jc w:val="left"/>
      </w:pPr>
      <w:rPr>
        <w:rFonts w:hint="default" w:ascii="宋体" w:hAnsi="宋体" w:eastAsia="宋体" w:cs="宋体"/>
        <w:spacing w:val="-1"/>
        <w:w w:val="100"/>
        <w:sz w:val="21"/>
        <w:szCs w:val="21"/>
      </w:rPr>
    </w:lvl>
    <w:lvl w:ilvl="1">
      <w:start w:val="0"/>
      <w:numFmt w:val="bullet"/>
      <w:lvlText w:val="•"/>
      <w:lvlJc w:val="left"/>
      <w:pPr>
        <w:ind w:left="1570" w:hanging="736"/>
      </w:pPr>
      <w:rPr>
        <w:rFonts w:hint="default"/>
      </w:rPr>
    </w:lvl>
    <w:lvl w:ilvl="2">
      <w:start w:val="0"/>
      <w:numFmt w:val="bullet"/>
      <w:lvlText w:val="•"/>
      <w:lvlJc w:val="left"/>
      <w:pPr>
        <w:ind w:left="2281" w:hanging="736"/>
      </w:pPr>
      <w:rPr>
        <w:rFonts w:hint="default"/>
      </w:rPr>
    </w:lvl>
    <w:lvl w:ilvl="3">
      <w:start w:val="0"/>
      <w:numFmt w:val="bullet"/>
      <w:lvlText w:val="•"/>
      <w:lvlJc w:val="left"/>
      <w:pPr>
        <w:ind w:left="2992" w:hanging="736"/>
      </w:pPr>
      <w:rPr>
        <w:rFonts w:hint="default"/>
      </w:rPr>
    </w:lvl>
    <w:lvl w:ilvl="4">
      <w:start w:val="0"/>
      <w:numFmt w:val="bullet"/>
      <w:lvlText w:val="•"/>
      <w:lvlJc w:val="left"/>
      <w:pPr>
        <w:ind w:left="3703" w:hanging="736"/>
      </w:pPr>
      <w:rPr>
        <w:rFonts w:hint="default"/>
      </w:rPr>
    </w:lvl>
    <w:lvl w:ilvl="5">
      <w:start w:val="0"/>
      <w:numFmt w:val="bullet"/>
      <w:lvlText w:val="•"/>
      <w:lvlJc w:val="left"/>
      <w:pPr>
        <w:ind w:left="4414" w:hanging="736"/>
      </w:pPr>
      <w:rPr>
        <w:rFonts w:hint="default"/>
      </w:rPr>
    </w:lvl>
    <w:lvl w:ilvl="6">
      <w:start w:val="0"/>
      <w:numFmt w:val="bullet"/>
      <w:lvlText w:val="•"/>
      <w:lvlJc w:val="left"/>
      <w:pPr>
        <w:ind w:left="5125" w:hanging="736"/>
      </w:pPr>
      <w:rPr>
        <w:rFonts w:hint="default"/>
      </w:rPr>
    </w:lvl>
    <w:lvl w:ilvl="7">
      <w:start w:val="0"/>
      <w:numFmt w:val="bullet"/>
      <w:lvlText w:val="•"/>
      <w:lvlJc w:val="left"/>
      <w:pPr>
        <w:ind w:left="5836" w:hanging="736"/>
      </w:pPr>
      <w:rPr>
        <w:rFonts w:hint="default"/>
      </w:rPr>
    </w:lvl>
    <w:lvl w:ilvl="8">
      <w:start w:val="0"/>
      <w:numFmt w:val="bullet"/>
      <w:lvlText w:val="•"/>
      <w:lvlJc w:val="left"/>
      <w:pPr>
        <w:ind w:left="6547" w:hanging="736"/>
      </w:pPr>
      <w:rPr>
        <w:rFonts w:hint="default"/>
      </w:rPr>
    </w:lvl>
  </w:abstractNum>
  <w:abstractNum w:abstractNumId="9">
    <w:multiLevelType w:val="hybridMultilevel"/>
    <w:lvl w:ilvl="0">
      <w:start w:val="1"/>
      <w:numFmt w:val="decimal"/>
      <w:lvlText w:val="（%1）"/>
      <w:lvlJc w:val="left"/>
      <w:pPr>
        <w:ind w:left="866" w:hanging="736"/>
        <w:jc w:val="left"/>
      </w:pPr>
      <w:rPr>
        <w:rFonts w:hint="default" w:ascii="黑体" w:hAnsi="黑体" w:eastAsia="黑体" w:cs="黑体"/>
        <w:spacing w:val="-19"/>
        <w:w w:val="100"/>
        <w:sz w:val="21"/>
        <w:szCs w:val="21"/>
      </w:rPr>
    </w:lvl>
    <w:lvl w:ilvl="1">
      <w:start w:val="0"/>
      <w:numFmt w:val="bullet"/>
      <w:lvlText w:val="•"/>
      <w:lvlJc w:val="left"/>
      <w:pPr>
        <w:ind w:left="1584" w:hanging="736"/>
      </w:pPr>
      <w:rPr>
        <w:rFonts w:hint="default"/>
      </w:rPr>
    </w:lvl>
    <w:lvl w:ilvl="2">
      <w:start w:val="0"/>
      <w:numFmt w:val="bullet"/>
      <w:lvlText w:val="•"/>
      <w:lvlJc w:val="left"/>
      <w:pPr>
        <w:ind w:left="2308" w:hanging="736"/>
      </w:pPr>
      <w:rPr>
        <w:rFonts w:hint="default"/>
      </w:rPr>
    </w:lvl>
    <w:lvl w:ilvl="3">
      <w:start w:val="0"/>
      <w:numFmt w:val="bullet"/>
      <w:lvlText w:val="•"/>
      <w:lvlJc w:val="left"/>
      <w:pPr>
        <w:ind w:left="3032" w:hanging="736"/>
      </w:pPr>
      <w:rPr>
        <w:rFonts w:hint="default"/>
      </w:rPr>
    </w:lvl>
    <w:lvl w:ilvl="4">
      <w:start w:val="0"/>
      <w:numFmt w:val="bullet"/>
      <w:lvlText w:val="•"/>
      <w:lvlJc w:val="left"/>
      <w:pPr>
        <w:ind w:left="3756" w:hanging="736"/>
      </w:pPr>
      <w:rPr>
        <w:rFonts w:hint="default"/>
      </w:rPr>
    </w:lvl>
    <w:lvl w:ilvl="5">
      <w:start w:val="0"/>
      <w:numFmt w:val="bullet"/>
      <w:lvlText w:val="•"/>
      <w:lvlJc w:val="left"/>
      <w:pPr>
        <w:ind w:left="4480" w:hanging="736"/>
      </w:pPr>
      <w:rPr>
        <w:rFonts w:hint="default"/>
      </w:rPr>
    </w:lvl>
    <w:lvl w:ilvl="6">
      <w:start w:val="0"/>
      <w:numFmt w:val="bullet"/>
      <w:lvlText w:val="•"/>
      <w:lvlJc w:val="left"/>
      <w:pPr>
        <w:ind w:left="5204" w:hanging="736"/>
      </w:pPr>
      <w:rPr>
        <w:rFonts w:hint="default"/>
      </w:rPr>
    </w:lvl>
    <w:lvl w:ilvl="7">
      <w:start w:val="0"/>
      <w:numFmt w:val="bullet"/>
      <w:lvlText w:val="•"/>
      <w:lvlJc w:val="left"/>
      <w:pPr>
        <w:ind w:left="5928" w:hanging="736"/>
      </w:pPr>
      <w:rPr>
        <w:rFonts w:hint="default"/>
      </w:rPr>
    </w:lvl>
    <w:lvl w:ilvl="8">
      <w:start w:val="0"/>
      <w:numFmt w:val="bullet"/>
      <w:lvlText w:val="•"/>
      <w:lvlJc w:val="left"/>
      <w:pPr>
        <w:ind w:left="6652" w:hanging="736"/>
      </w:pPr>
      <w:rPr>
        <w:rFonts w:hint="default"/>
      </w:rPr>
    </w:lvl>
  </w:abstractNum>
  <w:abstractNum w:abstractNumId="8">
    <w:multiLevelType w:val="hybridMultilevel"/>
    <w:lvl w:ilvl="0">
      <w:start w:val="10"/>
      <w:numFmt w:val="decimal"/>
      <w:lvlText w:val="%1"/>
      <w:lvlJc w:val="left"/>
      <w:pPr>
        <w:ind w:left="729" w:hanging="506"/>
        <w:jc w:val="left"/>
      </w:pPr>
      <w:rPr>
        <w:rFonts w:hint="default"/>
      </w:rPr>
    </w:lvl>
    <w:lvl w:ilvl="1">
      <w:start w:val="4"/>
      <w:numFmt w:val="decimal"/>
      <w:lvlText w:val="%1.%2"/>
      <w:lvlJc w:val="left"/>
      <w:pPr>
        <w:ind w:left="825" w:hanging="506"/>
        <w:jc w:val="left"/>
      </w:pPr>
      <w:rPr>
        <w:rFonts w:hint="default" w:ascii="宋体" w:hAnsi="宋体" w:eastAsia="宋体" w:cs="宋体"/>
        <w:spacing w:val="-1"/>
        <w:w w:val="100"/>
        <w:sz w:val="21"/>
        <w:szCs w:val="21"/>
      </w:rPr>
    </w:lvl>
    <w:lvl w:ilvl="2">
      <w:start w:val="0"/>
      <w:numFmt w:val="bullet"/>
      <w:lvlText w:val="•"/>
      <w:lvlJc w:val="left"/>
      <w:pPr>
        <w:ind w:left="1161" w:hanging="506"/>
      </w:pPr>
      <w:rPr>
        <w:rFonts w:hint="default"/>
      </w:rPr>
    </w:lvl>
    <w:lvl w:ilvl="3">
      <w:start w:val="0"/>
      <w:numFmt w:val="bullet"/>
      <w:lvlText w:val="•"/>
      <w:lvlJc w:val="left"/>
      <w:pPr>
        <w:ind w:left="1503" w:hanging="506"/>
      </w:pPr>
      <w:rPr>
        <w:rFonts w:hint="default"/>
      </w:rPr>
    </w:lvl>
    <w:lvl w:ilvl="4">
      <w:start w:val="0"/>
      <w:numFmt w:val="bullet"/>
      <w:lvlText w:val="•"/>
      <w:lvlJc w:val="left"/>
      <w:pPr>
        <w:ind w:left="1844" w:hanging="506"/>
      </w:pPr>
      <w:rPr>
        <w:rFonts w:hint="default"/>
      </w:rPr>
    </w:lvl>
    <w:lvl w:ilvl="5">
      <w:start w:val="0"/>
      <w:numFmt w:val="bullet"/>
      <w:lvlText w:val="•"/>
      <w:lvlJc w:val="left"/>
      <w:pPr>
        <w:ind w:left="2186" w:hanging="506"/>
      </w:pPr>
      <w:rPr>
        <w:rFonts w:hint="default"/>
      </w:rPr>
    </w:lvl>
    <w:lvl w:ilvl="6">
      <w:start w:val="0"/>
      <w:numFmt w:val="bullet"/>
      <w:lvlText w:val="•"/>
      <w:lvlJc w:val="left"/>
      <w:pPr>
        <w:ind w:left="2527" w:hanging="506"/>
      </w:pPr>
      <w:rPr>
        <w:rFonts w:hint="default"/>
      </w:rPr>
    </w:lvl>
    <w:lvl w:ilvl="7">
      <w:start w:val="0"/>
      <w:numFmt w:val="bullet"/>
      <w:lvlText w:val="•"/>
      <w:lvlJc w:val="left"/>
      <w:pPr>
        <w:ind w:left="2869" w:hanging="506"/>
      </w:pPr>
      <w:rPr>
        <w:rFonts w:hint="default"/>
      </w:rPr>
    </w:lvl>
    <w:lvl w:ilvl="8">
      <w:start w:val="0"/>
      <w:numFmt w:val="bullet"/>
      <w:lvlText w:val="•"/>
      <w:lvlJc w:val="left"/>
      <w:pPr>
        <w:ind w:left="3210" w:hanging="506"/>
      </w:pPr>
      <w:rPr>
        <w:rFonts w:hint="default"/>
      </w:rPr>
    </w:lvl>
  </w:abstractNum>
  <w:abstractNum w:abstractNumId="7">
    <w:multiLevelType w:val="hybridMultilevel"/>
    <w:lvl w:ilvl="0">
      <w:start w:val="9"/>
      <w:numFmt w:val="decimal"/>
      <w:lvlText w:val="%1."/>
      <w:lvlJc w:val="left"/>
      <w:pPr>
        <w:ind w:left="753" w:hanging="316"/>
        <w:jc w:val="left"/>
      </w:pPr>
      <w:rPr>
        <w:rFonts w:hint="default" w:ascii="宋体" w:hAnsi="宋体" w:eastAsia="宋体" w:cs="宋体"/>
        <w:w w:val="100"/>
        <w:sz w:val="21"/>
        <w:szCs w:val="21"/>
      </w:rPr>
    </w:lvl>
    <w:lvl w:ilvl="1">
      <w:start w:val="1"/>
      <w:numFmt w:val="decimal"/>
      <w:lvlText w:val="%1.%2"/>
      <w:lvlJc w:val="left"/>
      <w:pPr>
        <w:ind w:left="942" w:hanging="506"/>
        <w:jc w:val="left"/>
      </w:pPr>
      <w:rPr>
        <w:rFonts w:hint="default" w:ascii="宋体" w:hAnsi="宋体" w:eastAsia="宋体" w:cs="宋体"/>
        <w:spacing w:val="-20"/>
        <w:w w:val="100"/>
        <w:sz w:val="21"/>
        <w:szCs w:val="21"/>
      </w:rPr>
    </w:lvl>
    <w:lvl w:ilvl="2">
      <w:start w:val="0"/>
      <w:numFmt w:val="bullet"/>
      <w:lvlText w:val="•"/>
      <w:lvlJc w:val="left"/>
      <w:pPr>
        <w:ind w:left="1221" w:hanging="506"/>
      </w:pPr>
      <w:rPr>
        <w:rFonts w:hint="default"/>
      </w:rPr>
    </w:lvl>
    <w:lvl w:ilvl="3">
      <w:start w:val="0"/>
      <w:numFmt w:val="bullet"/>
      <w:lvlText w:val="•"/>
      <w:lvlJc w:val="left"/>
      <w:pPr>
        <w:ind w:left="1503" w:hanging="506"/>
      </w:pPr>
      <w:rPr>
        <w:rFonts w:hint="default"/>
      </w:rPr>
    </w:lvl>
    <w:lvl w:ilvl="4">
      <w:start w:val="0"/>
      <w:numFmt w:val="bullet"/>
      <w:lvlText w:val="•"/>
      <w:lvlJc w:val="left"/>
      <w:pPr>
        <w:ind w:left="1784" w:hanging="506"/>
      </w:pPr>
      <w:rPr>
        <w:rFonts w:hint="default"/>
      </w:rPr>
    </w:lvl>
    <w:lvl w:ilvl="5">
      <w:start w:val="0"/>
      <w:numFmt w:val="bullet"/>
      <w:lvlText w:val="•"/>
      <w:lvlJc w:val="left"/>
      <w:pPr>
        <w:ind w:left="2066" w:hanging="506"/>
      </w:pPr>
      <w:rPr>
        <w:rFonts w:hint="default"/>
      </w:rPr>
    </w:lvl>
    <w:lvl w:ilvl="6">
      <w:start w:val="0"/>
      <w:numFmt w:val="bullet"/>
      <w:lvlText w:val="•"/>
      <w:lvlJc w:val="left"/>
      <w:pPr>
        <w:ind w:left="2347" w:hanging="506"/>
      </w:pPr>
      <w:rPr>
        <w:rFonts w:hint="default"/>
      </w:rPr>
    </w:lvl>
    <w:lvl w:ilvl="7">
      <w:start w:val="0"/>
      <w:numFmt w:val="bullet"/>
      <w:lvlText w:val="•"/>
      <w:lvlJc w:val="left"/>
      <w:pPr>
        <w:ind w:left="2629" w:hanging="506"/>
      </w:pPr>
      <w:rPr>
        <w:rFonts w:hint="default"/>
      </w:rPr>
    </w:lvl>
    <w:lvl w:ilvl="8">
      <w:start w:val="0"/>
      <w:numFmt w:val="bullet"/>
      <w:lvlText w:val="•"/>
      <w:lvlJc w:val="left"/>
      <w:pPr>
        <w:ind w:left="2910" w:hanging="506"/>
      </w:pPr>
      <w:rPr>
        <w:rFonts w:hint="default"/>
      </w:rPr>
    </w:lvl>
  </w:abstractNum>
  <w:abstractNum w:abstractNumId="6">
    <w:multiLevelType w:val="hybridMultilevel"/>
    <w:lvl w:ilvl="0">
      <w:start w:val="8"/>
      <w:numFmt w:val="decimal"/>
      <w:lvlText w:val="%1."/>
      <w:lvlJc w:val="left"/>
      <w:pPr>
        <w:ind w:left="753" w:hanging="316"/>
        <w:jc w:val="left"/>
      </w:pPr>
      <w:rPr>
        <w:rFonts w:hint="default" w:ascii="宋体" w:hAnsi="宋体" w:eastAsia="宋体" w:cs="宋体"/>
        <w:w w:val="100"/>
        <w:sz w:val="21"/>
        <w:szCs w:val="21"/>
      </w:rPr>
    </w:lvl>
    <w:lvl w:ilvl="1">
      <w:start w:val="1"/>
      <w:numFmt w:val="decimal"/>
      <w:lvlText w:val="%1.%2"/>
      <w:lvlJc w:val="left"/>
      <w:pPr>
        <w:ind w:left="943" w:hanging="506"/>
        <w:jc w:val="left"/>
      </w:pPr>
      <w:rPr>
        <w:rFonts w:hint="default" w:ascii="宋体" w:hAnsi="宋体" w:eastAsia="宋体" w:cs="宋体"/>
        <w:spacing w:val="-20"/>
        <w:w w:val="100"/>
        <w:sz w:val="21"/>
        <w:szCs w:val="21"/>
      </w:rPr>
    </w:lvl>
    <w:lvl w:ilvl="2">
      <w:start w:val="0"/>
      <w:numFmt w:val="bullet"/>
      <w:lvlText w:val="•"/>
      <w:lvlJc w:val="left"/>
      <w:pPr>
        <w:ind w:left="1221" w:hanging="506"/>
      </w:pPr>
      <w:rPr>
        <w:rFonts w:hint="default"/>
      </w:rPr>
    </w:lvl>
    <w:lvl w:ilvl="3">
      <w:start w:val="0"/>
      <w:numFmt w:val="bullet"/>
      <w:lvlText w:val="•"/>
      <w:lvlJc w:val="left"/>
      <w:pPr>
        <w:ind w:left="1503" w:hanging="506"/>
      </w:pPr>
      <w:rPr>
        <w:rFonts w:hint="default"/>
      </w:rPr>
    </w:lvl>
    <w:lvl w:ilvl="4">
      <w:start w:val="0"/>
      <w:numFmt w:val="bullet"/>
      <w:lvlText w:val="•"/>
      <w:lvlJc w:val="left"/>
      <w:pPr>
        <w:ind w:left="1784" w:hanging="506"/>
      </w:pPr>
      <w:rPr>
        <w:rFonts w:hint="default"/>
      </w:rPr>
    </w:lvl>
    <w:lvl w:ilvl="5">
      <w:start w:val="0"/>
      <w:numFmt w:val="bullet"/>
      <w:lvlText w:val="•"/>
      <w:lvlJc w:val="left"/>
      <w:pPr>
        <w:ind w:left="2066" w:hanging="506"/>
      </w:pPr>
      <w:rPr>
        <w:rFonts w:hint="default"/>
      </w:rPr>
    </w:lvl>
    <w:lvl w:ilvl="6">
      <w:start w:val="0"/>
      <w:numFmt w:val="bullet"/>
      <w:lvlText w:val="•"/>
      <w:lvlJc w:val="left"/>
      <w:pPr>
        <w:ind w:left="2347" w:hanging="506"/>
      </w:pPr>
      <w:rPr>
        <w:rFonts w:hint="default"/>
      </w:rPr>
    </w:lvl>
    <w:lvl w:ilvl="7">
      <w:start w:val="0"/>
      <w:numFmt w:val="bullet"/>
      <w:lvlText w:val="•"/>
      <w:lvlJc w:val="left"/>
      <w:pPr>
        <w:ind w:left="2629" w:hanging="506"/>
      </w:pPr>
      <w:rPr>
        <w:rFonts w:hint="default"/>
      </w:rPr>
    </w:lvl>
    <w:lvl w:ilvl="8">
      <w:start w:val="0"/>
      <w:numFmt w:val="bullet"/>
      <w:lvlText w:val="•"/>
      <w:lvlJc w:val="left"/>
      <w:pPr>
        <w:ind w:left="2910" w:hanging="506"/>
      </w:pPr>
      <w:rPr>
        <w:rFonts w:hint="default"/>
      </w:rPr>
    </w:lvl>
  </w:abstractNum>
  <w:abstractNum w:abstractNumId="5">
    <w:multiLevelType w:val="hybridMultilevel"/>
    <w:lvl w:ilvl="0">
      <w:start w:val="6"/>
      <w:numFmt w:val="decimal"/>
      <w:lvlText w:val="%1"/>
      <w:lvlJc w:val="left"/>
      <w:pPr>
        <w:ind w:left="943" w:hanging="506"/>
        <w:jc w:val="left"/>
      </w:pPr>
      <w:rPr>
        <w:rFonts w:hint="default"/>
      </w:rPr>
    </w:lvl>
    <w:lvl w:ilvl="1">
      <w:start w:val="1"/>
      <w:numFmt w:val="decimal"/>
      <w:lvlText w:val="%1.%2"/>
      <w:lvlJc w:val="left"/>
      <w:pPr>
        <w:ind w:left="943" w:hanging="506"/>
        <w:jc w:val="left"/>
      </w:pPr>
      <w:rPr>
        <w:rFonts w:hint="default" w:ascii="宋体" w:hAnsi="宋体" w:eastAsia="宋体" w:cs="宋体"/>
        <w:spacing w:val="-20"/>
        <w:w w:val="100"/>
        <w:sz w:val="21"/>
        <w:szCs w:val="21"/>
      </w:rPr>
    </w:lvl>
    <w:lvl w:ilvl="2">
      <w:start w:val="0"/>
      <w:numFmt w:val="bullet"/>
      <w:lvlText w:val="•"/>
      <w:lvlJc w:val="left"/>
      <w:pPr>
        <w:ind w:left="1446" w:hanging="506"/>
      </w:pPr>
      <w:rPr>
        <w:rFonts w:hint="default"/>
      </w:rPr>
    </w:lvl>
    <w:lvl w:ilvl="3">
      <w:start w:val="0"/>
      <w:numFmt w:val="bullet"/>
      <w:lvlText w:val="•"/>
      <w:lvlJc w:val="left"/>
      <w:pPr>
        <w:ind w:left="1700" w:hanging="506"/>
      </w:pPr>
      <w:rPr>
        <w:rFonts w:hint="default"/>
      </w:rPr>
    </w:lvl>
    <w:lvl w:ilvl="4">
      <w:start w:val="0"/>
      <w:numFmt w:val="bullet"/>
      <w:lvlText w:val="•"/>
      <w:lvlJc w:val="left"/>
      <w:pPr>
        <w:ind w:left="1953" w:hanging="506"/>
      </w:pPr>
      <w:rPr>
        <w:rFonts w:hint="default"/>
      </w:rPr>
    </w:lvl>
    <w:lvl w:ilvl="5">
      <w:start w:val="0"/>
      <w:numFmt w:val="bullet"/>
      <w:lvlText w:val="•"/>
      <w:lvlJc w:val="left"/>
      <w:pPr>
        <w:ind w:left="2207" w:hanging="506"/>
      </w:pPr>
      <w:rPr>
        <w:rFonts w:hint="default"/>
      </w:rPr>
    </w:lvl>
    <w:lvl w:ilvl="6">
      <w:start w:val="0"/>
      <w:numFmt w:val="bullet"/>
      <w:lvlText w:val="•"/>
      <w:lvlJc w:val="left"/>
      <w:pPr>
        <w:ind w:left="2460" w:hanging="506"/>
      </w:pPr>
      <w:rPr>
        <w:rFonts w:hint="default"/>
      </w:rPr>
    </w:lvl>
    <w:lvl w:ilvl="7">
      <w:start w:val="0"/>
      <w:numFmt w:val="bullet"/>
      <w:lvlText w:val="•"/>
      <w:lvlJc w:val="left"/>
      <w:pPr>
        <w:ind w:left="2713" w:hanging="506"/>
      </w:pPr>
      <w:rPr>
        <w:rFonts w:hint="default"/>
      </w:rPr>
    </w:lvl>
    <w:lvl w:ilvl="8">
      <w:start w:val="0"/>
      <w:numFmt w:val="bullet"/>
      <w:lvlText w:val="•"/>
      <w:lvlJc w:val="left"/>
      <w:pPr>
        <w:ind w:left="2967" w:hanging="506"/>
      </w:pPr>
      <w:rPr>
        <w:rFonts w:hint="default"/>
      </w:rPr>
    </w:lvl>
  </w:abstractNum>
  <w:abstractNum w:abstractNumId="4">
    <w:multiLevelType w:val="hybridMultilevel"/>
    <w:lvl w:ilvl="0">
      <w:start w:val="4"/>
      <w:numFmt w:val="decimal"/>
      <w:lvlText w:val="%1."/>
      <w:lvlJc w:val="left"/>
      <w:pPr>
        <w:ind w:left="515" w:hanging="316"/>
        <w:jc w:val="left"/>
      </w:pPr>
      <w:rPr>
        <w:rFonts w:hint="default" w:ascii="宋体" w:hAnsi="宋体" w:eastAsia="宋体" w:cs="宋体"/>
        <w:w w:val="100"/>
        <w:sz w:val="21"/>
        <w:szCs w:val="21"/>
      </w:rPr>
    </w:lvl>
    <w:lvl w:ilvl="1">
      <w:start w:val="1"/>
      <w:numFmt w:val="decimal"/>
      <w:lvlText w:val="%1.%2"/>
      <w:lvlJc w:val="left"/>
      <w:pPr>
        <w:ind w:left="705" w:hanging="506"/>
        <w:jc w:val="left"/>
      </w:pPr>
      <w:rPr>
        <w:rFonts w:hint="default" w:ascii="宋体" w:hAnsi="宋体" w:eastAsia="宋体" w:cs="宋体"/>
        <w:spacing w:val="-20"/>
        <w:w w:val="100"/>
        <w:sz w:val="21"/>
        <w:szCs w:val="21"/>
      </w:rPr>
    </w:lvl>
    <w:lvl w:ilvl="2">
      <w:start w:val="0"/>
      <w:numFmt w:val="bullet"/>
      <w:lvlText w:val="•"/>
      <w:lvlJc w:val="left"/>
      <w:pPr>
        <w:ind w:left="962" w:hanging="506"/>
      </w:pPr>
      <w:rPr>
        <w:rFonts w:hint="default"/>
      </w:rPr>
    </w:lvl>
    <w:lvl w:ilvl="3">
      <w:start w:val="0"/>
      <w:numFmt w:val="bullet"/>
      <w:lvlText w:val="•"/>
      <w:lvlJc w:val="left"/>
      <w:pPr>
        <w:ind w:left="1224" w:hanging="506"/>
      </w:pPr>
      <w:rPr>
        <w:rFonts w:hint="default"/>
      </w:rPr>
    </w:lvl>
    <w:lvl w:ilvl="4">
      <w:start w:val="0"/>
      <w:numFmt w:val="bullet"/>
      <w:lvlText w:val="•"/>
      <w:lvlJc w:val="left"/>
      <w:pPr>
        <w:ind w:left="1486" w:hanging="506"/>
      </w:pPr>
      <w:rPr>
        <w:rFonts w:hint="default"/>
      </w:rPr>
    </w:lvl>
    <w:lvl w:ilvl="5">
      <w:start w:val="0"/>
      <w:numFmt w:val="bullet"/>
      <w:lvlText w:val="•"/>
      <w:lvlJc w:val="left"/>
      <w:pPr>
        <w:ind w:left="1748" w:hanging="506"/>
      </w:pPr>
      <w:rPr>
        <w:rFonts w:hint="default"/>
      </w:rPr>
    </w:lvl>
    <w:lvl w:ilvl="6">
      <w:start w:val="0"/>
      <w:numFmt w:val="bullet"/>
      <w:lvlText w:val="•"/>
      <w:lvlJc w:val="left"/>
      <w:pPr>
        <w:ind w:left="2011" w:hanging="506"/>
      </w:pPr>
      <w:rPr>
        <w:rFonts w:hint="default"/>
      </w:rPr>
    </w:lvl>
    <w:lvl w:ilvl="7">
      <w:start w:val="0"/>
      <w:numFmt w:val="bullet"/>
      <w:lvlText w:val="•"/>
      <w:lvlJc w:val="left"/>
      <w:pPr>
        <w:ind w:left="2273" w:hanging="506"/>
      </w:pPr>
      <w:rPr>
        <w:rFonts w:hint="default"/>
      </w:rPr>
    </w:lvl>
    <w:lvl w:ilvl="8">
      <w:start w:val="0"/>
      <w:numFmt w:val="bullet"/>
      <w:lvlText w:val="•"/>
      <w:lvlJc w:val="left"/>
      <w:pPr>
        <w:ind w:left="2535" w:hanging="506"/>
      </w:pPr>
      <w:rPr>
        <w:rFonts w:hint="default"/>
      </w:rPr>
    </w:lvl>
  </w:abstractNum>
  <w:abstractNum w:abstractNumId="3">
    <w:multiLevelType w:val="hybridMultilevel"/>
    <w:lvl w:ilvl="0">
      <w:start w:val="3"/>
      <w:numFmt w:val="decimal"/>
      <w:lvlText w:val="%1."/>
      <w:lvlJc w:val="left"/>
      <w:pPr>
        <w:ind w:left="515" w:hanging="316"/>
        <w:jc w:val="left"/>
      </w:pPr>
      <w:rPr>
        <w:rFonts w:hint="default" w:ascii="宋体" w:hAnsi="宋体" w:eastAsia="宋体" w:cs="宋体"/>
        <w:w w:val="100"/>
        <w:sz w:val="21"/>
        <w:szCs w:val="21"/>
      </w:rPr>
    </w:lvl>
    <w:lvl w:ilvl="1">
      <w:start w:val="1"/>
      <w:numFmt w:val="decimal"/>
      <w:lvlText w:val="%1.%2"/>
      <w:lvlJc w:val="left"/>
      <w:pPr>
        <w:ind w:left="705" w:hanging="506"/>
        <w:jc w:val="left"/>
      </w:pPr>
      <w:rPr>
        <w:rFonts w:hint="default" w:ascii="宋体" w:hAnsi="宋体" w:eastAsia="宋体" w:cs="宋体"/>
        <w:spacing w:val="-20"/>
        <w:w w:val="100"/>
        <w:sz w:val="21"/>
        <w:szCs w:val="21"/>
      </w:rPr>
    </w:lvl>
    <w:lvl w:ilvl="2">
      <w:start w:val="0"/>
      <w:numFmt w:val="bullet"/>
      <w:lvlText w:val="•"/>
      <w:lvlJc w:val="left"/>
      <w:pPr>
        <w:ind w:left="962" w:hanging="506"/>
      </w:pPr>
      <w:rPr>
        <w:rFonts w:hint="default"/>
      </w:rPr>
    </w:lvl>
    <w:lvl w:ilvl="3">
      <w:start w:val="0"/>
      <w:numFmt w:val="bullet"/>
      <w:lvlText w:val="•"/>
      <w:lvlJc w:val="left"/>
      <w:pPr>
        <w:ind w:left="1224" w:hanging="506"/>
      </w:pPr>
      <w:rPr>
        <w:rFonts w:hint="default"/>
      </w:rPr>
    </w:lvl>
    <w:lvl w:ilvl="4">
      <w:start w:val="0"/>
      <w:numFmt w:val="bullet"/>
      <w:lvlText w:val="•"/>
      <w:lvlJc w:val="left"/>
      <w:pPr>
        <w:ind w:left="1486" w:hanging="506"/>
      </w:pPr>
      <w:rPr>
        <w:rFonts w:hint="default"/>
      </w:rPr>
    </w:lvl>
    <w:lvl w:ilvl="5">
      <w:start w:val="0"/>
      <w:numFmt w:val="bullet"/>
      <w:lvlText w:val="•"/>
      <w:lvlJc w:val="left"/>
      <w:pPr>
        <w:ind w:left="1748" w:hanging="506"/>
      </w:pPr>
      <w:rPr>
        <w:rFonts w:hint="default"/>
      </w:rPr>
    </w:lvl>
    <w:lvl w:ilvl="6">
      <w:start w:val="0"/>
      <w:numFmt w:val="bullet"/>
      <w:lvlText w:val="•"/>
      <w:lvlJc w:val="left"/>
      <w:pPr>
        <w:ind w:left="2011" w:hanging="506"/>
      </w:pPr>
      <w:rPr>
        <w:rFonts w:hint="default"/>
      </w:rPr>
    </w:lvl>
    <w:lvl w:ilvl="7">
      <w:start w:val="0"/>
      <w:numFmt w:val="bullet"/>
      <w:lvlText w:val="•"/>
      <w:lvlJc w:val="left"/>
      <w:pPr>
        <w:ind w:left="2273" w:hanging="506"/>
      </w:pPr>
      <w:rPr>
        <w:rFonts w:hint="default"/>
      </w:rPr>
    </w:lvl>
    <w:lvl w:ilvl="8">
      <w:start w:val="0"/>
      <w:numFmt w:val="bullet"/>
      <w:lvlText w:val="•"/>
      <w:lvlJc w:val="left"/>
      <w:pPr>
        <w:ind w:left="2535" w:hanging="506"/>
      </w:pPr>
      <w:rPr>
        <w:rFonts w:hint="default"/>
      </w:rPr>
    </w:lvl>
  </w:abstractNum>
  <w:abstractNum w:abstractNumId="2">
    <w:multiLevelType w:val="hybridMultilevel"/>
    <w:lvl w:ilvl="0">
      <w:start w:val="2"/>
      <w:numFmt w:val="decimal"/>
      <w:lvlText w:val="%1."/>
      <w:lvlJc w:val="left"/>
      <w:pPr>
        <w:ind w:left="515" w:hanging="316"/>
        <w:jc w:val="left"/>
      </w:pPr>
      <w:rPr>
        <w:rFonts w:hint="default" w:ascii="宋体" w:hAnsi="宋体" w:eastAsia="宋体" w:cs="宋体"/>
        <w:w w:val="100"/>
        <w:sz w:val="21"/>
        <w:szCs w:val="21"/>
      </w:rPr>
    </w:lvl>
    <w:lvl w:ilvl="1">
      <w:start w:val="1"/>
      <w:numFmt w:val="decimal"/>
      <w:lvlText w:val="%1.%2"/>
      <w:lvlJc w:val="left"/>
      <w:pPr>
        <w:ind w:left="705" w:hanging="506"/>
        <w:jc w:val="left"/>
      </w:pPr>
      <w:rPr>
        <w:rFonts w:hint="default" w:ascii="宋体" w:hAnsi="宋体" w:eastAsia="宋体" w:cs="宋体"/>
        <w:spacing w:val="-20"/>
        <w:w w:val="100"/>
        <w:sz w:val="21"/>
        <w:szCs w:val="21"/>
      </w:rPr>
    </w:lvl>
    <w:lvl w:ilvl="2">
      <w:start w:val="0"/>
      <w:numFmt w:val="bullet"/>
      <w:lvlText w:val="•"/>
      <w:lvlJc w:val="left"/>
      <w:pPr>
        <w:ind w:left="962" w:hanging="506"/>
      </w:pPr>
      <w:rPr>
        <w:rFonts w:hint="default"/>
      </w:rPr>
    </w:lvl>
    <w:lvl w:ilvl="3">
      <w:start w:val="0"/>
      <w:numFmt w:val="bullet"/>
      <w:lvlText w:val="•"/>
      <w:lvlJc w:val="left"/>
      <w:pPr>
        <w:ind w:left="1224" w:hanging="506"/>
      </w:pPr>
      <w:rPr>
        <w:rFonts w:hint="default"/>
      </w:rPr>
    </w:lvl>
    <w:lvl w:ilvl="4">
      <w:start w:val="0"/>
      <w:numFmt w:val="bullet"/>
      <w:lvlText w:val="•"/>
      <w:lvlJc w:val="left"/>
      <w:pPr>
        <w:ind w:left="1486" w:hanging="506"/>
      </w:pPr>
      <w:rPr>
        <w:rFonts w:hint="default"/>
      </w:rPr>
    </w:lvl>
    <w:lvl w:ilvl="5">
      <w:start w:val="0"/>
      <w:numFmt w:val="bullet"/>
      <w:lvlText w:val="•"/>
      <w:lvlJc w:val="left"/>
      <w:pPr>
        <w:ind w:left="1748" w:hanging="506"/>
      </w:pPr>
      <w:rPr>
        <w:rFonts w:hint="default"/>
      </w:rPr>
    </w:lvl>
    <w:lvl w:ilvl="6">
      <w:start w:val="0"/>
      <w:numFmt w:val="bullet"/>
      <w:lvlText w:val="•"/>
      <w:lvlJc w:val="left"/>
      <w:pPr>
        <w:ind w:left="2011" w:hanging="506"/>
      </w:pPr>
      <w:rPr>
        <w:rFonts w:hint="default"/>
      </w:rPr>
    </w:lvl>
    <w:lvl w:ilvl="7">
      <w:start w:val="0"/>
      <w:numFmt w:val="bullet"/>
      <w:lvlText w:val="•"/>
      <w:lvlJc w:val="left"/>
      <w:pPr>
        <w:ind w:left="2273" w:hanging="506"/>
      </w:pPr>
      <w:rPr>
        <w:rFonts w:hint="default"/>
      </w:rPr>
    </w:lvl>
    <w:lvl w:ilvl="8">
      <w:start w:val="0"/>
      <w:numFmt w:val="bullet"/>
      <w:lvlText w:val="•"/>
      <w:lvlJc w:val="left"/>
      <w:pPr>
        <w:ind w:left="2535" w:hanging="506"/>
      </w:pPr>
      <w:rPr>
        <w:rFonts w:hint="default"/>
      </w:rPr>
    </w:lvl>
  </w:abstractNum>
  <w:abstractNum w:abstractNumId="1">
    <w:multiLevelType w:val="hybridMultilevel"/>
    <w:lvl w:ilvl="0">
      <w:start w:val="1"/>
      <w:numFmt w:val="decimal"/>
      <w:lvlText w:val="%1."/>
      <w:lvlJc w:val="left"/>
      <w:pPr>
        <w:ind w:left="515" w:hanging="316"/>
        <w:jc w:val="left"/>
      </w:pPr>
      <w:rPr>
        <w:rFonts w:hint="default" w:ascii="宋体" w:hAnsi="宋体" w:eastAsia="宋体" w:cs="宋体"/>
        <w:w w:val="100"/>
        <w:sz w:val="21"/>
        <w:szCs w:val="21"/>
      </w:rPr>
    </w:lvl>
    <w:lvl w:ilvl="1">
      <w:start w:val="1"/>
      <w:numFmt w:val="decimal"/>
      <w:lvlText w:val="%1.%2"/>
      <w:lvlJc w:val="left"/>
      <w:pPr>
        <w:ind w:left="705" w:hanging="506"/>
        <w:jc w:val="left"/>
      </w:pPr>
      <w:rPr>
        <w:rFonts w:hint="default" w:ascii="宋体" w:hAnsi="宋体" w:eastAsia="宋体" w:cs="宋体"/>
        <w:spacing w:val="-20"/>
        <w:w w:val="100"/>
        <w:sz w:val="21"/>
        <w:szCs w:val="21"/>
      </w:rPr>
    </w:lvl>
    <w:lvl w:ilvl="2">
      <w:start w:val="0"/>
      <w:numFmt w:val="bullet"/>
      <w:lvlText w:val="•"/>
      <w:lvlJc w:val="left"/>
      <w:pPr>
        <w:ind w:left="962" w:hanging="506"/>
      </w:pPr>
      <w:rPr>
        <w:rFonts w:hint="default"/>
      </w:rPr>
    </w:lvl>
    <w:lvl w:ilvl="3">
      <w:start w:val="0"/>
      <w:numFmt w:val="bullet"/>
      <w:lvlText w:val="•"/>
      <w:lvlJc w:val="left"/>
      <w:pPr>
        <w:ind w:left="1224" w:hanging="506"/>
      </w:pPr>
      <w:rPr>
        <w:rFonts w:hint="default"/>
      </w:rPr>
    </w:lvl>
    <w:lvl w:ilvl="4">
      <w:start w:val="0"/>
      <w:numFmt w:val="bullet"/>
      <w:lvlText w:val="•"/>
      <w:lvlJc w:val="left"/>
      <w:pPr>
        <w:ind w:left="1486" w:hanging="506"/>
      </w:pPr>
      <w:rPr>
        <w:rFonts w:hint="default"/>
      </w:rPr>
    </w:lvl>
    <w:lvl w:ilvl="5">
      <w:start w:val="0"/>
      <w:numFmt w:val="bullet"/>
      <w:lvlText w:val="•"/>
      <w:lvlJc w:val="left"/>
      <w:pPr>
        <w:ind w:left="1748" w:hanging="506"/>
      </w:pPr>
      <w:rPr>
        <w:rFonts w:hint="default"/>
      </w:rPr>
    </w:lvl>
    <w:lvl w:ilvl="6">
      <w:start w:val="0"/>
      <w:numFmt w:val="bullet"/>
      <w:lvlText w:val="•"/>
      <w:lvlJc w:val="left"/>
      <w:pPr>
        <w:ind w:left="2011" w:hanging="506"/>
      </w:pPr>
      <w:rPr>
        <w:rFonts w:hint="default"/>
      </w:rPr>
    </w:lvl>
    <w:lvl w:ilvl="7">
      <w:start w:val="0"/>
      <w:numFmt w:val="bullet"/>
      <w:lvlText w:val="•"/>
      <w:lvlJc w:val="left"/>
      <w:pPr>
        <w:ind w:left="2273" w:hanging="506"/>
      </w:pPr>
      <w:rPr>
        <w:rFonts w:hint="default"/>
      </w:rPr>
    </w:lvl>
    <w:lvl w:ilvl="8">
      <w:start w:val="0"/>
      <w:numFmt w:val="bullet"/>
      <w:lvlText w:val="•"/>
      <w:lvlJc w:val="left"/>
      <w:pPr>
        <w:ind w:left="2535" w:hanging="506"/>
      </w:pPr>
      <w:rPr>
        <w:rFonts w:hint="default"/>
      </w:rPr>
    </w:lvl>
  </w:abstractNum>
  <w:abstractNum w:abstractNumId="0">
    <w:multiLevelType w:val="hybridMultilevel"/>
    <w:lvl w:ilvl="0">
      <w:start w:val="0"/>
      <w:numFmt w:val="bullet"/>
      <w:lvlText w:val="❖"/>
      <w:lvlJc w:val="left"/>
      <w:pPr>
        <w:ind w:left="1490" w:hanging="398"/>
      </w:pPr>
      <w:rPr>
        <w:rFonts w:hint="default" w:ascii="MS UI Gothic" w:hAnsi="MS UI Gothic" w:eastAsia="MS UI Gothic" w:cs="MS UI Gothic"/>
        <w:w w:val="89"/>
        <w:sz w:val="21"/>
        <w:szCs w:val="21"/>
      </w:rPr>
    </w:lvl>
    <w:lvl w:ilvl="1">
      <w:start w:val="0"/>
      <w:numFmt w:val="bullet"/>
      <w:lvlText w:val="•"/>
      <w:lvlJc w:val="left"/>
      <w:pPr>
        <w:ind w:left="2450" w:hanging="398"/>
      </w:pPr>
      <w:rPr>
        <w:rFonts w:hint="default"/>
      </w:rPr>
    </w:lvl>
    <w:lvl w:ilvl="2">
      <w:start w:val="0"/>
      <w:numFmt w:val="bullet"/>
      <w:lvlText w:val="•"/>
      <w:lvlJc w:val="left"/>
      <w:pPr>
        <w:ind w:left="3400" w:hanging="398"/>
      </w:pPr>
      <w:rPr>
        <w:rFonts w:hint="default"/>
      </w:rPr>
    </w:lvl>
    <w:lvl w:ilvl="3">
      <w:start w:val="0"/>
      <w:numFmt w:val="bullet"/>
      <w:lvlText w:val="•"/>
      <w:lvlJc w:val="left"/>
      <w:pPr>
        <w:ind w:left="4350" w:hanging="398"/>
      </w:pPr>
      <w:rPr>
        <w:rFonts w:hint="default"/>
      </w:rPr>
    </w:lvl>
    <w:lvl w:ilvl="4">
      <w:start w:val="0"/>
      <w:numFmt w:val="bullet"/>
      <w:lvlText w:val="•"/>
      <w:lvlJc w:val="left"/>
      <w:pPr>
        <w:ind w:left="5300" w:hanging="398"/>
      </w:pPr>
      <w:rPr>
        <w:rFonts w:hint="default"/>
      </w:rPr>
    </w:lvl>
    <w:lvl w:ilvl="5">
      <w:start w:val="0"/>
      <w:numFmt w:val="bullet"/>
      <w:lvlText w:val="•"/>
      <w:lvlJc w:val="left"/>
      <w:pPr>
        <w:ind w:left="6250" w:hanging="398"/>
      </w:pPr>
      <w:rPr>
        <w:rFonts w:hint="default"/>
      </w:rPr>
    </w:lvl>
    <w:lvl w:ilvl="6">
      <w:start w:val="0"/>
      <w:numFmt w:val="bullet"/>
      <w:lvlText w:val="•"/>
      <w:lvlJc w:val="left"/>
      <w:pPr>
        <w:ind w:left="7200" w:hanging="398"/>
      </w:pPr>
      <w:rPr>
        <w:rFonts w:hint="default"/>
      </w:rPr>
    </w:lvl>
    <w:lvl w:ilvl="7">
      <w:start w:val="0"/>
      <w:numFmt w:val="bullet"/>
      <w:lvlText w:val="•"/>
      <w:lvlJc w:val="left"/>
      <w:pPr>
        <w:ind w:left="8150" w:hanging="398"/>
      </w:pPr>
      <w:rPr>
        <w:rFonts w:hint="default"/>
      </w:rPr>
    </w:lvl>
    <w:lvl w:ilvl="8">
      <w:start w:val="0"/>
      <w:numFmt w:val="bullet"/>
      <w:lvlText w:val="•"/>
      <w:lvlJc w:val="left"/>
      <w:pPr>
        <w:ind w:left="9100" w:hanging="398"/>
      </w:pPr>
      <w:rPr>
        <w:rFonts w:hint="default"/>
      </w:rPr>
    </w:lvl>
  </w:abstract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37"/>
      <w:ind w:left="1490" w:hanging="397"/>
    </w:pPr>
    <w:rPr>
      <w:rFonts w:ascii="宋体" w:hAnsi="宋体" w:eastAsia="宋体" w:cs="宋体"/>
    </w:rPr>
  </w:style>
  <w:style w:styleId="TableParagraph" w:type="paragraph">
    <w:name w:val="Table Paragraph"/>
    <w:basedOn w:val="Normal"/>
    <w:uiPriority w:val="1"/>
    <w:qFormat/>
    <w:pPr>
      <w:spacing w:before="11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个人两全保险（分红型）条款</dc:title>
  <dcterms:created xsi:type="dcterms:W3CDTF">2018-10-20T03:05:54Z</dcterms:created>
  <dcterms:modified xsi:type="dcterms:W3CDTF">2018-10-20T03:05:54Z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Creator">
    <vt:lpwstr>Acrobat PDFMaker 6.0 for Word</vt:lpwstr>
  </property>
  <property fmtid="{D5CDD505-2E9C-101B-9397-08002B2CF9AE}" pid="4" name="LastSaved">
    <vt:filetime>2018-10-19T00:00:00Z</vt:filetime>
  </property>
</Properties>
</file>