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60" w:lineRule="exact" w:before="0"/>
        <w:ind w:left="2930" w:right="0" w:firstLine="0"/>
        <w:jc w:val="center"/>
        <w:rPr>
          <w:rFonts w:ascii="Microsoft JhengHei" w:eastAsia="Microsoft JhengHei" w:hint="eastAsia"/>
          <w:b/>
          <w:sz w:val="44"/>
        </w:rPr>
      </w:pPr>
      <w:r>
        <w:rPr>
          <w:rFonts w:ascii="Microsoft JhengHei" w:eastAsia="Microsoft JhengHei" w:hint="eastAsia"/>
          <w:b/>
          <w:sz w:val="44"/>
        </w:rPr>
        <w:t>建信人寿保险有限公司</w:t>
      </w:r>
    </w:p>
    <w:p>
      <w:pPr>
        <w:spacing w:before="45"/>
        <w:ind w:left="2931"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222"/>
        <w:ind w:left="2937" w:right="0" w:firstLine="0"/>
        <w:jc w:val="center"/>
        <w:rPr>
          <w:rFonts w:ascii="Microsoft JhengHei" w:eastAsia="Microsoft JhengHei" w:hint="eastAsia"/>
          <w:b/>
          <w:sz w:val="32"/>
        </w:rPr>
      </w:pPr>
      <w:r>
        <w:rPr/>
        <w:pict>
          <v:shape style="position:absolute;margin-left:46.664001pt;margin-top:45.092037pt;width:486.7pt;height:193.1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7"/>
                    <w:gridCol w:w="3238"/>
                    <w:gridCol w:w="2168"/>
                    <w:gridCol w:w="3099"/>
                  </w:tblGrid>
                  <w:tr>
                    <w:trPr>
                      <w:trHeight w:val="485" w:hRule="atLeast"/>
                    </w:trPr>
                    <w:tc>
                      <w:tcPr>
                        <w:tcW w:w="1227" w:type="dxa"/>
                      </w:tcPr>
                      <w:p>
                        <w:pPr>
                          <w:pStyle w:val="TableParagraph"/>
                          <w:spacing w:line="318" w:lineRule="exact" w:before="0"/>
                          <w:rPr>
                            <w:rFonts w:ascii="Microsoft JhengHei" w:eastAsia="Microsoft JhengHei" w:hint="eastAsia"/>
                            <w:b/>
                            <w:sz w:val="24"/>
                          </w:rPr>
                        </w:pPr>
                        <w:r>
                          <w:rPr>
                            <w:rFonts w:ascii="Microsoft JhengHei" w:eastAsia="Microsoft JhengHei" w:hint="eastAsia"/>
                            <w:b/>
                            <w:sz w:val="24"/>
                          </w:rPr>
                          <w:t>条款目录</w:t>
                        </w:r>
                      </w:p>
                    </w:tc>
                    <w:tc>
                      <w:tcPr>
                        <w:tcW w:w="3238" w:type="dxa"/>
                      </w:tcPr>
                      <w:p>
                        <w:pPr>
                          <w:pStyle w:val="TableParagraph"/>
                          <w:spacing w:before="0"/>
                          <w:ind w:left="0"/>
                          <w:rPr>
                            <w:rFonts w:ascii="Times New Roman"/>
                            <w:sz w:val="20"/>
                          </w:rPr>
                        </w:pPr>
                      </w:p>
                    </w:tc>
                    <w:tc>
                      <w:tcPr>
                        <w:tcW w:w="2168" w:type="dxa"/>
                      </w:tcPr>
                      <w:p>
                        <w:pPr>
                          <w:pStyle w:val="TableParagraph"/>
                          <w:spacing w:before="0"/>
                          <w:ind w:left="0"/>
                          <w:rPr>
                            <w:rFonts w:ascii="Times New Roman"/>
                            <w:sz w:val="20"/>
                          </w:rPr>
                        </w:pPr>
                      </w:p>
                    </w:tc>
                    <w:tc>
                      <w:tcPr>
                        <w:tcW w:w="3099" w:type="dxa"/>
                      </w:tcPr>
                      <w:p>
                        <w:pPr>
                          <w:pStyle w:val="TableParagraph"/>
                          <w:spacing w:line="95" w:lineRule="exact" w:before="0"/>
                          <w:ind w:left="1711"/>
                          <w:rPr>
                            <w:sz w:val="18"/>
                          </w:rPr>
                        </w:pPr>
                        <w:r>
                          <w:rPr>
                            <w:sz w:val="18"/>
                          </w:rPr>
                          <w:t>请扫描以查询验</w:t>
                        </w:r>
                      </w:p>
                    </w:tc>
                  </w:tr>
                  <w:tr>
                    <w:trPr>
                      <w:trHeight w:val="488" w:hRule="atLeast"/>
                    </w:trPr>
                    <w:tc>
                      <w:tcPr>
                        <w:tcW w:w="1227" w:type="dxa"/>
                      </w:tcPr>
                      <w:p>
                        <w:pPr>
                          <w:pStyle w:val="TableParagraph"/>
                          <w:spacing w:before="144"/>
                          <w:rPr>
                            <w:sz w:val="21"/>
                          </w:rPr>
                        </w:pPr>
                        <w:r>
                          <w:rPr>
                            <w:sz w:val="21"/>
                          </w:rPr>
                          <w:t>第一条</w:t>
                        </w:r>
                      </w:p>
                    </w:tc>
                    <w:tc>
                      <w:tcPr>
                        <w:tcW w:w="3238" w:type="dxa"/>
                      </w:tcPr>
                      <w:p>
                        <w:pPr>
                          <w:pStyle w:val="TableParagraph"/>
                          <w:spacing w:before="144"/>
                          <w:ind w:left="394"/>
                          <w:rPr>
                            <w:sz w:val="21"/>
                          </w:rPr>
                        </w:pPr>
                        <w:r>
                          <w:rPr>
                            <w:sz w:val="21"/>
                          </w:rPr>
                          <w:t>附加合同的构成</w:t>
                        </w:r>
                      </w:p>
                    </w:tc>
                    <w:tc>
                      <w:tcPr>
                        <w:tcW w:w="2168" w:type="dxa"/>
                      </w:tcPr>
                      <w:p>
                        <w:pPr>
                          <w:pStyle w:val="TableParagraph"/>
                          <w:spacing w:before="144"/>
                          <w:ind w:left="949"/>
                          <w:rPr>
                            <w:sz w:val="21"/>
                          </w:rPr>
                        </w:pPr>
                        <w:r>
                          <w:rPr>
                            <w:sz w:val="21"/>
                          </w:rPr>
                          <w:t>第十条</w:t>
                        </w:r>
                      </w:p>
                    </w:tc>
                    <w:tc>
                      <w:tcPr>
                        <w:tcW w:w="3099" w:type="dxa"/>
                      </w:tcPr>
                      <w:p>
                        <w:pPr>
                          <w:pStyle w:val="TableParagraph"/>
                          <w:spacing w:before="144"/>
                          <w:ind w:left="375"/>
                          <w:rPr>
                            <w:sz w:val="21"/>
                          </w:rPr>
                        </w:pPr>
                        <w:r>
                          <w:rPr>
                            <w:sz w:val="21"/>
                          </w:rPr>
                          <w:t>保险金申请</w:t>
                        </w:r>
                      </w:p>
                    </w:tc>
                  </w:tr>
                  <w:tr>
                    <w:trPr>
                      <w:trHeight w:val="365" w:hRule="atLeast"/>
                    </w:trPr>
                    <w:tc>
                      <w:tcPr>
                        <w:tcW w:w="1227" w:type="dxa"/>
                      </w:tcPr>
                      <w:p>
                        <w:pPr>
                          <w:pStyle w:val="TableParagraph"/>
                          <w:spacing w:before="21"/>
                          <w:rPr>
                            <w:sz w:val="21"/>
                          </w:rPr>
                        </w:pPr>
                        <w:r>
                          <w:rPr>
                            <w:sz w:val="21"/>
                          </w:rPr>
                          <w:t>第二条</w:t>
                        </w:r>
                      </w:p>
                    </w:tc>
                    <w:tc>
                      <w:tcPr>
                        <w:tcW w:w="3238" w:type="dxa"/>
                      </w:tcPr>
                      <w:p>
                        <w:pPr>
                          <w:pStyle w:val="TableParagraph"/>
                          <w:spacing w:before="21"/>
                          <w:ind w:left="394"/>
                          <w:rPr>
                            <w:sz w:val="21"/>
                          </w:rPr>
                        </w:pPr>
                        <w:r>
                          <w:rPr>
                            <w:sz w:val="21"/>
                          </w:rPr>
                          <w:t>保险责任</w:t>
                        </w:r>
                      </w:p>
                    </w:tc>
                    <w:tc>
                      <w:tcPr>
                        <w:tcW w:w="2168" w:type="dxa"/>
                      </w:tcPr>
                      <w:p>
                        <w:pPr>
                          <w:pStyle w:val="TableParagraph"/>
                          <w:spacing w:before="21"/>
                          <w:ind w:left="949"/>
                          <w:rPr>
                            <w:sz w:val="21"/>
                          </w:rPr>
                        </w:pPr>
                        <w:r>
                          <w:rPr>
                            <w:sz w:val="21"/>
                          </w:rPr>
                          <w:t>第十一条</w:t>
                        </w:r>
                      </w:p>
                    </w:tc>
                    <w:tc>
                      <w:tcPr>
                        <w:tcW w:w="3099" w:type="dxa"/>
                      </w:tcPr>
                      <w:p>
                        <w:pPr>
                          <w:pStyle w:val="TableParagraph"/>
                          <w:spacing w:before="21"/>
                          <w:ind w:left="375"/>
                          <w:rPr>
                            <w:sz w:val="21"/>
                          </w:rPr>
                        </w:pPr>
                        <w:r>
                          <w:rPr>
                            <w:sz w:val="21"/>
                          </w:rPr>
                          <w:t>诉讼时效</w:t>
                        </w:r>
                      </w:p>
                    </w:tc>
                  </w:tr>
                  <w:tr>
                    <w:trPr>
                      <w:trHeight w:val="367" w:hRule="atLeast"/>
                    </w:trPr>
                    <w:tc>
                      <w:tcPr>
                        <w:tcW w:w="1227" w:type="dxa"/>
                      </w:tcPr>
                      <w:p>
                        <w:pPr>
                          <w:pStyle w:val="TableParagraph"/>
                          <w:spacing w:before="21"/>
                          <w:rPr>
                            <w:sz w:val="21"/>
                          </w:rPr>
                        </w:pPr>
                        <w:r>
                          <w:rPr>
                            <w:sz w:val="21"/>
                          </w:rPr>
                          <w:t>第三条</w:t>
                        </w:r>
                      </w:p>
                    </w:tc>
                    <w:tc>
                      <w:tcPr>
                        <w:tcW w:w="3238" w:type="dxa"/>
                      </w:tcPr>
                      <w:p>
                        <w:pPr>
                          <w:pStyle w:val="TableParagraph"/>
                          <w:spacing w:before="21"/>
                          <w:ind w:left="394"/>
                          <w:rPr>
                            <w:sz w:val="21"/>
                          </w:rPr>
                        </w:pPr>
                        <w:r>
                          <w:rPr>
                            <w:sz w:val="21"/>
                          </w:rPr>
                          <w:t>责任免除</w:t>
                        </w:r>
                      </w:p>
                    </w:tc>
                    <w:tc>
                      <w:tcPr>
                        <w:tcW w:w="2168" w:type="dxa"/>
                      </w:tcPr>
                      <w:p>
                        <w:pPr>
                          <w:pStyle w:val="TableParagraph"/>
                          <w:spacing w:before="21"/>
                          <w:ind w:left="949"/>
                          <w:rPr>
                            <w:sz w:val="21"/>
                          </w:rPr>
                        </w:pPr>
                        <w:r>
                          <w:rPr>
                            <w:sz w:val="21"/>
                          </w:rPr>
                          <w:t>第十二条</w:t>
                        </w:r>
                      </w:p>
                    </w:tc>
                    <w:tc>
                      <w:tcPr>
                        <w:tcW w:w="3099" w:type="dxa"/>
                      </w:tcPr>
                      <w:p>
                        <w:pPr>
                          <w:pStyle w:val="TableParagraph"/>
                          <w:spacing w:before="21"/>
                          <w:ind w:left="375"/>
                          <w:rPr>
                            <w:sz w:val="21"/>
                          </w:rPr>
                        </w:pPr>
                        <w:r>
                          <w:rPr>
                            <w:sz w:val="21"/>
                          </w:rPr>
                          <w:t>适用主合同条款</w:t>
                        </w:r>
                      </w:p>
                    </w:tc>
                  </w:tr>
                  <w:tr>
                    <w:trPr>
                      <w:trHeight w:val="367" w:hRule="atLeast"/>
                    </w:trPr>
                    <w:tc>
                      <w:tcPr>
                        <w:tcW w:w="1227" w:type="dxa"/>
                      </w:tcPr>
                      <w:p>
                        <w:pPr>
                          <w:pStyle w:val="TableParagraph"/>
                          <w:spacing w:before="23"/>
                          <w:rPr>
                            <w:sz w:val="21"/>
                          </w:rPr>
                        </w:pPr>
                        <w:r>
                          <w:rPr>
                            <w:sz w:val="21"/>
                          </w:rPr>
                          <w:t>第四条</w:t>
                        </w:r>
                      </w:p>
                    </w:tc>
                    <w:tc>
                      <w:tcPr>
                        <w:tcW w:w="3238" w:type="dxa"/>
                      </w:tcPr>
                      <w:p>
                        <w:pPr>
                          <w:pStyle w:val="TableParagraph"/>
                          <w:spacing w:before="23"/>
                          <w:ind w:left="394"/>
                          <w:rPr>
                            <w:sz w:val="21"/>
                          </w:rPr>
                        </w:pPr>
                        <w:r>
                          <w:rPr>
                            <w:sz w:val="21"/>
                          </w:rPr>
                          <w:t>保险合同成立与生效</w:t>
                        </w:r>
                      </w:p>
                    </w:tc>
                    <w:tc>
                      <w:tcPr>
                        <w:tcW w:w="2168" w:type="dxa"/>
                      </w:tcPr>
                      <w:p>
                        <w:pPr>
                          <w:pStyle w:val="TableParagraph"/>
                          <w:spacing w:before="23"/>
                          <w:ind w:left="949"/>
                          <w:rPr>
                            <w:sz w:val="21"/>
                          </w:rPr>
                        </w:pPr>
                        <w:r>
                          <w:rPr>
                            <w:sz w:val="21"/>
                          </w:rPr>
                          <w:t>第十三条</w:t>
                        </w:r>
                      </w:p>
                    </w:tc>
                    <w:tc>
                      <w:tcPr>
                        <w:tcW w:w="3099" w:type="dxa"/>
                      </w:tcPr>
                      <w:p>
                        <w:pPr>
                          <w:pStyle w:val="TableParagraph"/>
                          <w:spacing w:before="23"/>
                          <w:ind w:left="375"/>
                          <w:rPr>
                            <w:sz w:val="21"/>
                          </w:rPr>
                        </w:pPr>
                        <w:r>
                          <w:rPr>
                            <w:sz w:val="21"/>
                          </w:rPr>
                          <w:t>附加合同效力的终止</w:t>
                        </w:r>
                      </w:p>
                    </w:tc>
                  </w:tr>
                  <w:tr>
                    <w:trPr>
                      <w:trHeight w:val="364" w:hRule="atLeast"/>
                    </w:trPr>
                    <w:tc>
                      <w:tcPr>
                        <w:tcW w:w="1227" w:type="dxa"/>
                      </w:tcPr>
                      <w:p>
                        <w:pPr>
                          <w:pStyle w:val="TableParagraph"/>
                          <w:spacing w:before="21"/>
                          <w:rPr>
                            <w:sz w:val="21"/>
                          </w:rPr>
                        </w:pPr>
                        <w:r>
                          <w:rPr>
                            <w:sz w:val="21"/>
                          </w:rPr>
                          <w:t>第五条</w:t>
                        </w:r>
                      </w:p>
                    </w:tc>
                    <w:tc>
                      <w:tcPr>
                        <w:tcW w:w="3238" w:type="dxa"/>
                      </w:tcPr>
                      <w:p>
                        <w:pPr>
                          <w:pStyle w:val="TableParagraph"/>
                          <w:spacing w:before="21"/>
                          <w:ind w:left="394"/>
                          <w:rPr>
                            <w:sz w:val="21"/>
                          </w:rPr>
                        </w:pPr>
                        <w:r>
                          <w:rPr>
                            <w:sz w:val="21"/>
                          </w:rPr>
                          <w:t>保险期间</w:t>
                        </w:r>
                      </w:p>
                    </w:tc>
                    <w:tc>
                      <w:tcPr>
                        <w:tcW w:w="2168" w:type="dxa"/>
                      </w:tcPr>
                      <w:p>
                        <w:pPr>
                          <w:pStyle w:val="TableParagraph"/>
                          <w:spacing w:before="21"/>
                          <w:ind w:left="949"/>
                          <w:rPr>
                            <w:sz w:val="21"/>
                          </w:rPr>
                        </w:pPr>
                        <w:r>
                          <w:rPr>
                            <w:sz w:val="21"/>
                          </w:rPr>
                          <w:t>第十四条</w:t>
                        </w:r>
                      </w:p>
                    </w:tc>
                    <w:tc>
                      <w:tcPr>
                        <w:tcW w:w="3099" w:type="dxa"/>
                      </w:tcPr>
                      <w:p>
                        <w:pPr>
                          <w:pStyle w:val="TableParagraph"/>
                          <w:spacing w:before="21"/>
                          <w:ind w:left="375"/>
                          <w:rPr>
                            <w:sz w:val="21"/>
                          </w:rPr>
                        </w:pPr>
                        <w:r>
                          <w:rPr>
                            <w:sz w:val="21"/>
                          </w:rPr>
                          <w:t>重大疾病的分类及释义</w:t>
                        </w:r>
                      </w:p>
                    </w:tc>
                  </w:tr>
                  <w:tr>
                    <w:trPr>
                      <w:trHeight w:val="365" w:hRule="atLeast"/>
                    </w:trPr>
                    <w:tc>
                      <w:tcPr>
                        <w:tcW w:w="1227" w:type="dxa"/>
                      </w:tcPr>
                      <w:p>
                        <w:pPr>
                          <w:pStyle w:val="TableParagraph"/>
                          <w:spacing w:before="21"/>
                          <w:rPr>
                            <w:sz w:val="21"/>
                          </w:rPr>
                        </w:pPr>
                        <w:r>
                          <w:rPr>
                            <w:sz w:val="21"/>
                          </w:rPr>
                          <w:t>第六条</w:t>
                        </w:r>
                      </w:p>
                    </w:tc>
                    <w:tc>
                      <w:tcPr>
                        <w:tcW w:w="3238" w:type="dxa"/>
                      </w:tcPr>
                      <w:p>
                        <w:pPr>
                          <w:pStyle w:val="TableParagraph"/>
                          <w:spacing w:before="21"/>
                          <w:ind w:left="394"/>
                          <w:rPr>
                            <w:sz w:val="21"/>
                          </w:rPr>
                        </w:pPr>
                        <w:r>
                          <w:rPr>
                            <w:sz w:val="21"/>
                          </w:rPr>
                          <w:t>基本保额</w:t>
                        </w:r>
                      </w:p>
                    </w:tc>
                    <w:tc>
                      <w:tcPr>
                        <w:tcW w:w="2168" w:type="dxa"/>
                      </w:tcPr>
                      <w:p>
                        <w:pPr>
                          <w:pStyle w:val="TableParagraph"/>
                          <w:spacing w:before="21"/>
                          <w:ind w:left="949"/>
                          <w:rPr>
                            <w:sz w:val="21"/>
                          </w:rPr>
                        </w:pPr>
                        <w:r>
                          <w:rPr>
                            <w:sz w:val="21"/>
                          </w:rPr>
                          <w:t>第十五条</w:t>
                        </w:r>
                      </w:p>
                    </w:tc>
                    <w:tc>
                      <w:tcPr>
                        <w:tcW w:w="3099" w:type="dxa"/>
                      </w:tcPr>
                      <w:p>
                        <w:pPr>
                          <w:pStyle w:val="TableParagraph"/>
                          <w:spacing w:before="21"/>
                          <w:ind w:left="375"/>
                          <w:rPr>
                            <w:sz w:val="21"/>
                          </w:rPr>
                        </w:pPr>
                        <w:r>
                          <w:rPr>
                            <w:sz w:val="21"/>
                          </w:rPr>
                          <w:t>女性特定疾病的分类及释义</w:t>
                        </w:r>
                      </w:p>
                    </w:tc>
                  </w:tr>
                  <w:tr>
                    <w:trPr>
                      <w:trHeight w:val="367" w:hRule="atLeast"/>
                    </w:trPr>
                    <w:tc>
                      <w:tcPr>
                        <w:tcW w:w="1227" w:type="dxa"/>
                      </w:tcPr>
                      <w:p>
                        <w:pPr>
                          <w:pStyle w:val="TableParagraph"/>
                          <w:spacing w:before="21"/>
                          <w:rPr>
                            <w:sz w:val="21"/>
                          </w:rPr>
                        </w:pPr>
                        <w:r>
                          <w:rPr>
                            <w:sz w:val="21"/>
                          </w:rPr>
                          <w:t>第七条</w:t>
                        </w:r>
                      </w:p>
                    </w:tc>
                    <w:tc>
                      <w:tcPr>
                        <w:tcW w:w="3238" w:type="dxa"/>
                      </w:tcPr>
                      <w:p>
                        <w:pPr>
                          <w:pStyle w:val="TableParagraph"/>
                          <w:spacing w:before="21"/>
                          <w:ind w:left="394"/>
                          <w:rPr>
                            <w:sz w:val="21"/>
                          </w:rPr>
                        </w:pPr>
                        <w:r>
                          <w:rPr>
                            <w:sz w:val="21"/>
                          </w:rPr>
                          <w:t>基本保额的减少</w:t>
                        </w:r>
                      </w:p>
                    </w:tc>
                    <w:tc>
                      <w:tcPr>
                        <w:tcW w:w="2168" w:type="dxa"/>
                      </w:tcPr>
                      <w:p>
                        <w:pPr>
                          <w:pStyle w:val="TableParagraph"/>
                          <w:spacing w:before="21"/>
                          <w:ind w:left="949"/>
                          <w:rPr>
                            <w:sz w:val="21"/>
                          </w:rPr>
                        </w:pPr>
                        <w:r>
                          <w:rPr>
                            <w:sz w:val="21"/>
                          </w:rPr>
                          <w:t>第十六条</w:t>
                        </w:r>
                      </w:p>
                    </w:tc>
                    <w:tc>
                      <w:tcPr>
                        <w:tcW w:w="3099" w:type="dxa"/>
                      </w:tcPr>
                      <w:p>
                        <w:pPr>
                          <w:pStyle w:val="TableParagraph"/>
                          <w:spacing w:before="21"/>
                          <w:ind w:left="375"/>
                          <w:rPr>
                            <w:sz w:val="21"/>
                          </w:rPr>
                        </w:pPr>
                        <w:r>
                          <w:rPr>
                            <w:sz w:val="21"/>
                          </w:rPr>
                          <w:t>男性特定疾病的分类及释义</w:t>
                        </w:r>
                      </w:p>
                    </w:tc>
                  </w:tr>
                  <w:tr>
                    <w:trPr>
                      <w:trHeight w:val="367" w:hRule="atLeast"/>
                    </w:trPr>
                    <w:tc>
                      <w:tcPr>
                        <w:tcW w:w="1227" w:type="dxa"/>
                      </w:tcPr>
                      <w:p>
                        <w:pPr>
                          <w:pStyle w:val="TableParagraph"/>
                          <w:spacing w:before="23"/>
                          <w:rPr>
                            <w:sz w:val="21"/>
                          </w:rPr>
                        </w:pPr>
                        <w:r>
                          <w:rPr>
                            <w:sz w:val="21"/>
                          </w:rPr>
                          <w:t>第八条</w:t>
                        </w:r>
                      </w:p>
                    </w:tc>
                    <w:tc>
                      <w:tcPr>
                        <w:tcW w:w="3238" w:type="dxa"/>
                      </w:tcPr>
                      <w:p>
                        <w:pPr>
                          <w:pStyle w:val="TableParagraph"/>
                          <w:spacing w:before="23"/>
                          <w:ind w:left="394"/>
                          <w:rPr>
                            <w:sz w:val="21"/>
                          </w:rPr>
                        </w:pPr>
                        <w:r>
                          <w:rPr>
                            <w:sz w:val="21"/>
                          </w:rPr>
                          <w:t>保险费率的调整</w:t>
                        </w:r>
                      </w:p>
                    </w:tc>
                    <w:tc>
                      <w:tcPr>
                        <w:tcW w:w="2168" w:type="dxa"/>
                      </w:tcPr>
                      <w:p>
                        <w:pPr>
                          <w:pStyle w:val="TableParagraph"/>
                          <w:spacing w:before="23"/>
                          <w:ind w:left="949"/>
                          <w:rPr>
                            <w:sz w:val="21"/>
                          </w:rPr>
                        </w:pPr>
                        <w:r>
                          <w:rPr>
                            <w:sz w:val="21"/>
                          </w:rPr>
                          <w:t>第十七条</w:t>
                        </w:r>
                      </w:p>
                    </w:tc>
                    <w:tc>
                      <w:tcPr>
                        <w:tcW w:w="3099" w:type="dxa"/>
                      </w:tcPr>
                      <w:p>
                        <w:pPr>
                          <w:pStyle w:val="TableParagraph"/>
                          <w:spacing w:before="23"/>
                          <w:ind w:left="375"/>
                          <w:rPr>
                            <w:sz w:val="21"/>
                          </w:rPr>
                        </w:pPr>
                        <w:r>
                          <w:rPr>
                            <w:sz w:val="21"/>
                          </w:rPr>
                          <w:t>其他名词的释义</w:t>
                        </w:r>
                      </w:p>
                    </w:tc>
                  </w:tr>
                  <w:tr>
                    <w:trPr>
                      <w:trHeight w:val="323" w:hRule="atLeast"/>
                    </w:trPr>
                    <w:tc>
                      <w:tcPr>
                        <w:tcW w:w="1227" w:type="dxa"/>
                      </w:tcPr>
                      <w:p>
                        <w:pPr>
                          <w:pStyle w:val="TableParagraph"/>
                          <w:spacing w:before="21"/>
                          <w:rPr>
                            <w:sz w:val="21"/>
                          </w:rPr>
                        </w:pPr>
                        <w:r>
                          <w:rPr>
                            <w:sz w:val="21"/>
                          </w:rPr>
                          <w:t>第九条</w:t>
                        </w:r>
                      </w:p>
                    </w:tc>
                    <w:tc>
                      <w:tcPr>
                        <w:tcW w:w="3238" w:type="dxa"/>
                      </w:tcPr>
                      <w:p>
                        <w:pPr>
                          <w:pStyle w:val="TableParagraph"/>
                          <w:spacing w:before="21"/>
                          <w:ind w:left="394"/>
                          <w:rPr>
                            <w:sz w:val="21"/>
                          </w:rPr>
                        </w:pPr>
                        <w:r>
                          <w:rPr>
                            <w:sz w:val="21"/>
                          </w:rPr>
                          <w:t>受益人</w:t>
                        </w:r>
                      </w:p>
                    </w:tc>
                    <w:tc>
                      <w:tcPr>
                        <w:tcW w:w="2168" w:type="dxa"/>
                      </w:tcPr>
                      <w:p>
                        <w:pPr>
                          <w:pStyle w:val="TableParagraph"/>
                          <w:spacing w:before="0"/>
                          <w:ind w:left="0"/>
                          <w:rPr>
                            <w:rFonts w:ascii="Times New Roman"/>
                            <w:sz w:val="20"/>
                          </w:rPr>
                        </w:pPr>
                      </w:p>
                    </w:tc>
                    <w:tc>
                      <w:tcPr>
                        <w:tcW w:w="3099" w:type="dxa"/>
                      </w:tcPr>
                      <w:p>
                        <w:pPr>
                          <w:pStyle w:val="TableParagraph"/>
                          <w:spacing w:before="0"/>
                          <w:ind w:left="0"/>
                          <w:rPr>
                            <w:rFonts w:ascii="Times New Roman"/>
                            <w:sz w:val="20"/>
                          </w:rPr>
                        </w:pPr>
                      </w:p>
                    </w:tc>
                  </w:tr>
                </w:tbl>
                <w:p>
                  <w:pPr>
                    <w:pStyle w:val="BodyText"/>
                    <w:ind w:left="0"/>
                  </w:pPr>
                </w:p>
              </w:txbxContent>
            </v:textbox>
            <w10:wrap type="none"/>
          </v:shape>
        </w:pict>
      </w:r>
      <w:r>
        <w:rPr>
          <w:rFonts w:ascii="Microsoft JhengHei" w:eastAsia="Microsoft JhengHei" w:hint="eastAsia"/>
          <w:b/>
          <w:sz w:val="32"/>
        </w:rPr>
        <w:t>附加重大疾病保险 </w:t>
      </w:r>
      <w:r>
        <w:rPr>
          <w:rFonts w:ascii="Times New Roman" w:eastAsia="Times New Roman"/>
          <w:b/>
          <w:sz w:val="32"/>
        </w:rPr>
        <w:t>B </w:t>
      </w:r>
      <w:r>
        <w:rPr>
          <w:rFonts w:ascii="Microsoft JhengHei" w:eastAsia="Microsoft JhengHei" w:hint="eastAsia"/>
          <w:b/>
          <w:sz w:val="32"/>
        </w:rPr>
        <w:t>款</w:t>
      </w:r>
    </w:p>
    <w:p>
      <w:pPr>
        <w:spacing w:before="155"/>
        <w:ind w:left="648" w:right="0" w:firstLine="0"/>
        <w:jc w:val="left"/>
        <w:rPr>
          <w:sz w:val="18"/>
        </w:rPr>
      </w:pPr>
      <w:r>
        <w:rPr/>
        <w:br w:type="column"/>
      </w:r>
      <w:r>
        <w:rPr>
          <w:spacing w:val="-3"/>
          <w:w w:val="101"/>
          <w:sz w:val="18"/>
        </w:rPr>
        <w:t>建信人寿</w:t>
      </w:r>
      <w:r>
        <w:rPr>
          <w:spacing w:val="0"/>
          <w:w w:val="56"/>
          <w:sz w:val="18"/>
        </w:rPr>
        <w:t>[</w:t>
      </w:r>
      <w:r>
        <w:rPr>
          <w:spacing w:val="-1"/>
          <w:w w:val="112"/>
          <w:sz w:val="18"/>
        </w:rPr>
        <w:t>201</w:t>
      </w:r>
      <w:r>
        <w:rPr>
          <w:spacing w:val="-6"/>
          <w:w w:val="112"/>
          <w:sz w:val="18"/>
        </w:rPr>
        <w:t>3</w:t>
      </w:r>
      <w:r>
        <w:rPr>
          <w:spacing w:val="1"/>
          <w:w w:val="56"/>
          <w:sz w:val="18"/>
        </w:rPr>
        <w:t>]</w:t>
      </w:r>
      <w:r>
        <w:rPr>
          <w:spacing w:val="-3"/>
          <w:w w:val="101"/>
          <w:sz w:val="18"/>
        </w:rPr>
        <w:t>疾病保险第</w:t>
      </w:r>
      <w:r>
        <w:rPr>
          <w:spacing w:val="-47"/>
          <w:sz w:val="18"/>
        </w:rPr>
        <w:t> </w:t>
      </w:r>
      <w:r>
        <w:rPr>
          <w:spacing w:val="-1"/>
          <w:w w:val="112"/>
          <w:sz w:val="18"/>
        </w:rPr>
        <w:t>03</w:t>
      </w:r>
      <w:r>
        <w:rPr>
          <w:w w:val="112"/>
          <w:sz w:val="18"/>
        </w:rPr>
        <w:t>3</w:t>
      </w:r>
      <w:r>
        <w:rPr>
          <w:spacing w:val="-53"/>
          <w:sz w:val="18"/>
        </w:rPr>
        <w:t> </w:t>
      </w:r>
      <w:r>
        <w:rPr>
          <w:w w:val="101"/>
          <w:sz w:val="18"/>
        </w:rPr>
        <w:t>号</w:t>
      </w:r>
    </w:p>
    <w:p>
      <w:pPr>
        <w:pStyle w:val="BodyText"/>
        <w:spacing w:before="6"/>
        <w:ind w:left="0"/>
        <w:rPr>
          <w:sz w:val="9"/>
        </w:rPr>
      </w:pPr>
      <w:r>
        <w:rPr/>
        <w:drawing>
          <wp:anchor distT="0" distB="0" distL="0" distR="0" allowOverlap="1" layoutInCell="1" locked="0" behindDoc="0" simplePos="0" relativeHeight="0">
            <wp:simplePos x="0" y="0"/>
            <wp:positionH relativeFrom="page">
              <wp:posOffset>6111875</wp:posOffset>
            </wp:positionH>
            <wp:positionV relativeFrom="paragraph">
              <wp:posOffset>103836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spacing w:before="159"/>
        <w:ind w:left="0" w:right="559" w:firstLine="0"/>
        <w:jc w:val="right"/>
        <w:rPr>
          <w:sz w:val="18"/>
        </w:rPr>
      </w:pPr>
      <w:r>
        <w:rPr>
          <w:sz w:val="18"/>
        </w:rPr>
        <w:t>证条款</w:t>
      </w:r>
    </w:p>
    <w:p>
      <w:pPr>
        <w:spacing w:after="0"/>
        <w:jc w:val="right"/>
        <w:rPr>
          <w:sz w:val="18"/>
        </w:rPr>
        <w:sectPr>
          <w:footerReference w:type="default" r:id="rId5"/>
          <w:type w:val="continuous"/>
          <w:pgSz w:w="11910" w:h="16840"/>
          <w:pgMar w:footer="576" w:top="840" w:bottom="760" w:left="820" w:right="260"/>
          <w:cols w:num="2" w:equalWidth="0">
            <w:col w:w="7337" w:space="40"/>
            <w:col w:w="3453"/>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2"/>
        </w:rPr>
      </w:pPr>
    </w:p>
    <w:p>
      <w:pPr>
        <w:pStyle w:val="Heading1"/>
        <w:spacing w:before="36"/>
        <w:ind w:left="313"/>
        <w:rPr>
          <w:rFonts w:ascii="黑体" w:eastAsia="黑体" w:hint="eastAsia"/>
        </w:rPr>
      </w:pPr>
      <w:r>
        <w:rPr>
          <w:rFonts w:ascii="黑体" w:eastAsia="黑体" w:hint="eastAsia"/>
        </w:rPr>
        <w:t>第一条 附加合同的构成</w:t>
      </w:r>
    </w:p>
    <w:p>
      <w:pPr>
        <w:pStyle w:val="BodyText"/>
        <w:spacing w:before="7"/>
        <w:ind w:left="0"/>
        <w:rPr>
          <w:rFonts w:ascii="黑体"/>
          <w:b/>
          <w:sz w:val="22"/>
        </w:rPr>
      </w:pPr>
    </w:p>
    <w:p>
      <w:pPr>
        <w:pStyle w:val="BodyText"/>
        <w:spacing w:line="309" w:lineRule="auto"/>
        <w:ind w:left="313" w:right="865"/>
        <w:jc w:val="both"/>
      </w:pPr>
      <w:r>
        <w:rPr>
          <w:spacing w:val="-2"/>
        </w:rPr>
        <w:t>《附加重大疾病保险 </w:t>
      </w:r>
      <w:r>
        <w:rPr>
          <w:rFonts w:ascii="Times New Roman" w:eastAsia="Times New Roman"/>
        </w:rPr>
        <w:t>B </w:t>
      </w:r>
      <w:r>
        <w:rPr>
          <w:spacing w:val="-53"/>
        </w:rPr>
        <w:t>款》</w:t>
      </w:r>
      <w:r>
        <w:rPr/>
        <w:t>（</w:t>
      </w:r>
      <w:r>
        <w:rPr>
          <w:spacing w:val="-3"/>
        </w:rPr>
        <w:t>以下简称本附加合同</w:t>
      </w:r>
      <w:r>
        <w:rPr>
          <w:spacing w:val="-5"/>
        </w:rPr>
        <w:t>）依主合同投保人的申请，经本公司同意而订立。本附</w:t>
      </w:r>
      <w:r>
        <w:rPr/>
        <w:t>加合同须附加于主合同后始为有效。主合同的构成中与本附加合同相关的部分均为本附加合同的构成部</w:t>
      </w:r>
      <w:r>
        <w:rPr>
          <w:spacing w:val="-5"/>
        </w:rPr>
        <w:t>分。若主合同与本附加合同的条款内容互有冲突，则以本附加合同为准。</w:t>
      </w:r>
    </w:p>
    <w:p>
      <w:pPr>
        <w:pStyle w:val="BodyText"/>
        <w:spacing w:before="11"/>
        <w:ind w:left="0"/>
        <w:rPr>
          <w:sz w:val="20"/>
        </w:rPr>
      </w:pPr>
    </w:p>
    <w:p>
      <w:pPr>
        <w:pStyle w:val="BodyText"/>
        <w:spacing w:before="1"/>
        <w:ind w:left="313"/>
      </w:pPr>
      <w:r>
        <w:rPr/>
        <w:t>本附加合同的代码为 </w:t>
      </w:r>
      <w:r>
        <w:rPr>
          <w:rFonts w:ascii="Times New Roman" w:eastAsia="Times New Roman"/>
        </w:rPr>
        <w:t>DDKL</w:t>
      </w:r>
      <w:r>
        <w:rPr/>
        <w:t>。</w:t>
      </w:r>
    </w:p>
    <w:p>
      <w:pPr>
        <w:pStyle w:val="BodyText"/>
        <w:spacing w:before="8"/>
        <w:ind w:left="0"/>
        <w:rPr>
          <w:sz w:val="19"/>
        </w:rPr>
      </w:pPr>
    </w:p>
    <w:p>
      <w:pPr>
        <w:pStyle w:val="Heading1"/>
        <w:ind w:left="313"/>
        <w:rPr>
          <w:rFonts w:ascii="黑体" w:eastAsia="黑体" w:hint="eastAsia"/>
        </w:rPr>
      </w:pPr>
      <w:r>
        <w:rPr>
          <w:rFonts w:ascii="黑体" w:eastAsia="黑体" w:hint="eastAsia"/>
        </w:rPr>
        <w:t>第二条 保险责任</w:t>
      </w:r>
    </w:p>
    <w:p>
      <w:pPr>
        <w:pStyle w:val="BodyText"/>
        <w:spacing w:before="9"/>
        <w:ind w:left="0"/>
        <w:rPr>
          <w:rFonts w:ascii="黑体"/>
          <w:b/>
          <w:sz w:val="22"/>
        </w:rPr>
      </w:pPr>
    </w:p>
    <w:p>
      <w:pPr>
        <w:pStyle w:val="BodyText"/>
        <w:spacing w:line="321" w:lineRule="auto"/>
        <w:ind w:left="313" w:right="760"/>
      </w:pPr>
      <w:r>
        <w:rPr>
          <w:spacing w:val="-10"/>
        </w:rPr>
        <w:t>本附加合同的保险责任分为基本责任和可选责任。在投保基本责任的基础上，投保人可选择投保可选责任， </w:t>
      </w:r>
      <w:r>
        <w:rPr>
          <w:spacing w:val="-8"/>
        </w:rPr>
        <w:t>可选责任由投保人与本公司在投保时约定并载于本附加合同的保险单上。若可选保险责任未在保险单上载</w:t>
      </w:r>
      <w:r>
        <w:rPr>
          <w:spacing w:val="-6"/>
        </w:rPr>
        <w:t>明，则本公司不承担相应的保险责任。</w:t>
      </w:r>
    </w:p>
    <w:p>
      <w:pPr>
        <w:pStyle w:val="BodyText"/>
        <w:spacing w:before="9"/>
        <w:ind w:left="0"/>
        <w:rPr>
          <w:sz w:val="19"/>
        </w:rPr>
      </w:pPr>
    </w:p>
    <w:p>
      <w:pPr>
        <w:pStyle w:val="BodyText"/>
        <w:spacing w:before="1"/>
        <w:ind w:left="313"/>
      </w:pPr>
      <w:r>
        <w:rPr/>
        <w:t>在本附加合同有效期限内，本公司承担如下保险责任：</w:t>
      </w:r>
    </w:p>
    <w:p>
      <w:pPr>
        <w:pStyle w:val="Heading1"/>
        <w:spacing w:before="23"/>
        <w:ind w:left="313"/>
      </w:pPr>
      <w:r>
        <w:rPr>
          <w:spacing w:val="-6"/>
        </w:rPr>
        <w:t>自本附加合同生效日或最后一次效力恢复之日</w:t>
      </w:r>
      <w:r>
        <w:rPr/>
        <w:t>（</w:t>
      </w:r>
      <w:r>
        <w:rPr>
          <w:spacing w:val="-5"/>
        </w:rPr>
        <w:t>上述生效日或效力恢复之日以较迟者为准</w:t>
      </w:r>
      <w:r>
        <w:rPr>
          <w:spacing w:val="-44"/>
        </w:rPr>
        <w:t>）</w:t>
      </w:r>
      <w:r>
        <w:rPr>
          <w:spacing w:val="15"/>
        </w:rPr>
        <w:t>起 </w:t>
      </w:r>
      <w:r>
        <w:rPr>
          <w:rFonts w:ascii="Times New Roman" w:eastAsia="Times New Roman"/>
          <w:spacing w:val="-3"/>
        </w:rPr>
        <w:t>90 </w:t>
      </w:r>
      <w:r>
        <w:rPr>
          <w:spacing w:val="-22"/>
        </w:rPr>
        <w:t>日内</w:t>
      </w:r>
      <w:r>
        <w:rPr/>
        <w:t>（含</w:t>
      </w:r>
    </w:p>
    <w:p>
      <w:pPr>
        <w:spacing w:line="364" w:lineRule="exact" w:before="24"/>
        <w:ind w:left="313" w:right="862" w:firstLine="0"/>
        <w:jc w:val="both"/>
        <w:rPr>
          <w:sz w:val="21"/>
        </w:rPr>
      </w:pPr>
      <w:r>
        <w:rPr>
          <w:rFonts w:ascii="Microsoft JhengHei" w:eastAsia="Microsoft JhengHei" w:hint="eastAsia"/>
          <w:b/>
          <w:w w:val="100"/>
          <w:sz w:val="21"/>
        </w:rPr>
        <w:t>第</w:t>
      </w:r>
      <w:r>
        <w:rPr>
          <w:rFonts w:ascii="Microsoft JhengHei" w:eastAsia="Microsoft JhengHei" w:hint="eastAsia"/>
          <w:b/>
          <w:sz w:val="21"/>
        </w:rPr>
        <w:t> </w:t>
      </w:r>
      <w:r>
        <w:rPr>
          <w:rFonts w:ascii="Times New Roman" w:eastAsia="Times New Roman"/>
          <w:b/>
          <w:spacing w:val="-5"/>
          <w:w w:val="100"/>
          <w:sz w:val="21"/>
        </w:rPr>
        <w:t>9</w:t>
      </w:r>
      <w:r>
        <w:rPr>
          <w:rFonts w:ascii="Times New Roman" w:eastAsia="Times New Roman"/>
          <w:b/>
          <w:w w:val="100"/>
          <w:sz w:val="21"/>
        </w:rPr>
        <w:t>0</w:t>
      </w:r>
      <w:r>
        <w:rPr>
          <w:rFonts w:ascii="Times New Roman" w:eastAsia="Times New Roman"/>
          <w:b/>
          <w:sz w:val="21"/>
        </w:rPr>
        <w:t> </w:t>
      </w:r>
      <w:r>
        <w:rPr>
          <w:rFonts w:ascii="Microsoft JhengHei" w:eastAsia="Microsoft JhengHei" w:hint="eastAsia"/>
          <w:b/>
          <w:w w:val="100"/>
          <w:sz w:val="21"/>
        </w:rPr>
        <w:t>日</w:t>
      </w:r>
      <w:r>
        <w:rPr>
          <w:rFonts w:ascii="Microsoft JhengHei" w:eastAsia="Microsoft JhengHei" w:hint="eastAsia"/>
          <w:b/>
          <w:spacing w:val="-106"/>
          <w:w w:val="100"/>
          <w:sz w:val="21"/>
        </w:rPr>
        <w:t>）</w:t>
      </w:r>
      <w:r>
        <w:rPr>
          <w:rFonts w:ascii="Microsoft JhengHei" w:eastAsia="Microsoft JhengHei" w:hint="eastAsia"/>
          <w:b/>
          <w:spacing w:val="-5"/>
          <w:w w:val="100"/>
          <w:sz w:val="21"/>
        </w:rPr>
        <w:t>，若被保险人发生本附加合同约定的各项保险事故，本公司不承担相应保险责任。</w:t>
      </w:r>
      <w:r>
        <w:rPr>
          <w:w w:val="100"/>
          <w:sz w:val="21"/>
        </w:rPr>
        <w:t>这</w:t>
      </w:r>
      <w:r>
        <w:rPr>
          <w:spacing w:val="-53"/>
          <w:sz w:val="21"/>
        </w:rPr>
        <w:t> </w:t>
      </w:r>
      <w:r>
        <w:rPr>
          <w:rFonts w:ascii="Times New Roman" w:eastAsia="Times New Roman"/>
          <w:spacing w:val="-5"/>
          <w:w w:val="100"/>
          <w:sz w:val="21"/>
        </w:rPr>
        <w:t>9</w:t>
      </w:r>
      <w:r>
        <w:rPr>
          <w:rFonts w:ascii="Times New Roman" w:eastAsia="Times New Roman"/>
          <w:w w:val="100"/>
          <w:sz w:val="21"/>
        </w:rPr>
        <w:t>0</w:t>
      </w:r>
      <w:r>
        <w:rPr>
          <w:rFonts w:ascii="Times New Roman" w:eastAsia="Times New Roman"/>
          <w:sz w:val="21"/>
        </w:rPr>
        <w:t> </w:t>
      </w:r>
      <w:r>
        <w:rPr>
          <w:w w:val="100"/>
          <w:sz w:val="21"/>
        </w:rPr>
        <w:t>日的时</w:t>
      </w:r>
      <w:r>
        <w:rPr>
          <w:spacing w:val="-6"/>
          <w:sz w:val="21"/>
        </w:rPr>
        <w:t>间称为等待期。在本附加合同有效期限内，若被保险人因发生</w:t>
      </w:r>
      <w:r>
        <w:rPr>
          <w:rFonts w:ascii="Microsoft JhengHei" w:eastAsia="Microsoft JhengHei" w:hint="eastAsia"/>
          <w:b/>
          <w:spacing w:val="-2"/>
          <w:sz w:val="21"/>
        </w:rPr>
        <w:t>意外伤害</w:t>
      </w:r>
      <w:r>
        <w:rPr>
          <w:rFonts w:ascii="Microsoft JhengHei" w:eastAsia="Microsoft JhengHei" w:hint="eastAsia"/>
          <w:b/>
          <w:spacing w:val="-5"/>
          <w:sz w:val="21"/>
        </w:rPr>
        <w:t>（</w:t>
      </w:r>
      <w:r>
        <w:rPr>
          <w:rFonts w:ascii="Microsoft JhengHei" w:eastAsia="Microsoft JhengHei" w:hint="eastAsia"/>
          <w:b/>
          <w:spacing w:val="-2"/>
          <w:sz w:val="21"/>
        </w:rPr>
        <w:t>见释义</w:t>
      </w:r>
      <w:r>
        <w:rPr>
          <w:rFonts w:ascii="Microsoft JhengHei" w:eastAsia="Microsoft JhengHei" w:hint="eastAsia"/>
          <w:b/>
          <w:spacing w:val="-5"/>
          <w:sz w:val="21"/>
        </w:rPr>
        <w:t>）</w:t>
      </w:r>
      <w:r>
        <w:rPr>
          <w:spacing w:val="-3"/>
          <w:sz w:val="21"/>
        </w:rPr>
        <w:t>事故而导致发生本附加</w:t>
      </w:r>
      <w:r>
        <w:rPr>
          <w:spacing w:val="-7"/>
          <w:sz w:val="21"/>
        </w:rPr>
        <w:t>合同约定的各项保险事故，则不受等待期的限制。若被保险人在等待期后发生本附加合同约定的各项保险</w:t>
      </w:r>
      <w:r>
        <w:rPr>
          <w:spacing w:val="-6"/>
          <w:sz w:val="21"/>
        </w:rPr>
        <w:t>事故，本公司按下列方式给付相应的保险金。</w:t>
      </w:r>
    </w:p>
    <w:p>
      <w:pPr>
        <w:pStyle w:val="BodyText"/>
        <w:spacing w:before="3"/>
        <w:ind w:left="0"/>
        <w:rPr>
          <w:sz w:val="22"/>
        </w:rPr>
      </w:pPr>
    </w:p>
    <w:p>
      <w:pPr>
        <w:pStyle w:val="BodyText"/>
        <w:spacing w:before="1"/>
        <w:ind w:left="313"/>
      </w:pPr>
      <w:r>
        <w:rPr/>
        <w:t>一、基本责任（</w:t>
      </w:r>
      <w:r>
        <w:rPr>
          <w:rFonts w:ascii="Times New Roman" w:eastAsia="Times New Roman"/>
        </w:rPr>
        <w:t>DDKLa</w:t>
      </w:r>
      <w:r>
        <w:rPr/>
        <w:t>）</w:t>
      </w:r>
    </w:p>
    <w:p>
      <w:pPr>
        <w:pStyle w:val="BodyText"/>
        <w:spacing w:before="13"/>
        <w:ind w:left="0"/>
        <w:rPr>
          <w:sz w:val="23"/>
        </w:rPr>
      </w:pPr>
    </w:p>
    <w:p>
      <w:pPr>
        <w:pStyle w:val="BodyText"/>
        <w:ind w:left="313"/>
      </w:pPr>
      <w:r>
        <w:rPr>
          <w:rFonts w:ascii="Times New Roman" w:eastAsia="Times New Roman"/>
        </w:rPr>
        <w:t>1</w:t>
      </w:r>
      <w:r>
        <w:rPr/>
        <w:t>、重大疾病保险金</w:t>
      </w:r>
    </w:p>
    <w:p>
      <w:pPr>
        <w:spacing w:before="142"/>
        <w:ind w:left="313" w:right="0" w:firstLine="0"/>
        <w:jc w:val="left"/>
        <w:rPr>
          <w:sz w:val="21"/>
        </w:rPr>
      </w:pPr>
      <w:r>
        <w:rPr>
          <w:sz w:val="21"/>
        </w:rPr>
        <w:t>（</w:t>
      </w:r>
      <w:r>
        <w:rPr>
          <w:rFonts w:ascii="Times New Roman" w:eastAsia="Times New Roman"/>
          <w:sz w:val="21"/>
        </w:rPr>
        <w:t>1</w:t>
      </w:r>
      <w:r>
        <w:rPr>
          <w:sz w:val="21"/>
        </w:rPr>
        <w:t>）本附加合同于被保险人 </w:t>
      </w:r>
      <w:r>
        <w:rPr>
          <w:rFonts w:ascii="Times New Roman" w:eastAsia="Times New Roman"/>
          <w:sz w:val="21"/>
        </w:rPr>
        <w:t>18 </w:t>
      </w:r>
      <w:r>
        <w:rPr>
          <w:rFonts w:ascii="Microsoft JhengHei" w:eastAsia="Microsoft JhengHei" w:hint="eastAsia"/>
          <w:b/>
          <w:sz w:val="21"/>
        </w:rPr>
        <w:t>周岁（见释义）</w:t>
      </w:r>
      <w:r>
        <w:rPr>
          <w:sz w:val="21"/>
        </w:rPr>
        <w:t>之前生效的：</w:t>
      </w:r>
    </w:p>
    <w:p>
      <w:pPr>
        <w:spacing w:after="0"/>
        <w:jc w:val="left"/>
        <w:rPr>
          <w:sz w:val="21"/>
        </w:rPr>
        <w:sectPr>
          <w:type w:val="continuous"/>
          <w:pgSz w:w="11910" w:h="16840"/>
          <w:pgMar w:top="840" w:bottom="760" w:left="820" w:right="260"/>
        </w:sectPr>
      </w:pPr>
    </w:p>
    <w:p>
      <w:pPr>
        <w:pStyle w:val="BodyText"/>
        <w:spacing w:line="432" w:lineRule="auto"/>
        <w:ind w:right="207"/>
        <w:jc w:val="both"/>
      </w:pPr>
      <w:r>
        <w:rPr>
          <w:spacing w:val="-7"/>
        </w:rPr>
        <w:t>若被保险人于 </w:t>
      </w:r>
      <w:r>
        <w:rPr>
          <w:rFonts w:ascii="Times New Roman" w:eastAsia="Times New Roman"/>
        </w:rPr>
        <w:t>18 </w:t>
      </w:r>
      <w:r>
        <w:rPr>
          <w:spacing w:val="-3"/>
        </w:rPr>
        <w:t>周岁后的首个</w:t>
      </w:r>
      <w:r>
        <w:rPr>
          <w:rFonts w:ascii="Microsoft JhengHei" w:eastAsia="Microsoft JhengHei" w:hint="eastAsia"/>
          <w:b/>
          <w:spacing w:val="-4"/>
        </w:rPr>
        <w:t>保单周年日</w:t>
      </w:r>
      <w:r>
        <w:rPr>
          <w:rFonts w:ascii="Microsoft JhengHei" w:eastAsia="Microsoft JhengHei" w:hint="eastAsia"/>
          <w:b/>
        </w:rPr>
        <w:t>（</w:t>
      </w:r>
      <w:r>
        <w:rPr>
          <w:rFonts w:ascii="Microsoft JhengHei" w:eastAsia="Microsoft JhengHei" w:hint="eastAsia"/>
          <w:b/>
          <w:spacing w:val="-2"/>
        </w:rPr>
        <w:t>见释义</w:t>
      </w:r>
      <w:r>
        <w:rPr>
          <w:rFonts w:ascii="Microsoft JhengHei" w:eastAsia="Microsoft JhengHei" w:hint="eastAsia"/>
          <w:b/>
          <w:spacing w:val="-4"/>
        </w:rPr>
        <w:t>）</w:t>
      </w:r>
      <w:r>
        <w:rPr>
          <w:spacing w:val="-16"/>
        </w:rPr>
        <w:t>当日 </w:t>
      </w:r>
      <w:r>
        <w:rPr>
          <w:rFonts w:ascii="Times New Roman" w:eastAsia="Times New Roman"/>
        </w:rPr>
        <w:t>24 </w:t>
      </w:r>
      <w:r>
        <w:rPr>
          <w:spacing w:val="-5"/>
        </w:rPr>
        <w:t>时之前，因初次出现的症状或体征被</w:t>
      </w:r>
      <w:r>
        <w:rPr>
          <w:rFonts w:ascii="Microsoft JhengHei" w:eastAsia="Microsoft JhengHei" w:hint="eastAsia"/>
          <w:b/>
          <w:spacing w:val="-2"/>
        </w:rPr>
        <w:t>医疗机</w:t>
      </w:r>
      <w:r>
        <w:rPr>
          <w:rFonts w:ascii="Microsoft JhengHei" w:eastAsia="Microsoft JhengHei" w:hint="eastAsia"/>
          <w:b/>
          <w:spacing w:val="-5"/>
        </w:rPr>
        <w:t>构</w:t>
      </w:r>
      <w:r>
        <w:rPr>
          <w:rFonts w:ascii="Microsoft JhengHei" w:eastAsia="Microsoft JhengHei" w:hint="eastAsia"/>
          <w:b/>
        </w:rPr>
        <w:t>（见释义</w:t>
      </w:r>
      <w:r>
        <w:rPr>
          <w:rFonts w:ascii="Microsoft JhengHei" w:eastAsia="Microsoft JhengHei" w:hint="eastAsia"/>
          <w:b/>
          <w:spacing w:val="-5"/>
        </w:rPr>
        <w:t>）</w:t>
      </w:r>
      <w:r>
        <w:rPr>
          <w:spacing w:val="-5"/>
        </w:rPr>
        <w:t>的</w:t>
      </w:r>
      <w:r>
        <w:rPr>
          <w:rFonts w:ascii="Microsoft JhengHei" w:eastAsia="Microsoft JhengHei" w:hint="eastAsia"/>
          <w:b/>
          <w:spacing w:val="-3"/>
        </w:rPr>
        <w:t>专科医生</w:t>
      </w:r>
      <w:r>
        <w:rPr>
          <w:rFonts w:ascii="Microsoft JhengHei" w:eastAsia="Microsoft JhengHei" w:hint="eastAsia"/>
          <w:b/>
        </w:rPr>
        <w:t>（</w:t>
      </w:r>
      <w:r>
        <w:rPr>
          <w:rFonts w:ascii="Microsoft JhengHei" w:eastAsia="Microsoft JhengHei" w:hint="eastAsia"/>
          <w:b/>
          <w:spacing w:val="-2"/>
        </w:rPr>
        <w:t>见释义</w:t>
      </w:r>
      <w:r>
        <w:rPr>
          <w:rFonts w:ascii="Microsoft JhengHei" w:eastAsia="Microsoft JhengHei" w:hint="eastAsia"/>
          <w:b/>
          <w:spacing w:val="-4"/>
        </w:rPr>
        <w:t>）</w:t>
      </w:r>
      <w:r>
        <w:rPr>
          <w:spacing w:val="-5"/>
        </w:rPr>
        <w:t>确诊初次发生本附加合同第十四条约定的第一类重大疾病</w:t>
      </w:r>
      <w:r>
        <w:rPr/>
        <w:t>（</w:t>
      </w:r>
      <w:r>
        <w:rPr>
          <w:spacing w:val="-2"/>
        </w:rPr>
        <w:t>无论一种或多种）</w:t>
      </w:r>
      <w:r>
        <w:rPr>
          <w:spacing w:val="-6"/>
        </w:rPr>
        <w:t>且自确诊之日起生存满 </w:t>
      </w:r>
      <w:r>
        <w:rPr>
          <w:rFonts w:ascii="Times New Roman" w:eastAsia="Times New Roman"/>
        </w:rPr>
        <w:t>28 </w:t>
      </w:r>
      <w:r>
        <w:rPr>
          <w:spacing w:val="-5"/>
        </w:rPr>
        <w:t>日的，则本公司按本附加合同的基本保额给付重大疾病保险金，本附</w:t>
      </w:r>
    </w:p>
    <w:p>
      <w:pPr>
        <w:pStyle w:val="BodyText"/>
        <w:spacing w:before="154"/>
      </w:pPr>
      <w:r>
        <w:rPr/>
        <w:t>加合同效力终止。</w:t>
      </w:r>
    </w:p>
    <w:p>
      <w:pPr>
        <w:pStyle w:val="BodyText"/>
        <w:ind w:left="0"/>
        <w:rPr>
          <w:sz w:val="28"/>
        </w:rPr>
      </w:pPr>
    </w:p>
    <w:p>
      <w:pPr>
        <w:pStyle w:val="BodyText"/>
        <w:spacing w:before="7"/>
        <w:ind w:left="0"/>
        <w:rPr>
          <w:sz w:val="22"/>
        </w:rPr>
      </w:pPr>
    </w:p>
    <w:p>
      <w:pPr>
        <w:pStyle w:val="BodyText"/>
      </w:pPr>
      <w:r>
        <w:rPr>
          <w:spacing w:val="-8"/>
        </w:rPr>
        <w:t>若被保险人于 </w:t>
      </w:r>
      <w:r>
        <w:rPr>
          <w:rFonts w:ascii="Times New Roman" w:eastAsia="Times New Roman"/>
        </w:rPr>
        <w:t>18 </w:t>
      </w:r>
      <w:r>
        <w:rPr>
          <w:spacing w:val="-7"/>
        </w:rPr>
        <w:t>周岁后的首个保单周年日当日 </w:t>
      </w:r>
      <w:r>
        <w:rPr>
          <w:rFonts w:ascii="Times New Roman" w:eastAsia="Times New Roman"/>
          <w:spacing w:val="-3"/>
        </w:rPr>
        <w:t>24 </w:t>
      </w:r>
      <w:r>
        <w:rPr>
          <w:spacing w:val="-6"/>
        </w:rPr>
        <w:t>时之后</w:t>
      </w:r>
      <w:r>
        <w:rPr/>
        <w:t>（</w:t>
      </w:r>
      <w:r>
        <w:rPr>
          <w:spacing w:val="-26"/>
        </w:rPr>
        <w:t>含 </w:t>
      </w:r>
      <w:r>
        <w:rPr>
          <w:rFonts w:ascii="Times New Roman" w:eastAsia="Times New Roman"/>
        </w:rPr>
        <w:t>24 </w:t>
      </w:r>
      <w:r>
        <w:rPr>
          <w:spacing w:val="-5"/>
        </w:rPr>
        <w:t>时</w:t>
      </w:r>
      <w:r>
        <w:rPr>
          <w:spacing w:val="-10"/>
        </w:rPr>
        <w:t>）</w:t>
      </w:r>
      <w:r>
        <w:rPr>
          <w:spacing w:val="-9"/>
        </w:rPr>
        <w:t>且于被保险人 </w:t>
      </w:r>
      <w:r>
        <w:rPr>
          <w:rFonts w:ascii="Times New Roman" w:eastAsia="Times New Roman"/>
        </w:rPr>
        <w:t>20 </w:t>
      </w:r>
      <w:r>
        <w:rPr>
          <w:spacing w:val="-2"/>
        </w:rPr>
        <w:t>周岁后的首个保单</w:t>
      </w:r>
    </w:p>
    <w:p>
      <w:pPr>
        <w:pStyle w:val="BodyText"/>
        <w:spacing w:before="5"/>
        <w:ind w:left="0"/>
        <w:rPr>
          <w:sz w:val="25"/>
        </w:rPr>
      </w:pPr>
    </w:p>
    <w:p>
      <w:pPr>
        <w:pStyle w:val="BodyText"/>
        <w:spacing w:before="1"/>
      </w:pPr>
      <w:r>
        <w:rPr/>
        <w:t>周年日当日 </w:t>
      </w:r>
      <w:r>
        <w:rPr>
          <w:rFonts w:ascii="Times New Roman" w:eastAsia="Times New Roman"/>
        </w:rPr>
        <w:t>24 </w:t>
      </w:r>
      <w:r>
        <w:rPr/>
        <w:t>时之前，因初次出现的症状或体征被医疗机构的专科医生确诊初次发生本附加合同第十四</w:t>
      </w:r>
    </w:p>
    <w:p>
      <w:pPr>
        <w:pStyle w:val="BodyText"/>
        <w:spacing w:before="6"/>
        <w:ind w:left="0"/>
        <w:rPr>
          <w:sz w:val="25"/>
        </w:rPr>
      </w:pPr>
    </w:p>
    <w:p>
      <w:pPr>
        <w:pStyle w:val="BodyText"/>
        <w:spacing w:line="516" w:lineRule="auto"/>
        <w:ind w:right="288"/>
        <w:jc w:val="both"/>
      </w:pPr>
      <w:r>
        <w:rPr>
          <w:spacing w:val="-4"/>
        </w:rPr>
        <w:t>条约定的第一类重大疾病或第二类重大疾病</w:t>
      </w:r>
      <w:r>
        <w:rPr/>
        <w:t>（</w:t>
      </w:r>
      <w:r>
        <w:rPr>
          <w:spacing w:val="-3"/>
        </w:rPr>
        <w:t>无论一种或多种</w:t>
      </w:r>
      <w:r>
        <w:rPr>
          <w:spacing w:val="-5"/>
        </w:rPr>
        <w:t>）且自确诊之日起生存满 </w:t>
      </w:r>
      <w:r>
        <w:rPr>
          <w:rFonts w:ascii="Times New Roman" w:eastAsia="Times New Roman"/>
        </w:rPr>
        <w:t>28 </w:t>
      </w:r>
      <w:r>
        <w:rPr>
          <w:spacing w:val="-3"/>
        </w:rPr>
        <w:t>日的，则本公</w:t>
      </w:r>
      <w:r>
        <w:rPr>
          <w:spacing w:val="-5"/>
        </w:rPr>
        <w:t>司按本附加合同的基本保额给付重大疾病保险金，本附加合同效力终止。</w:t>
      </w:r>
    </w:p>
    <w:p>
      <w:pPr>
        <w:pStyle w:val="BodyText"/>
        <w:ind w:left="0"/>
        <w:rPr>
          <w:sz w:val="32"/>
        </w:rPr>
      </w:pPr>
    </w:p>
    <w:p>
      <w:pPr>
        <w:pStyle w:val="BodyText"/>
        <w:spacing w:line="530" w:lineRule="auto"/>
        <w:ind w:right="203"/>
        <w:jc w:val="both"/>
      </w:pPr>
      <w:r>
        <w:rPr>
          <w:spacing w:val="-1"/>
          <w:w w:val="100"/>
        </w:rPr>
        <w:t>若被保险人于</w:t>
      </w:r>
      <w:r>
        <w:rPr>
          <w:spacing w:val="-52"/>
        </w:rPr>
        <w:t> </w:t>
      </w:r>
      <w:r>
        <w:rPr>
          <w:rFonts w:ascii="Times New Roman" w:eastAsia="Times New Roman"/>
          <w:w w:val="100"/>
        </w:rPr>
        <w:t>20</w:t>
      </w:r>
      <w:r>
        <w:rPr>
          <w:rFonts w:ascii="Times New Roman" w:eastAsia="Times New Roman"/>
        </w:rPr>
        <w:t> </w:t>
      </w:r>
      <w:r>
        <w:rPr>
          <w:spacing w:val="-4"/>
          <w:w w:val="100"/>
        </w:rPr>
        <w:t>周岁后的首个保单周年日当日</w:t>
      </w:r>
      <w:r>
        <w:rPr>
          <w:spacing w:val="-4"/>
        </w:rPr>
        <w:t> </w:t>
      </w:r>
      <w:r>
        <w:rPr>
          <w:rFonts w:ascii="Times New Roman" w:eastAsia="Times New Roman"/>
          <w:spacing w:val="-5"/>
          <w:w w:val="100"/>
        </w:rPr>
        <w:t>2</w:t>
      </w:r>
      <w:r>
        <w:rPr>
          <w:rFonts w:ascii="Times New Roman" w:eastAsia="Times New Roman"/>
          <w:w w:val="100"/>
        </w:rPr>
        <w:t>4</w:t>
      </w:r>
      <w:r>
        <w:rPr>
          <w:rFonts w:ascii="Times New Roman" w:eastAsia="Times New Roman"/>
        </w:rPr>
        <w:t> </w:t>
      </w:r>
      <w:r>
        <w:rPr>
          <w:spacing w:val="-6"/>
          <w:w w:val="100"/>
        </w:rPr>
        <w:t>时之后</w:t>
      </w:r>
      <w:r>
        <w:rPr>
          <w:w w:val="100"/>
        </w:rPr>
        <w:t>（含</w:t>
      </w:r>
      <w:r>
        <w:rPr>
          <w:spacing w:val="-57"/>
        </w:rPr>
        <w:t> </w:t>
      </w:r>
      <w:r>
        <w:rPr>
          <w:rFonts w:ascii="Times New Roman" w:eastAsia="Times New Roman"/>
          <w:w w:val="100"/>
        </w:rPr>
        <w:t>24</w:t>
      </w:r>
      <w:r>
        <w:rPr>
          <w:rFonts w:ascii="Times New Roman" w:eastAsia="Times New Roman"/>
        </w:rPr>
        <w:t> </w:t>
      </w:r>
      <w:r>
        <w:rPr>
          <w:w w:val="100"/>
        </w:rPr>
        <w:t>时</w:t>
      </w:r>
      <w:r>
        <w:rPr>
          <w:spacing w:val="-111"/>
          <w:w w:val="100"/>
        </w:rPr>
        <w:t>）</w:t>
      </w:r>
      <w:r>
        <w:rPr>
          <w:spacing w:val="-5"/>
          <w:w w:val="100"/>
        </w:rPr>
        <w:t>，因初次出现的症状或体征被医疗机</w:t>
      </w:r>
      <w:r>
        <w:rPr>
          <w:spacing w:val="-6"/>
        </w:rPr>
        <w:t>构的专科医生确诊初次发生本附加合同第十四条约定的第二类重大疾病</w:t>
      </w:r>
      <w:r>
        <w:rPr/>
        <w:t>（</w:t>
      </w:r>
      <w:r>
        <w:rPr>
          <w:spacing w:val="-3"/>
        </w:rPr>
        <w:t>无论一种或多种</w:t>
      </w:r>
      <w:r>
        <w:rPr>
          <w:spacing w:val="-10"/>
        </w:rPr>
        <w:t>）</w:t>
      </w:r>
      <w:r>
        <w:rPr>
          <w:spacing w:val="-2"/>
        </w:rPr>
        <w:t>且自确诊之日</w:t>
      </w:r>
      <w:r>
        <w:rPr>
          <w:spacing w:val="-7"/>
        </w:rPr>
        <w:t>起生存满 </w:t>
      </w:r>
      <w:r>
        <w:rPr>
          <w:rFonts w:ascii="Times New Roman" w:eastAsia="Times New Roman"/>
        </w:rPr>
        <w:t>28 </w:t>
      </w:r>
      <w:r>
        <w:rPr>
          <w:spacing w:val="-5"/>
        </w:rPr>
        <w:t>日的，则本公司按本附加合同的基本保额给付重大疾病保险金，本附加合同效力终止。</w:t>
      </w:r>
    </w:p>
    <w:p>
      <w:pPr>
        <w:pStyle w:val="BodyText"/>
        <w:spacing w:before="10"/>
        <w:ind w:left="0"/>
        <w:rPr>
          <w:sz w:val="27"/>
        </w:rPr>
      </w:pPr>
    </w:p>
    <w:p>
      <w:pPr>
        <w:pStyle w:val="BodyText"/>
      </w:pPr>
      <w:r>
        <w:rPr/>
        <w:t>（</w:t>
      </w:r>
      <w:r>
        <w:rPr>
          <w:rFonts w:ascii="Times New Roman" w:eastAsia="Times New Roman"/>
        </w:rPr>
        <w:t>2</w:t>
      </w:r>
      <w:r>
        <w:rPr/>
        <w:t>）本附加合同于被保险人 </w:t>
      </w:r>
      <w:r>
        <w:rPr>
          <w:rFonts w:ascii="Times New Roman" w:eastAsia="Times New Roman"/>
        </w:rPr>
        <w:t>18 </w:t>
      </w:r>
      <w:r>
        <w:rPr/>
        <w:t>周岁之后但 </w:t>
      </w:r>
      <w:r>
        <w:rPr>
          <w:rFonts w:ascii="Times New Roman" w:eastAsia="Times New Roman"/>
        </w:rPr>
        <w:t>20 </w:t>
      </w:r>
      <w:r>
        <w:rPr/>
        <w:t>周岁之前生效的：</w:t>
      </w:r>
    </w:p>
    <w:p>
      <w:pPr>
        <w:pStyle w:val="BodyText"/>
        <w:spacing w:before="5"/>
        <w:ind w:left="0"/>
        <w:rPr>
          <w:sz w:val="25"/>
        </w:rPr>
      </w:pPr>
    </w:p>
    <w:p>
      <w:pPr>
        <w:pStyle w:val="BodyText"/>
        <w:spacing w:line="530" w:lineRule="auto" w:before="1"/>
        <w:ind w:right="103"/>
        <w:jc w:val="both"/>
      </w:pPr>
      <w:r>
        <w:rPr>
          <w:spacing w:val="-8"/>
        </w:rPr>
        <w:t>若被保险人于 </w:t>
      </w:r>
      <w:r>
        <w:rPr>
          <w:rFonts w:ascii="Times New Roman" w:eastAsia="Times New Roman"/>
        </w:rPr>
        <w:t>20 </w:t>
      </w:r>
      <w:r>
        <w:rPr>
          <w:spacing w:val="-7"/>
        </w:rPr>
        <w:t>周岁后的首个保单周年日当日 </w:t>
      </w:r>
      <w:r>
        <w:rPr>
          <w:rFonts w:ascii="Times New Roman" w:eastAsia="Times New Roman"/>
          <w:spacing w:val="-3"/>
        </w:rPr>
        <w:t>24 </w:t>
      </w:r>
      <w:r>
        <w:rPr>
          <w:spacing w:val="-6"/>
        </w:rPr>
        <w:t>时之前，因初次出现的症状或体征被医疗机构的专科医生确诊初次发生本附加合同第十四条约定的第一类重大疾病或第二类重大疾病</w:t>
      </w:r>
      <w:r>
        <w:rPr>
          <w:spacing w:val="-5"/>
        </w:rPr>
        <w:t>（</w:t>
      </w:r>
      <w:r>
        <w:rPr>
          <w:spacing w:val="-3"/>
        </w:rPr>
        <w:t>无论一种或多种</w:t>
      </w:r>
      <w:r>
        <w:rPr>
          <w:spacing w:val="-10"/>
        </w:rPr>
        <w:t>）</w:t>
      </w:r>
      <w:r>
        <w:rPr/>
        <w:t>且自确</w:t>
      </w:r>
      <w:r>
        <w:rPr>
          <w:spacing w:val="-4"/>
        </w:rPr>
        <w:t>诊之日起生存满 </w:t>
      </w:r>
      <w:r>
        <w:rPr>
          <w:rFonts w:ascii="Times New Roman" w:eastAsia="Times New Roman"/>
        </w:rPr>
        <w:t>28 </w:t>
      </w:r>
      <w:r>
        <w:rPr>
          <w:spacing w:val="-6"/>
        </w:rPr>
        <w:t>日的，则本公司按本附加合同的基本保额给付重大疾病保险金，本附加合同效力终止。</w:t>
      </w:r>
    </w:p>
    <w:p>
      <w:pPr>
        <w:pStyle w:val="BodyText"/>
        <w:spacing w:before="10"/>
        <w:ind w:left="0"/>
        <w:rPr>
          <w:sz w:val="27"/>
        </w:rPr>
      </w:pPr>
    </w:p>
    <w:p>
      <w:pPr>
        <w:pStyle w:val="BodyText"/>
        <w:spacing w:line="530" w:lineRule="auto"/>
        <w:ind w:right="203"/>
        <w:jc w:val="both"/>
      </w:pPr>
      <w:r>
        <w:rPr>
          <w:spacing w:val="-1"/>
          <w:w w:val="100"/>
        </w:rPr>
        <w:t>若被保险人于</w:t>
      </w:r>
      <w:r>
        <w:rPr>
          <w:spacing w:val="-52"/>
        </w:rPr>
        <w:t> </w:t>
      </w:r>
      <w:r>
        <w:rPr>
          <w:rFonts w:ascii="Times New Roman" w:eastAsia="Times New Roman"/>
          <w:w w:val="100"/>
        </w:rPr>
        <w:t>20</w:t>
      </w:r>
      <w:r>
        <w:rPr>
          <w:rFonts w:ascii="Times New Roman" w:eastAsia="Times New Roman"/>
        </w:rPr>
        <w:t> </w:t>
      </w:r>
      <w:r>
        <w:rPr>
          <w:spacing w:val="-4"/>
          <w:w w:val="100"/>
        </w:rPr>
        <w:t>周岁后的首个保单周年日当日</w:t>
      </w:r>
      <w:r>
        <w:rPr>
          <w:spacing w:val="-4"/>
        </w:rPr>
        <w:t> </w:t>
      </w:r>
      <w:r>
        <w:rPr>
          <w:rFonts w:ascii="Times New Roman" w:eastAsia="Times New Roman"/>
          <w:spacing w:val="-5"/>
          <w:w w:val="100"/>
        </w:rPr>
        <w:t>2</w:t>
      </w:r>
      <w:r>
        <w:rPr>
          <w:rFonts w:ascii="Times New Roman" w:eastAsia="Times New Roman"/>
          <w:w w:val="100"/>
        </w:rPr>
        <w:t>4</w:t>
      </w:r>
      <w:r>
        <w:rPr>
          <w:rFonts w:ascii="Times New Roman" w:eastAsia="Times New Roman"/>
        </w:rPr>
        <w:t> </w:t>
      </w:r>
      <w:r>
        <w:rPr>
          <w:spacing w:val="-6"/>
          <w:w w:val="100"/>
        </w:rPr>
        <w:t>时之后</w:t>
      </w:r>
      <w:r>
        <w:rPr>
          <w:w w:val="100"/>
        </w:rPr>
        <w:t>（含</w:t>
      </w:r>
      <w:r>
        <w:rPr>
          <w:spacing w:val="-57"/>
        </w:rPr>
        <w:t> </w:t>
      </w:r>
      <w:r>
        <w:rPr>
          <w:rFonts w:ascii="Times New Roman" w:eastAsia="Times New Roman"/>
          <w:w w:val="100"/>
        </w:rPr>
        <w:t>24</w:t>
      </w:r>
      <w:r>
        <w:rPr>
          <w:rFonts w:ascii="Times New Roman" w:eastAsia="Times New Roman"/>
        </w:rPr>
        <w:t> </w:t>
      </w:r>
      <w:r>
        <w:rPr>
          <w:w w:val="100"/>
        </w:rPr>
        <w:t>时</w:t>
      </w:r>
      <w:r>
        <w:rPr>
          <w:spacing w:val="-111"/>
          <w:w w:val="100"/>
        </w:rPr>
        <w:t>）</w:t>
      </w:r>
      <w:r>
        <w:rPr>
          <w:spacing w:val="-5"/>
          <w:w w:val="100"/>
        </w:rPr>
        <w:t>，因初次出现的症状或体征被医疗机</w:t>
      </w:r>
      <w:r>
        <w:rPr>
          <w:spacing w:val="-6"/>
        </w:rPr>
        <w:t>构的专科医生确诊初次发生本附加合同第十四条约定的第二类重大疾病</w:t>
      </w:r>
      <w:r>
        <w:rPr/>
        <w:t>（</w:t>
      </w:r>
      <w:r>
        <w:rPr>
          <w:spacing w:val="-3"/>
        </w:rPr>
        <w:t>无论一种或多种</w:t>
      </w:r>
      <w:r>
        <w:rPr>
          <w:spacing w:val="-10"/>
        </w:rPr>
        <w:t>）</w:t>
      </w:r>
      <w:r>
        <w:rPr>
          <w:spacing w:val="-2"/>
        </w:rPr>
        <w:t>且自确诊之日</w:t>
      </w:r>
      <w:r>
        <w:rPr>
          <w:spacing w:val="-7"/>
        </w:rPr>
        <w:t>起生存满 </w:t>
      </w:r>
      <w:r>
        <w:rPr>
          <w:rFonts w:ascii="Times New Roman" w:eastAsia="Times New Roman"/>
        </w:rPr>
        <w:t>28 </w:t>
      </w:r>
      <w:r>
        <w:rPr>
          <w:spacing w:val="-5"/>
        </w:rPr>
        <w:t>日的，则本公司按本附加合同的基本保额给付重大疾病保险金，本附加合同效力终止。</w:t>
      </w:r>
    </w:p>
    <w:p>
      <w:pPr>
        <w:pStyle w:val="BodyText"/>
        <w:spacing w:before="10"/>
        <w:ind w:left="0"/>
        <w:rPr>
          <w:sz w:val="27"/>
        </w:rPr>
      </w:pPr>
    </w:p>
    <w:p>
      <w:pPr>
        <w:pStyle w:val="BodyText"/>
      </w:pPr>
      <w:r>
        <w:rPr/>
        <w:t>（</w:t>
      </w:r>
      <w:r>
        <w:rPr>
          <w:rFonts w:ascii="Times New Roman" w:eastAsia="Times New Roman"/>
        </w:rPr>
        <w:t>3</w:t>
      </w:r>
      <w:r>
        <w:rPr/>
        <w:t>）本附加合同于被保险人 </w:t>
      </w:r>
      <w:r>
        <w:rPr>
          <w:rFonts w:ascii="Times New Roman" w:eastAsia="Times New Roman"/>
        </w:rPr>
        <w:t>20 </w:t>
      </w:r>
      <w:r>
        <w:rPr/>
        <w:t>周岁之后生效的：</w:t>
      </w:r>
    </w:p>
    <w:p>
      <w:pPr>
        <w:pStyle w:val="BodyText"/>
        <w:spacing w:before="5"/>
        <w:ind w:left="0"/>
        <w:rPr>
          <w:sz w:val="25"/>
        </w:rPr>
      </w:pPr>
    </w:p>
    <w:p>
      <w:pPr>
        <w:pStyle w:val="BodyText"/>
        <w:spacing w:line="544" w:lineRule="auto"/>
        <w:ind w:right="290"/>
        <w:jc w:val="both"/>
      </w:pPr>
      <w:r>
        <w:rPr>
          <w:spacing w:val="-5"/>
        </w:rPr>
        <w:t>若被保险人因初次出现的症状或体征被医疗机构的专科医生确诊初次发生本附加合同第十四条约定的第二类重大疾病</w:t>
      </w:r>
      <w:r>
        <w:rPr/>
        <w:t>（</w:t>
      </w:r>
      <w:r>
        <w:rPr>
          <w:spacing w:val="-3"/>
        </w:rPr>
        <w:t>无论一种或多种</w:t>
      </w:r>
      <w:r>
        <w:rPr/>
        <w:t>）</w:t>
      </w:r>
      <w:r>
        <w:rPr>
          <w:spacing w:val="-6"/>
        </w:rPr>
        <w:t>且自确诊之日起生存满 </w:t>
      </w:r>
      <w:r>
        <w:rPr>
          <w:rFonts w:ascii="Times New Roman" w:eastAsia="Times New Roman"/>
        </w:rPr>
        <w:t>28 </w:t>
      </w:r>
      <w:r>
        <w:rPr>
          <w:spacing w:val="-5"/>
        </w:rPr>
        <w:t>日的，则本公司按本附加合同的基本保额给</w:t>
      </w:r>
    </w:p>
    <w:p>
      <w:pPr>
        <w:spacing w:after="0" w:line="544" w:lineRule="auto"/>
        <w:jc w:val="both"/>
        <w:sectPr>
          <w:pgSz w:w="11910" w:h="16840"/>
          <w:pgMar w:header="0" w:footer="576" w:top="920" w:bottom="760" w:left="1020" w:right="920"/>
        </w:sectPr>
      </w:pPr>
    </w:p>
    <w:p>
      <w:pPr>
        <w:pStyle w:val="BodyText"/>
        <w:spacing w:before="60"/>
      </w:pPr>
      <w:r>
        <w:rPr/>
        <w:t>付重大疾病保险金，本附加合同效力终止。</w:t>
      </w:r>
    </w:p>
    <w:p>
      <w:pPr>
        <w:pStyle w:val="BodyText"/>
        <w:ind w:left="0"/>
        <w:rPr>
          <w:sz w:val="28"/>
        </w:rPr>
      </w:pPr>
    </w:p>
    <w:p>
      <w:pPr>
        <w:pStyle w:val="BodyText"/>
        <w:spacing w:before="227"/>
      </w:pPr>
      <w:r>
        <w:rPr>
          <w:rFonts w:ascii="Times New Roman" w:eastAsia="Times New Roman"/>
        </w:rPr>
        <w:t>2</w:t>
      </w:r>
      <w:r>
        <w:rPr/>
        <w:t>、女性特定疾病保险金</w:t>
      </w:r>
    </w:p>
    <w:p>
      <w:pPr>
        <w:pStyle w:val="BodyText"/>
        <w:spacing w:before="6"/>
        <w:ind w:left="0"/>
        <w:rPr>
          <w:sz w:val="25"/>
        </w:rPr>
      </w:pPr>
    </w:p>
    <w:p>
      <w:pPr>
        <w:pStyle w:val="BodyText"/>
        <w:rPr>
          <w:rFonts w:ascii="Times New Roman" w:eastAsia="Times New Roman"/>
        </w:rPr>
      </w:pPr>
      <w:r>
        <w:rPr/>
        <w:t>本附加合同于被保险人 </w:t>
      </w:r>
      <w:r>
        <w:rPr>
          <w:rFonts w:ascii="Times New Roman" w:eastAsia="Times New Roman"/>
        </w:rPr>
        <w:t>18 </w:t>
      </w:r>
      <w:r>
        <w:rPr/>
        <w:t>周岁之前生效且被保险人于 </w:t>
      </w:r>
      <w:r>
        <w:rPr>
          <w:rFonts w:ascii="Times New Roman" w:eastAsia="Times New Roman"/>
        </w:rPr>
        <w:t>18 </w:t>
      </w:r>
      <w:r>
        <w:rPr/>
        <w:t>周岁后的首个保单周年日当日 </w:t>
      </w:r>
      <w:r>
        <w:rPr>
          <w:rFonts w:ascii="Times New Roman" w:eastAsia="Times New Roman"/>
        </w:rPr>
        <w:t>24 </w:t>
      </w:r>
      <w:r>
        <w:rPr/>
        <w:t>时之后（含 </w:t>
      </w:r>
      <w:r>
        <w:rPr>
          <w:rFonts w:ascii="Times New Roman" w:eastAsia="Times New Roman"/>
        </w:rPr>
        <w:t>24</w:t>
      </w:r>
    </w:p>
    <w:p>
      <w:pPr>
        <w:pStyle w:val="BodyText"/>
        <w:spacing w:before="11"/>
        <w:ind w:left="0"/>
        <w:rPr>
          <w:rFonts w:ascii="Times New Roman"/>
          <w:sz w:val="28"/>
        </w:rPr>
      </w:pPr>
    </w:p>
    <w:p>
      <w:pPr>
        <w:pStyle w:val="BodyText"/>
        <w:spacing w:line="525" w:lineRule="auto"/>
        <w:ind w:right="204"/>
        <w:jc w:val="both"/>
      </w:pPr>
      <w:r>
        <w:rPr>
          <w:w w:val="100"/>
        </w:rPr>
        <w:t>时</w:t>
      </w:r>
      <w:r>
        <w:rPr>
          <w:spacing w:val="-106"/>
          <w:w w:val="100"/>
        </w:rPr>
        <w:t>）</w:t>
      </w:r>
      <w:r>
        <w:rPr>
          <w:spacing w:val="-5"/>
          <w:w w:val="100"/>
        </w:rPr>
        <w:t>，或本附加合同于被保险人</w:t>
      </w:r>
      <w:r>
        <w:rPr>
          <w:spacing w:val="-5"/>
        </w:rPr>
        <w:t> </w:t>
      </w:r>
      <w:r>
        <w:rPr>
          <w:rFonts w:ascii="Times New Roman" w:eastAsia="Times New Roman"/>
          <w:w w:val="100"/>
        </w:rPr>
        <w:t>18</w:t>
      </w:r>
      <w:r>
        <w:rPr>
          <w:rFonts w:ascii="Times New Roman" w:eastAsia="Times New Roman"/>
        </w:rPr>
        <w:t> </w:t>
      </w:r>
      <w:r>
        <w:rPr>
          <w:spacing w:val="-6"/>
          <w:w w:val="100"/>
        </w:rPr>
        <w:t>周岁之后生效且被保险人自本合同生效后，因初次出现的症状或体征被</w:t>
      </w:r>
      <w:r>
        <w:rPr>
          <w:spacing w:val="-6"/>
        </w:rPr>
        <w:t>医疗机构的专科医生确诊初次发生本附加合同第十五条约定的任何一类女性特定疾病</w:t>
      </w:r>
      <w:r>
        <w:rPr/>
        <w:t>（</w:t>
      </w:r>
      <w:r>
        <w:rPr>
          <w:spacing w:val="-2"/>
        </w:rPr>
        <w:t>无论每类女性特定</w:t>
      </w:r>
      <w:r>
        <w:rPr>
          <w:spacing w:val="-3"/>
          <w:w w:val="100"/>
        </w:rPr>
        <w:t>疾病中的一种或多种</w:t>
      </w:r>
      <w:r>
        <w:rPr>
          <w:spacing w:val="-111"/>
          <w:w w:val="100"/>
        </w:rPr>
        <w:t>）</w:t>
      </w:r>
      <w:r>
        <w:rPr>
          <w:spacing w:val="-5"/>
          <w:w w:val="100"/>
        </w:rPr>
        <w:t>，则本公司按本附加合同基本保额的</w:t>
      </w:r>
      <w:r>
        <w:rPr>
          <w:spacing w:val="-5"/>
        </w:rPr>
        <w:t> </w:t>
      </w:r>
      <w:r>
        <w:rPr>
          <w:rFonts w:ascii="Times New Roman" w:eastAsia="Times New Roman"/>
          <w:w w:val="100"/>
        </w:rPr>
        <w:t>20</w:t>
      </w:r>
      <w:r>
        <w:rPr>
          <w:spacing w:val="-5"/>
          <w:w w:val="100"/>
        </w:rPr>
        <w:t>％给付女性特定疾病保险金，每类女性特定</w:t>
      </w:r>
      <w:r>
        <w:rPr>
          <w:spacing w:val="-5"/>
        </w:rPr>
        <w:t>疾病的保险金给付以一次为限，</w:t>
      </w:r>
      <w:r>
        <w:rPr>
          <w:rFonts w:ascii="Times New Roman" w:eastAsia="Times New Roman"/>
        </w:rPr>
        <w:t>3 </w:t>
      </w:r>
      <w:r>
        <w:rPr>
          <w:spacing w:val="-5"/>
        </w:rPr>
        <w:t>类女性特定疾病各给付一次后，本项保险责任终止。</w:t>
      </w:r>
    </w:p>
    <w:p>
      <w:pPr>
        <w:pStyle w:val="BodyText"/>
        <w:spacing w:before="9"/>
        <w:ind w:left="0"/>
        <w:rPr>
          <w:sz w:val="22"/>
        </w:rPr>
      </w:pPr>
    </w:p>
    <w:p>
      <w:pPr>
        <w:pStyle w:val="BodyText"/>
      </w:pPr>
      <w:r>
        <w:rPr>
          <w:rFonts w:ascii="Times New Roman" w:eastAsia="Times New Roman"/>
        </w:rPr>
        <w:t>3</w:t>
      </w:r>
      <w:r>
        <w:rPr/>
        <w:t>、男性特定疾病保险金</w:t>
      </w:r>
    </w:p>
    <w:p>
      <w:pPr>
        <w:pStyle w:val="BodyText"/>
        <w:spacing w:before="6"/>
        <w:ind w:left="0"/>
        <w:rPr>
          <w:sz w:val="25"/>
        </w:rPr>
      </w:pPr>
    </w:p>
    <w:p>
      <w:pPr>
        <w:pStyle w:val="BodyText"/>
        <w:rPr>
          <w:rFonts w:ascii="Times New Roman" w:eastAsia="Times New Roman"/>
        </w:rPr>
      </w:pPr>
      <w:r>
        <w:rPr/>
        <w:t>本附加合同于被保险人 </w:t>
      </w:r>
      <w:r>
        <w:rPr>
          <w:rFonts w:ascii="Times New Roman" w:eastAsia="Times New Roman"/>
        </w:rPr>
        <w:t>18 </w:t>
      </w:r>
      <w:r>
        <w:rPr/>
        <w:t>周岁之前生效且被保险人于 </w:t>
      </w:r>
      <w:r>
        <w:rPr>
          <w:rFonts w:ascii="Times New Roman" w:eastAsia="Times New Roman"/>
        </w:rPr>
        <w:t>18 </w:t>
      </w:r>
      <w:r>
        <w:rPr/>
        <w:t>周岁后的首个保单周年日当日 </w:t>
      </w:r>
      <w:r>
        <w:rPr>
          <w:rFonts w:ascii="Times New Roman" w:eastAsia="Times New Roman"/>
        </w:rPr>
        <w:t>24 </w:t>
      </w:r>
      <w:r>
        <w:rPr/>
        <w:t>时之后（含 </w:t>
      </w:r>
      <w:r>
        <w:rPr>
          <w:rFonts w:ascii="Times New Roman" w:eastAsia="Times New Roman"/>
        </w:rPr>
        <w:t>24</w:t>
      </w:r>
    </w:p>
    <w:p>
      <w:pPr>
        <w:pStyle w:val="BodyText"/>
        <w:ind w:left="0"/>
        <w:rPr>
          <w:rFonts w:ascii="Times New Roman"/>
          <w:sz w:val="29"/>
        </w:rPr>
      </w:pPr>
    </w:p>
    <w:p>
      <w:pPr>
        <w:pStyle w:val="BodyText"/>
        <w:spacing w:line="525" w:lineRule="auto"/>
        <w:ind w:right="204"/>
        <w:jc w:val="both"/>
      </w:pPr>
      <w:r>
        <w:rPr>
          <w:w w:val="100"/>
        </w:rPr>
        <w:t>时</w:t>
      </w:r>
      <w:r>
        <w:rPr>
          <w:spacing w:val="-106"/>
          <w:w w:val="100"/>
        </w:rPr>
        <w:t>）</w:t>
      </w:r>
      <w:r>
        <w:rPr>
          <w:spacing w:val="-5"/>
          <w:w w:val="100"/>
        </w:rPr>
        <w:t>，或本附加合同于被保险人</w:t>
      </w:r>
      <w:r>
        <w:rPr>
          <w:spacing w:val="-5"/>
        </w:rPr>
        <w:t> </w:t>
      </w:r>
      <w:r>
        <w:rPr>
          <w:rFonts w:ascii="Times New Roman" w:eastAsia="Times New Roman"/>
          <w:w w:val="100"/>
        </w:rPr>
        <w:t>18</w:t>
      </w:r>
      <w:r>
        <w:rPr>
          <w:rFonts w:ascii="Times New Roman" w:eastAsia="Times New Roman"/>
        </w:rPr>
        <w:t> </w:t>
      </w:r>
      <w:r>
        <w:rPr>
          <w:spacing w:val="-6"/>
          <w:w w:val="100"/>
        </w:rPr>
        <w:t>周岁之后生效且被保险人自本合同生效后，因初次出现的症状或体征被</w:t>
      </w:r>
      <w:r>
        <w:rPr>
          <w:spacing w:val="-6"/>
        </w:rPr>
        <w:t>医疗机构的专科医生确诊初次发生本附加合同第十六条约定的任何一类男性特定疾病</w:t>
      </w:r>
      <w:r>
        <w:rPr/>
        <w:t>（</w:t>
      </w:r>
      <w:r>
        <w:rPr>
          <w:spacing w:val="-2"/>
        </w:rPr>
        <w:t>无论每类男性特定</w:t>
      </w:r>
      <w:r>
        <w:rPr>
          <w:spacing w:val="-3"/>
          <w:w w:val="100"/>
        </w:rPr>
        <w:t>疾病中的一种或多种</w:t>
      </w:r>
      <w:r>
        <w:rPr>
          <w:spacing w:val="-111"/>
          <w:w w:val="100"/>
        </w:rPr>
        <w:t>）</w:t>
      </w:r>
      <w:r>
        <w:rPr>
          <w:spacing w:val="-5"/>
          <w:w w:val="100"/>
        </w:rPr>
        <w:t>，则本公司按本附加合同基本保额的</w:t>
      </w:r>
      <w:r>
        <w:rPr>
          <w:spacing w:val="-5"/>
        </w:rPr>
        <w:t> </w:t>
      </w:r>
      <w:r>
        <w:rPr>
          <w:rFonts w:ascii="Times New Roman" w:eastAsia="Times New Roman"/>
          <w:w w:val="100"/>
        </w:rPr>
        <w:t>20</w:t>
      </w:r>
      <w:r>
        <w:rPr>
          <w:spacing w:val="-5"/>
          <w:w w:val="100"/>
        </w:rPr>
        <w:t>％给付男性特定疾病保险金，每类男性特定</w:t>
      </w:r>
      <w:r>
        <w:rPr>
          <w:spacing w:val="-5"/>
        </w:rPr>
        <w:t>疾病的保险金给付以一次为限，</w:t>
      </w:r>
      <w:r>
        <w:rPr>
          <w:rFonts w:ascii="Times New Roman" w:eastAsia="Times New Roman"/>
        </w:rPr>
        <w:t>3 </w:t>
      </w:r>
      <w:r>
        <w:rPr>
          <w:spacing w:val="-5"/>
        </w:rPr>
        <w:t>类男性特定疾病各给付一次后，本项保险责任终止。</w:t>
      </w:r>
    </w:p>
    <w:p>
      <w:pPr>
        <w:pStyle w:val="BodyText"/>
        <w:spacing w:line="606" w:lineRule="exact"/>
        <w:ind w:right="7476"/>
      </w:pPr>
      <w:r>
        <w:rPr/>
        <w:t>二、可选责任（</w:t>
      </w:r>
      <w:r>
        <w:rPr>
          <w:rFonts w:ascii="Times New Roman" w:eastAsia="Times New Roman"/>
        </w:rPr>
        <w:t>DDKLb</w:t>
      </w:r>
      <w:r>
        <w:rPr/>
        <w:t>） 恶性肿瘤保险金</w:t>
      </w:r>
    </w:p>
    <w:p>
      <w:pPr>
        <w:pStyle w:val="BodyText"/>
        <w:spacing w:line="309" w:lineRule="auto" w:before="3"/>
        <w:ind w:right="291"/>
      </w:pPr>
      <w:r>
        <w:rPr>
          <w:spacing w:val="-5"/>
        </w:rPr>
        <w:t>被保险人因初次出现的症状或体征被医疗机构的专科医生确诊初次发生本附加合同第十四条约定的恶性</w:t>
      </w:r>
      <w:r>
        <w:rPr>
          <w:spacing w:val="-7"/>
        </w:rPr>
        <w:t>肿瘤且自确诊之日起生存满 </w:t>
      </w:r>
      <w:r>
        <w:rPr>
          <w:rFonts w:ascii="Times New Roman" w:eastAsia="Times New Roman"/>
        </w:rPr>
        <w:t>28 </w:t>
      </w:r>
      <w:r>
        <w:rPr>
          <w:spacing w:val="-5"/>
        </w:rPr>
        <w:t>日的，则本公司除给付本条第一款基本责任中约定的重大疾病保险金外， 还将按本附加合同的基本保额给付恶性肿瘤保险金，本附加合同效力终止。</w:t>
      </w:r>
    </w:p>
    <w:p>
      <w:pPr>
        <w:pStyle w:val="Heading1"/>
        <w:spacing w:before="216"/>
        <w:rPr>
          <w:rFonts w:ascii="黑体" w:eastAsia="黑体" w:hint="eastAsia"/>
        </w:rPr>
      </w:pPr>
      <w:r>
        <w:rPr>
          <w:rFonts w:ascii="黑体" w:eastAsia="黑体" w:hint="eastAsia"/>
        </w:rPr>
        <w:t>第三条 责任免除</w:t>
      </w:r>
    </w:p>
    <w:p>
      <w:pPr>
        <w:pStyle w:val="BodyText"/>
        <w:spacing w:before="3"/>
        <w:ind w:left="0"/>
        <w:rPr>
          <w:rFonts w:ascii="黑体"/>
          <w:b/>
          <w:sz w:val="18"/>
        </w:rPr>
      </w:pPr>
    </w:p>
    <w:p>
      <w:pPr>
        <w:pStyle w:val="BodyText"/>
        <w:spacing w:line="272" w:lineRule="exact"/>
        <w:rPr>
          <w:rFonts w:ascii="黑体" w:eastAsia="黑体" w:hint="eastAsia"/>
        </w:rPr>
      </w:pPr>
      <w:r>
        <w:rPr>
          <w:rFonts w:ascii="黑体" w:eastAsia="黑体" w:hint="eastAsia"/>
          <w:spacing w:val="-3"/>
        </w:rPr>
        <w:t>因下列情形之一导致被保险人发</w:t>
      </w:r>
      <w:r>
        <w:rPr>
          <w:rFonts w:ascii="黑体" w:eastAsia="黑体" w:hint="eastAsia"/>
        </w:rPr>
        <w:t>Th</w:t>
      </w:r>
      <w:r>
        <w:rPr>
          <w:rFonts w:ascii="黑体" w:eastAsia="黑体" w:hint="eastAsia"/>
          <w:spacing w:val="-14"/>
        </w:rPr>
        <w:t>疾病、达到疾病状态或进行手术的，本公司不承担本附加合同保险责任：</w:t>
      </w:r>
    </w:p>
    <w:p>
      <w:pPr>
        <w:pStyle w:val="BodyText"/>
        <w:spacing w:line="279" w:lineRule="exact"/>
        <w:rPr>
          <w:rFonts w:ascii="黑体" w:eastAsia="黑体" w:hint="eastAsia"/>
        </w:rPr>
      </w:pPr>
      <w:r>
        <w:rPr>
          <w:rFonts w:ascii="Times New Roman" w:eastAsia="Times New Roman"/>
        </w:rPr>
        <w:t>1</w:t>
      </w:r>
      <w:r>
        <w:rPr>
          <w:rFonts w:ascii="黑体" w:eastAsia="黑体" w:hint="eastAsia"/>
        </w:rPr>
        <w:t>、投保人对被保险人的故意杀害、故意伤害；</w:t>
      </w:r>
    </w:p>
    <w:p>
      <w:pPr>
        <w:pStyle w:val="BodyText"/>
        <w:spacing w:line="274" w:lineRule="exact"/>
        <w:rPr>
          <w:rFonts w:ascii="黑体" w:eastAsia="黑体" w:hint="eastAsia"/>
        </w:rPr>
      </w:pPr>
      <w:r>
        <w:rPr>
          <w:rFonts w:ascii="Times New Roman" w:eastAsia="Times New Roman"/>
        </w:rPr>
        <w:t>2</w:t>
      </w:r>
      <w:r>
        <w:rPr>
          <w:rFonts w:ascii="黑体" w:eastAsia="黑体" w:hint="eastAsia"/>
        </w:rPr>
        <w:t>、被保险人故意自伤、故意犯罪或拒捕；</w:t>
      </w:r>
    </w:p>
    <w:p>
      <w:pPr>
        <w:spacing w:line="274" w:lineRule="exact" w:before="0"/>
        <w:ind w:left="113" w:right="0" w:firstLine="0"/>
        <w:jc w:val="left"/>
        <w:rPr>
          <w:rFonts w:ascii="黑体" w:eastAsia="黑体" w:hint="eastAsia"/>
          <w:sz w:val="21"/>
        </w:rPr>
      </w:pPr>
      <w:r>
        <w:rPr>
          <w:rFonts w:ascii="Times New Roman" w:eastAsia="Times New Roman"/>
          <w:w w:val="100"/>
          <w:sz w:val="21"/>
        </w:rPr>
        <w:t>3</w:t>
      </w:r>
      <w:r>
        <w:rPr>
          <w:rFonts w:ascii="黑体" w:eastAsia="黑体" w:hint="eastAsia"/>
          <w:spacing w:val="-3"/>
          <w:w w:val="100"/>
          <w:sz w:val="21"/>
        </w:rPr>
        <w:t>、被保险人服用、吸食或注射</w:t>
      </w:r>
      <w:r>
        <w:rPr>
          <w:rFonts w:ascii="黑体" w:eastAsia="黑体" w:hint="eastAsia"/>
          <w:b/>
          <w:w w:val="100"/>
          <w:sz w:val="21"/>
        </w:rPr>
        <w:t>毒品（见释义</w:t>
      </w:r>
      <w:r>
        <w:rPr>
          <w:rFonts w:ascii="黑体" w:eastAsia="黑体" w:hint="eastAsia"/>
          <w:b/>
          <w:spacing w:val="-105"/>
          <w:w w:val="100"/>
          <w:sz w:val="21"/>
        </w:rPr>
        <w:t>）</w:t>
      </w:r>
      <w:r>
        <w:rPr>
          <w:rFonts w:ascii="黑体" w:eastAsia="黑体" w:hint="eastAsia"/>
          <w:w w:val="100"/>
          <w:sz w:val="21"/>
        </w:rPr>
        <w:t>；</w:t>
      </w:r>
    </w:p>
    <w:p>
      <w:pPr>
        <w:spacing w:line="220" w:lineRule="auto" w:before="15"/>
        <w:ind w:left="396" w:right="201" w:hanging="284"/>
        <w:jc w:val="left"/>
        <w:rPr>
          <w:rFonts w:ascii="黑体" w:eastAsia="黑体" w:hint="eastAsia"/>
          <w:sz w:val="21"/>
        </w:rPr>
      </w:pPr>
      <w:r>
        <w:rPr>
          <w:rFonts w:ascii="Times New Roman" w:eastAsia="Times New Roman"/>
          <w:w w:val="100"/>
          <w:sz w:val="21"/>
        </w:rPr>
        <w:t>4</w:t>
      </w:r>
      <w:r>
        <w:rPr>
          <w:rFonts w:ascii="黑体" w:eastAsia="黑体" w:hint="eastAsia"/>
          <w:w w:val="100"/>
          <w:sz w:val="21"/>
        </w:rPr>
        <w:t>、被保险人</w:t>
      </w:r>
      <w:r>
        <w:rPr>
          <w:rFonts w:ascii="黑体" w:eastAsia="黑体" w:hint="eastAsia"/>
          <w:b/>
          <w:w w:val="100"/>
          <w:sz w:val="21"/>
        </w:rPr>
        <w:t>酒后驾驶（</w:t>
      </w:r>
      <w:r>
        <w:rPr>
          <w:rFonts w:ascii="黑体" w:eastAsia="黑体" w:hint="eastAsia"/>
          <w:b/>
          <w:spacing w:val="0"/>
          <w:w w:val="100"/>
          <w:sz w:val="21"/>
        </w:rPr>
        <w:t>见释义</w:t>
      </w:r>
      <w:r>
        <w:rPr>
          <w:rFonts w:ascii="黑体" w:eastAsia="黑体" w:hint="eastAsia"/>
          <w:b/>
          <w:spacing w:val="-101"/>
          <w:w w:val="100"/>
          <w:sz w:val="21"/>
        </w:rPr>
        <w:t>）</w:t>
      </w:r>
      <w:r>
        <w:rPr>
          <w:rFonts w:ascii="黑体" w:eastAsia="黑体" w:hint="eastAsia"/>
          <w:spacing w:val="-5"/>
          <w:w w:val="100"/>
          <w:sz w:val="21"/>
        </w:rPr>
        <w:t>、</w:t>
      </w:r>
      <w:r>
        <w:rPr>
          <w:rFonts w:ascii="黑体" w:eastAsia="黑体" w:hint="eastAsia"/>
          <w:b/>
          <w:w w:val="100"/>
          <w:sz w:val="21"/>
        </w:rPr>
        <w:t>无合法有效驾驶证驾驶</w:t>
      </w:r>
      <w:r>
        <w:rPr>
          <w:rFonts w:ascii="黑体" w:eastAsia="黑体" w:hint="eastAsia"/>
          <w:b/>
          <w:spacing w:val="3"/>
          <w:w w:val="100"/>
          <w:sz w:val="21"/>
        </w:rPr>
        <w:t>（</w:t>
      </w:r>
      <w:r>
        <w:rPr>
          <w:rFonts w:ascii="黑体" w:eastAsia="黑体" w:hint="eastAsia"/>
          <w:b/>
          <w:w w:val="100"/>
          <w:sz w:val="21"/>
        </w:rPr>
        <w:t>见释义</w:t>
      </w:r>
      <w:r>
        <w:rPr>
          <w:rFonts w:ascii="黑体" w:eastAsia="黑体" w:hint="eastAsia"/>
          <w:b/>
          <w:spacing w:val="-100"/>
          <w:w w:val="100"/>
          <w:sz w:val="21"/>
        </w:rPr>
        <w:t>）</w:t>
      </w:r>
      <w:r>
        <w:rPr>
          <w:rFonts w:ascii="黑体" w:eastAsia="黑体" w:hint="eastAsia"/>
          <w:spacing w:val="-2"/>
          <w:w w:val="100"/>
          <w:sz w:val="21"/>
        </w:rPr>
        <w:t>，或驾驶</w:t>
      </w:r>
      <w:r>
        <w:rPr>
          <w:rFonts w:ascii="黑体" w:eastAsia="黑体" w:hint="eastAsia"/>
          <w:b/>
          <w:w w:val="100"/>
          <w:sz w:val="21"/>
        </w:rPr>
        <w:t>无有效行驶证（见释义</w:t>
      </w:r>
      <w:r>
        <w:rPr>
          <w:rFonts w:ascii="黑体" w:eastAsia="黑体" w:hint="eastAsia"/>
          <w:b/>
          <w:spacing w:val="5"/>
          <w:w w:val="100"/>
          <w:sz w:val="21"/>
        </w:rPr>
        <w:t>）</w:t>
      </w:r>
      <w:r>
        <w:rPr>
          <w:rFonts w:ascii="黑体" w:eastAsia="黑体" w:hint="eastAsia"/>
          <w:w w:val="100"/>
          <w:sz w:val="21"/>
        </w:rPr>
        <w:t>的</w:t>
      </w:r>
      <w:r>
        <w:rPr>
          <w:rFonts w:ascii="黑体" w:eastAsia="黑体" w:hint="eastAsia"/>
          <w:sz w:val="21"/>
        </w:rPr>
        <w:t>机动车；</w:t>
      </w:r>
    </w:p>
    <w:p>
      <w:pPr>
        <w:spacing w:line="289" w:lineRule="exact" w:before="0"/>
        <w:ind w:left="113" w:right="0" w:firstLine="0"/>
        <w:jc w:val="left"/>
        <w:rPr>
          <w:rFonts w:ascii="黑体" w:eastAsia="黑体" w:hint="eastAsia"/>
          <w:sz w:val="21"/>
        </w:rPr>
      </w:pPr>
      <w:r>
        <w:rPr>
          <w:rFonts w:ascii="Times New Roman" w:eastAsia="Times New Roman"/>
          <w:w w:val="100"/>
          <w:sz w:val="21"/>
        </w:rPr>
        <w:t>5</w:t>
      </w:r>
      <w:r>
        <w:rPr>
          <w:rFonts w:ascii="黑体" w:eastAsia="黑体" w:hint="eastAsia"/>
          <w:spacing w:val="-1"/>
          <w:w w:val="100"/>
          <w:sz w:val="21"/>
        </w:rPr>
        <w:t>、被保险人</w:t>
      </w:r>
      <w:r>
        <w:rPr>
          <w:rFonts w:ascii="黑体" w:eastAsia="黑体" w:hint="eastAsia"/>
          <w:b/>
          <w:spacing w:val="-1"/>
          <w:w w:val="100"/>
          <w:sz w:val="21"/>
        </w:rPr>
        <w:t>感染艾滋病病毒或患艾滋病</w:t>
      </w:r>
      <w:r>
        <w:rPr>
          <w:rFonts w:ascii="黑体" w:eastAsia="黑体" w:hint="eastAsia"/>
          <w:b/>
          <w:w w:val="100"/>
          <w:sz w:val="21"/>
        </w:rPr>
        <w:t>（见释义</w:t>
      </w:r>
      <w:r>
        <w:rPr>
          <w:rFonts w:ascii="黑体" w:eastAsia="黑体" w:hint="eastAsia"/>
          <w:b/>
          <w:spacing w:val="-105"/>
          <w:w w:val="100"/>
          <w:sz w:val="21"/>
        </w:rPr>
        <w:t>）</w:t>
      </w:r>
      <w:r>
        <w:rPr>
          <w:rFonts w:ascii="黑体" w:eastAsia="黑体" w:hint="eastAsia"/>
          <w:spacing w:val="-5"/>
          <w:w w:val="100"/>
          <w:sz w:val="21"/>
        </w:rPr>
        <w:t>（</w:t>
      </w:r>
      <w:r>
        <w:rPr>
          <w:rFonts w:ascii="黑体" w:eastAsia="黑体" w:hint="eastAsia"/>
          <w:spacing w:val="-1"/>
          <w:w w:val="100"/>
          <w:sz w:val="21"/>
        </w:rPr>
        <w:t>本附加合同第十四条第</w:t>
      </w:r>
      <w:r>
        <w:rPr>
          <w:rFonts w:ascii="黑体" w:eastAsia="黑体" w:hint="eastAsia"/>
          <w:spacing w:val="-23"/>
          <w:sz w:val="21"/>
        </w:rPr>
        <w:t> </w:t>
      </w:r>
      <w:r>
        <w:rPr>
          <w:rFonts w:ascii="Times New Roman" w:eastAsia="Times New Roman"/>
          <w:w w:val="100"/>
          <w:sz w:val="21"/>
        </w:rPr>
        <w:t>42</w:t>
      </w:r>
      <w:r>
        <w:rPr>
          <w:rFonts w:ascii="Times New Roman" w:eastAsia="Times New Roman"/>
          <w:spacing w:val="-10"/>
          <w:sz w:val="21"/>
        </w:rPr>
        <w:t>  </w:t>
      </w:r>
      <w:r>
        <w:rPr>
          <w:rFonts w:ascii="黑体" w:eastAsia="黑体" w:hint="eastAsia"/>
          <w:spacing w:val="-3"/>
          <w:w w:val="100"/>
          <w:sz w:val="21"/>
        </w:rPr>
        <w:t>项所约定的经输血导致的</w:t>
      </w:r>
    </w:p>
    <w:p>
      <w:pPr>
        <w:pStyle w:val="BodyText"/>
        <w:spacing w:before="41"/>
        <w:ind w:left="396"/>
      </w:pPr>
      <w:r>
        <w:rPr>
          <w:rFonts w:ascii="黑体" w:eastAsia="黑体" w:hint="eastAsia"/>
          <w:spacing w:val="-1"/>
          <w:w w:val="100"/>
        </w:rPr>
        <w:t>艾滋病病毒感染及第</w:t>
      </w:r>
      <w:r>
        <w:rPr>
          <w:rFonts w:ascii="黑体" w:eastAsia="黑体" w:hint="eastAsia"/>
          <w:spacing w:val="-57"/>
        </w:rPr>
        <w:t> </w:t>
      </w:r>
      <w:r>
        <w:rPr>
          <w:rFonts w:ascii="Times New Roman" w:eastAsia="Times New Roman"/>
          <w:w w:val="100"/>
        </w:rPr>
        <w:t>43</w:t>
      </w:r>
      <w:r>
        <w:rPr>
          <w:rFonts w:ascii="Times New Roman" w:eastAsia="Times New Roman"/>
        </w:rPr>
        <w:t> </w:t>
      </w:r>
      <w:r>
        <w:rPr>
          <w:rFonts w:ascii="黑体" w:eastAsia="黑体" w:hint="eastAsia"/>
          <w:spacing w:val="-5"/>
          <w:w w:val="100"/>
        </w:rPr>
        <w:t>项所约定的因职业关系导致的艾滋病病毒感染不属于本项责任免除</w:t>
      </w:r>
      <w:r>
        <w:rPr>
          <w:rFonts w:ascii="黑体" w:eastAsia="黑体" w:hint="eastAsia"/>
          <w:spacing w:val="-108"/>
          <w:w w:val="100"/>
        </w:rPr>
        <w:t>）</w:t>
      </w:r>
      <w:r>
        <w:rPr>
          <w:w w:val="100"/>
        </w:rPr>
        <w:t>；</w:t>
      </w:r>
    </w:p>
    <w:p>
      <w:pPr>
        <w:pStyle w:val="BodyText"/>
        <w:spacing w:line="282" w:lineRule="exact" w:before="16"/>
        <w:rPr>
          <w:rFonts w:ascii="黑体" w:eastAsia="黑体" w:hint="eastAsia"/>
        </w:rPr>
      </w:pPr>
      <w:r>
        <w:rPr>
          <w:rFonts w:ascii="Times New Roman" w:eastAsia="Times New Roman"/>
        </w:rPr>
        <w:t>6</w:t>
      </w:r>
      <w:r>
        <w:rPr>
          <w:rFonts w:ascii="黑体" w:eastAsia="黑体" w:hint="eastAsia"/>
        </w:rPr>
        <w:t>、战争、军事冲突、暴乱或武装叛乱；</w:t>
      </w:r>
    </w:p>
    <w:p>
      <w:pPr>
        <w:pStyle w:val="BodyText"/>
        <w:spacing w:line="274" w:lineRule="exact"/>
        <w:rPr>
          <w:rFonts w:ascii="黑体" w:eastAsia="黑体" w:hint="eastAsia"/>
        </w:rPr>
      </w:pPr>
      <w:r>
        <w:rPr>
          <w:rFonts w:ascii="Times New Roman" w:eastAsia="Times New Roman"/>
        </w:rPr>
        <w:t>7</w:t>
      </w:r>
      <w:r>
        <w:rPr>
          <w:rFonts w:ascii="黑体" w:eastAsia="黑体" w:hint="eastAsia"/>
        </w:rPr>
        <w:t>、核爆炸、核辐射或核污染；</w:t>
      </w:r>
    </w:p>
    <w:p>
      <w:pPr>
        <w:pStyle w:val="Heading1"/>
        <w:spacing w:line="282" w:lineRule="exact"/>
        <w:rPr>
          <w:rFonts w:ascii="黑体" w:eastAsia="黑体" w:hint="eastAsia"/>
          <w:b w:val="0"/>
        </w:rPr>
      </w:pPr>
      <w:r>
        <w:rPr>
          <w:rFonts w:ascii="Times New Roman" w:eastAsia="Times New Roman"/>
          <w:b w:val="0"/>
          <w:w w:val="100"/>
        </w:rPr>
        <w:t>8</w:t>
      </w:r>
      <w:r>
        <w:rPr>
          <w:rFonts w:ascii="黑体" w:eastAsia="黑体" w:hint="eastAsia"/>
          <w:b w:val="0"/>
          <w:w w:val="100"/>
        </w:rPr>
        <w:t>、</w:t>
      </w:r>
      <w:r>
        <w:rPr>
          <w:rFonts w:ascii="黑体" w:eastAsia="黑体" w:hint="eastAsia"/>
          <w:w w:val="100"/>
        </w:rPr>
        <w:t>遗传性疾病（见释义</w:t>
      </w:r>
      <w:r>
        <w:rPr>
          <w:rFonts w:ascii="黑体" w:eastAsia="黑体" w:hint="eastAsia"/>
          <w:spacing w:val="-105"/>
          <w:w w:val="100"/>
        </w:rPr>
        <w:t>）</w:t>
      </w:r>
      <w:r>
        <w:rPr>
          <w:rFonts w:ascii="黑体" w:eastAsia="黑体" w:hint="eastAsia"/>
          <w:b w:val="0"/>
          <w:spacing w:val="-5"/>
          <w:w w:val="100"/>
        </w:rPr>
        <w:t>，</w:t>
      </w:r>
      <w:r>
        <w:rPr>
          <w:rFonts w:ascii="黑体" w:eastAsia="黑体" w:hint="eastAsia"/>
          <w:spacing w:val="-1"/>
          <w:w w:val="100"/>
        </w:rPr>
        <w:t>先天性畸形、变形或染色体异常</w:t>
      </w:r>
      <w:r>
        <w:rPr>
          <w:rFonts w:ascii="黑体" w:eastAsia="黑体" w:hint="eastAsia"/>
          <w:w w:val="100"/>
        </w:rPr>
        <w:t>（见释义</w:t>
      </w:r>
      <w:r>
        <w:rPr>
          <w:rFonts w:ascii="黑体" w:eastAsia="黑体" w:hint="eastAsia"/>
          <w:spacing w:val="-105"/>
          <w:w w:val="100"/>
        </w:rPr>
        <w:t>）</w:t>
      </w:r>
      <w:r>
        <w:rPr>
          <w:rFonts w:ascii="黑体" w:eastAsia="黑体" w:hint="eastAsia"/>
          <w:b w:val="0"/>
          <w:w w:val="100"/>
        </w:rPr>
        <w:t>。</w:t>
      </w:r>
    </w:p>
    <w:p>
      <w:pPr>
        <w:spacing w:after="0" w:line="282" w:lineRule="exact"/>
        <w:rPr>
          <w:rFonts w:ascii="黑体" w:eastAsia="黑体" w:hint="eastAsia"/>
        </w:rPr>
        <w:sectPr>
          <w:pgSz w:w="11910" w:h="16840"/>
          <w:pgMar w:header="0" w:footer="576" w:top="920" w:bottom="760" w:left="1020" w:right="920"/>
        </w:sectPr>
      </w:pPr>
    </w:p>
    <w:p>
      <w:pPr>
        <w:pStyle w:val="BodyText"/>
        <w:spacing w:line="264" w:lineRule="auto" w:before="70"/>
        <w:ind w:right="205"/>
      </w:pPr>
      <w:r>
        <w:rPr>
          <w:spacing w:val="-7"/>
        </w:rPr>
        <w:t>因上述第１项情形导致本附加合同保险责任的，本附加合同终止，本公司向其他权利人退还本附加合同的</w:t>
      </w:r>
      <w:r>
        <w:rPr>
          <w:rFonts w:ascii="Microsoft JhengHei" w:eastAsia="Microsoft JhengHei" w:hint="eastAsia"/>
          <w:b/>
          <w:spacing w:val="-7"/>
        </w:rPr>
        <w:t>现金价值（</w:t>
      </w:r>
      <w:r>
        <w:rPr>
          <w:rFonts w:ascii="Microsoft JhengHei" w:eastAsia="Microsoft JhengHei" w:hint="eastAsia"/>
          <w:b/>
          <w:spacing w:val="-2"/>
        </w:rPr>
        <w:t>见释义</w:t>
      </w:r>
      <w:r>
        <w:rPr>
          <w:rFonts w:ascii="Microsoft JhengHei" w:eastAsia="Microsoft JhengHei" w:hint="eastAsia"/>
          <w:b/>
          <w:spacing w:val="-106"/>
        </w:rPr>
        <w:t>）</w:t>
      </w:r>
      <w:r>
        <w:rPr/>
        <w:t>。</w:t>
      </w:r>
    </w:p>
    <w:p>
      <w:pPr>
        <w:pStyle w:val="BodyText"/>
        <w:spacing w:before="3"/>
        <w:ind w:left="0"/>
      </w:pPr>
    </w:p>
    <w:p>
      <w:pPr>
        <w:pStyle w:val="BodyText"/>
        <w:spacing w:line="261" w:lineRule="auto"/>
        <w:ind w:right="205"/>
        <w:rPr>
          <w:rFonts w:ascii="Microsoft JhengHei" w:eastAsia="Microsoft JhengHei" w:hint="eastAsia"/>
          <w:b/>
        </w:rPr>
      </w:pPr>
      <w:r>
        <w:rPr>
          <w:spacing w:val="-6"/>
        </w:rPr>
        <w:t>因上述其他情形导致本附加合同保险责任的，本附加合同终止，本公司向投保人退还本附加合同的现金价值</w:t>
      </w:r>
      <w:r>
        <w:rPr>
          <w:rFonts w:ascii="Microsoft JhengHei" w:eastAsia="Microsoft JhengHei" w:hint="eastAsia"/>
          <w:b/>
          <w:spacing w:val="-6"/>
        </w:rPr>
        <w:t>。</w:t>
      </w:r>
    </w:p>
    <w:p>
      <w:pPr>
        <w:pStyle w:val="Heading1"/>
        <w:spacing w:before="228"/>
        <w:jc w:val="both"/>
        <w:rPr>
          <w:rFonts w:ascii="黑体" w:eastAsia="黑体" w:hint="eastAsia"/>
        </w:rPr>
      </w:pPr>
      <w:r>
        <w:rPr>
          <w:rFonts w:ascii="黑体" w:eastAsia="黑体" w:hint="eastAsia"/>
        </w:rPr>
        <w:t>第四条 保险合同成立与Th效</w:t>
      </w:r>
    </w:p>
    <w:p>
      <w:pPr>
        <w:pStyle w:val="BodyText"/>
        <w:spacing w:before="8"/>
        <w:ind w:left="0"/>
        <w:rPr>
          <w:rFonts w:ascii="黑体"/>
          <w:b/>
          <w:sz w:val="22"/>
        </w:rPr>
      </w:pPr>
    </w:p>
    <w:p>
      <w:pPr>
        <w:pStyle w:val="BodyText"/>
        <w:jc w:val="both"/>
      </w:pPr>
      <w:r>
        <w:rPr/>
        <w:t>投保人提出保险申请、本公司同意承保，本附加合同成立。</w:t>
      </w:r>
    </w:p>
    <w:p>
      <w:pPr>
        <w:pStyle w:val="BodyText"/>
        <w:spacing w:before="1"/>
        <w:ind w:left="0"/>
        <w:rPr>
          <w:sz w:val="20"/>
        </w:rPr>
      </w:pPr>
    </w:p>
    <w:p>
      <w:pPr>
        <w:spacing w:before="0"/>
        <w:ind w:left="113" w:right="0" w:firstLine="0"/>
        <w:jc w:val="both"/>
        <w:rPr>
          <w:sz w:val="21"/>
        </w:rPr>
      </w:pPr>
      <w:r>
        <w:rPr>
          <w:spacing w:val="-4"/>
          <w:sz w:val="21"/>
        </w:rPr>
        <w:t>本附加合同生效日期在保险单上载明。</w:t>
      </w:r>
      <w:r>
        <w:rPr>
          <w:rFonts w:ascii="Microsoft JhengHei" w:eastAsia="Microsoft JhengHei" w:hint="eastAsia"/>
          <w:b/>
          <w:spacing w:val="-2"/>
          <w:sz w:val="21"/>
        </w:rPr>
        <w:t>保单年度</w:t>
      </w:r>
      <w:r>
        <w:rPr>
          <w:rFonts w:ascii="Microsoft JhengHei" w:eastAsia="Microsoft JhengHei" w:hint="eastAsia"/>
          <w:b/>
          <w:sz w:val="21"/>
        </w:rPr>
        <w:t>（</w:t>
      </w:r>
      <w:r>
        <w:rPr>
          <w:rFonts w:ascii="Microsoft JhengHei" w:eastAsia="Microsoft JhengHei" w:hint="eastAsia"/>
          <w:b/>
          <w:spacing w:val="-2"/>
          <w:sz w:val="21"/>
        </w:rPr>
        <w:t>见释义</w:t>
      </w:r>
      <w:r>
        <w:rPr>
          <w:rFonts w:ascii="Microsoft JhengHei" w:eastAsia="Microsoft JhengHei" w:hint="eastAsia"/>
          <w:b/>
          <w:spacing w:val="-106"/>
          <w:sz w:val="21"/>
        </w:rPr>
        <w:t>）</w:t>
      </w:r>
      <w:r>
        <w:rPr>
          <w:spacing w:val="-5"/>
          <w:sz w:val="21"/>
        </w:rPr>
        <w:t>、保险费约定支付日均以该日期计算。</w:t>
      </w:r>
    </w:p>
    <w:p>
      <w:pPr>
        <w:pStyle w:val="BodyText"/>
        <w:spacing w:before="4"/>
        <w:ind w:left="0"/>
        <w:rPr>
          <w:sz w:val="19"/>
        </w:rPr>
      </w:pPr>
    </w:p>
    <w:p>
      <w:pPr>
        <w:pStyle w:val="Heading1"/>
        <w:jc w:val="both"/>
        <w:rPr>
          <w:rFonts w:ascii="黑体" w:eastAsia="黑体" w:hint="eastAsia"/>
        </w:rPr>
      </w:pPr>
      <w:r>
        <w:rPr>
          <w:rFonts w:ascii="黑体" w:eastAsia="黑体" w:hint="eastAsia"/>
        </w:rPr>
        <w:t>第五条 保险期间</w:t>
      </w:r>
    </w:p>
    <w:p>
      <w:pPr>
        <w:pStyle w:val="BodyText"/>
        <w:spacing w:before="8"/>
        <w:ind w:left="0"/>
        <w:rPr>
          <w:rFonts w:ascii="黑体"/>
          <w:b/>
          <w:sz w:val="22"/>
        </w:rPr>
      </w:pPr>
    </w:p>
    <w:p>
      <w:pPr>
        <w:pStyle w:val="BodyText"/>
        <w:spacing w:line="302" w:lineRule="auto"/>
        <w:ind w:right="201"/>
        <w:jc w:val="both"/>
      </w:pPr>
      <w:r>
        <w:rPr>
          <w:spacing w:val="-6"/>
        </w:rPr>
        <w:t>本附加合同的保险期间有 </w:t>
      </w:r>
      <w:r>
        <w:rPr>
          <w:rFonts w:ascii="Times New Roman" w:eastAsia="Times New Roman"/>
        </w:rPr>
        <w:t>10 </w:t>
      </w:r>
      <w:r>
        <w:rPr>
          <w:spacing w:val="-5"/>
        </w:rPr>
        <w:t>年、</w:t>
      </w:r>
      <w:r>
        <w:rPr>
          <w:rFonts w:ascii="Times New Roman" w:eastAsia="Times New Roman"/>
        </w:rPr>
        <w:t>20 </w:t>
      </w:r>
      <w:r>
        <w:rPr>
          <w:spacing w:val="-5"/>
        </w:rPr>
        <w:t>年、</w:t>
      </w:r>
      <w:r>
        <w:rPr>
          <w:rFonts w:ascii="Times New Roman" w:eastAsia="Times New Roman"/>
        </w:rPr>
        <w:t>30 </w:t>
      </w:r>
      <w:r>
        <w:rPr>
          <w:spacing w:val="-10"/>
        </w:rPr>
        <w:t>年、至被保险人 </w:t>
      </w:r>
      <w:r>
        <w:rPr>
          <w:rFonts w:ascii="Times New Roman" w:eastAsia="Times New Roman"/>
        </w:rPr>
        <w:t>60 </w:t>
      </w:r>
      <w:r>
        <w:rPr>
          <w:spacing w:val="-8"/>
        </w:rPr>
        <w:t>周岁后首个保单周年日的当日 </w:t>
      </w:r>
      <w:r>
        <w:rPr>
          <w:rFonts w:ascii="Times New Roman" w:eastAsia="Times New Roman"/>
        </w:rPr>
        <w:t>24 </w:t>
      </w:r>
      <w:r>
        <w:rPr>
          <w:spacing w:val="-3"/>
        </w:rPr>
        <w:t>时、至被</w:t>
      </w:r>
      <w:r>
        <w:rPr>
          <w:spacing w:val="-13"/>
        </w:rPr>
        <w:t>保险人 </w:t>
      </w:r>
      <w:r>
        <w:rPr>
          <w:rFonts w:ascii="Times New Roman" w:eastAsia="Times New Roman"/>
          <w:spacing w:val="-3"/>
        </w:rPr>
        <w:t>70 </w:t>
      </w:r>
      <w:r>
        <w:rPr>
          <w:spacing w:val="-8"/>
        </w:rPr>
        <w:t>周岁后首个保单周年日的当日 </w:t>
      </w:r>
      <w:r>
        <w:rPr>
          <w:rFonts w:ascii="Times New Roman" w:eastAsia="Times New Roman"/>
        </w:rPr>
        <w:t>24 </w:t>
      </w:r>
      <w:r>
        <w:rPr>
          <w:spacing w:val="-8"/>
        </w:rPr>
        <w:t>时、至被保险人 </w:t>
      </w:r>
      <w:r>
        <w:rPr>
          <w:rFonts w:ascii="Times New Roman" w:eastAsia="Times New Roman"/>
          <w:spacing w:val="-3"/>
        </w:rPr>
        <w:t>80 </w:t>
      </w:r>
      <w:r>
        <w:rPr>
          <w:spacing w:val="-8"/>
        </w:rPr>
        <w:t>周岁后首个保单周年日的当日 </w:t>
      </w:r>
      <w:r>
        <w:rPr>
          <w:rFonts w:ascii="Times New Roman" w:eastAsia="Times New Roman"/>
        </w:rPr>
        <w:t>24 </w:t>
      </w:r>
      <w:r>
        <w:rPr>
          <w:spacing w:val="-12"/>
        </w:rPr>
        <w:t>时，共 </w:t>
      </w:r>
      <w:r>
        <w:rPr>
          <w:rFonts w:ascii="Times New Roman" w:eastAsia="Times New Roman"/>
        </w:rPr>
        <w:t>6 </w:t>
      </w:r>
      <w:r>
        <w:rPr>
          <w:spacing w:val="-5"/>
        </w:rPr>
        <w:t>种，由投保人与本公司在投保时约定其中一种，并载于本附加合同的保险单上。</w:t>
      </w:r>
    </w:p>
    <w:p>
      <w:pPr>
        <w:pStyle w:val="Heading1"/>
        <w:spacing w:before="222"/>
        <w:rPr>
          <w:rFonts w:ascii="黑体" w:eastAsia="黑体" w:hint="eastAsia"/>
        </w:rPr>
      </w:pPr>
      <w:r>
        <w:rPr>
          <w:rFonts w:ascii="黑体" w:eastAsia="黑体" w:hint="eastAsia"/>
        </w:rPr>
        <w:t>第六条 基本保额</w:t>
      </w:r>
    </w:p>
    <w:p>
      <w:pPr>
        <w:pStyle w:val="BodyText"/>
        <w:spacing w:before="8"/>
        <w:ind w:left="0"/>
        <w:rPr>
          <w:rFonts w:ascii="黑体"/>
          <w:b/>
          <w:sz w:val="22"/>
        </w:rPr>
      </w:pPr>
    </w:p>
    <w:p>
      <w:pPr>
        <w:pStyle w:val="BodyText"/>
        <w:spacing w:line="319" w:lineRule="auto"/>
        <w:ind w:right="205"/>
      </w:pPr>
      <w:r>
        <w:rPr>
          <w:spacing w:val="-7"/>
        </w:rPr>
        <w:t>本附加合同的基本保额由投保人与本公司在投保时约定，并载于本附加合同的保险单上。若该金额按本附</w:t>
      </w:r>
      <w:r>
        <w:rPr>
          <w:spacing w:val="-6"/>
        </w:rPr>
        <w:t>加合同其他条款的约定而发生变更，则以变更后的金额为基本保额。</w:t>
      </w:r>
    </w:p>
    <w:p>
      <w:pPr>
        <w:pStyle w:val="Heading1"/>
        <w:spacing w:before="207"/>
        <w:rPr>
          <w:rFonts w:ascii="黑体" w:eastAsia="黑体" w:hint="eastAsia"/>
        </w:rPr>
      </w:pPr>
      <w:r>
        <w:rPr>
          <w:rFonts w:ascii="黑体" w:eastAsia="黑体" w:hint="eastAsia"/>
        </w:rPr>
        <w:t>第七条 基本保额的减少</w:t>
      </w:r>
    </w:p>
    <w:p>
      <w:pPr>
        <w:pStyle w:val="BodyText"/>
        <w:spacing w:before="7"/>
        <w:ind w:left="0"/>
        <w:rPr>
          <w:rFonts w:ascii="黑体"/>
          <w:b/>
          <w:sz w:val="22"/>
        </w:rPr>
      </w:pPr>
    </w:p>
    <w:p>
      <w:pPr>
        <w:pStyle w:val="BodyText"/>
        <w:spacing w:line="319" w:lineRule="auto" w:before="1"/>
        <w:ind w:right="205"/>
      </w:pPr>
      <w:r>
        <w:rPr>
          <w:spacing w:val="-6"/>
        </w:rPr>
        <w:t>在本附加合同有效期限内，投保人可根据本公司当时的规定申请减少本附加合同的基本保额，但减额后的</w:t>
      </w:r>
      <w:r>
        <w:rPr>
          <w:spacing w:val="-5"/>
        </w:rPr>
        <w:t>基本保额须符合本公司当时的规定，本公司将退还基本保额减少部分所对应的现金价值。</w:t>
      </w:r>
    </w:p>
    <w:p>
      <w:pPr>
        <w:pStyle w:val="Heading1"/>
        <w:spacing w:before="208"/>
        <w:rPr>
          <w:rFonts w:ascii="黑体" w:eastAsia="黑体" w:hint="eastAsia"/>
        </w:rPr>
      </w:pPr>
      <w:r>
        <w:rPr>
          <w:rFonts w:ascii="黑体" w:eastAsia="黑体" w:hint="eastAsia"/>
        </w:rPr>
        <w:t>第八条 保险费率的调整</w:t>
      </w:r>
    </w:p>
    <w:p>
      <w:pPr>
        <w:pStyle w:val="BodyText"/>
        <w:spacing w:before="8"/>
        <w:ind w:left="0"/>
        <w:rPr>
          <w:rFonts w:ascii="黑体"/>
          <w:b/>
          <w:sz w:val="22"/>
        </w:rPr>
      </w:pPr>
    </w:p>
    <w:p>
      <w:pPr>
        <w:pStyle w:val="BodyText"/>
        <w:spacing w:line="319" w:lineRule="auto"/>
        <w:ind w:right="205"/>
        <w:jc w:val="both"/>
      </w:pPr>
      <w:r>
        <w:rPr>
          <w:spacing w:val="-6"/>
        </w:rPr>
        <w:t>本公司保留提高或降低保险费率的权利。本公司可以针对所有被保险人或相同投保年龄、性别的所有被保</w:t>
      </w:r>
      <w:r>
        <w:rPr>
          <w:spacing w:val="-7"/>
        </w:rPr>
        <w:t>险人调整本附加合同的保险费率。若费率调整时本附加合同的缴费期间尚未届满，则调整后的保险费率将在费率调整后的首个保单周年日之前以书面形式通知投保人。投保人应按调整后的保险费率缴纳续期保险费。</w:t>
      </w:r>
    </w:p>
    <w:p>
      <w:pPr>
        <w:pStyle w:val="Heading1"/>
        <w:spacing w:before="207"/>
        <w:jc w:val="both"/>
        <w:rPr>
          <w:rFonts w:ascii="黑体" w:eastAsia="黑体" w:hint="eastAsia"/>
        </w:rPr>
      </w:pPr>
      <w:r>
        <w:rPr>
          <w:rFonts w:ascii="黑体" w:eastAsia="黑体" w:hint="eastAsia"/>
        </w:rPr>
        <w:t>第九条 受益人</w:t>
      </w:r>
    </w:p>
    <w:p>
      <w:pPr>
        <w:pStyle w:val="BodyText"/>
        <w:spacing w:before="8"/>
        <w:ind w:left="0"/>
        <w:rPr>
          <w:rFonts w:ascii="黑体"/>
          <w:b/>
          <w:sz w:val="22"/>
        </w:rPr>
      </w:pPr>
    </w:p>
    <w:p>
      <w:pPr>
        <w:pStyle w:val="BodyText"/>
        <w:jc w:val="both"/>
      </w:pPr>
      <w:r>
        <w:rPr/>
        <w:t>除另有指定外，本附加合同保险金的受益人为被保险人本人。</w:t>
      </w:r>
    </w:p>
    <w:p>
      <w:pPr>
        <w:pStyle w:val="BodyText"/>
        <w:spacing w:before="10"/>
        <w:ind w:left="0"/>
        <w:rPr>
          <w:sz w:val="20"/>
        </w:rPr>
      </w:pPr>
    </w:p>
    <w:p>
      <w:pPr>
        <w:pStyle w:val="Heading1"/>
        <w:jc w:val="both"/>
        <w:rPr>
          <w:rFonts w:ascii="黑体" w:eastAsia="黑体" w:hint="eastAsia"/>
        </w:rPr>
      </w:pPr>
      <w:r>
        <w:rPr>
          <w:rFonts w:ascii="黑体" w:eastAsia="黑体" w:hint="eastAsia"/>
        </w:rPr>
        <w:t>第十条 保险金申请</w:t>
      </w:r>
    </w:p>
    <w:p>
      <w:pPr>
        <w:pStyle w:val="BodyText"/>
        <w:spacing w:before="8"/>
        <w:ind w:left="0"/>
        <w:rPr>
          <w:rFonts w:ascii="黑体"/>
          <w:b/>
          <w:sz w:val="22"/>
        </w:rPr>
      </w:pPr>
    </w:p>
    <w:p>
      <w:pPr>
        <w:pStyle w:val="BodyText"/>
        <w:jc w:val="both"/>
      </w:pPr>
      <w:r>
        <w:rPr/>
        <w:t>在申请本附加合同保险金时，申请人须填写保险金给付申请书，并提供下列证明和资料：</w:t>
      </w:r>
    </w:p>
    <w:p>
      <w:pPr>
        <w:pStyle w:val="BodyText"/>
        <w:spacing w:before="95"/>
        <w:jc w:val="both"/>
      </w:pPr>
      <w:r>
        <w:rPr>
          <w:rFonts w:ascii="Times New Roman" w:eastAsia="Times New Roman"/>
        </w:rPr>
        <w:t>1</w:t>
      </w:r>
      <w:r>
        <w:rPr/>
        <w:t>、 保险合同；</w:t>
      </w:r>
    </w:p>
    <w:p>
      <w:pPr>
        <w:pStyle w:val="BodyText"/>
        <w:spacing w:before="74"/>
        <w:jc w:val="both"/>
      </w:pPr>
      <w:r>
        <w:rPr>
          <w:rFonts w:ascii="Times New Roman" w:eastAsia="Times New Roman"/>
        </w:rPr>
        <w:t>2</w:t>
      </w:r>
      <w:r>
        <w:rPr/>
        <w:t>、 申请人的有效身份证件；</w:t>
      </w:r>
    </w:p>
    <w:p>
      <w:pPr>
        <w:pStyle w:val="BodyText"/>
        <w:spacing w:before="74"/>
        <w:jc w:val="both"/>
      </w:pPr>
      <w:r>
        <w:rPr>
          <w:rFonts w:ascii="Times New Roman" w:eastAsia="Times New Roman"/>
        </w:rPr>
        <w:t>3</w:t>
      </w:r>
      <w:r>
        <w:rPr/>
        <w:t>、 被保险人的有效身份证件；</w:t>
      </w:r>
    </w:p>
    <w:p>
      <w:pPr>
        <w:pStyle w:val="BodyText"/>
        <w:spacing w:before="74"/>
        <w:jc w:val="both"/>
      </w:pPr>
      <w:r>
        <w:rPr>
          <w:rFonts w:ascii="Times New Roman" w:eastAsia="Times New Roman"/>
        </w:rPr>
        <w:t>4</w:t>
      </w:r>
      <w:r>
        <w:rPr/>
        <w:t>、 本附加合同保险金受益人的有效身份证件；</w:t>
      </w:r>
    </w:p>
    <w:p>
      <w:pPr>
        <w:pStyle w:val="BodyText"/>
        <w:spacing w:line="304" w:lineRule="auto" w:before="74"/>
        <w:ind w:left="473" w:right="100" w:hanging="360"/>
      </w:pPr>
      <w:r>
        <w:rPr>
          <w:rFonts w:ascii="Times New Roman" w:eastAsia="Times New Roman"/>
        </w:rPr>
        <w:t>5</w:t>
      </w:r>
      <w:r>
        <w:rPr>
          <w:spacing w:val="-7"/>
        </w:rPr>
        <w:t>、 由医疗机构的专科医生出具的疾病诊断书及相关所必需的检查结果证明</w:t>
      </w:r>
      <w:r>
        <w:rPr/>
        <w:t>（</w:t>
      </w:r>
      <w:r>
        <w:rPr>
          <w:spacing w:val="-1"/>
        </w:rPr>
        <w:t>如病理检查报告、血液检查</w:t>
      </w:r>
      <w:r>
        <w:rPr>
          <w:spacing w:val="-11"/>
        </w:rPr>
        <w:t>报告、超声波、影像学及其他医学诊断检查报告等</w:t>
      </w:r>
      <w:r>
        <w:rPr>
          <w:spacing w:val="-77"/>
        </w:rPr>
        <w:t>）</w:t>
      </w:r>
      <w:r>
        <w:rPr>
          <w:spacing w:val="-12"/>
        </w:rPr>
        <w:t>，若接受外科手术者，还需提供外科手术证明文件；</w:t>
      </w:r>
    </w:p>
    <w:p>
      <w:pPr>
        <w:spacing w:after="0" w:line="304" w:lineRule="auto"/>
        <w:sectPr>
          <w:pgSz w:w="11910" w:h="16840"/>
          <w:pgMar w:header="0" w:footer="576" w:top="780" w:bottom="760" w:left="1020" w:right="920"/>
        </w:sectPr>
      </w:pPr>
    </w:p>
    <w:p>
      <w:pPr>
        <w:pStyle w:val="BodyText"/>
        <w:spacing w:before="70"/>
        <w:ind w:left="233"/>
      </w:pPr>
      <w:r>
        <w:rPr>
          <w:rFonts w:ascii="Times New Roman" w:eastAsia="Times New Roman"/>
        </w:rPr>
        <w:t>6</w:t>
      </w:r>
      <w:r>
        <w:rPr/>
        <w:t>、 所能提供的与确认保险事故的性质、原因等有关的其他证明和资料。</w:t>
      </w:r>
    </w:p>
    <w:p>
      <w:pPr>
        <w:pStyle w:val="BodyText"/>
        <w:spacing w:before="4"/>
        <w:ind w:left="0"/>
        <w:rPr>
          <w:sz w:val="24"/>
        </w:rPr>
      </w:pPr>
    </w:p>
    <w:p>
      <w:pPr>
        <w:pStyle w:val="BodyText"/>
        <w:ind w:left="233"/>
      </w:pPr>
      <w:r>
        <w:rPr/>
        <w:t>以上证明和资料不完整的，本公司将及时一次性通知申请人补充提供有关证明和资料。</w:t>
      </w:r>
    </w:p>
    <w:p>
      <w:pPr>
        <w:pStyle w:val="BodyText"/>
        <w:spacing w:before="10"/>
        <w:ind w:left="0"/>
        <w:rPr>
          <w:sz w:val="20"/>
        </w:rPr>
      </w:pPr>
    </w:p>
    <w:p>
      <w:pPr>
        <w:pStyle w:val="Heading1"/>
        <w:tabs>
          <w:tab w:pos="1289" w:val="left" w:leader="none"/>
        </w:tabs>
        <w:ind w:left="233"/>
        <w:rPr>
          <w:rFonts w:ascii="黑体" w:eastAsia="黑体" w:hint="eastAsia"/>
        </w:rPr>
      </w:pPr>
      <w:r>
        <w:rPr>
          <w:rFonts w:ascii="黑体" w:eastAsia="黑体" w:hint="eastAsia"/>
        </w:rPr>
        <w:t>第十一条</w:t>
        <w:tab/>
        <w:t>诉讼时效</w:t>
      </w:r>
    </w:p>
    <w:p>
      <w:pPr>
        <w:pStyle w:val="BodyText"/>
        <w:spacing w:before="8"/>
        <w:ind w:left="0"/>
        <w:rPr>
          <w:rFonts w:ascii="黑体"/>
          <w:b/>
          <w:sz w:val="22"/>
        </w:rPr>
      </w:pPr>
    </w:p>
    <w:p>
      <w:pPr>
        <w:pStyle w:val="BodyText"/>
        <w:spacing w:before="1"/>
        <w:ind w:left="233"/>
      </w:pPr>
      <w:r>
        <w:rPr>
          <w:spacing w:val="-7"/>
        </w:rPr>
        <w:t>受益人向本公司请求给付保险金的诉讼时效期间为 </w:t>
      </w:r>
      <w:r>
        <w:rPr>
          <w:rFonts w:ascii="Times New Roman" w:eastAsia="Times New Roman"/>
        </w:rPr>
        <w:t>2 </w:t>
      </w:r>
      <w:r>
        <w:rPr>
          <w:spacing w:val="-12"/>
        </w:rPr>
        <w:t>年，自其知道或者应当知道保险事故发生之日起计算。</w:t>
      </w:r>
    </w:p>
    <w:p>
      <w:pPr>
        <w:pStyle w:val="BodyText"/>
        <w:spacing w:before="12"/>
        <w:ind w:left="0"/>
        <w:rPr>
          <w:sz w:val="19"/>
        </w:rPr>
      </w:pPr>
    </w:p>
    <w:p>
      <w:pPr>
        <w:pStyle w:val="Heading1"/>
        <w:tabs>
          <w:tab w:pos="1289" w:val="left" w:leader="none"/>
        </w:tabs>
        <w:ind w:left="233"/>
        <w:rPr>
          <w:rFonts w:ascii="黑体" w:eastAsia="黑体" w:hint="eastAsia"/>
        </w:rPr>
      </w:pPr>
      <w:r>
        <w:rPr>
          <w:rFonts w:ascii="黑体" w:eastAsia="黑体" w:hint="eastAsia"/>
        </w:rPr>
        <w:t>第十二条</w:t>
        <w:tab/>
        <w:t>适用主合同条款</w:t>
      </w:r>
    </w:p>
    <w:p>
      <w:pPr>
        <w:pStyle w:val="BodyText"/>
        <w:spacing w:before="7"/>
        <w:ind w:left="0"/>
        <w:rPr>
          <w:rFonts w:ascii="黑体"/>
          <w:b/>
          <w:sz w:val="22"/>
        </w:rPr>
      </w:pPr>
    </w:p>
    <w:p>
      <w:pPr>
        <w:pStyle w:val="BodyText"/>
        <w:ind w:left="233"/>
      </w:pPr>
      <w:r>
        <w:rPr/>
        <w:t>下列各项条款适用主合同条款：</w:t>
      </w:r>
    </w:p>
    <w:p>
      <w:pPr>
        <w:pStyle w:val="BodyText"/>
        <w:spacing w:before="89"/>
        <w:ind w:left="233"/>
      </w:pPr>
      <w:r>
        <w:rPr>
          <w:rFonts w:ascii="Times New Roman" w:eastAsia="Times New Roman"/>
        </w:rPr>
        <w:t>1</w:t>
      </w:r>
      <w:r>
        <w:rPr/>
        <w:t>、 合同犹豫期；</w:t>
      </w:r>
    </w:p>
    <w:p>
      <w:pPr>
        <w:pStyle w:val="BodyText"/>
        <w:spacing w:before="73"/>
        <w:ind w:left="233"/>
      </w:pPr>
      <w:r>
        <w:rPr>
          <w:rFonts w:ascii="Times New Roman" w:eastAsia="Times New Roman"/>
        </w:rPr>
        <w:t>2</w:t>
      </w:r>
      <w:r>
        <w:rPr/>
        <w:t>、 投保人解除合同的手续及风险；</w:t>
      </w:r>
    </w:p>
    <w:p>
      <w:pPr>
        <w:pStyle w:val="BodyText"/>
        <w:spacing w:before="78"/>
        <w:ind w:left="233"/>
      </w:pPr>
      <w:r>
        <w:rPr>
          <w:rFonts w:ascii="Times New Roman" w:eastAsia="Times New Roman"/>
        </w:rPr>
        <w:t>3</w:t>
      </w:r>
      <w:r>
        <w:rPr/>
        <w:t>、 明确说明与如实告知；</w:t>
      </w:r>
    </w:p>
    <w:p>
      <w:pPr>
        <w:pStyle w:val="BodyText"/>
        <w:spacing w:before="73"/>
        <w:ind w:left="233"/>
      </w:pPr>
      <w:r>
        <w:rPr>
          <w:rFonts w:ascii="Times New Roman" w:eastAsia="Times New Roman"/>
        </w:rPr>
        <w:t>4</w:t>
      </w:r>
      <w:r>
        <w:rPr/>
        <w:t>、 本公司合同解除权的限制；</w:t>
      </w:r>
    </w:p>
    <w:p>
      <w:pPr>
        <w:pStyle w:val="BodyText"/>
        <w:spacing w:before="74"/>
        <w:ind w:left="233"/>
      </w:pPr>
      <w:r>
        <w:rPr>
          <w:rFonts w:ascii="Times New Roman" w:eastAsia="Times New Roman"/>
        </w:rPr>
        <w:t>5</w:t>
      </w:r>
      <w:r>
        <w:rPr/>
        <w:t>、 保险事故通知；</w:t>
      </w:r>
    </w:p>
    <w:p>
      <w:pPr>
        <w:pStyle w:val="BodyText"/>
        <w:spacing w:before="74"/>
        <w:ind w:left="233"/>
      </w:pPr>
      <w:r>
        <w:rPr>
          <w:rFonts w:ascii="Times New Roman" w:eastAsia="Times New Roman"/>
        </w:rPr>
        <w:t>6</w:t>
      </w:r>
      <w:r>
        <w:rPr/>
        <w:t>、 保险金给付；</w:t>
      </w:r>
    </w:p>
    <w:p>
      <w:pPr>
        <w:pStyle w:val="BodyText"/>
        <w:spacing w:before="79"/>
        <w:ind w:left="233"/>
      </w:pPr>
      <w:r>
        <w:rPr>
          <w:rFonts w:ascii="Times New Roman" w:eastAsia="Times New Roman"/>
        </w:rPr>
        <w:t>7</w:t>
      </w:r>
      <w:r>
        <w:rPr/>
        <w:t>、 身体检查及司法鉴定；</w:t>
      </w:r>
    </w:p>
    <w:p>
      <w:pPr>
        <w:pStyle w:val="BodyText"/>
        <w:spacing w:before="74"/>
        <w:ind w:left="233"/>
      </w:pPr>
      <w:r>
        <w:rPr>
          <w:rFonts w:ascii="Times New Roman" w:eastAsia="Times New Roman"/>
        </w:rPr>
        <w:t>8</w:t>
      </w:r>
      <w:r>
        <w:rPr/>
        <w:t>、 保险费的缴付；</w:t>
      </w:r>
    </w:p>
    <w:p>
      <w:pPr>
        <w:pStyle w:val="BodyText"/>
        <w:spacing w:before="74"/>
        <w:ind w:left="233"/>
      </w:pPr>
      <w:r>
        <w:rPr>
          <w:rFonts w:ascii="Times New Roman" w:eastAsia="Times New Roman"/>
        </w:rPr>
        <w:t>9</w:t>
      </w:r>
      <w:r>
        <w:rPr/>
        <w:t>、 宽限期；</w:t>
      </w:r>
    </w:p>
    <w:p>
      <w:pPr>
        <w:pStyle w:val="BodyText"/>
        <w:spacing w:before="74"/>
        <w:ind w:left="233"/>
      </w:pPr>
      <w:r>
        <w:rPr>
          <w:rFonts w:ascii="Times New Roman" w:eastAsia="Times New Roman"/>
        </w:rPr>
        <w:t>10</w:t>
      </w:r>
      <w:r>
        <w:rPr/>
        <w:t>、保险费的自动垫缴；</w:t>
      </w:r>
    </w:p>
    <w:p>
      <w:pPr>
        <w:pStyle w:val="BodyText"/>
        <w:spacing w:before="74"/>
        <w:ind w:left="233"/>
      </w:pPr>
      <w:r>
        <w:rPr>
          <w:rFonts w:ascii="Times New Roman" w:eastAsia="Times New Roman"/>
        </w:rPr>
        <w:t>11</w:t>
      </w:r>
      <w:r>
        <w:rPr/>
        <w:t>、借款；</w:t>
      </w:r>
    </w:p>
    <w:p>
      <w:pPr>
        <w:pStyle w:val="BodyText"/>
        <w:spacing w:before="78"/>
        <w:ind w:left="233"/>
      </w:pPr>
      <w:r>
        <w:rPr>
          <w:rFonts w:ascii="Times New Roman" w:eastAsia="Times New Roman"/>
        </w:rPr>
        <w:t>12</w:t>
      </w:r>
      <w:r>
        <w:rPr/>
        <w:t>、效力恢复；</w:t>
      </w:r>
    </w:p>
    <w:p>
      <w:pPr>
        <w:pStyle w:val="BodyText"/>
        <w:spacing w:before="73"/>
        <w:ind w:left="233"/>
      </w:pPr>
      <w:r>
        <w:rPr>
          <w:rFonts w:ascii="Times New Roman" w:eastAsia="Times New Roman"/>
        </w:rPr>
        <w:t>13</w:t>
      </w:r>
      <w:r>
        <w:rPr/>
        <w:t>、欠款的扣除；</w:t>
      </w:r>
    </w:p>
    <w:p>
      <w:pPr>
        <w:pStyle w:val="BodyText"/>
        <w:spacing w:before="74"/>
        <w:ind w:left="233"/>
      </w:pPr>
      <w:r>
        <w:rPr>
          <w:rFonts w:ascii="Times New Roman" w:eastAsia="Times New Roman"/>
        </w:rPr>
        <w:t>14</w:t>
      </w:r>
      <w:r>
        <w:rPr/>
        <w:t>、年龄错误；</w:t>
      </w:r>
    </w:p>
    <w:p>
      <w:pPr>
        <w:pStyle w:val="BodyText"/>
        <w:spacing w:before="74"/>
        <w:ind w:left="233"/>
      </w:pPr>
      <w:r>
        <w:rPr>
          <w:rFonts w:ascii="Times New Roman" w:eastAsia="Times New Roman"/>
        </w:rPr>
        <w:t>15</w:t>
      </w:r>
      <w:r>
        <w:rPr/>
        <w:t>、住所或通讯地址的变更；</w:t>
      </w:r>
    </w:p>
    <w:p>
      <w:pPr>
        <w:pStyle w:val="BodyText"/>
        <w:spacing w:before="79"/>
        <w:ind w:left="233"/>
      </w:pPr>
      <w:r>
        <w:rPr>
          <w:rFonts w:ascii="Times New Roman" w:eastAsia="Times New Roman"/>
        </w:rPr>
        <w:t>16</w:t>
      </w:r>
      <w:r>
        <w:rPr/>
        <w:t>、争议的处理。</w:t>
      </w:r>
    </w:p>
    <w:p>
      <w:pPr>
        <w:pStyle w:val="BodyText"/>
        <w:spacing w:before="7"/>
        <w:ind w:left="0"/>
        <w:rPr>
          <w:sz w:val="19"/>
        </w:rPr>
      </w:pPr>
    </w:p>
    <w:p>
      <w:pPr>
        <w:pStyle w:val="Heading1"/>
        <w:tabs>
          <w:tab w:pos="1289" w:val="left" w:leader="none"/>
        </w:tabs>
        <w:spacing w:before="1"/>
        <w:ind w:left="233"/>
        <w:rPr>
          <w:rFonts w:ascii="黑体" w:eastAsia="黑体" w:hint="eastAsia"/>
        </w:rPr>
      </w:pPr>
      <w:r>
        <w:rPr>
          <w:rFonts w:ascii="黑体" w:eastAsia="黑体" w:hint="eastAsia"/>
        </w:rPr>
        <w:t>第十三条</w:t>
        <w:tab/>
        <w:t>附加合同效力的终止</w:t>
      </w:r>
    </w:p>
    <w:p>
      <w:pPr>
        <w:pStyle w:val="BodyText"/>
        <w:spacing w:before="9"/>
        <w:ind w:left="0"/>
        <w:rPr>
          <w:rFonts w:ascii="黑体"/>
          <w:b/>
          <w:sz w:val="22"/>
        </w:rPr>
      </w:pPr>
    </w:p>
    <w:p>
      <w:pPr>
        <w:pStyle w:val="BodyText"/>
        <w:ind w:left="233"/>
      </w:pPr>
      <w:r>
        <w:rPr/>
        <w:t>出现下列情况之一时，本附加合同效力终止：</w:t>
      </w:r>
    </w:p>
    <w:p>
      <w:pPr>
        <w:pStyle w:val="BodyText"/>
        <w:spacing w:before="90"/>
        <w:ind w:left="233"/>
      </w:pPr>
      <w:r>
        <w:rPr>
          <w:rFonts w:ascii="Times New Roman" w:eastAsia="Times New Roman"/>
        </w:rPr>
        <w:t>1</w:t>
      </w:r>
      <w:r>
        <w:rPr/>
        <w:t>、 主合同终止或更改为减额付清保险；</w:t>
      </w:r>
    </w:p>
    <w:p>
      <w:pPr>
        <w:pStyle w:val="BodyText"/>
        <w:spacing w:before="79"/>
        <w:ind w:left="233"/>
      </w:pPr>
      <w:r>
        <w:rPr>
          <w:rFonts w:ascii="Times New Roman" w:eastAsia="Times New Roman"/>
        </w:rPr>
        <w:t>2</w:t>
      </w:r>
      <w:r>
        <w:rPr/>
        <w:t>、 本附加合同已约定的效力终止情形。</w:t>
      </w:r>
    </w:p>
    <w:p>
      <w:pPr>
        <w:pStyle w:val="BodyText"/>
        <w:spacing w:before="8"/>
        <w:ind w:left="0"/>
        <w:rPr>
          <w:sz w:val="19"/>
        </w:rPr>
      </w:pPr>
    </w:p>
    <w:p>
      <w:pPr>
        <w:pStyle w:val="Heading1"/>
        <w:tabs>
          <w:tab w:pos="1289" w:val="left" w:leader="none"/>
        </w:tabs>
        <w:ind w:left="233"/>
        <w:rPr>
          <w:rFonts w:ascii="黑体" w:eastAsia="黑体" w:hint="eastAsia"/>
        </w:rPr>
      </w:pPr>
      <w:r>
        <w:rPr>
          <w:rFonts w:ascii="黑体" w:eastAsia="黑体" w:hint="eastAsia"/>
        </w:rPr>
        <w:t>第十四条</w:t>
        <w:tab/>
        <w:t>重大疾病的分类及释义</w:t>
      </w:r>
    </w:p>
    <w:p>
      <w:pPr>
        <w:pStyle w:val="BodyText"/>
        <w:ind w:left="0"/>
        <w:rPr>
          <w:rFonts w:ascii="黑体"/>
          <w:b/>
          <w:sz w:val="20"/>
        </w:rPr>
      </w:pPr>
    </w:p>
    <w:p>
      <w:pPr>
        <w:pStyle w:val="BodyText"/>
        <w:spacing w:before="164"/>
        <w:ind w:left="233"/>
      </w:pPr>
      <w:r>
        <w:rPr/>
        <w:t>一、本附加合同所指的第一类重大疾病为：</w:t>
      </w:r>
    </w:p>
    <w:p>
      <w:pPr>
        <w:pStyle w:val="BodyText"/>
        <w:spacing w:before="2"/>
        <w:ind w:left="0"/>
        <w:rPr>
          <w:sz w:val="2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4409"/>
        <w:gridCol w:w="588"/>
        <w:gridCol w:w="2373"/>
      </w:tblGrid>
      <w:tr>
        <w:trPr>
          <w:trHeight w:val="453" w:hRule="atLeast"/>
        </w:trPr>
        <w:tc>
          <w:tcPr>
            <w:tcW w:w="627" w:type="dxa"/>
          </w:tcPr>
          <w:p>
            <w:pPr>
              <w:pStyle w:val="TableParagraph"/>
              <w:spacing w:line="271" w:lineRule="exact" w:before="0"/>
              <w:ind w:left="0" w:right="108"/>
              <w:jc w:val="right"/>
              <w:rPr>
                <w:sz w:val="21"/>
              </w:rPr>
            </w:pPr>
            <w:r>
              <w:rPr>
                <w:rFonts w:ascii="Times New Roman" w:eastAsia="Times New Roman"/>
                <w:sz w:val="21"/>
              </w:rPr>
              <w:t>1</w:t>
            </w:r>
            <w:r>
              <w:rPr>
                <w:sz w:val="21"/>
              </w:rPr>
              <w:t>、</w:t>
            </w:r>
          </w:p>
        </w:tc>
        <w:tc>
          <w:tcPr>
            <w:tcW w:w="4409" w:type="dxa"/>
          </w:tcPr>
          <w:p>
            <w:pPr>
              <w:pStyle w:val="TableParagraph"/>
              <w:spacing w:line="255" w:lineRule="exact" w:before="0"/>
              <w:ind w:left="110"/>
              <w:rPr>
                <w:sz w:val="21"/>
              </w:rPr>
            </w:pPr>
            <w:r>
              <w:rPr>
                <w:sz w:val="21"/>
              </w:rPr>
              <w:t>恶性肿瘤</w:t>
            </w:r>
          </w:p>
        </w:tc>
        <w:tc>
          <w:tcPr>
            <w:tcW w:w="588" w:type="dxa"/>
          </w:tcPr>
          <w:p>
            <w:pPr>
              <w:pStyle w:val="TableParagraph"/>
              <w:spacing w:line="271" w:lineRule="exact" w:before="0"/>
              <w:ind w:left="0" w:right="68"/>
              <w:jc w:val="right"/>
              <w:rPr>
                <w:sz w:val="21"/>
              </w:rPr>
            </w:pPr>
            <w:r>
              <w:rPr>
                <w:rFonts w:ascii="Times New Roman" w:eastAsia="Times New Roman"/>
                <w:sz w:val="21"/>
              </w:rPr>
              <w:t>15</w:t>
            </w:r>
            <w:r>
              <w:rPr>
                <w:sz w:val="21"/>
              </w:rPr>
              <w:t>、</w:t>
            </w:r>
          </w:p>
        </w:tc>
        <w:tc>
          <w:tcPr>
            <w:tcW w:w="2373" w:type="dxa"/>
          </w:tcPr>
          <w:p>
            <w:pPr>
              <w:pStyle w:val="TableParagraph"/>
              <w:spacing w:line="255" w:lineRule="exact" w:before="0"/>
              <w:ind w:left="73"/>
              <w:rPr>
                <w:sz w:val="21"/>
              </w:rPr>
            </w:pPr>
            <w:r>
              <w:rPr>
                <w:sz w:val="21"/>
              </w:rPr>
              <w:t>严重Ⅲ度烧伤</w:t>
            </w:r>
          </w:p>
        </w:tc>
      </w:tr>
      <w:tr>
        <w:trPr>
          <w:trHeight w:val="624" w:hRule="atLeast"/>
        </w:trPr>
        <w:tc>
          <w:tcPr>
            <w:tcW w:w="627" w:type="dxa"/>
          </w:tcPr>
          <w:p>
            <w:pPr>
              <w:pStyle w:val="TableParagraph"/>
              <w:ind w:left="0" w:right="108"/>
              <w:jc w:val="right"/>
              <w:rPr>
                <w:sz w:val="21"/>
              </w:rPr>
            </w:pPr>
            <w:r>
              <w:rPr>
                <w:rFonts w:ascii="Times New Roman" w:eastAsia="Times New Roman"/>
                <w:sz w:val="21"/>
              </w:rPr>
              <w:t>2</w:t>
            </w:r>
            <w:r>
              <w:rPr>
                <w:sz w:val="21"/>
              </w:rPr>
              <w:t>、</w:t>
            </w:r>
          </w:p>
        </w:tc>
        <w:tc>
          <w:tcPr>
            <w:tcW w:w="4409" w:type="dxa"/>
          </w:tcPr>
          <w:p>
            <w:pPr>
              <w:pStyle w:val="TableParagraph"/>
              <w:ind w:left="110"/>
              <w:rPr>
                <w:sz w:val="21"/>
              </w:rPr>
            </w:pPr>
            <w:r>
              <w:rPr>
                <w:sz w:val="21"/>
              </w:rPr>
              <w:t>重大器官移植术或造血干细胞移植术</w:t>
            </w:r>
          </w:p>
        </w:tc>
        <w:tc>
          <w:tcPr>
            <w:tcW w:w="588" w:type="dxa"/>
          </w:tcPr>
          <w:p>
            <w:pPr>
              <w:pStyle w:val="TableParagraph"/>
              <w:ind w:left="0" w:right="68"/>
              <w:jc w:val="right"/>
              <w:rPr>
                <w:sz w:val="21"/>
              </w:rPr>
            </w:pPr>
            <w:r>
              <w:rPr>
                <w:rFonts w:ascii="Times New Roman" w:eastAsia="Times New Roman"/>
                <w:sz w:val="21"/>
              </w:rPr>
              <w:t>16</w:t>
            </w:r>
            <w:r>
              <w:rPr>
                <w:sz w:val="21"/>
              </w:rPr>
              <w:t>、</w:t>
            </w:r>
          </w:p>
        </w:tc>
        <w:tc>
          <w:tcPr>
            <w:tcW w:w="2373" w:type="dxa"/>
          </w:tcPr>
          <w:p>
            <w:pPr>
              <w:pStyle w:val="TableParagraph"/>
              <w:ind w:left="73"/>
              <w:rPr>
                <w:sz w:val="21"/>
              </w:rPr>
            </w:pPr>
            <w:r>
              <w:rPr>
                <w:sz w:val="21"/>
              </w:rPr>
              <w:t>严重原发性肺动脉高压</w:t>
            </w:r>
          </w:p>
        </w:tc>
      </w:tr>
      <w:tr>
        <w:trPr>
          <w:trHeight w:val="624" w:hRule="atLeast"/>
        </w:trPr>
        <w:tc>
          <w:tcPr>
            <w:tcW w:w="627" w:type="dxa"/>
          </w:tcPr>
          <w:p>
            <w:pPr>
              <w:pStyle w:val="TableParagraph"/>
              <w:ind w:left="0" w:right="108"/>
              <w:jc w:val="right"/>
              <w:rPr>
                <w:sz w:val="21"/>
              </w:rPr>
            </w:pPr>
            <w:r>
              <w:rPr>
                <w:rFonts w:ascii="Times New Roman" w:eastAsia="Times New Roman"/>
                <w:sz w:val="21"/>
              </w:rPr>
              <w:t>3</w:t>
            </w:r>
            <w:r>
              <w:rPr>
                <w:sz w:val="21"/>
              </w:rPr>
              <w:t>、</w:t>
            </w:r>
          </w:p>
        </w:tc>
        <w:tc>
          <w:tcPr>
            <w:tcW w:w="4409" w:type="dxa"/>
          </w:tcPr>
          <w:p>
            <w:pPr>
              <w:pStyle w:val="TableParagraph"/>
              <w:ind w:left="110"/>
              <w:rPr>
                <w:sz w:val="21"/>
              </w:rPr>
            </w:pPr>
            <w:r>
              <w:rPr>
                <w:sz w:val="21"/>
              </w:rPr>
              <w:t>终末期肾病（或称慢性肾功能衰竭尿毒症期）</w:t>
            </w:r>
          </w:p>
        </w:tc>
        <w:tc>
          <w:tcPr>
            <w:tcW w:w="588" w:type="dxa"/>
          </w:tcPr>
          <w:p>
            <w:pPr>
              <w:pStyle w:val="TableParagraph"/>
              <w:ind w:left="0" w:right="68"/>
              <w:jc w:val="right"/>
              <w:rPr>
                <w:sz w:val="21"/>
              </w:rPr>
            </w:pPr>
            <w:r>
              <w:rPr>
                <w:rFonts w:ascii="Times New Roman" w:eastAsia="Times New Roman"/>
                <w:sz w:val="21"/>
              </w:rPr>
              <w:t>17</w:t>
            </w:r>
            <w:r>
              <w:rPr>
                <w:sz w:val="21"/>
              </w:rPr>
              <w:t>、</w:t>
            </w:r>
          </w:p>
        </w:tc>
        <w:tc>
          <w:tcPr>
            <w:tcW w:w="2373" w:type="dxa"/>
          </w:tcPr>
          <w:p>
            <w:pPr>
              <w:pStyle w:val="TableParagraph"/>
              <w:ind w:left="73"/>
              <w:rPr>
                <w:sz w:val="21"/>
              </w:rPr>
            </w:pPr>
            <w:r>
              <w:rPr>
                <w:sz w:val="21"/>
              </w:rPr>
              <w:t>严重运动神经元病</w:t>
            </w:r>
          </w:p>
        </w:tc>
      </w:tr>
      <w:tr>
        <w:trPr>
          <w:trHeight w:val="453" w:hRule="atLeast"/>
        </w:trPr>
        <w:tc>
          <w:tcPr>
            <w:tcW w:w="627" w:type="dxa"/>
          </w:tcPr>
          <w:p>
            <w:pPr>
              <w:pStyle w:val="TableParagraph"/>
              <w:spacing w:line="283" w:lineRule="exact"/>
              <w:ind w:left="0" w:right="108"/>
              <w:jc w:val="right"/>
              <w:rPr>
                <w:sz w:val="21"/>
              </w:rPr>
            </w:pPr>
            <w:r>
              <w:rPr>
                <w:rFonts w:ascii="Times New Roman" w:eastAsia="Times New Roman"/>
                <w:sz w:val="21"/>
              </w:rPr>
              <w:t>4</w:t>
            </w:r>
            <w:r>
              <w:rPr>
                <w:sz w:val="21"/>
              </w:rPr>
              <w:t>、</w:t>
            </w:r>
          </w:p>
        </w:tc>
        <w:tc>
          <w:tcPr>
            <w:tcW w:w="4409" w:type="dxa"/>
          </w:tcPr>
          <w:p>
            <w:pPr>
              <w:pStyle w:val="TableParagraph"/>
              <w:ind w:left="110"/>
              <w:rPr>
                <w:sz w:val="21"/>
              </w:rPr>
            </w:pPr>
            <w:r>
              <w:rPr>
                <w:sz w:val="21"/>
              </w:rPr>
              <w:t>多个肢体缺失</w:t>
            </w:r>
          </w:p>
        </w:tc>
        <w:tc>
          <w:tcPr>
            <w:tcW w:w="588" w:type="dxa"/>
          </w:tcPr>
          <w:p>
            <w:pPr>
              <w:pStyle w:val="TableParagraph"/>
              <w:spacing w:line="283" w:lineRule="exact"/>
              <w:ind w:left="0" w:right="68"/>
              <w:jc w:val="right"/>
              <w:rPr>
                <w:sz w:val="21"/>
              </w:rPr>
            </w:pPr>
            <w:r>
              <w:rPr>
                <w:rFonts w:ascii="Times New Roman" w:eastAsia="Times New Roman"/>
                <w:sz w:val="21"/>
              </w:rPr>
              <w:t>18</w:t>
            </w:r>
            <w:r>
              <w:rPr>
                <w:sz w:val="21"/>
              </w:rPr>
              <w:t>、</w:t>
            </w:r>
          </w:p>
        </w:tc>
        <w:tc>
          <w:tcPr>
            <w:tcW w:w="2373" w:type="dxa"/>
          </w:tcPr>
          <w:p>
            <w:pPr>
              <w:pStyle w:val="TableParagraph"/>
              <w:ind w:left="73"/>
              <w:rPr>
                <w:sz w:val="21"/>
              </w:rPr>
            </w:pPr>
            <w:r>
              <w:rPr>
                <w:sz w:val="21"/>
              </w:rPr>
              <w:t>语言能力丧失</w:t>
            </w:r>
          </w:p>
        </w:tc>
      </w:tr>
    </w:tbl>
    <w:p>
      <w:pPr>
        <w:spacing w:after="0"/>
        <w:rPr>
          <w:sz w:val="21"/>
        </w:rPr>
        <w:sectPr>
          <w:pgSz w:w="11910" w:h="16840"/>
          <w:pgMar w:header="0" w:footer="576" w:top="780" w:bottom="760" w:left="900" w:right="900"/>
        </w:sectPr>
      </w:pPr>
    </w:p>
    <w:tbl>
      <w:tblPr>
        <w:tblW w:w="0" w:type="auto"/>
        <w:jc w:val="lef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3517"/>
        <w:gridCol w:w="1429"/>
        <w:gridCol w:w="3425"/>
      </w:tblGrid>
      <w:tr>
        <w:trPr>
          <w:trHeight w:val="453" w:hRule="atLeast"/>
        </w:trPr>
        <w:tc>
          <w:tcPr>
            <w:tcW w:w="680" w:type="dxa"/>
          </w:tcPr>
          <w:p>
            <w:pPr>
              <w:pStyle w:val="TableParagraph"/>
              <w:spacing w:line="271" w:lineRule="exact" w:before="0"/>
              <w:rPr>
                <w:sz w:val="21"/>
              </w:rPr>
            </w:pPr>
            <w:r>
              <w:rPr>
                <w:rFonts w:ascii="Times New Roman" w:eastAsia="Times New Roman"/>
                <w:sz w:val="21"/>
              </w:rPr>
              <w:t>5</w:t>
            </w:r>
            <w:r>
              <w:rPr>
                <w:sz w:val="21"/>
              </w:rPr>
              <w:t>、</w:t>
            </w:r>
          </w:p>
        </w:tc>
        <w:tc>
          <w:tcPr>
            <w:tcW w:w="3517" w:type="dxa"/>
          </w:tcPr>
          <w:p>
            <w:pPr>
              <w:pStyle w:val="TableParagraph"/>
              <w:spacing w:line="255" w:lineRule="exact" w:before="0"/>
              <w:ind w:left="57"/>
              <w:rPr>
                <w:sz w:val="21"/>
              </w:rPr>
            </w:pPr>
            <w:r>
              <w:rPr>
                <w:sz w:val="21"/>
              </w:rPr>
              <w:t>急性或亚急性重症肝炎</w:t>
            </w:r>
          </w:p>
        </w:tc>
        <w:tc>
          <w:tcPr>
            <w:tcW w:w="1429" w:type="dxa"/>
          </w:tcPr>
          <w:p>
            <w:pPr>
              <w:pStyle w:val="TableParagraph"/>
              <w:spacing w:line="271" w:lineRule="exact" w:before="0"/>
              <w:ind w:left="0" w:right="70"/>
              <w:jc w:val="right"/>
              <w:rPr>
                <w:sz w:val="21"/>
              </w:rPr>
            </w:pPr>
            <w:r>
              <w:rPr>
                <w:rFonts w:ascii="Times New Roman" w:eastAsia="Times New Roman"/>
                <w:sz w:val="21"/>
              </w:rPr>
              <w:t>19</w:t>
            </w:r>
            <w:r>
              <w:rPr>
                <w:sz w:val="21"/>
              </w:rPr>
              <w:t>、</w:t>
            </w:r>
          </w:p>
        </w:tc>
        <w:tc>
          <w:tcPr>
            <w:tcW w:w="3425" w:type="dxa"/>
          </w:tcPr>
          <w:p>
            <w:pPr>
              <w:pStyle w:val="TableParagraph"/>
              <w:spacing w:line="255" w:lineRule="exact" w:before="0"/>
              <w:ind w:left="71"/>
              <w:rPr>
                <w:sz w:val="21"/>
              </w:rPr>
            </w:pPr>
            <w:r>
              <w:rPr>
                <w:sz w:val="21"/>
              </w:rPr>
              <w:t>重型再生障碍性贫血</w:t>
            </w:r>
          </w:p>
        </w:tc>
      </w:tr>
      <w:tr>
        <w:trPr>
          <w:trHeight w:val="624" w:hRule="atLeast"/>
        </w:trPr>
        <w:tc>
          <w:tcPr>
            <w:tcW w:w="680" w:type="dxa"/>
          </w:tcPr>
          <w:p>
            <w:pPr>
              <w:pStyle w:val="TableParagraph"/>
              <w:rPr>
                <w:sz w:val="21"/>
              </w:rPr>
            </w:pPr>
            <w:r>
              <w:rPr>
                <w:rFonts w:ascii="Times New Roman" w:eastAsia="Times New Roman"/>
                <w:sz w:val="21"/>
              </w:rPr>
              <w:t>6</w:t>
            </w:r>
            <w:r>
              <w:rPr>
                <w:sz w:val="21"/>
              </w:rPr>
              <w:t>、</w:t>
            </w:r>
          </w:p>
        </w:tc>
        <w:tc>
          <w:tcPr>
            <w:tcW w:w="3517" w:type="dxa"/>
          </w:tcPr>
          <w:p>
            <w:pPr>
              <w:pStyle w:val="TableParagraph"/>
              <w:ind w:left="57"/>
              <w:rPr>
                <w:sz w:val="21"/>
              </w:rPr>
            </w:pPr>
            <w:r>
              <w:rPr>
                <w:sz w:val="21"/>
              </w:rPr>
              <w:t>良性脑肿瘤</w:t>
            </w:r>
          </w:p>
        </w:tc>
        <w:tc>
          <w:tcPr>
            <w:tcW w:w="1429" w:type="dxa"/>
          </w:tcPr>
          <w:p>
            <w:pPr>
              <w:pStyle w:val="TableParagraph"/>
              <w:ind w:left="0" w:right="70"/>
              <w:jc w:val="right"/>
              <w:rPr>
                <w:sz w:val="21"/>
              </w:rPr>
            </w:pPr>
            <w:r>
              <w:rPr>
                <w:rFonts w:ascii="Times New Roman" w:eastAsia="Times New Roman"/>
                <w:sz w:val="21"/>
              </w:rPr>
              <w:t>20</w:t>
            </w:r>
            <w:r>
              <w:rPr>
                <w:sz w:val="21"/>
              </w:rPr>
              <w:t>、</w:t>
            </w:r>
          </w:p>
        </w:tc>
        <w:tc>
          <w:tcPr>
            <w:tcW w:w="3425" w:type="dxa"/>
          </w:tcPr>
          <w:p>
            <w:pPr>
              <w:pStyle w:val="TableParagraph"/>
              <w:ind w:left="71"/>
              <w:rPr>
                <w:sz w:val="21"/>
              </w:rPr>
            </w:pPr>
            <w:r>
              <w:rPr>
                <w:sz w:val="21"/>
              </w:rPr>
              <w:t>主动脉手术</w:t>
            </w:r>
          </w:p>
        </w:tc>
      </w:tr>
      <w:tr>
        <w:trPr>
          <w:trHeight w:val="624" w:hRule="atLeast"/>
        </w:trPr>
        <w:tc>
          <w:tcPr>
            <w:tcW w:w="680" w:type="dxa"/>
          </w:tcPr>
          <w:p>
            <w:pPr>
              <w:pStyle w:val="TableParagraph"/>
              <w:rPr>
                <w:sz w:val="21"/>
              </w:rPr>
            </w:pPr>
            <w:r>
              <w:rPr>
                <w:rFonts w:ascii="Times New Roman" w:eastAsia="Times New Roman"/>
                <w:sz w:val="21"/>
              </w:rPr>
              <w:t>7</w:t>
            </w:r>
            <w:r>
              <w:rPr>
                <w:sz w:val="21"/>
              </w:rPr>
              <w:t>、</w:t>
            </w:r>
          </w:p>
        </w:tc>
        <w:tc>
          <w:tcPr>
            <w:tcW w:w="3517" w:type="dxa"/>
          </w:tcPr>
          <w:p>
            <w:pPr>
              <w:pStyle w:val="TableParagraph"/>
              <w:ind w:left="57"/>
              <w:rPr>
                <w:sz w:val="21"/>
              </w:rPr>
            </w:pPr>
            <w:r>
              <w:rPr>
                <w:sz w:val="21"/>
              </w:rPr>
              <w:t>慢性肝功能衰竭失代偿期</w:t>
            </w:r>
          </w:p>
        </w:tc>
        <w:tc>
          <w:tcPr>
            <w:tcW w:w="1429" w:type="dxa"/>
          </w:tcPr>
          <w:p>
            <w:pPr>
              <w:pStyle w:val="TableParagraph"/>
              <w:ind w:left="0" w:right="70"/>
              <w:jc w:val="right"/>
              <w:rPr>
                <w:sz w:val="21"/>
              </w:rPr>
            </w:pPr>
            <w:r>
              <w:rPr>
                <w:rFonts w:ascii="Times New Roman" w:eastAsia="Times New Roman"/>
                <w:sz w:val="21"/>
              </w:rPr>
              <w:t>21</w:t>
            </w:r>
            <w:r>
              <w:rPr>
                <w:sz w:val="21"/>
              </w:rPr>
              <w:t>、</w:t>
            </w:r>
          </w:p>
        </w:tc>
        <w:tc>
          <w:tcPr>
            <w:tcW w:w="3425" w:type="dxa"/>
          </w:tcPr>
          <w:p>
            <w:pPr>
              <w:pStyle w:val="TableParagraph"/>
              <w:ind w:left="71"/>
              <w:rPr>
                <w:sz w:val="21"/>
              </w:rPr>
            </w:pPr>
            <w:r>
              <w:rPr>
                <w:sz w:val="21"/>
              </w:rPr>
              <w:t>严重脊髓灰质炎</w:t>
            </w:r>
          </w:p>
        </w:tc>
      </w:tr>
      <w:tr>
        <w:trPr>
          <w:trHeight w:val="624" w:hRule="atLeast"/>
        </w:trPr>
        <w:tc>
          <w:tcPr>
            <w:tcW w:w="680" w:type="dxa"/>
          </w:tcPr>
          <w:p>
            <w:pPr>
              <w:pStyle w:val="TableParagraph"/>
              <w:rPr>
                <w:sz w:val="21"/>
              </w:rPr>
            </w:pPr>
            <w:r>
              <w:rPr>
                <w:rFonts w:ascii="Times New Roman" w:eastAsia="Times New Roman"/>
                <w:sz w:val="21"/>
              </w:rPr>
              <w:t>8</w:t>
            </w:r>
            <w:r>
              <w:rPr>
                <w:sz w:val="21"/>
              </w:rPr>
              <w:t>、</w:t>
            </w:r>
          </w:p>
        </w:tc>
        <w:tc>
          <w:tcPr>
            <w:tcW w:w="3517" w:type="dxa"/>
          </w:tcPr>
          <w:p>
            <w:pPr>
              <w:pStyle w:val="TableParagraph"/>
              <w:ind w:left="57"/>
              <w:rPr>
                <w:sz w:val="21"/>
              </w:rPr>
            </w:pPr>
            <w:r>
              <w:rPr>
                <w:sz w:val="21"/>
              </w:rPr>
              <w:t>脑炎后遗症或脑膜炎后遗症</w:t>
            </w:r>
          </w:p>
        </w:tc>
        <w:tc>
          <w:tcPr>
            <w:tcW w:w="1429" w:type="dxa"/>
          </w:tcPr>
          <w:p>
            <w:pPr>
              <w:pStyle w:val="TableParagraph"/>
              <w:ind w:left="0" w:right="70"/>
              <w:jc w:val="right"/>
              <w:rPr>
                <w:sz w:val="21"/>
              </w:rPr>
            </w:pPr>
            <w:r>
              <w:rPr>
                <w:rFonts w:ascii="Times New Roman" w:eastAsia="Times New Roman"/>
                <w:sz w:val="21"/>
              </w:rPr>
              <w:t>22</w:t>
            </w:r>
            <w:r>
              <w:rPr>
                <w:sz w:val="21"/>
              </w:rPr>
              <w:t>、</w:t>
            </w:r>
          </w:p>
        </w:tc>
        <w:tc>
          <w:tcPr>
            <w:tcW w:w="3425" w:type="dxa"/>
          </w:tcPr>
          <w:p>
            <w:pPr>
              <w:pStyle w:val="TableParagraph"/>
              <w:ind w:left="71"/>
              <w:rPr>
                <w:sz w:val="21"/>
              </w:rPr>
            </w:pPr>
            <w:r>
              <w:rPr>
                <w:sz w:val="21"/>
              </w:rPr>
              <w:t>川崎病</w:t>
            </w:r>
          </w:p>
        </w:tc>
      </w:tr>
      <w:tr>
        <w:trPr>
          <w:trHeight w:val="624" w:hRule="atLeast"/>
        </w:trPr>
        <w:tc>
          <w:tcPr>
            <w:tcW w:w="680" w:type="dxa"/>
          </w:tcPr>
          <w:p>
            <w:pPr>
              <w:pStyle w:val="TableParagraph"/>
              <w:rPr>
                <w:sz w:val="21"/>
              </w:rPr>
            </w:pPr>
            <w:r>
              <w:rPr>
                <w:rFonts w:ascii="Times New Roman" w:eastAsia="Times New Roman"/>
                <w:sz w:val="21"/>
              </w:rPr>
              <w:t>9</w:t>
            </w:r>
            <w:r>
              <w:rPr>
                <w:sz w:val="21"/>
              </w:rPr>
              <w:t>、</w:t>
            </w:r>
          </w:p>
        </w:tc>
        <w:tc>
          <w:tcPr>
            <w:tcW w:w="3517" w:type="dxa"/>
          </w:tcPr>
          <w:p>
            <w:pPr>
              <w:pStyle w:val="TableParagraph"/>
              <w:ind w:left="57"/>
              <w:rPr>
                <w:sz w:val="21"/>
              </w:rPr>
            </w:pPr>
            <w:r>
              <w:rPr>
                <w:sz w:val="21"/>
              </w:rPr>
              <w:t>深度昏迷</w:t>
            </w:r>
          </w:p>
        </w:tc>
        <w:tc>
          <w:tcPr>
            <w:tcW w:w="1429" w:type="dxa"/>
          </w:tcPr>
          <w:p>
            <w:pPr>
              <w:pStyle w:val="TableParagraph"/>
              <w:ind w:left="0" w:right="70"/>
              <w:jc w:val="right"/>
              <w:rPr>
                <w:sz w:val="21"/>
              </w:rPr>
            </w:pPr>
            <w:r>
              <w:rPr>
                <w:rFonts w:ascii="Times New Roman" w:eastAsia="Times New Roman"/>
                <w:sz w:val="21"/>
              </w:rPr>
              <w:t>23</w:t>
            </w:r>
            <w:r>
              <w:rPr>
                <w:sz w:val="21"/>
              </w:rPr>
              <w:t>、</w:t>
            </w:r>
          </w:p>
        </w:tc>
        <w:tc>
          <w:tcPr>
            <w:tcW w:w="3425" w:type="dxa"/>
          </w:tcPr>
          <w:p>
            <w:pPr>
              <w:pStyle w:val="TableParagraph"/>
              <w:ind w:left="71"/>
              <w:rPr>
                <w:sz w:val="21"/>
              </w:rPr>
            </w:pPr>
            <w:r>
              <w:rPr>
                <w:sz w:val="21"/>
              </w:rPr>
              <w:t>严重幼年类风湿性关节炎</w:t>
            </w:r>
          </w:p>
        </w:tc>
      </w:tr>
      <w:tr>
        <w:trPr>
          <w:trHeight w:val="624" w:hRule="atLeast"/>
        </w:trPr>
        <w:tc>
          <w:tcPr>
            <w:tcW w:w="680" w:type="dxa"/>
          </w:tcPr>
          <w:p>
            <w:pPr>
              <w:pStyle w:val="TableParagraph"/>
              <w:rPr>
                <w:sz w:val="21"/>
              </w:rPr>
            </w:pPr>
            <w:r>
              <w:rPr>
                <w:rFonts w:ascii="Times New Roman" w:eastAsia="Times New Roman"/>
                <w:sz w:val="21"/>
              </w:rPr>
              <w:t>10</w:t>
            </w:r>
            <w:r>
              <w:rPr>
                <w:sz w:val="21"/>
              </w:rPr>
              <w:t>、</w:t>
            </w:r>
          </w:p>
        </w:tc>
        <w:tc>
          <w:tcPr>
            <w:tcW w:w="3517" w:type="dxa"/>
          </w:tcPr>
          <w:p>
            <w:pPr>
              <w:pStyle w:val="TableParagraph"/>
              <w:ind w:left="57"/>
              <w:rPr>
                <w:sz w:val="21"/>
              </w:rPr>
            </w:pPr>
            <w:r>
              <w:rPr>
                <w:sz w:val="21"/>
              </w:rPr>
              <w:t>双耳失聪</w:t>
            </w:r>
          </w:p>
        </w:tc>
        <w:tc>
          <w:tcPr>
            <w:tcW w:w="1429" w:type="dxa"/>
          </w:tcPr>
          <w:p>
            <w:pPr>
              <w:pStyle w:val="TableParagraph"/>
              <w:ind w:left="0" w:right="70"/>
              <w:jc w:val="right"/>
              <w:rPr>
                <w:sz w:val="21"/>
              </w:rPr>
            </w:pPr>
            <w:r>
              <w:rPr>
                <w:rFonts w:ascii="Times New Roman" w:eastAsia="Times New Roman"/>
                <w:sz w:val="21"/>
              </w:rPr>
              <w:t>24</w:t>
            </w:r>
            <w:r>
              <w:rPr>
                <w:sz w:val="21"/>
              </w:rPr>
              <w:t>、</w:t>
            </w:r>
          </w:p>
        </w:tc>
        <w:tc>
          <w:tcPr>
            <w:tcW w:w="3425" w:type="dxa"/>
          </w:tcPr>
          <w:p>
            <w:pPr>
              <w:pStyle w:val="TableParagraph"/>
              <w:ind w:left="71"/>
              <w:rPr>
                <w:sz w:val="21"/>
              </w:rPr>
            </w:pPr>
            <w:r>
              <w:rPr>
                <w:sz w:val="21"/>
              </w:rPr>
              <w:t>严重的 </w:t>
            </w:r>
            <w:r>
              <w:rPr>
                <w:rFonts w:ascii="Times New Roman" w:eastAsia="Times New Roman"/>
                <w:sz w:val="21"/>
              </w:rPr>
              <w:t>1 </w:t>
            </w:r>
            <w:r>
              <w:rPr>
                <w:sz w:val="21"/>
              </w:rPr>
              <w:t>型糖尿病</w:t>
            </w:r>
          </w:p>
        </w:tc>
      </w:tr>
      <w:tr>
        <w:trPr>
          <w:trHeight w:val="624" w:hRule="atLeast"/>
        </w:trPr>
        <w:tc>
          <w:tcPr>
            <w:tcW w:w="680" w:type="dxa"/>
          </w:tcPr>
          <w:p>
            <w:pPr>
              <w:pStyle w:val="TableParagraph"/>
              <w:rPr>
                <w:sz w:val="21"/>
              </w:rPr>
            </w:pPr>
            <w:r>
              <w:rPr>
                <w:rFonts w:ascii="Times New Roman" w:eastAsia="Times New Roman"/>
                <w:sz w:val="21"/>
              </w:rPr>
              <w:t>11</w:t>
            </w:r>
            <w:r>
              <w:rPr>
                <w:sz w:val="21"/>
              </w:rPr>
              <w:t>、</w:t>
            </w:r>
          </w:p>
        </w:tc>
        <w:tc>
          <w:tcPr>
            <w:tcW w:w="3517" w:type="dxa"/>
          </w:tcPr>
          <w:p>
            <w:pPr>
              <w:pStyle w:val="TableParagraph"/>
              <w:ind w:left="57"/>
              <w:rPr>
                <w:sz w:val="21"/>
              </w:rPr>
            </w:pPr>
            <w:r>
              <w:rPr>
                <w:sz w:val="21"/>
              </w:rPr>
              <w:t>双目失明</w:t>
            </w:r>
          </w:p>
        </w:tc>
        <w:tc>
          <w:tcPr>
            <w:tcW w:w="1429" w:type="dxa"/>
          </w:tcPr>
          <w:p>
            <w:pPr>
              <w:pStyle w:val="TableParagraph"/>
              <w:ind w:left="0" w:right="70"/>
              <w:jc w:val="right"/>
              <w:rPr>
                <w:sz w:val="21"/>
              </w:rPr>
            </w:pPr>
            <w:r>
              <w:rPr>
                <w:rFonts w:ascii="Times New Roman" w:eastAsia="Times New Roman"/>
                <w:sz w:val="21"/>
              </w:rPr>
              <w:t>25</w:t>
            </w:r>
            <w:r>
              <w:rPr>
                <w:sz w:val="21"/>
              </w:rPr>
              <w:t>、</w:t>
            </w:r>
          </w:p>
        </w:tc>
        <w:tc>
          <w:tcPr>
            <w:tcW w:w="3425" w:type="dxa"/>
          </w:tcPr>
          <w:p>
            <w:pPr>
              <w:pStyle w:val="TableParagraph"/>
              <w:ind w:left="71"/>
              <w:rPr>
                <w:sz w:val="21"/>
              </w:rPr>
            </w:pPr>
            <w:r>
              <w:rPr>
                <w:sz w:val="21"/>
              </w:rPr>
              <w:t>疾病或外伤所致智力障碍（残疾）</w:t>
            </w:r>
          </w:p>
        </w:tc>
      </w:tr>
      <w:tr>
        <w:trPr>
          <w:trHeight w:val="624" w:hRule="atLeast"/>
        </w:trPr>
        <w:tc>
          <w:tcPr>
            <w:tcW w:w="680" w:type="dxa"/>
          </w:tcPr>
          <w:p>
            <w:pPr>
              <w:pStyle w:val="TableParagraph"/>
              <w:rPr>
                <w:sz w:val="21"/>
              </w:rPr>
            </w:pPr>
            <w:r>
              <w:rPr>
                <w:rFonts w:ascii="Times New Roman" w:eastAsia="Times New Roman"/>
                <w:sz w:val="21"/>
              </w:rPr>
              <w:t>12</w:t>
            </w:r>
            <w:r>
              <w:rPr>
                <w:sz w:val="21"/>
              </w:rPr>
              <w:t>、</w:t>
            </w:r>
          </w:p>
        </w:tc>
        <w:tc>
          <w:tcPr>
            <w:tcW w:w="3517" w:type="dxa"/>
          </w:tcPr>
          <w:p>
            <w:pPr>
              <w:pStyle w:val="TableParagraph"/>
              <w:ind w:left="57"/>
              <w:rPr>
                <w:sz w:val="21"/>
              </w:rPr>
            </w:pPr>
            <w:r>
              <w:rPr>
                <w:sz w:val="21"/>
              </w:rPr>
              <w:t>瘫痪</w:t>
            </w:r>
          </w:p>
        </w:tc>
        <w:tc>
          <w:tcPr>
            <w:tcW w:w="1429" w:type="dxa"/>
          </w:tcPr>
          <w:p>
            <w:pPr>
              <w:pStyle w:val="TableParagraph"/>
              <w:ind w:left="0" w:right="70"/>
              <w:jc w:val="right"/>
              <w:rPr>
                <w:sz w:val="21"/>
              </w:rPr>
            </w:pPr>
            <w:r>
              <w:rPr>
                <w:rFonts w:ascii="Times New Roman" w:eastAsia="Times New Roman"/>
                <w:sz w:val="21"/>
              </w:rPr>
              <w:t>26</w:t>
            </w:r>
            <w:r>
              <w:rPr>
                <w:sz w:val="21"/>
              </w:rPr>
              <w:t>、</w:t>
            </w:r>
          </w:p>
        </w:tc>
        <w:tc>
          <w:tcPr>
            <w:tcW w:w="3425" w:type="dxa"/>
          </w:tcPr>
          <w:p>
            <w:pPr>
              <w:pStyle w:val="TableParagraph"/>
              <w:ind w:left="71"/>
              <w:rPr>
                <w:sz w:val="21"/>
              </w:rPr>
            </w:pPr>
            <w:r>
              <w:rPr>
                <w:sz w:val="21"/>
              </w:rPr>
              <w:t>日常生活活动能力永久丧失</w:t>
            </w:r>
          </w:p>
        </w:tc>
      </w:tr>
      <w:tr>
        <w:trPr>
          <w:trHeight w:val="624" w:hRule="atLeast"/>
        </w:trPr>
        <w:tc>
          <w:tcPr>
            <w:tcW w:w="680" w:type="dxa"/>
          </w:tcPr>
          <w:p>
            <w:pPr>
              <w:pStyle w:val="TableParagraph"/>
              <w:rPr>
                <w:sz w:val="21"/>
              </w:rPr>
            </w:pPr>
            <w:r>
              <w:rPr>
                <w:rFonts w:ascii="Times New Roman" w:eastAsia="Times New Roman"/>
                <w:sz w:val="21"/>
              </w:rPr>
              <w:t>13</w:t>
            </w:r>
            <w:r>
              <w:rPr>
                <w:sz w:val="21"/>
              </w:rPr>
              <w:t>、</w:t>
            </w:r>
          </w:p>
        </w:tc>
        <w:tc>
          <w:tcPr>
            <w:tcW w:w="3517" w:type="dxa"/>
          </w:tcPr>
          <w:p>
            <w:pPr>
              <w:pStyle w:val="TableParagraph"/>
              <w:ind w:left="57"/>
              <w:rPr>
                <w:sz w:val="21"/>
              </w:rPr>
            </w:pPr>
            <w:r>
              <w:rPr>
                <w:sz w:val="21"/>
              </w:rPr>
              <w:t>心脏瓣膜手术</w:t>
            </w:r>
          </w:p>
        </w:tc>
        <w:tc>
          <w:tcPr>
            <w:tcW w:w="1429" w:type="dxa"/>
          </w:tcPr>
          <w:p>
            <w:pPr>
              <w:pStyle w:val="TableParagraph"/>
              <w:ind w:left="0" w:right="70"/>
              <w:jc w:val="right"/>
              <w:rPr>
                <w:sz w:val="21"/>
              </w:rPr>
            </w:pPr>
            <w:r>
              <w:rPr>
                <w:rFonts w:ascii="Times New Roman" w:eastAsia="Times New Roman"/>
                <w:sz w:val="21"/>
              </w:rPr>
              <w:t>27</w:t>
            </w:r>
            <w:r>
              <w:rPr>
                <w:sz w:val="21"/>
              </w:rPr>
              <w:t>、</w:t>
            </w:r>
          </w:p>
        </w:tc>
        <w:tc>
          <w:tcPr>
            <w:tcW w:w="3425" w:type="dxa"/>
          </w:tcPr>
          <w:p>
            <w:pPr>
              <w:pStyle w:val="TableParagraph"/>
              <w:ind w:left="71"/>
              <w:rPr>
                <w:sz w:val="21"/>
              </w:rPr>
            </w:pPr>
            <w:r>
              <w:rPr>
                <w:sz w:val="21"/>
              </w:rPr>
              <w:t>严重哮喘</w:t>
            </w:r>
          </w:p>
        </w:tc>
      </w:tr>
      <w:tr>
        <w:trPr>
          <w:trHeight w:val="453" w:hRule="atLeast"/>
        </w:trPr>
        <w:tc>
          <w:tcPr>
            <w:tcW w:w="680" w:type="dxa"/>
          </w:tcPr>
          <w:p>
            <w:pPr>
              <w:pStyle w:val="TableParagraph"/>
              <w:spacing w:line="283" w:lineRule="exact"/>
              <w:rPr>
                <w:sz w:val="21"/>
              </w:rPr>
            </w:pPr>
            <w:r>
              <w:rPr>
                <w:rFonts w:ascii="Times New Roman" w:eastAsia="Times New Roman"/>
                <w:sz w:val="21"/>
              </w:rPr>
              <w:t>14</w:t>
            </w:r>
            <w:r>
              <w:rPr>
                <w:sz w:val="21"/>
              </w:rPr>
              <w:t>、</w:t>
            </w:r>
          </w:p>
        </w:tc>
        <w:tc>
          <w:tcPr>
            <w:tcW w:w="3517" w:type="dxa"/>
          </w:tcPr>
          <w:p>
            <w:pPr>
              <w:pStyle w:val="TableParagraph"/>
              <w:ind w:left="57"/>
              <w:rPr>
                <w:sz w:val="21"/>
              </w:rPr>
            </w:pPr>
            <w:r>
              <w:rPr>
                <w:sz w:val="21"/>
              </w:rPr>
              <w:t>严重脑损伤</w:t>
            </w:r>
          </w:p>
        </w:tc>
        <w:tc>
          <w:tcPr>
            <w:tcW w:w="1429" w:type="dxa"/>
          </w:tcPr>
          <w:p>
            <w:pPr>
              <w:pStyle w:val="TableParagraph"/>
              <w:spacing w:before="0"/>
              <w:ind w:left="0"/>
              <w:rPr>
                <w:rFonts w:ascii="Times New Roman"/>
                <w:sz w:val="20"/>
              </w:rPr>
            </w:pPr>
          </w:p>
        </w:tc>
        <w:tc>
          <w:tcPr>
            <w:tcW w:w="3425" w:type="dxa"/>
          </w:tcPr>
          <w:p>
            <w:pPr>
              <w:pStyle w:val="TableParagraph"/>
              <w:spacing w:before="0"/>
              <w:ind w:left="0"/>
              <w:rPr>
                <w:rFonts w:ascii="Times New Roman"/>
                <w:sz w:val="20"/>
              </w:rPr>
            </w:pPr>
          </w:p>
        </w:tc>
      </w:tr>
    </w:tbl>
    <w:p>
      <w:pPr>
        <w:pStyle w:val="BodyText"/>
        <w:ind w:left="0"/>
        <w:rPr>
          <w:sz w:val="20"/>
        </w:rPr>
      </w:pPr>
    </w:p>
    <w:p>
      <w:pPr>
        <w:pStyle w:val="BodyText"/>
        <w:spacing w:before="3"/>
        <w:ind w:left="0"/>
        <w:rPr>
          <w:sz w:val="22"/>
        </w:rPr>
      </w:pPr>
    </w:p>
    <w:p>
      <w:pPr>
        <w:pStyle w:val="BodyText"/>
        <w:spacing w:before="80"/>
        <w:ind w:left="313"/>
      </w:pPr>
      <w:r>
        <w:rPr/>
        <w:t>二、本附加合同所指的第二类重大疾病为：</w:t>
      </w:r>
    </w:p>
    <w:p>
      <w:pPr>
        <w:pStyle w:val="BodyText"/>
        <w:spacing w:before="1"/>
        <w:ind w:left="0"/>
        <w:rPr>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4357"/>
        <w:gridCol w:w="592"/>
        <w:gridCol w:w="2586"/>
      </w:tblGrid>
      <w:tr>
        <w:trPr>
          <w:trHeight w:val="453" w:hRule="atLeast"/>
        </w:trPr>
        <w:tc>
          <w:tcPr>
            <w:tcW w:w="678" w:type="dxa"/>
          </w:tcPr>
          <w:p>
            <w:pPr>
              <w:pStyle w:val="TableParagraph"/>
              <w:spacing w:line="271" w:lineRule="exact" w:before="0"/>
              <w:rPr>
                <w:sz w:val="21"/>
              </w:rPr>
            </w:pPr>
            <w:r>
              <w:rPr>
                <w:rFonts w:ascii="Times New Roman" w:eastAsia="Times New Roman"/>
                <w:sz w:val="21"/>
              </w:rPr>
              <w:t>1</w:t>
            </w:r>
            <w:r>
              <w:rPr>
                <w:sz w:val="21"/>
              </w:rPr>
              <w:t>、</w:t>
            </w:r>
          </w:p>
        </w:tc>
        <w:tc>
          <w:tcPr>
            <w:tcW w:w="4357" w:type="dxa"/>
          </w:tcPr>
          <w:p>
            <w:pPr>
              <w:pStyle w:val="TableParagraph"/>
              <w:spacing w:line="255" w:lineRule="exact" w:before="0"/>
              <w:ind w:left="54"/>
              <w:rPr>
                <w:sz w:val="21"/>
              </w:rPr>
            </w:pPr>
            <w:r>
              <w:rPr>
                <w:sz w:val="21"/>
              </w:rPr>
              <w:t>恶性肿瘤</w:t>
            </w:r>
          </w:p>
        </w:tc>
        <w:tc>
          <w:tcPr>
            <w:tcW w:w="592" w:type="dxa"/>
          </w:tcPr>
          <w:p>
            <w:pPr>
              <w:pStyle w:val="TableParagraph"/>
              <w:spacing w:line="271" w:lineRule="exact" w:before="0"/>
              <w:ind w:left="77" w:right="54"/>
              <w:jc w:val="center"/>
              <w:rPr>
                <w:sz w:val="21"/>
              </w:rPr>
            </w:pPr>
            <w:r>
              <w:rPr>
                <w:rFonts w:ascii="Times New Roman" w:eastAsia="Times New Roman"/>
                <w:sz w:val="21"/>
              </w:rPr>
              <w:t>20</w:t>
            </w:r>
            <w:r>
              <w:rPr>
                <w:sz w:val="21"/>
              </w:rPr>
              <w:t>、</w:t>
            </w:r>
          </w:p>
        </w:tc>
        <w:tc>
          <w:tcPr>
            <w:tcW w:w="2586" w:type="dxa"/>
          </w:tcPr>
          <w:p>
            <w:pPr>
              <w:pStyle w:val="TableParagraph"/>
              <w:spacing w:line="255" w:lineRule="exact" w:before="0"/>
              <w:ind w:left="70"/>
              <w:rPr>
                <w:sz w:val="21"/>
              </w:rPr>
            </w:pPr>
            <w:r>
              <w:rPr>
                <w:sz w:val="21"/>
              </w:rPr>
              <w:t>严重Ⅲ度烧伤</w:t>
            </w:r>
          </w:p>
        </w:tc>
      </w:tr>
      <w:tr>
        <w:trPr>
          <w:trHeight w:val="624" w:hRule="atLeast"/>
        </w:trPr>
        <w:tc>
          <w:tcPr>
            <w:tcW w:w="678" w:type="dxa"/>
          </w:tcPr>
          <w:p>
            <w:pPr>
              <w:pStyle w:val="TableParagraph"/>
              <w:rPr>
                <w:sz w:val="21"/>
              </w:rPr>
            </w:pPr>
            <w:r>
              <w:rPr>
                <w:rFonts w:ascii="Times New Roman" w:eastAsia="Times New Roman"/>
                <w:sz w:val="21"/>
              </w:rPr>
              <w:t>2</w:t>
            </w:r>
            <w:r>
              <w:rPr>
                <w:sz w:val="21"/>
              </w:rPr>
              <w:t>、</w:t>
            </w:r>
          </w:p>
        </w:tc>
        <w:tc>
          <w:tcPr>
            <w:tcW w:w="4357" w:type="dxa"/>
          </w:tcPr>
          <w:p>
            <w:pPr>
              <w:pStyle w:val="TableParagraph"/>
              <w:ind w:left="54"/>
              <w:rPr>
                <w:sz w:val="21"/>
              </w:rPr>
            </w:pPr>
            <w:r>
              <w:rPr>
                <w:sz w:val="21"/>
              </w:rPr>
              <w:t>急性心肌梗塞</w:t>
            </w:r>
          </w:p>
        </w:tc>
        <w:tc>
          <w:tcPr>
            <w:tcW w:w="592" w:type="dxa"/>
          </w:tcPr>
          <w:p>
            <w:pPr>
              <w:pStyle w:val="TableParagraph"/>
              <w:ind w:left="77" w:right="54"/>
              <w:jc w:val="center"/>
              <w:rPr>
                <w:sz w:val="21"/>
              </w:rPr>
            </w:pPr>
            <w:r>
              <w:rPr>
                <w:rFonts w:ascii="Times New Roman" w:eastAsia="Times New Roman"/>
                <w:sz w:val="21"/>
              </w:rPr>
              <w:t>21</w:t>
            </w:r>
            <w:r>
              <w:rPr>
                <w:sz w:val="21"/>
              </w:rPr>
              <w:t>、</w:t>
            </w:r>
          </w:p>
        </w:tc>
        <w:tc>
          <w:tcPr>
            <w:tcW w:w="2586" w:type="dxa"/>
          </w:tcPr>
          <w:p>
            <w:pPr>
              <w:pStyle w:val="TableParagraph"/>
              <w:ind w:left="70"/>
              <w:rPr>
                <w:sz w:val="21"/>
              </w:rPr>
            </w:pPr>
            <w:r>
              <w:rPr>
                <w:sz w:val="21"/>
              </w:rPr>
              <w:t>严重原发性肺动脉高压</w:t>
            </w:r>
          </w:p>
        </w:tc>
      </w:tr>
      <w:tr>
        <w:trPr>
          <w:trHeight w:val="623" w:hRule="atLeast"/>
        </w:trPr>
        <w:tc>
          <w:tcPr>
            <w:tcW w:w="678" w:type="dxa"/>
          </w:tcPr>
          <w:p>
            <w:pPr>
              <w:pStyle w:val="TableParagraph"/>
              <w:rPr>
                <w:sz w:val="21"/>
              </w:rPr>
            </w:pPr>
            <w:r>
              <w:rPr>
                <w:rFonts w:ascii="Times New Roman" w:eastAsia="Times New Roman"/>
                <w:sz w:val="21"/>
              </w:rPr>
              <w:t>3</w:t>
            </w:r>
            <w:r>
              <w:rPr>
                <w:sz w:val="21"/>
              </w:rPr>
              <w:t>、</w:t>
            </w:r>
          </w:p>
        </w:tc>
        <w:tc>
          <w:tcPr>
            <w:tcW w:w="4357" w:type="dxa"/>
          </w:tcPr>
          <w:p>
            <w:pPr>
              <w:pStyle w:val="TableParagraph"/>
              <w:ind w:left="54"/>
              <w:rPr>
                <w:sz w:val="21"/>
              </w:rPr>
            </w:pPr>
            <w:r>
              <w:rPr>
                <w:sz w:val="21"/>
              </w:rPr>
              <w:t>脑中风后遗症</w:t>
            </w:r>
          </w:p>
        </w:tc>
        <w:tc>
          <w:tcPr>
            <w:tcW w:w="592" w:type="dxa"/>
          </w:tcPr>
          <w:p>
            <w:pPr>
              <w:pStyle w:val="TableParagraph"/>
              <w:ind w:left="77" w:right="54"/>
              <w:jc w:val="center"/>
              <w:rPr>
                <w:sz w:val="21"/>
              </w:rPr>
            </w:pPr>
            <w:r>
              <w:rPr>
                <w:rFonts w:ascii="Times New Roman" w:eastAsia="Times New Roman"/>
                <w:sz w:val="21"/>
              </w:rPr>
              <w:t>22</w:t>
            </w:r>
            <w:r>
              <w:rPr>
                <w:sz w:val="21"/>
              </w:rPr>
              <w:t>、</w:t>
            </w:r>
          </w:p>
        </w:tc>
        <w:tc>
          <w:tcPr>
            <w:tcW w:w="2586" w:type="dxa"/>
          </w:tcPr>
          <w:p>
            <w:pPr>
              <w:pStyle w:val="TableParagraph"/>
              <w:ind w:left="70"/>
              <w:rPr>
                <w:sz w:val="21"/>
              </w:rPr>
            </w:pPr>
            <w:r>
              <w:rPr>
                <w:sz w:val="21"/>
              </w:rPr>
              <w:t>严重运动神经元病</w:t>
            </w:r>
          </w:p>
        </w:tc>
      </w:tr>
      <w:tr>
        <w:trPr>
          <w:trHeight w:val="624" w:hRule="atLeast"/>
        </w:trPr>
        <w:tc>
          <w:tcPr>
            <w:tcW w:w="678" w:type="dxa"/>
          </w:tcPr>
          <w:p>
            <w:pPr>
              <w:pStyle w:val="TableParagraph"/>
              <w:rPr>
                <w:sz w:val="21"/>
              </w:rPr>
            </w:pPr>
            <w:r>
              <w:rPr>
                <w:rFonts w:ascii="Times New Roman" w:eastAsia="Times New Roman"/>
                <w:sz w:val="21"/>
              </w:rPr>
              <w:t>4</w:t>
            </w:r>
            <w:r>
              <w:rPr>
                <w:sz w:val="21"/>
              </w:rPr>
              <w:t>、</w:t>
            </w:r>
          </w:p>
        </w:tc>
        <w:tc>
          <w:tcPr>
            <w:tcW w:w="4357" w:type="dxa"/>
          </w:tcPr>
          <w:p>
            <w:pPr>
              <w:pStyle w:val="TableParagraph"/>
              <w:ind w:left="54"/>
              <w:rPr>
                <w:sz w:val="21"/>
              </w:rPr>
            </w:pPr>
            <w:r>
              <w:rPr>
                <w:sz w:val="21"/>
              </w:rPr>
              <w:t>重大器官移植术或造血干细胞移植术</w:t>
            </w:r>
          </w:p>
        </w:tc>
        <w:tc>
          <w:tcPr>
            <w:tcW w:w="592" w:type="dxa"/>
          </w:tcPr>
          <w:p>
            <w:pPr>
              <w:pStyle w:val="TableParagraph"/>
              <w:ind w:left="77" w:right="54"/>
              <w:jc w:val="center"/>
              <w:rPr>
                <w:sz w:val="21"/>
              </w:rPr>
            </w:pPr>
            <w:r>
              <w:rPr>
                <w:rFonts w:ascii="Times New Roman" w:eastAsia="Times New Roman"/>
                <w:sz w:val="21"/>
              </w:rPr>
              <w:t>23</w:t>
            </w:r>
            <w:r>
              <w:rPr>
                <w:sz w:val="21"/>
              </w:rPr>
              <w:t>、</w:t>
            </w:r>
          </w:p>
        </w:tc>
        <w:tc>
          <w:tcPr>
            <w:tcW w:w="2586" w:type="dxa"/>
          </w:tcPr>
          <w:p>
            <w:pPr>
              <w:pStyle w:val="TableParagraph"/>
              <w:ind w:left="70"/>
              <w:rPr>
                <w:sz w:val="21"/>
              </w:rPr>
            </w:pPr>
            <w:r>
              <w:rPr>
                <w:sz w:val="21"/>
              </w:rPr>
              <w:t>语言能力丧失</w:t>
            </w:r>
          </w:p>
        </w:tc>
      </w:tr>
      <w:tr>
        <w:trPr>
          <w:trHeight w:val="624" w:hRule="atLeast"/>
        </w:trPr>
        <w:tc>
          <w:tcPr>
            <w:tcW w:w="678" w:type="dxa"/>
          </w:tcPr>
          <w:p>
            <w:pPr>
              <w:pStyle w:val="TableParagraph"/>
              <w:rPr>
                <w:sz w:val="21"/>
              </w:rPr>
            </w:pPr>
            <w:r>
              <w:rPr>
                <w:rFonts w:ascii="Times New Roman" w:eastAsia="Times New Roman"/>
                <w:sz w:val="21"/>
              </w:rPr>
              <w:t>5</w:t>
            </w:r>
            <w:r>
              <w:rPr>
                <w:sz w:val="21"/>
              </w:rPr>
              <w:t>、</w:t>
            </w:r>
          </w:p>
        </w:tc>
        <w:tc>
          <w:tcPr>
            <w:tcW w:w="4357" w:type="dxa"/>
          </w:tcPr>
          <w:p>
            <w:pPr>
              <w:pStyle w:val="TableParagraph"/>
              <w:ind w:left="54"/>
              <w:rPr>
                <w:rFonts w:ascii="Times New Roman" w:eastAsia="Times New Roman"/>
                <w:sz w:val="21"/>
              </w:rPr>
            </w:pPr>
            <w:r>
              <w:rPr>
                <w:sz w:val="21"/>
              </w:rPr>
              <w:t>冠状动脉搭桥术 </w:t>
            </w:r>
            <w:r>
              <w:rPr>
                <w:rFonts w:ascii="Times New Roman" w:eastAsia="Times New Roman"/>
                <w:sz w:val="21"/>
              </w:rPr>
              <w:t>(</w:t>
            </w:r>
            <w:r>
              <w:rPr>
                <w:sz w:val="21"/>
              </w:rPr>
              <w:t>或称冠状动脉旁路移植术</w:t>
            </w:r>
            <w:r>
              <w:rPr>
                <w:rFonts w:ascii="Times New Roman" w:eastAsia="Times New Roman"/>
                <w:sz w:val="21"/>
              </w:rPr>
              <w:t>)</w:t>
            </w:r>
          </w:p>
        </w:tc>
        <w:tc>
          <w:tcPr>
            <w:tcW w:w="592" w:type="dxa"/>
          </w:tcPr>
          <w:p>
            <w:pPr>
              <w:pStyle w:val="TableParagraph"/>
              <w:ind w:left="77" w:right="54"/>
              <w:jc w:val="center"/>
              <w:rPr>
                <w:sz w:val="21"/>
              </w:rPr>
            </w:pPr>
            <w:r>
              <w:rPr>
                <w:rFonts w:ascii="Times New Roman" w:eastAsia="Times New Roman"/>
                <w:sz w:val="21"/>
              </w:rPr>
              <w:t>24</w:t>
            </w:r>
            <w:r>
              <w:rPr>
                <w:sz w:val="21"/>
              </w:rPr>
              <w:t>、</w:t>
            </w:r>
          </w:p>
        </w:tc>
        <w:tc>
          <w:tcPr>
            <w:tcW w:w="2586" w:type="dxa"/>
          </w:tcPr>
          <w:p>
            <w:pPr>
              <w:pStyle w:val="TableParagraph"/>
              <w:ind w:left="70"/>
              <w:rPr>
                <w:sz w:val="21"/>
              </w:rPr>
            </w:pPr>
            <w:r>
              <w:rPr>
                <w:sz w:val="21"/>
              </w:rPr>
              <w:t>重型再生障碍性贫血</w:t>
            </w:r>
          </w:p>
        </w:tc>
      </w:tr>
      <w:tr>
        <w:trPr>
          <w:trHeight w:val="624" w:hRule="atLeast"/>
        </w:trPr>
        <w:tc>
          <w:tcPr>
            <w:tcW w:w="678" w:type="dxa"/>
          </w:tcPr>
          <w:p>
            <w:pPr>
              <w:pStyle w:val="TableParagraph"/>
              <w:rPr>
                <w:sz w:val="21"/>
              </w:rPr>
            </w:pPr>
            <w:r>
              <w:rPr>
                <w:rFonts w:ascii="Times New Roman" w:eastAsia="Times New Roman"/>
                <w:sz w:val="21"/>
              </w:rPr>
              <w:t>6</w:t>
            </w:r>
            <w:r>
              <w:rPr>
                <w:sz w:val="21"/>
              </w:rPr>
              <w:t>、</w:t>
            </w:r>
          </w:p>
        </w:tc>
        <w:tc>
          <w:tcPr>
            <w:tcW w:w="4357" w:type="dxa"/>
          </w:tcPr>
          <w:p>
            <w:pPr>
              <w:pStyle w:val="TableParagraph"/>
              <w:ind w:left="54"/>
              <w:rPr>
                <w:sz w:val="21"/>
              </w:rPr>
            </w:pPr>
            <w:r>
              <w:rPr>
                <w:sz w:val="21"/>
              </w:rPr>
              <w:t>终末期肾病（或称慢性肾功能衰竭尿毒症期）</w:t>
            </w:r>
          </w:p>
        </w:tc>
        <w:tc>
          <w:tcPr>
            <w:tcW w:w="592" w:type="dxa"/>
          </w:tcPr>
          <w:p>
            <w:pPr>
              <w:pStyle w:val="TableParagraph"/>
              <w:ind w:left="77" w:right="54"/>
              <w:jc w:val="center"/>
              <w:rPr>
                <w:sz w:val="21"/>
              </w:rPr>
            </w:pPr>
            <w:r>
              <w:rPr>
                <w:rFonts w:ascii="Times New Roman" w:eastAsia="Times New Roman"/>
                <w:sz w:val="21"/>
              </w:rPr>
              <w:t>25</w:t>
            </w:r>
            <w:r>
              <w:rPr>
                <w:sz w:val="21"/>
              </w:rPr>
              <w:t>、</w:t>
            </w:r>
          </w:p>
        </w:tc>
        <w:tc>
          <w:tcPr>
            <w:tcW w:w="2586" w:type="dxa"/>
          </w:tcPr>
          <w:p>
            <w:pPr>
              <w:pStyle w:val="TableParagraph"/>
              <w:ind w:left="70"/>
              <w:rPr>
                <w:sz w:val="21"/>
              </w:rPr>
            </w:pPr>
            <w:r>
              <w:rPr>
                <w:sz w:val="21"/>
              </w:rPr>
              <w:t>主动脉手术</w:t>
            </w:r>
          </w:p>
        </w:tc>
      </w:tr>
      <w:tr>
        <w:trPr>
          <w:trHeight w:val="624" w:hRule="atLeast"/>
        </w:trPr>
        <w:tc>
          <w:tcPr>
            <w:tcW w:w="678" w:type="dxa"/>
          </w:tcPr>
          <w:p>
            <w:pPr>
              <w:pStyle w:val="TableParagraph"/>
              <w:rPr>
                <w:sz w:val="21"/>
              </w:rPr>
            </w:pPr>
            <w:r>
              <w:rPr>
                <w:rFonts w:ascii="Times New Roman" w:eastAsia="Times New Roman"/>
                <w:sz w:val="21"/>
              </w:rPr>
              <w:t>7</w:t>
            </w:r>
            <w:r>
              <w:rPr>
                <w:sz w:val="21"/>
              </w:rPr>
              <w:t>、</w:t>
            </w:r>
          </w:p>
        </w:tc>
        <w:tc>
          <w:tcPr>
            <w:tcW w:w="4357" w:type="dxa"/>
          </w:tcPr>
          <w:p>
            <w:pPr>
              <w:pStyle w:val="TableParagraph"/>
              <w:ind w:left="54"/>
              <w:rPr>
                <w:sz w:val="21"/>
              </w:rPr>
            </w:pPr>
            <w:r>
              <w:rPr>
                <w:sz w:val="21"/>
              </w:rPr>
              <w:t>多个肢体缺失</w:t>
            </w:r>
          </w:p>
        </w:tc>
        <w:tc>
          <w:tcPr>
            <w:tcW w:w="592" w:type="dxa"/>
          </w:tcPr>
          <w:p>
            <w:pPr>
              <w:pStyle w:val="TableParagraph"/>
              <w:ind w:left="77" w:right="54"/>
              <w:jc w:val="center"/>
              <w:rPr>
                <w:sz w:val="21"/>
              </w:rPr>
            </w:pPr>
            <w:r>
              <w:rPr>
                <w:rFonts w:ascii="Times New Roman" w:eastAsia="Times New Roman"/>
                <w:sz w:val="21"/>
              </w:rPr>
              <w:t>26</w:t>
            </w:r>
            <w:r>
              <w:rPr>
                <w:sz w:val="21"/>
              </w:rPr>
              <w:t>、</w:t>
            </w:r>
          </w:p>
        </w:tc>
        <w:tc>
          <w:tcPr>
            <w:tcW w:w="2586" w:type="dxa"/>
          </w:tcPr>
          <w:p>
            <w:pPr>
              <w:pStyle w:val="TableParagraph"/>
              <w:ind w:left="70"/>
              <w:rPr>
                <w:sz w:val="21"/>
              </w:rPr>
            </w:pPr>
            <w:r>
              <w:rPr>
                <w:sz w:val="21"/>
              </w:rPr>
              <w:t>严重脊髓灰质炎</w:t>
            </w:r>
          </w:p>
        </w:tc>
      </w:tr>
      <w:tr>
        <w:trPr>
          <w:trHeight w:val="624" w:hRule="atLeast"/>
        </w:trPr>
        <w:tc>
          <w:tcPr>
            <w:tcW w:w="678" w:type="dxa"/>
          </w:tcPr>
          <w:p>
            <w:pPr>
              <w:pStyle w:val="TableParagraph"/>
              <w:rPr>
                <w:sz w:val="21"/>
              </w:rPr>
            </w:pPr>
            <w:r>
              <w:rPr>
                <w:rFonts w:ascii="Times New Roman" w:eastAsia="Times New Roman"/>
                <w:sz w:val="21"/>
              </w:rPr>
              <w:t>8</w:t>
            </w:r>
            <w:r>
              <w:rPr>
                <w:sz w:val="21"/>
              </w:rPr>
              <w:t>、</w:t>
            </w:r>
          </w:p>
        </w:tc>
        <w:tc>
          <w:tcPr>
            <w:tcW w:w="4357" w:type="dxa"/>
          </w:tcPr>
          <w:p>
            <w:pPr>
              <w:pStyle w:val="TableParagraph"/>
              <w:ind w:left="54"/>
              <w:rPr>
                <w:sz w:val="21"/>
              </w:rPr>
            </w:pPr>
            <w:r>
              <w:rPr>
                <w:sz w:val="21"/>
              </w:rPr>
              <w:t>急性或亚急性重症肝炎</w:t>
            </w:r>
          </w:p>
        </w:tc>
        <w:tc>
          <w:tcPr>
            <w:tcW w:w="592" w:type="dxa"/>
          </w:tcPr>
          <w:p>
            <w:pPr>
              <w:pStyle w:val="TableParagraph"/>
              <w:ind w:left="77" w:right="54"/>
              <w:jc w:val="center"/>
              <w:rPr>
                <w:sz w:val="21"/>
              </w:rPr>
            </w:pPr>
            <w:r>
              <w:rPr>
                <w:rFonts w:ascii="Times New Roman" w:eastAsia="Times New Roman"/>
                <w:sz w:val="21"/>
              </w:rPr>
              <w:t>27</w:t>
            </w:r>
            <w:r>
              <w:rPr>
                <w:sz w:val="21"/>
              </w:rPr>
              <w:t>、</w:t>
            </w:r>
          </w:p>
        </w:tc>
        <w:tc>
          <w:tcPr>
            <w:tcW w:w="2586" w:type="dxa"/>
          </w:tcPr>
          <w:p>
            <w:pPr>
              <w:pStyle w:val="TableParagraph"/>
              <w:ind w:left="70"/>
              <w:rPr>
                <w:sz w:val="21"/>
              </w:rPr>
            </w:pPr>
            <w:r>
              <w:rPr>
                <w:sz w:val="21"/>
              </w:rPr>
              <w:t>严重多发性硬化症</w:t>
            </w:r>
          </w:p>
        </w:tc>
      </w:tr>
      <w:tr>
        <w:trPr>
          <w:trHeight w:val="624" w:hRule="atLeast"/>
        </w:trPr>
        <w:tc>
          <w:tcPr>
            <w:tcW w:w="678" w:type="dxa"/>
          </w:tcPr>
          <w:p>
            <w:pPr>
              <w:pStyle w:val="TableParagraph"/>
              <w:rPr>
                <w:sz w:val="21"/>
              </w:rPr>
            </w:pPr>
            <w:r>
              <w:rPr>
                <w:rFonts w:ascii="Times New Roman" w:eastAsia="Times New Roman"/>
                <w:sz w:val="21"/>
              </w:rPr>
              <w:t>9</w:t>
            </w:r>
            <w:r>
              <w:rPr>
                <w:sz w:val="21"/>
              </w:rPr>
              <w:t>、</w:t>
            </w:r>
          </w:p>
        </w:tc>
        <w:tc>
          <w:tcPr>
            <w:tcW w:w="4357" w:type="dxa"/>
          </w:tcPr>
          <w:p>
            <w:pPr>
              <w:pStyle w:val="TableParagraph"/>
              <w:ind w:left="54"/>
              <w:rPr>
                <w:sz w:val="21"/>
              </w:rPr>
            </w:pPr>
            <w:r>
              <w:rPr>
                <w:sz w:val="21"/>
              </w:rPr>
              <w:t>良性脑肿瘤</w:t>
            </w:r>
          </w:p>
        </w:tc>
        <w:tc>
          <w:tcPr>
            <w:tcW w:w="592" w:type="dxa"/>
          </w:tcPr>
          <w:p>
            <w:pPr>
              <w:pStyle w:val="TableParagraph"/>
              <w:ind w:left="77" w:right="54"/>
              <w:jc w:val="center"/>
              <w:rPr>
                <w:sz w:val="21"/>
              </w:rPr>
            </w:pPr>
            <w:r>
              <w:rPr>
                <w:rFonts w:ascii="Times New Roman" w:eastAsia="Times New Roman"/>
                <w:sz w:val="21"/>
              </w:rPr>
              <w:t>28</w:t>
            </w:r>
            <w:r>
              <w:rPr>
                <w:sz w:val="21"/>
              </w:rPr>
              <w:t>、</w:t>
            </w:r>
          </w:p>
        </w:tc>
        <w:tc>
          <w:tcPr>
            <w:tcW w:w="2586" w:type="dxa"/>
          </w:tcPr>
          <w:p>
            <w:pPr>
              <w:pStyle w:val="TableParagraph"/>
              <w:ind w:left="70"/>
              <w:rPr>
                <w:sz w:val="21"/>
              </w:rPr>
            </w:pPr>
            <w:r>
              <w:rPr>
                <w:sz w:val="21"/>
              </w:rPr>
              <w:t>严重冠心病</w:t>
            </w:r>
          </w:p>
        </w:tc>
      </w:tr>
      <w:tr>
        <w:trPr>
          <w:trHeight w:val="624" w:hRule="atLeast"/>
        </w:trPr>
        <w:tc>
          <w:tcPr>
            <w:tcW w:w="678" w:type="dxa"/>
          </w:tcPr>
          <w:p>
            <w:pPr>
              <w:pStyle w:val="TableParagraph"/>
              <w:rPr>
                <w:sz w:val="21"/>
              </w:rPr>
            </w:pPr>
            <w:r>
              <w:rPr>
                <w:rFonts w:ascii="Times New Roman" w:eastAsia="Times New Roman"/>
                <w:sz w:val="21"/>
              </w:rPr>
              <w:t>10</w:t>
            </w:r>
            <w:r>
              <w:rPr>
                <w:sz w:val="21"/>
              </w:rPr>
              <w:t>、</w:t>
            </w:r>
          </w:p>
        </w:tc>
        <w:tc>
          <w:tcPr>
            <w:tcW w:w="4357" w:type="dxa"/>
          </w:tcPr>
          <w:p>
            <w:pPr>
              <w:pStyle w:val="TableParagraph"/>
              <w:ind w:left="54"/>
              <w:rPr>
                <w:sz w:val="21"/>
              </w:rPr>
            </w:pPr>
            <w:r>
              <w:rPr>
                <w:sz w:val="21"/>
              </w:rPr>
              <w:t>慢性肝功能衰竭失代偿期</w:t>
            </w:r>
          </w:p>
        </w:tc>
        <w:tc>
          <w:tcPr>
            <w:tcW w:w="592" w:type="dxa"/>
          </w:tcPr>
          <w:p>
            <w:pPr>
              <w:pStyle w:val="TableParagraph"/>
              <w:ind w:left="77" w:right="54"/>
              <w:jc w:val="center"/>
              <w:rPr>
                <w:sz w:val="21"/>
              </w:rPr>
            </w:pPr>
            <w:r>
              <w:rPr>
                <w:rFonts w:ascii="Times New Roman" w:eastAsia="Times New Roman"/>
                <w:sz w:val="21"/>
              </w:rPr>
              <w:t>29</w:t>
            </w:r>
            <w:r>
              <w:rPr>
                <w:sz w:val="21"/>
              </w:rPr>
              <w:t>、</w:t>
            </w:r>
          </w:p>
        </w:tc>
        <w:tc>
          <w:tcPr>
            <w:tcW w:w="2586" w:type="dxa"/>
          </w:tcPr>
          <w:p>
            <w:pPr>
              <w:pStyle w:val="TableParagraph"/>
              <w:ind w:left="70"/>
              <w:rPr>
                <w:sz w:val="21"/>
              </w:rPr>
            </w:pPr>
            <w:r>
              <w:rPr>
                <w:sz w:val="21"/>
              </w:rPr>
              <w:t>严重心肌病</w:t>
            </w:r>
          </w:p>
        </w:tc>
      </w:tr>
      <w:tr>
        <w:trPr>
          <w:trHeight w:val="623" w:hRule="atLeast"/>
        </w:trPr>
        <w:tc>
          <w:tcPr>
            <w:tcW w:w="678" w:type="dxa"/>
          </w:tcPr>
          <w:p>
            <w:pPr>
              <w:pStyle w:val="TableParagraph"/>
              <w:rPr>
                <w:sz w:val="21"/>
              </w:rPr>
            </w:pPr>
            <w:r>
              <w:rPr>
                <w:rFonts w:ascii="Times New Roman" w:eastAsia="Times New Roman"/>
                <w:sz w:val="21"/>
              </w:rPr>
              <w:t>11</w:t>
            </w:r>
            <w:r>
              <w:rPr>
                <w:sz w:val="21"/>
              </w:rPr>
              <w:t>、</w:t>
            </w:r>
          </w:p>
        </w:tc>
        <w:tc>
          <w:tcPr>
            <w:tcW w:w="4357" w:type="dxa"/>
          </w:tcPr>
          <w:p>
            <w:pPr>
              <w:pStyle w:val="TableParagraph"/>
              <w:ind w:left="54"/>
              <w:rPr>
                <w:sz w:val="21"/>
              </w:rPr>
            </w:pPr>
            <w:r>
              <w:rPr>
                <w:sz w:val="21"/>
              </w:rPr>
              <w:t>脑炎后遗症或脑膜炎后遗症</w:t>
            </w:r>
          </w:p>
        </w:tc>
        <w:tc>
          <w:tcPr>
            <w:tcW w:w="592" w:type="dxa"/>
          </w:tcPr>
          <w:p>
            <w:pPr>
              <w:pStyle w:val="TableParagraph"/>
              <w:ind w:left="77" w:right="54"/>
              <w:jc w:val="center"/>
              <w:rPr>
                <w:sz w:val="21"/>
              </w:rPr>
            </w:pPr>
            <w:r>
              <w:rPr>
                <w:rFonts w:ascii="Times New Roman" w:eastAsia="Times New Roman"/>
                <w:sz w:val="21"/>
              </w:rPr>
              <w:t>30</w:t>
            </w:r>
            <w:r>
              <w:rPr>
                <w:sz w:val="21"/>
              </w:rPr>
              <w:t>、</w:t>
            </w:r>
          </w:p>
        </w:tc>
        <w:tc>
          <w:tcPr>
            <w:tcW w:w="2586" w:type="dxa"/>
          </w:tcPr>
          <w:p>
            <w:pPr>
              <w:pStyle w:val="TableParagraph"/>
              <w:ind w:left="70"/>
              <w:rPr>
                <w:sz w:val="21"/>
              </w:rPr>
            </w:pPr>
            <w:r>
              <w:rPr>
                <w:sz w:val="21"/>
              </w:rPr>
              <w:t>严重克罗恩病（克隆病）</w:t>
            </w:r>
          </w:p>
        </w:tc>
      </w:tr>
      <w:tr>
        <w:trPr>
          <w:trHeight w:val="453" w:hRule="atLeast"/>
        </w:trPr>
        <w:tc>
          <w:tcPr>
            <w:tcW w:w="678" w:type="dxa"/>
          </w:tcPr>
          <w:p>
            <w:pPr>
              <w:pStyle w:val="TableParagraph"/>
              <w:spacing w:line="283" w:lineRule="exact"/>
              <w:rPr>
                <w:sz w:val="21"/>
              </w:rPr>
            </w:pPr>
            <w:r>
              <w:rPr>
                <w:rFonts w:ascii="Times New Roman" w:eastAsia="Times New Roman"/>
                <w:sz w:val="21"/>
              </w:rPr>
              <w:t>12</w:t>
            </w:r>
            <w:r>
              <w:rPr>
                <w:sz w:val="21"/>
              </w:rPr>
              <w:t>、</w:t>
            </w:r>
          </w:p>
        </w:tc>
        <w:tc>
          <w:tcPr>
            <w:tcW w:w="4357" w:type="dxa"/>
          </w:tcPr>
          <w:p>
            <w:pPr>
              <w:pStyle w:val="TableParagraph"/>
              <w:ind w:left="54"/>
              <w:rPr>
                <w:sz w:val="21"/>
              </w:rPr>
            </w:pPr>
            <w:r>
              <w:rPr>
                <w:sz w:val="21"/>
              </w:rPr>
              <w:t>深度昏迷</w:t>
            </w:r>
          </w:p>
        </w:tc>
        <w:tc>
          <w:tcPr>
            <w:tcW w:w="592" w:type="dxa"/>
          </w:tcPr>
          <w:p>
            <w:pPr>
              <w:pStyle w:val="TableParagraph"/>
              <w:spacing w:line="283" w:lineRule="exact"/>
              <w:ind w:left="77" w:right="54"/>
              <w:jc w:val="center"/>
              <w:rPr>
                <w:sz w:val="21"/>
              </w:rPr>
            </w:pPr>
            <w:r>
              <w:rPr>
                <w:rFonts w:ascii="Times New Roman" w:eastAsia="Times New Roman"/>
                <w:sz w:val="21"/>
              </w:rPr>
              <w:t>31</w:t>
            </w:r>
            <w:r>
              <w:rPr>
                <w:sz w:val="21"/>
              </w:rPr>
              <w:t>、</w:t>
            </w:r>
          </w:p>
        </w:tc>
        <w:tc>
          <w:tcPr>
            <w:tcW w:w="2586" w:type="dxa"/>
          </w:tcPr>
          <w:p>
            <w:pPr>
              <w:pStyle w:val="TableParagraph"/>
              <w:ind w:left="70"/>
              <w:rPr>
                <w:sz w:val="21"/>
              </w:rPr>
            </w:pPr>
            <w:r>
              <w:rPr>
                <w:sz w:val="21"/>
              </w:rPr>
              <w:t>严重溃疡性结肠炎</w:t>
            </w:r>
          </w:p>
        </w:tc>
      </w:tr>
    </w:tbl>
    <w:p>
      <w:pPr>
        <w:spacing w:after="0"/>
        <w:rPr>
          <w:sz w:val="21"/>
        </w:rPr>
        <w:sectPr>
          <w:pgSz w:w="11910" w:h="16840"/>
          <w:pgMar w:header="0" w:footer="576" w:top="1000" w:bottom="760" w:left="820" w:right="16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3097"/>
        <w:gridCol w:w="1851"/>
        <w:gridCol w:w="3425"/>
      </w:tblGrid>
      <w:tr>
        <w:trPr>
          <w:trHeight w:val="453" w:hRule="atLeast"/>
        </w:trPr>
        <w:tc>
          <w:tcPr>
            <w:tcW w:w="678" w:type="dxa"/>
          </w:tcPr>
          <w:p>
            <w:pPr>
              <w:pStyle w:val="TableParagraph"/>
              <w:spacing w:line="271" w:lineRule="exact" w:before="0"/>
              <w:ind w:left="0" w:right="53"/>
              <w:jc w:val="right"/>
              <w:rPr>
                <w:sz w:val="21"/>
              </w:rPr>
            </w:pPr>
            <w:r>
              <w:rPr>
                <w:rFonts w:ascii="Times New Roman" w:eastAsia="Times New Roman"/>
                <w:sz w:val="21"/>
              </w:rPr>
              <w:t>13</w:t>
            </w:r>
            <w:r>
              <w:rPr>
                <w:sz w:val="21"/>
              </w:rPr>
              <w:t>、</w:t>
            </w:r>
          </w:p>
        </w:tc>
        <w:tc>
          <w:tcPr>
            <w:tcW w:w="3097" w:type="dxa"/>
          </w:tcPr>
          <w:p>
            <w:pPr>
              <w:pStyle w:val="TableParagraph"/>
              <w:spacing w:line="255" w:lineRule="exact" w:before="0"/>
              <w:ind w:left="54"/>
              <w:rPr>
                <w:sz w:val="21"/>
              </w:rPr>
            </w:pPr>
            <w:r>
              <w:rPr>
                <w:sz w:val="21"/>
              </w:rPr>
              <w:t>双耳失聪</w:t>
            </w:r>
          </w:p>
        </w:tc>
        <w:tc>
          <w:tcPr>
            <w:tcW w:w="1851" w:type="dxa"/>
          </w:tcPr>
          <w:p>
            <w:pPr>
              <w:pStyle w:val="TableParagraph"/>
              <w:spacing w:line="271" w:lineRule="exact" w:before="0"/>
              <w:ind w:left="0" w:right="70"/>
              <w:jc w:val="right"/>
              <w:rPr>
                <w:sz w:val="21"/>
              </w:rPr>
            </w:pPr>
            <w:r>
              <w:rPr>
                <w:rFonts w:ascii="Times New Roman" w:eastAsia="Times New Roman"/>
                <w:sz w:val="21"/>
              </w:rPr>
              <w:t>32</w:t>
            </w:r>
            <w:r>
              <w:rPr>
                <w:sz w:val="21"/>
              </w:rPr>
              <w:t>、</w:t>
            </w:r>
          </w:p>
        </w:tc>
        <w:tc>
          <w:tcPr>
            <w:tcW w:w="3425" w:type="dxa"/>
          </w:tcPr>
          <w:p>
            <w:pPr>
              <w:pStyle w:val="TableParagraph"/>
              <w:spacing w:line="255" w:lineRule="exact" w:before="0"/>
              <w:ind w:left="71"/>
              <w:rPr>
                <w:sz w:val="21"/>
              </w:rPr>
            </w:pPr>
            <w:r>
              <w:rPr>
                <w:sz w:val="21"/>
              </w:rPr>
              <w:t>严重类风湿性关节炎</w:t>
            </w:r>
          </w:p>
        </w:tc>
      </w:tr>
      <w:tr>
        <w:trPr>
          <w:trHeight w:val="624" w:hRule="atLeast"/>
        </w:trPr>
        <w:tc>
          <w:tcPr>
            <w:tcW w:w="678" w:type="dxa"/>
          </w:tcPr>
          <w:p>
            <w:pPr>
              <w:pStyle w:val="TableParagraph"/>
              <w:ind w:left="0" w:right="53"/>
              <w:jc w:val="right"/>
              <w:rPr>
                <w:sz w:val="21"/>
              </w:rPr>
            </w:pPr>
            <w:r>
              <w:rPr>
                <w:rFonts w:ascii="Times New Roman" w:eastAsia="Times New Roman"/>
                <w:sz w:val="21"/>
              </w:rPr>
              <w:t>14</w:t>
            </w:r>
            <w:r>
              <w:rPr>
                <w:sz w:val="21"/>
              </w:rPr>
              <w:t>、</w:t>
            </w:r>
          </w:p>
        </w:tc>
        <w:tc>
          <w:tcPr>
            <w:tcW w:w="3097" w:type="dxa"/>
          </w:tcPr>
          <w:p>
            <w:pPr>
              <w:pStyle w:val="TableParagraph"/>
              <w:ind w:left="54"/>
              <w:rPr>
                <w:sz w:val="21"/>
              </w:rPr>
            </w:pPr>
            <w:r>
              <w:rPr>
                <w:sz w:val="21"/>
              </w:rPr>
              <w:t>双目失明</w:t>
            </w:r>
          </w:p>
        </w:tc>
        <w:tc>
          <w:tcPr>
            <w:tcW w:w="1851" w:type="dxa"/>
          </w:tcPr>
          <w:p>
            <w:pPr>
              <w:pStyle w:val="TableParagraph"/>
              <w:ind w:left="0" w:right="70"/>
              <w:jc w:val="right"/>
              <w:rPr>
                <w:sz w:val="21"/>
              </w:rPr>
            </w:pPr>
            <w:r>
              <w:rPr>
                <w:rFonts w:ascii="Times New Roman" w:eastAsia="Times New Roman"/>
                <w:sz w:val="21"/>
              </w:rPr>
              <w:t>33</w:t>
            </w:r>
            <w:r>
              <w:rPr>
                <w:sz w:val="21"/>
              </w:rPr>
              <w:t>、</w:t>
            </w:r>
          </w:p>
        </w:tc>
        <w:tc>
          <w:tcPr>
            <w:tcW w:w="3425" w:type="dxa"/>
          </w:tcPr>
          <w:p>
            <w:pPr>
              <w:pStyle w:val="TableParagraph"/>
              <w:ind w:left="71"/>
              <w:rPr>
                <w:sz w:val="21"/>
              </w:rPr>
            </w:pPr>
            <w:r>
              <w:rPr>
                <w:sz w:val="21"/>
              </w:rPr>
              <w:t>慢性呼吸功能衰竭</w:t>
            </w:r>
          </w:p>
        </w:tc>
      </w:tr>
      <w:tr>
        <w:trPr>
          <w:trHeight w:val="624" w:hRule="atLeast"/>
        </w:trPr>
        <w:tc>
          <w:tcPr>
            <w:tcW w:w="678" w:type="dxa"/>
          </w:tcPr>
          <w:p>
            <w:pPr>
              <w:pStyle w:val="TableParagraph"/>
              <w:ind w:left="0" w:right="53"/>
              <w:jc w:val="right"/>
              <w:rPr>
                <w:sz w:val="21"/>
              </w:rPr>
            </w:pPr>
            <w:r>
              <w:rPr>
                <w:rFonts w:ascii="Times New Roman" w:eastAsia="Times New Roman"/>
                <w:sz w:val="21"/>
              </w:rPr>
              <w:t>15</w:t>
            </w:r>
            <w:r>
              <w:rPr>
                <w:sz w:val="21"/>
              </w:rPr>
              <w:t>、</w:t>
            </w:r>
          </w:p>
        </w:tc>
        <w:tc>
          <w:tcPr>
            <w:tcW w:w="3097" w:type="dxa"/>
          </w:tcPr>
          <w:p>
            <w:pPr>
              <w:pStyle w:val="TableParagraph"/>
              <w:ind w:left="54"/>
              <w:rPr>
                <w:sz w:val="21"/>
              </w:rPr>
            </w:pPr>
            <w:r>
              <w:rPr>
                <w:sz w:val="21"/>
              </w:rPr>
              <w:t>瘫痪</w:t>
            </w:r>
          </w:p>
        </w:tc>
        <w:tc>
          <w:tcPr>
            <w:tcW w:w="1851" w:type="dxa"/>
          </w:tcPr>
          <w:p>
            <w:pPr>
              <w:pStyle w:val="TableParagraph"/>
              <w:ind w:left="0" w:right="70"/>
              <w:jc w:val="right"/>
              <w:rPr>
                <w:sz w:val="21"/>
              </w:rPr>
            </w:pPr>
            <w:r>
              <w:rPr>
                <w:rFonts w:ascii="Times New Roman" w:eastAsia="Times New Roman"/>
                <w:sz w:val="21"/>
              </w:rPr>
              <w:t>34</w:t>
            </w:r>
            <w:r>
              <w:rPr>
                <w:sz w:val="21"/>
              </w:rPr>
              <w:t>、</w:t>
            </w:r>
          </w:p>
        </w:tc>
        <w:tc>
          <w:tcPr>
            <w:tcW w:w="3425" w:type="dxa"/>
          </w:tcPr>
          <w:p>
            <w:pPr>
              <w:pStyle w:val="TableParagraph"/>
              <w:ind w:left="71"/>
              <w:rPr>
                <w:sz w:val="21"/>
              </w:rPr>
            </w:pPr>
            <w:r>
              <w:rPr>
                <w:sz w:val="21"/>
              </w:rPr>
              <w:t>全身性重症肌无力</w:t>
            </w:r>
          </w:p>
        </w:tc>
      </w:tr>
      <w:tr>
        <w:trPr>
          <w:trHeight w:val="624" w:hRule="atLeast"/>
        </w:trPr>
        <w:tc>
          <w:tcPr>
            <w:tcW w:w="678" w:type="dxa"/>
          </w:tcPr>
          <w:p>
            <w:pPr>
              <w:pStyle w:val="TableParagraph"/>
              <w:ind w:left="0" w:right="53"/>
              <w:jc w:val="right"/>
              <w:rPr>
                <w:sz w:val="21"/>
              </w:rPr>
            </w:pPr>
            <w:r>
              <w:rPr>
                <w:rFonts w:ascii="Times New Roman" w:eastAsia="Times New Roman"/>
                <w:sz w:val="21"/>
              </w:rPr>
              <w:t>16</w:t>
            </w:r>
            <w:r>
              <w:rPr>
                <w:sz w:val="21"/>
              </w:rPr>
              <w:t>、</w:t>
            </w:r>
          </w:p>
        </w:tc>
        <w:tc>
          <w:tcPr>
            <w:tcW w:w="3097" w:type="dxa"/>
          </w:tcPr>
          <w:p>
            <w:pPr>
              <w:pStyle w:val="TableParagraph"/>
              <w:ind w:left="54"/>
              <w:rPr>
                <w:sz w:val="21"/>
              </w:rPr>
            </w:pPr>
            <w:r>
              <w:rPr>
                <w:sz w:val="21"/>
              </w:rPr>
              <w:t>心脏瓣膜手术</w:t>
            </w:r>
          </w:p>
        </w:tc>
        <w:tc>
          <w:tcPr>
            <w:tcW w:w="1851" w:type="dxa"/>
          </w:tcPr>
          <w:p>
            <w:pPr>
              <w:pStyle w:val="TableParagraph"/>
              <w:ind w:left="0" w:right="70"/>
              <w:jc w:val="right"/>
              <w:rPr>
                <w:sz w:val="21"/>
              </w:rPr>
            </w:pPr>
            <w:r>
              <w:rPr>
                <w:rFonts w:ascii="Times New Roman" w:eastAsia="Times New Roman"/>
                <w:sz w:val="21"/>
              </w:rPr>
              <w:t>35</w:t>
            </w:r>
            <w:r>
              <w:rPr>
                <w:sz w:val="21"/>
              </w:rPr>
              <w:t>、</w:t>
            </w:r>
          </w:p>
        </w:tc>
        <w:tc>
          <w:tcPr>
            <w:tcW w:w="3425" w:type="dxa"/>
          </w:tcPr>
          <w:p>
            <w:pPr>
              <w:pStyle w:val="TableParagraph"/>
              <w:ind w:left="71"/>
              <w:rPr>
                <w:sz w:val="21"/>
              </w:rPr>
            </w:pPr>
            <w:r>
              <w:rPr>
                <w:sz w:val="21"/>
              </w:rPr>
              <w:t>非阿尔茨海默病所致严重痴呆</w:t>
            </w:r>
          </w:p>
        </w:tc>
      </w:tr>
      <w:tr>
        <w:trPr>
          <w:trHeight w:val="624" w:hRule="atLeast"/>
        </w:trPr>
        <w:tc>
          <w:tcPr>
            <w:tcW w:w="678" w:type="dxa"/>
          </w:tcPr>
          <w:p>
            <w:pPr>
              <w:pStyle w:val="TableParagraph"/>
              <w:ind w:left="0" w:right="53"/>
              <w:jc w:val="right"/>
              <w:rPr>
                <w:sz w:val="21"/>
              </w:rPr>
            </w:pPr>
            <w:r>
              <w:rPr>
                <w:rFonts w:ascii="Times New Roman" w:eastAsia="Times New Roman"/>
                <w:sz w:val="21"/>
              </w:rPr>
              <w:t>17</w:t>
            </w:r>
            <w:r>
              <w:rPr>
                <w:sz w:val="21"/>
              </w:rPr>
              <w:t>、</w:t>
            </w:r>
          </w:p>
        </w:tc>
        <w:tc>
          <w:tcPr>
            <w:tcW w:w="3097" w:type="dxa"/>
          </w:tcPr>
          <w:p>
            <w:pPr>
              <w:pStyle w:val="TableParagraph"/>
              <w:ind w:left="54"/>
              <w:rPr>
                <w:sz w:val="21"/>
              </w:rPr>
            </w:pPr>
            <w:r>
              <w:rPr>
                <w:sz w:val="21"/>
              </w:rPr>
              <w:t>严重阿尔茨海默病</w:t>
            </w:r>
          </w:p>
        </w:tc>
        <w:tc>
          <w:tcPr>
            <w:tcW w:w="1851" w:type="dxa"/>
          </w:tcPr>
          <w:p>
            <w:pPr>
              <w:pStyle w:val="TableParagraph"/>
              <w:ind w:left="0" w:right="70"/>
              <w:jc w:val="right"/>
              <w:rPr>
                <w:sz w:val="21"/>
              </w:rPr>
            </w:pPr>
            <w:r>
              <w:rPr>
                <w:rFonts w:ascii="Times New Roman" w:eastAsia="Times New Roman"/>
                <w:sz w:val="21"/>
              </w:rPr>
              <w:t>36</w:t>
            </w:r>
            <w:r>
              <w:rPr>
                <w:sz w:val="21"/>
              </w:rPr>
              <w:t>、</w:t>
            </w:r>
          </w:p>
        </w:tc>
        <w:tc>
          <w:tcPr>
            <w:tcW w:w="3425" w:type="dxa"/>
          </w:tcPr>
          <w:p>
            <w:pPr>
              <w:pStyle w:val="TableParagraph"/>
              <w:ind w:left="71"/>
              <w:rPr>
                <w:sz w:val="21"/>
              </w:rPr>
            </w:pPr>
            <w:r>
              <w:rPr>
                <w:sz w:val="21"/>
              </w:rPr>
              <w:t>经输血导致的艾滋病病毒感染</w:t>
            </w:r>
          </w:p>
        </w:tc>
      </w:tr>
      <w:tr>
        <w:trPr>
          <w:trHeight w:val="624" w:hRule="atLeast"/>
        </w:trPr>
        <w:tc>
          <w:tcPr>
            <w:tcW w:w="678" w:type="dxa"/>
          </w:tcPr>
          <w:p>
            <w:pPr>
              <w:pStyle w:val="TableParagraph"/>
              <w:ind w:left="0" w:right="53"/>
              <w:jc w:val="right"/>
              <w:rPr>
                <w:sz w:val="21"/>
              </w:rPr>
            </w:pPr>
            <w:r>
              <w:rPr>
                <w:rFonts w:ascii="Times New Roman" w:eastAsia="Times New Roman"/>
                <w:sz w:val="21"/>
              </w:rPr>
              <w:t>18</w:t>
            </w:r>
            <w:r>
              <w:rPr>
                <w:sz w:val="21"/>
              </w:rPr>
              <w:t>、</w:t>
            </w:r>
          </w:p>
        </w:tc>
        <w:tc>
          <w:tcPr>
            <w:tcW w:w="3097" w:type="dxa"/>
          </w:tcPr>
          <w:p>
            <w:pPr>
              <w:pStyle w:val="TableParagraph"/>
              <w:ind w:left="54"/>
              <w:rPr>
                <w:sz w:val="21"/>
              </w:rPr>
            </w:pPr>
            <w:r>
              <w:rPr>
                <w:sz w:val="21"/>
              </w:rPr>
              <w:t>严重脑损伤</w:t>
            </w:r>
          </w:p>
        </w:tc>
        <w:tc>
          <w:tcPr>
            <w:tcW w:w="1851" w:type="dxa"/>
          </w:tcPr>
          <w:p>
            <w:pPr>
              <w:pStyle w:val="TableParagraph"/>
              <w:ind w:left="0" w:right="70"/>
              <w:jc w:val="right"/>
              <w:rPr>
                <w:sz w:val="21"/>
              </w:rPr>
            </w:pPr>
            <w:r>
              <w:rPr>
                <w:rFonts w:ascii="Times New Roman" w:eastAsia="Times New Roman"/>
                <w:sz w:val="21"/>
              </w:rPr>
              <w:t>37</w:t>
            </w:r>
            <w:r>
              <w:rPr>
                <w:sz w:val="21"/>
              </w:rPr>
              <w:t>、</w:t>
            </w:r>
          </w:p>
        </w:tc>
        <w:tc>
          <w:tcPr>
            <w:tcW w:w="3425" w:type="dxa"/>
          </w:tcPr>
          <w:p>
            <w:pPr>
              <w:pStyle w:val="TableParagraph"/>
              <w:ind w:left="71"/>
              <w:rPr>
                <w:sz w:val="21"/>
              </w:rPr>
            </w:pPr>
            <w:r>
              <w:rPr>
                <w:sz w:val="21"/>
              </w:rPr>
              <w:t>因职业关系导致的艾滋病病毒感染</w:t>
            </w:r>
          </w:p>
        </w:tc>
      </w:tr>
      <w:tr>
        <w:trPr>
          <w:trHeight w:val="453" w:hRule="atLeast"/>
        </w:trPr>
        <w:tc>
          <w:tcPr>
            <w:tcW w:w="678" w:type="dxa"/>
          </w:tcPr>
          <w:p>
            <w:pPr>
              <w:pStyle w:val="TableParagraph"/>
              <w:spacing w:line="283" w:lineRule="exact"/>
              <w:ind w:left="0" w:right="53"/>
              <w:jc w:val="right"/>
              <w:rPr>
                <w:sz w:val="21"/>
              </w:rPr>
            </w:pPr>
            <w:r>
              <w:rPr>
                <w:rFonts w:ascii="Times New Roman" w:eastAsia="Times New Roman"/>
                <w:sz w:val="21"/>
              </w:rPr>
              <w:t>19</w:t>
            </w:r>
            <w:r>
              <w:rPr>
                <w:sz w:val="21"/>
              </w:rPr>
              <w:t>、</w:t>
            </w:r>
          </w:p>
        </w:tc>
        <w:tc>
          <w:tcPr>
            <w:tcW w:w="3097" w:type="dxa"/>
          </w:tcPr>
          <w:p>
            <w:pPr>
              <w:pStyle w:val="TableParagraph"/>
              <w:ind w:left="54"/>
              <w:rPr>
                <w:sz w:val="21"/>
              </w:rPr>
            </w:pPr>
            <w:r>
              <w:rPr>
                <w:sz w:val="21"/>
              </w:rPr>
              <w:t>严重帕金森病</w:t>
            </w:r>
          </w:p>
        </w:tc>
        <w:tc>
          <w:tcPr>
            <w:tcW w:w="1851" w:type="dxa"/>
          </w:tcPr>
          <w:p>
            <w:pPr>
              <w:pStyle w:val="TableParagraph"/>
              <w:spacing w:line="283" w:lineRule="exact"/>
              <w:ind w:left="0" w:right="70"/>
              <w:jc w:val="right"/>
              <w:rPr>
                <w:sz w:val="21"/>
              </w:rPr>
            </w:pPr>
            <w:r>
              <w:rPr>
                <w:rFonts w:ascii="Times New Roman" w:eastAsia="Times New Roman"/>
                <w:sz w:val="21"/>
              </w:rPr>
              <w:t>38</w:t>
            </w:r>
            <w:r>
              <w:rPr>
                <w:sz w:val="21"/>
              </w:rPr>
              <w:t>、</w:t>
            </w:r>
          </w:p>
        </w:tc>
        <w:tc>
          <w:tcPr>
            <w:tcW w:w="3425" w:type="dxa"/>
          </w:tcPr>
          <w:p>
            <w:pPr>
              <w:pStyle w:val="TableParagraph"/>
              <w:ind w:left="71"/>
              <w:rPr>
                <w:sz w:val="21"/>
              </w:rPr>
            </w:pPr>
            <w:r>
              <w:rPr>
                <w:sz w:val="21"/>
              </w:rPr>
              <w:t>系统性红斑狼疮合并狼疮性肾炎</w:t>
            </w:r>
          </w:p>
        </w:tc>
      </w:tr>
    </w:tbl>
    <w:p>
      <w:pPr>
        <w:pStyle w:val="BodyText"/>
        <w:spacing w:before="6"/>
        <w:ind w:left="0"/>
        <w:rPr>
          <w:sz w:val="26"/>
        </w:rPr>
      </w:pPr>
    </w:p>
    <w:p>
      <w:pPr>
        <w:pStyle w:val="BodyText"/>
        <w:spacing w:before="81"/>
        <w:ind w:left="313"/>
      </w:pPr>
      <w:r>
        <w:rPr>
          <w:spacing w:val="-6"/>
        </w:rPr>
        <w:t>三、本附加合同所指的重大疾病共有 </w:t>
      </w:r>
      <w:r>
        <w:rPr>
          <w:rFonts w:ascii="Times New Roman" w:eastAsia="Times New Roman"/>
        </w:rPr>
        <w:t>44 </w:t>
      </w:r>
      <w:r>
        <w:rPr>
          <w:spacing w:val="-10"/>
        </w:rPr>
        <w:t>种，下述第 </w:t>
      </w:r>
      <w:r>
        <w:rPr>
          <w:rFonts w:ascii="Times New Roman" w:eastAsia="Times New Roman"/>
        </w:rPr>
        <w:t>1 </w:t>
      </w:r>
      <w:r>
        <w:rPr>
          <w:spacing w:val="-12"/>
        </w:rPr>
        <w:t>种至第 </w:t>
      </w:r>
      <w:r>
        <w:rPr>
          <w:rFonts w:ascii="Times New Roman" w:eastAsia="Times New Roman"/>
        </w:rPr>
        <w:t>25 </w:t>
      </w:r>
      <w:r>
        <w:rPr>
          <w:spacing w:val="-7"/>
        </w:rPr>
        <w:t>种采用中国保险行业协会 </w:t>
      </w:r>
      <w:r>
        <w:rPr>
          <w:rFonts w:ascii="Times New Roman" w:eastAsia="Times New Roman"/>
        </w:rPr>
        <w:t>2007 </w:t>
      </w:r>
      <w:r>
        <w:rPr>
          <w:spacing w:val="-20"/>
        </w:rPr>
        <w:t>年 </w:t>
      </w:r>
      <w:r>
        <w:rPr>
          <w:rFonts w:ascii="Times New Roman" w:eastAsia="Times New Roman"/>
        </w:rPr>
        <w:t>3 </w:t>
      </w:r>
      <w:r>
        <w:rPr>
          <w:spacing w:val="-5"/>
        </w:rPr>
        <w:t>月发</w:t>
      </w:r>
    </w:p>
    <w:p>
      <w:pPr>
        <w:pStyle w:val="BodyText"/>
        <w:spacing w:before="26"/>
        <w:ind w:left="313"/>
      </w:pPr>
      <w:r>
        <w:rPr>
          <w:spacing w:val="-9"/>
        </w:rPr>
        <w:t>布的《重大疾病保险的疾病定义使用规范》中规定的重大疾病种类及定义，第 </w:t>
      </w:r>
      <w:r>
        <w:rPr>
          <w:rFonts w:ascii="Times New Roman" w:eastAsia="Times New Roman"/>
        </w:rPr>
        <w:t>26 </w:t>
      </w:r>
      <w:r>
        <w:rPr>
          <w:spacing w:val="-12"/>
        </w:rPr>
        <w:t>种至第 </w:t>
      </w:r>
      <w:r>
        <w:rPr>
          <w:rFonts w:ascii="Times New Roman" w:eastAsia="Times New Roman"/>
        </w:rPr>
        <w:t>44 </w:t>
      </w:r>
      <w:r>
        <w:rPr>
          <w:spacing w:val="-2"/>
        </w:rPr>
        <w:t>种为本公司自</w:t>
      </w:r>
    </w:p>
    <w:p>
      <w:pPr>
        <w:pStyle w:val="BodyText"/>
        <w:spacing w:before="30"/>
        <w:ind w:left="313"/>
      </w:pPr>
      <w:r>
        <w:rPr/>
        <w:t>行增加的 </w:t>
      </w:r>
      <w:r>
        <w:rPr>
          <w:rFonts w:ascii="Times New Roman" w:eastAsia="Times New Roman"/>
        </w:rPr>
        <w:t>19 </w:t>
      </w:r>
      <w:r>
        <w:rPr/>
        <w:t>种重大疾病。</w:t>
      </w:r>
    </w:p>
    <w:p>
      <w:pPr>
        <w:pStyle w:val="BodyText"/>
        <w:spacing w:before="8"/>
        <w:ind w:left="0"/>
        <w:rPr>
          <w:sz w:val="20"/>
        </w:rPr>
      </w:pPr>
    </w:p>
    <w:p>
      <w:pPr>
        <w:pStyle w:val="BodyText"/>
        <w:spacing w:line="280" w:lineRule="auto"/>
        <w:ind w:left="313" w:right="106"/>
      </w:pPr>
      <w:r>
        <w:rPr>
          <w:spacing w:val="-6"/>
        </w:rPr>
        <w:t>本附加合同的重大疾病定义可能与临床医学在概念和范围上有所不同，投保人投保本附加合同即表明其认</w:t>
      </w:r>
      <w:r>
        <w:rPr>
          <w:spacing w:val="-5"/>
        </w:rPr>
        <w:t>可并遵从本附加合同条款中对重大疾病的定义。</w:t>
      </w:r>
    </w:p>
    <w:p>
      <w:pPr>
        <w:pStyle w:val="BodyText"/>
        <w:spacing w:line="276" w:lineRule="auto" w:before="251"/>
        <w:ind w:left="313" w:right="105"/>
      </w:pPr>
      <w:r>
        <w:rPr>
          <w:spacing w:val="-7"/>
        </w:rPr>
        <w:t>本附加合同所指的重大疾病为符合下列定义的疾病、疾病状态或手术。被保险人发生符合以下疾病定义所</w:t>
      </w:r>
      <w:r>
        <w:rPr>
          <w:spacing w:val="-6"/>
        </w:rPr>
        <w:t>述条件的重大疾病，应当由医疗机构的专科医生明确诊断。</w:t>
      </w:r>
    </w:p>
    <w:p>
      <w:pPr>
        <w:pStyle w:val="BodyText"/>
        <w:spacing w:before="3"/>
        <w:ind w:left="0"/>
        <w:rPr>
          <w:sz w:val="20"/>
        </w:rPr>
      </w:pPr>
    </w:p>
    <w:p>
      <w:pPr>
        <w:pStyle w:val="BodyText"/>
        <w:ind w:left="313"/>
      </w:pPr>
      <w:r>
        <w:rPr>
          <w:rFonts w:ascii="Times New Roman" w:eastAsia="Times New Roman"/>
        </w:rPr>
        <w:t>1</w:t>
      </w:r>
      <w:r>
        <w:rPr/>
        <w:t>、 恶性肿瘤</w:t>
      </w:r>
    </w:p>
    <w:p>
      <w:pPr>
        <w:pStyle w:val="BodyText"/>
        <w:spacing w:line="321" w:lineRule="auto" w:before="74"/>
        <w:ind w:left="313" w:right="102"/>
        <w:jc w:val="both"/>
      </w:pPr>
      <w:r>
        <w:rPr>
          <w:spacing w:val="-7"/>
        </w:rPr>
        <w:t>指恶性细胞不受控制的进行性增长和扩散，浸润和破坏周围正常组织，可以经血管、淋巴管和体腔扩散转</w:t>
      </w:r>
      <w:r>
        <w:rPr>
          <w:spacing w:val="-9"/>
        </w:rPr>
        <w:t>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Heading1"/>
        <w:spacing w:line="294" w:lineRule="exact"/>
        <w:ind w:left="313"/>
      </w:pPr>
      <w:r>
        <w:rPr/>
        <w:t>下列疾病不在保障范围内：</w:t>
      </w:r>
    </w:p>
    <w:p>
      <w:pPr>
        <w:spacing w:before="0"/>
        <w:ind w:left="3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1</w:t>
      </w:r>
      <w:r>
        <w:rPr>
          <w:rFonts w:ascii="Microsoft JhengHei" w:eastAsia="Microsoft JhengHei" w:hint="eastAsia"/>
          <w:b/>
          <w:sz w:val="21"/>
        </w:rPr>
        <w:t>）原位癌；</w:t>
      </w:r>
    </w:p>
    <w:p>
      <w:pPr>
        <w:spacing w:line="365" w:lineRule="exact" w:before="3"/>
        <w:ind w:left="3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2</w:t>
      </w:r>
      <w:r>
        <w:rPr>
          <w:rFonts w:ascii="Microsoft JhengHei" w:eastAsia="Microsoft JhengHei" w:hint="eastAsia"/>
          <w:b/>
          <w:sz w:val="21"/>
        </w:rPr>
        <w:t>）相当于 </w:t>
      </w:r>
      <w:r>
        <w:rPr>
          <w:rFonts w:ascii="Times New Roman" w:eastAsia="Times New Roman"/>
          <w:b/>
          <w:sz w:val="21"/>
        </w:rPr>
        <w:t>Binet </w:t>
      </w:r>
      <w:r>
        <w:rPr>
          <w:rFonts w:ascii="Microsoft JhengHei" w:eastAsia="Microsoft JhengHei" w:hint="eastAsia"/>
          <w:b/>
          <w:sz w:val="21"/>
        </w:rPr>
        <w:t>分期方案 </w:t>
      </w:r>
      <w:r>
        <w:rPr>
          <w:rFonts w:ascii="Times New Roman" w:eastAsia="Times New Roman"/>
          <w:b/>
          <w:sz w:val="21"/>
        </w:rPr>
        <w:t>A </w:t>
      </w:r>
      <w:r>
        <w:rPr>
          <w:rFonts w:ascii="Microsoft JhengHei" w:eastAsia="Microsoft JhengHei" w:hint="eastAsia"/>
          <w:b/>
          <w:sz w:val="21"/>
        </w:rPr>
        <w:t>期程度的慢性淋巴细胞白血病；</w:t>
      </w:r>
    </w:p>
    <w:p>
      <w:pPr>
        <w:spacing w:line="365" w:lineRule="exact" w:before="0"/>
        <w:ind w:left="3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3</w:t>
      </w:r>
      <w:r>
        <w:rPr>
          <w:rFonts w:ascii="Microsoft JhengHei" w:eastAsia="Microsoft JhengHei" w:hint="eastAsia"/>
          <w:b/>
          <w:sz w:val="21"/>
        </w:rPr>
        <w:t>）相当于 </w:t>
      </w:r>
      <w:r>
        <w:rPr>
          <w:rFonts w:ascii="Times New Roman" w:eastAsia="Times New Roman"/>
          <w:b/>
          <w:sz w:val="21"/>
        </w:rPr>
        <w:t>Ann Arbor </w:t>
      </w:r>
      <w:r>
        <w:rPr>
          <w:rFonts w:ascii="Microsoft JhengHei" w:eastAsia="Microsoft JhengHei" w:hint="eastAsia"/>
          <w:b/>
          <w:sz w:val="21"/>
        </w:rPr>
        <w:t>分期方案 </w:t>
      </w:r>
      <w:r>
        <w:rPr>
          <w:rFonts w:ascii="Times New Roman" w:eastAsia="Times New Roman"/>
          <w:b/>
          <w:sz w:val="21"/>
        </w:rPr>
        <w:t>I </w:t>
      </w:r>
      <w:r>
        <w:rPr>
          <w:rFonts w:ascii="Microsoft JhengHei" w:eastAsia="Microsoft JhengHei" w:hint="eastAsia"/>
          <w:b/>
          <w:sz w:val="21"/>
        </w:rPr>
        <w:t>期程度的何杰金氏病；</w:t>
      </w:r>
    </w:p>
    <w:p>
      <w:pPr>
        <w:spacing w:line="365" w:lineRule="exact" w:before="0"/>
        <w:ind w:left="3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4</w:t>
      </w:r>
      <w:r>
        <w:rPr>
          <w:rFonts w:ascii="Microsoft JhengHei" w:eastAsia="Microsoft JhengHei" w:hint="eastAsia"/>
          <w:b/>
          <w:sz w:val="21"/>
        </w:rPr>
        <w:t>）皮肤癌（不包括恶性黑色素瘤及已发生转移的皮肤癌）；</w:t>
      </w:r>
    </w:p>
    <w:p>
      <w:pPr>
        <w:spacing w:line="365" w:lineRule="exact" w:before="0"/>
        <w:ind w:left="3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5</w:t>
      </w:r>
      <w:r>
        <w:rPr>
          <w:rFonts w:ascii="Microsoft JhengHei" w:eastAsia="Microsoft JhengHei" w:hint="eastAsia"/>
          <w:b/>
          <w:sz w:val="21"/>
        </w:rPr>
        <w:t>）</w:t>
      </w:r>
      <w:r>
        <w:rPr>
          <w:rFonts w:ascii="Times New Roman" w:eastAsia="Times New Roman"/>
          <w:b/>
          <w:sz w:val="21"/>
        </w:rPr>
        <w:t>TNM </w:t>
      </w:r>
      <w:r>
        <w:rPr>
          <w:rFonts w:ascii="Microsoft JhengHei" w:eastAsia="Microsoft JhengHei" w:hint="eastAsia"/>
          <w:b/>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rFonts w:ascii="Microsoft JhengHei" w:eastAsia="Microsoft JhengHei" w:hint="eastAsia"/>
          <w:b/>
          <w:sz w:val="21"/>
          <w:vertAlign w:val="baseline"/>
        </w:rPr>
        <w:t>期或更轻分期的前列腺癌；</w:t>
      </w:r>
    </w:p>
    <w:p>
      <w:pPr>
        <w:spacing w:before="0"/>
        <w:ind w:left="3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6</w:t>
      </w:r>
      <w:r>
        <w:rPr>
          <w:rFonts w:ascii="Microsoft JhengHei" w:eastAsia="Microsoft JhengHei" w:hint="eastAsia"/>
          <w:b/>
          <w:sz w:val="21"/>
        </w:rPr>
        <w:t>）感染艾滋病病毒或患艾滋病期间所患恶性肿瘤。</w:t>
      </w:r>
    </w:p>
    <w:p>
      <w:pPr>
        <w:pStyle w:val="BodyText"/>
        <w:spacing w:before="14"/>
        <w:ind w:left="0"/>
        <w:rPr>
          <w:rFonts w:ascii="Microsoft JhengHei"/>
          <w:b/>
          <w:sz w:val="17"/>
        </w:rPr>
      </w:pPr>
    </w:p>
    <w:p>
      <w:pPr>
        <w:pStyle w:val="BodyText"/>
        <w:ind w:left="313"/>
      </w:pPr>
      <w:r>
        <w:rPr>
          <w:rFonts w:ascii="Times New Roman" w:eastAsia="Times New Roman"/>
        </w:rPr>
        <w:t>2</w:t>
      </w:r>
      <w:r>
        <w:rPr/>
        <w:t>、 急性心肌梗塞</w:t>
      </w:r>
    </w:p>
    <w:p>
      <w:pPr>
        <w:pStyle w:val="BodyText"/>
        <w:spacing w:line="319" w:lineRule="auto" w:before="73"/>
        <w:ind w:left="313" w:right="3864"/>
      </w:pPr>
      <w:r>
        <w:rPr/>
        <w:t>指因冠状动脉阻塞导致的相应区域供血不足造成部分心肌坏死。须满足下列至少三项条件：</w:t>
      </w:r>
    </w:p>
    <w:p>
      <w:pPr>
        <w:pStyle w:val="BodyText"/>
        <w:spacing w:before="25"/>
        <w:ind w:left="313"/>
      </w:pPr>
      <w:r>
        <w:rPr/>
        <w:t>（</w:t>
      </w:r>
      <w:r>
        <w:rPr>
          <w:rFonts w:ascii="Times New Roman" w:eastAsia="Times New Roman"/>
        </w:rPr>
        <w:t>1</w:t>
      </w:r>
      <w:r>
        <w:rPr/>
        <w:t>）典型临床表现，例如急性胸痛等；</w:t>
      </w:r>
    </w:p>
    <w:p>
      <w:pPr>
        <w:pStyle w:val="BodyText"/>
        <w:spacing w:before="73"/>
        <w:ind w:left="313"/>
      </w:pPr>
      <w:r>
        <w:rPr/>
        <w:t>（</w:t>
      </w:r>
      <w:r>
        <w:rPr>
          <w:rFonts w:ascii="Times New Roman" w:eastAsia="Times New Roman"/>
        </w:rPr>
        <w:t>2</w:t>
      </w:r>
      <w:r>
        <w:rPr/>
        <w:t>）新近的心电图改变提示急性心肌梗塞；</w:t>
      </w:r>
    </w:p>
    <w:p>
      <w:pPr>
        <w:pStyle w:val="BodyText"/>
        <w:spacing w:before="73"/>
        <w:ind w:left="313"/>
      </w:pPr>
      <w:r>
        <w:rPr/>
        <w:t>（</w:t>
      </w:r>
      <w:r>
        <w:rPr>
          <w:rFonts w:ascii="Times New Roman" w:eastAsia="Times New Roman"/>
        </w:rPr>
        <w:t>3</w:t>
      </w:r>
      <w:r>
        <w:rPr/>
        <w:t>）心肌酶或肌钙蛋白有诊断意义的升高，或呈符合急性心肌梗塞的动态性变化；</w:t>
      </w:r>
    </w:p>
    <w:p>
      <w:pPr>
        <w:pStyle w:val="BodyText"/>
        <w:spacing w:before="73"/>
        <w:ind w:left="313"/>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4"/>
        <w:ind w:left="0"/>
        <w:rPr>
          <w:sz w:val="24"/>
        </w:rPr>
      </w:pPr>
    </w:p>
    <w:p>
      <w:pPr>
        <w:pStyle w:val="BodyText"/>
        <w:ind w:left="313"/>
      </w:pPr>
      <w:r>
        <w:rPr>
          <w:rFonts w:ascii="Times New Roman" w:eastAsia="Times New Roman"/>
        </w:rPr>
        <w:t>3</w:t>
      </w:r>
      <w:r>
        <w:rPr/>
        <w:t>、 脑中风后遗症</w:t>
      </w:r>
    </w:p>
    <w:p>
      <w:pPr>
        <w:spacing w:after="0"/>
        <w:sectPr>
          <w:pgSz w:w="11910" w:h="16840"/>
          <w:pgMar w:header="0" w:footer="576" w:top="1000" w:bottom="760" w:left="820" w:right="1020"/>
        </w:sectPr>
      </w:pPr>
    </w:p>
    <w:p>
      <w:pPr>
        <w:pStyle w:val="BodyText"/>
        <w:spacing w:line="321" w:lineRule="auto" w:before="70"/>
        <w:ind w:right="205"/>
      </w:pPr>
      <w:r>
        <w:rPr>
          <w:spacing w:val="-7"/>
        </w:rPr>
        <w:t>指因脑血管的突发病变引起脑血管出血、栓塞或梗塞，并导致神经系统永久性的功能障碍。神经系统永久</w:t>
      </w:r>
      <w:r>
        <w:rPr>
          <w:spacing w:val="-9"/>
        </w:rPr>
        <w:t>性的功能障碍，指疾病确诊 </w:t>
      </w:r>
      <w:r>
        <w:rPr>
          <w:rFonts w:ascii="Times New Roman" w:eastAsia="Times New Roman"/>
        </w:rPr>
        <w:t>180 </w:t>
      </w:r>
      <w:r>
        <w:rPr>
          <w:spacing w:val="-5"/>
        </w:rPr>
        <w:t>天后，仍遗留下列一种或一种以上障碍：</w:t>
      </w:r>
    </w:p>
    <w:p>
      <w:pPr>
        <w:spacing w:line="293" w:lineRule="exact" w:before="0"/>
        <w:ind w:left="113" w:right="0" w:firstLine="0"/>
        <w:jc w:val="left"/>
        <w:rPr>
          <w:sz w:val="21"/>
        </w:rPr>
      </w:pPr>
      <w:r>
        <w:rPr>
          <w:w w:val="100"/>
          <w:sz w:val="21"/>
        </w:rPr>
        <w:t>（</w:t>
      </w:r>
      <w:r>
        <w:rPr>
          <w:rFonts w:ascii="Times New Roman" w:eastAsia="Times New Roman"/>
          <w:w w:val="100"/>
          <w:sz w:val="21"/>
        </w:rPr>
        <w:t>1</w:t>
      </w:r>
      <w:r>
        <w:rPr>
          <w:w w:val="100"/>
          <w:sz w:val="21"/>
        </w:rPr>
        <w:t>）</w:t>
      </w:r>
      <w:r>
        <w:rPr>
          <w:spacing w:val="-3"/>
          <w:w w:val="100"/>
          <w:sz w:val="21"/>
        </w:rPr>
        <w:t>一肢或一肢以上</w:t>
      </w:r>
      <w:r>
        <w:rPr>
          <w:rFonts w:ascii="Microsoft JhengHei" w:eastAsia="Microsoft JhengHei" w:hint="eastAsia"/>
          <w:b/>
          <w:spacing w:val="-3"/>
          <w:w w:val="100"/>
          <w:sz w:val="21"/>
        </w:rPr>
        <w:t>肢体机能完全丧失</w:t>
      </w:r>
      <w:r>
        <w:rPr>
          <w:rFonts w:ascii="Microsoft JhengHei" w:eastAsia="Microsoft JhengHei" w:hint="eastAsia"/>
          <w:b/>
          <w:w w:val="100"/>
          <w:sz w:val="21"/>
        </w:rPr>
        <w:t>（见释义</w:t>
      </w:r>
      <w:r>
        <w:rPr>
          <w:rFonts w:ascii="Microsoft JhengHei" w:eastAsia="Microsoft JhengHei" w:hint="eastAsia"/>
          <w:b/>
          <w:spacing w:val="-105"/>
          <w:w w:val="100"/>
          <w:sz w:val="21"/>
        </w:rPr>
        <w:t>）</w:t>
      </w:r>
      <w:r>
        <w:rPr>
          <w:w w:val="100"/>
          <w:sz w:val="21"/>
        </w:rPr>
        <w:t>；</w:t>
      </w:r>
    </w:p>
    <w:p>
      <w:pPr>
        <w:pStyle w:val="Heading1"/>
        <w:spacing w:line="365" w:lineRule="exact"/>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5"/>
          <w:w w:val="100"/>
        </w:rPr>
        <w:t>）</w:t>
      </w:r>
      <w:r>
        <w:rPr>
          <w:spacing w:val="-2"/>
          <w:w w:val="100"/>
        </w:rPr>
        <w:t>语言能力或咀嚼吞咽能力完全丧失</w:t>
      </w:r>
      <w:r>
        <w:rPr>
          <w:spacing w:val="-5"/>
          <w:w w:val="100"/>
        </w:rPr>
        <w:t>（</w:t>
      </w:r>
      <w:r>
        <w:rPr>
          <w:w w:val="100"/>
        </w:rPr>
        <w:t>见释义</w:t>
      </w:r>
      <w:r>
        <w:rPr>
          <w:spacing w:val="-104"/>
          <w:w w:val="100"/>
        </w:rPr>
        <w:t>）</w:t>
      </w:r>
      <w:r>
        <w:rPr>
          <w:rFonts w:ascii="宋体" w:eastAsia="宋体" w:hint="eastAsia"/>
          <w:b w:val="0"/>
          <w:w w:val="100"/>
        </w:rPr>
        <w:t>；</w:t>
      </w:r>
    </w:p>
    <w:p>
      <w:pPr>
        <w:spacing w:before="0"/>
        <w:ind w:left="113" w:right="0" w:firstLine="0"/>
        <w:jc w:val="left"/>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六项基本日常生活活动（见释义）</w:t>
      </w:r>
      <w:r>
        <w:rPr>
          <w:sz w:val="21"/>
        </w:rPr>
        <w:t>中的三项或三项以上。</w:t>
      </w:r>
    </w:p>
    <w:p>
      <w:pPr>
        <w:pStyle w:val="BodyText"/>
        <w:spacing w:before="10"/>
        <w:ind w:left="0"/>
        <w:rPr>
          <w:sz w:val="23"/>
        </w:rPr>
      </w:pPr>
    </w:p>
    <w:p>
      <w:pPr>
        <w:pStyle w:val="BodyText"/>
      </w:pPr>
      <w:r>
        <w:rPr>
          <w:rFonts w:ascii="Times New Roman" w:eastAsia="Times New Roman"/>
        </w:rPr>
        <w:t>4</w:t>
      </w:r>
      <w:r>
        <w:rPr/>
        <w:t>、 重大器官移植术或造血干细胞移植术</w:t>
      </w:r>
    </w:p>
    <w:p>
      <w:pPr>
        <w:pStyle w:val="BodyText"/>
        <w:spacing w:before="73"/>
      </w:pPr>
      <w:r>
        <w:rPr/>
        <w:t>重大器官移植术，指因相应器官功能衰竭，已经实施了肾脏、肝脏、心脏或肺脏的异体移植手术。</w:t>
      </w:r>
    </w:p>
    <w:p>
      <w:pPr>
        <w:pStyle w:val="BodyText"/>
        <w:spacing w:line="319" w:lineRule="auto" w:before="89"/>
        <w:ind w:right="205"/>
      </w:pPr>
      <w:r>
        <w:rPr>
          <w:spacing w:val="-7"/>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spacing w:before="3"/>
        <w:ind w:left="0"/>
        <w:rPr>
          <w:sz w:val="20"/>
        </w:rPr>
      </w:pPr>
    </w:p>
    <w:p>
      <w:pPr>
        <w:pStyle w:val="BodyText"/>
      </w:pPr>
      <w:r>
        <w:rPr>
          <w:rFonts w:ascii="Times New Roman" w:eastAsia="Times New Roman"/>
        </w:rPr>
        <w:t>5</w:t>
      </w:r>
      <w:r>
        <w:rPr/>
        <w:t>、 冠状动脉搭桥术（或称冠状动脉旁路移植术）</w:t>
      </w:r>
    </w:p>
    <w:p>
      <w:pPr>
        <w:pStyle w:val="BodyText"/>
        <w:spacing w:before="73"/>
      </w:pPr>
      <w:r>
        <w:rPr/>
        <w:t>指为治疗严重的冠心病，实际实施了开胸进行的冠状动脉血管旁路移植的手术。</w:t>
      </w:r>
    </w:p>
    <w:p>
      <w:pPr>
        <w:pStyle w:val="Heading1"/>
        <w:spacing w:line="242" w:lineRule="auto" w:before="22"/>
        <w:ind w:right="205"/>
      </w:pPr>
      <w:r>
        <w:rPr>
          <w:spacing w:val="-6"/>
        </w:rPr>
        <w:t>冠状动脉支架植入术、心导管球囊扩张术、激光射频技术及其它非开胸的介入手术、腔镜手术不在保障范围内。</w:t>
      </w:r>
    </w:p>
    <w:p>
      <w:pPr>
        <w:pStyle w:val="BodyText"/>
        <w:spacing w:before="6"/>
        <w:ind w:left="0"/>
        <w:rPr>
          <w:rFonts w:ascii="Microsoft JhengHei"/>
          <w:b/>
          <w:sz w:val="17"/>
        </w:rPr>
      </w:pPr>
    </w:p>
    <w:p>
      <w:pPr>
        <w:pStyle w:val="BodyText"/>
      </w:pPr>
      <w:r>
        <w:rPr>
          <w:rFonts w:ascii="Times New Roman" w:eastAsia="Times New Roman"/>
        </w:rPr>
        <w:t>6</w:t>
      </w:r>
      <w:r>
        <w:rPr/>
        <w:t>、 终末期肾病（或称慢性肾功能衰竭尿毒症期）</w:t>
      </w:r>
    </w:p>
    <w:p>
      <w:pPr>
        <w:pStyle w:val="BodyText"/>
        <w:spacing w:line="304" w:lineRule="auto" w:before="73"/>
        <w:ind w:right="289"/>
      </w:pPr>
      <w:r>
        <w:rPr>
          <w:spacing w:val="-6"/>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BodyText"/>
        <w:spacing w:before="11"/>
        <w:ind w:left="0"/>
        <w:rPr>
          <w:sz w:val="20"/>
        </w:rPr>
      </w:pPr>
    </w:p>
    <w:p>
      <w:pPr>
        <w:pStyle w:val="BodyText"/>
      </w:pPr>
      <w:r>
        <w:rPr>
          <w:rFonts w:ascii="Times New Roman" w:eastAsia="Times New Roman"/>
        </w:rPr>
        <w:t>7</w:t>
      </w:r>
      <w:r>
        <w:rPr/>
        <w:t>、 多个肢体缺失</w:t>
      </w:r>
    </w:p>
    <w:p>
      <w:pPr>
        <w:pStyle w:val="BodyText"/>
        <w:spacing w:before="74"/>
      </w:pPr>
      <w:r>
        <w:rPr/>
        <w:t>指因疾病或意外伤害导致两个或两个以上肢体自腕关节或踝关节近端（靠近躯干端）以上完全性断离。</w:t>
      </w:r>
    </w:p>
    <w:p>
      <w:pPr>
        <w:pStyle w:val="BodyText"/>
        <w:spacing w:before="8"/>
        <w:ind w:left="0"/>
        <w:rPr>
          <w:sz w:val="25"/>
        </w:rPr>
      </w:pPr>
    </w:p>
    <w:p>
      <w:pPr>
        <w:pStyle w:val="BodyText"/>
      </w:pPr>
      <w:r>
        <w:rPr>
          <w:rFonts w:ascii="Times New Roman" w:eastAsia="Times New Roman"/>
        </w:rPr>
        <w:t>8</w:t>
      </w:r>
      <w:r>
        <w:rPr/>
        <w:t>、 急性或亚急性重症肝炎</w:t>
      </w:r>
    </w:p>
    <w:p>
      <w:pPr>
        <w:pStyle w:val="BodyText"/>
        <w:spacing w:line="319" w:lineRule="auto" w:before="74"/>
        <w:ind w:right="203"/>
      </w:pPr>
      <w:r>
        <w:rPr>
          <w:spacing w:val="-7"/>
        </w:rPr>
        <w:t>指因肝炎病毒感染引起肝脏组织弥漫性坏死，导致急性肝功能衰竭，且经血清学或病毒学检查证实，并须</w:t>
      </w:r>
      <w:r>
        <w:rPr>
          <w:spacing w:val="-6"/>
        </w:rPr>
        <w:t>满足下列全部条件：</w:t>
      </w:r>
    </w:p>
    <w:p>
      <w:pPr>
        <w:pStyle w:val="BodyText"/>
        <w:spacing w:before="20"/>
      </w:pPr>
      <w:r>
        <w:rPr/>
        <w:t>（</w:t>
      </w:r>
      <w:r>
        <w:rPr>
          <w:rFonts w:ascii="Times New Roman" w:eastAsia="Times New Roman"/>
        </w:rPr>
        <w:t>1</w:t>
      </w:r>
      <w:r>
        <w:rPr/>
        <w:t>）重度黄疸或黄疸迅速加重；</w:t>
      </w:r>
    </w:p>
    <w:p>
      <w:pPr>
        <w:pStyle w:val="BodyText"/>
        <w:spacing w:before="78"/>
      </w:pPr>
      <w:r>
        <w:rPr/>
        <w:t>（</w:t>
      </w:r>
      <w:r>
        <w:rPr>
          <w:rFonts w:ascii="Times New Roman" w:eastAsia="Times New Roman"/>
        </w:rPr>
        <w:t>2</w:t>
      </w:r>
      <w:r>
        <w:rPr/>
        <w:t>）肝性脑病；</w:t>
      </w:r>
    </w:p>
    <w:p>
      <w:pPr>
        <w:pStyle w:val="BodyText"/>
        <w:spacing w:before="74"/>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73"/>
      </w:pPr>
      <w:r>
        <w:rPr/>
        <w:t>（</w:t>
      </w:r>
      <w:r>
        <w:rPr>
          <w:rFonts w:ascii="Times New Roman" w:eastAsia="Times New Roman"/>
        </w:rPr>
        <w:t>4</w:t>
      </w:r>
      <w:r>
        <w:rPr/>
        <w:t>）肝功能指标进行性恶化。</w:t>
      </w:r>
    </w:p>
    <w:p>
      <w:pPr>
        <w:pStyle w:val="BodyText"/>
        <w:spacing w:before="4"/>
        <w:ind w:left="0"/>
        <w:rPr>
          <w:sz w:val="24"/>
        </w:rPr>
      </w:pPr>
    </w:p>
    <w:p>
      <w:pPr>
        <w:pStyle w:val="BodyText"/>
      </w:pPr>
      <w:r>
        <w:rPr>
          <w:rFonts w:ascii="Times New Roman" w:eastAsia="Times New Roman"/>
        </w:rPr>
        <w:t>9</w:t>
      </w:r>
      <w:r>
        <w:rPr/>
        <w:t>、 良性脑肿瘤</w:t>
      </w:r>
    </w:p>
    <w:p>
      <w:pPr>
        <w:pStyle w:val="BodyText"/>
        <w:spacing w:line="309" w:lineRule="auto" w:before="73"/>
        <w:ind w:right="100"/>
      </w:pPr>
      <w:r>
        <w:rPr>
          <w:spacing w:val="-10"/>
        </w:rPr>
        <w:t>指脑的良性肿瘤，已经引起颅内压增高，临床表现为视神经乳头水肿、精神症状、癫痫及运动感觉障碍等， </w:t>
      </w:r>
      <w:r>
        <w:rPr>
          <w:spacing w:val="-7"/>
          <w:w w:val="100"/>
        </w:rPr>
        <w:t>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1"/>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1"/>
          <w:w w:val="100"/>
        </w:rPr>
        <w:t>I</w:t>
      </w:r>
      <w:r>
        <w:rPr>
          <w:w w:val="100"/>
        </w:rPr>
        <w:t>）或正电子发射断层扫描</w:t>
      </w:r>
      <w:r>
        <w:rPr>
          <w:spacing w:val="0"/>
          <w:w w:val="100"/>
        </w:rPr>
        <w:t>（</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4"/>
          <w:w w:val="100"/>
        </w:rPr>
        <w:t>T</w:t>
      </w:r>
      <w:r>
        <w:rPr>
          <w:spacing w:val="3"/>
          <w:w w:val="100"/>
        </w:rPr>
        <w:t>）</w:t>
      </w:r>
      <w:r>
        <w:rPr>
          <w:w w:val="100"/>
        </w:rPr>
        <w:t>等影像学</w:t>
      </w:r>
      <w:r>
        <w:rPr>
          <w:spacing w:val="-4"/>
        </w:rPr>
        <w:t>检查证实，并须满足下列至少一项条件：</w:t>
      </w:r>
    </w:p>
    <w:p>
      <w:pPr>
        <w:pStyle w:val="BodyText"/>
        <w:spacing w:before="33"/>
      </w:pPr>
      <w:r>
        <w:rPr/>
        <w:t>（</w:t>
      </w:r>
      <w:r>
        <w:rPr>
          <w:rFonts w:ascii="Times New Roman" w:eastAsia="Times New Roman"/>
        </w:rPr>
        <w:t>1</w:t>
      </w:r>
      <w:r>
        <w:rPr/>
        <w:t>）实际实施了开颅进行的脑肿瘤完全切除或部分切除的手术；</w:t>
      </w:r>
    </w:p>
    <w:p>
      <w:pPr>
        <w:pStyle w:val="BodyText"/>
        <w:spacing w:before="74"/>
      </w:pPr>
      <w:r>
        <w:rPr/>
        <w:t>（</w:t>
      </w:r>
      <w:r>
        <w:rPr>
          <w:rFonts w:ascii="Times New Roman" w:eastAsia="Times New Roman"/>
        </w:rPr>
        <w:t>2</w:t>
      </w:r>
      <w:r>
        <w:rPr/>
        <w:t>）实际实施了对脑肿瘤进行的放射治疗。</w:t>
      </w:r>
    </w:p>
    <w:p>
      <w:pPr>
        <w:pStyle w:val="Heading1"/>
        <w:spacing w:before="8"/>
      </w:pPr>
      <w:r>
        <w:rPr/>
        <w:t>脑垂体瘤、脑囊肿、脑血管性疾病不在保障范围内。</w:t>
      </w:r>
    </w:p>
    <w:p>
      <w:pPr>
        <w:pStyle w:val="BodyText"/>
        <w:spacing w:before="15"/>
        <w:ind w:left="0"/>
        <w:rPr>
          <w:rFonts w:ascii="Microsoft JhengHei"/>
          <w:b/>
          <w:sz w:val="17"/>
        </w:rPr>
      </w:pPr>
    </w:p>
    <w:p>
      <w:pPr>
        <w:pStyle w:val="BodyText"/>
      </w:pPr>
      <w:r>
        <w:rPr>
          <w:rFonts w:ascii="Times New Roman" w:eastAsia="Times New Roman"/>
        </w:rPr>
        <w:t>10</w:t>
      </w:r>
      <w:r>
        <w:rPr/>
        <w:t>、慢性肝功能衰竭失代偿期</w:t>
      </w:r>
    </w:p>
    <w:p>
      <w:pPr>
        <w:pStyle w:val="BodyText"/>
        <w:spacing w:before="74"/>
      </w:pPr>
      <w:r>
        <w:rPr/>
        <w:t>指因慢性肝脏疾病导致肝功能衰竭。须满足下列全部条件：</w:t>
      </w:r>
    </w:p>
    <w:p>
      <w:pPr>
        <w:pStyle w:val="BodyText"/>
        <w:spacing w:before="90"/>
      </w:pPr>
      <w:r>
        <w:rPr/>
        <w:t>（</w:t>
      </w:r>
      <w:r>
        <w:rPr>
          <w:rFonts w:ascii="Times New Roman" w:eastAsia="Times New Roman"/>
        </w:rPr>
        <w:t>1</w:t>
      </w:r>
      <w:r>
        <w:rPr/>
        <w:t>）持续性黄疸；</w:t>
      </w:r>
    </w:p>
    <w:p>
      <w:pPr>
        <w:pStyle w:val="BodyText"/>
        <w:spacing w:before="74"/>
      </w:pPr>
      <w:r>
        <w:rPr/>
        <w:t>（</w:t>
      </w:r>
      <w:r>
        <w:rPr>
          <w:rFonts w:ascii="Times New Roman" w:eastAsia="Times New Roman"/>
        </w:rPr>
        <w:t>2</w:t>
      </w:r>
      <w:r>
        <w:rPr/>
        <w:t>）腹水；</w:t>
      </w:r>
    </w:p>
    <w:p>
      <w:pPr>
        <w:spacing w:after="0"/>
        <w:sectPr>
          <w:pgSz w:w="11910" w:h="16840"/>
          <w:pgMar w:header="0" w:footer="576" w:top="780" w:bottom="760" w:left="1020" w:right="920"/>
        </w:sectPr>
      </w:pPr>
    </w:p>
    <w:p>
      <w:pPr>
        <w:pStyle w:val="BodyText"/>
        <w:spacing w:before="70"/>
      </w:pPr>
      <w:r>
        <w:rPr/>
        <w:t>（</w:t>
      </w:r>
      <w:r>
        <w:rPr>
          <w:rFonts w:ascii="Times New Roman" w:eastAsia="Times New Roman"/>
        </w:rPr>
        <w:t>3</w:t>
      </w:r>
      <w:r>
        <w:rPr/>
        <w:t>）肝性脑病；</w:t>
      </w:r>
    </w:p>
    <w:p>
      <w:pPr>
        <w:spacing w:line="247" w:lineRule="auto" w:before="78"/>
        <w:ind w:left="113" w:right="4723" w:firstLine="0"/>
        <w:jc w:val="left"/>
        <w:rPr>
          <w:rFonts w:ascii="Microsoft JhengHei" w:eastAsia="Microsoft JhengHei" w:hint="eastAsia"/>
          <w:b/>
          <w:sz w:val="21"/>
        </w:rPr>
      </w:pPr>
      <w:r>
        <w:rPr>
          <w:sz w:val="21"/>
        </w:rPr>
        <w:t>（</w:t>
      </w:r>
      <w:r>
        <w:rPr>
          <w:rFonts w:ascii="Times New Roman" w:eastAsia="Times New Roman"/>
          <w:sz w:val="21"/>
        </w:rPr>
        <w:t>4</w:t>
      </w:r>
      <w:r>
        <w:rPr>
          <w:sz w:val="21"/>
        </w:rPr>
        <w:t>）充血性脾肿大伴脾功能亢进或食管胃底静脉曲张。</w:t>
      </w:r>
      <w:r>
        <w:rPr>
          <w:rFonts w:ascii="Microsoft JhengHei" w:eastAsia="Microsoft JhengHei" w:hint="eastAsia"/>
          <w:b/>
          <w:sz w:val="21"/>
        </w:rPr>
        <w:t>因酗酒或药物滥用导致的肝功能衰竭不在保障范围内。</w:t>
      </w:r>
    </w:p>
    <w:p>
      <w:pPr>
        <w:pStyle w:val="BodyText"/>
        <w:spacing w:before="1"/>
        <w:ind w:left="0"/>
        <w:rPr>
          <w:rFonts w:ascii="Microsoft JhengHei"/>
          <w:b/>
          <w:sz w:val="17"/>
        </w:rPr>
      </w:pPr>
    </w:p>
    <w:p>
      <w:pPr>
        <w:pStyle w:val="BodyText"/>
        <w:spacing w:before="1"/>
      </w:pPr>
      <w:r>
        <w:rPr>
          <w:rFonts w:ascii="Times New Roman" w:eastAsia="Times New Roman"/>
        </w:rPr>
        <w:t>11</w:t>
      </w:r>
      <w:r>
        <w:rPr/>
        <w:t>、脑炎后遗症或脑膜炎后遗症</w:t>
      </w:r>
    </w:p>
    <w:p>
      <w:pPr>
        <w:pStyle w:val="BodyText"/>
        <w:spacing w:line="304" w:lineRule="auto" w:before="74"/>
        <w:ind w:right="221"/>
      </w:pPr>
      <w:r>
        <w:rPr>
          <w:spacing w:val="-8"/>
        </w:rPr>
        <w:t>指因患脑炎或脑膜炎导致的神经系统永久性的功能障碍。神经系统永久性的功能障碍，指疾病确诊 </w:t>
      </w:r>
      <w:r>
        <w:rPr>
          <w:rFonts w:ascii="Times New Roman" w:eastAsia="Times New Roman"/>
        </w:rPr>
        <w:t>180 </w:t>
      </w:r>
      <w:r>
        <w:rPr/>
        <w:t>天</w:t>
      </w:r>
      <w:r>
        <w:rPr>
          <w:spacing w:val="-3"/>
        </w:rPr>
        <w:t>后，仍遗留下列一种或一种以上障碍：</w:t>
      </w:r>
    </w:p>
    <w:p>
      <w:pPr>
        <w:pStyle w:val="BodyText"/>
        <w:spacing w:before="33"/>
        <w:jc w:val="both"/>
      </w:pPr>
      <w:r>
        <w:rPr/>
        <w:t>（</w:t>
      </w:r>
      <w:r>
        <w:rPr>
          <w:rFonts w:ascii="Times New Roman" w:eastAsia="Times New Roman"/>
        </w:rPr>
        <w:t>1</w:t>
      </w:r>
      <w:r>
        <w:rPr/>
        <w:t>）一肢或一肢以上肢体机能完全丧失；</w:t>
      </w:r>
    </w:p>
    <w:p>
      <w:pPr>
        <w:pStyle w:val="BodyText"/>
        <w:spacing w:before="74"/>
        <w:jc w:val="both"/>
      </w:pPr>
      <w:r>
        <w:rPr/>
        <w:t>（</w:t>
      </w:r>
      <w:r>
        <w:rPr>
          <w:rFonts w:ascii="Times New Roman" w:eastAsia="Times New Roman"/>
        </w:rPr>
        <w:t>2</w:t>
      </w:r>
      <w:r>
        <w:rPr/>
        <w:t>）语言能力或咀嚼吞咽能力完全丧失；</w:t>
      </w:r>
    </w:p>
    <w:p>
      <w:pPr>
        <w:pStyle w:val="BodyText"/>
        <w:spacing w:before="74"/>
        <w:jc w:val="both"/>
      </w:pPr>
      <w:r>
        <w:rPr/>
        <w:t>（</w:t>
      </w:r>
      <w:r>
        <w:rPr>
          <w:rFonts w:ascii="Times New Roman" w:eastAsia="Times New Roman"/>
        </w:rPr>
        <w:t>3</w:t>
      </w:r>
      <w:r>
        <w:rPr/>
        <w:t>）自主生活能力完全丧失，无法独立完成六项基本日常生活活动中的三项或三项以上。</w:t>
      </w:r>
    </w:p>
    <w:p>
      <w:pPr>
        <w:pStyle w:val="BodyText"/>
        <w:spacing w:before="4"/>
        <w:ind w:left="0"/>
        <w:rPr>
          <w:sz w:val="24"/>
        </w:rPr>
      </w:pPr>
    </w:p>
    <w:p>
      <w:pPr>
        <w:pStyle w:val="BodyText"/>
        <w:jc w:val="both"/>
      </w:pPr>
      <w:r>
        <w:rPr>
          <w:rFonts w:ascii="Times New Roman" w:eastAsia="Times New Roman"/>
        </w:rPr>
        <w:t>12</w:t>
      </w:r>
      <w:r>
        <w:rPr/>
        <w:t>、深度昏迷</w:t>
      </w:r>
    </w:p>
    <w:p>
      <w:pPr>
        <w:pStyle w:val="BodyText"/>
        <w:spacing w:before="73"/>
        <w:jc w:val="both"/>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p>
    <w:p>
      <w:pPr>
        <w:spacing w:line="249" w:lineRule="auto" w:before="73"/>
        <w:ind w:left="113" w:right="116" w:firstLine="0"/>
        <w:jc w:val="left"/>
        <w:rPr>
          <w:rFonts w:ascii="Microsoft JhengHei" w:eastAsia="Microsoft JhengHei" w:hint="eastAsia"/>
          <w:b/>
          <w:sz w:val="21"/>
        </w:rPr>
      </w:pPr>
      <w:r>
        <w:rPr>
          <w:sz w:val="21"/>
        </w:rPr>
        <w:t>（</w:t>
      </w:r>
      <w:r>
        <w:rPr>
          <w:rFonts w:ascii="Times New Roman" w:eastAsia="Times New Roman"/>
          <w:sz w:val="21"/>
        </w:rPr>
        <w:t>Glasgow </w:t>
      </w:r>
      <w:r>
        <w:rPr>
          <w:rFonts w:ascii="Times New Roman" w:eastAsia="Times New Roman"/>
          <w:spacing w:val="-3"/>
          <w:sz w:val="21"/>
        </w:rPr>
        <w:t>coma </w:t>
      </w:r>
      <w:r>
        <w:rPr>
          <w:rFonts w:ascii="Times New Roman" w:eastAsia="Times New Roman"/>
          <w:spacing w:val="-7"/>
          <w:sz w:val="21"/>
        </w:rPr>
        <w:t>scale</w:t>
      </w:r>
      <w:r>
        <w:rPr>
          <w:spacing w:val="-7"/>
          <w:sz w:val="21"/>
        </w:rPr>
        <w:t>）</w:t>
      </w:r>
      <w:r>
        <w:rPr>
          <w:spacing w:val="-12"/>
          <w:sz w:val="21"/>
        </w:rPr>
        <w:t>结果为 </w:t>
      </w:r>
      <w:r>
        <w:rPr>
          <w:rFonts w:ascii="Times New Roman" w:eastAsia="Times New Roman"/>
          <w:sz w:val="21"/>
        </w:rPr>
        <w:t>5 </w:t>
      </w:r>
      <w:r>
        <w:rPr>
          <w:spacing w:val="-16"/>
          <w:sz w:val="21"/>
        </w:rPr>
        <w:t>分或 </w:t>
      </w:r>
      <w:r>
        <w:rPr>
          <w:rFonts w:ascii="Times New Roman" w:eastAsia="Times New Roman"/>
          <w:sz w:val="21"/>
        </w:rPr>
        <w:t>5 </w:t>
      </w:r>
      <w:r>
        <w:rPr>
          <w:spacing w:val="-9"/>
          <w:sz w:val="21"/>
        </w:rPr>
        <w:t>分以下，且已经持续使用呼吸机及其它生命维持系统 </w:t>
      </w:r>
      <w:r>
        <w:rPr>
          <w:rFonts w:ascii="Times New Roman" w:eastAsia="Times New Roman"/>
          <w:sz w:val="21"/>
        </w:rPr>
        <w:t>96 </w:t>
      </w:r>
      <w:r>
        <w:rPr>
          <w:spacing w:val="-2"/>
          <w:sz w:val="21"/>
        </w:rPr>
        <w:t>小时以上。</w:t>
      </w:r>
      <w:r>
        <w:rPr>
          <w:rFonts w:ascii="Microsoft JhengHei" w:eastAsia="Microsoft JhengHei" w:hint="eastAsia"/>
          <w:b/>
          <w:spacing w:val="-5"/>
          <w:sz w:val="21"/>
        </w:rPr>
        <w:t>因酗酒或药物滥用导致的深度昏迷不在保障范围内。</w:t>
      </w:r>
    </w:p>
    <w:p>
      <w:pPr>
        <w:pStyle w:val="BodyText"/>
        <w:spacing w:before="16"/>
        <w:ind w:left="0"/>
        <w:rPr>
          <w:rFonts w:ascii="Microsoft JhengHei"/>
          <w:b/>
          <w:sz w:val="16"/>
        </w:rPr>
      </w:pPr>
    </w:p>
    <w:p>
      <w:pPr>
        <w:pStyle w:val="BodyText"/>
        <w:jc w:val="both"/>
      </w:pPr>
      <w:r>
        <w:rPr>
          <w:rFonts w:ascii="Times New Roman" w:eastAsia="Times New Roman"/>
        </w:rPr>
        <w:t>13</w:t>
      </w:r>
      <w:r>
        <w:rPr/>
        <w:t>、双耳失聪</w:t>
      </w:r>
    </w:p>
    <w:p>
      <w:pPr>
        <w:pStyle w:val="BodyText"/>
        <w:spacing w:before="7"/>
        <w:jc w:val="both"/>
      </w:pPr>
      <w:r>
        <w:rPr/>
        <w:t>指因疾病或意外伤害导致双耳听力</w:t>
      </w:r>
      <w:r>
        <w:rPr>
          <w:rFonts w:ascii="Microsoft JhengHei" w:eastAsia="Microsoft JhengHei" w:hint="eastAsia"/>
          <w:b/>
        </w:rPr>
        <w:t>永久不可逆（见释义）</w:t>
      </w:r>
      <w:r>
        <w:rPr/>
        <w:t>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w:t>
      </w:r>
    </w:p>
    <w:p>
      <w:pPr>
        <w:pStyle w:val="BodyText"/>
        <w:spacing w:before="71"/>
        <w:jc w:val="both"/>
      </w:pPr>
      <w:r>
        <w:rPr/>
        <w:t>音频率下，平均听阈大于 </w:t>
      </w:r>
      <w:r>
        <w:rPr>
          <w:rFonts w:ascii="Times New Roman" w:eastAsia="Times New Roman"/>
        </w:rPr>
        <w:t>90 </w:t>
      </w:r>
      <w:r>
        <w:rPr/>
        <w:t>分贝，且经纯音听力测试、声导抗检测或听觉诱发电位检测等证实。</w:t>
      </w:r>
    </w:p>
    <w:p>
      <w:pPr>
        <w:pStyle w:val="Heading1"/>
        <w:spacing w:before="7"/>
        <w:jc w:val="both"/>
      </w:pPr>
      <w:r>
        <w:rPr/>
        <w:t>本附加合同仅对申请保险金时年满 </w:t>
      </w:r>
      <w:r>
        <w:rPr>
          <w:rFonts w:ascii="Times New Roman" w:eastAsia="Times New Roman"/>
        </w:rPr>
        <w:t>3 </w:t>
      </w:r>
      <w:r>
        <w:rPr/>
        <w:t>周岁的被保险人予以理赔。</w:t>
      </w:r>
    </w:p>
    <w:p>
      <w:pPr>
        <w:pStyle w:val="BodyText"/>
        <w:spacing w:before="10"/>
        <w:ind w:left="0"/>
        <w:rPr>
          <w:rFonts w:ascii="Microsoft JhengHei"/>
          <w:b/>
          <w:sz w:val="17"/>
        </w:rPr>
      </w:pPr>
    </w:p>
    <w:p>
      <w:pPr>
        <w:pStyle w:val="BodyText"/>
        <w:jc w:val="both"/>
      </w:pPr>
      <w:r>
        <w:rPr>
          <w:rFonts w:ascii="Times New Roman" w:eastAsia="Times New Roman"/>
        </w:rPr>
        <w:t>14</w:t>
      </w:r>
      <w:r>
        <w:rPr/>
        <w:t>、双目失明</w:t>
      </w:r>
    </w:p>
    <w:p>
      <w:pPr>
        <w:pStyle w:val="BodyText"/>
        <w:spacing w:before="74"/>
        <w:jc w:val="both"/>
      </w:pPr>
      <w:r>
        <w:rPr/>
        <w:t>指因疾病或意外伤害导致双眼视力永久不可逆性丧失，双眼中较好眼须满足下列至少一项条件：</w:t>
      </w:r>
    </w:p>
    <w:p>
      <w:pPr>
        <w:pStyle w:val="BodyText"/>
        <w:spacing w:before="95"/>
        <w:jc w:val="both"/>
      </w:pPr>
      <w:r>
        <w:rPr/>
        <w:t>（</w:t>
      </w:r>
      <w:r>
        <w:rPr>
          <w:rFonts w:ascii="Times New Roman" w:eastAsia="Times New Roman"/>
        </w:rPr>
        <w:t>1</w:t>
      </w:r>
      <w:r>
        <w:rPr/>
        <w:t>）眼球缺失或摘除；</w:t>
      </w:r>
    </w:p>
    <w:p>
      <w:pPr>
        <w:pStyle w:val="BodyText"/>
        <w:spacing w:before="74"/>
        <w:jc w:val="both"/>
      </w:pPr>
      <w:r>
        <w:rPr>
          <w:w w:val="100"/>
        </w:rPr>
        <w:t>（</w:t>
      </w:r>
      <w:r>
        <w:rPr>
          <w:rFonts w:ascii="Times New Roman" w:eastAsia="Times New Roman"/>
          <w:w w:val="100"/>
        </w:rPr>
        <w:t>2</w:t>
      </w:r>
      <w:r>
        <w:rPr>
          <w:w w:val="100"/>
        </w:rPr>
        <w:t>）</w:t>
      </w:r>
      <w:r>
        <w:rPr>
          <w:spacing w:val="-2"/>
          <w:w w:val="100"/>
        </w:rPr>
        <w:t>矫正视力低于</w:t>
      </w:r>
      <w:r>
        <w:rPr>
          <w:spacing w:val="-52"/>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74"/>
        <w:jc w:val="both"/>
      </w:pPr>
      <w:r>
        <w:rPr/>
        <w:t>（</w:t>
      </w:r>
      <w:r>
        <w:rPr>
          <w:rFonts w:ascii="Times New Roman" w:eastAsia="Times New Roman"/>
        </w:rPr>
        <w:t>3</w:t>
      </w:r>
      <w:r>
        <w:rPr/>
        <w:t>）视野半径小于 </w:t>
      </w:r>
      <w:r>
        <w:rPr>
          <w:rFonts w:ascii="Times New Roman" w:eastAsia="Times New Roman"/>
        </w:rPr>
        <w:t>5 </w:t>
      </w:r>
      <w:r>
        <w:rPr/>
        <w:t>度。</w:t>
      </w:r>
    </w:p>
    <w:p>
      <w:pPr>
        <w:pStyle w:val="Heading1"/>
        <w:spacing w:before="7"/>
        <w:jc w:val="both"/>
      </w:pPr>
      <w:r>
        <w:rPr/>
        <w:t>本附加合同仅对申请保险金时年满 </w:t>
      </w:r>
      <w:r>
        <w:rPr>
          <w:rFonts w:ascii="Times New Roman" w:eastAsia="Times New Roman"/>
        </w:rPr>
        <w:t>3 </w:t>
      </w:r>
      <w:r>
        <w:rPr/>
        <w:t>周岁的被保险人予以理赔。</w:t>
      </w:r>
    </w:p>
    <w:p>
      <w:pPr>
        <w:pStyle w:val="BodyText"/>
        <w:spacing w:before="15"/>
        <w:ind w:left="0"/>
        <w:rPr>
          <w:rFonts w:ascii="Microsoft JhengHei"/>
          <w:b/>
          <w:sz w:val="17"/>
        </w:rPr>
      </w:pPr>
    </w:p>
    <w:p>
      <w:pPr>
        <w:pStyle w:val="BodyText"/>
        <w:jc w:val="both"/>
      </w:pPr>
      <w:r>
        <w:rPr>
          <w:rFonts w:ascii="Times New Roman" w:eastAsia="Times New Roman"/>
        </w:rPr>
        <w:t>15</w:t>
      </w:r>
      <w:r>
        <w:rPr/>
        <w:t>、瘫痪</w:t>
      </w:r>
    </w:p>
    <w:p>
      <w:pPr>
        <w:pStyle w:val="BodyText"/>
        <w:spacing w:before="73"/>
        <w:jc w:val="both"/>
        <w:rPr>
          <w:rFonts w:ascii="Times New Roman" w:eastAsia="Times New Roman"/>
        </w:rPr>
      </w:pPr>
      <w:r>
        <w:rPr/>
        <w:t>指因疾病或意外伤害导致两肢或两肢以上肢体机能永久完全丧失。肢体机能永久完全丧失，指疾病确诊 </w:t>
      </w:r>
      <w:r>
        <w:rPr>
          <w:rFonts w:ascii="Times New Roman" w:eastAsia="Times New Roman"/>
        </w:rPr>
        <w:t>180</w:t>
      </w:r>
    </w:p>
    <w:p>
      <w:pPr>
        <w:pStyle w:val="BodyText"/>
        <w:spacing w:before="73"/>
        <w:jc w:val="both"/>
      </w:pPr>
      <w:r>
        <w:rPr/>
        <w:t>天后或意外伤害发生 </w:t>
      </w:r>
      <w:r>
        <w:rPr>
          <w:rFonts w:ascii="Times New Roman" w:eastAsia="Times New Roman"/>
        </w:rPr>
        <w:t>180 </w:t>
      </w:r>
      <w:r>
        <w:rPr/>
        <w:t>天后，每肢三大关节中的两大关节仍然完全僵硬，或不能随意识活动。</w:t>
      </w:r>
    </w:p>
    <w:p>
      <w:pPr>
        <w:pStyle w:val="BodyText"/>
        <w:spacing w:before="4"/>
        <w:ind w:left="0"/>
        <w:rPr>
          <w:sz w:val="24"/>
        </w:rPr>
      </w:pPr>
    </w:p>
    <w:p>
      <w:pPr>
        <w:pStyle w:val="BodyText"/>
        <w:jc w:val="both"/>
      </w:pPr>
      <w:r>
        <w:rPr>
          <w:rFonts w:ascii="Times New Roman" w:eastAsia="Times New Roman"/>
        </w:rPr>
        <w:t>16</w:t>
      </w:r>
      <w:r>
        <w:rPr/>
        <w:t>、心脏瓣膜手术</w:t>
      </w:r>
    </w:p>
    <w:p>
      <w:pPr>
        <w:pStyle w:val="BodyText"/>
        <w:spacing w:before="74"/>
        <w:jc w:val="both"/>
      </w:pPr>
      <w:r>
        <w:rPr/>
        <w:t>指为治疗心脏瓣膜疾病，实际实施了开胸进行的心脏瓣膜置换或修复的手术。</w:t>
      </w:r>
    </w:p>
    <w:p>
      <w:pPr>
        <w:pStyle w:val="BodyText"/>
        <w:spacing w:before="7"/>
        <w:ind w:left="0"/>
        <w:rPr>
          <w:sz w:val="25"/>
        </w:rPr>
      </w:pPr>
    </w:p>
    <w:p>
      <w:pPr>
        <w:pStyle w:val="BodyText"/>
        <w:jc w:val="both"/>
      </w:pPr>
      <w:r>
        <w:rPr>
          <w:rFonts w:ascii="Times New Roman" w:eastAsia="Times New Roman"/>
        </w:rPr>
        <w:t>17</w:t>
      </w:r>
      <w:r>
        <w:rPr/>
        <w:t>、严重阿尔茨海默病</w:t>
      </w:r>
    </w:p>
    <w:p>
      <w:pPr>
        <w:pStyle w:val="BodyText"/>
        <w:spacing w:line="307" w:lineRule="auto" w:before="73"/>
        <w:ind w:right="224"/>
        <w:jc w:val="both"/>
      </w:pPr>
      <w:r>
        <w:rPr>
          <w:spacing w:val="-7"/>
        </w:rPr>
        <w:t>指因大脑进行性、不可逆性改变导致智能严重衰退或丧失，临床表现为明显的认知能力障碍、行为异常和</w:t>
      </w:r>
      <w:r>
        <w:rPr>
          <w:spacing w:val="-7"/>
          <w:w w:val="100"/>
        </w:rPr>
        <w:t>社交能力减退，其日常生活必须持续受到他人监护。须由头颅断层扫描</w:t>
      </w:r>
      <w:r>
        <w:rPr>
          <w:spacing w:val="1"/>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w w:val="100"/>
        </w:rPr>
        <w:t>、核磁共振检查（</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）或</w:t>
      </w:r>
      <w:r>
        <w:rPr/>
        <w:t>正电子发射断层扫描（</w:t>
      </w:r>
      <w:r>
        <w:rPr>
          <w:rFonts w:ascii="Times New Roman" w:eastAsia="Times New Roman"/>
        </w:rPr>
        <w:t>PET</w:t>
      </w:r>
      <w:r>
        <w:rPr/>
        <w:t>）</w:t>
      </w:r>
      <w:r>
        <w:rPr>
          <w:spacing w:val="-4"/>
        </w:rPr>
        <w:t>等影像学检查证实，且自主生活能力完全丧失，无法独立完成六项基本日常</w:t>
      </w:r>
      <w:r>
        <w:rPr>
          <w:spacing w:val="-5"/>
        </w:rPr>
        <w:t>生活活动中的三项或三项以上。</w:t>
      </w:r>
    </w:p>
    <w:p>
      <w:pPr>
        <w:pStyle w:val="Heading1"/>
        <w:spacing w:line="330" w:lineRule="exact"/>
        <w:jc w:val="both"/>
      </w:pPr>
      <w:r>
        <w:rPr/>
        <w:t>神经官能症和精神疾病不在保障范围内。</w:t>
      </w:r>
    </w:p>
    <w:p>
      <w:pPr>
        <w:pStyle w:val="BodyText"/>
        <w:spacing w:before="11"/>
        <w:ind w:left="0"/>
        <w:rPr>
          <w:rFonts w:ascii="Microsoft JhengHei"/>
          <w:b/>
          <w:sz w:val="17"/>
        </w:rPr>
      </w:pPr>
    </w:p>
    <w:p>
      <w:pPr>
        <w:pStyle w:val="BodyText"/>
        <w:jc w:val="both"/>
      </w:pPr>
      <w:r>
        <w:rPr>
          <w:rFonts w:ascii="Times New Roman" w:eastAsia="Times New Roman"/>
        </w:rPr>
        <w:t>18</w:t>
      </w:r>
      <w:r>
        <w:rPr/>
        <w:t>、严重脑损伤</w:t>
      </w:r>
    </w:p>
    <w:p>
      <w:pPr>
        <w:pStyle w:val="BodyText"/>
        <w:spacing w:before="74"/>
        <w:jc w:val="both"/>
      </w:pPr>
      <w:r>
        <w:rPr/>
        <w:t>指因头部遭受机械性外力，引起脑重要部位损伤，导致神经系统永久性的功能障碍。须由头颅断层扫描</w:t>
      </w:r>
    </w:p>
    <w:p>
      <w:pPr>
        <w:spacing w:after="0"/>
        <w:jc w:val="both"/>
        <w:sectPr>
          <w:pgSz w:w="11910" w:h="16840"/>
          <w:pgMar w:header="0" w:footer="576" w:top="780" w:bottom="760" w:left="1020" w:right="900"/>
        </w:sectPr>
      </w:pPr>
    </w:p>
    <w:p>
      <w:pPr>
        <w:pStyle w:val="BodyText"/>
        <w:spacing w:line="304" w:lineRule="auto" w:before="70"/>
        <w:ind w:right="319"/>
      </w:pP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2"/>
          <w:w w:val="100"/>
        </w:rPr>
        <w:t>或正电子发射断层扫描</w:t>
      </w:r>
      <w:r>
        <w:rPr>
          <w:spacing w:val="0"/>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4"/>
          <w:w w:val="100"/>
        </w:rPr>
        <w:t>等影像学检查证实。神经系统永久性的功</w:t>
      </w:r>
      <w:r>
        <w:rPr>
          <w:spacing w:val="-9"/>
        </w:rPr>
        <w:t>能障碍，指脑损伤 </w:t>
      </w:r>
      <w:r>
        <w:rPr>
          <w:rFonts w:ascii="Times New Roman" w:eastAsia="Times New Roman"/>
        </w:rPr>
        <w:t>180 </w:t>
      </w:r>
      <w:r>
        <w:rPr>
          <w:spacing w:val="-5"/>
        </w:rPr>
        <w:t>天后，仍遗留下列一种或一种以上障碍：</w:t>
      </w:r>
    </w:p>
    <w:p>
      <w:pPr>
        <w:pStyle w:val="BodyText"/>
        <w:spacing w:before="11"/>
      </w:pPr>
      <w:r>
        <w:rPr/>
        <w:t>（</w:t>
      </w:r>
      <w:r>
        <w:rPr>
          <w:rFonts w:ascii="Times New Roman" w:eastAsia="Times New Roman"/>
        </w:rPr>
        <w:t>1</w:t>
      </w:r>
      <w:r>
        <w:rPr/>
        <w:t>）一肢或一肢以上肢体机能完全丧失；</w:t>
      </w:r>
    </w:p>
    <w:p>
      <w:pPr>
        <w:pStyle w:val="BodyText"/>
        <w:spacing w:before="74"/>
      </w:pPr>
      <w:r>
        <w:rPr/>
        <w:t>（</w:t>
      </w:r>
      <w:r>
        <w:rPr>
          <w:rFonts w:ascii="Times New Roman" w:eastAsia="Times New Roman"/>
        </w:rPr>
        <w:t>2</w:t>
      </w:r>
      <w:r>
        <w:rPr/>
        <w:t>）语言能力或咀嚼吞咽能力完全丧失；</w:t>
      </w:r>
    </w:p>
    <w:p>
      <w:pPr>
        <w:pStyle w:val="BodyText"/>
        <w:spacing w:before="74"/>
      </w:pPr>
      <w:r>
        <w:rPr/>
        <w:t>（</w:t>
      </w:r>
      <w:r>
        <w:rPr>
          <w:rFonts w:ascii="Times New Roman" w:eastAsia="Times New Roman"/>
        </w:rPr>
        <w:t>3</w:t>
      </w:r>
      <w:r>
        <w:rPr/>
        <w:t>）自主生活能力完全丧失，无法独立完成六项基本日常生活活动中的三项或三项以上。</w:t>
      </w:r>
    </w:p>
    <w:p>
      <w:pPr>
        <w:pStyle w:val="BodyText"/>
        <w:spacing w:before="4"/>
        <w:ind w:left="0"/>
        <w:rPr>
          <w:sz w:val="24"/>
        </w:rPr>
      </w:pPr>
    </w:p>
    <w:p>
      <w:pPr>
        <w:pStyle w:val="BodyText"/>
      </w:pPr>
      <w:r>
        <w:rPr>
          <w:rFonts w:ascii="Times New Roman" w:eastAsia="Times New Roman"/>
        </w:rPr>
        <w:t>19</w:t>
      </w:r>
      <w:r>
        <w:rPr/>
        <w:t>、严重帕金森病</w:t>
      </w:r>
    </w:p>
    <w:p>
      <w:pPr>
        <w:pStyle w:val="BodyText"/>
        <w:spacing w:before="74"/>
      </w:pPr>
      <w:r>
        <w:rPr/>
        <w:t>是一种中枢神经系统的退行性疾病，临床表现为震颤麻痹、共济失调等。须满足下列全部条件：</w:t>
      </w:r>
    </w:p>
    <w:p>
      <w:pPr>
        <w:pStyle w:val="BodyText"/>
        <w:spacing w:before="90"/>
      </w:pPr>
      <w:r>
        <w:rPr/>
        <w:t>（</w:t>
      </w:r>
      <w:r>
        <w:rPr>
          <w:rFonts w:ascii="Times New Roman" w:eastAsia="Times New Roman"/>
        </w:rPr>
        <w:t>1</w:t>
      </w:r>
      <w:r>
        <w:rPr/>
        <w:t>）药物治疗无法控制病情；</w:t>
      </w:r>
    </w:p>
    <w:p>
      <w:pPr>
        <w:spacing w:line="249" w:lineRule="auto" w:before="74"/>
        <w:ind w:left="113" w:right="1570" w:firstLine="0"/>
        <w:jc w:val="left"/>
        <w:rPr>
          <w:rFonts w:ascii="Microsoft JhengHei" w:eastAsia="Microsoft JhengHei" w:hint="eastAsia"/>
          <w:b/>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r>
        <w:rPr>
          <w:rFonts w:ascii="Microsoft JhengHei" w:eastAsia="Microsoft JhengHei" w:hint="eastAsia"/>
          <w:b/>
          <w:sz w:val="21"/>
        </w:rPr>
        <w:t>继发性帕金森综合征不在保障范围内。</w:t>
      </w:r>
    </w:p>
    <w:p>
      <w:pPr>
        <w:pStyle w:val="BodyText"/>
        <w:spacing w:before="16"/>
        <w:ind w:left="0"/>
        <w:rPr>
          <w:rFonts w:ascii="Microsoft JhengHei"/>
          <w:b/>
          <w:sz w:val="16"/>
        </w:rPr>
      </w:pPr>
    </w:p>
    <w:p>
      <w:pPr>
        <w:pStyle w:val="BodyText"/>
      </w:pPr>
      <w:r>
        <w:rPr>
          <w:rFonts w:ascii="Times New Roman" w:hAnsi="Times New Roman" w:eastAsia="Times New Roman"/>
        </w:rPr>
        <w:t>20</w:t>
      </w:r>
      <w:r>
        <w:rPr/>
        <w:t>、严重Ⅲ度烧伤</w:t>
      </w:r>
    </w:p>
    <w:p>
      <w:pPr>
        <w:pStyle w:val="BodyText"/>
        <w:spacing w:line="304" w:lineRule="auto" w:before="74"/>
        <w:ind w:right="309"/>
      </w:pPr>
      <w:r>
        <w:rPr>
          <w:spacing w:val="-6"/>
        </w:rPr>
        <w:t>指烧伤程度为Ⅲ度，且Ⅲ度烧伤的面积达到全身体表面积的 </w:t>
      </w:r>
      <w:r>
        <w:rPr>
          <w:rFonts w:ascii="Times New Roman" w:hAnsi="Times New Roman" w:eastAsia="Times New Roman"/>
        </w:rPr>
        <w:t>20</w:t>
      </w:r>
      <w:r>
        <w:rPr>
          <w:spacing w:val="-11"/>
        </w:rPr>
        <w:t>％或 </w:t>
      </w:r>
      <w:r>
        <w:rPr>
          <w:rFonts w:ascii="Times New Roman" w:hAnsi="Times New Roman" w:eastAsia="Times New Roman"/>
        </w:rPr>
        <w:t>20</w:t>
      </w:r>
      <w:r>
        <w:rPr>
          <w:spacing w:val="-5"/>
        </w:rPr>
        <w:t>％以上。体表面积根据《中国新九分法》计算。</w:t>
      </w:r>
    </w:p>
    <w:p>
      <w:pPr>
        <w:pStyle w:val="BodyText"/>
        <w:spacing w:before="11"/>
        <w:ind w:left="0"/>
        <w:rPr>
          <w:sz w:val="20"/>
        </w:rPr>
      </w:pPr>
    </w:p>
    <w:p>
      <w:pPr>
        <w:pStyle w:val="BodyText"/>
      </w:pPr>
      <w:r>
        <w:rPr>
          <w:rFonts w:ascii="Times New Roman" w:eastAsia="Times New Roman"/>
        </w:rPr>
        <w:t>21</w:t>
      </w:r>
      <w:r>
        <w:rPr/>
        <w:t>、严重原发性肺动脉高压</w:t>
      </w:r>
    </w:p>
    <w:p>
      <w:pPr>
        <w:pStyle w:val="BodyText"/>
        <w:spacing w:line="324" w:lineRule="auto" w:before="73"/>
        <w:ind w:right="225"/>
      </w:pPr>
      <w:r>
        <w:rPr>
          <w:spacing w:val="-6"/>
        </w:rPr>
        <w:t>指不明原因的肺动脉压力持续性增高，进行性发展而导致的慢性疾病，已经造成永久不可逆性的体力活动</w:t>
      </w:r>
      <w:r>
        <w:rPr>
          <w:spacing w:val="-7"/>
        </w:rPr>
        <w:t>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spacing w:val="-3"/>
        </w:rPr>
        <w:t>30mmHg</w:t>
      </w:r>
      <w:r>
        <w:rPr/>
        <w:t>。</w:t>
      </w:r>
    </w:p>
    <w:p>
      <w:pPr>
        <w:pStyle w:val="BodyText"/>
        <w:spacing w:before="232"/>
      </w:pPr>
      <w:r>
        <w:rPr>
          <w:rFonts w:ascii="Times New Roman" w:eastAsia="Times New Roman"/>
        </w:rPr>
        <w:t>22</w:t>
      </w:r>
      <w:r>
        <w:rPr/>
        <w:t>、严重运动神经元病</w:t>
      </w:r>
    </w:p>
    <w:p>
      <w:pPr>
        <w:pStyle w:val="BodyText"/>
        <w:spacing w:line="321" w:lineRule="auto" w:before="74"/>
        <w:ind w:right="225"/>
        <w:jc w:val="both"/>
      </w:pPr>
      <w:r>
        <w:rPr>
          <w:spacing w:val="-8"/>
        </w:rPr>
        <w:t>是一组中枢神经系统运动神经元的进行性变性疾病，包括进行性脊肌萎缩症、进行性延髓麻痹症、原发性</w:t>
      </w:r>
      <w:r>
        <w:rPr>
          <w:spacing w:val="-10"/>
        </w:rPr>
        <w:t>侧索硬化症、肌萎缩性侧索硬化症。须满足自主生活能力完全丧失，无法独立完成六项基本日常生活活动</w:t>
      </w:r>
      <w:r>
        <w:rPr>
          <w:spacing w:val="-7"/>
        </w:rPr>
        <w:t>中的三项或三项以上的条件。</w:t>
      </w:r>
    </w:p>
    <w:p>
      <w:pPr>
        <w:pStyle w:val="BodyText"/>
        <w:spacing w:before="10"/>
        <w:ind w:left="0"/>
        <w:rPr>
          <w:sz w:val="19"/>
        </w:rPr>
      </w:pPr>
    </w:p>
    <w:p>
      <w:pPr>
        <w:pStyle w:val="BodyText"/>
      </w:pPr>
      <w:r>
        <w:rPr>
          <w:rFonts w:ascii="Times New Roman" w:eastAsia="Times New Roman"/>
        </w:rPr>
        <w:t>23</w:t>
      </w:r>
      <w:r>
        <w:rPr/>
        <w:t>、语言能力丧失</w:t>
      </w:r>
    </w:p>
    <w:p>
      <w:pPr>
        <w:pStyle w:val="BodyText"/>
        <w:spacing w:line="304" w:lineRule="auto" w:before="74"/>
        <w:ind w:right="117"/>
      </w:pPr>
      <w:r>
        <w:rPr>
          <w:spacing w:val="-8"/>
          <w:w w:val="100"/>
        </w:rPr>
        <w:t>指因疾病或意外伤害导致完全丧失语言能力，经过积极治疗至少</w:t>
      </w:r>
      <w:r>
        <w:rPr>
          <w:spacing w:val="-8"/>
        </w:rPr>
        <w:t> </w:t>
      </w:r>
      <w:r>
        <w:rPr>
          <w:rFonts w:ascii="Times New Roman" w:eastAsia="Times New Roman"/>
          <w:spacing w:val="-5"/>
          <w:w w:val="100"/>
        </w:rPr>
        <w:t>1</w:t>
      </w:r>
      <w:r>
        <w:rPr>
          <w:rFonts w:ascii="Times New Roman" w:eastAsia="Times New Roman"/>
          <w:w w:val="100"/>
        </w:rPr>
        <w:t>2</w:t>
      </w:r>
      <w:r>
        <w:rPr>
          <w:rFonts w:ascii="Times New Roman" w:eastAsia="Times New Roman"/>
        </w:rPr>
        <w:t> </w:t>
      </w:r>
      <w:r>
        <w:rPr>
          <w:spacing w:val="-34"/>
          <w:w w:val="100"/>
        </w:rPr>
        <w:t>个月</w:t>
      </w:r>
      <w:r>
        <w:rPr>
          <w:w w:val="100"/>
        </w:rPr>
        <w:t>（</w:t>
      </w:r>
      <w:r>
        <w:rPr>
          <w:spacing w:val="-4"/>
          <w:w w:val="100"/>
        </w:rPr>
        <w:t>声带完全切除不受此时间限制</w:t>
      </w:r>
      <w:r>
        <w:rPr>
          <w:spacing w:val="-106"/>
          <w:w w:val="100"/>
        </w:rPr>
        <w:t>）</w:t>
      </w:r>
      <w:r>
        <w:rPr>
          <w:w w:val="100"/>
        </w:rPr>
        <w:t>，</w:t>
      </w:r>
      <w:r>
        <w:rPr>
          <w:spacing w:val="-3"/>
        </w:rPr>
        <w:t>仍无法通过现有医疗手段恢复。</w:t>
      </w:r>
    </w:p>
    <w:p>
      <w:pPr>
        <w:pStyle w:val="Heading1"/>
        <w:spacing w:line="332" w:lineRule="exact"/>
      </w:pPr>
      <w:r>
        <w:rPr/>
        <w:t>本附加合同仅对申请保险金时年满 </w:t>
      </w:r>
      <w:r>
        <w:rPr>
          <w:rFonts w:ascii="Times New Roman" w:eastAsia="Times New Roman"/>
        </w:rPr>
        <w:t>3 </w:t>
      </w:r>
      <w:r>
        <w:rPr/>
        <w:t>周岁的被保险人予以理赔。精神心理因素所致的语言能力丧失不在保</w:t>
      </w:r>
    </w:p>
    <w:p>
      <w:pPr>
        <w:spacing w:line="365"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障范围内。</w:t>
      </w:r>
    </w:p>
    <w:p>
      <w:pPr>
        <w:pStyle w:val="BodyText"/>
        <w:spacing w:before="14"/>
        <w:ind w:left="0"/>
        <w:rPr>
          <w:rFonts w:ascii="Microsoft JhengHei"/>
          <w:b/>
          <w:sz w:val="17"/>
        </w:rPr>
      </w:pPr>
    </w:p>
    <w:p>
      <w:pPr>
        <w:pStyle w:val="BodyText"/>
        <w:spacing w:before="1"/>
      </w:pPr>
      <w:r>
        <w:rPr>
          <w:rFonts w:ascii="Times New Roman" w:eastAsia="Times New Roman"/>
        </w:rPr>
        <w:t>24</w:t>
      </w:r>
      <w:r>
        <w:rPr/>
        <w:t>、重型再生障碍性贫血</w:t>
      </w:r>
    </w:p>
    <w:p>
      <w:pPr>
        <w:pStyle w:val="BodyText"/>
        <w:spacing w:before="74"/>
      </w:pPr>
      <w:r>
        <w:rPr/>
        <w:t>指因骨髓造血功能慢性持续性衰竭导致的贫血、中性粒细胞减少及血小板减少。须满足下列全部条件：</w:t>
      </w:r>
    </w:p>
    <w:p>
      <w:pPr>
        <w:pStyle w:val="BodyText"/>
        <w:spacing w:before="90"/>
      </w:pPr>
      <w:r>
        <w:rPr/>
        <w:t>（</w:t>
      </w:r>
      <w:r>
        <w:rPr>
          <w:rFonts w:ascii="Times New Roman" w:eastAsia="Times New Roman"/>
        </w:rPr>
        <w:t>1</w:t>
      </w:r>
      <w:r>
        <w:rPr/>
        <w:t>）骨髓穿刺检查或骨髓活检结果支持诊断；</w:t>
      </w:r>
    </w:p>
    <w:p>
      <w:pPr>
        <w:pStyle w:val="BodyText"/>
        <w:spacing w:before="74"/>
      </w:pPr>
      <w:r>
        <w:rPr/>
        <w:t>（</w:t>
      </w:r>
      <w:r>
        <w:rPr>
          <w:rFonts w:ascii="Times New Roman" w:eastAsia="Times New Roman"/>
        </w:rPr>
        <w:t>2</w:t>
      </w:r>
      <w:r>
        <w:rPr/>
        <w:t>）外周血象必须具备以下三项条件：</w:t>
      </w:r>
    </w:p>
    <w:p>
      <w:pPr>
        <w:pStyle w:val="BodyText"/>
        <w:spacing w:before="79"/>
        <w:ind w:left="535"/>
      </w:pPr>
      <w:r>
        <w:rPr/>
        <w:t>①中性粒细胞绝对值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74"/>
        <w:ind w:left="535"/>
      </w:pPr>
      <w:r>
        <w:rPr/>
        <w:t>②网织红细胞＜</w:t>
      </w:r>
      <w:r>
        <w:rPr>
          <w:rFonts w:ascii="Times New Roman" w:hAnsi="Times New Roman" w:eastAsia="Times New Roman"/>
        </w:rPr>
        <w:t>1%</w:t>
      </w:r>
      <w:r>
        <w:rPr/>
        <w:t>；</w:t>
      </w:r>
    </w:p>
    <w:p>
      <w:pPr>
        <w:pStyle w:val="BodyText"/>
        <w:spacing w:before="74"/>
        <w:ind w:left="535"/>
      </w:pPr>
      <w:r>
        <w:rPr/>
        <w:t>③血小板绝对值</w:t>
      </w:r>
      <w:r>
        <w:rPr>
          <w:rFonts w:ascii="Times New Roman" w:hAnsi="Times New Roman" w:eastAsia="Times New Roman"/>
        </w:rPr>
        <w:t>≤20×10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4"/>
        <w:ind w:left="0"/>
        <w:rPr>
          <w:sz w:val="24"/>
        </w:rPr>
      </w:pPr>
    </w:p>
    <w:p>
      <w:pPr>
        <w:pStyle w:val="BodyText"/>
      </w:pPr>
      <w:r>
        <w:rPr>
          <w:rFonts w:ascii="Times New Roman" w:eastAsia="Times New Roman"/>
        </w:rPr>
        <w:t>25</w:t>
      </w:r>
      <w:r>
        <w:rPr/>
        <w:t>、主动脉手术</w:t>
      </w:r>
    </w:p>
    <w:p>
      <w:pPr>
        <w:spacing w:line="259" w:lineRule="auto" w:before="74"/>
        <w:ind w:left="113" w:right="226" w:firstLine="0"/>
        <w:jc w:val="left"/>
        <w:rPr>
          <w:sz w:val="21"/>
        </w:rPr>
      </w:pPr>
      <w:r>
        <w:rPr>
          <w:spacing w:val="-6"/>
          <w:sz w:val="21"/>
        </w:rPr>
        <w:t>指为治疗主动脉疾病，实际实施了开胸或开腹进行的切除、置换、修补病损主动脉血管的手术。主动脉指</w:t>
      </w:r>
      <w:r>
        <w:rPr>
          <w:spacing w:val="-5"/>
          <w:sz w:val="21"/>
        </w:rPr>
        <w:t>胸主动脉和腹主动脉，</w:t>
      </w:r>
      <w:r>
        <w:rPr>
          <w:rFonts w:ascii="Microsoft JhengHei" w:eastAsia="Microsoft JhengHei" w:hint="eastAsia"/>
          <w:b/>
          <w:spacing w:val="-3"/>
          <w:sz w:val="21"/>
        </w:rPr>
        <w:t>不包括胸主动脉和腹主动脉的分支血管</w:t>
      </w:r>
      <w:r>
        <w:rPr>
          <w:sz w:val="21"/>
        </w:rPr>
        <w:t>。</w:t>
      </w:r>
    </w:p>
    <w:p>
      <w:pPr>
        <w:pStyle w:val="Heading1"/>
        <w:spacing w:line="343" w:lineRule="exact"/>
      </w:pPr>
      <w:r>
        <w:rPr/>
        <w:t>动脉内血管成形术不在保障范围内。</w:t>
      </w:r>
    </w:p>
    <w:p>
      <w:pPr>
        <w:spacing w:after="0" w:line="343" w:lineRule="exact"/>
        <w:sectPr>
          <w:pgSz w:w="11910" w:h="16840"/>
          <w:pgMar w:header="0" w:footer="576" w:top="780" w:bottom="760" w:left="1020" w:right="900"/>
        </w:sectPr>
      </w:pPr>
    </w:p>
    <w:p>
      <w:pPr>
        <w:pStyle w:val="BodyText"/>
        <w:spacing w:before="70"/>
        <w:jc w:val="both"/>
      </w:pPr>
      <w:r>
        <w:rPr>
          <w:rFonts w:ascii="Times New Roman" w:eastAsia="Times New Roman"/>
        </w:rPr>
        <w:t>26</w:t>
      </w:r>
      <w:r>
        <w:rPr/>
        <w:t>、严重脊髓灰质炎</w:t>
      </w:r>
    </w:p>
    <w:p>
      <w:pPr>
        <w:spacing w:line="216" w:lineRule="auto" w:before="96"/>
        <w:ind w:left="113" w:right="123" w:firstLine="0"/>
        <w:jc w:val="both"/>
        <w:rPr>
          <w:rFonts w:ascii="Microsoft JhengHei" w:eastAsia="Microsoft JhengHei" w:hint="eastAsia"/>
          <w:b/>
          <w:sz w:val="21"/>
        </w:rPr>
      </w:pPr>
      <w:r>
        <w:rPr>
          <w:spacing w:val="-7"/>
          <w:sz w:val="21"/>
        </w:rPr>
        <w:t>脊髓灰质炎是由于脊髓灰质炎病毒感染所致的瘫痪性疾病，临床表现为运动功能损害或呼吸无力。脊髓灰</w:t>
      </w:r>
      <w:r>
        <w:rPr>
          <w:spacing w:val="-9"/>
          <w:sz w:val="21"/>
        </w:rPr>
        <w:t>质炎必须明确诊断。</w:t>
      </w:r>
      <w:r>
        <w:rPr>
          <w:rFonts w:ascii="Microsoft JhengHei" w:eastAsia="Microsoft JhengHei" w:hint="eastAsia"/>
          <w:b/>
          <w:spacing w:val="0"/>
          <w:sz w:val="21"/>
        </w:rPr>
        <w:t>本附加合同仅对疾病确诊 </w:t>
      </w:r>
      <w:r>
        <w:rPr>
          <w:rFonts w:ascii="Times New Roman" w:eastAsia="Times New Roman"/>
          <w:b/>
          <w:sz w:val="21"/>
        </w:rPr>
        <w:t>180 </w:t>
      </w:r>
      <w:r>
        <w:rPr>
          <w:rFonts w:ascii="Microsoft JhengHei" w:eastAsia="Microsoft JhengHei" w:hint="eastAsia"/>
          <w:b/>
          <w:spacing w:val="-4"/>
          <w:sz w:val="21"/>
        </w:rPr>
        <w:t>天后脊髓灰质炎造成的神经系统功能损害导致被保险人</w:t>
      </w:r>
      <w:r>
        <w:rPr>
          <w:rFonts w:ascii="Microsoft JhengHei" w:eastAsia="Microsoft JhengHei" w:hint="eastAsia"/>
          <w:b/>
          <w:spacing w:val="-5"/>
          <w:sz w:val="21"/>
        </w:rPr>
        <w:t>一肢或一肢以上肢体机能永久完全丧失的情况予以理赔。</w:t>
      </w:r>
    </w:p>
    <w:p>
      <w:pPr>
        <w:pStyle w:val="BodyText"/>
        <w:spacing w:before="11"/>
        <w:ind w:left="0"/>
        <w:rPr>
          <w:rFonts w:ascii="Microsoft JhengHei"/>
          <w:b/>
          <w:sz w:val="15"/>
        </w:rPr>
      </w:pPr>
    </w:p>
    <w:p>
      <w:pPr>
        <w:pStyle w:val="BodyText"/>
        <w:jc w:val="both"/>
      </w:pPr>
      <w:r>
        <w:rPr>
          <w:rFonts w:ascii="Times New Roman" w:eastAsia="Times New Roman"/>
        </w:rPr>
        <w:t>27</w:t>
      </w:r>
      <w:r>
        <w:rPr/>
        <w:t>、川崎病</w:t>
      </w:r>
    </w:p>
    <w:p>
      <w:pPr>
        <w:pStyle w:val="BodyText"/>
        <w:spacing w:line="271" w:lineRule="auto" w:before="64"/>
        <w:ind w:right="122"/>
        <w:jc w:val="both"/>
      </w:pPr>
      <w:r>
        <w:rPr>
          <w:spacing w:val="-7"/>
        </w:rPr>
        <w:t>川崎病为一种病因不明的以全身血管炎为主要病变的急性发热出疹性小儿疾病，主要发生于 </w:t>
      </w:r>
      <w:r>
        <w:rPr>
          <w:rFonts w:ascii="Times New Roman" w:eastAsia="Times New Roman"/>
        </w:rPr>
        <w:t>5 </w:t>
      </w:r>
      <w:r>
        <w:rPr>
          <w:spacing w:val="-2"/>
        </w:rPr>
        <w:t>周岁以下的</w:t>
      </w:r>
      <w:r>
        <w:rPr>
          <w:spacing w:val="-5"/>
        </w:rPr>
        <w:t>儿童。川崎病根据持续不明原因发热、杨梅舌、手足硬性水肿、非化脓性颈淋巴结肿胀等诊断。血液化验也可能发现血小板（</w:t>
      </w:r>
      <w:r>
        <w:rPr>
          <w:spacing w:val="-3"/>
        </w:rPr>
        <w:t>血液中重要的凝血成份</w:t>
      </w:r>
      <w:r>
        <w:rPr/>
        <w:t>）</w:t>
      </w:r>
      <w:r>
        <w:rPr>
          <w:spacing w:val="-3"/>
        </w:rPr>
        <w:t>显著升高。</w:t>
      </w:r>
    </w:p>
    <w:p>
      <w:pPr>
        <w:pStyle w:val="Heading1"/>
        <w:spacing w:line="211" w:lineRule="auto"/>
        <w:ind w:right="125"/>
      </w:pPr>
      <w:r>
        <w:rPr>
          <w:spacing w:val="-6"/>
        </w:rPr>
        <w:t>本附加合同仅对诊断为川崎病并伴有冠状动脉瘤或其他心血管并发症，而且实际接受了对此等并发症进行的手术治疗的情况予以理赔。</w:t>
      </w:r>
    </w:p>
    <w:p>
      <w:pPr>
        <w:pStyle w:val="BodyText"/>
        <w:spacing w:before="14"/>
        <w:ind w:left="0"/>
        <w:rPr>
          <w:rFonts w:ascii="Microsoft JhengHei"/>
          <w:b/>
          <w:sz w:val="15"/>
        </w:rPr>
      </w:pPr>
    </w:p>
    <w:p>
      <w:pPr>
        <w:pStyle w:val="BodyText"/>
        <w:spacing w:before="1"/>
        <w:jc w:val="both"/>
      </w:pPr>
      <w:r>
        <w:rPr>
          <w:rFonts w:ascii="Times New Roman" w:eastAsia="Times New Roman"/>
        </w:rPr>
        <w:t>28</w:t>
      </w:r>
      <w:r>
        <w:rPr/>
        <w:t>、严重幼年类风湿性关节炎</w:t>
      </w:r>
    </w:p>
    <w:p>
      <w:pPr>
        <w:pStyle w:val="BodyText"/>
        <w:spacing w:line="273" w:lineRule="auto" w:before="64"/>
        <w:ind w:right="106"/>
        <w:jc w:val="both"/>
      </w:pPr>
      <w:r>
        <w:rPr>
          <w:spacing w:val="-5"/>
        </w:rPr>
        <w:t>一种幼年发病的以慢性关节炎为主要特点的结缔组织病，特点为关节炎发生数月前出现高热和全身症状。</w:t>
      </w:r>
      <w:r>
        <w:rPr>
          <w:spacing w:val="-6"/>
        </w:rPr>
        <w:t>主要临床表现包括：每日高热、迅速消散的皮疹、关节炎、脾肿大、淋巴结病、浆膜炎、体重减轻、嗜中</w:t>
      </w:r>
      <w:r>
        <w:rPr>
          <w:spacing w:val="-8"/>
        </w:rPr>
        <w:t>性粒细胞增多、急性时相反应蛋白升高和血清抗核抗体</w:t>
      </w:r>
      <w:r>
        <w:rPr>
          <w:spacing w:val="-6"/>
        </w:rPr>
        <w:t>（</w:t>
      </w:r>
      <w:r>
        <w:rPr>
          <w:rFonts w:ascii="Times New Roman" w:eastAsia="Times New Roman"/>
          <w:spacing w:val="-6"/>
        </w:rPr>
        <w:t>ANA</w:t>
      </w:r>
      <w:r>
        <w:rPr>
          <w:spacing w:val="-6"/>
        </w:rPr>
        <w:t>）</w:t>
      </w:r>
      <w:r>
        <w:rPr>
          <w:spacing w:val="-4"/>
        </w:rPr>
        <w:t>及类风湿因子</w:t>
      </w:r>
      <w:r>
        <w:rPr>
          <w:spacing w:val="-7"/>
        </w:rPr>
        <w:t>（</w:t>
      </w:r>
      <w:r>
        <w:rPr>
          <w:rFonts w:ascii="Times New Roman" w:eastAsia="Times New Roman"/>
          <w:spacing w:val="-7"/>
        </w:rPr>
        <w:t>RF</w:t>
      </w:r>
      <w:r>
        <w:rPr>
          <w:spacing w:val="-7"/>
        </w:rPr>
        <w:t>）</w:t>
      </w:r>
      <w:r>
        <w:rPr>
          <w:spacing w:val="-5"/>
        </w:rPr>
        <w:t>阴性。必须由医疗机构的小儿风湿科专科医生确诊。</w:t>
      </w:r>
    </w:p>
    <w:p>
      <w:pPr>
        <w:pStyle w:val="Heading1"/>
        <w:spacing w:line="326" w:lineRule="exact"/>
        <w:jc w:val="both"/>
      </w:pPr>
      <w:r>
        <w:rPr/>
        <w:t>本附加合同仅对实际接受了膝关节或髋关节置换手术治疗的严重的幼年类风湿性关节炎予以理赔。</w:t>
      </w:r>
    </w:p>
    <w:p>
      <w:pPr>
        <w:pStyle w:val="BodyText"/>
        <w:spacing w:before="10"/>
        <w:ind w:left="0"/>
        <w:rPr>
          <w:rFonts w:ascii="Microsoft JhengHei"/>
          <w:b/>
          <w:sz w:val="17"/>
        </w:rPr>
      </w:pPr>
    </w:p>
    <w:p>
      <w:pPr>
        <w:pStyle w:val="BodyText"/>
        <w:spacing w:before="1"/>
        <w:jc w:val="both"/>
      </w:pPr>
      <w:r>
        <w:rPr>
          <w:rFonts w:ascii="Times New Roman" w:eastAsia="Times New Roman"/>
        </w:rPr>
        <w:t>29</w:t>
      </w:r>
      <w:r>
        <w:rPr/>
        <w:t>、严重的 </w:t>
      </w:r>
      <w:r>
        <w:rPr>
          <w:rFonts w:ascii="Times New Roman" w:eastAsia="Times New Roman"/>
        </w:rPr>
        <w:t>1 </w:t>
      </w:r>
      <w:r>
        <w:rPr/>
        <w:t>型糖尿病</w:t>
      </w:r>
    </w:p>
    <w:p>
      <w:pPr>
        <w:pStyle w:val="BodyText"/>
        <w:spacing w:line="266" w:lineRule="auto" w:before="65"/>
        <w:ind w:right="122"/>
        <w:jc w:val="both"/>
      </w:pPr>
      <w:r>
        <w:rPr>
          <w:rFonts w:ascii="Times New Roman" w:eastAsia="Times New Roman"/>
        </w:rPr>
        <w:t>1 </w:t>
      </w:r>
      <w:r>
        <w:rPr>
          <w:spacing w:val="-5"/>
        </w:rPr>
        <w:t>型糖尿病是由于胰岛素分泌绝对不足而引起以血浆葡萄糖水平增高为特征的代谢内分泌疾病，需持续利</w:t>
      </w:r>
      <w:r>
        <w:rPr>
          <w:spacing w:val="-12"/>
        </w:rPr>
        <w:t>用外源性胰岛素治疗。必须明确诊断为 </w:t>
      </w:r>
      <w:r>
        <w:rPr>
          <w:rFonts w:ascii="Times New Roman" w:eastAsia="Times New Roman"/>
        </w:rPr>
        <w:t>1 </w:t>
      </w:r>
      <w:r>
        <w:rPr>
          <w:spacing w:val="-11"/>
        </w:rPr>
        <w:t>型糖尿病，而且有血胰岛素测定及血 </w:t>
      </w:r>
      <w:r>
        <w:rPr>
          <w:rFonts w:ascii="Times New Roman" w:eastAsia="Times New Roman"/>
        </w:rPr>
        <w:t>C </w:t>
      </w:r>
      <w:r>
        <w:rPr>
          <w:spacing w:val="-13"/>
        </w:rPr>
        <w:t>肽或尿 </w:t>
      </w:r>
      <w:r>
        <w:rPr>
          <w:rFonts w:ascii="Times New Roman" w:eastAsia="Times New Roman"/>
        </w:rPr>
        <w:t>C </w:t>
      </w:r>
      <w:r>
        <w:rPr>
          <w:spacing w:val="-2"/>
        </w:rPr>
        <w:t>肽测定结果支持</w:t>
      </w:r>
      <w:r>
        <w:rPr>
          <w:spacing w:val="-5"/>
        </w:rPr>
        <w:t>诊断，并满足下列至少一个条件：</w:t>
      </w:r>
    </w:p>
    <w:p>
      <w:pPr>
        <w:pStyle w:val="BodyText"/>
        <w:spacing w:before="19"/>
        <w:jc w:val="both"/>
      </w:pPr>
      <w:r>
        <w:rPr/>
        <w:t>（</w:t>
      </w:r>
      <w:r>
        <w:rPr>
          <w:rFonts w:ascii="Times New Roman" w:eastAsia="Times New Roman"/>
        </w:rPr>
        <w:t>1</w:t>
      </w:r>
      <w:r>
        <w:rPr/>
        <w:t>）因严重心律失常植入了心脏起搏器；</w:t>
      </w:r>
    </w:p>
    <w:p>
      <w:pPr>
        <w:pStyle w:val="BodyText"/>
        <w:spacing w:before="31"/>
        <w:jc w:val="both"/>
      </w:pPr>
      <w:r>
        <w:rPr/>
        <w:t>（</w:t>
      </w:r>
      <w:r>
        <w:rPr>
          <w:rFonts w:ascii="Times New Roman" w:eastAsia="Times New Roman"/>
        </w:rPr>
        <w:t>2</w:t>
      </w:r>
      <w:r>
        <w:rPr/>
        <w:t>）糖尿病肾病，且尿蛋白</w:t>
      </w:r>
      <w:r>
        <w:rPr>
          <w:rFonts w:ascii="Times New Roman" w:eastAsia="Times New Roman"/>
        </w:rPr>
        <w:t>&gt;0.5g/24h</w:t>
      </w:r>
      <w:r>
        <w:rPr/>
        <w:t>；</w:t>
      </w:r>
    </w:p>
    <w:p>
      <w:pPr>
        <w:pStyle w:val="BodyText"/>
        <w:spacing w:before="31"/>
        <w:jc w:val="both"/>
      </w:pPr>
      <w:r>
        <w:rPr/>
        <w:t>（</w:t>
      </w:r>
      <w:r>
        <w:rPr>
          <w:rFonts w:ascii="Times New Roman" w:eastAsia="Times New Roman"/>
        </w:rPr>
        <w:t>3</w:t>
      </w:r>
      <w:r>
        <w:rPr/>
        <w:t>） 因糖尿病足趾坏疽进行足趾或下肢截断术。</w:t>
      </w:r>
    </w:p>
    <w:p>
      <w:pPr>
        <w:pStyle w:val="BodyText"/>
        <w:spacing w:before="5"/>
        <w:ind w:left="0"/>
      </w:pPr>
    </w:p>
    <w:p>
      <w:pPr>
        <w:pStyle w:val="BodyText"/>
        <w:jc w:val="both"/>
      </w:pPr>
      <w:r>
        <w:rPr>
          <w:rFonts w:ascii="Times New Roman" w:eastAsia="Times New Roman"/>
        </w:rPr>
        <w:t>30</w:t>
      </w:r>
      <w:r>
        <w:rPr/>
        <w:t>、疾病或外伤所致智力障碍（残疾）</w:t>
      </w:r>
    </w:p>
    <w:p>
      <w:pPr>
        <w:pStyle w:val="BodyText"/>
        <w:spacing w:line="268" w:lineRule="auto" w:before="64"/>
        <w:ind w:right="122"/>
        <w:jc w:val="both"/>
      </w:pPr>
      <w:r>
        <w:rPr>
          <w:spacing w:val="-5"/>
        </w:rPr>
        <w:t>因严重头部创伤或疾病造成被保险人智力低常</w:t>
      </w:r>
      <w:r>
        <w:rPr/>
        <w:t>（</w:t>
      </w:r>
      <w:r>
        <w:rPr>
          <w:spacing w:val="-3"/>
        </w:rPr>
        <w:t>智力低于常态</w:t>
      </w:r>
      <w:r>
        <w:rPr>
          <w:spacing w:val="-5"/>
        </w:rPr>
        <w:t>）或智力残疾。根据智商</w:t>
      </w:r>
      <w:r>
        <w:rPr>
          <w:spacing w:val="-3"/>
        </w:rPr>
        <w:t>（</w:t>
      </w:r>
      <w:r>
        <w:rPr>
          <w:rFonts w:ascii="Times New Roman" w:eastAsia="Times New Roman"/>
          <w:spacing w:val="-3"/>
        </w:rPr>
        <w:t>IQ</w:t>
      </w:r>
      <w:r>
        <w:rPr>
          <w:spacing w:val="-3"/>
        </w:rPr>
        <w:t>）</w:t>
      </w:r>
      <w:r>
        <w:rPr>
          <w:spacing w:val="-2"/>
        </w:rPr>
        <w:t>智力低常分</w:t>
      </w:r>
      <w:r>
        <w:rPr>
          <w:spacing w:val="-5"/>
          <w:w w:val="100"/>
        </w:rPr>
        <w:t>为轻度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5</w:t>
      </w:r>
      <w:r>
        <w:rPr>
          <w:rFonts w:ascii="Times New Roman" w:eastAsia="Times New Roman"/>
          <w:spacing w:val="-5"/>
          <w:w w:val="100"/>
        </w:rPr>
        <w:t>0</w:t>
      </w:r>
      <w:r>
        <w:rPr>
          <w:rFonts w:ascii="Times New Roman" w:eastAsia="Times New Roman"/>
          <w:spacing w:val="0"/>
          <w:w w:val="100"/>
        </w:rPr>
        <w:t>-</w:t>
      </w:r>
      <w:r>
        <w:rPr>
          <w:rFonts w:ascii="Times New Roman" w:eastAsia="Times New Roman"/>
          <w:w w:val="100"/>
        </w:rPr>
        <w:t>69</w:t>
      </w:r>
      <w:r>
        <w:rPr>
          <w:spacing w:val="-106"/>
          <w:w w:val="100"/>
        </w:rPr>
        <w:t>）</w:t>
      </w:r>
      <w:r>
        <w:rPr>
          <w:spacing w:val="-9"/>
          <w:w w:val="100"/>
        </w:rPr>
        <w:t>、中度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3</w:t>
      </w:r>
      <w:r>
        <w:rPr>
          <w:rFonts w:ascii="Times New Roman" w:eastAsia="Times New Roman"/>
          <w:spacing w:val="-5"/>
          <w:w w:val="100"/>
        </w:rPr>
        <w:t>5</w:t>
      </w:r>
      <w:r>
        <w:rPr>
          <w:rFonts w:ascii="Times New Roman" w:eastAsia="Times New Roman"/>
          <w:spacing w:val="0"/>
          <w:w w:val="100"/>
        </w:rPr>
        <w:t>-</w:t>
      </w:r>
      <w:r>
        <w:rPr>
          <w:rFonts w:ascii="Times New Roman" w:eastAsia="Times New Roman"/>
          <w:w w:val="100"/>
        </w:rPr>
        <w:t>49</w:t>
      </w:r>
      <w:r>
        <w:rPr>
          <w:spacing w:val="-111"/>
          <w:w w:val="100"/>
        </w:rPr>
        <w:t>）</w:t>
      </w:r>
      <w:r>
        <w:rPr>
          <w:spacing w:val="-9"/>
          <w:w w:val="100"/>
        </w:rPr>
        <w:t>、重度</w:t>
      </w:r>
      <w:r>
        <w:rPr>
          <w:spacing w:val="-1"/>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20</w:t>
      </w:r>
      <w:r>
        <w:rPr>
          <w:rFonts w:ascii="Times New Roman" w:eastAsia="Times New Roman"/>
          <w:spacing w:val="0"/>
          <w:w w:val="100"/>
        </w:rPr>
        <w:t>-</w:t>
      </w:r>
      <w:r>
        <w:rPr>
          <w:rFonts w:ascii="Times New Roman" w:eastAsia="Times New Roman"/>
          <w:w w:val="100"/>
        </w:rPr>
        <w:t>3</w:t>
      </w:r>
      <w:r>
        <w:rPr>
          <w:rFonts w:ascii="Times New Roman" w:eastAsia="Times New Roman"/>
          <w:spacing w:val="-5"/>
          <w:w w:val="100"/>
        </w:rPr>
        <w:t>4</w:t>
      </w:r>
      <w:r>
        <w:rPr>
          <w:spacing w:val="-10"/>
          <w:w w:val="100"/>
        </w:rPr>
        <w:t>）</w:t>
      </w:r>
      <w:r>
        <w:rPr>
          <w:spacing w:val="-4"/>
          <w:w w:val="100"/>
        </w:rPr>
        <w:t>和极重度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&lt;20</w:t>
      </w:r>
      <w:r>
        <w:rPr>
          <w:spacing w:val="-111"/>
          <w:w w:val="100"/>
        </w:rPr>
        <w:t>）</w:t>
      </w:r>
      <w:r>
        <w:rPr>
          <w:spacing w:val="-5"/>
          <w:w w:val="100"/>
        </w:rPr>
        <w:t>。智商的检测必须由本公司认可</w:t>
      </w:r>
      <w:r>
        <w:rPr>
          <w:spacing w:val="-7"/>
        </w:rPr>
        <w:t>的专职心理测验工作者进行，心理测验工作者必须持有心理测量专业委员会资格认定书。根据被保险人年</w:t>
      </w:r>
      <w:r>
        <w:rPr>
          <w:spacing w:val="-6"/>
        </w:rPr>
        <w:t>龄采用对应的智力量表如韦克斯勒智力量表</w:t>
      </w:r>
      <w:r>
        <w:rPr/>
        <w:t>（</w:t>
      </w:r>
      <w:r>
        <w:rPr>
          <w:spacing w:val="-5"/>
        </w:rPr>
        <w:t>儿童智力量表或成人智力量表</w:t>
      </w:r>
      <w:r>
        <w:rPr>
          <w:spacing w:val="-106"/>
        </w:rPr>
        <w:t>）</w:t>
      </w:r>
      <w:r>
        <w:rPr/>
        <w:t>。</w:t>
      </w:r>
    </w:p>
    <w:p>
      <w:pPr>
        <w:pStyle w:val="BodyText"/>
        <w:spacing w:line="262" w:lineRule="exact" w:before="21"/>
        <w:jc w:val="both"/>
      </w:pPr>
      <w:r>
        <w:rPr/>
        <w:t>理赔时必须满足下列全部条件：</w:t>
      </w:r>
    </w:p>
    <w:p>
      <w:pPr>
        <w:pStyle w:val="Heading1"/>
        <w:spacing w:line="353" w:lineRule="exact"/>
        <w:jc w:val="both"/>
      </w:pPr>
      <w:r>
        <w:rPr>
          <w:rFonts w:ascii="宋体" w:eastAsia="宋体" w:hint="eastAsia"/>
          <w:b w:val="0"/>
        </w:rPr>
        <w:t>（</w:t>
      </w:r>
      <w:r>
        <w:rPr>
          <w:rFonts w:ascii="Times New Roman" w:eastAsia="Times New Roman"/>
          <w:b w:val="0"/>
        </w:rPr>
        <w:t>1</w:t>
      </w:r>
      <w:r>
        <w:rPr>
          <w:rFonts w:ascii="宋体" w:eastAsia="宋体" w:hint="eastAsia"/>
          <w:b w:val="0"/>
        </w:rPr>
        <w:t>）</w:t>
      </w:r>
      <w:r>
        <w:rPr/>
        <w:t>被保险人大于或等于 </w:t>
      </w:r>
      <w:r>
        <w:rPr>
          <w:rFonts w:ascii="Times New Roman" w:eastAsia="Times New Roman"/>
        </w:rPr>
        <w:t>6 </w:t>
      </w:r>
      <w:r>
        <w:rPr/>
        <w:t>周岁；</w:t>
      </w:r>
    </w:p>
    <w:p>
      <w:pPr>
        <w:pStyle w:val="BodyText"/>
        <w:spacing w:before="23"/>
        <w:jc w:val="both"/>
      </w:pPr>
      <w:r>
        <w:rPr/>
        <w:t>（</w:t>
      </w:r>
      <w:r>
        <w:rPr>
          <w:rFonts w:ascii="Times New Roman" w:eastAsia="Times New Roman"/>
        </w:rPr>
        <w:t>2</w:t>
      </w:r>
      <w:r>
        <w:rPr/>
        <w:t>）医疗机构的儿科专科医生确诊被保险人由于严重头部创伤或疾病造成智力低下；</w:t>
      </w:r>
    </w:p>
    <w:p>
      <w:pPr>
        <w:pStyle w:val="BodyText"/>
        <w:spacing w:before="31"/>
        <w:jc w:val="both"/>
      </w:pPr>
      <w:r>
        <w:rPr>
          <w:w w:val="100"/>
        </w:rPr>
        <w:t>（</w:t>
      </w:r>
      <w:r>
        <w:rPr>
          <w:rFonts w:ascii="Times New Roman" w:eastAsia="Times New Roman"/>
          <w:w w:val="100"/>
        </w:rPr>
        <w:t>3</w:t>
      </w:r>
      <w:r>
        <w:rPr>
          <w:w w:val="100"/>
        </w:rPr>
        <w:t>）</w:t>
      </w:r>
      <w:r>
        <w:rPr>
          <w:spacing w:val="-5"/>
          <w:w w:val="100"/>
        </w:rPr>
        <w:t>专职合格心理检测工作者适时做的心理检测证实被保险人智力低常</w:t>
      </w:r>
      <w:r>
        <w:rPr>
          <w:w w:val="100"/>
        </w:rPr>
        <w:t>（</w:t>
      </w:r>
      <w:r>
        <w:rPr>
          <w:spacing w:val="-4"/>
          <w:w w:val="100"/>
        </w:rPr>
        <w:t>轻度、中度、重度或极重度</w:t>
      </w:r>
      <w:r>
        <w:rPr>
          <w:spacing w:val="-106"/>
          <w:w w:val="100"/>
        </w:rPr>
        <w:t>）</w:t>
      </w:r>
      <w:r>
        <w:rPr>
          <w:w w:val="100"/>
        </w:rPr>
        <w:t>；</w:t>
      </w:r>
    </w:p>
    <w:p>
      <w:pPr>
        <w:pStyle w:val="BodyText"/>
        <w:spacing w:before="26"/>
        <w:jc w:val="both"/>
      </w:pPr>
      <w:r>
        <w:rPr/>
        <w:t>（</w:t>
      </w:r>
      <w:r>
        <w:rPr>
          <w:rFonts w:ascii="Times New Roman" w:eastAsia="Times New Roman"/>
        </w:rPr>
        <w:t>4</w:t>
      </w:r>
      <w:r>
        <w:rPr/>
        <w:t>）被保险人的智力低常自确认日起持续 </w:t>
      </w:r>
      <w:r>
        <w:rPr>
          <w:rFonts w:ascii="Times New Roman" w:eastAsia="Times New Roman"/>
        </w:rPr>
        <w:t>180 </w:t>
      </w:r>
      <w:r>
        <w:rPr/>
        <w:t>天以上。</w:t>
      </w:r>
    </w:p>
    <w:p>
      <w:pPr>
        <w:pStyle w:val="BodyText"/>
        <w:spacing w:before="8"/>
        <w:ind w:left="0"/>
        <w:rPr>
          <w:sz w:val="27"/>
        </w:rPr>
      </w:pPr>
    </w:p>
    <w:p>
      <w:pPr>
        <w:pStyle w:val="BodyText"/>
        <w:jc w:val="both"/>
      </w:pPr>
      <w:r>
        <w:rPr>
          <w:rFonts w:ascii="Times New Roman" w:eastAsia="Times New Roman"/>
        </w:rPr>
        <w:t>31</w:t>
      </w:r>
      <w:r>
        <w:rPr/>
        <w:t>、日常生活活动能力永久丧失</w:t>
      </w:r>
    </w:p>
    <w:p>
      <w:pPr>
        <w:pStyle w:val="BodyText"/>
        <w:spacing w:line="261" w:lineRule="auto" w:before="64"/>
        <w:ind w:right="122"/>
      </w:pPr>
      <w:r>
        <w:rPr>
          <w:spacing w:val="-7"/>
        </w:rPr>
        <w:t>由于疾病或意外伤害所致日常生活活动能力永久丧失，导致被保险人持续 </w:t>
      </w:r>
      <w:r>
        <w:rPr>
          <w:rFonts w:ascii="Times New Roman" w:eastAsia="Times New Roman"/>
        </w:rPr>
        <w:t>180 </w:t>
      </w:r>
      <w:r>
        <w:rPr>
          <w:spacing w:val="-3"/>
        </w:rPr>
        <w:t>天以上不能独立完成六项基</w:t>
      </w:r>
      <w:r>
        <w:rPr>
          <w:spacing w:val="-5"/>
        </w:rPr>
        <w:t>本日常生活活动中的三项或三项以上。</w:t>
      </w:r>
    </w:p>
    <w:p>
      <w:pPr>
        <w:spacing w:line="322" w:lineRule="exact" w:before="15"/>
        <w:ind w:left="113" w:right="80" w:firstLine="0"/>
        <w:jc w:val="left"/>
        <w:rPr>
          <w:sz w:val="21"/>
        </w:rPr>
      </w:pPr>
      <w:r>
        <w:rPr>
          <w:rFonts w:ascii="Microsoft JhengHei" w:eastAsia="Microsoft JhengHei" w:hint="eastAsia"/>
          <w:b/>
          <w:sz w:val="21"/>
        </w:rPr>
        <w:t>本附加合同仅对申请保险金时年满 4 周岁的被保险人予以理赔。</w:t>
      </w:r>
      <w:r>
        <w:rPr>
          <w:sz w:val="21"/>
        </w:rPr>
        <w:t>理赔时必须提供被保险人因意外伤害或疾病造成日常生活活动能力永久丧失的确实临床证据。</w:t>
      </w:r>
    </w:p>
    <w:p>
      <w:pPr>
        <w:pStyle w:val="BodyText"/>
        <w:spacing w:before="12"/>
        <w:ind w:left="0"/>
        <w:rPr>
          <w:sz w:val="19"/>
        </w:rPr>
      </w:pPr>
    </w:p>
    <w:p>
      <w:pPr>
        <w:pStyle w:val="BodyText"/>
        <w:jc w:val="both"/>
      </w:pPr>
      <w:r>
        <w:rPr>
          <w:rFonts w:ascii="Times New Roman" w:eastAsia="Times New Roman"/>
        </w:rPr>
        <w:t>32</w:t>
      </w:r>
      <w:r>
        <w:rPr/>
        <w:t>、严重哮喘</w:t>
      </w:r>
    </w:p>
    <w:p>
      <w:pPr>
        <w:pStyle w:val="BodyText"/>
        <w:spacing w:before="65"/>
        <w:jc w:val="both"/>
      </w:pPr>
      <w:r>
        <w:rPr/>
        <w:t>严重哮喘必须明确诊断，并且满足下列标准中的三项或三项以上：</w:t>
      </w:r>
    </w:p>
    <w:p>
      <w:pPr>
        <w:pStyle w:val="BodyText"/>
        <w:spacing w:before="47"/>
        <w:jc w:val="both"/>
      </w:pPr>
      <w:r>
        <w:rPr/>
        <w:t>（</w:t>
      </w:r>
      <w:r>
        <w:rPr>
          <w:rFonts w:ascii="Times New Roman" w:eastAsia="Times New Roman"/>
        </w:rPr>
        <w:t>1</w:t>
      </w:r>
      <w:r>
        <w:rPr/>
        <w:t>）过去两年中有哮喘持续状态病史；</w:t>
      </w:r>
    </w:p>
    <w:p>
      <w:pPr>
        <w:spacing w:after="0"/>
        <w:jc w:val="both"/>
        <w:sectPr>
          <w:pgSz w:w="11910" w:h="16840"/>
          <w:pgMar w:header="0" w:footer="576" w:top="780" w:bottom="760" w:left="1020" w:right="1000"/>
        </w:sectPr>
      </w:pPr>
    </w:p>
    <w:p>
      <w:pPr>
        <w:pStyle w:val="BodyText"/>
        <w:spacing w:before="60"/>
        <w:jc w:val="both"/>
      </w:pPr>
      <w:r>
        <w:rPr/>
        <w:t>（</w:t>
      </w:r>
      <w:r>
        <w:rPr>
          <w:rFonts w:ascii="Times New Roman" w:eastAsia="Times New Roman"/>
        </w:rPr>
        <w:t>2</w:t>
      </w:r>
      <w:r>
        <w:rPr/>
        <w:t>）身体活动耐受能力显著且持续下降；</w:t>
      </w:r>
    </w:p>
    <w:p>
      <w:pPr>
        <w:pStyle w:val="BodyText"/>
        <w:spacing w:before="30"/>
        <w:jc w:val="both"/>
      </w:pPr>
      <w:r>
        <w:rPr/>
        <w:t>（</w:t>
      </w:r>
      <w:r>
        <w:rPr>
          <w:rFonts w:ascii="Times New Roman" w:eastAsia="Times New Roman"/>
        </w:rPr>
        <w:t>3</w:t>
      </w:r>
      <w:r>
        <w:rPr/>
        <w:t>）慢性肺部过度膨胀充气导致的胸廓畸形；</w:t>
      </w:r>
    </w:p>
    <w:p>
      <w:pPr>
        <w:pStyle w:val="BodyText"/>
        <w:spacing w:before="30"/>
        <w:jc w:val="both"/>
      </w:pPr>
      <w:r>
        <w:rPr/>
        <w:t>（</w:t>
      </w:r>
      <w:r>
        <w:rPr>
          <w:rFonts w:ascii="Times New Roman" w:eastAsia="Times New Roman"/>
        </w:rPr>
        <w:t>4</w:t>
      </w:r>
      <w:r>
        <w:rPr/>
        <w:t>）</w:t>
      </w:r>
      <w:r>
        <w:rPr>
          <w:spacing w:val="-5"/>
        </w:rPr>
        <w:t>为控制哮喘必须持续每日口服皮质类固醇激素</w:t>
      </w:r>
      <w:r>
        <w:rPr/>
        <w:t>（</w:t>
      </w:r>
      <w:r>
        <w:rPr>
          <w:spacing w:val="-7"/>
        </w:rPr>
        <w:t>至少持续 </w:t>
      </w:r>
      <w:r>
        <w:rPr>
          <w:rFonts w:ascii="Times New Roman" w:eastAsia="Times New Roman"/>
        </w:rPr>
        <w:t>180 </w:t>
      </w:r>
      <w:r>
        <w:rPr>
          <w:spacing w:val="-2"/>
        </w:rPr>
        <w:t>天以上</w:t>
      </w:r>
      <w:r>
        <w:rPr>
          <w:spacing w:val="-106"/>
        </w:rPr>
        <w:t>）</w:t>
      </w:r>
      <w:r>
        <w:rPr/>
        <w:t>。</w:t>
      </w:r>
    </w:p>
    <w:p>
      <w:pPr>
        <w:pStyle w:val="BodyText"/>
        <w:spacing w:before="8"/>
        <w:ind w:left="0"/>
        <w:rPr>
          <w:sz w:val="20"/>
        </w:rPr>
      </w:pPr>
    </w:p>
    <w:p>
      <w:pPr>
        <w:pStyle w:val="BodyText"/>
        <w:jc w:val="both"/>
      </w:pPr>
      <w:r>
        <w:rPr>
          <w:rFonts w:ascii="Times New Roman" w:eastAsia="Times New Roman"/>
        </w:rPr>
        <w:t>33</w:t>
      </w:r>
      <w:r>
        <w:rPr/>
        <w:t>、严重多发性硬化症</w:t>
      </w:r>
    </w:p>
    <w:p>
      <w:pPr>
        <w:pStyle w:val="BodyText"/>
        <w:spacing w:line="273" w:lineRule="auto" w:before="26"/>
        <w:ind w:right="205"/>
        <w:jc w:val="both"/>
      </w:pPr>
      <w:r>
        <w:rPr>
          <w:spacing w:val="-6"/>
        </w:rPr>
        <w:t>多发性硬化为中枢神经系统脱髓鞘病变，必须由医疗机构的神经专科医生确诊。必须伴有典型的脱髓鞘症</w:t>
      </w:r>
      <w:r>
        <w:rPr>
          <w:spacing w:val="-5"/>
        </w:rPr>
        <w:t>状和运动及感觉功能障碍的证据并有磁共振</w:t>
      </w:r>
      <w:r>
        <w:rPr>
          <w:spacing w:val="-3"/>
        </w:rPr>
        <w:t>（</w:t>
      </w:r>
      <w:r>
        <w:rPr>
          <w:rFonts w:ascii="Times New Roman" w:eastAsia="Times New Roman"/>
          <w:spacing w:val="-3"/>
        </w:rPr>
        <w:t>MRI</w:t>
      </w:r>
      <w:r>
        <w:rPr>
          <w:spacing w:val="-3"/>
        </w:rPr>
        <w:t>）</w:t>
      </w:r>
      <w:r>
        <w:rPr>
          <w:spacing w:val="-5"/>
        </w:rPr>
        <w:t>的典型改变。严重多发性硬化症必须造成神经系统永</w:t>
      </w:r>
      <w:r>
        <w:rPr>
          <w:spacing w:val="-6"/>
        </w:rPr>
        <w:t>久性功能损害并且已导致被保险人独立生活能力完全丧失，无法独立完成六项基本日常生活活动中的三项</w:t>
      </w:r>
      <w:r>
        <w:rPr>
          <w:spacing w:val="-10"/>
        </w:rPr>
        <w:t>或三项以上持续达 </w:t>
      </w:r>
      <w:r>
        <w:rPr>
          <w:rFonts w:ascii="Times New Roman" w:eastAsia="Times New Roman"/>
        </w:rPr>
        <w:t>180 </w:t>
      </w:r>
      <w:r>
        <w:rPr>
          <w:spacing w:val="-2"/>
        </w:rPr>
        <w:t>天以上。</w:t>
      </w:r>
    </w:p>
    <w:p>
      <w:pPr>
        <w:pStyle w:val="BodyText"/>
        <w:spacing w:before="6"/>
        <w:ind w:left="0"/>
        <w:rPr>
          <w:sz w:val="24"/>
        </w:rPr>
      </w:pPr>
    </w:p>
    <w:p>
      <w:pPr>
        <w:pStyle w:val="BodyText"/>
      </w:pPr>
      <w:r>
        <w:rPr>
          <w:rFonts w:ascii="Times New Roman" w:eastAsia="Times New Roman"/>
        </w:rPr>
        <w:t>34</w:t>
      </w:r>
      <w:r>
        <w:rPr/>
        <w:t>、严重冠心病</w:t>
      </w:r>
    </w:p>
    <w:p>
      <w:pPr>
        <w:pStyle w:val="BodyText"/>
        <w:spacing w:line="280" w:lineRule="auto" w:before="26"/>
        <w:ind w:right="203"/>
      </w:pPr>
      <w:r>
        <w:rPr>
          <w:spacing w:val="-6"/>
        </w:rPr>
        <w:t>指经根据冠状动脉造影检查结果明确诊断为至少有三支主要血管</w:t>
      </w:r>
      <w:r>
        <w:rPr/>
        <w:t>（</w:t>
      </w:r>
      <w:r>
        <w:rPr>
          <w:spacing w:val="-5"/>
        </w:rPr>
        <w:t>左冠状动脉主干、前降支、左旋支和右冠状动脉中的三支</w:t>
      </w:r>
      <w:r>
        <w:rPr>
          <w:spacing w:val="-39"/>
        </w:rPr>
        <w:t>）</w:t>
      </w:r>
      <w:r>
        <w:rPr>
          <w:spacing w:val="-9"/>
        </w:rPr>
        <w:t>严重狭窄性病变</w:t>
      </w:r>
      <w:r>
        <w:rPr/>
        <w:t>（</w:t>
      </w:r>
      <w:r>
        <w:rPr>
          <w:spacing w:val="-4"/>
        </w:rPr>
        <w:t>至少一支血管管腔直径减少 </w:t>
      </w:r>
      <w:r>
        <w:rPr>
          <w:rFonts w:ascii="Times New Roman" w:eastAsia="Times New Roman"/>
        </w:rPr>
        <w:t>75</w:t>
      </w:r>
      <w:r>
        <w:rPr>
          <w:spacing w:val="-5"/>
        </w:rPr>
        <w:t>％以上和其他两支血管管腔直径减少</w:t>
      </w:r>
    </w:p>
    <w:p>
      <w:pPr>
        <w:pStyle w:val="BodyText"/>
        <w:spacing w:line="261" w:lineRule="auto"/>
        <w:ind w:right="215"/>
      </w:pPr>
      <w:r>
        <w:rPr>
          <w:rFonts w:ascii="Times New Roman" w:eastAsia="Times New Roman"/>
        </w:rPr>
        <w:t>60</w:t>
      </w:r>
      <w:r>
        <w:rPr/>
        <w:t>％以上，若左冠状动脉主干狭窄可认定为两支主要血管狭窄</w:t>
      </w:r>
      <w:r>
        <w:rPr>
          <w:spacing w:val="-101"/>
        </w:rPr>
        <w:t>）</w:t>
      </w:r>
      <w:r>
        <w:rPr/>
        <w:t>。前降支、左旋支及右冠状动脉的分支血</w:t>
      </w:r>
      <w:r>
        <w:rPr>
          <w:spacing w:val="-4"/>
        </w:rPr>
        <w:t>管的狭窄不作为本保障理赔的衡量指标。</w:t>
      </w:r>
    </w:p>
    <w:p>
      <w:pPr>
        <w:pStyle w:val="BodyText"/>
        <w:spacing w:before="5"/>
        <w:ind w:left="0"/>
        <w:rPr>
          <w:sz w:val="27"/>
        </w:rPr>
      </w:pPr>
    </w:p>
    <w:p>
      <w:pPr>
        <w:pStyle w:val="BodyText"/>
      </w:pPr>
      <w:r>
        <w:rPr>
          <w:rFonts w:ascii="Times New Roman" w:eastAsia="Times New Roman"/>
        </w:rPr>
        <w:t>35</w:t>
      </w:r>
      <w:r>
        <w:rPr/>
        <w:t>、严重心肌病</w:t>
      </w:r>
    </w:p>
    <w:p>
      <w:pPr>
        <w:pStyle w:val="BodyText"/>
        <w:spacing w:line="273" w:lineRule="auto" w:before="25"/>
        <w:ind w:right="203"/>
        <w:jc w:val="both"/>
      </w:pPr>
      <w:r>
        <w:rPr>
          <w:spacing w:val="-6"/>
        </w:rPr>
        <w:t>指因原发性心肌病导致慢性心功能损害造成永久不可逆性的心功能衰竭。心功能衰竭程度达到纽约心脏病学会（</w:t>
      </w:r>
      <w:r>
        <w:rPr>
          <w:rFonts w:ascii="Times New Roman" w:eastAsia="Times New Roman"/>
          <w:spacing w:val="-6"/>
        </w:rPr>
        <w:t>NYHA</w:t>
      </w:r>
      <w:r>
        <w:rPr>
          <w:spacing w:val="-6"/>
        </w:rPr>
        <w:t>）</w:t>
      </w:r>
      <w:r>
        <w:rPr>
          <w:spacing w:val="-4"/>
        </w:rPr>
        <w:t>的心功能分级标准之心功能 </w:t>
      </w:r>
      <w:r>
        <w:rPr>
          <w:rFonts w:ascii="Times New Roman" w:eastAsia="Times New Roman"/>
        </w:rPr>
        <w:t>IV </w:t>
      </w:r>
      <w:r>
        <w:rPr>
          <w:spacing w:val="-5"/>
        </w:rPr>
        <w:t>级：被保险人永久不可逆性的体力活动能力受限，不能从事任何体力活动。</w:t>
      </w:r>
    </w:p>
    <w:p>
      <w:pPr>
        <w:pStyle w:val="BodyText"/>
        <w:spacing w:before="8"/>
        <w:ind w:left="0"/>
        <w:rPr>
          <w:sz w:val="19"/>
        </w:rPr>
      </w:pPr>
    </w:p>
    <w:p>
      <w:pPr>
        <w:pStyle w:val="BodyText"/>
      </w:pPr>
      <w:r>
        <w:rPr>
          <w:rFonts w:ascii="Times New Roman" w:eastAsia="Times New Roman"/>
        </w:rPr>
        <w:t>36</w:t>
      </w:r>
      <w:r>
        <w:rPr/>
        <w:t>、严重克罗恩病（克隆病）</w:t>
      </w:r>
    </w:p>
    <w:p>
      <w:pPr>
        <w:pStyle w:val="BodyText"/>
        <w:spacing w:line="280" w:lineRule="auto" w:before="25"/>
        <w:ind w:right="100"/>
      </w:pPr>
      <w:r>
        <w:rPr>
          <w:spacing w:val="-9"/>
        </w:rPr>
        <w:t>克罗恩病是一种慢性特发性肠炎，具有特征性的克罗恩病病理组织学变化。诊断必须由病理检查结果证实。</w:t>
      </w:r>
      <w:r>
        <w:rPr>
          <w:spacing w:val="-7"/>
        </w:rPr>
        <w:t>被保险人所患的克罗恩病必须已经造成瘘管形成并伴有肠梗阻或肠穿孔。</w:t>
      </w:r>
    </w:p>
    <w:p>
      <w:pPr>
        <w:pStyle w:val="BodyText"/>
        <w:spacing w:before="251"/>
      </w:pPr>
      <w:r>
        <w:rPr>
          <w:rFonts w:ascii="Times New Roman" w:eastAsia="Times New Roman"/>
        </w:rPr>
        <w:t>37</w:t>
      </w:r>
      <w:r>
        <w:rPr/>
        <w:t>、严重溃疡性结肠炎</w:t>
      </w:r>
    </w:p>
    <w:p>
      <w:pPr>
        <w:pStyle w:val="BodyText"/>
        <w:spacing w:line="278" w:lineRule="auto" w:before="31"/>
        <w:ind w:right="186"/>
        <w:jc w:val="both"/>
      </w:pPr>
      <w:r>
        <w:rPr>
          <w:spacing w:val="-5"/>
        </w:rPr>
        <w:t>指伴有致命性电解质紊乱的急性暴发性溃疡性结肠炎，病变累及全结肠，表现为严重的血便和全身症状， </w:t>
      </w:r>
      <w:r>
        <w:rPr>
          <w:spacing w:val="-7"/>
        </w:rPr>
        <w:t>治疗通常采取全结肠切除和回肠造瘘术。溃疡性结肠炎必须根据组织病理学特点诊断，并且被保险人已经</w:t>
      </w:r>
      <w:r>
        <w:rPr>
          <w:spacing w:val="-2"/>
        </w:rPr>
        <w:t>接受了结肠切除和</w:t>
      </w:r>
      <w:r>
        <w:rPr>
          <w:rFonts w:ascii="Times New Roman" w:eastAsia="Times New Roman"/>
        </w:rPr>
        <w:t>/</w:t>
      </w:r>
      <w:r>
        <w:rPr>
          <w:spacing w:val="-3"/>
        </w:rPr>
        <w:t>或回肠造瘘术。</w:t>
      </w:r>
    </w:p>
    <w:p>
      <w:pPr>
        <w:pStyle w:val="BodyText"/>
        <w:spacing w:before="233"/>
      </w:pPr>
      <w:r>
        <w:rPr>
          <w:rFonts w:ascii="Times New Roman" w:eastAsia="Times New Roman"/>
        </w:rPr>
        <w:t>38</w:t>
      </w:r>
      <w:r>
        <w:rPr/>
        <w:t>、严重类风湿性关节炎</w:t>
      </w:r>
    </w:p>
    <w:p>
      <w:pPr>
        <w:pStyle w:val="BodyText"/>
        <w:spacing w:line="273" w:lineRule="auto" w:before="30"/>
        <w:ind w:right="202"/>
        <w:jc w:val="both"/>
      </w:pPr>
      <w:r>
        <w:rPr>
          <w:spacing w:val="-7"/>
        </w:rPr>
        <w:t>类风湿性关节炎为广泛分布的慢性进行性多关节病变，表现为关节严重变形，侵犯至少三个主要关节或关节组（如：双手（</w:t>
      </w:r>
      <w:r>
        <w:rPr>
          <w:spacing w:val="-4"/>
        </w:rPr>
        <w:t>多手指</w:t>
      </w:r>
      <w:r>
        <w:rPr/>
        <w:t>）关节、双足（多足趾）关节、双腕关节、双膝关节和双髋关节</w:t>
      </w:r>
      <w:r>
        <w:rPr>
          <w:spacing w:val="-101"/>
        </w:rPr>
        <w:t>）</w:t>
      </w:r>
      <w:r>
        <w:rPr/>
        <w:t>。被保险人所</w:t>
      </w:r>
      <w:r>
        <w:rPr>
          <w:spacing w:val="-5"/>
        </w:rPr>
        <w:t>患的类风湿性关节炎必须已经达到类风湿性关节炎功能分类 </w:t>
      </w:r>
      <w:r>
        <w:rPr>
          <w:rFonts w:ascii="Times New Roman" w:eastAsia="Times New Roman"/>
        </w:rPr>
        <w:t>IV </w:t>
      </w:r>
      <w:r>
        <w:rPr/>
        <w:t>级的功能障碍（</w:t>
      </w:r>
      <w:r>
        <w:rPr>
          <w:spacing w:val="-3"/>
        </w:rPr>
        <w:t>生活不能自理，且丧失工作能力）</w:t>
      </w:r>
      <w:r>
        <w:rPr>
          <w:spacing w:val="-4"/>
        </w:rPr>
        <w:t>并且满足下列全部条件：</w:t>
      </w:r>
    </w:p>
    <w:p>
      <w:pPr>
        <w:pStyle w:val="BodyText"/>
        <w:spacing w:before="12"/>
        <w:jc w:val="both"/>
      </w:pPr>
      <w:r>
        <w:rPr/>
        <w:t>（</w:t>
      </w:r>
      <w:r>
        <w:rPr>
          <w:rFonts w:ascii="Times New Roman" w:eastAsia="Times New Roman"/>
        </w:rPr>
        <w:t>1</w:t>
      </w:r>
      <w:r>
        <w:rPr/>
        <w:t>）晨僵；</w:t>
      </w:r>
    </w:p>
    <w:p>
      <w:pPr>
        <w:pStyle w:val="BodyText"/>
        <w:spacing w:before="31"/>
        <w:jc w:val="both"/>
      </w:pPr>
      <w:r>
        <w:rPr/>
        <w:t>（</w:t>
      </w:r>
      <w:r>
        <w:rPr>
          <w:rFonts w:ascii="Times New Roman" w:eastAsia="Times New Roman"/>
        </w:rPr>
        <w:t>2</w:t>
      </w:r>
      <w:r>
        <w:rPr/>
        <w:t>）对称性关节炎；</w:t>
      </w:r>
    </w:p>
    <w:p>
      <w:pPr>
        <w:pStyle w:val="BodyText"/>
        <w:spacing w:before="30"/>
        <w:jc w:val="both"/>
      </w:pPr>
      <w:r>
        <w:rPr/>
        <w:t>（</w:t>
      </w:r>
      <w:r>
        <w:rPr>
          <w:rFonts w:ascii="Times New Roman" w:eastAsia="Times New Roman"/>
        </w:rPr>
        <w:t>3</w:t>
      </w:r>
      <w:r>
        <w:rPr/>
        <w:t>）类风湿性皮下结节；</w:t>
      </w:r>
    </w:p>
    <w:p>
      <w:pPr>
        <w:pStyle w:val="BodyText"/>
        <w:spacing w:before="25"/>
        <w:jc w:val="both"/>
      </w:pPr>
      <w:r>
        <w:rPr/>
        <w:t>（</w:t>
      </w:r>
      <w:r>
        <w:rPr>
          <w:rFonts w:ascii="Times New Roman" w:eastAsia="Times New Roman"/>
        </w:rPr>
        <w:t>4</w:t>
      </w:r>
      <w:r>
        <w:rPr/>
        <w:t>）类风湿因子滴度升高；</w:t>
      </w:r>
    </w:p>
    <w:p>
      <w:pPr>
        <w:pStyle w:val="BodyText"/>
        <w:spacing w:before="30"/>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BodyText"/>
        <w:spacing w:before="9"/>
        <w:ind w:left="0"/>
        <w:rPr>
          <w:sz w:val="20"/>
        </w:rPr>
      </w:pPr>
    </w:p>
    <w:p>
      <w:pPr>
        <w:pStyle w:val="BodyText"/>
        <w:jc w:val="both"/>
      </w:pPr>
      <w:r>
        <w:rPr>
          <w:rFonts w:ascii="Times New Roman" w:eastAsia="Times New Roman"/>
        </w:rPr>
        <w:t>39</w:t>
      </w:r>
      <w:r>
        <w:rPr/>
        <w:t>、慢性呼吸功能衰竭</w:t>
      </w:r>
    </w:p>
    <w:p>
      <w:pPr>
        <w:pStyle w:val="BodyText"/>
        <w:spacing w:line="280" w:lineRule="auto" w:before="25"/>
        <w:ind w:right="206"/>
      </w:pPr>
      <w:r>
        <w:rPr>
          <w:spacing w:val="-6"/>
        </w:rPr>
        <w:t>是指被保险人必须经医疗机构的呼吸科专科医师确诊患有慢性肺部疾病而出现慢性呼吸功能衰竭，其诊断</w:t>
      </w:r>
      <w:r>
        <w:rPr>
          <w:spacing w:val="-5"/>
        </w:rPr>
        <w:t>标准需同时满足以下各项：</w:t>
      </w:r>
    </w:p>
    <w:p>
      <w:pPr>
        <w:pStyle w:val="BodyText"/>
        <w:spacing w:before="10"/>
        <w:jc w:val="both"/>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before="25"/>
        <w:jc w:val="both"/>
      </w:pPr>
      <w:r>
        <w:rPr/>
        <w:t>（</w:t>
      </w:r>
      <w:r>
        <w:rPr>
          <w:rFonts w:ascii="Times New Roman" w:eastAsia="Times New Roman"/>
        </w:rPr>
        <w:t>2</w:t>
      </w:r>
      <w:r>
        <w:rPr/>
        <w:t>）病人血氧不足必须持续地进行输氧治疗；</w:t>
      </w:r>
    </w:p>
    <w:p>
      <w:pPr>
        <w:pStyle w:val="BodyText"/>
        <w:spacing w:before="31"/>
        <w:jc w:val="both"/>
        <w:rPr>
          <w:rFonts w:ascii="Times New Roman" w:eastAsia="Times New Roman"/>
        </w:rPr>
      </w:pPr>
      <w:r>
        <w:rPr/>
        <w:t>（</w:t>
      </w:r>
      <w:r>
        <w:rPr>
          <w:rFonts w:ascii="Times New Roman" w:eastAsia="Times New Roman"/>
        </w:rPr>
        <w:t>3</w:t>
      </w:r>
      <w:r>
        <w:rPr/>
        <w:t>）动脉血气分析氧分压等于或低于 </w:t>
      </w:r>
      <w:r>
        <w:rPr>
          <w:rFonts w:ascii="Times New Roman" w:eastAsia="Times New Roman"/>
        </w:rPr>
        <w:t>55mmHg;</w:t>
      </w:r>
    </w:p>
    <w:p>
      <w:pPr>
        <w:pStyle w:val="BodyText"/>
        <w:spacing w:before="31"/>
        <w:jc w:val="both"/>
      </w:pPr>
      <w:r>
        <w:rPr/>
        <w:t>（</w:t>
      </w:r>
      <w:r>
        <w:rPr>
          <w:rFonts w:ascii="Times New Roman" w:eastAsia="Times New Roman"/>
        </w:rPr>
        <w:t>4</w:t>
      </w:r>
      <w:r>
        <w:rPr/>
        <w:t>）休息时出现呼吸困难。</w:t>
      </w:r>
    </w:p>
    <w:p>
      <w:pPr>
        <w:spacing w:after="0"/>
        <w:jc w:val="both"/>
        <w:sectPr>
          <w:footerReference w:type="default" r:id="rId7"/>
          <w:pgSz w:w="11910" w:h="16840"/>
          <w:pgMar w:footer="496" w:header="0" w:top="780" w:bottom="680" w:left="1020" w:right="920"/>
        </w:sectPr>
      </w:pPr>
    </w:p>
    <w:p>
      <w:pPr>
        <w:pStyle w:val="BodyText"/>
        <w:spacing w:before="62"/>
        <w:ind w:left="313"/>
      </w:pPr>
      <w:r>
        <w:rPr>
          <w:rFonts w:ascii="Times New Roman" w:eastAsia="Times New Roman"/>
        </w:rPr>
        <w:t>40</w:t>
      </w:r>
      <w:r>
        <w:rPr/>
        <w:t>、全身性重症肌无力</w:t>
      </w:r>
    </w:p>
    <w:p>
      <w:pPr>
        <w:pStyle w:val="BodyText"/>
        <w:spacing w:line="276" w:lineRule="auto" w:before="30"/>
        <w:ind w:left="313" w:right="186"/>
      </w:pPr>
      <w:r>
        <w:rPr>
          <w:spacing w:val="-5"/>
        </w:rPr>
        <w:t>重症肌无力是一种神经肌肉接头传递障碍的自身免疫性疾病，表现为局部或全身骨骼肌</w:t>
      </w:r>
      <w:r>
        <w:rPr/>
        <w:t>（</w:t>
      </w:r>
      <w:r>
        <w:rPr>
          <w:spacing w:val="-3"/>
        </w:rPr>
        <w:t>特别是眼外肌</w:t>
      </w:r>
      <w:r>
        <w:rPr/>
        <w:t>） </w:t>
      </w:r>
      <w:r>
        <w:rPr>
          <w:spacing w:val="-5"/>
        </w:rPr>
        <w:t>极易疲劳。疾病可以累及呼吸肌、上肢或下肢的近端肌群或全身肌肉，必须满足下列全部条件：</w:t>
      </w:r>
    </w:p>
    <w:p>
      <w:pPr>
        <w:pStyle w:val="BodyText"/>
        <w:spacing w:before="14"/>
        <w:ind w:left="313"/>
      </w:pPr>
      <w:r>
        <w:rPr/>
        <w:t>（</w:t>
      </w:r>
      <w:r>
        <w:rPr>
          <w:rFonts w:ascii="Times New Roman" w:eastAsia="Times New Roman"/>
        </w:rPr>
        <w:t>1</w:t>
      </w:r>
      <w:r>
        <w:rPr/>
        <w:t>）经药物治疗和胸腺切除治疗一年以上仍无法控制病情；</w:t>
      </w:r>
    </w:p>
    <w:p>
      <w:pPr>
        <w:pStyle w:val="BodyText"/>
        <w:spacing w:before="30"/>
        <w:ind w:left="313"/>
      </w:pPr>
      <w:r>
        <w:rPr/>
        <w:t>（</w:t>
      </w:r>
      <w:r>
        <w:rPr>
          <w:rFonts w:ascii="Times New Roman" w:eastAsia="Times New Roman"/>
        </w:rPr>
        <w:t>2</w:t>
      </w:r>
      <w:r>
        <w:rPr/>
        <w:t>）自主生活能力完全丧失，无法独立完成六项基本日常生活活动中的三项或三项以上。</w:t>
      </w:r>
    </w:p>
    <w:p>
      <w:pPr>
        <w:pStyle w:val="BodyText"/>
        <w:spacing w:before="6"/>
        <w:ind w:left="0"/>
        <w:rPr>
          <w:sz w:val="26"/>
        </w:rPr>
      </w:pPr>
    </w:p>
    <w:p>
      <w:pPr>
        <w:pStyle w:val="BodyText"/>
        <w:ind w:left="313"/>
      </w:pPr>
      <w:r>
        <w:rPr>
          <w:rFonts w:ascii="Times New Roman" w:eastAsia="Times New Roman"/>
        </w:rPr>
        <w:t>41</w:t>
      </w:r>
      <w:r>
        <w:rPr/>
        <w:t>、非阿尔茨海默病所致严重痴呆</w:t>
      </w:r>
    </w:p>
    <w:p>
      <w:pPr>
        <w:pStyle w:val="BodyText"/>
        <w:spacing w:line="278" w:lineRule="auto" w:before="30"/>
        <w:ind w:left="313" w:right="205"/>
        <w:jc w:val="both"/>
      </w:pPr>
      <w:r>
        <w:rPr>
          <w:spacing w:val="-6"/>
        </w:rPr>
        <w:t>指因阿尔茨海默病以外的脑的器质性疾病造成脑功能衰竭导致永久不可逆性的严重痴呆，临床表现为明显</w:t>
      </w:r>
      <w:r>
        <w:rPr>
          <w:spacing w:val="-8"/>
        </w:rPr>
        <w:t>的认知能力障碍、行为异常和社交能力减退。被保险人自主生活能力完全丧失，无法独立完成六项基本日</w:t>
      </w:r>
      <w:r>
        <w:rPr>
          <w:spacing w:val="-9"/>
        </w:rPr>
        <w:t>常生活活动中的三项或三项以上，日常生活必须持续受到他人监护。导致痴呆的疾病必须明确诊断，并且</w:t>
      </w:r>
      <w:r>
        <w:rPr>
          <w:spacing w:val="-7"/>
        </w:rPr>
        <w:t>由完整的临床、实验室和影像学检查结果证实。</w:t>
      </w:r>
    </w:p>
    <w:p>
      <w:pPr>
        <w:pStyle w:val="Heading1"/>
        <w:spacing w:line="307" w:lineRule="exact"/>
        <w:ind w:left="313"/>
      </w:pPr>
      <w:r>
        <w:rPr/>
        <w:t>神经官能症、精神疾病及酒精中毒所致脑损害不在保障范围内。</w:t>
      </w:r>
    </w:p>
    <w:p>
      <w:pPr>
        <w:pStyle w:val="BodyText"/>
        <w:spacing w:before="6"/>
        <w:ind w:left="0"/>
        <w:rPr>
          <w:rFonts w:ascii="Microsoft JhengHei"/>
          <w:b/>
          <w:sz w:val="20"/>
        </w:rPr>
      </w:pPr>
    </w:p>
    <w:p>
      <w:pPr>
        <w:pStyle w:val="BodyText"/>
        <w:ind w:left="313"/>
      </w:pPr>
      <w:r>
        <w:rPr>
          <w:rFonts w:ascii="Times New Roman" w:eastAsia="Times New Roman"/>
        </w:rPr>
        <w:t>42</w:t>
      </w:r>
      <w:r>
        <w:rPr/>
        <w:t>、经输血导致的艾滋病病毒感染</w:t>
      </w:r>
    </w:p>
    <w:p>
      <w:pPr>
        <w:pStyle w:val="BodyText"/>
        <w:spacing w:before="74"/>
        <w:ind w:left="313"/>
      </w:pPr>
      <w:r>
        <w:rPr/>
        <w:t>被保险人感染上艾滋病病毒（</w:t>
      </w:r>
      <w:r>
        <w:rPr>
          <w:rFonts w:ascii="Times New Roman" w:eastAsia="Times New Roman"/>
        </w:rPr>
        <w:t>HIV</w:t>
      </w:r>
      <w:r>
        <w:rPr/>
        <w:t>）并且符合下列所有条件：</w:t>
      </w:r>
    </w:p>
    <w:p>
      <w:pPr>
        <w:pStyle w:val="BodyText"/>
        <w:spacing w:before="64"/>
        <w:ind w:left="313"/>
      </w:pPr>
      <w:r>
        <w:rPr/>
        <w:t>（</w:t>
      </w:r>
      <w:r>
        <w:rPr>
          <w:rFonts w:ascii="Times New Roman" w:eastAsia="Times New Roman"/>
        </w:rPr>
        <w:t>1</w:t>
      </w:r>
      <w:r>
        <w:rPr/>
        <w:t>）在本附加合同生效日之后，被保险人因输血而感染 </w:t>
      </w:r>
      <w:r>
        <w:rPr>
          <w:rFonts w:ascii="Times New Roman" w:eastAsia="Times New Roman"/>
        </w:rPr>
        <w:t>HIV</w:t>
      </w:r>
      <w:r>
        <w:rPr/>
        <w:t>；</w:t>
      </w:r>
    </w:p>
    <w:p>
      <w:pPr>
        <w:pStyle w:val="BodyText"/>
        <w:spacing w:line="261" w:lineRule="auto" w:before="31"/>
        <w:ind w:left="855" w:right="215" w:hanging="543"/>
      </w:pPr>
      <w:r>
        <w:rPr/>
        <w:t>（</w:t>
      </w:r>
      <w:r>
        <w:rPr>
          <w:rFonts w:ascii="Times New Roman" w:eastAsia="Times New Roman"/>
        </w:rPr>
        <w:t>2</w:t>
      </w:r>
      <w:r>
        <w:rPr/>
        <w:t>）提供输血治疗的输血中心或医院出具该项输血感染属医疗责任事故的报告，或者法院终审裁定为医疗责任；</w:t>
      </w:r>
    </w:p>
    <w:p>
      <w:pPr>
        <w:pStyle w:val="BodyText"/>
        <w:spacing w:line="273" w:lineRule="exact" w:before="28"/>
        <w:ind w:left="313"/>
      </w:pPr>
      <w:r>
        <w:rPr/>
        <w:t>（</w:t>
      </w:r>
      <w:r>
        <w:rPr>
          <w:rFonts w:ascii="Times New Roman" w:eastAsia="Times New Roman"/>
        </w:rPr>
        <w:t>3</w:t>
      </w:r>
      <w:r>
        <w:rPr/>
        <w:t>）受感染的被保险人不是血友病患者。</w:t>
      </w:r>
    </w:p>
    <w:p>
      <w:pPr>
        <w:pStyle w:val="Heading1"/>
        <w:spacing w:line="323" w:lineRule="exact"/>
        <w:ind w:left="313"/>
      </w:pPr>
      <w:r>
        <w:rPr/>
        <w:t>在任何治愈艾滋病（</w:t>
      </w:r>
      <w:r>
        <w:rPr>
          <w:rFonts w:ascii="Times New Roman" w:eastAsia="Times New Roman"/>
        </w:rPr>
        <w:t>AIDS</w:t>
      </w:r>
      <w:r>
        <w:rPr/>
        <w:t>）或有效阻止艾滋病病毒（</w:t>
      </w:r>
      <w:r>
        <w:rPr>
          <w:rFonts w:ascii="Times New Roman" w:eastAsia="Times New Roman"/>
        </w:rPr>
        <w:t>HIV</w:t>
      </w:r>
      <w:r>
        <w:rPr/>
        <w:t>）作用的疗法被发现以后，或能有效防止艾滋病</w:t>
      </w:r>
    </w:p>
    <w:p>
      <w:pPr>
        <w:spacing w:line="319" w:lineRule="exact" w:before="0"/>
        <w:ind w:left="3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AIDS</w:t>
      </w:r>
      <w:r>
        <w:rPr>
          <w:rFonts w:ascii="Microsoft JhengHei" w:eastAsia="Microsoft JhengHei" w:hint="eastAsia"/>
          <w:b/>
          <w:sz w:val="21"/>
        </w:rPr>
        <w:t>）发生的医疗方法被研究出来以后，本附加合同将不再予以赔付本项重大疾病保险金。</w:t>
      </w:r>
    </w:p>
    <w:p>
      <w:pPr>
        <w:spacing w:line="344" w:lineRule="exact" w:before="0"/>
        <w:ind w:left="313" w:right="0" w:firstLine="0"/>
        <w:jc w:val="left"/>
        <w:rPr>
          <w:rFonts w:ascii="Microsoft JhengHei" w:eastAsia="Microsoft JhengHei" w:hint="eastAsia"/>
          <w:b/>
          <w:sz w:val="21"/>
        </w:rPr>
      </w:pPr>
      <w:r>
        <w:rPr>
          <w:rFonts w:ascii="Microsoft JhengHei" w:eastAsia="Microsoft JhengHei" w:hint="eastAsia"/>
          <w:b/>
          <w:sz w:val="21"/>
        </w:rPr>
        <w:t>任何因其他传播方式（包括且不限于：性传播或静脉注射毒品）导致的 </w:t>
      </w:r>
      <w:r>
        <w:rPr>
          <w:rFonts w:ascii="Times New Roman" w:eastAsia="Times New Roman"/>
          <w:b/>
          <w:sz w:val="21"/>
        </w:rPr>
        <w:t>HIV </w:t>
      </w:r>
      <w:r>
        <w:rPr>
          <w:rFonts w:ascii="Microsoft JhengHei" w:eastAsia="Microsoft JhengHei" w:hint="eastAsia"/>
          <w:b/>
          <w:sz w:val="21"/>
        </w:rPr>
        <w:t>感染不在保障范围内。</w:t>
      </w:r>
    </w:p>
    <w:p>
      <w:pPr>
        <w:pStyle w:val="BodyText"/>
        <w:spacing w:before="2"/>
        <w:ind w:left="0"/>
        <w:rPr>
          <w:rFonts w:ascii="Microsoft JhengHei"/>
          <w:b/>
          <w:sz w:val="15"/>
        </w:rPr>
      </w:pPr>
    </w:p>
    <w:p>
      <w:pPr>
        <w:pStyle w:val="BodyText"/>
        <w:ind w:left="313"/>
      </w:pPr>
      <w:r>
        <w:rPr>
          <w:rFonts w:ascii="Times New Roman" w:eastAsia="Times New Roman"/>
        </w:rPr>
        <w:t>43</w:t>
      </w:r>
      <w:r>
        <w:rPr/>
        <w:t>、因职业关系导致的艾滋病病毒感染</w:t>
      </w:r>
    </w:p>
    <w:p>
      <w:pPr>
        <w:pStyle w:val="BodyText"/>
        <w:spacing w:before="40"/>
        <w:ind w:left="313"/>
      </w:pPr>
      <w:r>
        <w:rPr>
          <w:spacing w:val="-5"/>
          <w:w w:val="100"/>
        </w:rPr>
        <w:t>被保险人在从事正常职业活动中感染艾滋病病毒</w:t>
      </w:r>
      <w:r>
        <w:rPr>
          <w:spacing w:val="1"/>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4"/>
          <w:w w:val="100"/>
        </w:rPr>
        <w:t>V</w:t>
      </w:r>
      <w:r>
        <w:rPr>
          <w:spacing w:val="-106"/>
          <w:w w:val="100"/>
        </w:rPr>
        <w:t>）</w:t>
      </w:r>
      <w:r>
        <w:rPr>
          <w:w w:val="100"/>
        </w:rPr>
        <w:t>，</w:t>
      </w:r>
      <w:r>
        <w:rPr/>
        <w:t> </w:t>
      </w:r>
      <w:r>
        <w:rPr>
          <w:spacing w:val="-2"/>
          <w:w w:val="100"/>
        </w:rPr>
        <w:t>并且证实满足下列全部条件：</w:t>
      </w:r>
    </w:p>
    <w:p>
      <w:pPr>
        <w:pStyle w:val="BodyText"/>
        <w:spacing w:line="300" w:lineRule="auto" w:before="73"/>
        <w:ind w:left="879" w:right="110" w:hanging="567"/>
      </w:pPr>
      <w:r>
        <w:rPr>
          <w:w w:val="100"/>
        </w:rPr>
        <w:t>（</w:t>
      </w:r>
      <w:r>
        <w:rPr>
          <w:rFonts w:ascii="Times New Roman" w:hAnsi="Times New Roman" w:eastAsia="Times New Roman"/>
          <w:w w:val="100"/>
        </w:rPr>
        <w:t>1</w:t>
      </w:r>
      <w:r>
        <w:rPr>
          <w:w w:val="100"/>
        </w:rPr>
        <w:t>）</w:t>
      </w:r>
      <w:r>
        <w:rPr>
          <w:spacing w:val="-4"/>
          <w:w w:val="100"/>
        </w:rPr>
        <w:t>导致感染艾滋病病毒的意外事件</w:t>
      </w:r>
      <w:r>
        <w:rPr>
          <w:spacing w:val="-5"/>
          <w:w w:val="100"/>
        </w:rPr>
        <w:t>（</w:t>
      </w:r>
      <w:r>
        <w:rPr>
          <w:spacing w:val="-2"/>
          <w:w w:val="100"/>
        </w:rPr>
        <w:t>以下简</w:t>
      </w:r>
      <w:r>
        <w:rPr>
          <w:w w:val="67"/>
        </w:rPr>
        <w:t>称“</w:t>
      </w:r>
      <w:r>
        <w:rPr>
          <w:spacing w:val="-3"/>
          <w:w w:val="100"/>
        </w:rPr>
        <w:t>意外事件</w:t>
      </w:r>
      <w:r>
        <w:rPr>
          <w:spacing w:val="-71"/>
          <w:w w:val="33"/>
        </w:rPr>
        <w:t>”</w:t>
      </w:r>
      <w:r>
        <w:rPr>
          <w:spacing w:val="-106"/>
          <w:w w:val="100"/>
        </w:rPr>
        <w:t>）</w:t>
      </w:r>
      <w:r>
        <w:rPr>
          <w:spacing w:val="-2"/>
          <w:w w:val="100"/>
        </w:rPr>
        <w:t>，必须在意外事件发生后</w:t>
      </w:r>
      <w:r>
        <w:rPr>
          <w:spacing w:val="-2"/>
        </w:rPr>
        <w:t> </w:t>
      </w:r>
      <w:r>
        <w:rPr>
          <w:rFonts w:ascii="Times New Roman" w:hAnsi="Times New Roman" w:eastAsia="Times New Roman"/>
          <w:w w:val="100"/>
        </w:rPr>
        <w:t>30</w:t>
      </w:r>
      <w:r>
        <w:rPr>
          <w:rFonts w:ascii="Times New Roman" w:hAnsi="Times New Roman" w:eastAsia="Times New Roman"/>
        </w:rPr>
        <w:t> </w:t>
      </w:r>
      <w:r>
        <w:rPr>
          <w:spacing w:val="-3"/>
          <w:w w:val="100"/>
        </w:rPr>
        <w:t>天内</w:t>
      </w:r>
      <w:r>
        <w:rPr>
          <w:w w:val="100"/>
        </w:rPr>
        <w:t>（含</w:t>
      </w:r>
      <w:r>
        <w:rPr>
          <w:spacing w:val="-53"/>
        </w:rPr>
        <w:t> </w:t>
      </w:r>
      <w:r>
        <w:rPr>
          <w:rFonts w:ascii="Times New Roman" w:hAnsi="Times New Roman" w:eastAsia="Times New Roman"/>
          <w:spacing w:val="-5"/>
          <w:w w:val="100"/>
        </w:rPr>
        <w:t>3</w:t>
      </w:r>
      <w:r>
        <w:rPr>
          <w:rFonts w:ascii="Times New Roman" w:hAnsi="Times New Roman" w:eastAsia="Times New Roman"/>
          <w:w w:val="100"/>
        </w:rPr>
        <w:t>0</w:t>
      </w:r>
      <w:r>
        <w:rPr>
          <w:rFonts w:ascii="Times New Roman" w:hAnsi="Times New Roman" w:eastAsia="Times New Roman"/>
        </w:rPr>
        <w:t> </w:t>
      </w:r>
      <w:r>
        <w:rPr>
          <w:w w:val="100"/>
        </w:rPr>
        <w:t>天）</w:t>
      </w:r>
      <w:r>
        <w:rPr>
          <w:spacing w:val="-1"/>
        </w:rPr>
        <w:t>向本公司书面报告；</w:t>
      </w:r>
    </w:p>
    <w:p>
      <w:pPr>
        <w:pStyle w:val="BodyText"/>
        <w:spacing w:before="37"/>
        <w:ind w:left="313"/>
      </w:pPr>
      <w:r>
        <w:rPr/>
        <w:t>（</w:t>
      </w:r>
      <w:r>
        <w:rPr>
          <w:rFonts w:ascii="Times New Roman" w:eastAsia="Times New Roman"/>
        </w:rPr>
        <w:t>2</w:t>
      </w:r>
      <w:r>
        <w:rPr/>
        <w:t>）明确的导致意外事件的感染有艾滋病病毒液体的证据；</w:t>
      </w:r>
    </w:p>
    <w:p>
      <w:pPr>
        <w:pStyle w:val="BodyText"/>
        <w:spacing w:line="300" w:lineRule="auto" w:before="79"/>
        <w:ind w:left="879" w:right="207" w:hanging="567"/>
      </w:pPr>
      <w:r>
        <w:rPr>
          <w:spacing w:val="-7"/>
        </w:rPr>
        <w:t>（</w:t>
      </w:r>
      <w:r>
        <w:rPr>
          <w:rFonts w:ascii="Times New Roman" w:eastAsia="Times New Roman"/>
          <w:spacing w:val="-7"/>
        </w:rPr>
        <w:t>3</w:t>
      </w:r>
      <w:r>
        <w:rPr>
          <w:spacing w:val="-7"/>
        </w:rPr>
        <w:t>）</w:t>
      </w:r>
      <w:r>
        <w:rPr>
          <w:spacing w:val="-8"/>
        </w:rPr>
        <w:t>在书面报告意外事件后的 </w:t>
      </w:r>
      <w:r>
        <w:rPr>
          <w:rFonts w:ascii="Times New Roman" w:eastAsia="Times New Roman"/>
        </w:rPr>
        <w:t>180 </w:t>
      </w:r>
      <w:r>
        <w:rPr>
          <w:spacing w:val="-10"/>
        </w:rPr>
        <w:t>天内</w:t>
      </w:r>
      <w:r>
        <w:rPr>
          <w:spacing w:val="-5"/>
        </w:rPr>
        <w:t>（</w:t>
      </w:r>
      <w:r>
        <w:rPr>
          <w:spacing w:val="-24"/>
        </w:rPr>
        <w:t>含 </w:t>
      </w:r>
      <w:r>
        <w:rPr>
          <w:rFonts w:ascii="Times New Roman" w:eastAsia="Times New Roman"/>
        </w:rPr>
        <w:t>180 </w:t>
      </w:r>
      <w:r>
        <w:rPr>
          <w:spacing w:val="-5"/>
        </w:rPr>
        <w:t>天</w:t>
      </w:r>
      <w:r>
        <w:rPr>
          <w:spacing w:val="-25"/>
        </w:rPr>
        <w:t>）</w:t>
      </w:r>
      <w:r>
        <w:rPr>
          <w:spacing w:val="-11"/>
        </w:rPr>
        <w:t>出现血清 </w:t>
      </w:r>
      <w:r>
        <w:rPr>
          <w:rFonts w:ascii="Times New Roman" w:eastAsia="Times New Roman"/>
        </w:rPr>
        <w:t>HIV </w:t>
      </w:r>
      <w:r>
        <w:rPr>
          <w:spacing w:val="-8"/>
        </w:rPr>
        <w:t>阴性转变为 </w:t>
      </w:r>
      <w:r>
        <w:rPr>
          <w:rFonts w:ascii="Times New Roman" w:eastAsia="Times New Roman"/>
        </w:rPr>
        <w:t>HIV </w:t>
      </w:r>
      <w:r>
        <w:rPr>
          <w:spacing w:val="-5"/>
        </w:rPr>
        <w:t>阳性的证据，这个证</w:t>
      </w:r>
      <w:r>
        <w:rPr>
          <w:spacing w:val="-8"/>
        </w:rPr>
        <w:t>据必须包括一个意外事件发生后 </w:t>
      </w:r>
      <w:r>
        <w:rPr>
          <w:rFonts w:ascii="Times New Roman" w:eastAsia="Times New Roman"/>
        </w:rPr>
        <w:t>5 </w:t>
      </w:r>
      <w:r>
        <w:rPr>
          <w:spacing w:val="-3"/>
        </w:rPr>
        <w:t>天内</w:t>
      </w:r>
      <w:r>
        <w:rPr/>
        <w:t>（</w:t>
      </w:r>
      <w:r>
        <w:rPr>
          <w:spacing w:val="-15"/>
        </w:rPr>
        <w:t>含第 </w:t>
      </w:r>
      <w:r>
        <w:rPr>
          <w:rFonts w:ascii="Times New Roman" w:eastAsia="Times New Roman"/>
        </w:rPr>
        <w:t>5 </w:t>
      </w:r>
      <w:r>
        <w:rPr/>
        <w:t>天</w:t>
      </w:r>
      <w:r>
        <w:rPr>
          <w:spacing w:val="-3"/>
        </w:rPr>
        <w:t>）</w:t>
      </w:r>
      <w:r>
        <w:rPr>
          <w:rFonts w:ascii="Times New Roman" w:eastAsia="Times New Roman"/>
          <w:spacing w:val="-3"/>
        </w:rPr>
        <w:t>HIV</w:t>
      </w:r>
      <w:r>
        <w:rPr>
          <w:rFonts w:ascii="Times New Roman" w:eastAsia="Times New Roman"/>
          <w:spacing w:val="2"/>
        </w:rPr>
        <w:t>  </w:t>
      </w:r>
      <w:r>
        <w:rPr>
          <w:spacing w:val="-1"/>
        </w:rPr>
        <w:t>抗体阴性的检查报告。</w:t>
      </w:r>
    </w:p>
    <w:p>
      <w:pPr>
        <w:pStyle w:val="BodyText"/>
        <w:spacing w:before="15"/>
        <w:ind w:left="313"/>
      </w:pPr>
      <w:r>
        <w:rPr/>
        <w:t>意外事件发生后 </w:t>
      </w:r>
      <w:r>
        <w:rPr>
          <w:rFonts w:ascii="Times New Roman" w:eastAsia="Times New Roman"/>
        </w:rPr>
        <w:t>12 </w:t>
      </w:r>
      <w:r>
        <w:rPr/>
        <w:t>个月内需要进行进一步的血液检查以确认存在艾滋病病毒抗体。</w:t>
      </w:r>
    </w:p>
    <w:p>
      <w:pPr>
        <w:pStyle w:val="BodyText"/>
        <w:spacing w:line="319" w:lineRule="auto" w:before="73"/>
        <w:ind w:left="313" w:right="211"/>
      </w:pPr>
      <w:r>
        <w:rPr>
          <w:spacing w:val="-5"/>
        </w:rPr>
        <w:t>本公司仅在被保险人的职业为医生、护士、医学检验技师、救护车工作人员、医院护工、警察时承担此项保险责任。</w:t>
      </w:r>
    </w:p>
    <w:p>
      <w:pPr>
        <w:pStyle w:val="Heading1"/>
        <w:spacing w:line="291" w:lineRule="exact"/>
        <w:ind w:left="313"/>
      </w:pPr>
      <w:r>
        <w:rPr/>
        <w:t>在任何治愈艾滋病（</w:t>
      </w:r>
      <w:r>
        <w:rPr>
          <w:rFonts w:ascii="Times New Roman" w:eastAsia="Times New Roman"/>
        </w:rPr>
        <w:t>AIDS</w:t>
      </w:r>
      <w:r>
        <w:rPr/>
        <w:t>）或有效阻止艾滋病病毒（</w:t>
      </w:r>
      <w:r>
        <w:rPr>
          <w:rFonts w:ascii="Times New Roman" w:eastAsia="Times New Roman"/>
        </w:rPr>
        <w:t>HIV</w:t>
      </w:r>
      <w:r>
        <w:rPr/>
        <w:t>）作用的疗法被发现以后，或能有效防止艾滋病</w:t>
      </w:r>
    </w:p>
    <w:p>
      <w:pPr>
        <w:spacing w:line="319" w:lineRule="exact" w:before="0"/>
        <w:ind w:left="3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AIDS</w:t>
      </w:r>
      <w:r>
        <w:rPr>
          <w:rFonts w:ascii="Microsoft JhengHei" w:eastAsia="Microsoft JhengHei" w:hint="eastAsia"/>
          <w:b/>
          <w:sz w:val="21"/>
        </w:rPr>
        <w:t>）发生的医疗方法被研究出来以后，本附加合同将不再予以赔付本项重大疾病保险金。</w:t>
      </w:r>
    </w:p>
    <w:p>
      <w:pPr>
        <w:spacing w:line="344" w:lineRule="exact" w:before="0"/>
        <w:ind w:left="313" w:right="0" w:firstLine="0"/>
        <w:jc w:val="left"/>
        <w:rPr>
          <w:rFonts w:ascii="Microsoft JhengHei" w:eastAsia="Microsoft JhengHei" w:hint="eastAsia"/>
          <w:b/>
          <w:sz w:val="21"/>
        </w:rPr>
      </w:pPr>
      <w:r>
        <w:rPr>
          <w:rFonts w:ascii="Microsoft JhengHei" w:eastAsia="Microsoft JhengHei" w:hint="eastAsia"/>
          <w:b/>
          <w:sz w:val="21"/>
        </w:rPr>
        <w:t>任何因其他传播方式（包括且不限于：性传播或静脉注射毒品）导致的 </w:t>
      </w:r>
      <w:r>
        <w:rPr>
          <w:rFonts w:ascii="Times New Roman" w:eastAsia="Times New Roman"/>
          <w:b/>
          <w:sz w:val="21"/>
        </w:rPr>
        <w:t>HIV </w:t>
      </w:r>
      <w:r>
        <w:rPr>
          <w:rFonts w:ascii="Microsoft JhengHei" w:eastAsia="Microsoft JhengHei" w:hint="eastAsia"/>
          <w:b/>
          <w:sz w:val="21"/>
        </w:rPr>
        <w:t>感染不在保障范围内。</w:t>
      </w:r>
    </w:p>
    <w:p>
      <w:pPr>
        <w:pStyle w:val="BodyText"/>
        <w:spacing w:before="2"/>
        <w:ind w:left="0"/>
        <w:rPr>
          <w:rFonts w:ascii="Microsoft JhengHei"/>
          <w:b/>
          <w:sz w:val="15"/>
        </w:rPr>
      </w:pPr>
    </w:p>
    <w:p>
      <w:pPr>
        <w:pStyle w:val="BodyText"/>
        <w:ind w:left="313"/>
      </w:pPr>
      <w:r>
        <w:rPr>
          <w:rFonts w:ascii="Times New Roman" w:eastAsia="Times New Roman"/>
        </w:rPr>
        <w:t>44</w:t>
      </w:r>
      <w:r>
        <w:rPr/>
        <w:t>、系统性红斑狼疮合并狼疮性肾炎</w:t>
      </w:r>
    </w:p>
    <w:p>
      <w:pPr>
        <w:pStyle w:val="BodyText"/>
        <w:spacing w:line="271" w:lineRule="auto" w:before="31"/>
        <w:ind w:left="313" w:right="202"/>
        <w:jc w:val="both"/>
      </w:pPr>
      <w:r>
        <w:rPr>
          <w:spacing w:val="-6"/>
        </w:rPr>
        <w:t>系统性红斑狼疮是一种累及多系统的自身免疫性疾病。本保障仅限于被保险人因系统性红斑狼疮并发狼疮</w:t>
      </w:r>
      <w:r>
        <w:rPr>
          <w:spacing w:val="-9"/>
        </w:rPr>
        <w:t>性肾炎并引起肾功能损害，且肾脏病理诊断符合以下列明的世界卫生组织</w:t>
      </w:r>
      <w:r>
        <w:rPr>
          <w:spacing w:val="-8"/>
        </w:rPr>
        <w:t>（</w:t>
      </w:r>
      <w:r>
        <w:rPr>
          <w:rFonts w:ascii="Times New Roman" w:eastAsia="Times New Roman"/>
          <w:spacing w:val="-8"/>
        </w:rPr>
        <w:t>WHO</w:t>
      </w:r>
      <w:r>
        <w:rPr>
          <w:spacing w:val="-8"/>
        </w:rPr>
        <w:t>）</w:t>
      </w:r>
      <w:r>
        <w:rPr>
          <w:spacing w:val="-3"/>
        </w:rPr>
        <w:t>对狼疮性肾炎所分类中</w:t>
      </w:r>
      <w:r>
        <w:rPr>
          <w:spacing w:val="-15"/>
        </w:rPr>
        <w:t>的第 </w:t>
      </w:r>
      <w:r>
        <w:rPr>
          <w:rFonts w:ascii="Times New Roman" w:eastAsia="Times New Roman"/>
          <w:spacing w:val="-4"/>
        </w:rPr>
        <w:t>III</w:t>
      </w:r>
      <w:r>
        <w:rPr/>
        <w:t>、</w:t>
      </w:r>
      <w:r>
        <w:rPr>
          <w:rFonts w:ascii="Times New Roman" w:eastAsia="Times New Roman"/>
        </w:rPr>
        <w:t>IV</w:t>
      </w:r>
      <w:r>
        <w:rPr/>
        <w:t>、</w:t>
      </w:r>
      <w:r>
        <w:rPr>
          <w:rFonts w:ascii="Times New Roman" w:eastAsia="Times New Roman"/>
          <w:spacing w:val="-4"/>
        </w:rPr>
        <w:t>V</w:t>
      </w:r>
      <w:r>
        <w:rPr>
          <w:spacing w:val="2"/>
        </w:rPr>
        <w:t>、</w:t>
      </w:r>
      <w:r>
        <w:rPr>
          <w:rFonts w:ascii="Times New Roman" w:eastAsia="Times New Roman"/>
        </w:rPr>
        <w:t>VI </w:t>
      </w:r>
      <w:r>
        <w:rPr>
          <w:spacing w:val="-3"/>
        </w:rPr>
        <w:t>型。诊断须由医疗机构的风湿病专科医生确认。</w:t>
      </w:r>
    </w:p>
    <w:p>
      <w:pPr>
        <w:pStyle w:val="BodyText"/>
        <w:spacing w:before="139"/>
        <w:ind w:left="313"/>
      </w:pPr>
      <w:r>
        <w:rPr/>
        <w:t>世界卫生组织（</w:t>
      </w:r>
      <w:r>
        <w:rPr>
          <w:rFonts w:ascii="Times New Roman" w:eastAsia="Times New Roman"/>
        </w:rPr>
        <w:t>WHO</w:t>
      </w:r>
      <w:r>
        <w:rPr/>
        <w:t>）对狼疮性肾炎的分类标准：</w:t>
      </w:r>
    </w:p>
    <w:p>
      <w:pPr>
        <w:pStyle w:val="BodyText"/>
        <w:spacing w:before="12"/>
        <w:ind w:left="0"/>
        <w:rPr>
          <w:sz w:val="2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4"/>
        <w:gridCol w:w="2264"/>
      </w:tblGrid>
      <w:tr>
        <w:trPr>
          <w:trHeight w:val="282" w:hRule="atLeast"/>
        </w:trPr>
        <w:tc>
          <w:tcPr>
            <w:tcW w:w="1544" w:type="dxa"/>
          </w:tcPr>
          <w:p>
            <w:pPr>
              <w:pStyle w:val="TableParagraph"/>
              <w:spacing w:line="263" w:lineRule="exact" w:before="0"/>
              <w:rPr>
                <w:sz w:val="21"/>
              </w:rPr>
            </w:pPr>
            <w:r>
              <w:rPr>
                <w:rFonts w:ascii="Times New Roman" w:eastAsia="Times New Roman"/>
                <w:sz w:val="21"/>
              </w:rPr>
              <w:t>I </w:t>
            </w:r>
            <w:r>
              <w:rPr>
                <w:sz w:val="21"/>
              </w:rPr>
              <w:t>型</w:t>
            </w:r>
          </w:p>
        </w:tc>
        <w:tc>
          <w:tcPr>
            <w:tcW w:w="2264" w:type="dxa"/>
          </w:tcPr>
          <w:p>
            <w:pPr>
              <w:pStyle w:val="TableParagraph"/>
              <w:spacing w:line="255" w:lineRule="exact" w:before="0"/>
              <w:ind w:left="1013"/>
              <w:rPr>
                <w:sz w:val="21"/>
              </w:rPr>
            </w:pPr>
            <w:r>
              <w:rPr>
                <w:sz w:val="21"/>
              </w:rPr>
              <w:t>微小病变型</w:t>
            </w:r>
          </w:p>
        </w:tc>
      </w:tr>
    </w:tbl>
    <w:p>
      <w:pPr>
        <w:spacing w:after="0" w:line="255" w:lineRule="exact"/>
        <w:rPr>
          <w:sz w:val="21"/>
        </w:rPr>
        <w:sectPr>
          <w:pgSz w:w="11910" w:h="16840"/>
          <w:pgMar w:header="0" w:footer="496" w:top="1100" w:bottom="760" w:left="82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9"/>
        <w:gridCol w:w="2819"/>
      </w:tblGrid>
      <w:tr>
        <w:trPr>
          <w:trHeight w:val="453" w:hRule="atLeast"/>
        </w:trPr>
        <w:tc>
          <w:tcPr>
            <w:tcW w:w="1619" w:type="dxa"/>
          </w:tcPr>
          <w:p>
            <w:pPr>
              <w:pStyle w:val="TableParagraph"/>
              <w:spacing w:line="271" w:lineRule="exact" w:before="0"/>
              <w:rPr>
                <w:sz w:val="21"/>
              </w:rPr>
            </w:pPr>
            <w:r>
              <w:rPr>
                <w:rFonts w:ascii="Times New Roman" w:eastAsia="Times New Roman"/>
                <w:sz w:val="21"/>
              </w:rPr>
              <w:t>II </w:t>
            </w:r>
            <w:r>
              <w:rPr>
                <w:sz w:val="21"/>
              </w:rPr>
              <w:t>型</w:t>
            </w:r>
          </w:p>
        </w:tc>
        <w:tc>
          <w:tcPr>
            <w:tcW w:w="2819" w:type="dxa"/>
          </w:tcPr>
          <w:p>
            <w:pPr>
              <w:pStyle w:val="TableParagraph"/>
              <w:spacing w:line="255" w:lineRule="exact" w:before="0"/>
              <w:ind w:left="938"/>
              <w:rPr>
                <w:sz w:val="21"/>
              </w:rPr>
            </w:pPr>
            <w:r>
              <w:rPr>
                <w:sz w:val="21"/>
              </w:rPr>
              <w:t>系膜病变型</w:t>
            </w:r>
          </w:p>
        </w:tc>
      </w:tr>
      <w:tr>
        <w:trPr>
          <w:trHeight w:val="624" w:hRule="atLeast"/>
        </w:trPr>
        <w:tc>
          <w:tcPr>
            <w:tcW w:w="1619" w:type="dxa"/>
          </w:tcPr>
          <w:p>
            <w:pPr>
              <w:pStyle w:val="TableParagraph"/>
              <w:rPr>
                <w:sz w:val="21"/>
              </w:rPr>
            </w:pPr>
            <w:r>
              <w:rPr>
                <w:rFonts w:ascii="Times New Roman" w:eastAsia="Times New Roman"/>
                <w:sz w:val="21"/>
              </w:rPr>
              <w:t>III </w:t>
            </w:r>
            <w:r>
              <w:rPr>
                <w:sz w:val="21"/>
              </w:rPr>
              <w:t>型</w:t>
            </w:r>
          </w:p>
        </w:tc>
        <w:tc>
          <w:tcPr>
            <w:tcW w:w="2819" w:type="dxa"/>
          </w:tcPr>
          <w:p>
            <w:pPr>
              <w:pStyle w:val="TableParagraph"/>
              <w:ind w:left="938"/>
              <w:rPr>
                <w:sz w:val="21"/>
              </w:rPr>
            </w:pPr>
            <w:r>
              <w:rPr>
                <w:sz w:val="21"/>
              </w:rPr>
              <w:t>局灶及节段增生型</w:t>
            </w:r>
          </w:p>
        </w:tc>
      </w:tr>
      <w:tr>
        <w:trPr>
          <w:trHeight w:val="624" w:hRule="atLeast"/>
        </w:trPr>
        <w:tc>
          <w:tcPr>
            <w:tcW w:w="1619" w:type="dxa"/>
          </w:tcPr>
          <w:p>
            <w:pPr>
              <w:pStyle w:val="TableParagraph"/>
              <w:rPr>
                <w:sz w:val="21"/>
              </w:rPr>
            </w:pPr>
            <w:r>
              <w:rPr>
                <w:rFonts w:ascii="Times New Roman" w:eastAsia="Times New Roman"/>
                <w:sz w:val="21"/>
              </w:rPr>
              <w:t>IV </w:t>
            </w:r>
            <w:r>
              <w:rPr>
                <w:sz w:val="21"/>
              </w:rPr>
              <w:t>型</w:t>
            </w:r>
          </w:p>
        </w:tc>
        <w:tc>
          <w:tcPr>
            <w:tcW w:w="2819" w:type="dxa"/>
          </w:tcPr>
          <w:p>
            <w:pPr>
              <w:pStyle w:val="TableParagraph"/>
              <w:ind w:left="938"/>
              <w:rPr>
                <w:sz w:val="21"/>
              </w:rPr>
            </w:pPr>
            <w:r>
              <w:rPr>
                <w:sz w:val="21"/>
              </w:rPr>
              <w:t>弥漫增生型</w:t>
            </w:r>
          </w:p>
        </w:tc>
      </w:tr>
      <w:tr>
        <w:trPr>
          <w:trHeight w:val="624" w:hRule="atLeast"/>
        </w:trPr>
        <w:tc>
          <w:tcPr>
            <w:tcW w:w="1619" w:type="dxa"/>
          </w:tcPr>
          <w:p>
            <w:pPr>
              <w:pStyle w:val="TableParagraph"/>
              <w:rPr>
                <w:sz w:val="21"/>
              </w:rPr>
            </w:pPr>
            <w:r>
              <w:rPr>
                <w:rFonts w:ascii="Times New Roman" w:eastAsia="Times New Roman"/>
                <w:sz w:val="21"/>
              </w:rPr>
              <w:t>V </w:t>
            </w:r>
            <w:r>
              <w:rPr>
                <w:sz w:val="21"/>
              </w:rPr>
              <w:t>型</w:t>
            </w:r>
          </w:p>
        </w:tc>
        <w:tc>
          <w:tcPr>
            <w:tcW w:w="2819" w:type="dxa"/>
          </w:tcPr>
          <w:p>
            <w:pPr>
              <w:pStyle w:val="TableParagraph"/>
              <w:ind w:left="938"/>
              <w:rPr>
                <w:sz w:val="21"/>
              </w:rPr>
            </w:pPr>
            <w:r>
              <w:rPr>
                <w:sz w:val="21"/>
              </w:rPr>
              <w:t>膜型</w:t>
            </w:r>
          </w:p>
        </w:tc>
      </w:tr>
      <w:tr>
        <w:trPr>
          <w:trHeight w:val="453" w:hRule="atLeast"/>
        </w:trPr>
        <w:tc>
          <w:tcPr>
            <w:tcW w:w="1619" w:type="dxa"/>
          </w:tcPr>
          <w:p>
            <w:pPr>
              <w:pStyle w:val="TableParagraph"/>
              <w:spacing w:line="283" w:lineRule="exact"/>
              <w:rPr>
                <w:sz w:val="21"/>
              </w:rPr>
            </w:pPr>
            <w:r>
              <w:rPr>
                <w:rFonts w:ascii="Times New Roman" w:eastAsia="Times New Roman"/>
                <w:sz w:val="21"/>
              </w:rPr>
              <w:t>VI </w:t>
            </w:r>
            <w:r>
              <w:rPr>
                <w:sz w:val="21"/>
              </w:rPr>
              <w:t>型</w:t>
            </w:r>
          </w:p>
        </w:tc>
        <w:tc>
          <w:tcPr>
            <w:tcW w:w="2819" w:type="dxa"/>
          </w:tcPr>
          <w:p>
            <w:pPr>
              <w:pStyle w:val="TableParagraph"/>
              <w:ind w:left="938"/>
              <w:rPr>
                <w:sz w:val="21"/>
              </w:rPr>
            </w:pPr>
            <w:r>
              <w:rPr>
                <w:sz w:val="21"/>
              </w:rPr>
              <w:t>肾小球硬化型</w:t>
            </w:r>
          </w:p>
        </w:tc>
      </w:tr>
    </w:tbl>
    <w:p>
      <w:pPr>
        <w:pStyle w:val="BodyText"/>
        <w:ind w:left="0"/>
        <w:rPr>
          <w:sz w:val="20"/>
        </w:rPr>
      </w:pPr>
    </w:p>
    <w:p>
      <w:pPr>
        <w:pStyle w:val="BodyText"/>
        <w:spacing w:before="1"/>
        <w:ind w:left="0"/>
        <w:rPr>
          <w:sz w:val="14"/>
        </w:rPr>
      </w:pPr>
    </w:p>
    <w:p>
      <w:pPr>
        <w:pStyle w:val="Heading1"/>
        <w:tabs>
          <w:tab w:pos="1369" w:val="left" w:leader="none"/>
        </w:tabs>
        <w:ind w:left="313"/>
        <w:rPr>
          <w:rFonts w:ascii="黑体" w:eastAsia="黑体" w:hint="eastAsia"/>
        </w:rPr>
      </w:pPr>
      <w:r>
        <w:rPr>
          <w:rFonts w:ascii="黑体" w:eastAsia="黑体" w:hint="eastAsia"/>
        </w:rPr>
        <w:t>第十五条</w:t>
        <w:tab/>
        <w:t>女性特定疾病的分类及释义</w:t>
      </w:r>
    </w:p>
    <w:p>
      <w:pPr>
        <w:pStyle w:val="BodyText"/>
        <w:spacing w:before="8"/>
        <w:ind w:left="0"/>
        <w:rPr>
          <w:rFonts w:ascii="黑体"/>
          <w:b/>
          <w:sz w:val="22"/>
        </w:rPr>
      </w:pPr>
    </w:p>
    <w:p>
      <w:pPr>
        <w:pStyle w:val="BodyText"/>
        <w:spacing w:line="304" w:lineRule="auto"/>
        <w:ind w:left="313" w:right="104"/>
      </w:pPr>
      <w:r>
        <w:rPr>
          <w:spacing w:val="-5"/>
        </w:rPr>
        <w:t>本附加合同所指的女性特定疾病共有 </w:t>
      </w:r>
      <w:r>
        <w:rPr>
          <w:rFonts w:ascii="Times New Roman" w:eastAsia="Times New Roman"/>
        </w:rPr>
        <w:t>3 </w:t>
      </w:r>
      <w:r>
        <w:rPr>
          <w:spacing w:val="-6"/>
        </w:rPr>
        <w:t>类，本附加合同的女性特定疾病定义可能与临床医学在概念和范围</w:t>
      </w:r>
      <w:r>
        <w:rPr>
          <w:spacing w:val="-5"/>
        </w:rPr>
        <w:t>上有所不同，投保人投保本附加合同即表明其认可并遵从本附加合同条款中对女性特定疾病的定义。</w:t>
      </w:r>
    </w:p>
    <w:p>
      <w:pPr>
        <w:pStyle w:val="BodyText"/>
        <w:spacing w:before="11"/>
        <w:ind w:left="0"/>
        <w:rPr>
          <w:sz w:val="20"/>
        </w:rPr>
      </w:pPr>
    </w:p>
    <w:p>
      <w:pPr>
        <w:pStyle w:val="BodyText"/>
        <w:spacing w:line="319" w:lineRule="auto" w:before="1"/>
        <w:ind w:left="313" w:right="105"/>
      </w:pPr>
      <w:r>
        <w:rPr>
          <w:spacing w:val="-7"/>
        </w:rPr>
        <w:t>本附加合同所指的女性特定疾病为符合下列定义的疾病、疾病状态或手术。被保险人发生符合以下疾病定</w:t>
      </w:r>
      <w:r>
        <w:rPr>
          <w:spacing w:val="-6"/>
        </w:rPr>
        <w:t>义所述条件的女性特定疾病，应当由医疗机构的专科医生明确诊断。</w:t>
      </w:r>
    </w:p>
    <w:p>
      <w:pPr>
        <w:pStyle w:val="BodyText"/>
        <w:spacing w:before="3"/>
        <w:ind w:left="0"/>
        <w:rPr>
          <w:sz w:val="20"/>
        </w:rPr>
      </w:pPr>
    </w:p>
    <w:p>
      <w:pPr>
        <w:pStyle w:val="BodyText"/>
        <w:spacing w:before="1"/>
        <w:ind w:left="313"/>
      </w:pPr>
      <w:r>
        <w:rPr>
          <w:rFonts w:ascii="Times New Roman" w:eastAsia="Times New Roman"/>
        </w:rPr>
        <w:t>1</w:t>
      </w:r>
      <w:r>
        <w:rPr/>
        <w:t>、第一类：女性特定原位癌</w:t>
      </w:r>
    </w:p>
    <w:p>
      <w:pPr>
        <w:spacing w:line="259" w:lineRule="auto" w:before="74"/>
        <w:ind w:left="313" w:right="106" w:firstLine="0"/>
        <w:jc w:val="left"/>
        <w:rPr>
          <w:rFonts w:ascii="Microsoft JhengHei" w:eastAsia="Microsoft JhengHei" w:hint="eastAsia"/>
          <w:b/>
          <w:sz w:val="21"/>
        </w:rPr>
      </w:pPr>
      <w:r>
        <w:rPr>
          <w:spacing w:val="-5"/>
          <w:sz w:val="21"/>
        </w:rPr>
        <w:t>女性特定原位癌指：乳腺、子宫颈、子宫、卵巢、输卵管、阴道、外阴部位的经组织病理检验结果确诊的原位癌。</w:t>
      </w:r>
      <w:r>
        <w:rPr>
          <w:rFonts w:ascii="Microsoft JhengHei" w:eastAsia="Microsoft JhengHei" w:hint="eastAsia"/>
          <w:b/>
          <w:spacing w:val="-5"/>
          <w:sz w:val="21"/>
        </w:rPr>
        <w:t>被保险人所患癌症在被诊断时已经超越原位癌阶段者不在保障范围内。</w:t>
      </w:r>
    </w:p>
    <w:p>
      <w:pPr>
        <w:pStyle w:val="BodyText"/>
        <w:spacing w:before="9"/>
        <w:ind w:left="0"/>
        <w:rPr>
          <w:rFonts w:ascii="Microsoft JhengHei"/>
          <w:b/>
          <w:sz w:val="16"/>
        </w:rPr>
      </w:pPr>
    </w:p>
    <w:p>
      <w:pPr>
        <w:pStyle w:val="BodyText"/>
        <w:ind w:left="313"/>
      </w:pPr>
      <w:r>
        <w:rPr/>
        <w:t>（</w:t>
      </w:r>
      <w:r>
        <w:rPr>
          <w:rFonts w:ascii="Times New Roman" w:eastAsia="Times New Roman"/>
        </w:rPr>
        <w:t>1</w:t>
      </w:r>
      <w:r>
        <w:rPr/>
        <w:t>）乳腺原位癌</w:t>
      </w:r>
    </w:p>
    <w:p>
      <w:pPr>
        <w:pStyle w:val="BodyText"/>
        <w:spacing w:line="302" w:lineRule="auto" w:before="73"/>
        <w:ind w:left="313" w:right="108"/>
      </w:pPr>
      <w:r>
        <w:rPr>
          <w:spacing w:val="-5"/>
        </w:rPr>
        <w:t>乳腺原位癌指尚未浸润正常组织的原发性局灶性癌细胞新生物。</w:t>
      </w:r>
      <w:r>
        <w:rPr>
          <w:rFonts w:ascii="Times New Roman" w:hAnsi="Times New Roman" w:eastAsia="Times New Roman"/>
        </w:rPr>
        <w:t>“</w:t>
      </w:r>
      <w:r>
        <w:rPr>
          <w:spacing w:val="-3"/>
        </w:rPr>
        <w:t>浸润</w:t>
      </w:r>
      <w:r>
        <w:rPr>
          <w:rFonts w:ascii="Times New Roman" w:hAnsi="Times New Roman" w:eastAsia="Times New Roman"/>
        </w:rPr>
        <w:t>”</w:t>
      </w:r>
      <w:r>
        <w:rPr>
          <w:spacing w:val="-5"/>
        </w:rPr>
        <w:t>是指穿透基底膜并且实际破坏了基底膜以下的正常组织。乳腺原位癌的诊断必须由组织病理学报告证实。</w:t>
      </w:r>
    </w:p>
    <w:p>
      <w:pPr>
        <w:pStyle w:val="BodyText"/>
        <w:spacing w:before="4"/>
        <w:ind w:left="0"/>
      </w:pPr>
    </w:p>
    <w:p>
      <w:pPr>
        <w:pStyle w:val="BodyText"/>
        <w:ind w:left="313"/>
      </w:pPr>
      <w:r>
        <w:rPr/>
        <w:t>（</w:t>
      </w:r>
      <w:r>
        <w:rPr>
          <w:rFonts w:ascii="Times New Roman" w:eastAsia="Times New Roman"/>
        </w:rPr>
        <w:t>2</w:t>
      </w:r>
      <w:r>
        <w:rPr/>
        <w:t>）子宫颈原位癌</w:t>
      </w:r>
    </w:p>
    <w:p>
      <w:pPr>
        <w:spacing w:line="280" w:lineRule="auto" w:before="73"/>
        <w:ind w:left="313" w:right="102" w:firstLine="0"/>
        <w:jc w:val="both"/>
        <w:rPr>
          <w:rFonts w:ascii="Microsoft JhengHei" w:hAnsi="Microsoft JhengHei" w:eastAsia="Microsoft JhengHei" w:hint="eastAsia"/>
          <w:b/>
          <w:sz w:val="21"/>
        </w:rPr>
      </w:pPr>
      <w:r>
        <w:rPr>
          <w:spacing w:val="-5"/>
          <w:sz w:val="21"/>
        </w:rPr>
        <w:t>子宫颈原位癌指尚未浸润正常组织的局灶性癌细胞新生物。</w:t>
      </w:r>
      <w:r>
        <w:rPr>
          <w:rFonts w:ascii="Times New Roman" w:hAnsi="Times New Roman" w:eastAsia="Times New Roman"/>
          <w:sz w:val="21"/>
        </w:rPr>
        <w:t>“</w:t>
      </w:r>
      <w:r>
        <w:rPr>
          <w:sz w:val="21"/>
        </w:rPr>
        <w:t>浸润</w:t>
      </w:r>
      <w:r>
        <w:rPr>
          <w:rFonts w:ascii="Times New Roman" w:hAnsi="Times New Roman" w:eastAsia="Times New Roman"/>
          <w:spacing w:val="-3"/>
          <w:sz w:val="21"/>
        </w:rPr>
        <w:t>”</w:t>
      </w:r>
      <w:r>
        <w:rPr>
          <w:spacing w:val="-5"/>
          <w:sz w:val="21"/>
        </w:rPr>
        <w:t>是指穿透基底膜并且实际破坏了基底膜</w:t>
      </w:r>
      <w:r>
        <w:rPr>
          <w:spacing w:val="-8"/>
          <w:sz w:val="21"/>
        </w:rPr>
        <w:t>以下的正常组织。子宫颈原位癌必须基于取自子宫颈圆锥切除活检或阴道镜子宫颈活检固定组织的显微镜</w:t>
      </w:r>
      <w:r>
        <w:rPr>
          <w:spacing w:val="-9"/>
          <w:sz w:val="21"/>
        </w:rPr>
        <w:t>检查结果诊断。</w:t>
      </w:r>
      <w:r>
        <w:rPr>
          <w:rFonts w:ascii="Microsoft JhengHei" w:hAnsi="Microsoft JhengHei" w:eastAsia="Microsoft JhengHei" w:hint="eastAsia"/>
          <w:b/>
          <w:spacing w:val="-3"/>
          <w:sz w:val="21"/>
        </w:rPr>
        <w:t>子宫颈上皮内瘤样病变</w:t>
      </w:r>
      <w:r>
        <w:rPr>
          <w:rFonts w:ascii="Microsoft JhengHei" w:hAnsi="Microsoft JhengHei" w:eastAsia="Microsoft JhengHei" w:hint="eastAsia"/>
          <w:b/>
          <w:spacing w:val="-4"/>
          <w:sz w:val="21"/>
        </w:rPr>
        <w:t>（</w:t>
      </w:r>
      <w:r>
        <w:rPr>
          <w:rFonts w:ascii="Times New Roman" w:hAnsi="Times New Roman" w:eastAsia="Times New Roman"/>
          <w:b/>
          <w:spacing w:val="-4"/>
          <w:sz w:val="21"/>
        </w:rPr>
        <w:t>CIN</w:t>
      </w:r>
      <w:r>
        <w:rPr>
          <w:rFonts w:ascii="Microsoft JhengHei" w:hAnsi="Microsoft JhengHei" w:eastAsia="Microsoft JhengHei" w:hint="eastAsia"/>
          <w:b/>
          <w:spacing w:val="-4"/>
          <w:sz w:val="21"/>
        </w:rPr>
        <w:t>）</w:t>
      </w:r>
      <w:r>
        <w:rPr>
          <w:rFonts w:ascii="Microsoft JhengHei" w:hAnsi="Microsoft JhengHei" w:eastAsia="Microsoft JhengHei" w:hint="eastAsia"/>
          <w:b/>
          <w:spacing w:val="1"/>
          <w:sz w:val="21"/>
        </w:rPr>
        <w:t>分类 </w:t>
      </w:r>
      <w:r>
        <w:rPr>
          <w:rFonts w:ascii="Times New Roman" w:hAnsi="Times New Roman" w:eastAsia="Times New Roman"/>
          <w:b/>
          <w:sz w:val="21"/>
        </w:rPr>
        <w:t>CIN </w:t>
      </w:r>
      <w:r>
        <w:rPr>
          <w:rFonts w:ascii="Times New Roman" w:hAnsi="Times New Roman" w:eastAsia="Times New Roman"/>
          <w:b/>
          <w:spacing w:val="-5"/>
          <w:sz w:val="21"/>
        </w:rPr>
        <w:t>I</w:t>
      </w:r>
      <w:r>
        <w:rPr>
          <w:rFonts w:ascii="Microsoft JhengHei" w:hAnsi="Microsoft JhengHei" w:eastAsia="Microsoft JhengHei" w:hint="eastAsia"/>
          <w:b/>
          <w:spacing w:val="-10"/>
          <w:sz w:val="21"/>
        </w:rPr>
        <w:t>、</w:t>
      </w:r>
      <w:r>
        <w:rPr>
          <w:rFonts w:ascii="Times New Roman" w:hAnsi="Times New Roman" w:eastAsia="Times New Roman"/>
          <w:b/>
          <w:sz w:val="21"/>
        </w:rPr>
        <w:t>CIN II </w:t>
      </w:r>
      <w:r>
        <w:rPr>
          <w:rFonts w:ascii="Microsoft JhengHei" w:hAnsi="Microsoft JhengHei" w:eastAsia="Microsoft JhengHei" w:hint="eastAsia"/>
          <w:b/>
          <w:spacing w:val="2"/>
          <w:sz w:val="21"/>
        </w:rPr>
        <w:t>和 </w:t>
      </w:r>
      <w:r>
        <w:rPr>
          <w:rFonts w:ascii="Times New Roman" w:hAnsi="Times New Roman" w:eastAsia="Times New Roman"/>
          <w:b/>
          <w:sz w:val="21"/>
        </w:rPr>
        <w:t>CIN </w:t>
      </w:r>
      <w:r>
        <w:rPr>
          <w:rFonts w:ascii="Times New Roman" w:hAnsi="Times New Roman" w:eastAsia="Times New Roman"/>
          <w:b/>
          <w:spacing w:val="-4"/>
          <w:sz w:val="21"/>
        </w:rPr>
        <w:t>III</w:t>
      </w:r>
      <w:r>
        <w:rPr>
          <w:rFonts w:ascii="Microsoft JhengHei" w:hAnsi="Microsoft JhengHei" w:eastAsia="Microsoft JhengHei" w:hint="eastAsia"/>
          <w:b/>
          <w:spacing w:val="-4"/>
          <w:sz w:val="21"/>
        </w:rPr>
        <w:t>（</w:t>
      </w:r>
      <w:r>
        <w:rPr>
          <w:rFonts w:ascii="Microsoft JhengHei" w:hAnsi="Microsoft JhengHei" w:eastAsia="Microsoft JhengHei" w:hint="eastAsia"/>
          <w:b/>
          <w:spacing w:val="-2"/>
          <w:sz w:val="21"/>
        </w:rPr>
        <w:t>严重非典型增生但无原位</w:t>
      </w:r>
    </w:p>
    <w:p>
      <w:pPr>
        <w:spacing w:line="322" w:lineRule="exact" w:before="0"/>
        <w:ind w:left="313" w:right="0" w:firstLine="0"/>
        <w:jc w:val="left"/>
        <w:rPr>
          <w:sz w:val="21"/>
        </w:rPr>
      </w:pPr>
      <w:r>
        <w:rPr>
          <w:rFonts w:ascii="Microsoft JhengHei" w:eastAsia="Microsoft JhengHei" w:hint="eastAsia"/>
          <w:b/>
          <w:sz w:val="21"/>
        </w:rPr>
        <w:t>癌）的子宫颈上皮病变不在保障范围内。</w:t>
      </w:r>
      <w:r>
        <w:rPr>
          <w:sz w:val="21"/>
        </w:rPr>
        <w:t>子宫颈原位癌的诊断必须由组织病理学报告证实。</w:t>
      </w:r>
    </w:p>
    <w:p>
      <w:pPr>
        <w:pStyle w:val="BodyText"/>
        <w:spacing w:before="5"/>
        <w:ind w:left="0"/>
        <w:rPr>
          <w:sz w:val="23"/>
        </w:rPr>
      </w:pPr>
    </w:p>
    <w:p>
      <w:pPr>
        <w:pStyle w:val="BodyText"/>
        <w:ind w:left="313"/>
      </w:pPr>
      <w:r>
        <w:rPr/>
        <w:t>（</w:t>
      </w:r>
      <w:r>
        <w:rPr>
          <w:rFonts w:ascii="Times New Roman" w:eastAsia="Times New Roman"/>
        </w:rPr>
        <w:t>3</w:t>
      </w:r>
      <w:r>
        <w:rPr/>
        <w:t>）子宫原位癌</w:t>
      </w:r>
    </w:p>
    <w:p>
      <w:pPr>
        <w:pStyle w:val="BodyText"/>
        <w:spacing w:line="304" w:lineRule="auto" w:before="74"/>
        <w:ind w:left="313" w:right="108"/>
      </w:pPr>
      <w:r>
        <w:rPr>
          <w:spacing w:val="-5"/>
        </w:rPr>
        <w:t>子宫原位癌指尚未浸润正常组织的原发性局灶性癌细胞新生物。</w:t>
      </w:r>
      <w:r>
        <w:rPr>
          <w:rFonts w:ascii="Times New Roman" w:hAnsi="Times New Roman" w:eastAsia="Times New Roman"/>
        </w:rPr>
        <w:t>“</w:t>
      </w:r>
      <w:r>
        <w:rPr>
          <w:spacing w:val="-3"/>
        </w:rPr>
        <w:t>浸润</w:t>
      </w:r>
      <w:r>
        <w:rPr>
          <w:rFonts w:ascii="Times New Roman" w:hAnsi="Times New Roman" w:eastAsia="Times New Roman"/>
        </w:rPr>
        <w:t>”</w:t>
      </w:r>
      <w:r>
        <w:rPr>
          <w:spacing w:val="-5"/>
        </w:rPr>
        <w:t>是指穿透基底膜并且实际破坏了基底膜以下的正常组织。子宫原位癌的诊断必须由组织病理学报告证实。</w:t>
      </w:r>
    </w:p>
    <w:p>
      <w:pPr>
        <w:pStyle w:val="BodyText"/>
        <w:spacing w:before="11"/>
        <w:ind w:left="0"/>
        <w:rPr>
          <w:sz w:val="20"/>
        </w:rPr>
      </w:pPr>
    </w:p>
    <w:p>
      <w:pPr>
        <w:pStyle w:val="BodyText"/>
        <w:ind w:left="313"/>
      </w:pPr>
      <w:r>
        <w:rPr/>
        <w:t>（</w:t>
      </w:r>
      <w:r>
        <w:rPr>
          <w:rFonts w:ascii="Times New Roman" w:eastAsia="Times New Roman"/>
        </w:rPr>
        <w:t>4</w:t>
      </w:r>
      <w:r>
        <w:rPr/>
        <w:t>）卵巢原位癌</w:t>
      </w:r>
    </w:p>
    <w:p>
      <w:pPr>
        <w:pStyle w:val="BodyText"/>
        <w:spacing w:line="304" w:lineRule="auto" w:before="73"/>
        <w:ind w:left="313" w:right="107"/>
      </w:pPr>
      <w:r>
        <w:rPr>
          <w:spacing w:val="-5"/>
        </w:rPr>
        <w:t>卵巢原位癌指尚未浸润正常组织的原发性局灶性癌细胞新生物。</w:t>
      </w:r>
      <w:r>
        <w:rPr>
          <w:rFonts w:ascii="Times New Roman" w:hAnsi="Times New Roman" w:eastAsia="Times New Roman"/>
        </w:rPr>
        <w:t>“</w:t>
      </w:r>
      <w:r>
        <w:rPr>
          <w:spacing w:val="-3"/>
        </w:rPr>
        <w:t>浸润</w:t>
      </w:r>
      <w:r>
        <w:rPr>
          <w:rFonts w:ascii="Times New Roman" w:hAnsi="Times New Roman" w:eastAsia="Times New Roman"/>
        </w:rPr>
        <w:t>”</w:t>
      </w:r>
      <w:r>
        <w:rPr>
          <w:spacing w:val="-5"/>
        </w:rPr>
        <w:t>是指穿透基底膜并且实际破坏了基底膜以下的正常组织。卵巢原位癌的诊断必须由组织病理学报告证实。</w:t>
      </w:r>
    </w:p>
    <w:p>
      <w:pPr>
        <w:pStyle w:val="BodyText"/>
        <w:spacing w:before="11"/>
        <w:ind w:left="0"/>
        <w:rPr>
          <w:sz w:val="20"/>
        </w:rPr>
      </w:pPr>
    </w:p>
    <w:p>
      <w:pPr>
        <w:pStyle w:val="BodyText"/>
        <w:ind w:left="313"/>
      </w:pPr>
      <w:r>
        <w:rPr/>
        <w:t>（</w:t>
      </w:r>
      <w:r>
        <w:rPr>
          <w:rFonts w:ascii="Times New Roman" w:eastAsia="Times New Roman"/>
        </w:rPr>
        <w:t>5</w:t>
      </w:r>
      <w:r>
        <w:rPr/>
        <w:t>）输卵管原位癌</w:t>
      </w:r>
    </w:p>
    <w:p>
      <w:pPr>
        <w:pStyle w:val="BodyText"/>
        <w:spacing w:line="304" w:lineRule="auto" w:before="74"/>
        <w:ind w:left="313" w:right="108"/>
      </w:pPr>
      <w:r>
        <w:rPr>
          <w:spacing w:val="-5"/>
        </w:rPr>
        <w:t>输卵管原位癌指尚未浸润正常组织的原发性局灶性癌细胞新生物。</w:t>
      </w:r>
      <w:r>
        <w:rPr>
          <w:rFonts w:ascii="Times New Roman" w:hAnsi="Times New Roman" w:eastAsia="Times New Roman"/>
        </w:rPr>
        <w:t>“</w:t>
      </w:r>
      <w:r>
        <w:rPr>
          <w:spacing w:val="-3"/>
        </w:rPr>
        <w:t>浸润</w:t>
      </w:r>
      <w:r>
        <w:rPr>
          <w:rFonts w:ascii="Times New Roman" w:hAnsi="Times New Roman" w:eastAsia="Times New Roman"/>
        </w:rPr>
        <w:t>”</w:t>
      </w:r>
      <w:r>
        <w:rPr>
          <w:spacing w:val="-5"/>
        </w:rPr>
        <w:t>是指穿透基底膜并且实际破坏了基底膜以下的正常组织。输卵管原位癌的诊断必须由组织病理学报告证实。</w:t>
      </w:r>
    </w:p>
    <w:p>
      <w:pPr>
        <w:pStyle w:val="BodyText"/>
        <w:spacing w:before="11"/>
        <w:ind w:left="0"/>
        <w:rPr>
          <w:sz w:val="20"/>
        </w:rPr>
      </w:pPr>
    </w:p>
    <w:p>
      <w:pPr>
        <w:pStyle w:val="BodyText"/>
        <w:spacing w:before="1"/>
        <w:ind w:left="313"/>
      </w:pPr>
      <w:r>
        <w:rPr/>
        <w:t>（</w:t>
      </w:r>
      <w:r>
        <w:rPr>
          <w:rFonts w:ascii="Times New Roman" w:eastAsia="Times New Roman"/>
        </w:rPr>
        <w:t>6</w:t>
      </w:r>
      <w:r>
        <w:rPr/>
        <w:t>）阴道原位癌</w:t>
      </w:r>
    </w:p>
    <w:p>
      <w:pPr>
        <w:spacing w:after="0"/>
        <w:sectPr>
          <w:pgSz w:w="11910" w:h="16840"/>
          <w:pgMar w:header="0" w:footer="496" w:top="1000" w:bottom="760" w:left="820" w:right="1020"/>
        </w:sectPr>
      </w:pPr>
    </w:p>
    <w:p>
      <w:pPr>
        <w:pStyle w:val="BodyText"/>
        <w:spacing w:line="304" w:lineRule="auto" w:before="70"/>
        <w:ind w:right="108"/>
      </w:pPr>
      <w:r>
        <w:rPr>
          <w:spacing w:val="-5"/>
        </w:rPr>
        <w:t>阴道原位癌指尚未浸润正常组织的原发性局灶性癌细胞新生物。</w:t>
      </w:r>
      <w:r>
        <w:rPr>
          <w:rFonts w:ascii="Times New Roman" w:hAnsi="Times New Roman" w:eastAsia="Times New Roman"/>
        </w:rPr>
        <w:t>“</w:t>
      </w:r>
      <w:r>
        <w:rPr>
          <w:spacing w:val="-3"/>
        </w:rPr>
        <w:t>浸润</w:t>
      </w:r>
      <w:r>
        <w:rPr>
          <w:rFonts w:ascii="Times New Roman" w:hAnsi="Times New Roman" w:eastAsia="Times New Roman"/>
        </w:rPr>
        <w:t>”</w:t>
      </w:r>
      <w:r>
        <w:rPr>
          <w:spacing w:val="-5"/>
        </w:rPr>
        <w:t>是指穿透基底膜并且实际破坏了基底膜以下的正常组织。阴道原位癌的诊断必须由组织病理学报告证实。</w:t>
      </w:r>
    </w:p>
    <w:p>
      <w:pPr>
        <w:pStyle w:val="BodyText"/>
        <w:spacing w:before="11"/>
        <w:ind w:left="0"/>
        <w:rPr>
          <w:sz w:val="20"/>
        </w:rPr>
      </w:pPr>
    </w:p>
    <w:p>
      <w:pPr>
        <w:pStyle w:val="BodyText"/>
      </w:pPr>
      <w:r>
        <w:rPr/>
        <w:t>（</w:t>
      </w:r>
      <w:r>
        <w:rPr>
          <w:rFonts w:ascii="Times New Roman" w:eastAsia="Times New Roman"/>
        </w:rPr>
        <w:t>7</w:t>
      </w:r>
      <w:r>
        <w:rPr/>
        <w:t>）外阴原位癌</w:t>
      </w:r>
    </w:p>
    <w:p>
      <w:pPr>
        <w:pStyle w:val="BodyText"/>
        <w:spacing w:line="300" w:lineRule="auto" w:before="74"/>
        <w:ind w:right="108"/>
      </w:pPr>
      <w:r>
        <w:rPr>
          <w:spacing w:val="-5"/>
        </w:rPr>
        <w:t>外阴原位癌指尚未浸润正常组织的原发性局灶性癌细胞新生物。</w:t>
      </w:r>
      <w:r>
        <w:rPr>
          <w:rFonts w:ascii="Times New Roman" w:hAnsi="Times New Roman" w:eastAsia="Times New Roman"/>
        </w:rPr>
        <w:t>“</w:t>
      </w:r>
      <w:r>
        <w:rPr>
          <w:spacing w:val="-3"/>
        </w:rPr>
        <w:t>浸润</w:t>
      </w:r>
      <w:r>
        <w:rPr>
          <w:rFonts w:ascii="Times New Roman" w:hAnsi="Times New Roman" w:eastAsia="Times New Roman"/>
        </w:rPr>
        <w:t>”</w:t>
      </w:r>
      <w:r>
        <w:rPr>
          <w:spacing w:val="-5"/>
        </w:rPr>
        <w:t>是指穿透基底膜并且实际破坏了基底膜以下的正常组织。外阴原位癌的诊断必须由组织病理学报告证实。</w:t>
      </w:r>
    </w:p>
    <w:p>
      <w:pPr>
        <w:pStyle w:val="BodyText"/>
        <w:spacing w:before="7"/>
        <w:ind w:left="0"/>
      </w:pPr>
    </w:p>
    <w:p>
      <w:pPr>
        <w:pStyle w:val="BodyText"/>
      </w:pPr>
      <w:r>
        <w:rPr>
          <w:rFonts w:ascii="Times New Roman" w:eastAsia="Times New Roman"/>
        </w:rPr>
        <w:t>2</w:t>
      </w:r>
      <w:r>
        <w:rPr/>
        <w:t>、第二类：意外伤害面部整形手术</w:t>
      </w:r>
    </w:p>
    <w:p>
      <w:pPr>
        <w:pStyle w:val="BodyText"/>
        <w:spacing w:line="321" w:lineRule="auto" w:before="74"/>
        <w:ind w:right="105"/>
        <w:jc w:val="both"/>
      </w:pPr>
      <w:r>
        <w:rPr>
          <w:spacing w:val="-7"/>
        </w:rPr>
        <w:t>实际接受了在全身麻醉的情况下，由医疗机构的整形外科专科医生实施的对严重缺陷、缺失、损害或变形</w:t>
      </w:r>
      <w:r>
        <w:rPr>
          <w:spacing w:val="-8"/>
        </w:rPr>
        <w:t>的面部形态和结构进行修复或重建的面部整形手术，以矫正由于意外伤害造成的面部毁损。面部整形手术</w:t>
      </w:r>
      <w:r>
        <w:rPr>
          <w:spacing w:val="-7"/>
        </w:rPr>
        <w:t>必须是医疗机构的专科医生确认为必需施行的手术。面部整形手术必须在意外伤害后的 </w:t>
      </w:r>
      <w:r>
        <w:rPr>
          <w:rFonts w:ascii="Times New Roman" w:eastAsia="Times New Roman"/>
        </w:rPr>
        <w:t>180 </w:t>
      </w:r>
      <w:r>
        <w:rPr>
          <w:spacing w:val="-2"/>
        </w:rPr>
        <w:t>天内实施。</w:t>
      </w:r>
    </w:p>
    <w:p>
      <w:pPr>
        <w:pStyle w:val="BodyText"/>
        <w:spacing w:before="235"/>
        <w:rPr>
          <w:rFonts w:ascii="Times New Roman" w:eastAsia="Times New Roman"/>
        </w:rPr>
      </w:pPr>
      <w:r>
        <w:rPr>
          <w:spacing w:val="-9"/>
        </w:rPr>
        <w:t>面部毁损必须由意外伤害为直接和单独的原因引起，造成表面可视性伤口和面部骨结构损害或面部皮肤 </w:t>
      </w:r>
      <w:r>
        <w:rPr>
          <w:rFonts w:ascii="Times New Roman" w:eastAsia="Times New Roman"/>
          <w:spacing w:val="-4"/>
        </w:rPr>
        <w:t>III</w:t>
      </w:r>
    </w:p>
    <w:p>
      <w:pPr>
        <w:pStyle w:val="BodyText"/>
        <w:spacing w:before="74"/>
      </w:pPr>
      <w:r>
        <w:rPr/>
        <w:t>度或全层意外烧伤。</w:t>
      </w:r>
    </w:p>
    <w:p>
      <w:pPr>
        <w:pStyle w:val="BodyText"/>
        <w:spacing w:before="8"/>
        <w:ind w:left="0"/>
        <w:rPr>
          <w:sz w:val="25"/>
        </w:rPr>
      </w:pPr>
    </w:p>
    <w:p>
      <w:pPr>
        <w:pStyle w:val="BodyText"/>
      </w:pPr>
      <w:r>
        <w:rPr>
          <w:rFonts w:ascii="Times New Roman" w:eastAsia="Times New Roman"/>
        </w:rPr>
        <w:t>3</w:t>
      </w:r>
      <w:r>
        <w:rPr/>
        <w:t>、第三类：女性特定手术</w:t>
      </w:r>
    </w:p>
    <w:p>
      <w:pPr>
        <w:pStyle w:val="BodyText"/>
        <w:spacing w:before="74"/>
      </w:pPr>
      <w:r>
        <w:rPr/>
        <w:t>女性特定手术指：全乳房切除术、子宫切除术、双侧卵巢切除术。</w:t>
      </w:r>
    </w:p>
    <w:p>
      <w:pPr>
        <w:pStyle w:val="BodyText"/>
        <w:spacing w:before="7"/>
        <w:ind w:left="0"/>
        <w:rPr>
          <w:sz w:val="25"/>
        </w:rPr>
      </w:pPr>
    </w:p>
    <w:p>
      <w:pPr>
        <w:pStyle w:val="BodyText"/>
      </w:pPr>
      <w:r>
        <w:rPr/>
        <w:t>（</w:t>
      </w:r>
      <w:r>
        <w:rPr>
          <w:rFonts w:ascii="Times New Roman" w:eastAsia="Times New Roman"/>
        </w:rPr>
        <w:t>1</w:t>
      </w:r>
      <w:r>
        <w:rPr/>
        <w:t>）全乳房切除术</w:t>
      </w:r>
    </w:p>
    <w:p>
      <w:pPr>
        <w:spacing w:line="259" w:lineRule="auto" w:before="74"/>
        <w:ind w:left="113" w:right="114" w:firstLine="0"/>
        <w:jc w:val="left"/>
        <w:rPr>
          <w:rFonts w:ascii="Microsoft JhengHei" w:eastAsia="Microsoft JhengHei" w:hint="eastAsia"/>
          <w:b/>
          <w:sz w:val="21"/>
        </w:rPr>
      </w:pPr>
      <w:r>
        <w:rPr>
          <w:sz w:val="21"/>
        </w:rPr>
        <w:t>实际接受了由医疗机构的专科医生确认是必须的、为了治疗乳腺原位癌或乳腺癌所施行的全乳房切除手术。</w:t>
      </w:r>
      <w:r>
        <w:rPr>
          <w:rFonts w:ascii="Microsoft JhengHei" w:eastAsia="Microsoft JhengHei" w:hint="eastAsia"/>
          <w:b/>
          <w:sz w:val="21"/>
        </w:rPr>
        <w:t>单纯乳房肿块切除术不在保障范围内。</w:t>
      </w:r>
    </w:p>
    <w:p>
      <w:pPr>
        <w:pStyle w:val="BodyText"/>
        <w:spacing w:before="10"/>
        <w:ind w:left="0"/>
        <w:rPr>
          <w:rFonts w:ascii="Microsoft JhengHei"/>
          <w:b/>
          <w:sz w:val="16"/>
        </w:rPr>
      </w:pPr>
    </w:p>
    <w:p>
      <w:pPr>
        <w:pStyle w:val="BodyText"/>
      </w:pPr>
      <w:r>
        <w:rPr/>
        <w:t>（</w:t>
      </w:r>
      <w:r>
        <w:rPr>
          <w:rFonts w:ascii="Times New Roman" w:eastAsia="Times New Roman"/>
        </w:rPr>
        <w:t>2</w:t>
      </w:r>
      <w:r>
        <w:rPr/>
        <w:t>）子宫切除术</w:t>
      </w:r>
    </w:p>
    <w:p>
      <w:pPr>
        <w:pStyle w:val="BodyText"/>
        <w:spacing w:line="309" w:lineRule="auto" w:before="74"/>
        <w:ind w:right="106"/>
        <w:jc w:val="both"/>
      </w:pPr>
      <w:r>
        <w:rPr>
          <w:spacing w:val="-6"/>
        </w:rPr>
        <w:t>被保险人根据医疗机构的妇产科专科医生的建议而实际接受了子宫切除手术</w:t>
      </w:r>
      <w:r>
        <w:rPr/>
        <w:t>（</w:t>
      </w:r>
      <w:r>
        <w:rPr>
          <w:spacing w:val="-3"/>
        </w:rPr>
        <w:t>至少切除子宫体或者切除子</w:t>
      </w:r>
      <w:r>
        <w:rPr>
          <w:spacing w:val="-4"/>
        </w:rPr>
        <w:t>宫体和子宫颈</w:t>
      </w:r>
      <w:r>
        <w:rPr>
          <w:spacing w:val="-106"/>
        </w:rPr>
        <w:t>）</w:t>
      </w:r>
      <w:r>
        <w:rPr>
          <w:spacing w:val="-7"/>
        </w:rPr>
        <w:t>。必须具备下列临床证据：月经过多引起贫血</w:t>
      </w:r>
      <w:r>
        <w:rPr>
          <w:spacing w:val="-5"/>
        </w:rPr>
        <w:t>（</w:t>
      </w:r>
      <w:r>
        <w:rPr>
          <w:spacing w:val="-3"/>
        </w:rPr>
        <w:t>血色素少于 </w:t>
      </w:r>
      <w:r>
        <w:rPr>
          <w:rFonts w:ascii="Times New Roman" w:eastAsia="Times New Roman"/>
          <w:spacing w:val="-4"/>
        </w:rPr>
        <w:t>95g/L</w:t>
      </w:r>
      <w:r>
        <w:rPr>
          <w:spacing w:val="-4"/>
        </w:rPr>
        <w:t>）</w:t>
      </w:r>
      <w:r>
        <w:rPr>
          <w:spacing w:val="-3"/>
        </w:rPr>
        <w:t>用其他治疗方法</w:t>
      </w:r>
      <w:r>
        <w:rPr/>
        <w:t>（</w:t>
      </w:r>
      <w:r>
        <w:rPr>
          <w:spacing w:val="-3"/>
        </w:rPr>
        <w:t>如刮宫）</w:t>
      </w:r>
      <w:r>
        <w:rPr>
          <w:spacing w:val="-5"/>
        </w:rPr>
        <w:t>不能控制；或子宫体癌及晚期子宫颈癌；或子宫肌瘤导致严重梗阻。</w:t>
      </w:r>
    </w:p>
    <w:p>
      <w:pPr>
        <w:pStyle w:val="Heading1"/>
        <w:spacing w:before="207"/>
        <w:rPr>
          <w:rFonts w:ascii="Times New Roman" w:eastAsia="Times New Roman"/>
        </w:rPr>
      </w:pPr>
      <w:r>
        <w:rPr>
          <w:spacing w:val="-8"/>
        </w:rPr>
        <w:t>为了控制生育、治疗宫颈炎、轻微子宫异常出血或早期子宫颈癌而施行的子宫切除，以及被保险人年满  </w:t>
      </w:r>
      <w:r>
        <w:rPr>
          <w:rFonts w:ascii="Times New Roman" w:eastAsia="Times New Roman"/>
        </w:rPr>
        <w:t>40</w:t>
      </w:r>
    </w:p>
    <w:p>
      <w:pPr>
        <w:spacing w:before="0"/>
        <w:ind w:left="113" w:right="0" w:firstLine="0"/>
        <w:jc w:val="left"/>
        <w:rPr>
          <w:rFonts w:ascii="Microsoft JhengHei" w:eastAsia="Microsoft JhengHei" w:hint="eastAsia"/>
          <w:b/>
          <w:sz w:val="21"/>
        </w:rPr>
      </w:pPr>
      <w:r>
        <w:rPr>
          <w:rFonts w:ascii="Microsoft JhengHei" w:eastAsia="Microsoft JhengHei" w:hint="eastAsia"/>
          <w:b/>
          <w:sz w:val="21"/>
        </w:rPr>
        <w:t>周岁以前施行的子宫切除不在保障范围内。</w:t>
      </w:r>
    </w:p>
    <w:p>
      <w:pPr>
        <w:pStyle w:val="BodyText"/>
        <w:spacing w:before="15"/>
        <w:ind w:left="0"/>
        <w:rPr>
          <w:rFonts w:ascii="Microsoft JhengHei"/>
          <w:b/>
          <w:sz w:val="17"/>
        </w:rPr>
      </w:pPr>
    </w:p>
    <w:p>
      <w:pPr>
        <w:pStyle w:val="BodyText"/>
      </w:pPr>
      <w:r>
        <w:rPr/>
        <w:t>（</w:t>
      </w:r>
      <w:r>
        <w:rPr>
          <w:rFonts w:ascii="Times New Roman" w:eastAsia="Times New Roman"/>
        </w:rPr>
        <w:t>3</w:t>
      </w:r>
      <w:r>
        <w:rPr/>
        <w:t>）双侧卵巢切除</w:t>
      </w:r>
    </w:p>
    <w:p>
      <w:pPr>
        <w:spacing w:before="7"/>
        <w:ind w:left="113" w:right="103" w:firstLine="0"/>
        <w:jc w:val="left"/>
        <w:rPr>
          <w:rFonts w:ascii="Microsoft JhengHei" w:eastAsia="Microsoft JhengHei" w:hint="eastAsia"/>
          <w:b/>
          <w:sz w:val="21"/>
        </w:rPr>
      </w:pPr>
      <w:r>
        <w:rPr>
          <w:spacing w:val="-6"/>
          <w:sz w:val="21"/>
        </w:rPr>
        <w:t>实际接受了剖腹手术或腹腔镜手术完全彻底切除了双侧卵巢。</w:t>
      </w:r>
      <w:r>
        <w:rPr>
          <w:rFonts w:ascii="Microsoft JhengHei" w:eastAsia="Microsoft JhengHei" w:hint="eastAsia"/>
          <w:b/>
          <w:spacing w:val="-3"/>
          <w:sz w:val="21"/>
        </w:rPr>
        <w:t>部分卵巢切除或一侧卵巢切除不在保障范围内。</w:t>
      </w:r>
    </w:p>
    <w:p>
      <w:pPr>
        <w:pStyle w:val="BodyText"/>
        <w:spacing w:before="10"/>
        <w:ind w:left="0"/>
        <w:rPr>
          <w:rFonts w:ascii="Microsoft JhengHei"/>
          <w:b/>
          <w:sz w:val="14"/>
        </w:rPr>
      </w:pPr>
    </w:p>
    <w:p>
      <w:pPr>
        <w:pStyle w:val="Heading1"/>
        <w:tabs>
          <w:tab w:pos="1169" w:val="left" w:leader="none"/>
        </w:tabs>
        <w:rPr>
          <w:rFonts w:ascii="黑体" w:eastAsia="黑体" w:hint="eastAsia"/>
        </w:rPr>
      </w:pPr>
      <w:r>
        <w:rPr>
          <w:rFonts w:ascii="黑体" w:eastAsia="黑体" w:hint="eastAsia"/>
        </w:rPr>
        <w:t>第十六条</w:t>
        <w:tab/>
        <w:t>男性特定疾病的分类及释义</w:t>
      </w:r>
    </w:p>
    <w:p>
      <w:pPr>
        <w:pStyle w:val="BodyText"/>
        <w:spacing w:before="8"/>
        <w:ind w:left="0"/>
        <w:rPr>
          <w:rFonts w:ascii="黑体"/>
          <w:b/>
          <w:sz w:val="22"/>
        </w:rPr>
      </w:pPr>
    </w:p>
    <w:p>
      <w:pPr>
        <w:pStyle w:val="BodyText"/>
        <w:spacing w:line="300" w:lineRule="auto"/>
        <w:ind w:right="104"/>
      </w:pPr>
      <w:r>
        <w:rPr>
          <w:spacing w:val="-5"/>
        </w:rPr>
        <w:t>本附加合同所指的男性特定疾病共有 </w:t>
      </w:r>
      <w:r>
        <w:rPr>
          <w:rFonts w:ascii="Times New Roman" w:eastAsia="Times New Roman"/>
        </w:rPr>
        <w:t>3 </w:t>
      </w:r>
      <w:r>
        <w:rPr>
          <w:spacing w:val="-6"/>
        </w:rPr>
        <w:t>类，本附加合同的男性特定疾病定义可能与临床医学在概念和范围</w:t>
      </w:r>
      <w:r>
        <w:rPr>
          <w:spacing w:val="-5"/>
        </w:rPr>
        <w:t>上有所不同，投保人投保本附加合同即表明其认可并遵从本附加合同条款中对男性特定疾病的定义。</w:t>
      </w:r>
    </w:p>
    <w:p>
      <w:pPr>
        <w:pStyle w:val="BodyText"/>
        <w:spacing w:before="2"/>
        <w:ind w:left="0"/>
      </w:pPr>
    </w:p>
    <w:p>
      <w:pPr>
        <w:pStyle w:val="BodyText"/>
        <w:spacing w:line="321" w:lineRule="auto" w:before="1"/>
        <w:ind w:right="105"/>
      </w:pPr>
      <w:r>
        <w:rPr>
          <w:spacing w:val="-7"/>
        </w:rPr>
        <w:t>本附加合同所指的男性特定疾病为符合下列定义的疾病、疾病状态或手术。被保险人发生符合以下疾病定</w:t>
      </w:r>
      <w:r>
        <w:rPr>
          <w:spacing w:val="-6"/>
        </w:rPr>
        <w:t>义所述条件的男性特定疾病，应当由医疗机构的专科医生明确诊断。</w:t>
      </w:r>
    </w:p>
    <w:p>
      <w:pPr>
        <w:pStyle w:val="BodyText"/>
        <w:spacing w:before="10"/>
        <w:ind w:left="0"/>
        <w:rPr>
          <w:sz w:val="19"/>
        </w:rPr>
      </w:pPr>
    </w:p>
    <w:p>
      <w:pPr>
        <w:pStyle w:val="BodyText"/>
      </w:pPr>
      <w:r>
        <w:rPr>
          <w:rFonts w:ascii="Times New Roman" w:eastAsia="Times New Roman"/>
        </w:rPr>
        <w:t>1</w:t>
      </w:r>
      <w:r>
        <w:rPr/>
        <w:t>、第一类：男性特定原位癌</w:t>
      </w:r>
    </w:p>
    <w:p>
      <w:pPr>
        <w:spacing w:line="242" w:lineRule="auto" w:before="7"/>
        <w:ind w:left="113" w:right="107" w:firstLine="0"/>
        <w:jc w:val="left"/>
        <w:rPr>
          <w:rFonts w:ascii="Microsoft JhengHei" w:eastAsia="Microsoft JhengHei" w:hint="eastAsia"/>
          <w:b/>
          <w:sz w:val="21"/>
        </w:rPr>
      </w:pPr>
      <w:r>
        <w:rPr>
          <w:spacing w:val="-6"/>
          <w:sz w:val="21"/>
        </w:rPr>
        <w:t>男性特定原位癌指：睾丸、阴茎、输精管、前列腺部位的经组织病理检验结果确诊的原位癌。</w:t>
      </w:r>
      <w:r>
        <w:rPr>
          <w:rFonts w:ascii="Microsoft JhengHei" w:eastAsia="Microsoft JhengHei" w:hint="eastAsia"/>
          <w:b/>
          <w:sz w:val="21"/>
        </w:rPr>
        <w:t>被保险人所</w:t>
      </w:r>
      <w:r>
        <w:rPr>
          <w:rFonts w:ascii="Microsoft JhengHei" w:eastAsia="Microsoft JhengHei" w:hint="eastAsia"/>
          <w:b/>
          <w:spacing w:val="-5"/>
          <w:sz w:val="21"/>
        </w:rPr>
        <w:t>患癌症在被诊断时已经超越原位癌阶段者不在保障范围内。</w:t>
      </w:r>
    </w:p>
    <w:p>
      <w:pPr>
        <w:spacing w:after="0" w:line="242" w:lineRule="auto"/>
        <w:jc w:val="left"/>
        <w:rPr>
          <w:rFonts w:ascii="Microsoft JhengHei" w:eastAsia="Microsoft JhengHei" w:hint="eastAsia"/>
          <w:sz w:val="21"/>
        </w:rPr>
        <w:sectPr>
          <w:pgSz w:w="11910" w:h="16840"/>
          <w:pgMar w:header="0" w:footer="496" w:top="780" w:bottom="760" w:left="1020" w:right="1020"/>
        </w:sectPr>
      </w:pPr>
    </w:p>
    <w:p>
      <w:pPr>
        <w:pStyle w:val="BodyText"/>
        <w:spacing w:before="70"/>
        <w:ind w:left="313"/>
      </w:pPr>
      <w:r>
        <w:rPr/>
        <w:t>（</w:t>
      </w:r>
      <w:r>
        <w:rPr>
          <w:rFonts w:ascii="Times New Roman" w:eastAsia="Times New Roman"/>
        </w:rPr>
        <w:t>1</w:t>
      </w:r>
      <w:r>
        <w:rPr/>
        <w:t>）睾丸原位癌</w:t>
      </w:r>
    </w:p>
    <w:p>
      <w:pPr>
        <w:pStyle w:val="BodyText"/>
        <w:spacing w:line="300" w:lineRule="auto" w:before="78"/>
        <w:ind w:left="313" w:right="668"/>
      </w:pPr>
      <w:r>
        <w:rPr>
          <w:spacing w:val="-5"/>
        </w:rPr>
        <w:t>睾丸原位癌指尚未浸润正常组织的原发性局灶性癌细胞新生物。</w:t>
      </w:r>
      <w:r>
        <w:rPr>
          <w:rFonts w:ascii="Times New Roman" w:hAnsi="Times New Roman" w:eastAsia="Times New Roman"/>
        </w:rPr>
        <w:t>“</w:t>
      </w:r>
      <w:r>
        <w:rPr>
          <w:spacing w:val="-3"/>
        </w:rPr>
        <w:t>浸润</w:t>
      </w:r>
      <w:r>
        <w:rPr>
          <w:rFonts w:ascii="Times New Roman" w:hAnsi="Times New Roman" w:eastAsia="Times New Roman"/>
        </w:rPr>
        <w:t>”</w:t>
      </w:r>
      <w:r>
        <w:rPr>
          <w:spacing w:val="-5"/>
        </w:rPr>
        <w:t>是指穿透基底膜并且实际破坏了基底膜以下的正常组织。睾丸原位癌的诊断必须由组织病理学报告证实。</w:t>
      </w:r>
    </w:p>
    <w:p>
      <w:pPr>
        <w:pStyle w:val="BodyText"/>
        <w:spacing w:before="2"/>
        <w:ind w:left="0"/>
      </w:pPr>
    </w:p>
    <w:p>
      <w:pPr>
        <w:pStyle w:val="BodyText"/>
        <w:ind w:left="313"/>
      </w:pPr>
      <w:r>
        <w:rPr/>
        <w:t>（</w:t>
      </w:r>
      <w:r>
        <w:rPr>
          <w:rFonts w:ascii="Times New Roman" w:eastAsia="Times New Roman"/>
        </w:rPr>
        <w:t>2</w:t>
      </w:r>
      <w:r>
        <w:rPr/>
        <w:t>）阴茎原位癌</w:t>
      </w:r>
    </w:p>
    <w:p>
      <w:pPr>
        <w:pStyle w:val="BodyText"/>
        <w:spacing w:line="304" w:lineRule="auto" w:before="73"/>
        <w:ind w:left="313" w:right="668"/>
      </w:pPr>
      <w:r>
        <w:rPr>
          <w:spacing w:val="-5"/>
        </w:rPr>
        <w:t>阴茎原位癌指尚未浸润正常组织的原发性局灶性癌细胞新生物。</w:t>
      </w:r>
      <w:r>
        <w:rPr>
          <w:rFonts w:ascii="Times New Roman" w:hAnsi="Times New Roman" w:eastAsia="Times New Roman"/>
        </w:rPr>
        <w:t>“</w:t>
      </w:r>
      <w:r>
        <w:rPr>
          <w:spacing w:val="-3"/>
        </w:rPr>
        <w:t>浸润</w:t>
      </w:r>
      <w:r>
        <w:rPr>
          <w:rFonts w:ascii="Times New Roman" w:hAnsi="Times New Roman" w:eastAsia="Times New Roman"/>
        </w:rPr>
        <w:t>”</w:t>
      </w:r>
      <w:r>
        <w:rPr>
          <w:spacing w:val="-5"/>
        </w:rPr>
        <w:t>是指穿透基底膜并且实际破坏了基底膜以下的正常组织。阴茎原位癌的诊断必须由组织病理学报告证实。</w:t>
      </w:r>
    </w:p>
    <w:p>
      <w:pPr>
        <w:pStyle w:val="BodyText"/>
        <w:spacing w:before="11"/>
        <w:ind w:left="0"/>
        <w:rPr>
          <w:sz w:val="20"/>
        </w:rPr>
      </w:pPr>
    </w:p>
    <w:p>
      <w:pPr>
        <w:pStyle w:val="BodyText"/>
        <w:ind w:left="313"/>
      </w:pPr>
      <w:r>
        <w:rPr/>
        <w:t>（</w:t>
      </w:r>
      <w:r>
        <w:rPr>
          <w:rFonts w:ascii="Times New Roman" w:eastAsia="Times New Roman"/>
        </w:rPr>
        <w:t>3</w:t>
      </w:r>
      <w:r>
        <w:rPr/>
        <w:t>）输精管原位癌</w:t>
      </w:r>
    </w:p>
    <w:p>
      <w:pPr>
        <w:pStyle w:val="BodyText"/>
        <w:spacing w:line="304" w:lineRule="auto" w:before="74"/>
        <w:ind w:left="313" w:right="668"/>
      </w:pPr>
      <w:r>
        <w:rPr>
          <w:spacing w:val="-5"/>
        </w:rPr>
        <w:t>输精管原位癌指尚未浸润正常组织的原发性局灶性癌细胞新生物。</w:t>
      </w:r>
      <w:r>
        <w:rPr>
          <w:rFonts w:ascii="Times New Roman" w:hAnsi="Times New Roman" w:eastAsia="Times New Roman"/>
        </w:rPr>
        <w:t>“</w:t>
      </w:r>
      <w:r>
        <w:rPr>
          <w:spacing w:val="-3"/>
        </w:rPr>
        <w:t>浸润</w:t>
      </w:r>
      <w:r>
        <w:rPr>
          <w:rFonts w:ascii="Times New Roman" w:hAnsi="Times New Roman" w:eastAsia="Times New Roman"/>
        </w:rPr>
        <w:t>”</w:t>
      </w:r>
      <w:r>
        <w:rPr>
          <w:spacing w:val="-5"/>
        </w:rPr>
        <w:t>是指穿透基底膜并且实际破坏了基底膜以下的正常组织。输精管原位癌的诊断必须由组织病理学报告证实。</w:t>
      </w:r>
    </w:p>
    <w:p>
      <w:pPr>
        <w:pStyle w:val="BodyText"/>
        <w:spacing w:before="11"/>
        <w:ind w:left="0"/>
        <w:rPr>
          <w:sz w:val="20"/>
        </w:rPr>
      </w:pPr>
    </w:p>
    <w:p>
      <w:pPr>
        <w:pStyle w:val="BodyText"/>
        <w:ind w:left="313"/>
      </w:pPr>
      <w:r>
        <w:rPr/>
        <w:t>（</w:t>
      </w:r>
      <w:r>
        <w:rPr>
          <w:rFonts w:ascii="Times New Roman" w:eastAsia="Times New Roman"/>
        </w:rPr>
        <w:t>4</w:t>
      </w:r>
      <w:r>
        <w:rPr/>
        <w:t>）前列腺原位癌</w:t>
      </w:r>
    </w:p>
    <w:p>
      <w:pPr>
        <w:pStyle w:val="BodyText"/>
        <w:spacing w:line="304" w:lineRule="auto" w:before="74"/>
        <w:ind w:left="313" w:right="668"/>
      </w:pPr>
      <w:r>
        <w:rPr>
          <w:spacing w:val="-5"/>
        </w:rPr>
        <w:t>前列腺原位癌指尚未浸润正常组织的原发性局灶性癌细胞新生物。</w:t>
      </w:r>
      <w:r>
        <w:rPr>
          <w:rFonts w:ascii="Times New Roman" w:hAnsi="Times New Roman" w:eastAsia="Times New Roman"/>
        </w:rPr>
        <w:t>“</w:t>
      </w:r>
      <w:r>
        <w:rPr>
          <w:spacing w:val="-3"/>
        </w:rPr>
        <w:t>浸润</w:t>
      </w:r>
      <w:r>
        <w:rPr>
          <w:rFonts w:ascii="Times New Roman" w:hAnsi="Times New Roman" w:eastAsia="Times New Roman"/>
        </w:rPr>
        <w:t>”</w:t>
      </w:r>
      <w:r>
        <w:rPr>
          <w:spacing w:val="-5"/>
        </w:rPr>
        <w:t>是指穿透基底膜并且实际破坏了基底膜以下的正常组织。前列腺原位癌的诊断必须由组织病理学报告证实。</w:t>
      </w:r>
    </w:p>
    <w:p>
      <w:pPr>
        <w:pStyle w:val="BodyText"/>
        <w:spacing w:before="11"/>
        <w:ind w:left="0"/>
        <w:rPr>
          <w:sz w:val="20"/>
        </w:rPr>
      </w:pPr>
    </w:p>
    <w:p>
      <w:pPr>
        <w:pStyle w:val="BodyText"/>
        <w:ind w:left="313"/>
      </w:pPr>
      <w:r>
        <w:rPr>
          <w:rFonts w:ascii="Times New Roman" w:eastAsia="Times New Roman"/>
        </w:rPr>
        <w:t>2</w:t>
      </w:r>
      <w:r>
        <w:rPr/>
        <w:t>、第二类：双侧睾丸切除术</w:t>
      </w:r>
    </w:p>
    <w:p>
      <w:pPr>
        <w:spacing w:before="6"/>
        <w:ind w:left="313" w:right="0" w:firstLine="0"/>
        <w:jc w:val="left"/>
        <w:rPr>
          <w:rFonts w:ascii="Microsoft JhengHei" w:eastAsia="Microsoft JhengHei" w:hint="eastAsia"/>
          <w:b/>
          <w:sz w:val="21"/>
        </w:rPr>
      </w:pPr>
      <w:r>
        <w:rPr>
          <w:sz w:val="21"/>
        </w:rPr>
        <w:t>实际实施了为了治疗疾病而进行的双侧睾丸完全切除手术。</w:t>
      </w:r>
      <w:r>
        <w:rPr>
          <w:rFonts w:ascii="Microsoft JhengHei" w:eastAsia="Microsoft JhengHei" w:hint="eastAsia"/>
          <w:b/>
          <w:sz w:val="21"/>
        </w:rPr>
        <w:t>单侧或部分睾丸切除术不在保障范围内。</w:t>
      </w:r>
    </w:p>
    <w:p>
      <w:pPr>
        <w:pStyle w:val="BodyText"/>
        <w:spacing w:before="14"/>
        <w:ind w:left="0"/>
        <w:rPr>
          <w:rFonts w:ascii="Microsoft JhengHei"/>
          <w:b/>
          <w:sz w:val="17"/>
        </w:rPr>
      </w:pPr>
    </w:p>
    <w:p>
      <w:pPr>
        <w:pStyle w:val="BodyText"/>
        <w:spacing w:before="1"/>
        <w:ind w:left="313"/>
      </w:pPr>
      <w:r>
        <w:rPr>
          <w:rFonts w:ascii="Times New Roman" w:eastAsia="Times New Roman"/>
        </w:rPr>
        <w:t>3</w:t>
      </w:r>
      <w:r>
        <w:rPr/>
        <w:t>、第三类：重症头部外伤</w:t>
      </w:r>
    </w:p>
    <w:p>
      <w:pPr>
        <w:pStyle w:val="BodyText"/>
        <w:spacing w:line="302" w:lineRule="auto" w:before="74"/>
        <w:ind w:left="313" w:right="560"/>
      </w:pPr>
      <w:r>
        <w:rPr>
          <w:spacing w:val="-7"/>
          <w:w w:val="100"/>
        </w:rPr>
        <w:t>指因头部遭受机械性外力伤害，引起脑重要部位损伤，并且由头颅断层扫描</w:t>
      </w:r>
      <w:r>
        <w:rPr>
          <w:spacing w:val="2"/>
          <w:w w:val="100"/>
        </w:rPr>
        <w:t>（</w:t>
      </w:r>
      <w:r>
        <w:rPr>
          <w:rFonts w:ascii="Times New Roman" w:hAnsi="Times New Roman" w:eastAsia="Times New Roman"/>
          <w:spacing w:val="-2"/>
          <w:w w:val="100"/>
        </w:rPr>
        <w:t>C</w:t>
      </w:r>
      <w:r>
        <w:rPr>
          <w:rFonts w:ascii="Times New Roman" w:hAnsi="Times New Roman" w:eastAsia="Times New Roman"/>
          <w:spacing w:val="-5"/>
          <w:w w:val="100"/>
        </w:rPr>
        <w:t>T</w:t>
      </w:r>
      <w:r>
        <w:rPr>
          <w:spacing w:val="-106"/>
          <w:w w:val="100"/>
        </w:rPr>
        <w:t>）</w:t>
      </w:r>
      <w:r>
        <w:rPr>
          <w:spacing w:val="-6"/>
          <w:w w:val="100"/>
        </w:rPr>
        <w:t>、核磁共振检查</w:t>
      </w:r>
      <w:r>
        <w:rPr>
          <w:w w:val="100"/>
        </w:rPr>
        <w:t>（</w:t>
      </w:r>
      <w:r>
        <w:rPr>
          <w:rFonts w:ascii="Times New Roman" w:hAnsi="Times New Roman" w:eastAsia="Times New Roman"/>
          <w:w w:val="100"/>
        </w:rPr>
        <w:t>M</w:t>
      </w:r>
      <w:r>
        <w:rPr>
          <w:rFonts w:ascii="Times New Roman" w:hAnsi="Times New Roman" w:eastAsia="Times New Roman"/>
          <w:spacing w:val="-3"/>
          <w:w w:val="100"/>
        </w:rPr>
        <w:t>RI</w:t>
      </w:r>
      <w:r>
        <w:rPr>
          <w:w w:val="100"/>
        </w:rPr>
        <w:t>）</w:t>
      </w:r>
      <w:r>
        <w:rPr>
          <w:spacing w:val="-1"/>
        </w:rPr>
        <w:t>或正电子发射断层扫描</w:t>
      </w:r>
      <w:r>
        <w:rPr/>
        <w:t>（</w:t>
      </w:r>
      <w:r>
        <w:rPr>
          <w:rFonts w:ascii="Times New Roman" w:hAnsi="Times New Roman" w:eastAsia="Times New Roman"/>
        </w:rPr>
        <w:t>PET</w:t>
      </w:r>
      <w:r>
        <w:rPr/>
        <w:t>）</w:t>
      </w:r>
      <w:r>
        <w:rPr>
          <w:spacing w:val="-3"/>
        </w:rPr>
        <w:t>等影像学检查证实。头部外伤导致神经系统功能障碍，虽然未达到重大疾</w:t>
      </w:r>
      <w:r>
        <w:rPr>
          <w:spacing w:val="-5"/>
        </w:rPr>
        <w:t>病</w:t>
      </w:r>
      <w:r>
        <w:rPr>
          <w:rFonts w:ascii="Times New Roman" w:hAnsi="Times New Roman" w:eastAsia="Times New Roman"/>
          <w:spacing w:val="5"/>
        </w:rPr>
        <w:t>“</w:t>
      </w:r>
      <w:r>
        <w:rPr>
          <w:spacing w:val="-3"/>
        </w:rPr>
        <w:t>严重脑损伤</w:t>
      </w:r>
      <w:r>
        <w:rPr>
          <w:rFonts w:ascii="Times New Roman" w:hAnsi="Times New Roman" w:eastAsia="Times New Roman"/>
        </w:rPr>
        <w:t>”</w:t>
      </w:r>
      <w:r>
        <w:rPr>
          <w:spacing w:val="-5"/>
        </w:rPr>
        <w:t>的给付标准，但是符合以下条件之一：</w:t>
      </w:r>
    </w:p>
    <w:p>
      <w:pPr>
        <w:spacing w:line="313" w:lineRule="exact" w:before="0"/>
        <w:ind w:left="313" w:right="0" w:firstLine="0"/>
        <w:jc w:val="left"/>
        <w:rPr>
          <w:sz w:val="21"/>
        </w:rPr>
      </w:pPr>
      <w:r>
        <w:rPr>
          <w:w w:val="100"/>
          <w:sz w:val="21"/>
        </w:rPr>
        <w:t>（</w:t>
      </w:r>
      <w:r>
        <w:rPr>
          <w:rFonts w:ascii="Times New Roman" w:eastAsia="Times New Roman"/>
          <w:w w:val="100"/>
          <w:sz w:val="21"/>
        </w:rPr>
        <w:t>1</w:t>
      </w:r>
      <w:r>
        <w:rPr>
          <w:w w:val="100"/>
          <w:sz w:val="21"/>
        </w:rPr>
        <w:t>）</w:t>
      </w:r>
      <w:r>
        <w:rPr>
          <w:spacing w:val="-5"/>
          <w:w w:val="100"/>
          <w:sz w:val="21"/>
        </w:rPr>
        <w:t>被保险人接受了全麻下颅骨切开颅内血肿清除术</w:t>
      </w:r>
      <w:r>
        <w:rPr>
          <w:rFonts w:ascii="Microsoft JhengHei" w:eastAsia="Microsoft JhengHei" w:hint="eastAsia"/>
          <w:b/>
          <w:w w:val="100"/>
          <w:sz w:val="21"/>
        </w:rPr>
        <w:t>（</w:t>
      </w:r>
      <w:r>
        <w:rPr>
          <w:rFonts w:ascii="Microsoft JhengHei" w:eastAsia="Microsoft JhengHei" w:hint="eastAsia"/>
          <w:b/>
          <w:spacing w:val="-2"/>
          <w:w w:val="100"/>
          <w:sz w:val="21"/>
        </w:rPr>
        <w:t>颅骨钻孔术除外</w:t>
      </w:r>
      <w:r>
        <w:rPr>
          <w:rFonts w:ascii="Microsoft JhengHei" w:eastAsia="Microsoft JhengHei" w:hint="eastAsia"/>
          <w:b/>
          <w:spacing w:val="-106"/>
          <w:w w:val="100"/>
          <w:sz w:val="21"/>
        </w:rPr>
        <w:t>）</w:t>
      </w:r>
      <w:r>
        <w:rPr>
          <w:w w:val="100"/>
          <w:sz w:val="21"/>
        </w:rPr>
        <w:t>；</w:t>
      </w:r>
    </w:p>
    <w:p>
      <w:pPr>
        <w:pStyle w:val="BodyText"/>
        <w:spacing w:before="66"/>
        <w:ind w:left="313"/>
      </w:pPr>
      <w:r>
        <w:rPr/>
        <w:t>（</w:t>
      </w:r>
      <w:r>
        <w:rPr>
          <w:rFonts w:ascii="Times New Roman" w:eastAsia="Times New Roman"/>
        </w:rPr>
        <w:t>2</w:t>
      </w:r>
      <w:r>
        <w:rPr/>
        <w:t>）在外伤 </w:t>
      </w:r>
      <w:r>
        <w:rPr>
          <w:rFonts w:ascii="Times New Roman" w:eastAsia="Times New Roman"/>
        </w:rPr>
        <w:t>180 </w:t>
      </w:r>
      <w:r>
        <w:rPr/>
        <w:t>天后仍然遗留一肢或一肢以上肢体肌力 </w:t>
      </w:r>
      <w:r>
        <w:rPr>
          <w:rFonts w:ascii="Times New Roman" w:eastAsia="Times New Roman"/>
        </w:rPr>
        <w:t>III </w:t>
      </w:r>
      <w:r>
        <w:rPr/>
        <w:t>级或 </w:t>
      </w:r>
      <w:r>
        <w:rPr>
          <w:rFonts w:ascii="Times New Roman" w:eastAsia="Times New Roman"/>
        </w:rPr>
        <w:t>III </w:t>
      </w:r>
      <w:r>
        <w:rPr/>
        <w:t>级以下的运动功能障碍。</w:t>
      </w:r>
    </w:p>
    <w:p>
      <w:pPr>
        <w:pStyle w:val="BodyText"/>
        <w:spacing w:before="12"/>
        <w:ind w:left="0"/>
        <w:rPr>
          <w:sz w:val="19"/>
        </w:rPr>
      </w:pPr>
    </w:p>
    <w:p>
      <w:pPr>
        <w:pStyle w:val="Heading1"/>
        <w:tabs>
          <w:tab w:pos="1369" w:val="left" w:leader="none"/>
        </w:tabs>
        <w:ind w:left="313"/>
        <w:rPr>
          <w:rFonts w:ascii="黑体" w:eastAsia="黑体" w:hint="eastAsia"/>
        </w:rPr>
      </w:pPr>
      <w:r>
        <w:rPr>
          <w:rFonts w:ascii="黑体" w:eastAsia="黑体" w:hint="eastAsia"/>
        </w:rPr>
        <w:t>第十七条</w:t>
        <w:tab/>
        <w:t>其他名词的释义</w:t>
      </w:r>
    </w:p>
    <w:p>
      <w:pPr>
        <w:pStyle w:val="BodyText"/>
        <w:spacing w:before="8"/>
        <w:ind w:left="0"/>
        <w:rPr>
          <w:rFonts w:ascii="黑体"/>
          <w:b/>
          <w:sz w:val="22"/>
        </w:rPr>
      </w:pPr>
    </w:p>
    <w:p>
      <w:pPr>
        <w:pStyle w:val="BodyText"/>
        <w:ind w:left="313"/>
      </w:pPr>
      <w:r>
        <w:rPr/>
        <w:t>本附加合同中具有特定含义的名词，其定义如下：</w:t>
      </w:r>
    </w:p>
    <w:p>
      <w:pPr>
        <w:pStyle w:val="BodyText"/>
        <w:spacing w:before="8"/>
        <w:ind w:left="0"/>
        <w:rPr>
          <w:sz w:val="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2"/>
        <w:gridCol w:w="430"/>
        <w:gridCol w:w="8547"/>
      </w:tblGrid>
      <w:tr>
        <w:trPr>
          <w:trHeight w:val="619" w:hRule="atLeast"/>
        </w:trPr>
        <w:tc>
          <w:tcPr>
            <w:tcW w:w="1422" w:type="dxa"/>
          </w:tcPr>
          <w:p>
            <w:pPr>
              <w:pStyle w:val="TableParagraph"/>
              <w:spacing w:line="255" w:lineRule="exact" w:before="0"/>
              <w:rPr>
                <w:sz w:val="21"/>
              </w:rPr>
            </w:pPr>
            <w:r>
              <w:rPr>
                <w:sz w:val="21"/>
              </w:rPr>
              <w:t>意外伤害</w:t>
            </w:r>
          </w:p>
        </w:tc>
        <w:tc>
          <w:tcPr>
            <w:tcW w:w="430" w:type="dxa"/>
          </w:tcPr>
          <w:p>
            <w:pPr>
              <w:pStyle w:val="TableParagraph"/>
              <w:spacing w:line="255" w:lineRule="exact" w:before="0"/>
              <w:ind w:left="0" w:right="51"/>
              <w:jc w:val="right"/>
              <w:rPr>
                <w:sz w:val="21"/>
              </w:rPr>
            </w:pPr>
            <w:r>
              <w:rPr>
                <w:w w:val="100"/>
                <w:sz w:val="21"/>
              </w:rPr>
              <w:t>：</w:t>
            </w:r>
          </w:p>
        </w:tc>
        <w:tc>
          <w:tcPr>
            <w:tcW w:w="8547" w:type="dxa"/>
          </w:tcPr>
          <w:p>
            <w:pPr>
              <w:pStyle w:val="TableParagraph"/>
              <w:spacing w:line="255" w:lineRule="exact" w:before="0"/>
              <w:ind w:left="52"/>
              <w:rPr>
                <w:sz w:val="21"/>
              </w:rPr>
            </w:pPr>
            <w:r>
              <w:rPr>
                <w:sz w:val="21"/>
              </w:rPr>
              <w:t>指以外来的、突发的、非本意的、非疾病的客观事件为直接且单独的原因致使身体受到的</w:t>
            </w:r>
          </w:p>
          <w:p>
            <w:pPr>
              <w:pStyle w:val="TableParagraph"/>
              <w:spacing w:before="42"/>
              <w:ind w:left="52"/>
              <w:rPr>
                <w:sz w:val="21"/>
              </w:rPr>
            </w:pPr>
            <w:r>
              <w:rPr>
                <w:sz w:val="21"/>
              </w:rPr>
              <w:t>伤害。</w:t>
            </w:r>
          </w:p>
        </w:tc>
      </w:tr>
      <w:tr>
        <w:trPr>
          <w:trHeight w:val="715" w:hRule="atLeast"/>
        </w:trPr>
        <w:tc>
          <w:tcPr>
            <w:tcW w:w="1422" w:type="dxa"/>
          </w:tcPr>
          <w:p>
            <w:pPr>
              <w:pStyle w:val="TableParagraph"/>
              <w:spacing w:before="9"/>
              <w:rPr>
                <w:sz w:val="21"/>
              </w:rPr>
            </w:pPr>
            <w:r>
              <w:rPr>
                <w:sz w:val="21"/>
              </w:rPr>
              <w:t>周岁</w:t>
            </w:r>
          </w:p>
        </w:tc>
        <w:tc>
          <w:tcPr>
            <w:tcW w:w="430" w:type="dxa"/>
          </w:tcPr>
          <w:p>
            <w:pPr>
              <w:pStyle w:val="TableParagraph"/>
              <w:spacing w:line="275" w:lineRule="exact" w:before="0"/>
              <w:ind w:left="0" w:right="51"/>
              <w:jc w:val="right"/>
              <w:rPr>
                <w:sz w:val="21"/>
              </w:rPr>
            </w:pPr>
            <w:r>
              <w:rPr>
                <w:w w:val="100"/>
                <w:sz w:val="21"/>
              </w:rPr>
              <w:t>：</w:t>
            </w:r>
          </w:p>
        </w:tc>
        <w:tc>
          <w:tcPr>
            <w:tcW w:w="8547" w:type="dxa"/>
          </w:tcPr>
          <w:p>
            <w:pPr>
              <w:pStyle w:val="TableParagraph"/>
              <w:spacing w:before="9"/>
              <w:ind w:left="52"/>
              <w:rPr>
                <w:sz w:val="21"/>
              </w:rPr>
            </w:pPr>
            <w:r>
              <w:rPr>
                <w:sz w:val="21"/>
              </w:rPr>
              <w:t>指按有效身份证件中记载的出生日期计算的年龄，自出生之日起为零周岁，每经过一年增</w:t>
            </w:r>
          </w:p>
          <w:p>
            <w:pPr>
              <w:pStyle w:val="TableParagraph"/>
              <w:spacing w:before="89"/>
              <w:ind w:left="52"/>
              <w:rPr>
                <w:sz w:val="21"/>
              </w:rPr>
            </w:pPr>
            <w:r>
              <w:rPr>
                <w:sz w:val="21"/>
              </w:rPr>
              <w:t>加一岁，不足一年的不计。</w:t>
            </w:r>
          </w:p>
        </w:tc>
      </w:tr>
      <w:tr>
        <w:trPr>
          <w:trHeight w:val="732" w:hRule="atLeast"/>
        </w:trPr>
        <w:tc>
          <w:tcPr>
            <w:tcW w:w="1422" w:type="dxa"/>
          </w:tcPr>
          <w:p>
            <w:pPr>
              <w:pStyle w:val="TableParagraph"/>
              <w:spacing w:before="28"/>
              <w:rPr>
                <w:sz w:val="21"/>
              </w:rPr>
            </w:pPr>
            <w:r>
              <w:rPr>
                <w:sz w:val="21"/>
              </w:rPr>
              <w:t>保单周年日</w:t>
            </w:r>
          </w:p>
        </w:tc>
        <w:tc>
          <w:tcPr>
            <w:tcW w:w="430" w:type="dxa"/>
          </w:tcPr>
          <w:p>
            <w:pPr>
              <w:pStyle w:val="TableParagraph"/>
              <w:spacing w:before="19"/>
              <w:ind w:left="0" w:right="51"/>
              <w:jc w:val="right"/>
              <w:rPr>
                <w:sz w:val="21"/>
              </w:rPr>
            </w:pPr>
            <w:r>
              <w:rPr>
                <w:w w:val="100"/>
                <w:sz w:val="21"/>
              </w:rPr>
              <w:t>：</w:t>
            </w:r>
          </w:p>
        </w:tc>
        <w:tc>
          <w:tcPr>
            <w:tcW w:w="8547" w:type="dxa"/>
          </w:tcPr>
          <w:p>
            <w:pPr>
              <w:pStyle w:val="TableParagraph"/>
              <w:spacing w:before="28"/>
              <w:ind w:left="52"/>
              <w:rPr>
                <w:sz w:val="21"/>
              </w:rPr>
            </w:pPr>
            <w:r>
              <w:rPr>
                <w:sz w:val="21"/>
              </w:rPr>
              <w:t>指合同的生效日在每年的对应日，如当月无对应的同一日，则以当月最后一日为对应的保</w:t>
            </w:r>
          </w:p>
          <w:p>
            <w:pPr>
              <w:pStyle w:val="TableParagraph"/>
              <w:spacing w:before="89"/>
              <w:ind w:left="52"/>
              <w:rPr>
                <w:sz w:val="21"/>
              </w:rPr>
            </w:pPr>
            <w:r>
              <w:rPr>
                <w:sz w:val="21"/>
              </w:rPr>
              <w:t>单周年日。</w:t>
            </w:r>
          </w:p>
        </w:tc>
      </w:tr>
      <w:tr>
        <w:trPr>
          <w:trHeight w:val="2194" w:hRule="atLeast"/>
        </w:trPr>
        <w:tc>
          <w:tcPr>
            <w:tcW w:w="1422" w:type="dxa"/>
          </w:tcPr>
          <w:p>
            <w:pPr>
              <w:pStyle w:val="TableParagraph"/>
              <w:spacing w:before="26"/>
              <w:rPr>
                <w:sz w:val="21"/>
              </w:rPr>
            </w:pPr>
            <w:r>
              <w:rPr>
                <w:sz w:val="21"/>
              </w:rPr>
              <w:t>医疗机构</w:t>
            </w:r>
          </w:p>
        </w:tc>
        <w:tc>
          <w:tcPr>
            <w:tcW w:w="430" w:type="dxa"/>
          </w:tcPr>
          <w:p>
            <w:pPr>
              <w:pStyle w:val="TableParagraph"/>
              <w:spacing w:before="16"/>
              <w:ind w:left="0" w:right="51"/>
              <w:jc w:val="right"/>
              <w:rPr>
                <w:sz w:val="21"/>
              </w:rPr>
            </w:pPr>
            <w:r>
              <w:rPr>
                <w:w w:val="100"/>
                <w:sz w:val="21"/>
              </w:rPr>
              <w:t>：</w:t>
            </w:r>
          </w:p>
        </w:tc>
        <w:tc>
          <w:tcPr>
            <w:tcW w:w="8547" w:type="dxa"/>
          </w:tcPr>
          <w:p>
            <w:pPr>
              <w:pStyle w:val="TableParagraph"/>
              <w:spacing w:before="26"/>
              <w:ind w:left="52"/>
              <w:rPr>
                <w:sz w:val="21"/>
              </w:rPr>
            </w:pPr>
            <w:r>
              <w:rPr>
                <w:sz w:val="21"/>
              </w:rPr>
              <w:t>符合下列所有条件的机构：</w:t>
            </w:r>
          </w:p>
          <w:p>
            <w:pPr>
              <w:pStyle w:val="TableParagraph"/>
              <w:spacing w:line="249" w:lineRule="auto" w:before="90"/>
              <w:ind w:left="52" w:right="198"/>
              <w:rPr>
                <w:rFonts w:ascii="Microsoft JhengHei" w:eastAsia="Microsoft JhengHei" w:hint="eastAsia"/>
                <w:b/>
                <w:sz w:val="21"/>
              </w:rPr>
            </w:pPr>
            <w:r>
              <w:rPr>
                <w:spacing w:val="-8"/>
                <w:sz w:val="21"/>
              </w:rPr>
              <w:t>（1）</w:t>
            </w:r>
            <w:r>
              <w:rPr>
                <w:spacing w:val="-5"/>
                <w:sz w:val="21"/>
              </w:rPr>
              <w:t>经国家级医疗卫生行政管理部门批准的有合法经营执照的二级或二级以上综合性的医</w:t>
            </w:r>
            <w:r>
              <w:rPr>
                <w:spacing w:val="-8"/>
                <w:sz w:val="21"/>
              </w:rPr>
              <w:t>院和专科医院</w:t>
            </w:r>
            <w:r>
              <w:rPr>
                <w:rFonts w:ascii="Microsoft JhengHei" w:eastAsia="Microsoft JhengHei" w:hint="eastAsia"/>
                <w:b/>
                <w:sz w:val="21"/>
              </w:rPr>
              <w:t>（</w:t>
            </w:r>
            <w:r>
              <w:rPr>
                <w:rFonts w:ascii="Microsoft JhengHei" w:eastAsia="Microsoft JhengHei" w:hint="eastAsia"/>
                <w:b/>
                <w:spacing w:val="-3"/>
                <w:sz w:val="21"/>
              </w:rPr>
              <w:t>前述医院和专科医院中的门</w:t>
            </w:r>
            <w:r>
              <w:rPr>
                <w:rFonts w:ascii="Microsoft JhengHei" w:eastAsia="Microsoft JhengHei" w:hint="eastAsia"/>
                <w:b/>
                <w:sz w:val="21"/>
              </w:rPr>
              <w:t>/</w:t>
            </w:r>
            <w:r>
              <w:rPr>
                <w:rFonts w:ascii="Microsoft JhengHei" w:eastAsia="Microsoft JhengHei" w:hint="eastAsia"/>
                <w:b/>
                <w:spacing w:val="-9"/>
                <w:sz w:val="21"/>
              </w:rPr>
              <w:t>急诊观察室、家庭病床、联合病房、临时病房</w:t>
            </w:r>
            <w:r>
              <w:rPr>
                <w:rFonts w:ascii="Microsoft JhengHei" w:eastAsia="Microsoft JhengHei" w:hint="eastAsia"/>
                <w:b/>
                <w:spacing w:val="-9"/>
                <w:w w:val="100"/>
                <w:sz w:val="21"/>
              </w:rPr>
              <w:t>康复病房除外</w:t>
            </w:r>
            <w:r>
              <w:rPr>
                <w:rFonts w:ascii="Microsoft JhengHei" w:eastAsia="Microsoft JhengHei" w:hint="eastAsia"/>
                <w:b/>
                <w:spacing w:val="-106"/>
                <w:w w:val="100"/>
                <w:sz w:val="21"/>
              </w:rPr>
              <w:t>）</w:t>
            </w:r>
            <w:r>
              <w:rPr>
                <w:rFonts w:ascii="Microsoft JhengHei" w:eastAsia="Microsoft JhengHei" w:hint="eastAsia"/>
                <w:b/>
                <w:w w:val="100"/>
                <w:sz w:val="21"/>
              </w:rPr>
              <w:t>；</w:t>
            </w:r>
          </w:p>
          <w:p>
            <w:pPr>
              <w:pStyle w:val="TableParagraph"/>
              <w:spacing w:before="0"/>
              <w:ind w:left="52" w:right="202"/>
              <w:rPr>
                <w:rFonts w:ascii="Microsoft JhengHei" w:eastAsia="Microsoft JhengHei" w:hint="eastAsia"/>
                <w:b/>
                <w:sz w:val="21"/>
              </w:rPr>
            </w:pPr>
            <w:r>
              <w:rPr>
                <w:spacing w:val="-3"/>
                <w:sz w:val="21"/>
              </w:rPr>
              <w:t>（2）</w:t>
            </w:r>
            <w:r>
              <w:rPr>
                <w:rFonts w:ascii="Microsoft JhengHei" w:eastAsia="Microsoft JhengHei" w:hint="eastAsia"/>
                <w:b/>
                <w:spacing w:val="-6"/>
                <w:sz w:val="21"/>
              </w:rPr>
              <w:t>不包括精神病院、私人诊所，以及作为康复、疗养、护理、戒酒、戒毒或类似的医疗机构。</w:t>
            </w:r>
          </w:p>
        </w:tc>
      </w:tr>
      <w:tr>
        <w:trPr>
          <w:trHeight w:val="962" w:hRule="atLeast"/>
        </w:trPr>
        <w:tc>
          <w:tcPr>
            <w:tcW w:w="1422" w:type="dxa"/>
          </w:tcPr>
          <w:p>
            <w:pPr>
              <w:pStyle w:val="TableParagraph"/>
              <w:spacing w:before="16"/>
              <w:rPr>
                <w:sz w:val="21"/>
              </w:rPr>
            </w:pPr>
            <w:r>
              <w:rPr>
                <w:sz w:val="21"/>
              </w:rPr>
              <w:t>专科医生</w:t>
            </w:r>
          </w:p>
        </w:tc>
        <w:tc>
          <w:tcPr>
            <w:tcW w:w="430" w:type="dxa"/>
          </w:tcPr>
          <w:p>
            <w:pPr>
              <w:pStyle w:val="TableParagraph"/>
              <w:spacing w:before="16"/>
              <w:ind w:left="0" w:right="51"/>
              <w:jc w:val="right"/>
              <w:rPr>
                <w:sz w:val="21"/>
              </w:rPr>
            </w:pPr>
            <w:r>
              <w:rPr>
                <w:w w:val="100"/>
                <w:sz w:val="21"/>
              </w:rPr>
              <w:t>：</w:t>
            </w:r>
          </w:p>
        </w:tc>
        <w:tc>
          <w:tcPr>
            <w:tcW w:w="8547" w:type="dxa"/>
          </w:tcPr>
          <w:p>
            <w:pPr>
              <w:pStyle w:val="TableParagraph"/>
              <w:spacing w:before="16"/>
              <w:ind w:left="52"/>
              <w:rPr>
                <w:sz w:val="21"/>
              </w:rPr>
            </w:pPr>
            <w:r>
              <w:rPr>
                <w:sz w:val="21"/>
              </w:rPr>
              <w:t>专科医生应当同时满足以下四项资格条件：</w:t>
            </w:r>
          </w:p>
          <w:p>
            <w:pPr>
              <w:pStyle w:val="TableParagraph"/>
              <w:spacing w:before="46"/>
              <w:ind w:left="52"/>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line="283" w:lineRule="exact" w:before="30"/>
              <w:ind w:left="52"/>
              <w:rPr>
                <w:sz w:val="21"/>
              </w:rPr>
            </w:pPr>
            <w:r>
              <w:rPr>
                <w:sz w:val="21"/>
              </w:rPr>
              <w:t>（</w:t>
            </w:r>
            <w:r>
              <w:rPr>
                <w:rFonts w:ascii="Times New Roman" w:eastAsia="Times New Roman"/>
                <w:sz w:val="21"/>
              </w:rPr>
              <w:t>2</w:t>
            </w:r>
            <w:r>
              <w:rPr>
                <w:sz w:val="21"/>
              </w:rPr>
              <w:t>）具有有效的中华人民共和国《医师执业证书》，并按期到相关部门登记注册；</w:t>
            </w:r>
          </w:p>
        </w:tc>
      </w:tr>
    </w:tbl>
    <w:p>
      <w:pPr>
        <w:spacing w:after="0" w:line="283" w:lineRule="exact"/>
        <w:rPr>
          <w:sz w:val="21"/>
        </w:rPr>
        <w:sectPr>
          <w:pgSz w:w="11910" w:h="16840"/>
          <w:pgMar w:header="0" w:footer="496" w:top="780" w:bottom="760" w:left="820" w:right="4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7"/>
        <w:gridCol w:w="315"/>
        <w:gridCol w:w="8549"/>
      </w:tblGrid>
      <w:tr>
        <w:trPr>
          <w:trHeight w:val="623" w:hRule="atLeast"/>
        </w:trPr>
        <w:tc>
          <w:tcPr>
            <w:tcW w:w="1537" w:type="dxa"/>
          </w:tcPr>
          <w:p>
            <w:pPr>
              <w:pStyle w:val="TableParagraph"/>
              <w:spacing w:before="0"/>
              <w:ind w:left="0"/>
              <w:rPr>
                <w:rFonts w:ascii="Times New Roman"/>
                <w:sz w:val="20"/>
              </w:rPr>
            </w:pPr>
          </w:p>
        </w:tc>
        <w:tc>
          <w:tcPr>
            <w:tcW w:w="315" w:type="dxa"/>
          </w:tcPr>
          <w:p>
            <w:pPr>
              <w:pStyle w:val="TableParagraph"/>
              <w:spacing w:before="0"/>
              <w:ind w:left="0"/>
              <w:rPr>
                <w:rFonts w:ascii="Times New Roman"/>
                <w:sz w:val="20"/>
              </w:rPr>
            </w:pPr>
          </w:p>
        </w:tc>
        <w:tc>
          <w:tcPr>
            <w:tcW w:w="8549" w:type="dxa"/>
          </w:tcPr>
          <w:p>
            <w:pPr>
              <w:pStyle w:val="TableParagraph"/>
              <w:spacing w:line="271" w:lineRule="exact" w:before="0"/>
              <w:ind w:left="52"/>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before="31"/>
              <w:ind w:left="52"/>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960" w:hRule="atLeast"/>
        </w:trPr>
        <w:tc>
          <w:tcPr>
            <w:tcW w:w="1537" w:type="dxa"/>
          </w:tcPr>
          <w:p>
            <w:pPr>
              <w:pStyle w:val="TableParagraph"/>
              <w:spacing w:line="275" w:lineRule="exact" w:before="0"/>
              <w:rPr>
                <w:sz w:val="21"/>
              </w:rPr>
            </w:pPr>
            <w:r>
              <w:rPr>
                <w:sz w:val="21"/>
              </w:rPr>
              <w:t>毒品</w:t>
            </w:r>
          </w:p>
        </w:tc>
        <w:tc>
          <w:tcPr>
            <w:tcW w:w="315" w:type="dxa"/>
          </w:tcPr>
          <w:p>
            <w:pPr>
              <w:pStyle w:val="TableParagraph"/>
              <w:spacing w:line="275" w:lineRule="exact" w:before="0"/>
              <w:ind w:left="0"/>
              <w:jc w:val="center"/>
              <w:rPr>
                <w:sz w:val="21"/>
              </w:rPr>
            </w:pPr>
            <w:r>
              <w:rPr>
                <w:w w:val="100"/>
                <w:sz w:val="21"/>
              </w:rPr>
              <w:t>：</w:t>
            </w:r>
          </w:p>
        </w:tc>
        <w:tc>
          <w:tcPr>
            <w:tcW w:w="8549" w:type="dxa"/>
          </w:tcPr>
          <w:p>
            <w:pPr>
              <w:pStyle w:val="TableParagraph"/>
              <w:spacing w:line="276" w:lineRule="auto" w:before="0"/>
              <w:ind w:left="52" w:right="200"/>
              <w:rPr>
                <w:sz w:val="21"/>
              </w:rPr>
            </w:pPr>
            <w:r>
              <w:rPr>
                <w:spacing w:val="-5"/>
                <w:sz w:val="21"/>
              </w:rPr>
              <w:t>指中华人民共和国刑法规定的鸦片、海洛因、甲基苯丙胺</w:t>
            </w:r>
            <w:r>
              <w:rPr>
                <w:sz w:val="21"/>
              </w:rPr>
              <w:t>（</w:t>
            </w:r>
            <w:r>
              <w:rPr>
                <w:spacing w:val="-3"/>
                <w:sz w:val="21"/>
              </w:rPr>
              <w:t>冰毒</w:t>
            </w:r>
            <w:r>
              <w:rPr>
                <w:spacing w:val="-106"/>
                <w:sz w:val="21"/>
              </w:rPr>
              <w:t>）</w:t>
            </w:r>
            <w:r>
              <w:rPr>
                <w:spacing w:val="-4"/>
                <w:sz w:val="21"/>
              </w:rPr>
              <w:t>、吗啡、大麻、可卡因以</w:t>
            </w:r>
            <w:r>
              <w:rPr>
                <w:sz w:val="21"/>
              </w:rPr>
              <w:t>及国家规定管制的其他能够使人形成瘾癖的麻醉药品和精神药品，但不包括由医生开具并</w:t>
            </w:r>
          </w:p>
          <w:p>
            <w:pPr>
              <w:pStyle w:val="TableParagraph"/>
              <w:spacing w:before="15"/>
              <w:ind w:left="52"/>
              <w:rPr>
                <w:sz w:val="21"/>
              </w:rPr>
            </w:pPr>
            <w:r>
              <w:rPr>
                <w:sz w:val="21"/>
              </w:rPr>
              <w:t>遵医嘱使用的用于治疗疾病但含有毒品成分的处方药品。</w:t>
            </w:r>
          </w:p>
        </w:tc>
      </w:tr>
      <w:tr>
        <w:trPr>
          <w:trHeight w:val="960" w:hRule="atLeast"/>
        </w:trPr>
        <w:tc>
          <w:tcPr>
            <w:tcW w:w="1537" w:type="dxa"/>
          </w:tcPr>
          <w:p>
            <w:pPr>
              <w:pStyle w:val="TableParagraph"/>
              <w:spacing w:before="0"/>
              <w:rPr>
                <w:sz w:val="21"/>
              </w:rPr>
            </w:pPr>
            <w:r>
              <w:rPr>
                <w:sz w:val="21"/>
              </w:rPr>
              <w:t>酒后驾驶</w:t>
            </w:r>
          </w:p>
        </w:tc>
        <w:tc>
          <w:tcPr>
            <w:tcW w:w="315" w:type="dxa"/>
          </w:tcPr>
          <w:p>
            <w:pPr>
              <w:pStyle w:val="TableParagraph"/>
              <w:spacing w:before="0"/>
              <w:ind w:left="0"/>
              <w:jc w:val="center"/>
              <w:rPr>
                <w:sz w:val="21"/>
              </w:rPr>
            </w:pPr>
            <w:r>
              <w:rPr>
                <w:w w:val="100"/>
                <w:sz w:val="21"/>
              </w:rPr>
              <w:t>：</w:t>
            </w:r>
          </w:p>
        </w:tc>
        <w:tc>
          <w:tcPr>
            <w:tcW w:w="8549" w:type="dxa"/>
          </w:tcPr>
          <w:p>
            <w:pPr>
              <w:pStyle w:val="TableParagraph"/>
              <w:spacing w:line="276" w:lineRule="auto" w:before="0"/>
              <w:ind w:left="52" w:right="206"/>
              <w:rPr>
                <w:sz w:val="21"/>
              </w:rPr>
            </w:pPr>
            <w:r>
              <w:rPr>
                <w:sz w:val="21"/>
              </w:rPr>
              <w:t>指经检测或鉴定，发生事故时车辆驾驶人员每百毫升血液中的酒精含量达到或超过一定的标准，公安机关交通管理部门依据《道路交通安全法》的规定认定为饮酒后驾驶或醉酒后</w:t>
            </w:r>
          </w:p>
          <w:p>
            <w:pPr>
              <w:pStyle w:val="TableParagraph"/>
              <w:spacing w:before="15"/>
              <w:ind w:left="52"/>
              <w:rPr>
                <w:sz w:val="21"/>
              </w:rPr>
            </w:pPr>
            <w:r>
              <w:rPr>
                <w:sz w:val="21"/>
              </w:rPr>
              <w:t>驾驶。</w:t>
            </w:r>
          </w:p>
        </w:tc>
      </w:tr>
      <w:tr>
        <w:trPr>
          <w:trHeight w:val="1598" w:hRule="atLeast"/>
        </w:trPr>
        <w:tc>
          <w:tcPr>
            <w:tcW w:w="1537" w:type="dxa"/>
          </w:tcPr>
          <w:p>
            <w:pPr>
              <w:pStyle w:val="TableParagraph"/>
              <w:spacing w:line="276" w:lineRule="auto" w:before="0"/>
              <w:ind w:right="49"/>
              <w:rPr>
                <w:sz w:val="21"/>
              </w:rPr>
            </w:pPr>
            <w:r>
              <w:rPr>
                <w:sz w:val="21"/>
              </w:rPr>
              <w:t>无合法有效驾驶证驾驶</w:t>
            </w:r>
          </w:p>
        </w:tc>
        <w:tc>
          <w:tcPr>
            <w:tcW w:w="315" w:type="dxa"/>
          </w:tcPr>
          <w:p>
            <w:pPr>
              <w:pStyle w:val="TableParagraph"/>
              <w:spacing w:line="275" w:lineRule="exact" w:before="0"/>
              <w:ind w:left="0"/>
              <w:jc w:val="center"/>
              <w:rPr>
                <w:sz w:val="21"/>
              </w:rPr>
            </w:pPr>
            <w:r>
              <w:rPr>
                <w:w w:val="100"/>
                <w:sz w:val="21"/>
              </w:rPr>
              <w:t>：</w:t>
            </w:r>
          </w:p>
        </w:tc>
        <w:tc>
          <w:tcPr>
            <w:tcW w:w="8549" w:type="dxa"/>
          </w:tcPr>
          <w:p>
            <w:pPr>
              <w:pStyle w:val="TableParagraph"/>
              <w:spacing w:line="275" w:lineRule="exact" w:before="0"/>
              <w:ind w:left="52"/>
              <w:rPr>
                <w:sz w:val="21"/>
              </w:rPr>
            </w:pPr>
            <w:r>
              <w:rPr>
                <w:sz w:val="21"/>
              </w:rPr>
              <w:t>指下列情形之一：</w:t>
            </w:r>
          </w:p>
          <w:p>
            <w:pPr>
              <w:pStyle w:val="TableParagraph"/>
              <w:spacing w:before="42"/>
              <w:ind w:left="52"/>
              <w:rPr>
                <w:sz w:val="21"/>
              </w:rPr>
            </w:pPr>
            <w:r>
              <w:rPr>
                <w:sz w:val="21"/>
              </w:rPr>
              <w:t>（</w:t>
            </w:r>
            <w:r>
              <w:rPr>
                <w:rFonts w:ascii="Times New Roman" w:eastAsia="Times New Roman"/>
                <w:sz w:val="21"/>
              </w:rPr>
              <w:t>1</w:t>
            </w:r>
            <w:r>
              <w:rPr>
                <w:sz w:val="21"/>
              </w:rPr>
              <w:t>）没有取得驾驶资格；</w:t>
            </w:r>
          </w:p>
          <w:p>
            <w:pPr>
              <w:pStyle w:val="TableParagraph"/>
              <w:spacing w:before="31"/>
              <w:ind w:left="52"/>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30"/>
              <w:ind w:left="52"/>
              <w:rPr>
                <w:sz w:val="21"/>
              </w:rPr>
            </w:pPr>
            <w:r>
              <w:rPr>
                <w:sz w:val="21"/>
              </w:rPr>
              <w:t>（</w:t>
            </w:r>
            <w:r>
              <w:rPr>
                <w:rFonts w:ascii="Times New Roman" w:eastAsia="Times New Roman"/>
                <w:sz w:val="21"/>
              </w:rPr>
              <w:t>3</w:t>
            </w:r>
            <w:r>
              <w:rPr>
                <w:sz w:val="21"/>
              </w:rPr>
              <w:t>）持审验不合格的驾驶证驾驶；</w:t>
            </w:r>
          </w:p>
          <w:p>
            <w:pPr>
              <w:pStyle w:val="TableParagraph"/>
              <w:spacing w:before="25"/>
              <w:ind w:left="52"/>
              <w:rPr>
                <w:sz w:val="21"/>
              </w:rPr>
            </w:pPr>
            <w:r>
              <w:rPr>
                <w:sz w:val="21"/>
              </w:rPr>
              <w:t>（</w:t>
            </w:r>
            <w:r>
              <w:rPr>
                <w:rFonts w:ascii="Times New Roman" w:eastAsia="Times New Roman"/>
                <w:sz w:val="21"/>
              </w:rPr>
              <w:t>4</w:t>
            </w:r>
            <w:r>
              <w:rPr>
                <w:sz w:val="21"/>
              </w:rPr>
              <w:t>）持学习驾驶证学习驾车时，无教练员随车指导，或不按指定时间、路线学习驾车。</w:t>
            </w:r>
          </w:p>
        </w:tc>
      </w:tr>
      <w:tr>
        <w:trPr>
          <w:trHeight w:val="960" w:hRule="atLeast"/>
        </w:trPr>
        <w:tc>
          <w:tcPr>
            <w:tcW w:w="1537" w:type="dxa"/>
          </w:tcPr>
          <w:p>
            <w:pPr>
              <w:pStyle w:val="TableParagraph"/>
              <w:spacing w:line="275" w:lineRule="exact" w:before="0"/>
              <w:rPr>
                <w:sz w:val="21"/>
              </w:rPr>
            </w:pPr>
            <w:r>
              <w:rPr>
                <w:sz w:val="21"/>
              </w:rPr>
              <w:t>无有效行驶证</w:t>
            </w:r>
          </w:p>
        </w:tc>
        <w:tc>
          <w:tcPr>
            <w:tcW w:w="315" w:type="dxa"/>
          </w:tcPr>
          <w:p>
            <w:pPr>
              <w:pStyle w:val="TableParagraph"/>
              <w:spacing w:line="275" w:lineRule="exact" w:before="0"/>
              <w:ind w:left="0"/>
              <w:jc w:val="center"/>
              <w:rPr>
                <w:sz w:val="21"/>
              </w:rPr>
            </w:pPr>
            <w:r>
              <w:rPr>
                <w:w w:val="100"/>
                <w:sz w:val="21"/>
              </w:rPr>
              <w:t>：</w:t>
            </w:r>
          </w:p>
        </w:tc>
        <w:tc>
          <w:tcPr>
            <w:tcW w:w="8549" w:type="dxa"/>
          </w:tcPr>
          <w:p>
            <w:pPr>
              <w:pStyle w:val="TableParagraph"/>
              <w:spacing w:line="275" w:lineRule="exact" w:before="0"/>
              <w:ind w:left="52"/>
              <w:rPr>
                <w:sz w:val="21"/>
              </w:rPr>
            </w:pPr>
            <w:r>
              <w:rPr>
                <w:sz w:val="21"/>
              </w:rPr>
              <w:t>指下列情形之一：</w:t>
            </w:r>
          </w:p>
          <w:p>
            <w:pPr>
              <w:pStyle w:val="TableParagraph"/>
              <w:spacing w:before="46"/>
              <w:ind w:left="52"/>
              <w:rPr>
                <w:sz w:val="21"/>
              </w:rPr>
            </w:pPr>
            <w:r>
              <w:rPr>
                <w:sz w:val="21"/>
              </w:rPr>
              <w:t>（</w:t>
            </w:r>
            <w:r>
              <w:rPr>
                <w:rFonts w:ascii="Times New Roman" w:eastAsia="Times New Roman"/>
                <w:sz w:val="21"/>
              </w:rPr>
              <w:t>1</w:t>
            </w:r>
            <w:r>
              <w:rPr>
                <w:sz w:val="21"/>
              </w:rPr>
              <w:t>）机动车被依法注销登记的；</w:t>
            </w:r>
          </w:p>
          <w:p>
            <w:pPr>
              <w:pStyle w:val="TableParagraph"/>
              <w:spacing w:before="26"/>
              <w:ind w:left="52"/>
              <w:rPr>
                <w:sz w:val="21"/>
              </w:rPr>
            </w:pPr>
            <w:r>
              <w:rPr>
                <w:sz w:val="21"/>
              </w:rPr>
              <w:t>（</w:t>
            </w:r>
            <w:r>
              <w:rPr>
                <w:rFonts w:ascii="Times New Roman" w:eastAsia="Times New Roman"/>
                <w:sz w:val="21"/>
              </w:rPr>
              <w:t>2</w:t>
            </w:r>
            <w:r>
              <w:rPr>
                <w:sz w:val="21"/>
              </w:rPr>
              <w:t>）未依法按时进行或通过机动车安全技术检验。</w:t>
            </w:r>
          </w:p>
        </w:tc>
      </w:tr>
      <w:tr>
        <w:trPr>
          <w:trHeight w:val="1281" w:hRule="atLeast"/>
        </w:trPr>
        <w:tc>
          <w:tcPr>
            <w:tcW w:w="1537" w:type="dxa"/>
          </w:tcPr>
          <w:p>
            <w:pPr>
              <w:pStyle w:val="TableParagraph"/>
              <w:spacing w:line="280" w:lineRule="auto" w:before="0"/>
              <w:ind w:right="49"/>
              <w:rPr>
                <w:sz w:val="21"/>
              </w:rPr>
            </w:pPr>
            <w:r>
              <w:rPr>
                <w:sz w:val="21"/>
              </w:rPr>
              <w:t>感染艾滋病病毒或患艾滋病</w:t>
            </w:r>
          </w:p>
        </w:tc>
        <w:tc>
          <w:tcPr>
            <w:tcW w:w="315" w:type="dxa"/>
          </w:tcPr>
          <w:p>
            <w:pPr>
              <w:pStyle w:val="TableParagraph"/>
              <w:spacing w:line="275" w:lineRule="exact" w:before="0"/>
              <w:ind w:left="0"/>
              <w:jc w:val="center"/>
              <w:rPr>
                <w:sz w:val="21"/>
              </w:rPr>
            </w:pPr>
            <w:r>
              <w:rPr>
                <w:w w:val="100"/>
                <w:sz w:val="21"/>
              </w:rPr>
              <w:t>：</w:t>
            </w:r>
          </w:p>
        </w:tc>
        <w:tc>
          <w:tcPr>
            <w:tcW w:w="8549" w:type="dxa"/>
          </w:tcPr>
          <w:p>
            <w:pPr>
              <w:pStyle w:val="TableParagraph"/>
              <w:spacing w:line="266" w:lineRule="auto" w:before="0"/>
              <w:ind w:left="52" w:right="203"/>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spacing w:before="0"/>
              <w:ind w:left="52"/>
              <w:rPr>
                <w:sz w:val="21"/>
              </w:rPr>
            </w:pPr>
            <w:r>
              <w:rPr>
                <w:sz w:val="21"/>
              </w:rPr>
              <w:t>在人体血液或其他样本中检测到艾滋病病毒或其抗体呈阳性，没有出现临床症状或体征的</w:t>
            </w:r>
          </w:p>
          <w:p>
            <w:pPr>
              <w:pStyle w:val="TableParagraph"/>
              <w:spacing w:before="46"/>
              <w:ind w:left="52"/>
              <w:rPr>
                <w:sz w:val="21"/>
              </w:rPr>
            </w:pPr>
            <w:r>
              <w:rPr>
                <w:sz w:val="21"/>
              </w:rPr>
              <w:t>为感染艾滋病病毒；如果同时出现了明显临床症状或体征的，为患艾滋病。</w:t>
            </w:r>
          </w:p>
        </w:tc>
      </w:tr>
      <w:tr>
        <w:trPr>
          <w:trHeight w:val="638" w:hRule="atLeast"/>
        </w:trPr>
        <w:tc>
          <w:tcPr>
            <w:tcW w:w="1537" w:type="dxa"/>
          </w:tcPr>
          <w:p>
            <w:pPr>
              <w:pStyle w:val="TableParagraph"/>
              <w:spacing w:before="0"/>
              <w:rPr>
                <w:sz w:val="21"/>
              </w:rPr>
            </w:pPr>
            <w:r>
              <w:rPr>
                <w:sz w:val="21"/>
              </w:rPr>
              <w:t>遗传性疾病</w:t>
            </w:r>
          </w:p>
        </w:tc>
        <w:tc>
          <w:tcPr>
            <w:tcW w:w="315" w:type="dxa"/>
          </w:tcPr>
          <w:p>
            <w:pPr>
              <w:pStyle w:val="TableParagraph"/>
              <w:spacing w:before="0"/>
              <w:ind w:left="0"/>
              <w:jc w:val="center"/>
              <w:rPr>
                <w:sz w:val="21"/>
              </w:rPr>
            </w:pPr>
            <w:r>
              <w:rPr>
                <w:w w:val="100"/>
                <w:sz w:val="21"/>
              </w:rPr>
              <w:t>：</w:t>
            </w:r>
          </w:p>
        </w:tc>
        <w:tc>
          <w:tcPr>
            <w:tcW w:w="8549" w:type="dxa"/>
          </w:tcPr>
          <w:p>
            <w:pPr>
              <w:pStyle w:val="TableParagraph"/>
              <w:spacing w:before="0"/>
              <w:ind w:left="52"/>
              <w:rPr>
                <w:sz w:val="21"/>
              </w:rPr>
            </w:pPr>
            <w:r>
              <w:rPr>
                <w:sz w:val="21"/>
              </w:rPr>
              <w:t>指生殖细胞或受精卵的遗传物质（染色体和基因）发生突变或畸变所引起的疾病，通常具</w:t>
            </w:r>
          </w:p>
          <w:p>
            <w:pPr>
              <w:pStyle w:val="TableParagraph"/>
              <w:spacing w:before="42"/>
              <w:ind w:left="52"/>
              <w:rPr>
                <w:sz w:val="21"/>
              </w:rPr>
            </w:pPr>
            <w:r>
              <w:rPr>
                <w:sz w:val="21"/>
              </w:rPr>
              <w:t>有由亲代传至后代的垂直传递的特征。</w:t>
            </w:r>
          </w:p>
        </w:tc>
      </w:tr>
      <w:tr>
        <w:trPr>
          <w:trHeight w:val="960" w:hRule="atLeast"/>
        </w:trPr>
        <w:tc>
          <w:tcPr>
            <w:tcW w:w="1537" w:type="dxa"/>
          </w:tcPr>
          <w:p>
            <w:pPr>
              <w:pStyle w:val="TableParagraph"/>
              <w:spacing w:line="275" w:lineRule="exact" w:before="0"/>
              <w:rPr>
                <w:sz w:val="21"/>
              </w:rPr>
            </w:pPr>
            <w:r>
              <w:rPr>
                <w:sz w:val="21"/>
              </w:rPr>
              <w:t>先天性畸形、</w:t>
            </w:r>
          </w:p>
          <w:p>
            <w:pPr>
              <w:pStyle w:val="TableParagraph"/>
              <w:spacing w:line="310" w:lineRule="atLeast" w:before="11"/>
              <w:ind w:right="49"/>
              <w:rPr>
                <w:sz w:val="21"/>
              </w:rPr>
            </w:pPr>
            <w:r>
              <w:rPr>
                <w:sz w:val="21"/>
              </w:rPr>
              <w:t>变形或染色体异常</w:t>
            </w:r>
          </w:p>
        </w:tc>
        <w:tc>
          <w:tcPr>
            <w:tcW w:w="315" w:type="dxa"/>
          </w:tcPr>
          <w:p>
            <w:pPr>
              <w:pStyle w:val="TableParagraph"/>
              <w:spacing w:line="275" w:lineRule="exact" w:before="0"/>
              <w:ind w:left="0"/>
              <w:jc w:val="center"/>
              <w:rPr>
                <w:sz w:val="21"/>
              </w:rPr>
            </w:pPr>
            <w:r>
              <w:rPr>
                <w:w w:val="100"/>
                <w:sz w:val="21"/>
              </w:rPr>
              <w:t>：</w:t>
            </w:r>
          </w:p>
        </w:tc>
        <w:tc>
          <w:tcPr>
            <w:tcW w:w="8549" w:type="dxa"/>
          </w:tcPr>
          <w:p>
            <w:pPr>
              <w:pStyle w:val="TableParagraph"/>
              <w:spacing w:line="280" w:lineRule="auto" w:before="0"/>
              <w:ind w:left="52" w:right="203"/>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640" w:hRule="atLeast"/>
        </w:trPr>
        <w:tc>
          <w:tcPr>
            <w:tcW w:w="1537" w:type="dxa"/>
          </w:tcPr>
          <w:p>
            <w:pPr>
              <w:pStyle w:val="TableParagraph"/>
              <w:spacing w:before="0"/>
              <w:rPr>
                <w:sz w:val="21"/>
              </w:rPr>
            </w:pPr>
            <w:r>
              <w:rPr>
                <w:sz w:val="21"/>
              </w:rPr>
              <w:t>现金价值</w:t>
            </w:r>
          </w:p>
        </w:tc>
        <w:tc>
          <w:tcPr>
            <w:tcW w:w="315" w:type="dxa"/>
          </w:tcPr>
          <w:p>
            <w:pPr>
              <w:pStyle w:val="TableParagraph"/>
              <w:spacing w:before="0"/>
              <w:ind w:left="0"/>
              <w:jc w:val="center"/>
              <w:rPr>
                <w:sz w:val="21"/>
              </w:rPr>
            </w:pPr>
            <w:r>
              <w:rPr>
                <w:w w:val="100"/>
                <w:sz w:val="21"/>
              </w:rPr>
              <w:t>：</w:t>
            </w:r>
          </w:p>
        </w:tc>
        <w:tc>
          <w:tcPr>
            <w:tcW w:w="8549" w:type="dxa"/>
          </w:tcPr>
          <w:p>
            <w:pPr>
              <w:pStyle w:val="TableParagraph"/>
              <w:spacing w:before="0"/>
              <w:ind w:left="52"/>
              <w:rPr>
                <w:sz w:val="21"/>
              </w:rPr>
            </w:pPr>
            <w:r>
              <w:rPr>
                <w:sz w:val="21"/>
              </w:rPr>
              <w:t>指保险单所具有的价值，通常体现为解除合同时，根据精算原理计算的，由本公司退还的</w:t>
            </w:r>
          </w:p>
          <w:p>
            <w:pPr>
              <w:pStyle w:val="TableParagraph"/>
              <w:spacing w:before="47"/>
              <w:ind w:left="52"/>
              <w:rPr>
                <w:sz w:val="21"/>
              </w:rPr>
            </w:pPr>
            <w:r>
              <w:rPr>
                <w:sz w:val="21"/>
              </w:rPr>
              <w:t>那部分金额。</w:t>
            </w:r>
          </w:p>
        </w:tc>
      </w:tr>
      <w:tr>
        <w:trPr>
          <w:trHeight w:val="640" w:hRule="atLeast"/>
        </w:trPr>
        <w:tc>
          <w:tcPr>
            <w:tcW w:w="1537" w:type="dxa"/>
          </w:tcPr>
          <w:p>
            <w:pPr>
              <w:pStyle w:val="TableParagraph"/>
              <w:spacing w:line="272" w:lineRule="exact" w:before="0"/>
              <w:rPr>
                <w:sz w:val="21"/>
              </w:rPr>
            </w:pPr>
            <w:r>
              <w:rPr>
                <w:sz w:val="21"/>
              </w:rPr>
              <w:t>保单年度</w:t>
            </w:r>
          </w:p>
        </w:tc>
        <w:tc>
          <w:tcPr>
            <w:tcW w:w="315" w:type="dxa"/>
          </w:tcPr>
          <w:p>
            <w:pPr>
              <w:pStyle w:val="TableParagraph"/>
              <w:spacing w:line="272" w:lineRule="exact" w:before="0"/>
              <w:ind w:left="0"/>
              <w:jc w:val="center"/>
              <w:rPr>
                <w:sz w:val="21"/>
              </w:rPr>
            </w:pPr>
            <w:r>
              <w:rPr>
                <w:w w:val="100"/>
                <w:sz w:val="21"/>
              </w:rPr>
              <w:t>：</w:t>
            </w:r>
          </w:p>
        </w:tc>
        <w:tc>
          <w:tcPr>
            <w:tcW w:w="8549" w:type="dxa"/>
          </w:tcPr>
          <w:p>
            <w:pPr>
              <w:pStyle w:val="TableParagraph"/>
              <w:spacing w:line="288" w:lineRule="exact" w:before="0"/>
              <w:ind w:left="52"/>
              <w:rPr>
                <w:sz w:val="21"/>
              </w:rPr>
            </w:pPr>
            <w:r>
              <w:rPr>
                <w:sz w:val="21"/>
              </w:rPr>
              <w:t>合同生效日 </w:t>
            </w:r>
            <w:r>
              <w:rPr>
                <w:rFonts w:ascii="Times New Roman" w:eastAsia="Times New Roman"/>
                <w:sz w:val="21"/>
              </w:rPr>
              <w:t>24 </w:t>
            </w:r>
            <w:r>
              <w:rPr>
                <w:sz w:val="21"/>
              </w:rPr>
              <w:t>时起至第一个保单周年日 </w:t>
            </w:r>
            <w:r>
              <w:rPr>
                <w:rFonts w:ascii="Times New Roman" w:eastAsia="Times New Roman"/>
                <w:sz w:val="21"/>
              </w:rPr>
              <w:t>24 </w:t>
            </w:r>
            <w:r>
              <w:rPr>
                <w:sz w:val="21"/>
              </w:rPr>
              <w:t>时止为第一个保单年度，此后每个保单周年日</w:t>
            </w:r>
          </w:p>
          <w:p>
            <w:pPr>
              <w:pStyle w:val="TableParagraph"/>
              <w:spacing w:before="31"/>
              <w:ind w:left="52"/>
              <w:rPr>
                <w:sz w:val="21"/>
              </w:rPr>
            </w:pPr>
            <w:r>
              <w:rPr>
                <w:rFonts w:ascii="Times New Roman" w:eastAsia="Times New Roman"/>
                <w:sz w:val="21"/>
              </w:rPr>
              <w:t>24 </w:t>
            </w:r>
            <w:r>
              <w:rPr>
                <w:sz w:val="21"/>
              </w:rPr>
              <w:t>时起至下一保单周年日 </w:t>
            </w:r>
            <w:r>
              <w:rPr>
                <w:rFonts w:ascii="Times New Roman" w:eastAsia="Times New Roman"/>
                <w:sz w:val="21"/>
              </w:rPr>
              <w:t>24 </w:t>
            </w:r>
            <w:r>
              <w:rPr>
                <w:sz w:val="21"/>
              </w:rPr>
              <w:t>时止为一个保单年度。</w:t>
            </w:r>
          </w:p>
        </w:tc>
      </w:tr>
      <w:tr>
        <w:trPr>
          <w:trHeight w:val="638" w:hRule="atLeast"/>
        </w:trPr>
        <w:tc>
          <w:tcPr>
            <w:tcW w:w="1537" w:type="dxa"/>
          </w:tcPr>
          <w:p>
            <w:pPr>
              <w:pStyle w:val="TableParagraph"/>
              <w:spacing w:line="275" w:lineRule="exact" w:before="0"/>
              <w:rPr>
                <w:sz w:val="21"/>
              </w:rPr>
            </w:pPr>
            <w:r>
              <w:rPr>
                <w:sz w:val="21"/>
              </w:rPr>
              <w:t>肢体机能完全</w:t>
            </w:r>
          </w:p>
          <w:p>
            <w:pPr>
              <w:pStyle w:val="TableParagraph"/>
              <w:spacing w:before="42"/>
              <w:rPr>
                <w:sz w:val="21"/>
              </w:rPr>
            </w:pPr>
            <w:r>
              <w:rPr>
                <w:sz w:val="21"/>
              </w:rPr>
              <w:t>丧失</w:t>
            </w:r>
          </w:p>
        </w:tc>
        <w:tc>
          <w:tcPr>
            <w:tcW w:w="315" w:type="dxa"/>
          </w:tcPr>
          <w:p>
            <w:pPr>
              <w:pStyle w:val="TableParagraph"/>
              <w:spacing w:line="275" w:lineRule="exact" w:before="0"/>
              <w:ind w:left="0"/>
              <w:jc w:val="center"/>
              <w:rPr>
                <w:sz w:val="21"/>
              </w:rPr>
            </w:pPr>
            <w:r>
              <w:rPr>
                <w:w w:val="100"/>
                <w:sz w:val="21"/>
              </w:rPr>
              <w:t>：</w:t>
            </w:r>
          </w:p>
        </w:tc>
        <w:tc>
          <w:tcPr>
            <w:tcW w:w="8549" w:type="dxa"/>
          </w:tcPr>
          <w:p>
            <w:pPr>
              <w:pStyle w:val="TableParagraph"/>
              <w:spacing w:line="275" w:lineRule="exact" w:before="0"/>
              <w:ind w:left="52"/>
              <w:rPr>
                <w:sz w:val="21"/>
              </w:rPr>
            </w:pPr>
            <w:r>
              <w:rPr>
                <w:sz w:val="21"/>
              </w:rPr>
              <w:t>指肢体的三大关节中的两大关节僵硬，或不能随意识活动。肢体是指包括肩关节的整个上</w:t>
            </w:r>
          </w:p>
          <w:p>
            <w:pPr>
              <w:pStyle w:val="TableParagraph"/>
              <w:spacing w:before="42"/>
              <w:ind w:left="52"/>
              <w:rPr>
                <w:sz w:val="21"/>
              </w:rPr>
            </w:pPr>
            <w:r>
              <w:rPr>
                <w:sz w:val="21"/>
              </w:rPr>
              <w:t>肢或包括髋关节的整个下肢。</w:t>
            </w:r>
          </w:p>
        </w:tc>
      </w:tr>
      <w:tr>
        <w:trPr>
          <w:trHeight w:val="640" w:hRule="atLeast"/>
        </w:trPr>
        <w:tc>
          <w:tcPr>
            <w:tcW w:w="1537" w:type="dxa"/>
          </w:tcPr>
          <w:p>
            <w:pPr>
              <w:pStyle w:val="TableParagraph"/>
              <w:spacing w:line="275" w:lineRule="exact" w:before="0"/>
              <w:rPr>
                <w:sz w:val="21"/>
              </w:rPr>
            </w:pPr>
            <w:r>
              <w:rPr>
                <w:sz w:val="21"/>
              </w:rPr>
              <w:t>语言能力完全</w:t>
            </w:r>
          </w:p>
          <w:p>
            <w:pPr>
              <w:pStyle w:val="TableParagraph"/>
              <w:spacing w:before="46"/>
              <w:rPr>
                <w:sz w:val="21"/>
              </w:rPr>
            </w:pPr>
            <w:r>
              <w:rPr>
                <w:sz w:val="21"/>
              </w:rPr>
              <w:t>丧失</w:t>
            </w:r>
          </w:p>
        </w:tc>
        <w:tc>
          <w:tcPr>
            <w:tcW w:w="315" w:type="dxa"/>
          </w:tcPr>
          <w:p>
            <w:pPr>
              <w:pStyle w:val="TableParagraph"/>
              <w:spacing w:line="275" w:lineRule="exact" w:before="0"/>
              <w:ind w:left="0"/>
              <w:jc w:val="center"/>
              <w:rPr>
                <w:sz w:val="21"/>
              </w:rPr>
            </w:pPr>
            <w:r>
              <w:rPr>
                <w:w w:val="100"/>
                <w:sz w:val="21"/>
              </w:rPr>
              <w:t>：</w:t>
            </w:r>
          </w:p>
        </w:tc>
        <w:tc>
          <w:tcPr>
            <w:tcW w:w="8549" w:type="dxa"/>
          </w:tcPr>
          <w:p>
            <w:pPr>
              <w:pStyle w:val="TableParagraph"/>
              <w:spacing w:line="275" w:lineRule="exact" w:before="0"/>
              <w:ind w:left="52"/>
              <w:rPr>
                <w:sz w:val="21"/>
              </w:rPr>
            </w:pPr>
            <w:r>
              <w:rPr>
                <w:sz w:val="21"/>
              </w:rPr>
              <w:t>指无法发出四种语音（包括口唇音、齿舌音、口盖音和喉头音）中的任何三种、或声带全</w:t>
            </w:r>
          </w:p>
          <w:p>
            <w:pPr>
              <w:pStyle w:val="TableParagraph"/>
              <w:spacing w:before="46"/>
              <w:ind w:left="52"/>
              <w:rPr>
                <w:sz w:val="21"/>
              </w:rPr>
            </w:pPr>
            <w:r>
              <w:rPr>
                <w:sz w:val="21"/>
              </w:rPr>
              <w:t>部切除，或因大脑语言中枢受伤害而患失语症。</w:t>
            </w:r>
          </w:p>
        </w:tc>
      </w:tr>
      <w:tr>
        <w:trPr>
          <w:trHeight w:val="640" w:hRule="atLeast"/>
        </w:trPr>
        <w:tc>
          <w:tcPr>
            <w:tcW w:w="1537" w:type="dxa"/>
          </w:tcPr>
          <w:p>
            <w:pPr>
              <w:pStyle w:val="TableParagraph"/>
              <w:spacing w:line="272" w:lineRule="exact" w:before="0"/>
              <w:rPr>
                <w:sz w:val="21"/>
              </w:rPr>
            </w:pPr>
            <w:r>
              <w:rPr>
                <w:sz w:val="21"/>
              </w:rPr>
              <w:t>咀嚼吞咽能力</w:t>
            </w:r>
          </w:p>
          <w:p>
            <w:pPr>
              <w:pStyle w:val="TableParagraph"/>
              <w:spacing w:before="46"/>
              <w:rPr>
                <w:sz w:val="21"/>
              </w:rPr>
            </w:pPr>
            <w:r>
              <w:rPr>
                <w:sz w:val="21"/>
              </w:rPr>
              <w:t>完全丧失</w:t>
            </w:r>
          </w:p>
        </w:tc>
        <w:tc>
          <w:tcPr>
            <w:tcW w:w="315" w:type="dxa"/>
          </w:tcPr>
          <w:p>
            <w:pPr>
              <w:pStyle w:val="TableParagraph"/>
              <w:spacing w:line="272" w:lineRule="exact" w:before="0"/>
              <w:ind w:left="0"/>
              <w:jc w:val="center"/>
              <w:rPr>
                <w:sz w:val="21"/>
              </w:rPr>
            </w:pPr>
            <w:r>
              <w:rPr>
                <w:w w:val="100"/>
                <w:sz w:val="21"/>
              </w:rPr>
              <w:t>：</w:t>
            </w:r>
          </w:p>
        </w:tc>
        <w:tc>
          <w:tcPr>
            <w:tcW w:w="8549" w:type="dxa"/>
          </w:tcPr>
          <w:p>
            <w:pPr>
              <w:pStyle w:val="TableParagraph"/>
              <w:spacing w:line="272" w:lineRule="exact" w:before="0"/>
              <w:ind w:left="52"/>
              <w:rPr>
                <w:sz w:val="21"/>
              </w:rPr>
            </w:pPr>
            <w:r>
              <w:rPr>
                <w:sz w:val="21"/>
              </w:rPr>
              <w:t>指因牙齿以外的原因导致器质障碍或机能障碍，以致不能作咀嚼吞咽运动，除流质食物外</w:t>
            </w:r>
          </w:p>
          <w:p>
            <w:pPr>
              <w:pStyle w:val="TableParagraph"/>
              <w:spacing w:before="46"/>
              <w:ind w:left="52"/>
              <w:rPr>
                <w:sz w:val="21"/>
              </w:rPr>
            </w:pPr>
            <w:r>
              <w:rPr>
                <w:sz w:val="21"/>
              </w:rPr>
              <w:t>不能摄取或吞咽的状态。</w:t>
            </w:r>
          </w:p>
        </w:tc>
      </w:tr>
      <w:tr>
        <w:trPr>
          <w:trHeight w:val="2240" w:hRule="atLeast"/>
        </w:trPr>
        <w:tc>
          <w:tcPr>
            <w:tcW w:w="1537" w:type="dxa"/>
          </w:tcPr>
          <w:p>
            <w:pPr>
              <w:pStyle w:val="TableParagraph"/>
              <w:spacing w:line="276" w:lineRule="auto" w:before="0"/>
              <w:ind w:right="49"/>
              <w:rPr>
                <w:sz w:val="21"/>
              </w:rPr>
            </w:pPr>
            <w:r>
              <w:rPr>
                <w:sz w:val="21"/>
              </w:rPr>
              <w:t>六项基本日常生活活动</w:t>
            </w:r>
          </w:p>
        </w:tc>
        <w:tc>
          <w:tcPr>
            <w:tcW w:w="315" w:type="dxa"/>
          </w:tcPr>
          <w:p>
            <w:pPr>
              <w:pStyle w:val="TableParagraph"/>
              <w:spacing w:before="0"/>
              <w:ind w:left="0"/>
              <w:jc w:val="center"/>
              <w:rPr>
                <w:sz w:val="21"/>
              </w:rPr>
            </w:pPr>
            <w:r>
              <w:rPr>
                <w:w w:val="100"/>
                <w:sz w:val="21"/>
              </w:rPr>
              <w:t>：</w:t>
            </w:r>
          </w:p>
        </w:tc>
        <w:tc>
          <w:tcPr>
            <w:tcW w:w="8549" w:type="dxa"/>
          </w:tcPr>
          <w:p>
            <w:pPr>
              <w:pStyle w:val="TableParagraph"/>
              <w:spacing w:before="0"/>
              <w:ind w:left="52"/>
              <w:rPr>
                <w:sz w:val="21"/>
              </w:rPr>
            </w:pPr>
            <w:r>
              <w:rPr>
                <w:sz w:val="21"/>
              </w:rPr>
              <w:t>六项基本日常生活活动是指：</w:t>
            </w:r>
          </w:p>
          <w:p>
            <w:pPr>
              <w:pStyle w:val="TableParagraph"/>
              <w:spacing w:before="42"/>
              <w:ind w:left="52"/>
              <w:rPr>
                <w:sz w:val="21"/>
              </w:rPr>
            </w:pPr>
            <w:r>
              <w:rPr>
                <w:sz w:val="21"/>
              </w:rPr>
              <w:t>（</w:t>
            </w:r>
            <w:r>
              <w:rPr>
                <w:rFonts w:ascii="Times New Roman" w:eastAsia="Times New Roman"/>
                <w:sz w:val="21"/>
              </w:rPr>
              <w:t>1</w:t>
            </w:r>
            <w:r>
              <w:rPr>
                <w:sz w:val="21"/>
              </w:rPr>
              <w:t>）穿衣：自己能够穿衣及脱衣；</w:t>
            </w:r>
          </w:p>
          <w:p>
            <w:pPr>
              <w:pStyle w:val="TableParagraph"/>
              <w:spacing w:before="31"/>
              <w:ind w:left="52"/>
              <w:rPr>
                <w:sz w:val="21"/>
              </w:rPr>
            </w:pPr>
            <w:r>
              <w:rPr>
                <w:sz w:val="21"/>
              </w:rPr>
              <w:t>（</w:t>
            </w:r>
            <w:r>
              <w:rPr>
                <w:rFonts w:ascii="Times New Roman" w:eastAsia="Times New Roman"/>
                <w:sz w:val="21"/>
              </w:rPr>
              <w:t>2</w:t>
            </w:r>
            <w:r>
              <w:rPr>
                <w:sz w:val="21"/>
              </w:rPr>
              <w:t>）移动：自己从一个房间到另一个房间；</w:t>
            </w:r>
          </w:p>
          <w:p>
            <w:pPr>
              <w:pStyle w:val="TableParagraph"/>
              <w:spacing w:before="31"/>
              <w:ind w:left="52"/>
              <w:rPr>
                <w:sz w:val="21"/>
              </w:rPr>
            </w:pPr>
            <w:r>
              <w:rPr>
                <w:sz w:val="21"/>
              </w:rPr>
              <w:t>（</w:t>
            </w:r>
            <w:r>
              <w:rPr>
                <w:rFonts w:ascii="Times New Roman" w:eastAsia="Times New Roman"/>
                <w:sz w:val="21"/>
              </w:rPr>
              <w:t>3</w:t>
            </w:r>
            <w:r>
              <w:rPr>
                <w:sz w:val="21"/>
              </w:rPr>
              <w:t>）行动：自己上下床或上下轮椅；</w:t>
            </w:r>
          </w:p>
          <w:p>
            <w:pPr>
              <w:pStyle w:val="TableParagraph"/>
              <w:spacing w:before="26"/>
              <w:ind w:left="52"/>
              <w:rPr>
                <w:sz w:val="21"/>
              </w:rPr>
            </w:pPr>
            <w:r>
              <w:rPr>
                <w:sz w:val="21"/>
              </w:rPr>
              <w:t>（</w:t>
            </w:r>
            <w:r>
              <w:rPr>
                <w:rFonts w:ascii="Times New Roman" w:eastAsia="Times New Roman"/>
                <w:sz w:val="21"/>
              </w:rPr>
              <w:t>4</w:t>
            </w:r>
            <w:r>
              <w:rPr>
                <w:sz w:val="21"/>
              </w:rPr>
              <w:t>）如厕：自己控制进行大小便；</w:t>
            </w:r>
          </w:p>
          <w:p>
            <w:pPr>
              <w:pStyle w:val="TableParagraph"/>
              <w:spacing w:before="31"/>
              <w:ind w:left="52"/>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30"/>
              <w:ind w:left="52"/>
              <w:rPr>
                <w:sz w:val="21"/>
              </w:rPr>
            </w:pPr>
            <w:r>
              <w:rPr>
                <w:sz w:val="21"/>
              </w:rPr>
              <w:t>（</w:t>
            </w:r>
            <w:r>
              <w:rPr>
                <w:rFonts w:ascii="Times New Roman" w:eastAsia="Times New Roman"/>
                <w:sz w:val="21"/>
              </w:rPr>
              <w:t>6</w:t>
            </w:r>
            <w:r>
              <w:rPr>
                <w:sz w:val="21"/>
              </w:rPr>
              <w:t>）洗澡：自己进行淋浴或盆浴。</w:t>
            </w:r>
          </w:p>
        </w:tc>
      </w:tr>
      <w:tr>
        <w:trPr>
          <w:trHeight w:val="621" w:hRule="atLeast"/>
        </w:trPr>
        <w:tc>
          <w:tcPr>
            <w:tcW w:w="1537" w:type="dxa"/>
          </w:tcPr>
          <w:p>
            <w:pPr>
              <w:pStyle w:val="TableParagraph"/>
              <w:spacing w:line="272" w:lineRule="exact" w:before="0"/>
              <w:rPr>
                <w:sz w:val="21"/>
              </w:rPr>
            </w:pPr>
            <w:r>
              <w:rPr>
                <w:sz w:val="21"/>
              </w:rPr>
              <w:t>永久不可逆</w:t>
            </w:r>
          </w:p>
        </w:tc>
        <w:tc>
          <w:tcPr>
            <w:tcW w:w="315" w:type="dxa"/>
          </w:tcPr>
          <w:p>
            <w:pPr>
              <w:pStyle w:val="TableParagraph"/>
              <w:spacing w:line="272" w:lineRule="exact" w:before="0"/>
              <w:ind w:left="0"/>
              <w:jc w:val="center"/>
              <w:rPr>
                <w:sz w:val="21"/>
              </w:rPr>
            </w:pPr>
            <w:r>
              <w:rPr>
                <w:w w:val="100"/>
                <w:sz w:val="21"/>
              </w:rPr>
              <w:t>：</w:t>
            </w:r>
          </w:p>
        </w:tc>
        <w:tc>
          <w:tcPr>
            <w:tcW w:w="8549" w:type="dxa"/>
          </w:tcPr>
          <w:p>
            <w:pPr>
              <w:pStyle w:val="TableParagraph"/>
              <w:spacing w:line="288" w:lineRule="exact" w:before="0"/>
              <w:ind w:left="52"/>
              <w:rPr>
                <w:sz w:val="21"/>
              </w:rPr>
            </w:pPr>
            <w:r>
              <w:rPr>
                <w:sz w:val="21"/>
              </w:rPr>
              <w:t>指自疾病确诊或意外伤害发生之日起，经过积极治疗 </w:t>
            </w:r>
            <w:r>
              <w:rPr>
                <w:rFonts w:ascii="Times New Roman" w:eastAsia="Times New Roman"/>
                <w:sz w:val="21"/>
              </w:rPr>
              <w:t>180  </w:t>
            </w:r>
            <w:r>
              <w:rPr>
                <w:sz w:val="21"/>
              </w:rPr>
              <w:t>天，仍无法通过现有医疗手段恢</w:t>
            </w:r>
          </w:p>
          <w:p>
            <w:pPr>
              <w:pStyle w:val="TableParagraph"/>
              <w:spacing w:before="31"/>
              <w:ind w:left="52"/>
              <w:rPr>
                <w:sz w:val="21"/>
              </w:rPr>
            </w:pPr>
            <w:r>
              <w:rPr>
                <w:sz w:val="21"/>
              </w:rPr>
              <w:t>复。</w:t>
            </w:r>
          </w:p>
        </w:tc>
      </w:tr>
    </w:tbl>
    <w:sectPr>
      <w:pgSz w:w="11910" w:h="16840"/>
      <w:pgMar w:header="0" w:footer="496" w:top="860" w:bottom="680" w:left="8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5.664001pt;margin-top:802.122498pt;width:180.15pt;height:11.15pt;mso-position-horizontal-relative:page;mso-position-vertical-relative:page;z-index:-33088" type="#_x0000_t202" filled="false" stroked="false">
          <v:textbox inset="0,0,0,0">
            <w:txbxContent>
              <w:p>
                <w:pPr>
                  <w:spacing w:line="202" w:lineRule="exact" w:before="0"/>
                  <w:ind w:left="20" w:right="0" w:firstLine="0"/>
                  <w:jc w:val="left"/>
                  <w:rPr>
                    <w:sz w:val="18"/>
                  </w:rPr>
                </w:pPr>
                <w:r>
                  <w:rPr>
                    <w:spacing w:val="-8"/>
                    <w:sz w:val="18"/>
                  </w:rPr>
                  <w:t>《附加重大疾病保险 </w:t>
                </w:r>
                <w:r>
                  <w:rPr>
                    <w:sz w:val="18"/>
                  </w:rPr>
                  <w:t>B</w:t>
                </w:r>
                <w:r>
                  <w:rPr>
                    <w:spacing w:val="-16"/>
                    <w:sz w:val="18"/>
                  </w:rPr>
                  <w:t> 款》</w:t>
                </w:r>
                <w:r>
                  <w:rPr>
                    <w:sz w:val="18"/>
                  </w:rPr>
                  <w:t>2013</w:t>
                </w:r>
                <w:r>
                  <w:rPr>
                    <w:spacing w:val="-27"/>
                    <w:sz w:val="18"/>
                  </w:rPr>
                  <w:t> 年 </w:t>
                </w:r>
                <w:r>
                  <w:rPr>
                    <w:sz w:val="18"/>
                  </w:rPr>
                  <w:t>12</w:t>
                </w:r>
                <w:r>
                  <w:rPr>
                    <w:spacing w:val="-12"/>
                    <w:sz w:val="18"/>
                  </w:rPr>
                  <w:t> 月备案</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55.664001pt;margin-top:802.122498pt;width:180.15pt;height:11.15pt;mso-position-horizontal-relative:page;mso-position-vertical-relative:page;z-index:-33064" type="#_x0000_t202" filled="false" stroked="false">
          <v:textbox inset="0,0,0,0">
            <w:txbxContent>
              <w:p>
                <w:pPr>
                  <w:spacing w:line="202" w:lineRule="exact" w:before="0"/>
                  <w:ind w:left="20" w:right="0" w:firstLine="0"/>
                  <w:jc w:val="left"/>
                  <w:rPr>
                    <w:sz w:val="18"/>
                  </w:rPr>
                </w:pPr>
                <w:r>
                  <w:rPr>
                    <w:spacing w:val="-8"/>
                    <w:sz w:val="18"/>
                  </w:rPr>
                  <w:t>《附加重大疾病保险 </w:t>
                </w:r>
                <w:r>
                  <w:rPr>
                    <w:sz w:val="18"/>
                  </w:rPr>
                  <w:t>B</w:t>
                </w:r>
                <w:r>
                  <w:rPr>
                    <w:spacing w:val="-16"/>
                    <w:sz w:val="18"/>
                  </w:rPr>
                  <w:t> 款》</w:t>
                </w:r>
                <w:r>
                  <w:rPr>
                    <w:sz w:val="18"/>
                  </w:rPr>
                  <w:t>2013</w:t>
                </w:r>
                <w:r>
                  <w:rPr>
                    <w:spacing w:val="-27"/>
                    <w:sz w:val="18"/>
                  </w:rPr>
                  <w:t> 年 </w:t>
                </w:r>
                <w:r>
                  <w:rPr>
                    <w:sz w:val="18"/>
                  </w:rPr>
                  <w:t>12</w:t>
                </w:r>
                <w:r>
                  <w:rPr>
                    <w:spacing w:val="-12"/>
                    <w:sz w:val="18"/>
                  </w:rPr>
                  <w:t> 月备案</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3"/>
    </w:pPr>
    <w:rPr>
      <w:rFonts w:ascii="宋体" w:hAnsi="宋体" w:eastAsia="宋体" w:cs="宋体"/>
      <w:sz w:val="21"/>
      <w:szCs w:val="21"/>
    </w:rPr>
  </w:style>
  <w:style w:styleId="Heading1" w:type="paragraph">
    <w:name w:val="Heading 1"/>
    <w:basedOn w:val="Normal"/>
    <w:uiPriority w:val="1"/>
    <w:qFormat/>
    <w:pPr>
      <w:ind w:left="113"/>
      <w:outlineLvl w:val="1"/>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51"/>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Xu</dc:creator>
  <dc:title>太平洋安泰人寿保险有限公司</dc:title>
  <dcterms:created xsi:type="dcterms:W3CDTF">2018-10-20T03:05:07Z</dcterms:created>
  <dcterms:modified xsi:type="dcterms:W3CDTF">2018-10-20T03:05:07Z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Microsoft® Office Word 2007</vt:lpwstr>
  </property>
  <property fmtid="{D5CDD505-2E9C-101B-9397-08002B2CF9AE}" pid="4" name="LastSaved">
    <vt:filetime>2018-10-19T00:00:00Z</vt:filetime>
  </property>
</Properties>
</file>