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7"/>
        </w:rPr>
      </w:pPr>
    </w:p>
    <w:p>
      <w:pPr>
        <w:spacing w:line="506" w:lineRule="exact" w:before="0"/>
        <w:ind w:left="4116" w:right="4276" w:firstLine="0"/>
        <w:jc w:val="center"/>
        <w:rPr>
          <w:rFonts w:ascii="微软雅黑" w:eastAsia="微软雅黑" w:hint="eastAsia"/>
          <w:b/>
          <w:sz w:val="32"/>
        </w:rPr>
      </w:pPr>
      <w:r>
        <w:rPr/>
        <w:pict>
          <v:group style="position:absolute;margin-left:388.379974pt;margin-top:-61.639759pt;width:156.4pt;height:88pt;mso-position-horizontal-relative:page;mso-position-vertical-relative:paragraph;z-index:1096" coordorigin="7768,-1233" coordsize="3128,1760">
            <v:shape style="position:absolute;left:7777;top:-1233;width:3118;height:312" type="#_x0000_t75" stroked="false">
              <v:imagedata r:id="rId5" o:title=""/>
            </v:shape>
            <v:shape style="position:absolute;left:7767;top:214;width:3118;height:312" type="#_x0000_t75" stroked="false">
              <v:imagedata r:id="rId5" o:title=""/>
            </v:shape>
            <v:shape style="position:absolute;left:8782;top:-937;width:1140;height:1140" type="#_x0000_t75" stroked="false">
              <v:imagedata r:id="rId6" o:title=""/>
            </v:shape>
            <v:shapetype id="_x0000_t202" o:spt="202" coordsize="21600,21600" path="m,l,21600r21600,l21600,xe">
              <v:stroke joinstyle="miter"/>
              <v:path gradientshapeok="t" o:connecttype="rect"/>
            </v:shapetype>
            <v:shape style="position:absolute;left:8215;top:-1159;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100</w:t>
                    </w:r>
                    <w:r>
                      <w:rPr>
                        <w:spacing w:val="-22"/>
                        <w:sz w:val="16"/>
                      </w:rPr>
                      <w:t> 号</w:t>
                    </w:r>
                  </w:p>
                </w:txbxContent>
              </v:textbox>
              <w10:wrap type="none"/>
            </v:shape>
            <v:shape style="position:absolute;left:8524;top:288;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rFonts w:ascii="微软雅黑" w:eastAsia="微软雅黑" w:hint="eastAsia"/>
          <w:b/>
          <w:sz w:val="32"/>
        </w:rPr>
        <w:t>阅  读  指 引</w:t>
      </w:r>
    </w:p>
    <w:p>
      <w:pPr>
        <w:spacing w:line="479" w:lineRule="exact" w:before="100"/>
        <w:ind w:left="245" w:right="0" w:firstLine="0"/>
        <w:jc w:val="left"/>
        <w:rPr>
          <w:rFonts w:ascii="Microsoft JhengHei" w:hAnsi="Microsoft JhengHei" w:eastAsia="Microsoft JhengHei" w:hint="eastAsia"/>
          <w:b/>
          <w:sz w:val="21"/>
        </w:rPr>
      </w:pPr>
      <w:r>
        <w:rPr/>
        <w:pict>
          <v:group style="position:absolute;margin-left:52.32pt;margin-top:5.987694pt;width:498.75pt;height:656.65pt;mso-position-horizontal-relative:page;mso-position-vertical-relative:paragraph;z-index:-62944" coordorigin="1046,120" coordsize="9975,13133">
            <v:shape style="position:absolute;left:1046;top:119;width:9975;height:13133" type="#_x0000_t75" stroked="false">
              <v:imagedata r:id="rId7" o:title=""/>
            </v:shape>
            <v:rect style="position:absolute;left:1665;top:8832;width:8737;height:3506" filled="false" stroked="true" strokeweight=".75pt" strokecolor="#000000">
              <v:stroke dashstyle="shortdot"/>
            </v:rect>
            <w10:wrap type="none"/>
          </v:group>
        </w:pict>
      </w:r>
      <w:r>
        <w:rPr>
          <w:rFonts w:ascii="Arial" w:hAnsi="Arial" w:eastAsia="Arial"/>
          <w:b/>
          <w:position w:val="-11"/>
          <w:sz w:val="52"/>
        </w:rPr>
        <w:t></w:t>
      </w:r>
      <w:r>
        <w:rPr>
          <w:rFonts w:ascii="Microsoft JhengHei" w:hAnsi="Microsoft JhengHei" w:eastAsia="Microsoft JhengHei" w:hint="eastAsia"/>
          <w:b/>
          <w:sz w:val="21"/>
        </w:rPr>
        <w:t>平安附加福寿安康多重重大疾病保险产品提供重疾保障</w:t>
      </w:r>
    </w:p>
    <w:p>
      <w:pPr>
        <w:spacing w:line="38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272" w:lineRule="exact" w:before="0" w:after="0"/>
        <w:ind w:left="1191"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360" w:lineRule="exact" w:before="0" w:after="0"/>
        <w:ind w:left="1191"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360" w:lineRule="exact" w:before="0" w:after="0"/>
        <w:ind w:left="1191"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332" w:lineRule="exact" w:before="0" w:after="0"/>
        <w:ind w:left="1191" w:right="0" w:hanging="420"/>
        <w:jc w:val="both"/>
        <w:rPr>
          <w:sz w:val="21"/>
        </w:rPr>
      </w:pPr>
      <w:r>
        <w:rPr>
          <w:rFonts w:ascii="Microsoft JhengHei" w:eastAsia="Microsoft JhengHei" w:hint="eastAsia"/>
          <w:b/>
          <w:sz w:val="21"/>
        </w:rPr>
        <w:t>保险人</w:t>
      </w:r>
      <w:r>
        <w:rPr>
          <w:spacing w:val="-3"/>
          <w:sz w:val="21"/>
        </w:rPr>
        <w:t>就是保险公司。</w:t>
      </w:r>
    </w:p>
    <w:p>
      <w:pPr>
        <w:spacing w:line="494"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下面我们举例说明本产品提供哪些保障</w:t>
      </w:r>
    </w:p>
    <w:p>
      <w:pPr>
        <w:pStyle w:val="BodyText"/>
        <w:spacing w:line="201" w:lineRule="exact"/>
        <w:ind w:left="771"/>
        <w:jc w:val="both"/>
      </w:pPr>
      <w:r>
        <w:rPr/>
        <w:t>例子：王先生为妻子李女士（30 周岁）投保了平安附加福寿安康多重重大疾病保险（简称福寿</w:t>
      </w:r>
    </w:p>
    <w:p>
      <w:pPr>
        <w:pStyle w:val="BodyText"/>
        <w:spacing w:before="47"/>
        <w:ind w:left="771"/>
        <w:jc w:val="both"/>
      </w:pPr>
      <w:r>
        <w:rPr>
          <w:spacing w:val="-1"/>
          <w:w w:val="100"/>
        </w:rPr>
        <w:t>多重重疾</w:t>
      </w:r>
      <w:r>
        <w:rPr>
          <w:spacing w:val="-109"/>
          <w:w w:val="100"/>
        </w:rPr>
        <w:t>）</w:t>
      </w:r>
      <w:r>
        <w:rPr>
          <w:spacing w:val="-3"/>
          <w:w w:val="100"/>
        </w:rPr>
        <w:t>，基本保险金额</w:t>
      </w:r>
      <w:r>
        <w:rPr>
          <w:spacing w:val="-53"/>
        </w:rPr>
        <w:t> </w:t>
      </w:r>
      <w:r>
        <w:rPr>
          <w:w w:val="100"/>
        </w:rPr>
        <w:t>20</w:t>
      </w:r>
      <w:r>
        <w:rPr>
          <w:spacing w:val="-3"/>
          <w:w w:val="100"/>
        </w:rPr>
        <w:t>0</w:t>
      </w:r>
      <w:r>
        <w:rPr>
          <w:w w:val="100"/>
        </w:rPr>
        <w:t>000</w:t>
      </w:r>
      <w:r>
        <w:rPr>
          <w:spacing w:val="-55"/>
        </w:rPr>
        <w:t> </w:t>
      </w:r>
      <w:r>
        <w:rPr>
          <w:spacing w:val="-3"/>
          <w:w w:val="100"/>
        </w:rPr>
        <w:t>元，交费期</w:t>
      </w:r>
      <w:r>
        <w:rPr>
          <w:spacing w:val="-53"/>
        </w:rPr>
        <w:t> </w:t>
      </w:r>
      <w:r>
        <w:rPr>
          <w:w w:val="100"/>
        </w:rPr>
        <w:t>10</w:t>
      </w:r>
      <w:r>
        <w:rPr>
          <w:spacing w:val="-55"/>
        </w:rPr>
        <w:t> </w:t>
      </w:r>
      <w:r>
        <w:rPr>
          <w:spacing w:val="-3"/>
          <w:w w:val="100"/>
        </w:rPr>
        <w:t>年，交费方式为月交，月交保险费共</w:t>
      </w:r>
      <w:r>
        <w:rPr>
          <w:spacing w:val="-53"/>
        </w:rPr>
        <w:t> </w:t>
      </w:r>
      <w:r>
        <w:rPr>
          <w:w w:val="100"/>
        </w:rPr>
        <w:t>115</w:t>
      </w:r>
      <w:r>
        <w:rPr>
          <w:spacing w:val="-55"/>
        </w:rPr>
        <w:t> </w:t>
      </w:r>
      <w:r>
        <w:rPr>
          <w:spacing w:val="-2"/>
          <w:w w:val="100"/>
        </w:rPr>
        <w:t>元，</w:t>
      </w:r>
    </w:p>
    <w:p>
      <w:pPr>
        <w:pStyle w:val="BodyText"/>
        <w:spacing w:line="278" w:lineRule="auto" w:before="44"/>
        <w:ind w:left="772" w:right="759" w:hanging="1"/>
        <w:jc w:val="both"/>
      </w:pPr>
      <w:r>
        <w:rPr>
          <w:spacing w:val="-7"/>
        </w:rPr>
        <w:t>选择的保险期间为至 </w:t>
      </w:r>
      <w:r>
        <w:rPr/>
        <w:t>80</w:t>
      </w:r>
      <w:r>
        <w:rPr>
          <w:spacing w:val="-12"/>
        </w:rPr>
        <w:t> 周岁的保单周年日，同时还投保平安福寿安康两全保险</w:t>
      </w:r>
      <w:r>
        <w:rPr/>
        <w:t>（</w:t>
      </w:r>
      <w:r>
        <w:rPr>
          <w:spacing w:val="-3"/>
        </w:rPr>
        <w:t>简称福寿安康</w:t>
      </w:r>
      <w:r>
        <w:rPr/>
        <w:t>两全</w:t>
      </w:r>
      <w:r>
        <w:rPr>
          <w:spacing w:val="-3"/>
        </w:rPr>
        <w:t>）及平安附加福寿安康提前给付重大疾病保险</w:t>
      </w:r>
      <w:r>
        <w:rPr/>
        <w:t>（</w:t>
      </w:r>
      <w:r>
        <w:rPr>
          <w:spacing w:val="-3"/>
        </w:rPr>
        <w:t>简称福寿安康重疾</w:t>
      </w:r>
      <w:r>
        <w:rPr>
          <w:spacing w:val="-106"/>
        </w:rPr>
        <w:t>）</w:t>
      </w:r>
      <w:r>
        <w:rPr>
          <w:spacing w:val="-4"/>
        </w:rPr>
        <w:t>。李女士 </w:t>
      </w:r>
      <w:r>
        <w:rPr/>
        <w:t>40</w:t>
      </w:r>
      <w:r>
        <w:rPr>
          <w:spacing w:val="-5"/>
        </w:rPr>
        <w:t> 周岁时初</w:t>
      </w:r>
      <w:r>
        <w:rPr>
          <w:spacing w:val="-5"/>
          <w:w w:val="100"/>
        </w:rPr>
        <w:t>次发生福寿安康重疾合同约定的重大疾病</w:t>
      </w:r>
      <w:r>
        <w:rPr>
          <w:w w:val="100"/>
        </w:rPr>
        <w:t>（</w:t>
      </w:r>
      <w:r>
        <w:rPr>
          <w:spacing w:val="-1"/>
          <w:w w:val="100"/>
        </w:rPr>
        <w:t>第一次重大疾病</w:t>
      </w:r>
      <w:r>
        <w:rPr>
          <w:spacing w:val="-104"/>
          <w:w w:val="100"/>
        </w:rPr>
        <w:t>）</w:t>
      </w:r>
      <w:r>
        <w:rPr>
          <w:spacing w:val="-3"/>
          <w:w w:val="100"/>
        </w:rPr>
        <w:t>，</w:t>
      </w:r>
      <w:r>
        <w:rPr>
          <w:w w:val="100"/>
        </w:rPr>
        <w:t>50</w:t>
      </w:r>
      <w:r>
        <w:rPr/>
        <w:t> </w:t>
      </w:r>
      <w:r>
        <w:rPr>
          <w:spacing w:val="-1"/>
          <w:w w:val="100"/>
        </w:rPr>
        <w:t>周岁时又发生第一次重大疾</w:t>
      </w:r>
      <w:r>
        <w:rPr>
          <w:spacing w:val="-2"/>
          <w:w w:val="100"/>
        </w:rPr>
        <w:t>病所属组别以外的其他组别中的重大疾病</w:t>
      </w:r>
      <w:r>
        <w:rPr>
          <w:w w:val="100"/>
        </w:rPr>
        <w:t>（</w:t>
      </w:r>
      <w:r>
        <w:rPr>
          <w:spacing w:val="-1"/>
          <w:w w:val="100"/>
        </w:rPr>
        <w:t>第二次重大疾病</w:t>
      </w:r>
      <w:r>
        <w:rPr>
          <w:spacing w:val="-104"/>
          <w:w w:val="100"/>
        </w:rPr>
        <w:t>）</w:t>
      </w:r>
      <w:r>
        <w:rPr>
          <w:spacing w:val="-3"/>
          <w:w w:val="100"/>
        </w:rPr>
        <w:t>，</w:t>
      </w:r>
      <w:r>
        <w:rPr>
          <w:w w:val="100"/>
        </w:rPr>
        <w:t>60</w:t>
      </w:r>
      <w:r>
        <w:rPr/>
        <w:t> </w:t>
      </w:r>
      <w:r>
        <w:rPr>
          <w:spacing w:val="-1"/>
          <w:w w:val="100"/>
        </w:rPr>
        <w:t>周岁时再次发生第一次重大</w:t>
      </w:r>
      <w:r>
        <w:rPr>
          <w:spacing w:val="-3"/>
        </w:rPr>
        <w:t>疾病和第二次重大疾病所属组别以外的其他组别中的重大疾病</w:t>
      </w:r>
      <w:r>
        <w:rPr/>
        <w:t>（</w:t>
      </w:r>
      <w:r>
        <w:rPr>
          <w:spacing w:val="-3"/>
        </w:rPr>
        <w:t>第三次重大疾病</w:t>
      </w:r>
      <w:r>
        <w:rPr>
          <w:spacing w:val="-108"/>
        </w:rPr>
        <w:t>）</w:t>
      </w:r>
      <w:r>
        <w:rPr/>
        <w:t>。</w:t>
      </w:r>
    </w:p>
    <w:p>
      <w:pPr>
        <w:pStyle w:val="BodyText"/>
        <w:spacing w:before="13" w:after="33"/>
        <w:ind w:left="773"/>
        <w:jc w:val="both"/>
      </w:pPr>
      <w:r>
        <w:rPr/>
        <w:t>本例中王先生为投保人，李女士为被保险人及重大疾病保险金受益人，平安人寿为保险人。</w:t>
      </w:r>
    </w:p>
    <w:tbl>
      <w:tblPr>
        <w:tblW w:w="0" w:type="auto"/>
        <w:jc w:val="left"/>
        <w:tblInd w:w="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994"/>
        <w:gridCol w:w="1277"/>
        <w:gridCol w:w="5218"/>
      </w:tblGrid>
      <w:tr>
        <w:trPr>
          <w:trHeight w:val="311" w:hRule="atLeast"/>
        </w:trPr>
        <w:tc>
          <w:tcPr>
            <w:tcW w:w="1138" w:type="dxa"/>
          </w:tcPr>
          <w:p>
            <w:pPr>
              <w:pStyle w:val="TableParagraph"/>
              <w:spacing w:line="286" w:lineRule="exact"/>
              <w:ind w:left="146"/>
              <w:rPr>
                <w:rFonts w:ascii="Microsoft JhengHei" w:eastAsia="Microsoft JhengHei" w:hint="eastAsia"/>
                <w:b/>
                <w:sz w:val="21"/>
              </w:rPr>
            </w:pPr>
            <w:r>
              <w:rPr>
                <w:rFonts w:ascii="Microsoft JhengHei" w:eastAsia="Microsoft JhengHei" w:hint="eastAsia"/>
                <w:b/>
                <w:sz w:val="21"/>
              </w:rPr>
              <w:t>保障内容</w:t>
            </w:r>
          </w:p>
        </w:tc>
        <w:tc>
          <w:tcPr>
            <w:tcW w:w="994" w:type="dxa"/>
          </w:tcPr>
          <w:p>
            <w:pPr>
              <w:pStyle w:val="TableParagraph"/>
              <w:spacing w:line="286" w:lineRule="exact"/>
              <w:ind w:left="161" w:right="153"/>
              <w:jc w:val="center"/>
              <w:rPr>
                <w:rFonts w:ascii="Microsoft JhengHei" w:eastAsia="Microsoft JhengHei" w:hint="eastAsia"/>
                <w:b/>
                <w:sz w:val="21"/>
              </w:rPr>
            </w:pPr>
            <w:r>
              <w:rPr>
                <w:rFonts w:ascii="Microsoft JhengHei" w:eastAsia="Microsoft JhengHei" w:hint="eastAsia"/>
                <w:b/>
                <w:sz w:val="21"/>
              </w:rPr>
              <w:t>领取人</w:t>
            </w:r>
          </w:p>
        </w:tc>
        <w:tc>
          <w:tcPr>
            <w:tcW w:w="1277" w:type="dxa"/>
          </w:tcPr>
          <w:p>
            <w:pPr>
              <w:pStyle w:val="TableParagraph"/>
              <w:spacing w:line="286" w:lineRule="exact"/>
              <w:ind w:left="143" w:right="136"/>
              <w:jc w:val="center"/>
              <w:rPr>
                <w:rFonts w:ascii="Microsoft JhengHei" w:eastAsia="Microsoft JhengHei" w:hint="eastAsia"/>
                <w:b/>
                <w:sz w:val="21"/>
              </w:rPr>
            </w:pPr>
            <w:r>
              <w:rPr>
                <w:rFonts w:ascii="Microsoft JhengHei" w:eastAsia="Microsoft JhengHei" w:hint="eastAsia"/>
                <w:b/>
                <w:sz w:val="21"/>
              </w:rPr>
              <w:t>给付金额</w:t>
            </w:r>
          </w:p>
        </w:tc>
        <w:tc>
          <w:tcPr>
            <w:tcW w:w="5218" w:type="dxa"/>
          </w:tcPr>
          <w:p>
            <w:pPr>
              <w:pStyle w:val="TableParagraph"/>
              <w:spacing w:line="286" w:lineRule="exact"/>
              <w:ind w:left="2167" w:right="2160"/>
              <w:jc w:val="center"/>
              <w:rPr>
                <w:rFonts w:ascii="Microsoft JhengHei" w:eastAsia="Microsoft JhengHei" w:hint="eastAsia"/>
                <w:b/>
                <w:sz w:val="21"/>
              </w:rPr>
            </w:pPr>
            <w:r>
              <w:rPr>
                <w:rFonts w:ascii="Microsoft JhengHei" w:eastAsia="Microsoft JhengHei" w:hint="eastAsia"/>
                <w:b/>
                <w:sz w:val="21"/>
              </w:rPr>
              <w:t>领取条件</w:t>
            </w:r>
          </w:p>
        </w:tc>
      </w:tr>
      <w:tr>
        <w:trPr>
          <w:trHeight w:val="935" w:hRule="atLeast"/>
        </w:trPr>
        <w:tc>
          <w:tcPr>
            <w:tcW w:w="1138" w:type="dxa"/>
          </w:tcPr>
          <w:p>
            <w:pPr>
              <w:pStyle w:val="TableParagraph"/>
              <w:spacing w:line="273" w:lineRule="auto" w:before="143"/>
              <w:ind w:left="107" w:right="67"/>
              <w:rPr>
                <w:sz w:val="21"/>
              </w:rPr>
            </w:pPr>
            <w:r>
              <w:rPr>
                <w:sz w:val="21"/>
              </w:rPr>
              <w:t>重大疾病保险金</w:t>
            </w:r>
          </w:p>
        </w:tc>
        <w:tc>
          <w:tcPr>
            <w:tcW w:w="994" w:type="dxa"/>
          </w:tcPr>
          <w:p>
            <w:pPr>
              <w:pStyle w:val="TableParagraph"/>
              <w:spacing w:before="11"/>
              <w:rPr>
                <w:sz w:val="22"/>
              </w:rPr>
            </w:pPr>
          </w:p>
          <w:p>
            <w:pPr>
              <w:pStyle w:val="TableParagraph"/>
              <w:ind w:left="161" w:right="153"/>
              <w:jc w:val="center"/>
              <w:rPr>
                <w:sz w:val="21"/>
              </w:rPr>
            </w:pPr>
            <w:r>
              <w:rPr>
                <w:sz w:val="21"/>
              </w:rPr>
              <w:t>李女士</w:t>
            </w:r>
          </w:p>
        </w:tc>
        <w:tc>
          <w:tcPr>
            <w:tcW w:w="1277" w:type="dxa"/>
          </w:tcPr>
          <w:p>
            <w:pPr>
              <w:pStyle w:val="TableParagraph"/>
              <w:spacing w:before="11"/>
              <w:rPr>
                <w:sz w:val="22"/>
              </w:rPr>
            </w:pPr>
          </w:p>
          <w:p>
            <w:pPr>
              <w:pStyle w:val="TableParagraph"/>
              <w:ind w:left="146" w:right="136"/>
              <w:jc w:val="center"/>
              <w:rPr>
                <w:sz w:val="21"/>
              </w:rPr>
            </w:pPr>
            <w:r>
              <w:rPr>
                <w:sz w:val="21"/>
              </w:rPr>
              <w:t>200000 元</w:t>
            </w:r>
          </w:p>
        </w:tc>
        <w:tc>
          <w:tcPr>
            <w:tcW w:w="5218" w:type="dxa"/>
          </w:tcPr>
          <w:p>
            <w:pPr>
              <w:pStyle w:val="TableParagraph"/>
              <w:spacing w:line="273" w:lineRule="auto"/>
              <w:ind w:left="107" w:right="94" w:hanging="1"/>
              <w:rPr>
                <w:sz w:val="21"/>
              </w:rPr>
            </w:pPr>
            <w:r>
              <w:rPr>
                <w:spacing w:val="-6"/>
                <w:sz w:val="21"/>
              </w:rPr>
              <w:t>李女士在初次确诊发生第一次重大疾病之日起 </w:t>
            </w:r>
            <w:r>
              <w:rPr>
                <w:sz w:val="21"/>
              </w:rPr>
              <w:t>180</w:t>
            </w:r>
            <w:r>
              <w:rPr>
                <w:spacing w:val="-26"/>
                <w:sz w:val="21"/>
              </w:rPr>
              <w:t> 日</w:t>
            </w:r>
            <w:r>
              <w:rPr>
                <w:spacing w:val="-10"/>
                <w:sz w:val="21"/>
              </w:rPr>
              <w:t>后，第二次经医院确诊发生第一次重大疾病所属组别以</w:t>
            </w:r>
            <w:r>
              <w:rPr>
                <w:spacing w:val="-5"/>
                <w:sz w:val="21"/>
              </w:rPr>
              <w:t>外的其他组别中的重大疾病</w:t>
            </w:r>
          </w:p>
        </w:tc>
      </w:tr>
      <w:tr>
        <w:trPr>
          <w:trHeight w:val="1250" w:hRule="atLeast"/>
        </w:trPr>
        <w:tc>
          <w:tcPr>
            <w:tcW w:w="1138" w:type="dxa"/>
          </w:tcPr>
          <w:p>
            <w:pPr>
              <w:pStyle w:val="TableParagraph"/>
              <w:rPr>
                <w:sz w:val="23"/>
              </w:rPr>
            </w:pPr>
          </w:p>
          <w:p>
            <w:pPr>
              <w:pStyle w:val="TableParagraph"/>
              <w:spacing w:line="273" w:lineRule="auto"/>
              <w:ind w:left="107" w:right="67"/>
              <w:rPr>
                <w:sz w:val="21"/>
              </w:rPr>
            </w:pPr>
            <w:r>
              <w:rPr>
                <w:sz w:val="21"/>
              </w:rPr>
              <w:t>重大疾病保险金</w:t>
            </w:r>
          </w:p>
        </w:tc>
        <w:tc>
          <w:tcPr>
            <w:tcW w:w="994" w:type="dxa"/>
          </w:tcPr>
          <w:p>
            <w:pPr>
              <w:pStyle w:val="TableParagraph"/>
              <w:rPr>
                <w:sz w:val="20"/>
              </w:rPr>
            </w:pPr>
          </w:p>
          <w:p>
            <w:pPr>
              <w:pStyle w:val="TableParagraph"/>
              <w:spacing w:before="12"/>
              <w:rPr>
                <w:sz w:val="14"/>
              </w:rPr>
            </w:pPr>
          </w:p>
          <w:p>
            <w:pPr>
              <w:pStyle w:val="TableParagraph"/>
              <w:ind w:left="161" w:right="153"/>
              <w:jc w:val="center"/>
              <w:rPr>
                <w:sz w:val="21"/>
              </w:rPr>
            </w:pPr>
            <w:r>
              <w:rPr>
                <w:sz w:val="21"/>
              </w:rPr>
              <w:t>李女士</w:t>
            </w:r>
          </w:p>
        </w:tc>
        <w:tc>
          <w:tcPr>
            <w:tcW w:w="1277" w:type="dxa"/>
          </w:tcPr>
          <w:p>
            <w:pPr>
              <w:pStyle w:val="TableParagraph"/>
              <w:rPr>
                <w:sz w:val="20"/>
              </w:rPr>
            </w:pPr>
          </w:p>
          <w:p>
            <w:pPr>
              <w:pStyle w:val="TableParagraph"/>
              <w:spacing w:before="12"/>
              <w:rPr>
                <w:sz w:val="14"/>
              </w:rPr>
            </w:pPr>
          </w:p>
          <w:p>
            <w:pPr>
              <w:pStyle w:val="TableParagraph"/>
              <w:ind w:left="146" w:right="136"/>
              <w:jc w:val="center"/>
              <w:rPr>
                <w:sz w:val="21"/>
              </w:rPr>
            </w:pPr>
            <w:r>
              <w:rPr>
                <w:sz w:val="21"/>
              </w:rPr>
              <w:t>200000 元</w:t>
            </w:r>
          </w:p>
        </w:tc>
        <w:tc>
          <w:tcPr>
            <w:tcW w:w="5218" w:type="dxa"/>
          </w:tcPr>
          <w:p>
            <w:pPr>
              <w:pStyle w:val="TableParagraph"/>
              <w:spacing w:line="273" w:lineRule="auto"/>
              <w:ind w:left="107" w:right="94" w:hanging="1"/>
              <w:rPr>
                <w:sz w:val="21"/>
              </w:rPr>
            </w:pPr>
            <w:r>
              <w:rPr>
                <w:spacing w:val="-3"/>
                <w:sz w:val="21"/>
              </w:rPr>
              <w:t>李女士在第二次确诊发生符合合同约定条件的重大疾 </w:t>
            </w:r>
            <w:r>
              <w:rPr>
                <w:spacing w:val="-10"/>
                <w:sz w:val="21"/>
              </w:rPr>
              <w:t>病之日起 </w:t>
            </w:r>
            <w:r>
              <w:rPr>
                <w:sz w:val="21"/>
              </w:rPr>
              <w:t>180</w:t>
            </w:r>
            <w:r>
              <w:rPr>
                <w:spacing w:val="-11"/>
                <w:sz w:val="21"/>
              </w:rPr>
              <w:t> 日后，第三次经医院确诊发生第一次重大</w:t>
            </w:r>
            <w:r>
              <w:rPr>
                <w:spacing w:val="-6"/>
                <w:sz w:val="21"/>
              </w:rPr>
              <w:t>疾病和第二次重大疾病所属组别以外的其他组别中的</w:t>
            </w:r>
            <w:r>
              <w:rPr>
                <w:spacing w:val="-4"/>
                <w:sz w:val="21"/>
              </w:rPr>
              <w:t>重大疾病</w:t>
            </w:r>
          </w:p>
        </w:tc>
      </w:tr>
    </w:tbl>
    <w:p>
      <w:pPr>
        <w:spacing w:before="36"/>
        <w:ind w:left="773" w:right="0" w:firstLine="0"/>
        <w:jc w:val="both"/>
        <w:rPr>
          <w:rFonts w:ascii="Microsoft JhengHei" w:eastAsia="Microsoft JhengHei" w:hint="eastAsia"/>
          <w:b/>
          <w:sz w:val="21"/>
        </w:rPr>
      </w:pPr>
      <w:r>
        <w:rPr>
          <w:rFonts w:ascii="Microsoft JhengHei" w:eastAsia="Microsoft JhengHei" w:hint="eastAsia"/>
          <w:b/>
          <w:sz w:val="21"/>
        </w:rPr>
        <w:t>以上举例仅供您更好地理解产品之用，您所购买产品的具体保险利益以保险合同中载明的为准。</w:t>
      </w:r>
    </w:p>
    <w:p>
      <w:pPr>
        <w:spacing w:before="59"/>
        <w:ind w:left="245" w:right="0" w:firstLine="0"/>
        <w:jc w:val="left"/>
        <w:rPr>
          <w:rFonts w:ascii="Microsoft JhengHei" w:hAnsi="Microsoft JhengHei" w:eastAsia="Microsoft JhengHei" w:hint="eastAsia"/>
          <w:b/>
          <w:sz w:val="21"/>
        </w:rPr>
      </w:pPr>
      <w:r>
        <w:rPr/>
        <w:pict>
          <v:shape style="position:absolute;margin-left:101.419998pt;margin-top:31.715702pt;width:419.1pt;height:175.3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3490"/>
                    <w:gridCol w:w="580"/>
                    <w:gridCol w:w="1977"/>
                  </w:tblGrid>
                  <w:tr>
                    <w:trPr>
                      <w:trHeight w:val="491" w:hRule="atLeast"/>
                    </w:trPr>
                    <w:tc>
                      <w:tcPr>
                        <w:tcW w:w="8375" w:type="dxa"/>
                        <w:gridSpan w:val="4"/>
                        <w:tcBorders>
                          <w:right w:val="dotted" w:sz="6" w:space="0" w:color="000000"/>
                        </w:tcBorders>
                      </w:tcPr>
                      <w:p>
                        <w:pPr>
                          <w:pStyle w:val="TableParagraph"/>
                          <w:tabs>
                            <w:tab w:pos="2713" w:val="left" w:leader="none"/>
                            <w:tab w:pos="5817" w:val="left" w:leader="none"/>
                          </w:tabs>
                          <w:spacing w:before="64"/>
                          <w:ind w:left="50"/>
                          <w:rPr>
                            <w:rFonts w:ascii="Microsoft JhengHei" w:eastAsia="Microsoft JhengHei" w:hint="eastAsia"/>
                            <w:b/>
                            <w:sz w:val="21"/>
                          </w:rPr>
                        </w:pPr>
                        <w:r>
                          <w:rPr>
                            <w:b/>
                            <w:sz w:val="21"/>
                          </w:rPr>
                          <w:t>1.</w:t>
                        </w:r>
                        <w:r>
                          <w:rPr>
                            <w:rFonts w:ascii="Microsoft JhengHei" w:eastAsia="Microsoft JhengHei" w:hint="eastAsia"/>
                            <w:b/>
                            <w:sz w:val="21"/>
                          </w:rPr>
                          <w:t>我们保什么、保多久</w:t>
                          <w:tab/>
                        </w:r>
                        <w:r>
                          <w:rPr>
                            <w:b/>
                            <w:position w:val="4"/>
                            <w:sz w:val="21"/>
                          </w:rPr>
                          <w:t>4.</w:t>
                        </w:r>
                        <w:r>
                          <w:rPr>
                            <w:rFonts w:ascii="Microsoft JhengHei" w:eastAsia="Microsoft JhengHei" w:hint="eastAsia"/>
                            <w:b/>
                            <w:position w:val="4"/>
                            <w:sz w:val="21"/>
                          </w:rPr>
                          <w:t>如何领取保险金</w:t>
                          <w:tab/>
                        </w:r>
                        <w:r>
                          <w:rPr>
                            <w:b/>
                            <w:position w:val="1"/>
                            <w:sz w:val="21"/>
                          </w:rPr>
                          <w:t>8.</w:t>
                        </w:r>
                        <w:r>
                          <w:rPr>
                            <w:rFonts w:ascii="Microsoft JhengHei" w:eastAsia="Microsoft JhengHei" w:hint="eastAsia"/>
                            <w:b/>
                            <w:position w:val="1"/>
                            <w:sz w:val="21"/>
                          </w:rPr>
                          <w:t>需关注的其他内容</w:t>
                        </w:r>
                      </w:p>
                    </w:tc>
                  </w:tr>
                  <w:tr>
                    <w:trPr>
                      <w:trHeight w:val="277" w:hRule="atLeast"/>
                    </w:trPr>
                    <w:tc>
                      <w:tcPr>
                        <w:tcW w:w="2328" w:type="dxa"/>
                      </w:tcPr>
                      <w:p>
                        <w:pPr>
                          <w:pStyle w:val="TableParagraph"/>
                          <w:spacing w:line="254" w:lineRule="exact"/>
                          <w:ind w:left="261"/>
                          <w:rPr>
                            <w:sz w:val="21"/>
                          </w:rPr>
                        </w:pPr>
                        <w:r>
                          <w:rPr>
                            <w:sz w:val="21"/>
                          </w:rPr>
                          <w:t>1.1 保险责任</w:t>
                        </w:r>
                      </w:p>
                    </w:tc>
                    <w:tc>
                      <w:tcPr>
                        <w:tcW w:w="3490" w:type="dxa"/>
                      </w:tcPr>
                      <w:p>
                        <w:pPr>
                          <w:pStyle w:val="TableParagraph"/>
                          <w:spacing w:line="211" w:lineRule="exact"/>
                          <w:ind w:left="597"/>
                          <w:rPr>
                            <w:sz w:val="21"/>
                          </w:rPr>
                        </w:pPr>
                        <w:r>
                          <w:rPr>
                            <w:sz w:val="21"/>
                          </w:rPr>
                          <w:t>4.1 受益人</w:t>
                        </w:r>
                      </w:p>
                    </w:tc>
                    <w:tc>
                      <w:tcPr>
                        <w:tcW w:w="580" w:type="dxa"/>
                      </w:tcPr>
                      <w:p>
                        <w:pPr>
                          <w:pStyle w:val="TableParagraph"/>
                          <w:spacing w:line="242" w:lineRule="exact"/>
                          <w:ind w:right="50"/>
                          <w:jc w:val="right"/>
                          <w:rPr>
                            <w:sz w:val="21"/>
                          </w:rPr>
                        </w:pPr>
                        <w:r>
                          <w:rPr>
                            <w:sz w:val="21"/>
                          </w:rPr>
                          <w:t>8.1</w:t>
                        </w:r>
                      </w:p>
                    </w:tc>
                    <w:tc>
                      <w:tcPr>
                        <w:tcW w:w="1977" w:type="dxa"/>
                        <w:tcBorders>
                          <w:right w:val="dotted" w:sz="6" w:space="0" w:color="000000"/>
                        </w:tcBorders>
                      </w:tcPr>
                      <w:p>
                        <w:pPr>
                          <w:pStyle w:val="TableParagraph"/>
                          <w:spacing w:line="242" w:lineRule="exact"/>
                          <w:ind w:left="52"/>
                          <w:rPr>
                            <w:sz w:val="21"/>
                          </w:rPr>
                        </w:pPr>
                        <w:r>
                          <w:rPr>
                            <w:sz w:val="21"/>
                          </w:rPr>
                          <w:t>合同订立</w:t>
                        </w:r>
                      </w:p>
                    </w:tc>
                  </w:tr>
                  <w:tr>
                    <w:trPr>
                      <w:trHeight w:val="299" w:hRule="atLeast"/>
                    </w:trPr>
                    <w:tc>
                      <w:tcPr>
                        <w:tcW w:w="2328" w:type="dxa"/>
                      </w:tcPr>
                      <w:p>
                        <w:pPr>
                          <w:pStyle w:val="TableParagraph"/>
                          <w:spacing w:before="2"/>
                          <w:ind w:left="261"/>
                          <w:rPr>
                            <w:sz w:val="21"/>
                          </w:rPr>
                        </w:pPr>
                        <w:r>
                          <w:rPr>
                            <w:sz w:val="21"/>
                          </w:rPr>
                          <w:t>1.2 保险期间</w:t>
                        </w:r>
                      </w:p>
                    </w:tc>
                    <w:tc>
                      <w:tcPr>
                        <w:tcW w:w="3490" w:type="dxa"/>
                      </w:tcPr>
                      <w:p>
                        <w:pPr>
                          <w:pStyle w:val="TableParagraph"/>
                          <w:spacing w:line="234" w:lineRule="exact"/>
                          <w:ind w:left="597"/>
                          <w:rPr>
                            <w:sz w:val="21"/>
                          </w:rPr>
                        </w:pPr>
                        <w:r>
                          <w:rPr>
                            <w:sz w:val="21"/>
                          </w:rPr>
                          <w:t>4.2 保险金申请</w:t>
                        </w:r>
                      </w:p>
                    </w:tc>
                    <w:tc>
                      <w:tcPr>
                        <w:tcW w:w="580" w:type="dxa"/>
                      </w:tcPr>
                      <w:p>
                        <w:pPr>
                          <w:pStyle w:val="TableParagraph"/>
                          <w:spacing w:line="265" w:lineRule="exact"/>
                          <w:ind w:right="50"/>
                          <w:jc w:val="right"/>
                          <w:rPr>
                            <w:sz w:val="21"/>
                          </w:rPr>
                        </w:pPr>
                        <w:r>
                          <w:rPr>
                            <w:sz w:val="21"/>
                          </w:rPr>
                          <w:t>8.2</w:t>
                        </w:r>
                      </w:p>
                    </w:tc>
                    <w:tc>
                      <w:tcPr>
                        <w:tcW w:w="1977" w:type="dxa"/>
                        <w:tcBorders>
                          <w:right w:val="dotted" w:sz="6" w:space="0" w:color="000000"/>
                        </w:tcBorders>
                      </w:tcPr>
                      <w:p>
                        <w:pPr>
                          <w:pStyle w:val="TableParagraph"/>
                          <w:spacing w:line="265" w:lineRule="exact"/>
                          <w:ind w:left="52"/>
                          <w:rPr>
                            <w:sz w:val="21"/>
                          </w:rPr>
                        </w:pPr>
                        <w:r>
                          <w:rPr>
                            <w:sz w:val="21"/>
                          </w:rPr>
                          <w:t>合同生效</w:t>
                        </w:r>
                      </w:p>
                    </w:tc>
                  </w:tr>
                  <w:tr>
                    <w:trPr>
                      <w:trHeight w:val="300" w:hRule="atLeast"/>
                    </w:trPr>
                    <w:tc>
                      <w:tcPr>
                        <w:tcW w:w="2328" w:type="dxa"/>
                      </w:tcPr>
                      <w:p>
                        <w:pPr>
                          <w:pStyle w:val="TableParagraph"/>
                          <w:spacing w:line="280"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490" w:type="dxa"/>
                      </w:tcPr>
                      <w:p>
                        <w:pPr>
                          <w:pStyle w:val="TableParagraph"/>
                          <w:spacing w:line="234" w:lineRule="exact"/>
                          <w:ind w:left="597"/>
                          <w:rPr>
                            <w:sz w:val="21"/>
                          </w:rPr>
                        </w:pPr>
                        <w:r>
                          <w:rPr>
                            <w:sz w:val="21"/>
                          </w:rPr>
                          <w:t>4.3 保险金的给付</w:t>
                        </w:r>
                      </w:p>
                    </w:tc>
                    <w:tc>
                      <w:tcPr>
                        <w:tcW w:w="580" w:type="dxa"/>
                      </w:tcPr>
                      <w:p>
                        <w:pPr>
                          <w:pStyle w:val="TableParagraph"/>
                          <w:spacing w:line="265" w:lineRule="exact"/>
                          <w:ind w:right="50"/>
                          <w:jc w:val="right"/>
                          <w:rPr>
                            <w:sz w:val="21"/>
                          </w:rPr>
                        </w:pPr>
                        <w:r>
                          <w:rPr>
                            <w:sz w:val="21"/>
                          </w:rPr>
                          <w:t>8.3</w:t>
                        </w:r>
                      </w:p>
                    </w:tc>
                    <w:tc>
                      <w:tcPr>
                        <w:tcW w:w="1977" w:type="dxa"/>
                        <w:tcBorders>
                          <w:right w:val="dotted" w:sz="6" w:space="0" w:color="000000"/>
                        </w:tcBorders>
                      </w:tcPr>
                      <w:p>
                        <w:pPr>
                          <w:pStyle w:val="TableParagraph"/>
                          <w:spacing w:line="265" w:lineRule="exact"/>
                          <w:ind w:left="52"/>
                          <w:rPr>
                            <w:sz w:val="21"/>
                          </w:rPr>
                        </w:pPr>
                        <w:r>
                          <w:rPr>
                            <w:sz w:val="21"/>
                          </w:rPr>
                          <w:t>投保年龄</w:t>
                        </w:r>
                      </w:p>
                    </w:tc>
                  </w:tr>
                  <w:tr>
                    <w:trPr>
                      <w:trHeight w:val="300" w:hRule="atLeast"/>
                    </w:trPr>
                    <w:tc>
                      <w:tcPr>
                        <w:tcW w:w="2328" w:type="dxa"/>
                      </w:tcPr>
                      <w:p>
                        <w:pPr>
                          <w:pStyle w:val="TableParagraph"/>
                          <w:spacing w:before="2"/>
                          <w:ind w:left="261"/>
                          <w:rPr>
                            <w:sz w:val="21"/>
                          </w:rPr>
                        </w:pPr>
                        <w:r>
                          <w:rPr>
                            <w:sz w:val="21"/>
                          </w:rPr>
                          <w:t>2.1 责任免除</w:t>
                        </w:r>
                      </w:p>
                    </w:tc>
                    <w:tc>
                      <w:tcPr>
                        <w:tcW w:w="3490" w:type="dxa"/>
                      </w:tcPr>
                      <w:p>
                        <w:pPr>
                          <w:pStyle w:val="TableParagraph"/>
                          <w:spacing w:line="258" w:lineRule="exact"/>
                          <w:ind w:left="386"/>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580" w:type="dxa"/>
                      </w:tcPr>
                      <w:p>
                        <w:pPr>
                          <w:pStyle w:val="TableParagraph"/>
                          <w:spacing w:line="265" w:lineRule="exact"/>
                          <w:ind w:right="50"/>
                          <w:jc w:val="right"/>
                          <w:rPr>
                            <w:sz w:val="21"/>
                          </w:rPr>
                        </w:pPr>
                        <w:r>
                          <w:rPr>
                            <w:sz w:val="21"/>
                          </w:rPr>
                          <w:t>8.4</w:t>
                        </w:r>
                      </w:p>
                    </w:tc>
                    <w:tc>
                      <w:tcPr>
                        <w:tcW w:w="1977" w:type="dxa"/>
                        <w:tcBorders>
                          <w:right w:val="dotted" w:sz="6" w:space="0" w:color="000000"/>
                        </w:tcBorders>
                      </w:tcPr>
                      <w:p>
                        <w:pPr>
                          <w:pStyle w:val="TableParagraph"/>
                          <w:spacing w:line="265" w:lineRule="exact"/>
                          <w:ind w:left="50"/>
                          <w:rPr>
                            <w:sz w:val="21"/>
                          </w:rPr>
                        </w:pPr>
                        <w:r>
                          <w:rPr>
                            <w:sz w:val="21"/>
                          </w:rPr>
                          <w:t>年龄错误</w:t>
                        </w:r>
                      </w:p>
                    </w:tc>
                  </w:tr>
                  <w:tr>
                    <w:trPr>
                      <w:trHeight w:val="299" w:hRule="atLeast"/>
                    </w:trPr>
                    <w:tc>
                      <w:tcPr>
                        <w:tcW w:w="2328" w:type="dxa"/>
                      </w:tcPr>
                      <w:p>
                        <w:pPr>
                          <w:pStyle w:val="TableParagraph"/>
                          <w:spacing w:before="2"/>
                          <w:ind w:right="384"/>
                          <w:jc w:val="right"/>
                          <w:rPr>
                            <w:sz w:val="21"/>
                          </w:rPr>
                        </w:pPr>
                        <w:r>
                          <w:rPr>
                            <w:sz w:val="21"/>
                          </w:rPr>
                          <w:t>2.2 其他免责条款</w:t>
                        </w:r>
                      </w:p>
                    </w:tc>
                    <w:tc>
                      <w:tcPr>
                        <w:tcW w:w="3490" w:type="dxa"/>
                      </w:tcPr>
                      <w:p>
                        <w:pPr>
                          <w:pStyle w:val="TableParagraph"/>
                          <w:spacing w:line="234" w:lineRule="exact"/>
                          <w:ind w:left="597"/>
                          <w:rPr>
                            <w:sz w:val="21"/>
                          </w:rPr>
                        </w:pPr>
                        <w:r>
                          <w:rPr>
                            <w:sz w:val="21"/>
                          </w:rPr>
                          <w:t>5.1 犹豫期</w:t>
                        </w:r>
                      </w:p>
                    </w:tc>
                    <w:tc>
                      <w:tcPr>
                        <w:tcW w:w="580" w:type="dxa"/>
                      </w:tcPr>
                      <w:p>
                        <w:pPr>
                          <w:pStyle w:val="TableParagraph"/>
                          <w:spacing w:line="265" w:lineRule="exact"/>
                          <w:ind w:right="50"/>
                          <w:jc w:val="right"/>
                          <w:rPr>
                            <w:sz w:val="21"/>
                          </w:rPr>
                        </w:pPr>
                        <w:r>
                          <w:rPr>
                            <w:sz w:val="21"/>
                          </w:rPr>
                          <w:t>8.5</w:t>
                        </w:r>
                      </w:p>
                    </w:tc>
                    <w:tc>
                      <w:tcPr>
                        <w:tcW w:w="1977" w:type="dxa"/>
                        <w:tcBorders>
                          <w:right w:val="dotted" w:sz="6" w:space="0" w:color="000000"/>
                        </w:tcBorders>
                      </w:tcPr>
                      <w:p>
                        <w:pPr>
                          <w:pStyle w:val="TableParagraph"/>
                          <w:spacing w:line="265" w:lineRule="exact"/>
                          <w:ind w:left="52"/>
                          <w:rPr>
                            <w:sz w:val="21"/>
                          </w:rPr>
                        </w:pPr>
                        <w:r>
                          <w:rPr>
                            <w:sz w:val="21"/>
                          </w:rPr>
                          <w:t>效力终止</w:t>
                        </w:r>
                      </w:p>
                    </w:tc>
                  </w:tr>
                  <w:tr>
                    <w:trPr>
                      <w:trHeight w:val="321" w:hRule="atLeast"/>
                    </w:trPr>
                    <w:tc>
                      <w:tcPr>
                        <w:tcW w:w="2328" w:type="dxa"/>
                      </w:tcPr>
                      <w:p>
                        <w:pPr>
                          <w:pStyle w:val="TableParagraph"/>
                          <w:spacing w:line="301"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490" w:type="dxa"/>
                      </w:tcPr>
                      <w:p>
                        <w:pPr>
                          <w:pStyle w:val="TableParagraph"/>
                          <w:spacing w:line="234" w:lineRule="exact"/>
                          <w:ind w:left="597"/>
                          <w:rPr>
                            <w:sz w:val="21"/>
                          </w:rPr>
                        </w:pPr>
                        <w:r>
                          <w:rPr>
                            <w:sz w:val="21"/>
                          </w:rPr>
                          <w:t>5.2 您解除合同的手续及风险</w:t>
                        </w:r>
                      </w:p>
                    </w:tc>
                    <w:tc>
                      <w:tcPr>
                        <w:tcW w:w="580" w:type="dxa"/>
                      </w:tcPr>
                      <w:p>
                        <w:pPr>
                          <w:pStyle w:val="TableParagraph"/>
                          <w:spacing w:line="265" w:lineRule="exact"/>
                          <w:ind w:right="50"/>
                          <w:jc w:val="right"/>
                          <w:rPr>
                            <w:sz w:val="21"/>
                          </w:rPr>
                        </w:pPr>
                        <w:r>
                          <w:rPr>
                            <w:sz w:val="21"/>
                          </w:rPr>
                          <w:t>8.6</w:t>
                        </w:r>
                      </w:p>
                    </w:tc>
                    <w:tc>
                      <w:tcPr>
                        <w:tcW w:w="1977" w:type="dxa"/>
                        <w:tcBorders>
                          <w:right w:val="dotted" w:sz="6" w:space="0" w:color="000000"/>
                        </w:tcBorders>
                      </w:tcPr>
                      <w:p>
                        <w:pPr>
                          <w:pStyle w:val="TableParagraph"/>
                          <w:spacing w:line="265" w:lineRule="exact"/>
                          <w:ind w:left="52"/>
                          <w:rPr>
                            <w:sz w:val="21"/>
                          </w:rPr>
                        </w:pPr>
                        <w:r>
                          <w:rPr>
                            <w:sz w:val="21"/>
                          </w:rPr>
                          <w:t>适用主险合同条款</w:t>
                        </w:r>
                      </w:p>
                    </w:tc>
                  </w:tr>
                  <w:tr>
                    <w:trPr>
                      <w:trHeight w:val="278" w:hRule="atLeast"/>
                    </w:trPr>
                    <w:tc>
                      <w:tcPr>
                        <w:tcW w:w="2328" w:type="dxa"/>
                      </w:tcPr>
                      <w:p>
                        <w:pPr>
                          <w:pStyle w:val="TableParagraph"/>
                          <w:spacing w:line="255" w:lineRule="exact"/>
                          <w:ind w:right="384"/>
                          <w:jc w:val="right"/>
                          <w:rPr>
                            <w:sz w:val="21"/>
                          </w:rPr>
                        </w:pPr>
                        <w:r>
                          <w:rPr>
                            <w:sz w:val="21"/>
                          </w:rPr>
                          <w:t>3.1 保险费的支付</w:t>
                        </w:r>
                      </w:p>
                    </w:tc>
                    <w:tc>
                      <w:tcPr>
                        <w:tcW w:w="3490" w:type="dxa"/>
                      </w:tcPr>
                      <w:p>
                        <w:pPr>
                          <w:pStyle w:val="TableParagraph"/>
                          <w:spacing w:line="236" w:lineRule="exact"/>
                          <w:ind w:left="386"/>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580" w:type="dxa"/>
                      </w:tcPr>
                      <w:p>
                        <w:pPr>
                          <w:pStyle w:val="TableParagraph"/>
                          <w:rPr>
                            <w:rFonts w:ascii="Times New Roman"/>
                            <w:sz w:val="20"/>
                          </w:rPr>
                        </w:pPr>
                      </w:p>
                    </w:tc>
                    <w:tc>
                      <w:tcPr>
                        <w:tcW w:w="1977" w:type="dxa"/>
                        <w:tcBorders>
                          <w:right w:val="dotted" w:sz="6" w:space="0" w:color="000000"/>
                        </w:tcBorders>
                      </w:tcPr>
                      <w:p>
                        <w:pPr>
                          <w:pStyle w:val="TableParagraph"/>
                          <w:rPr>
                            <w:rFonts w:ascii="Times New Roman"/>
                            <w:sz w:val="20"/>
                          </w:rPr>
                        </w:pPr>
                      </w:p>
                    </w:tc>
                  </w:tr>
                  <w:tr>
                    <w:trPr>
                      <w:trHeight w:val="277" w:hRule="atLeast"/>
                    </w:trPr>
                    <w:tc>
                      <w:tcPr>
                        <w:tcW w:w="2328" w:type="dxa"/>
                      </w:tcPr>
                      <w:p>
                        <w:pPr>
                          <w:pStyle w:val="TableParagraph"/>
                          <w:spacing w:line="255" w:lineRule="exact" w:before="2"/>
                          <w:ind w:left="261"/>
                          <w:rPr>
                            <w:sz w:val="21"/>
                          </w:rPr>
                        </w:pPr>
                        <w:r>
                          <w:rPr>
                            <w:sz w:val="21"/>
                          </w:rPr>
                          <w:t>3.2 宽限期</w:t>
                        </w:r>
                      </w:p>
                    </w:tc>
                    <w:tc>
                      <w:tcPr>
                        <w:tcW w:w="3490" w:type="dxa"/>
                      </w:tcPr>
                      <w:p>
                        <w:pPr>
                          <w:pStyle w:val="TableParagraph"/>
                          <w:spacing w:line="234" w:lineRule="exact"/>
                          <w:ind w:left="597"/>
                          <w:rPr>
                            <w:sz w:val="21"/>
                          </w:rPr>
                        </w:pPr>
                        <w:r>
                          <w:rPr>
                            <w:sz w:val="21"/>
                          </w:rPr>
                          <w:t>6.1 现金价值</w:t>
                        </w:r>
                      </w:p>
                    </w:tc>
                    <w:tc>
                      <w:tcPr>
                        <w:tcW w:w="580" w:type="dxa"/>
                      </w:tcPr>
                      <w:p>
                        <w:pPr>
                          <w:pStyle w:val="TableParagraph"/>
                          <w:rPr>
                            <w:rFonts w:ascii="Times New Roman"/>
                            <w:sz w:val="20"/>
                          </w:rPr>
                        </w:pPr>
                      </w:p>
                    </w:tc>
                    <w:tc>
                      <w:tcPr>
                        <w:tcW w:w="1977" w:type="dxa"/>
                        <w:tcBorders>
                          <w:right w:val="dotted" w:sz="6" w:space="0" w:color="000000"/>
                        </w:tcBorders>
                      </w:tcPr>
                      <w:p>
                        <w:pPr>
                          <w:pStyle w:val="TableParagraph"/>
                          <w:rPr>
                            <w:rFonts w:ascii="Times New Roman"/>
                            <w:sz w:val="20"/>
                          </w:rPr>
                        </w:pPr>
                      </w:p>
                    </w:tc>
                  </w:tr>
                  <w:tr>
                    <w:trPr>
                      <w:trHeight w:val="660" w:hRule="atLeast"/>
                    </w:trPr>
                    <w:tc>
                      <w:tcPr>
                        <w:tcW w:w="8375" w:type="dxa"/>
                        <w:gridSpan w:val="4"/>
                        <w:tcBorders>
                          <w:right w:val="dotted" w:sz="6" w:space="0" w:color="000000"/>
                        </w:tcBorders>
                      </w:tcPr>
                      <w:p>
                        <w:pPr>
                          <w:pStyle w:val="TableParagraph"/>
                          <w:tabs>
                            <w:tab w:pos="2713" w:val="left" w:leader="none"/>
                          </w:tabs>
                          <w:spacing w:line="298" w:lineRule="exact"/>
                          <w:ind w:left="261"/>
                          <w:rPr>
                            <w:rFonts w:ascii="Microsoft JhengHei" w:eastAsia="Microsoft JhengHei" w:hint="eastAsia"/>
                            <w:b/>
                            <w:sz w:val="21"/>
                          </w:rPr>
                        </w:pPr>
                        <w:r>
                          <w:rPr>
                            <w:sz w:val="21"/>
                          </w:rPr>
                          <w:t>3.3</w:t>
                        </w:r>
                        <w:r>
                          <w:rPr>
                            <w:spacing w:val="0"/>
                            <w:sz w:val="21"/>
                          </w:rPr>
                          <w:t> </w:t>
                        </w:r>
                        <w:r>
                          <w:rPr>
                            <w:sz w:val="21"/>
                          </w:rPr>
                          <w:t>效</w:t>
                        </w:r>
                        <w:r>
                          <w:rPr>
                            <w:spacing w:val="-3"/>
                            <w:sz w:val="21"/>
                          </w:rPr>
                          <w:t>力</w:t>
                        </w:r>
                        <w:r>
                          <w:rPr>
                            <w:sz w:val="21"/>
                          </w:rPr>
                          <w:t>中</w:t>
                        </w:r>
                        <w:r>
                          <w:rPr>
                            <w:spacing w:val="-3"/>
                            <w:sz w:val="21"/>
                          </w:rPr>
                          <w:t>止</w:t>
                        </w:r>
                        <w:r>
                          <w:rPr>
                            <w:sz w:val="21"/>
                          </w:rPr>
                          <w:t>与</w:t>
                        </w:r>
                        <w:r>
                          <w:rPr>
                            <w:spacing w:val="-3"/>
                            <w:sz w:val="21"/>
                          </w:rPr>
                          <w:t>恢</w:t>
                        </w:r>
                        <w:r>
                          <w:rPr>
                            <w:sz w:val="21"/>
                          </w:rPr>
                          <w:t>复</w:t>
                          <w:tab/>
                        </w:r>
                        <w:r>
                          <w:rPr>
                            <w:b/>
                            <w:position w:val="7"/>
                            <w:sz w:val="21"/>
                          </w:rPr>
                          <w:t>7.</w:t>
                        </w:r>
                        <w:r>
                          <w:rPr>
                            <w:rFonts w:ascii="Microsoft JhengHei" w:eastAsia="Microsoft JhengHei" w:hint="eastAsia"/>
                            <w:b/>
                            <w:position w:val="7"/>
                            <w:sz w:val="21"/>
                          </w:rPr>
                          <w:t>重大疾病释义</w:t>
                        </w:r>
                      </w:p>
                    </w:tc>
                  </w:tr>
                </w:tbl>
                <w:p>
                  <w:pPr>
                    <w:pStyle w:val="BodyText"/>
                  </w:pPr>
                </w:p>
              </w:txbxContent>
            </v:textbox>
            <w10:wrap type="none"/>
          </v:shape>
        </w:pict>
      </w: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pStyle w:val="BodyText"/>
        <w:rPr>
          <w:rFonts w:ascii="Microsoft JhengHei"/>
          <w:b/>
          <w:sz w:val="54"/>
        </w:rPr>
      </w:pPr>
    </w:p>
    <w:p>
      <w:pPr>
        <w:pStyle w:val="BodyText"/>
        <w:rPr>
          <w:rFonts w:ascii="Microsoft JhengHei"/>
          <w:b/>
          <w:sz w:val="54"/>
        </w:rPr>
      </w:pPr>
    </w:p>
    <w:p>
      <w:pPr>
        <w:pStyle w:val="BodyText"/>
        <w:rPr>
          <w:rFonts w:ascii="Microsoft JhengHei"/>
          <w:b/>
          <w:sz w:val="54"/>
        </w:rPr>
      </w:pPr>
    </w:p>
    <w:p>
      <w:pPr>
        <w:pStyle w:val="BodyText"/>
        <w:rPr>
          <w:rFonts w:ascii="Microsoft JhengHei"/>
          <w:b/>
          <w:sz w:val="54"/>
        </w:rPr>
      </w:pPr>
    </w:p>
    <w:p>
      <w:pPr>
        <w:pStyle w:val="BodyText"/>
        <w:spacing w:before="2"/>
        <w:rPr>
          <w:rFonts w:ascii="Microsoft JhengHei"/>
          <w:b/>
          <w:sz w:val="36"/>
        </w:rPr>
      </w:pPr>
    </w:p>
    <w:p>
      <w:pPr>
        <w:spacing w:line="314" w:lineRule="auto" w:before="0"/>
        <w:ind w:left="8115" w:right="66" w:firstLine="0"/>
        <w:jc w:val="left"/>
        <w:rPr>
          <w:sz w:val="18"/>
        </w:rPr>
      </w:pPr>
      <w:r>
        <w:rPr>
          <w:sz w:val="18"/>
        </w:rPr>
        <w:t>险种简称：福寿多重重疾险种代码：3059</w:t>
      </w:r>
    </w:p>
    <w:p>
      <w:pPr>
        <w:spacing w:after="0" w:line="314" w:lineRule="auto"/>
        <w:jc w:val="left"/>
        <w:rPr>
          <w:sz w:val="18"/>
        </w:rPr>
        <w:sectPr>
          <w:type w:val="continuous"/>
          <w:pgSz w:w="11910" w:h="16840"/>
          <w:pgMar w:top="500" w:bottom="280" w:left="940" w:right="780"/>
        </w:sectPr>
      </w:pPr>
    </w:p>
    <w:p>
      <w:pPr>
        <w:pStyle w:val="BodyText"/>
        <w:ind w:left="314"/>
        <w:rPr>
          <w:sz w:val="20"/>
        </w:rPr>
      </w:pPr>
      <w:r>
        <w:rPr>
          <w:sz w:val="20"/>
        </w:rPr>
        <w:drawing>
          <wp:inline distT="0" distB="0" distL="0" distR="0">
            <wp:extent cx="2052295" cy="342042"/>
            <wp:effectExtent l="0" t="0" r="0" b="0"/>
            <wp:docPr id="1" name="image4.png" descr="新LOGO-K"/>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2052295" cy="342042"/>
                    </a:xfrm>
                    <a:prstGeom prst="rect">
                      <a:avLst/>
                    </a:prstGeom>
                  </pic:spPr>
                </pic:pic>
              </a:graphicData>
            </a:graphic>
          </wp:inline>
        </w:drawing>
      </w:r>
      <w:r>
        <w:rPr>
          <w:sz w:val="20"/>
        </w:rPr>
      </w:r>
    </w:p>
    <w:p>
      <w:pPr>
        <w:pStyle w:val="BodyText"/>
        <w:spacing w:before="8"/>
        <w:rPr>
          <w:sz w:val="22"/>
        </w:rPr>
      </w:pPr>
      <w:r>
        <w:rPr/>
        <w:drawing>
          <wp:anchor distT="0" distB="0" distL="0" distR="0" allowOverlap="1" layoutInCell="1" locked="0" behindDoc="0" simplePos="0" relativeHeight="1144">
            <wp:simplePos x="0" y="0"/>
            <wp:positionH relativeFrom="page">
              <wp:posOffset>1475917</wp:posOffset>
            </wp:positionH>
            <wp:positionV relativeFrom="paragraph">
              <wp:posOffset>213275</wp:posOffset>
            </wp:positionV>
            <wp:extent cx="4715835" cy="230504"/>
            <wp:effectExtent l="0" t="0" r="0" b="0"/>
            <wp:wrapTopAndBottom/>
            <wp:docPr id="3" name="image5.png" descr="抬头"/>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4715835" cy="230504"/>
                    </a:xfrm>
                    <a:prstGeom prst="rect">
                      <a:avLst/>
                    </a:prstGeom>
                  </pic:spPr>
                </pic:pic>
              </a:graphicData>
            </a:graphic>
          </wp:anchor>
        </w:drawing>
      </w:r>
    </w:p>
    <w:p>
      <w:pPr>
        <w:pStyle w:val="BodyText"/>
        <w:spacing w:before="5"/>
        <w:rPr>
          <w:sz w:val="19"/>
        </w:rPr>
      </w:pPr>
    </w:p>
    <w:p>
      <w:pPr>
        <w:spacing w:line="506" w:lineRule="exact" w:before="0"/>
        <w:ind w:left="2349" w:right="0" w:firstLine="0"/>
        <w:jc w:val="left"/>
        <w:rPr>
          <w:rFonts w:ascii="微软雅黑" w:eastAsia="微软雅黑" w:hint="eastAsia"/>
          <w:b/>
          <w:sz w:val="32"/>
        </w:rPr>
      </w:pPr>
      <w:r>
        <w:rPr>
          <w:rFonts w:ascii="微软雅黑" w:eastAsia="微软雅黑" w:hint="eastAsia"/>
          <w:b/>
          <w:sz w:val="32"/>
        </w:rPr>
        <w:t>平安附加福寿安康多重重大疾病保险条款</w:t>
      </w:r>
    </w:p>
    <w:p>
      <w:pPr>
        <w:pStyle w:val="BodyText"/>
        <w:spacing w:before="5"/>
        <w:rPr>
          <w:rFonts w:ascii="微软雅黑"/>
          <w:b/>
          <w:sz w:val="24"/>
        </w:rPr>
      </w:pPr>
    </w:p>
    <w:p>
      <w:pPr>
        <w:pStyle w:val="BodyText"/>
        <w:ind w:left="285" w:right="1514"/>
        <w:jc w:val="center"/>
      </w:pPr>
      <w:r>
        <w:rPr/>
        <w:t>在本条款中，“您”指投保人，“我们”、“本公司”均指中国平安人寿保险股份有限公司。</w:t>
      </w:r>
    </w:p>
    <w:p>
      <w:pPr>
        <w:pStyle w:val="BodyText"/>
        <w:spacing w:before="9"/>
        <w:rPr>
          <w:sz w:val="26"/>
        </w:rPr>
      </w:pPr>
    </w:p>
    <w:p>
      <w:pPr>
        <w:pStyle w:val="Heading1"/>
        <w:tabs>
          <w:tab w:pos="1555" w:val="left" w:leader="none"/>
        </w:tabs>
        <w:spacing w:line="457" w:lineRule="exact"/>
        <w:ind w:left="602"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ind w:left="179" w:right="1514"/>
        <w:jc w:val="center"/>
      </w:pPr>
      <w:r>
        <w:rPr/>
        <w:t>这部分讲的是我们提供的保障以及我们提供保障的期间。</w:t>
      </w:r>
    </w:p>
    <w:p>
      <w:pPr>
        <w:pStyle w:val="BodyText"/>
        <w:spacing w:before="4"/>
        <w:rPr>
          <w:sz w:val="13"/>
        </w:rPr>
      </w:pPr>
      <w:r>
        <w:rPr/>
        <w:pict>
          <v:group style="position:absolute;margin-left:41.880001pt;margin-top:10.706128pt;width:511.45pt;height:1pt;mso-position-horizontal-relative:page;mso-position-vertical-relative:paragraph;z-index:1168;mso-wrap-distance-left:0;mso-wrap-distance-right:0" coordorigin="838,214" coordsize="10229,20">
            <v:line style="position:absolute" from="838,224" to="2167,224" stroked="true" strokeweight=".959pt" strokecolor="#000000">
              <v:stroke dashstyle="solid"/>
            </v:line>
            <v:rect style="position:absolute;left:2167;top:214;width:20;height:20" filled="true" fillcolor="#000000" stroked="false">
              <v:fill type="solid"/>
            </v:rect>
            <v:line style="position:absolute" from="2186,224" to="3866,224" stroked="true" strokeweight=".959pt" strokecolor="#000000">
              <v:stroke dashstyle="solid"/>
            </v:line>
            <v:rect style="position:absolute;left:3866;top:214;width:20;height:20" filled="true" fillcolor="#000000" stroked="false">
              <v:fill type="solid"/>
            </v:rect>
            <v:line style="position:absolute" from="3886,224" to="11066,224" stroked="true" strokeweight=".959pt" strokecolor="#000000">
              <v:stroke dashstyle="solid"/>
            </v:line>
            <w10:wrap type="topAndBottom"/>
          </v:group>
        </w:pict>
      </w:r>
    </w:p>
    <w:p>
      <w:pPr>
        <w:pStyle w:val="BodyText"/>
        <w:spacing w:before="7"/>
        <w:rPr>
          <w:sz w:val="18"/>
        </w:rPr>
      </w:pPr>
    </w:p>
    <w:p>
      <w:pPr>
        <w:tabs>
          <w:tab w:pos="1555" w:val="left" w:leader="none"/>
          <w:tab w:pos="3256" w:val="left" w:leader="none"/>
        </w:tabs>
        <w:spacing w:before="37"/>
        <w:ind w:left="624"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
        <w:rPr>
          <w:sz w:val="28"/>
        </w:rPr>
      </w:pPr>
    </w:p>
    <w:p>
      <w:pPr>
        <w:pStyle w:val="BodyText"/>
        <w:tabs>
          <w:tab w:pos="3256" w:val="left" w:leader="none"/>
        </w:tabs>
        <w:spacing w:line="266" w:lineRule="auto"/>
        <w:ind w:left="3256" w:right="198" w:hanging="1702"/>
        <w:jc w:val="both"/>
      </w:pPr>
      <w:r>
        <w:rPr/>
        <w:pict>
          <v:rect style="position:absolute;margin-left:198.839996pt;margin-top:18.999331pt;width:349.2pt;height:13.68pt;mso-position-horizontal-relative:page;mso-position-vertical-relative:paragraph;z-index:-62752" filled="true" fillcolor="#dadada" stroked="false">
            <v:fill type="solid"/>
            <w10:wrap type="none"/>
          </v:rect>
        </w:pict>
      </w: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8"/>
          <w:shd w:fill="DADADA" w:color="auto" w:val="clear"/>
        </w:rPr>
        <w:t> </w:t>
      </w:r>
      <w:r>
        <w:rPr>
          <w:shd w:fill="DADADA" w:color="auto" w:val="clear"/>
        </w:rPr>
        <w:t>180</w:t>
      </w:r>
      <w:r>
        <w:rPr>
          <w:spacing w:val="-8"/>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首</w:t>
      </w:r>
      <w:r>
        <w:rPr>
          <w:shd w:fill="DADADA" w:color="auto" w:val="clear"/>
        </w:rPr>
        <w:t>次</w:t>
      </w:r>
      <w:r>
        <w:rPr>
          <w:spacing w:val="-3"/>
          <w:shd w:fill="DADADA" w:color="auto" w:val="clear"/>
        </w:rPr>
        <w:t>发</w:t>
      </w:r>
      <w:r>
        <w:rPr>
          <w:shd w:fill="DADADA" w:color="auto" w:val="clear"/>
        </w:rPr>
        <w:t>病并</w:t>
      </w:r>
      <w:r>
        <w:rPr/>
        <w:t>经</w:t>
      </w:r>
      <w:r>
        <w:rPr>
          <w:rFonts w:ascii="黑体" w:hAnsi="黑体" w:eastAsia="黑体" w:hint="eastAsia"/>
          <w:b/>
        </w:rPr>
        <w:t>医院</w:t>
      </w:r>
      <w:r>
        <w:rPr>
          <w:rFonts w:ascii="黑体" w:hAnsi="黑体" w:eastAsia="黑体" w:hint="eastAsia"/>
          <w:b/>
          <w:spacing w:val="40"/>
        </w:rPr>
        <w:t> </w:t>
      </w:r>
      <w:hyperlink w:history="true" w:anchor="_bookmark0">
        <w:r>
          <w:rPr>
            <w:rFonts w:ascii="黑体" w:hAnsi="黑体" w:eastAsia="黑体" w:hint="eastAsia"/>
            <w:b/>
            <w:position w:val="11"/>
            <w:sz w:val="11"/>
          </w:rPr>
          <w:t>1</w:t>
        </w:r>
      </w:hyperlink>
      <w:r>
        <w:rPr/>
        <w:t>确诊为本附加</w:t>
      </w:r>
      <w:r>
        <w:rPr>
          <w:spacing w:val="-3"/>
        </w:rPr>
        <w:t>险合</w:t>
      </w:r>
      <w:r>
        <w:rPr/>
        <w:t>同约定</w:t>
      </w:r>
      <w:r>
        <w:rPr>
          <w:spacing w:val="-3"/>
        </w:rPr>
        <w:t>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w:t>
      </w:r>
      <w:r>
        <w:rPr>
          <w:spacing w:val="-3"/>
        </w:rPr>
        <w:t>担</w:t>
      </w:r>
      <w:r>
        <w:rPr/>
        <w:t>保险责</w:t>
      </w:r>
      <w:r>
        <w:rPr>
          <w:spacing w:val="-3"/>
        </w:rPr>
        <w:t>任</w:t>
      </w:r>
      <w:r>
        <w:rPr/>
        <w:t>， </w:t>
      </w:r>
      <w:r>
        <w:rPr>
          <w:shd w:fill="DADADA" w:color="auto" w:val="clear"/>
        </w:rPr>
        <w:t>退还</w:t>
      </w:r>
      <w:r>
        <w:rPr>
          <w:spacing w:val="-3"/>
          <w:shd w:fill="DADADA" w:color="auto" w:val="clear"/>
        </w:rPr>
        <w:t>本</w:t>
      </w:r>
      <w:r>
        <w:rPr>
          <w:shd w:fill="DADADA" w:color="auto" w:val="clear"/>
        </w:rPr>
        <w:t>附</w:t>
      </w:r>
      <w:r>
        <w:rPr>
          <w:spacing w:val="-3"/>
          <w:shd w:fill="DADADA" w:color="auto" w:val="clear"/>
        </w:rPr>
        <w:t>加</w:t>
      </w:r>
      <w:r>
        <w:rPr>
          <w:shd w:fill="DADADA" w:color="auto" w:val="clear"/>
        </w:rPr>
        <w:t>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价值</w:t>
      </w:r>
      <w:r>
        <w:rPr>
          <w:spacing w:val="-3"/>
          <w:shd w:fill="DADADA" w:color="auto" w:val="clear"/>
        </w:rPr>
        <w:t>，</w:t>
      </w:r>
      <w:r>
        <w:rPr>
          <w:shd w:fill="DADADA" w:color="auto" w:val="clear"/>
        </w:rPr>
        <w:t>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hd w:fill="DADADA" w:color="auto" w:val="clear"/>
        </w:rPr>
        <w:t>。这</w:t>
      </w:r>
      <w:r>
        <w:rPr>
          <w:spacing w:val="-11"/>
          <w:shd w:fill="DADADA" w:color="auto" w:val="clear"/>
        </w:rPr>
        <w:t> </w:t>
      </w:r>
      <w:r>
        <w:rPr>
          <w:shd w:fill="DADADA" w:color="auto" w:val="clear"/>
        </w:rPr>
        <w:t>180</w:t>
      </w:r>
      <w:r>
        <w:rPr>
          <w:spacing w:val="-10"/>
          <w:shd w:fill="DADADA" w:color="auto" w:val="clear"/>
        </w:rPr>
        <w:t> </w:t>
      </w:r>
      <w:r>
        <w:rPr>
          <w:spacing w:val="-3"/>
          <w:shd w:fill="DADADA" w:color="auto" w:val="clear"/>
        </w:rPr>
        <w:t>日</w:t>
      </w:r>
      <w:r>
        <w:rPr>
          <w:shd w:fill="DADADA" w:color="auto" w:val="clear"/>
        </w:rPr>
        <w:t>的</w:t>
      </w:r>
      <w:r>
        <w:rPr>
          <w:spacing w:val="-3"/>
          <w:shd w:fill="DADADA" w:color="auto" w:val="clear"/>
        </w:rPr>
        <w:t>时</w:t>
      </w:r>
      <w:r>
        <w:rPr>
          <w:shd w:fill="DADADA" w:color="auto" w:val="clear"/>
        </w:rPr>
        <w:t>间</w:t>
      </w:r>
      <w:r>
        <w:rPr>
          <w:spacing w:val="-3"/>
          <w:shd w:fill="DADADA" w:color="auto" w:val="clear"/>
        </w:rPr>
        <w:t>称</w:t>
      </w:r>
      <w:r>
        <w:rPr>
          <w:shd w:fill="DADADA" w:color="auto" w:val="clear"/>
        </w:rPr>
        <w:t>为等待期</w:t>
      </w:r>
      <w:r>
        <w:rPr>
          <w:spacing w:val="-3"/>
        </w:rPr>
        <w:t>；</w:t>
      </w:r>
      <w:r>
        <w:rPr/>
        <w:t>被</w:t>
      </w:r>
      <w:r>
        <w:rPr>
          <w:spacing w:val="-3"/>
        </w:rPr>
        <w:t>保</w:t>
      </w:r>
      <w:r>
        <w:rPr/>
        <w:t>险</w:t>
      </w:r>
      <w:r>
        <w:rPr>
          <w:spacing w:val="-3"/>
        </w:rPr>
        <w:t>人因</w:t>
      </w:r>
      <w:r>
        <w:rPr>
          <w:rFonts w:ascii="黑体" w:hAnsi="黑体" w:eastAsia="黑体" w:hint="eastAsia"/>
          <w:b/>
        </w:rPr>
        <w:t>意外伤害</w:t>
      </w:r>
      <w:r>
        <w:rPr>
          <w:rFonts w:ascii="黑体" w:hAnsi="黑体" w:eastAsia="黑体" w:hint="eastAsia"/>
          <w:b/>
          <w:spacing w:val="-17"/>
        </w:rPr>
        <w:t> </w:t>
      </w:r>
      <w:hyperlink w:history="true" w:anchor="_bookmark2">
        <w:r>
          <w:rPr>
            <w:rFonts w:ascii="黑体" w:hAnsi="黑体" w:eastAsia="黑体" w:hint="eastAsia"/>
            <w:b/>
            <w:position w:val="11"/>
            <w:sz w:val="11"/>
          </w:rPr>
          <w:t>3</w:t>
        </w:r>
      </w:hyperlink>
      <w:r>
        <w:rPr/>
        <w:t>发生</w:t>
      </w:r>
      <w:r>
        <w:rPr>
          <w:spacing w:val="-3"/>
        </w:rPr>
        <w:t>上</w:t>
      </w:r>
      <w:r>
        <w:rPr/>
        <w:t>述</w:t>
      </w:r>
      <w:r>
        <w:rPr>
          <w:spacing w:val="-3"/>
        </w:rPr>
        <w:t>情</w:t>
      </w:r>
      <w:r>
        <w:rPr/>
        <w:t>形</w:t>
      </w:r>
      <w:r>
        <w:rPr>
          <w:spacing w:val="-3"/>
        </w:rPr>
        <w:t>的</w:t>
      </w:r>
      <w:r>
        <w:rPr/>
        <w:t>，</w:t>
      </w:r>
      <w:r>
        <w:rPr>
          <w:spacing w:val="-3"/>
        </w:rPr>
        <w:t>无等</w:t>
      </w:r>
      <w:r>
        <w:rPr/>
        <w:t>待期。</w:t>
      </w:r>
    </w:p>
    <w:p>
      <w:pPr>
        <w:pStyle w:val="BodyText"/>
        <w:spacing w:before="11"/>
        <w:ind w:left="3256"/>
      </w:pPr>
      <w:r>
        <w:rPr/>
        <w:t>如果在等待期后发生保险事故，我们按照下列方式给付保险金：</w:t>
      </w:r>
    </w:p>
    <w:p>
      <w:pPr>
        <w:pStyle w:val="BodyText"/>
        <w:spacing w:before="7"/>
        <w:rPr>
          <w:sz w:val="24"/>
        </w:rPr>
      </w:pPr>
    </w:p>
    <w:p>
      <w:pPr>
        <w:spacing w:after="0"/>
        <w:rPr>
          <w:sz w:val="24"/>
        </w:rPr>
        <w:sectPr>
          <w:pgSz w:w="11910" w:h="16840"/>
          <w:pgMar w:top="840" w:bottom="280" w:left="720" w:right="740"/>
        </w:sectPr>
      </w:pPr>
    </w:p>
    <w:p>
      <w:pPr>
        <w:pStyle w:val="Heading1"/>
        <w:spacing w:line="232" w:lineRule="auto" w:before="31"/>
        <w:ind w:left="1555" w:firstLine="0"/>
      </w:pPr>
      <w:r>
        <w:rPr/>
        <w:t>重大疾病保险金</w:t>
      </w:r>
    </w:p>
    <w:p>
      <w:pPr>
        <w:pStyle w:val="BodyText"/>
        <w:spacing w:line="273" w:lineRule="auto" w:before="57"/>
        <w:ind w:left="163" w:right="203"/>
        <w:jc w:val="both"/>
      </w:pPr>
      <w:r>
        <w:rPr/>
        <w:br w:type="column"/>
      </w:r>
      <w:r>
        <w:rPr/>
        <w:t>被保险人等待期后经医院确诊初次发生平安附加福寿安康提前给付重大疾病</w:t>
      </w:r>
      <w:r>
        <w:rPr>
          <w:spacing w:val="-6"/>
          <w:w w:val="100"/>
        </w:rPr>
        <w:t>保险合同约定的“重大疾病”后</w:t>
      </w:r>
      <w:r>
        <w:rPr>
          <w:w w:val="100"/>
        </w:rPr>
        <w:t>（</w:t>
      </w:r>
      <w:r>
        <w:rPr>
          <w:spacing w:val="-3"/>
          <w:w w:val="100"/>
        </w:rPr>
        <w:t>第一次重大疾病</w:t>
      </w:r>
      <w:r>
        <w:rPr>
          <w:spacing w:val="-109"/>
          <w:w w:val="100"/>
        </w:rPr>
        <w:t>）</w:t>
      </w:r>
      <w:r>
        <w:rPr>
          <w:spacing w:val="-5"/>
          <w:w w:val="100"/>
        </w:rPr>
        <w:t>，我们按照如下方式承担</w:t>
      </w:r>
      <w:r>
        <w:rPr>
          <w:spacing w:val="-3"/>
        </w:rPr>
        <w:t>重大疾病保险金责任：</w:t>
      </w:r>
    </w:p>
    <w:p>
      <w:pPr>
        <w:pStyle w:val="BodyText"/>
        <w:spacing w:line="273" w:lineRule="auto" w:before="8"/>
        <w:ind w:left="689" w:right="198" w:hanging="526"/>
      </w:pPr>
      <w:r>
        <w:rPr>
          <w:spacing w:val="-10"/>
        </w:rPr>
        <w:t>（1）</w:t>
      </w:r>
      <w:r>
        <w:rPr>
          <w:spacing w:val="-5"/>
        </w:rPr>
        <w:t>被保险人在初次确诊发生第一次重大疾病之日起 </w:t>
      </w:r>
      <w:r>
        <w:rPr/>
        <w:t>180</w:t>
      </w:r>
      <w:r>
        <w:rPr>
          <w:spacing w:val="-10"/>
        </w:rPr>
        <w:t> 日后，第二次经医</w:t>
      </w:r>
      <w:r>
        <w:rPr>
          <w:spacing w:val="-5"/>
        </w:rPr>
        <w:t>院确诊发生第一次重大疾病</w:t>
      </w:r>
      <w:r>
        <w:rPr>
          <w:rFonts w:ascii="黑体" w:eastAsia="黑体" w:hint="eastAsia"/>
          <w:b/>
          <w:spacing w:val="3"/>
        </w:rPr>
        <w:t>所属组别 </w:t>
      </w:r>
      <w:hyperlink w:history="true" w:anchor="_bookmark3">
        <w:r>
          <w:rPr>
            <w:rFonts w:ascii="黑体" w:eastAsia="黑体" w:hint="eastAsia"/>
            <w:b/>
            <w:position w:val="11"/>
            <w:sz w:val="11"/>
          </w:rPr>
          <w:t>4</w:t>
        </w:r>
      </w:hyperlink>
      <w:r>
        <w:rPr>
          <w:spacing w:val="-3"/>
        </w:rPr>
        <w:t>以外的其他组别中的重大疾病， 我们按照本附加险合同</w:t>
      </w:r>
      <w:r>
        <w:rPr>
          <w:rFonts w:ascii="黑体" w:eastAsia="黑体" w:hint="eastAsia"/>
          <w:b/>
          <w:spacing w:val="3"/>
        </w:rPr>
        <w:t>基本保险金额 </w:t>
      </w:r>
      <w:hyperlink w:history="true" w:anchor="_bookmark4">
        <w:r>
          <w:rPr>
            <w:rFonts w:ascii="黑体" w:eastAsia="黑体" w:hint="eastAsia"/>
            <w:b/>
            <w:position w:val="11"/>
            <w:sz w:val="11"/>
          </w:rPr>
          <w:t>5</w:t>
        </w:r>
      </w:hyperlink>
      <w:r>
        <w:rPr>
          <w:spacing w:val="-3"/>
        </w:rPr>
        <w:t>给付第二次重大疾病保险金。我们给付第二次重大疾病保险金后，本附加险合同继续有效。</w:t>
      </w:r>
    </w:p>
    <w:p>
      <w:pPr>
        <w:pStyle w:val="BodyText"/>
        <w:spacing w:before="7"/>
        <w:ind w:left="689"/>
      </w:pPr>
      <w:r>
        <w:rPr/>
        <w:t>第二次重大疾病保险金给付以一次为限。</w:t>
      </w:r>
    </w:p>
    <w:p>
      <w:pPr>
        <w:pStyle w:val="BodyText"/>
        <w:spacing w:line="273" w:lineRule="auto" w:before="36"/>
        <w:ind w:left="689" w:right="198" w:hanging="526"/>
        <w:jc w:val="both"/>
      </w:pPr>
      <w:r>
        <w:rPr>
          <w:spacing w:val="-18"/>
        </w:rPr>
        <w:t>（2）</w:t>
      </w:r>
      <w:r>
        <w:rPr>
          <w:spacing w:val="-5"/>
        </w:rPr>
        <w:t>被保险人在第二次确诊发生符合以上给付条件的重大疾病之日起 </w:t>
      </w:r>
      <w:r>
        <w:rPr/>
        <w:t>180</w:t>
      </w:r>
      <w:r>
        <w:rPr>
          <w:spacing w:val="-19"/>
        </w:rPr>
        <w:t> 日</w:t>
      </w:r>
      <w:r>
        <w:rPr>
          <w:spacing w:val="-10"/>
        </w:rPr>
        <w:t>后，第三次经医院确诊发生第一次重大疾病和第二次重大疾病所属组别</w:t>
      </w:r>
      <w:r>
        <w:rPr>
          <w:spacing w:val="-9"/>
        </w:rPr>
        <w:t>以外的其他组别中的重大疾病，我们按照本附加险合同基本保险金额给</w:t>
      </w:r>
      <w:r>
        <w:rPr>
          <w:spacing w:val="-5"/>
        </w:rPr>
        <w:t>付第三次重大疾病保险金。</w:t>
      </w:r>
    </w:p>
    <w:p>
      <w:pPr>
        <w:pStyle w:val="BodyText"/>
        <w:spacing w:line="273" w:lineRule="auto" w:before="7"/>
        <w:ind w:left="689" w:right="1405"/>
      </w:pPr>
      <w:r>
        <w:rPr/>
        <w:t>我们给付第三次重大疾病保险金后，本附加险合同终止。第三次重大疾病保险金给付以一次为限。</w:t>
      </w:r>
    </w:p>
    <w:p>
      <w:pPr>
        <w:spacing w:after="0" w:line="273" w:lineRule="auto"/>
        <w:sectPr>
          <w:type w:val="continuous"/>
          <w:pgSz w:w="11910" w:h="16840"/>
          <w:pgMar w:top="500" w:bottom="280" w:left="720" w:right="740"/>
          <w:cols w:num="2" w:equalWidth="0">
            <w:col w:w="3053" w:space="40"/>
            <w:col w:w="7357"/>
          </w:cols>
        </w:sectPr>
      </w:pPr>
    </w:p>
    <w:p>
      <w:pPr>
        <w:pStyle w:val="BodyText"/>
        <w:rPr>
          <w:sz w:val="20"/>
        </w:rPr>
      </w:pPr>
    </w:p>
    <w:p>
      <w:pPr>
        <w:pStyle w:val="BodyText"/>
        <w:rPr>
          <w:sz w:val="20"/>
        </w:rPr>
      </w:pPr>
    </w:p>
    <w:p>
      <w:pPr>
        <w:pStyle w:val="BodyText"/>
        <w:spacing w:after="1"/>
        <w:rPr>
          <w:sz w:val="11"/>
        </w:rPr>
      </w:pPr>
    </w:p>
    <w:p>
      <w:pPr>
        <w:pStyle w:val="BodyText"/>
        <w:spacing w:line="20" w:lineRule="exact"/>
        <w:ind w:left="2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8" w:lineRule="auto" w:before="44"/>
        <w:ind w:left="444" w:right="14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0"/>
        <w:ind w:left="48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480" w:right="28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28" w:lineRule="exact" w:before="0"/>
        <w:ind w:left="30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300" w:right="0" w:firstLine="0"/>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所属组别</w:t>
      </w:r>
      <w:r>
        <w:rPr>
          <w:sz w:val="18"/>
        </w:rPr>
        <w:t>指本附加险合同条款中“1.1 保险责任”中“我们所保障的重大疾病”中的组别。</w:t>
      </w:r>
    </w:p>
    <w:p>
      <w:pPr>
        <w:spacing w:line="296" w:lineRule="exact" w:before="0"/>
        <w:ind w:left="30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pacing w:val="-5"/>
          <w:sz w:val="18"/>
        </w:rPr>
        <w:t>基本保险金额</w:t>
      </w:r>
      <w:r>
        <w:rPr>
          <w:spacing w:val="-13"/>
          <w:sz w:val="18"/>
        </w:rPr>
        <w:t>指投保时您购买的金额，会在投保书以及保险单上载明。若该金额发生变更，则以变更后的金额为基本保险金额。</w:t>
      </w:r>
    </w:p>
    <w:p>
      <w:pPr>
        <w:spacing w:after="0" w:line="296" w:lineRule="exact"/>
        <w:jc w:val="left"/>
        <w:rPr>
          <w:sz w:val="18"/>
        </w:rPr>
        <w:sectPr>
          <w:type w:val="continuous"/>
          <w:pgSz w:w="11910" w:h="16840"/>
          <w:pgMar w:top="500" w:bottom="280" w:left="720" w:right="740"/>
        </w:sectPr>
      </w:pPr>
    </w:p>
    <w:p>
      <w:pPr>
        <w:pStyle w:val="Heading1"/>
        <w:spacing w:line="235" w:lineRule="auto" w:before="12"/>
        <w:ind w:left="595" w:firstLine="0"/>
      </w:pPr>
      <w:r>
        <w:rPr/>
        <w:t>我们所保障的重大疾病</w:t>
      </w:r>
    </w:p>
    <w:p>
      <w:pPr>
        <w:pStyle w:val="BodyText"/>
        <w:spacing w:line="273" w:lineRule="auto" w:before="42"/>
        <w:ind w:left="164" w:right="100" w:hanging="1"/>
      </w:pPr>
      <w:r>
        <w:rPr/>
        <w:br w:type="column"/>
      </w:r>
      <w:r>
        <w:rPr>
          <w:spacing w:val="-6"/>
        </w:rPr>
        <w:t>我们提供保障的重大疾病共有 </w:t>
      </w:r>
      <w:r>
        <w:rPr/>
        <w:t>80</w:t>
      </w:r>
      <w:r>
        <w:rPr>
          <w:spacing w:val="-9"/>
        </w:rPr>
        <w:t> 种，名称如下，具体释义见“</w:t>
      </w:r>
      <w:r>
        <w:rPr/>
        <w:t>7</w:t>
      </w:r>
      <w:r>
        <w:rPr>
          <w:spacing w:val="-10"/>
        </w:rPr>
        <w:t> 重大疾病释</w:t>
      </w:r>
      <w:r>
        <w:rPr>
          <w:spacing w:val="-39"/>
        </w:rPr>
        <w:t>义”。</w:t>
      </w:r>
    </w:p>
    <w:p>
      <w:pPr>
        <w:spacing w:after="0" w:line="273" w:lineRule="auto"/>
        <w:sectPr>
          <w:pgSz w:w="11910" w:h="16840"/>
          <w:pgMar w:top="1060" w:bottom="280" w:left="1680" w:right="840"/>
          <w:cols w:num="2" w:equalWidth="0">
            <w:col w:w="2093" w:space="40"/>
            <w:col w:w="7257"/>
          </w:cols>
        </w:sectPr>
      </w:pPr>
    </w:p>
    <w:tbl>
      <w:tblPr>
        <w:tblW w:w="0" w:type="auto"/>
        <w:jc w:val="left"/>
        <w:tblInd w:w="2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3561"/>
      </w:tblGrid>
      <w:tr>
        <w:trPr>
          <w:trHeight w:val="330" w:hRule="atLeast"/>
        </w:trPr>
        <w:tc>
          <w:tcPr>
            <w:tcW w:w="6910" w:type="dxa"/>
            <w:gridSpan w:val="2"/>
          </w:tcPr>
          <w:p>
            <w:pPr>
              <w:pStyle w:val="TableParagraph"/>
              <w:spacing w:line="272" w:lineRule="exact"/>
              <w:ind w:left="107"/>
              <w:rPr>
                <w:b/>
                <w:sz w:val="21"/>
              </w:rPr>
            </w:pPr>
            <w:r>
              <w:rPr>
                <w:b/>
                <w:sz w:val="21"/>
              </w:rPr>
              <w:t>第 1 组：恶性肿瘤、严重器官功能受损及其他（29 种）</w:t>
            </w:r>
          </w:p>
        </w:tc>
      </w:tr>
      <w:tr>
        <w:trPr>
          <w:trHeight w:val="5404" w:hRule="atLeast"/>
        </w:trPr>
        <w:tc>
          <w:tcPr>
            <w:tcW w:w="3349" w:type="dxa"/>
            <w:tcBorders>
              <w:right w:val="nil"/>
            </w:tcBorders>
          </w:tcPr>
          <w:p>
            <w:pPr>
              <w:pStyle w:val="TableParagraph"/>
              <w:spacing w:line="262" w:lineRule="exact"/>
              <w:ind w:left="107"/>
              <w:rPr>
                <w:sz w:val="21"/>
              </w:rPr>
            </w:pPr>
            <w:r>
              <w:rPr>
                <w:sz w:val="21"/>
              </w:rPr>
              <w:t>1、恶性肿瘤</w:t>
            </w:r>
          </w:p>
          <w:p>
            <w:pPr>
              <w:pStyle w:val="TableParagraph"/>
              <w:spacing w:before="37"/>
              <w:ind w:left="107"/>
              <w:rPr>
                <w:sz w:val="21"/>
              </w:rPr>
            </w:pPr>
            <w:r>
              <w:rPr>
                <w:sz w:val="21"/>
              </w:rPr>
              <w:t>3、重型再生障碍性贫血</w:t>
            </w:r>
          </w:p>
          <w:p>
            <w:pPr>
              <w:pStyle w:val="TableParagraph"/>
              <w:spacing w:before="37"/>
              <w:ind w:left="107"/>
              <w:rPr>
                <w:sz w:val="21"/>
              </w:rPr>
            </w:pPr>
            <w:r>
              <w:rPr>
                <w:sz w:val="21"/>
              </w:rPr>
              <w:t>5、终末期肺病</w:t>
            </w:r>
          </w:p>
          <w:p>
            <w:pPr>
              <w:pStyle w:val="TableParagraph"/>
              <w:spacing w:before="37"/>
              <w:ind w:left="107"/>
              <w:rPr>
                <w:sz w:val="21"/>
              </w:rPr>
            </w:pPr>
            <w:r>
              <w:rPr>
                <w:sz w:val="21"/>
              </w:rPr>
              <w:t>7、严重肾髓质囊性病</w:t>
            </w:r>
          </w:p>
          <w:p>
            <w:pPr>
              <w:pStyle w:val="TableParagraph"/>
              <w:spacing w:before="37"/>
              <w:ind w:left="107"/>
              <w:rPr>
                <w:sz w:val="21"/>
              </w:rPr>
            </w:pPr>
            <w:r>
              <w:rPr>
                <w:sz w:val="21"/>
              </w:rPr>
              <w:t>9、肺淋巴管肌瘤病</w:t>
            </w:r>
          </w:p>
          <w:p>
            <w:pPr>
              <w:pStyle w:val="TableParagraph"/>
              <w:spacing w:before="37"/>
              <w:ind w:left="107"/>
              <w:rPr>
                <w:sz w:val="21"/>
              </w:rPr>
            </w:pPr>
            <w:r>
              <w:rPr>
                <w:sz w:val="21"/>
              </w:rPr>
              <w:t>11、严重小肠疾病并发症</w:t>
            </w:r>
          </w:p>
          <w:p>
            <w:pPr>
              <w:pStyle w:val="TableParagraph"/>
              <w:spacing w:before="37"/>
              <w:ind w:left="107"/>
              <w:rPr>
                <w:sz w:val="21"/>
              </w:rPr>
            </w:pPr>
            <w:r>
              <w:rPr>
                <w:sz w:val="21"/>
              </w:rPr>
              <w:t>13、严重哮喘</w:t>
            </w:r>
          </w:p>
          <w:p>
            <w:pPr>
              <w:pStyle w:val="TableParagraph"/>
              <w:spacing w:line="273" w:lineRule="auto" w:before="37"/>
              <w:ind w:left="527" w:right="28" w:hanging="420"/>
              <w:rPr>
                <w:sz w:val="21"/>
              </w:rPr>
            </w:pPr>
            <w:r>
              <w:rPr>
                <w:sz w:val="21"/>
              </w:rPr>
              <w:t>15、重大器官移植术或造血干细胞移植术</w:t>
            </w:r>
          </w:p>
          <w:p>
            <w:pPr>
              <w:pStyle w:val="TableParagraph"/>
              <w:spacing w:before="7"/>
              <w:ind w:left="107"/>
              <w:rPr>
                <w:sz w:val="21"/>
              </w:rPr>
            </w:pPr>
            <w:r>
              <w:rPr>
                <w:sz w:val="21"/>
              </w:rPr>
              <w:t>18、急性或亚急性重症肝炎</w:t>
            </w:r>
          </w:p>
          <w:p>
            <w:pPr>
              <w:pStyle w:val="TableParagraph"/>
              <w:spacing w:line="273" w:lineRule="auto" w:before="36"/>
              <w:ind w:left="527" w:right="28" w:hanging="420"/>
              <w:rPr>
                <w:sz w:val="21"/>
              </w:rPr>
            </w:pPr>
            <w:r>
              <w:rPr>
                <w:sz w:val="21"/>
              </w:rPr>
              <w:t>19、终末期肾病（或称慢性肾功能衰竭尿毒症期）</w:t>
            </w:r>
          </w:p>
          <w:p>
            <w:pPr>
              <w:pStyle w:val="TableParagraph"/>
              <w:spacing w:before="7"/>
              <w:ind w:left="107"/>
              <w:rPr>
                <w:sz w:val="21"/>
              </w:rPr>
            </w:pPr>
            <w:r>
              <w:rPr>
                <w:sz w:val="21"/>
              </w:rPr>
              <w:t>22、严重弥漫性系统性硬皮病</w:t>
            </w:r>
          </w:p>
          <w:p>
            <w:pPr>
              <w:pStyle w:val="TableParagraph"/>
              <w:spacing w:line="273" w:lineRule="auto" w:before="37"/>
              <w:ind w:left="527" w:right="28" w:hanging="420"/>
              <w:rPr>
                <w:sz w:val="21"/>
              </w:rPr>
            </w:pPr>
            <w:r>
              <w:rPr>
                <w:sz w:val="21"/>
              </w:rPr>
              <w:t>24、特发性慢性肾上腺皮质功能减退</w:t>
            </w:r>
          </w:p>
          <w:p>
            <w:pPr>
              <w:pStyle w:val="TableParagraph"/>
              <w:spacing w:before="8"/>
              <w:ind w:left="107"/>
              <w:rPr>
                <w:sz w:val="21"/>
              </w:rPr>
            </w:pPr>
            <w:r>
              <w:rPr>
                <w:sz w:val="21"/>
              </w:rPr>
              <w:t>27、小肠移植</w:t>
            </w:r>
          </w:p>
          <w:p>
            <w:pPr>
              <w:pStyle w:val="TableParagraph"/>
              <w:spacing w:before="37"/>
              <w:ind w:left="107"/>
              <w:rPr>
                <w:sz w:val="21"/>
              </w:rPr>
            </w:pPr>
            <w:r>
              <w:rPr>
                <w:sz w:val="21"/>
              </w:rPr>
              <w:t>29、严重的原发性硬化性胆管炎</w:t>
            </w:r>
          </w:p>
        </w:tc>
        <w:tc>
          <w:tcPr>
            <w:tcW w:w="3561" w:type="dxa"/>
            <w:tcBorders>
              <w:left w:val="nil"/>
            </w:tcBorders>
          </w:tcPr>
          <w:p>
            <w:pPr>
              <w:pStyle w:val="TableParagraph"/>
              <w:spacing w:line="262" w:lineRule="exact"/>
              <w:ind w:left="181" w:right="-15"/>
              <w:rPr>
                <w:sz w:val="21"/>
              </w:rPr>
            </w:pPr>
            <w:r>
              <w:rPr>
                <w:sz w:val="21"/>
              </w:rPr>
              <w:t>2</w:t>
            </w:r>
            <w:r>
              <w:rPr>
                <w:spacing w:val="-15"/>
                <w:sz w:val="21"/>
              </w:rPr>
              <w:t>、侵蚀性葡萄胎</w:t>
            </w:r>
            <w:r>
              <w:rPr>
                <w:spacing w:val="-3"/>
                <w:sz w:val="21"/>
              </w:rPr>
              <w:t>（或称恶性葡萄胎</w:t>
            </w:r>
            <w:r>
              <w:rPr>
                <w:sz w:val="21"/>
              </w:rPr>
              <w:t>）</w:t>
            </w:r>
          </w:p>
          <w:p>
            <w:pPr>
              <w:pStyle w:val="TableParagraph"/>
              <w:spacing w:before="37"/>
              <w:ind w:left="181"/>
              <w:rPr>
                <w:sz w:val="21"/>
              </w:rPr>
            </w:pPr>
            <w:r>
              <w:rPr>
                <w:sz w:val="21"/>
              </w:rPr>
              <w:t>4、严重溃疡性结肠炎</w:t>
            </w:r>
          </w:p>
          <w:p>
            <w:pPr>
              <w:pStyle w:val="TableParagraph"/>
              <w:spacing w:before="37"/>
              <w:ind w:left="181"/>
              <w:rPr>
                <w:sz w:val="21"/>
              </w:rPr>
            </w:pPr>
            <w:r>
              <w:rPr>
                <w:sz w:val="21"/>
              </w:rPr>
              <w:t>6、胰腺移植</w:t>
            </w:r>
          </w:p>
          <w:p>
            <w:pPr>
              <w:pStyle w:val="TableParagraph"/>
              <w:spacing w:before="37"/>
              <w:ind w:left="181"/>
              <w:rPr>
                <w:sz w:val="21"/>
              </w:rPr>
            </w:pPr>
            <w:r>
              <w:rPr>
                <w:sz w:val="21"/>
              </w:rPr>
              <w:t>8、严重自身免疫性肝炎</w:t>
            </w:r>
          </w:p>
          <w:p>
            <w:pPr>
              <w:pStyle w:val="TableParagraph"/>
              <w:spacing w:before="37"/>
              <w:ind w:left="181"/>
              <w:rPr>
                <w:sz w:val="21"/>
              </w:rPr>
            </w:pPr>
            <w:r>
              <w:rPr>
                <w:sz w:val="21"/>
              </w:rPr>
              <w:t>10、慢性复发性胰腺炎</w:t>
            </w:r>
          </w:p>
          <w:p>
            <w:pPr>
              <w:pStyle w:val="TableParagraph"/>
              <w:spacing w:before="37"/>
              <w:ind w:left="181"/>
              <w:rPr>
                <w:sz w:val="21"/>
              </w:rPr>
            </w:pPr>
            <w:r>
              <w:rPr>
                <w:sz w:val="21"/>
              </w:rPr>
              <w:t>12、严重克隆病</w:t>
            </w:r>
          </w:p>
          <w:p>
            <w:pPr>
              <w:pStyle w:val="TableParagraph"/>
              <w:spacing w:before="37"/>
              <w:ind w:left="181"/>
              <w:rPr>
                <w:sz w:val="21"/>
              </w:rPr>
            </w:pPr>
            <w:r>
              <w:rPr>
                <w:sz w:val="21"/>
              </w:rPr>
              <w:t>14、胆道重建手术</w:t>
            </w:r>
          </w:p>
          <w:p>
            <w:pPr>
              <w:pStyle w:val="TableParagraph"/>
              <w:spacing w:before="37"/>
              <w:ind w:left="181"/>
              <w:rPr>
                <w:sz w:val="21"/>
              </w:rPr>
            </w:pPr>
            <w:r>
              <w:rPr>
                <w:sz w:val="21"/>
              </w:rPr>
              <w:t>16、慢性肝功能衰竭失代偿期</w:t>
            </w:r>
          </w:p>
          <w:p>
            <w:pPr>
              <w:pStyle w:val="TableParagraph"/>
              <w:spacing w:line="273" w:lineRule="auto" w:before="37"/>
              <w:ind w:left="601" w:right="89" w:hanging="420"/>
              <w:rPr>
                <w:sz w:val="21"/>
              </w:rPr>
            </w:pPr>
            <w:r>
              <w:rPr>
                <w:sz w:val="21"/>
              </w:rPr>
              <w:t>17、系统性红斑狼疮并发肾功能损害</w:t>
            </w:r>
          </w:p>
          <w:p>
            <w:pPr>
              <w:pStyle w:val="TableParagraph"/>
              <w:spacing w:before="7"/>
              <w:ind w:left="181"/>
              <w:rPr>
                <w:sz w:val="21"/>
              </w:rPr>
            </w:pPr>
            <w:r>
              <w:rPr>
                <w:sz w:val="21"/>
              </w:rPr>
              <w:t>20、急性坏死性胰腺炎开腹手术</w:t>
            </w:r>
          </w:p>
          <w:p>
            <w:pPr>
              <w:pStyle w:val="TableParagraph"/>
              <w:spacing w:before="36"/>
              <w:ind w:left="181" w:right="-15"/>
              <w:rPr>
                <w:sz w:val="21"/>
              </w:rPr>
            </w:pPr>
            <w:r>
              <w:rPr>
                <w:sz w:val="21"/>
              </w:rPr>
              <w:t>21</w:t>
            </w:r>
            <w:r>
              <w:rPr>
                <w:spacing w:val="-7"/>
                <w:sz w:val="21"/>
              </w:rPr>
              <w:t>、严重肝豆状核变性</w:t>
            </w:r>
            <w:r>
              <w:rPr>
                <w:sz w:val="21"/>
              </w:rPr>
              <w:t>（Wilson</w:t>
            </w:r>
            <w:r>
              <w:rPr>
                <w:spacing w:val="-21"/>
                <w:sz w:val="21"/>
              </w:rPr>
              <w:t> 病</w:t>
            </w:r>
            <w:r>
              <w:rPr>
                <w:sz w:val="21"/>
              </w:rPr>
              <w:t>）</w:t>
            </w:r>
          </w:p>
          <w:p>
            <w:pPr>
              <w:pStyle w:val="TableParagraph"/>
              <w:spacing w:before="37"/>
              <w:ind w:left="181"/>
              <w:rPr>
                <w:sz w:val="21"/>
              </w:rPr>
            </w:pPr>
            <w:r>
              <w:rPr>
                <w:sz w:val="21"/>
              </w:rPr>
              <w:t>23、肺泡蛋白质沉积症</w:t>
            </w:r>
          </w:p>
          <w:p>
            <w:pPr>
              <w:pStyle w:val="TableParagraph"/>
              <w:spacing w:before="37"/>
              <w:ind w:left="181"/>
              <w:rPr>
                <w:sz w:val="21"/>
              </w:rPr>
            </w:pPr>
            <w:r>
              <w:rPr>
                <w:sz w:val="21"/>
              </w:rPr>
              <w:t>25、严重的骨髓增生异常综合征</w:t>
            </w:r>
          </w:p>
          <w:p>
            <w:pPr>
              <w:pStyle w:val="TableParagraph"/>
              <w:spacing w:before="37"/>
              <w:ind w:left="181"/>
              <w:rPr>
                <w:sz w:val="21"/>
              </w:rPr>
            </w:pPr>
            <w:r>
              <w:rPr>
                <w:sz w:val="21"/>
              </w:rPr>
              <w:t>26、骨髓纤维化</w:t>
            </w:r>
          </w:p>
          <w:p>
            <w:pPr>
              <w:pStyle w:val="TableParagraph"/>
              <w:spacing w:before="37"/>
              <w:ind w:left="181"/>
              <w:rPr>
                <w:sz w:val="21"/>
              </w:rPr>
            </w:pPr>
            <w:r>
              <w:rPr>
                <w:sz w:val="21"/>
              </w:rPr>
              <w:t>28、弥漫性血管内凝血</w:t>
            </w:r>
          </w:p>
        </w:tc>
      </w:tr>
      <w:tr>
        <w:trPr>
          <w:trHeight w:val="328" w:hRule="atLeast"/>
        </w:trPr>
        <w:tc>
          <w:tcPr>
            <w:tcW w:w="6910" w:type="dxa"/>
            <w:gridSpan w:val="2"/>
          </w:tcPr>
          <w:p>
            <w:pPr>
              <w:pStyle w:val="TableParagraph"/>
              <w:spacing w:line="262" w:lineRule="exact"/>
              <w:ind w:left="107"/>
              <w:rPr>
                <w:b/>
                <w:sz w:val="21"/>
              </w:rPr>
            </w:pPr>
            <w:r>
              <w:rPr>
                <w:b/>
                <w:sz w:val="21"/>
              </w:rPr>
              <w:t>第 2 组：心血管相关类重疾及其他（24 种）</w:t>
            </w:r>
          </w:p>
        </w:tc>
      </w:tr>
      <w:tr>
        <w:trPr>
          <w:trHeight w:val="4991" w:hRule="atLeast"/>
        </w:trPr>
        <w:tc>
          <w:tcPr>
            <w:tcW w:w="3349" w:type="dxa"/>
            <w:tcBorders>
              <w:right w:val="nil"/>
            </w:tcBorders>
          </w:tcPr>
          <w:p>
            <w:pPr>
              <w:pStyle w:val="TableParagraph"/>
              <w:spacing w:line="262" w:lineRule="exact"/>
              <w:ind w:left="107"/>
              <w:rPr>
                <w:sz w:val="21"/>
              </w:rPr>
            </w:pPr>
            <w:r>
              <w:rPr>
                <w:sz w:val="21"/>
              </w:rPr>
              <w:t>30、急性心肌梗塞</w:t>
            </w:r>
          </w:p>
          <w:p>
            <w:pPr>
              <w:pStyle w:val="TableParagraph"/>
              <w:spacing w:before="37"/>
              <w:ind w:left="107"/>
              <w:rPr>
                <w:sz w:val="21"/>
              </w:rPr>
            </w:pPr>
            <w:r>
              <w:rPr>
                <w:sz w:val="21"/>
              </w:rPr>
              <w:t>32、主动脉手术</w:t>
            </w:r>
          </w:p>
          <w:p>
            <w:pPr>
              <w:pStyle w:val="TableParagraph"/>
              <w:spacing w:before="37"/>
              <w:ind w:left="107"/>
              <w:rPr>
                <w:sz w:val="21"/>
              </w:rPr>
            </w:pPr>
            <w:r>
              <w:rPr>
                <w:sz w:val="21"/>
              </w:rPr>
              <w:t>34、艾森门格综合征</w:t>
            </w:r>
          </w:p>
          <w:p>
            <w:pPr>
              <w:pStyle w:val="TableParagraph"/>
              <w:spacing w:before="37"/>
              <w:ind w:left="107"/>
              <w:rPr>
                <w:sz w:val="21"/>
              </w:rPr>
            </w:pPr>
            <w:r>
              <w:rPr>
                <w:sz w:val="21"/>
              </w:rPr>
              <w:t>36、严重原发性肺动脉高压</w:t>
            </w:r>
          </w:p>
          <w:p>
            <w:pPr>
              <w:pStyle w:val="TableParagraph"/>
              <w:spacing w:line="273" w:lineRule="auto" w:before="37"/>
              <w:ind w:left="527" w:right="169" w:hanging="421"/>
              <w:rPr>
                <w:sz w:val="21"/>
              </w:rPr>
            </w:pPr>
            <w:r>
              <w:rPr>
                <w:sz w:val="21"/>
              </w:rPr>
              <w:t>38</w:t>
            </w:r>
            <w:r>
              <w:rPr>
                <w:spacing w:val="-14"/>
                <w:sz w:val="21"/>
              </w:rPr>
              <w:t>、冠状动脉搭桥术</w:t>
            </w:r>
            <w:r>
              <w:rPr>
                <w:spacing w:val="-3"/>
                <w:sz w:val="21"/>
              </w:rPr>
              <w:t>（</w:t>
            </w:r>
            <w:r>
              <w:rPr>
                <w:spacing w:val="-2"/>
                <w:sz w:val="21"/>
              </w:rPr>
              <w:t>或称冠状动</w:t>
            </w:r>
            <w:r>
              <w:rPr>
                <w:spacing w:val="-3"/>
                <w:sz w:val="21"/>
              </w:rPr>
              <w:t>脉旁路移植术</w:t>
            </w:r>
            <w:r>
              <w:rPr>
                <w:sz w:val="21"/>
              </w:rPr>
              <w:t>）</w:t>
            </w:r>
          </w:p>
          <w:p>
            <w:pPr>
              <w:pStyle w:val="TableParagraph"/>
              <w:spacing w:before="7"/>
              <w:ind w:left="107"/>
              <w:rPr>
                <w:sz w:val="21"/>
              </w:rPr>
            </w:pPr>
            <w:r>
              <w:rPr>
                <w:sz w:val="21"/>
              </w:rPr>
              <w:t>41、风湿热导致的心脏瓣膜疾病</w:t>
            </w:r>
          </w:p>
          <w:p>
            <w:pPr>
              <w:pStyle w:val="TableParagraph"/>
              <w:spacing w:before="36"/>
              <w:ind w:left="107"/>
              <w:rPr>
                <w:sz w:val="21"/>
              </w:rPr>
            </w:pPr>
            <w:r>
              <w:rPr>
                <w:sz w:val="21"/>
              </w:rPr>
              <w:t>43、嗜铬细胞瘤</w:t>
            </w:r>
          </w:p>
          <w:p>
            <w:pPr>
              <w:pStyle w:val="TableParagraph"/>
              <w:spacing w:line="273" w:lineRule="auto" w:before="36"/>
              <w:ind w:left="422" w:right="169" w:hanging="315"/>
              <w:rPr>
                <w:sz w:val="21"/>
              </w:rPr>
            </w:pPr>
            <w:r>
              <w:rPr>
                <w:sz w:val="21"/>
              </w:rPr>
              <w:t>45</w:t>
            </w:r>
            <w:r>
              <w:rPr>
                <w:spacing w:val="-11"/>
                <w:sz w:val="21"/>
              </w:rPr>
              <w:t>、经输血导致的艾滋病病毒感染</w:t>
            </w:r>
            <w:r>
              <w:rPr>
                <w:spacing w:val="-6"/>
                <w:sz w:val="21"/>
              </w:rPr>
              <w:t>或患艾滋病</w:t>
            </w:r>
          </w:p>
          <w:p>
            <w:pPr>
              <w:pStyle w:val="TableParagraph"/>
              <w:spacing w:line="273" w:lineRule="auto" w:before="7"/>
              <w:ind w:left="421" w:right="169" w:hanging="315"/>
              <w:rPr>
                <w:sz w:val="21"/>
              </w:rPr>
            </w:pPr>
            <w:r>
              <w:rPr>
                <w:sz w:val="21"/>
              </w:rPr>
              <w:t>47</w:t>
            </w:r>
            <w:r>
              <w:rPr>
                <w:spacing w:val="-11"/>
                <w:sz w:val="21"/>
              </w:rPr>
              <w:t>、因器官移植导致艾滋病病毒感</w:t>
            </w:r>
            <w:r>
              <w:rPr>
                <w:spacing w:val="-6"/>
                <w:sz w:val="21"/>
              </w:rPr>
              <w:t>染或患艾滋病</w:t>
            </w:r>
          </w:p>
          <w:p>
            <w:pPr>
              <w:pStyle w:val="TableParagraph"/>
              <w:spacing w:before="7"/>
              <w:ind w:left="107"/>
              <w:rPr>
                <w:sz w:val="21"/>
              </w:rPr>
            </w:pPr>
            <w:r>
              <w:rPr>
                <w:sz w:val="21"/>
              </w:rPr>
              <w:t>50、多处臂丛神经根性撕脱</w:t>
            </w:r>
          </w:p>
          <w:p>
            <w:pPr>
              <w:pStyle w:val="TableParagraph"/>
              <w:spacing w:line="273" w:lineRule="auto" w:before="37"/>
              <w:ind w:left="527" w:right="167" w:hanging="421"/>
              <w:jc w:val="both"/>
              <w:rPr>
                <w:sz w:val="21"/>
              </w:rPr>
            </w:pPr>
            <w:r>
              <w:rPr>
                <w:sz w:val="21"/>
              </w:rPr>
              <w:t>52、严重瑞氏综合症（Reye</w:t>
            </w:r>
            <w:r>
              <w:rPr>
                <w:spacing w:val="5"/>
                <w:sz w:val="21"/>
              </w:rPr>
              <w:t> 综合</w:t>
            </w:r>
            <w:r>
              <w:rPr>
                <w:spacing w:val="-12"/>
                <w:sz w:val="21"/>
              </w:rPr>
              <w:t>征，也称赖氏综合征、雷氏综合征）</w:t>
            </w:r>
          </w:p>
        </w:tc>
        <w:tc>
          <w:tcPr>
            <w:tcW w:w="3561" w:type="dxa"/>
            <w:tcBorders>
              <w:left w:val="nil"/>
            </w:tcBorders>
          </w:tcPr>
          <w:p>
            <w:pPr>
              <w:pStyle w:val="TableParagraph"/>
              <w:spacing w:line="262" w:lineRule="exact"/>
              <w:ind w:left="39"/>
              <w:rPr>
                <w:sz w:val="21"/>
              </w:rPr>
            </w:pPr>
            <w:r>
              <w:rPr>
                <w:sz w:val="21"/>
              </w:rPr>
              <w:t>31、心脏瓣膜手术</w:t>
            </w:r>
          </w:p>
          <w:p>
            <w:pPr>
              <w:pStyle w:val="TableParagraph"/>
              <w:spacing w:before="37"/>
              <w:ind w:left="39"/>
              <w:rPr>
                <w:sz w:val="21"/>
              </w:rPr>
            </w:pPr>
            <w:r>
              <w:rPr>
                <w:sz w:val="21"/>
              </w:rPr>
              <w:t>33、严重感染性心内膜炎</w:t>
            </w:r>
          </w:p>
          <w:p>
            <w:pPr>
              <w:pStyle w:val="TableParagraph"/>
              <w:spacing w:before="37"/>
              <w:ind w:left="39"/>
              <w:rPr>
                <w:sz w:val="21"/>
              </w:rPr>
            </w:pPr>
            <w:r>
              <w:rPr>
                <w:sz w:val="21"/>
              </w:rPr>
              <w:t>35、严重冠心病</w:t>
            </w:r>
          </w:p>
          <w:p>
            <w:pPr>
              <w:pStyle w:val="TableParagraph"/>
              <w:spacing w:before="37"/>
              <w:ind w:left="39"/>
              <w:rPr>
                <w:sz w:val="21"/>
              </w:rPr>
            </w:pPr>
            <w:r>
              <w:rPr>
                <w:sz w:val="21"/>
              </w:rPr>
              <w:t>37、严重的原发性心肌病</w:t>
            </w:r>
          </w:p>
          <w:p>
            <w:pPr>
              <w:pStyle w:val="TableParagraph"/>
              <w:spacing w:before="37"/>
              <w:ind w:left="39"/>
              <w:rPr>
                <w:sz w:val="21"/>
              </w:rPr>
            </w:pPr>
            <w:r>
              <w:rPr>
                <w:sz w:val="21"/>
              </w:rPr>
              <w:t>39、严重肺源性心脏病</w:t>
            </w:r>
          </w:p>
          <w:p>
            <w:pPr>
              <w:pStyle w:val="TableParagraph"/>
              <w:spacing w:before="37"/>
              <w:ind w:left="39"/>
              <w:rPr>
                <w:sz w:val="21"/>
              </w:rPr>
            </w:pPr>
            <w:r>
              <w:rPr>
                <w:sz w:val="21"/>
              </w:rPr>
              <w:t>40、严重的Ⅲ度房室传导阻滞</w:t>
            </w:r>
          </w:p>
          <w:p>
            <w:pPr>
              <w:pStyle w:val="TableParagraph"/>
              <w:spacing w:before="37"/>
              <w:ind w:left="39"/>
              <w:rPr>
                <w:sz w:val="21"/>
              </w:rPr>
            </w:pPr>
            <w:r>
              <w:rPr>
                <w:sz w:val="21"/>
              </w:rPr>
              <w:t>42、象皮病</w:t>
            </w:r>
          </w:p>
          <w:p>
            <w:pPr>
              <w:pStyle w:val="TableParagraph"/>
              <w:spacing w:before="37"/>
              <w:ind w:left="39"/>
              <w:rPr>
                <w:sz w:val="21"/>
              </w:rPr>
            </w:pPr>
            <w:r>
              <w:rPr>
                <w:sz w:val="21"/>
              </w:rPr>
              <w:t>44、严重类风湿性关节炎</w:t>
            </w:r>
          </w:p>
          <w:p>
            <w:pPr>
              <w:pStyle w:val="TableParagraph"/>
              <w:spacing w:line="273" w:lineRule="auto" w:before="37"/>
              <w:ind w:left="459" w:right="95" w:hanging="420"/>
              <w:rPr>
                <w:sz w:val="21"/>
              </w:rPr>
            </w:pPr>
            <w:r>
              <w:rPr>
                <w:sz w:val="21"/>
              </w:rPr>
              <w:t>46、因职业关系导致的艾滋病病毒感染或患艾滋病</w:t>
            </w:r>
          </w:p>
          <w:p>
            <w:pPr>
              <w:pStyle w:val="TableParagraph"/>
              <w:spacing w:before="7"/>
              <w:ind w:left="39"/>
              <w:rPr>
                <w:sz w:val="21"/>
              </w:rPr>
            </w:pPr>
            <w:r>
              <w:rPr>
                <w:sz w:val="21"/>
              </w:rPr>
              <w:t>48、严重的 1 型糖尿病</w:t>
            </w:r>
          </w:p>
          <w:p>
            <w:pPr>
              <w:pStyle w:val="TableParagraph"/>
              <w:spacing w:before="36"/>
              <w:ind w:left="39"/>
              <w:rPr>
                <w:sz w:val="21"/>
              </w:rPr>
            </w:pPr>
            <w:r>
              <w:rPr>
                <w:sz w:val="21"/>
              </w:rPr>
              <w:t>49、成骨不全症第三型</w:t>
            </w:r>
          </w:p>
          <w:p>
            <w:pPr>
              <w:pStyle w:val="TableParagraph"/>
              <w:spacing w:before="36"/>
              <w:ind w:left="39"/>
              <w:rPr>
                <w:sz w:val="21"/>
              </w:rPr>
            </w:pPr>
            <w:r>
              <w:rPr>
                <w:sz w:val="21"/>
              </w:rPr>
              <w:t>51、溶血性链球菌引起的坏疽</w:t>
            </w:r>
          </w:p>
          <w:p>
            <w:pPr>
              <w:pStyle w:val="TableParagraph"/>
              <w:spacing w:before="36"/>
              <w:ind w:left="39"/>
              <w:rPr>
                <w:sz w:val="21"/>
              </w:rPr>
            </w:pPr>
            <w:r>
              <w:rPr>
                <w:sz w:val="21"/>
              </w:rPr>
              <w:t>53、原发性脊柱侧弯的矫正手术</w:t>
            </w:r>
          </w:p>
        </w:tc>
      </w:tr>
      <w:tr>
        <w:trPr>
          <w:trHeight w:val="314" w:hRule="atLeast"/>
        </w:trPr>
        <w:tc>
          <w:tcPr>
            <w:tcW w:w="6910" w:type="dxa"/>
            <w:gridSpan w:val="2"/>
          </w:tcPr>
          <w:p>
            <w:pPr>
              <w:pStyle w:val="TableParagraph"/>
              <w:spacing w:line="265" w:lineRule="exact"/>
              <w:ind w:left="107"/>
              <w:rPr>
                <w:b/>
                <w:sz w:val="21"/>
              </w:rPr>
            </w:pPr>
            <w:r>
              <w:rPr>
                <w:b/>
                <w:sz w:val="21"/>
              </w:rPr>
              <w:t>第 3 组：神经系统相关及其他（27 种）</w:t>
            </w:r>
          </w:p>
        </w:tc>
      </w:tr>
      <w:tr>
        <w:trPr>
          <w:trHeight w:val="2486" w:hRule="atLeast"/>
        </w:trPr>
        <w:tc>
          <w:tcPr>
            <w:tcW w:w="3349" w:type="dxa"/>
            <w:tcBorders>
              <w:right w:val="nil"/>
            </w:tcBorders>
          </w:tcPr>
          <w:p>
            <w:pPr>
              <w:pStyle w:val="TableParagraph"/>
              <w:spacing w:line="262" w:lineRule="exact"/>
              <w:ind w:left="107"/>
              <w:rPr>
                <w:sz w:val="21"/>
              </w:rPr>
            </w:pPr>
            <w:r>
              <w:rPr>
                <w:sz w:val="21"/>
              </w:rPr>
              <w:t>54、脑中风后遗症</w:t>
            </w:r>
          </w:p>
          <w:p>
            <w:pPr>
              <w:pStyle w:val="TableParagraph"/>
              <w:spacing w:before="37"/>
              <w:ind w:left="107"/>
              <w:rPr>
                <w:sz w:val="21"/>
              </w:rPr>
            </w:pPr>
            <w:r>
              <w:rPr>
                <w:sz w:val="21"/>
              </w:rPr>
              <w:t>56、深度昏迷</w:t>
            </w:r>
          </w:p>
          <w:p>
            <w:pPr>
              <w:pStyle w:val="TableParagraph"/>
              <w:spacing w:before="37"/>
              <w:ind w:left="107"/>
              <w:rPr>
                <w:sz w:val="21"/>
              </w:rPr>
            </w:pPr>
            <w:r>
              <w:rPr>
                <w:sz w:val="21"/>
              </w:rPr>
              <w:t>58、严重帕金森病</w:t>
            </w:r>
          </w:p>
          <w:p>
            <w:pPr>
              <w:pStyle w:val="TableParagraph"/>
              <w:spacing w:before="37"/>
              <w:ind w:left="107"/>
              <w:rPr>
                <w:sz w:val="21"/>
              </w:rPr>
            </w:pPr>
            <w:r>
              <w:rPr>
                <w:sz w:val="21"/>
              </w:rPr>
              <w:t>60、植物人状态</w:t>
            </w:r>
          </w:p>
          <w:p>
            <w:pPr>
              <w:pStyle w:val="TableParagraph"/>
              <w:spacing w:before="37"/>
              <w:ind w:left="107"/>
              <w:rPr>
                <w:sz w:val="21"/>
              </w:rPr>
            </w:pPr>
            <w:r>
              <w:rPr>
                <w:sz w:val="21"/>
              </w:rPr>
              <w:t>62、克雅氏病</w:t>
            </w:r>
          </w:p>
          <w:p>
            <w:pPr>
              <w:pStyle w:val="TableParagraph"/>
              <w:spacing w:before="37"/>
              <w:ind w:left="107"/>
              <w:rPr>
                <w:sz w:val="21"/>
              </w:rPr>
            </w:pPr>
            <w:r>
              <w:rPr>
                <w:sz w:val="21"/>
              </w:rPr>
              <w:t>64、脊髓小脑变性症</w:t>
            </w:r>
          </w:p>
          <w:p>
            <w:pPr>
              <w:pStyle w:val="TableParagraph"/>
              <w:spacing w:before="37"/>
              <w:ind w:left="107"/>
              <w:rPr>
                <w:sz w:val="21"/>
              </w:rPr>
            </w:pPr>
            <w:r>
              <w:rPr>
                <w:sz w:val="21"/>
              </w:rPr>
              <w:t>66、严重阿尔茨海默病</w:t>
            </w:r>
          </w:p>
          <w:p>
            <w:pPr>
              <w:pStyle w:val="TableParagraph"/>
              <w:spacing w:before="37"/>
              <w:ind w:left="107"/>
              <w:rPr>
                <w:sz w:val="21"/>
              </w:rPr>
            </w:pPr>
            <w:r>
              <w:rPr>
                <w:sz w:val="21"/>
              </w:rPr>
              <w:t>68、严重运动神经元病</w:t>
            </w:r>
          </w:p>
        </w:tc>
        <w:tc>
          <w:tcPr>
            <w:tcW w:w="3561" w:type="dxa"/>
            <w:tcBorders>
              <w:left w:val="nil"/>
            </w:tcBorders>
          </w:tcPr>
          <w:p>
            <w:pPr>
              <w:pStyle w:val="TableParagraph"/>
              <w:spacing w:line="262" w:lineRule="exact"/>
              <w:ind w:left="39"/>
              <w:rPr>
                <w:sz w:val="21"/>
              </w:rPr>
            </w:pPr>
            <w:r>
              <w:rPr>
                <w:sz w:val="21"/>
              </w:rPr>
              <w:t>55、良性脑肿瘤</w:t>
            </w:r>
          </w:p>
          <w:p>
            <w:pPr>
              <w:pStyle w:val="TableParagraph"/>
              <w:spacing w:before="37"/>
              <w:ind w:left="39"/>
              <w:rPr>
                <w:sz w:val="21"/>
              </w:rPr>
            </w:pPr>
            <w:r>
              <w:rPr>
                <w:sz w:val="21"/>
              </w:rPr>
              <w:t>57、瘫痪</w:t>
            </w:r>
          </w:p>
          <w:p>
            <w:pPr>
              <w:pStyle w:val="TableParagraph"/>
              <w:spacing w:before="37"/>
              <w:ind w:left="39"/>
              <w:rPr>
                <w:sz w:val="21"/>
              </w:rPr>
            </w:pPr>
            <w:r>
              <w:rPr>
                <w:sz w:val="21"/>
              </w:rPr>
              <w:t>59、严重脑损伤</w:t>
            </w:r>
          </w:p>
          <w:p>
            <w:pPr>
              <w:pStyle w:val="TableParagraph"/>
              <w:spacing w:before="37"/>
              <w:ind w:left="39"/>
              <w:rPr>
                <w:sz w:val="21"/>
              </w:rPr>
            </w:pPr>
            <w:r>
              <w:rPr>
                <w:sz w:val="21"/>
              </w:rPr>
              <w:t>61、开颅手术</w:t>
            </w:r>
          </w:p>
          <w:p>
            <w:pPr>
              <w:pStyle w:val="TableParagraph"/>
              <w:spacing w:before="37"/>
              <w:ind w:left="39"/>
              <w:rPr>
                <w:sz w:val="21"/>
              </w:rPr>
            </w:pPr>
            <w:r>
              <w:rPr>
                <w:sz w:val="21"/>
              </w:rPr>
              <w:t>63、进行性多灶性白质脑病</w:t>
            </w:r>
          </w:p>
          <w:p>
            <w:pPr>
              <w:pStyle w:val="TableParagraph"/>
              <w:spacing w:before="37"/>
              <w:ind w:left="39"/>
              <w:rPr>
                <w:sz w:val="21"/>
              </w:rPr>
            </w:pPr>
            <w:r>
              <w:rPr>
                <w:sz w:val="21"/>
              </w:rPr>
              <w:t>65、脑炎后遗症或脑膜炎后遗症</w:t>
            </w:r>
          </w:p>
          <w:p>
            <w:pPr>
              <w:pStyle w:val="TableParagraph"/>
              <w:spacing w:before="37"/>
              <w:ind w:left="39"/>
              <w:rPr>
                <w:sz w:val="21"/>
              </w:rPr>
            </w:pPr>
            <w:r>
              <w:rPr>
                <w:sz w:val="21"/>
              </w:rPr>
              <w:t>67、严重的多发性硬化</w:t>
            </w:r>
          </w:p>
          <w:p>
            <w:pPr>
              <w:pStyle w:val="TableParagraph"/>
              <w:spacing w:before="37"/>
              <w:ind w:left="39"/>
              <w:rPr>
                <w:sz w:val="21"/>
              </w:rPr>
            </w:pPr>
            <w:r>
              <w:rPr>
                <w:sz w:val="21"/>
              </w:rPr>
              <w:t>69、非阿尔茨海默病所致严重痴呆</w:t>
            </w:r>
          </w:p>
        </w:tc>
      </w:tr>
    </w:tbl>
    <w:p>
      <w:pPr>
        <w:spacing w:after="0"/>
        <w:rPr>
          <w:sz w:val="21"/>
        </w:rPr>
        <w:sectPr>
          <w:type w:val="continuous"/>
          <w:pgSz w:w="11910" w:h="16840"/>
          <w:pgMar w:top="500" w:bottom="280" w:left="1680" w:right="8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2003"/>
        <w:gridCol w:w="7086"/>
      </w:tblGrid>
      <w:tr>
        <w:trPr>
          <w:trHeight w:val="2063" w:hRule="atLeast"/>
        </w:trPr>
        <w:tc>
          <w:tcPr>
            <w:tcW w:w="1140" w:type="dxa"/>
          </w:tcPr>
          <w:p>
            <w:pPr>
              <w:pStyle w:val="TableParagraph"/>
              <w:rPr>
                <w:rFonts w:ascii="Times New Roman"/>
                <w:sz w:val="18"/>
              </w:rPr>
            </w:pPr>
          </w:p>
        </w:tc>
        <w:tc>
          <w:tcPr>
            <w:tcW w:w="2003" w:type="dxa"/>
            <w:tcBorders>
              <w:right w:val="single" w:sz="4" w:space="0" w:color="000000"/>
            </w:tcBorders>
          </w:tcPr>
          <w:p>
            <w:pPr>
              <w:pStyle w:val="TableParagraph"/>
              <w:rPr>
                <w:rFonts w:ascii="Times New Roman"/>
                <w:sz w:val="18"/>
              </w:rPr>
            </w:pPr>
          </w:p>
        </w:tc>
        <w:tc>
          <w:tcPr>
            <w:tcW w:w="7086" w:type="dxa"/>
            <w:tcBorders>
              <w:top w:val="single" w:sz="4" w:space="0" w:color="000000"/>
              <w:left w:val="single" w:sz="4" w:space="0" w:color="000000"/>
              <w:bottom w:val="single" w:sz="4" w:space="0" w:color="000000"/>
            </w:tcBorders>
          </w:tcPr>
          <w:p>
            <w:pPr>
              <w:pStyle w:val="TableParagraph"/>
              <w:tabs>
                <w:tab w:pos="3379" w:val="left" w:leader="none"/>
              </w:tabs>
              <w:spacing w:line="259" w:lineRule="exact"/>
              <w:ind w:left="103"/>
              <w:rPr>
                <w:sz w:val="21"/>
              </w:rPr>
            </w:pPr>
            <w:r>
              <w:rPr>
                <w:sz w:val="21"/>
              </w:rPr>
              <w:t>70、</w:t>
            </w:r>
            <w:r>
              <w:rPr>
                <w:spacing w:val="-3"/>
                <w:sz w:val="21"/>
              </w:rPr>
              <w:t>进</w:t>
            </w:r>
            <w:r>
              <w:rPr>
                <w:sz w:val="21"/>
              </w:rPr>
              <w:t>行</w:t>
            </w:r>
            <w:r>
              <w:rPr>
                <w:spacing w:val="-3"/>
                <w:sz w:val="21"/>
              </w:rPr>
              <w:t>性</w:t>
            </w:r>
            <w:r>
              <w:rPr>
                <w:sz w:val="21"/>
              </w:rPr>
              <w:t>核</w:t>
            </w:r>
            <w:r>
              <w:rPr>
                <w:spacing w:val="-3"/>
                <w:sz w:val="21"/>
              </w:rPr>
              <w:t>上</w:t>
            </w:r>
            <w:r>
              <w:rPr>
                <w:sz w:val="21"/>
              </w:rPr>
              <w:t>性</w:t>
            </w:r>
            <w:r>
              <w:rPr>
                <w:spacing w:val="-3"/>
                <w:sz w:val="21"/>
              </w:rPr>
              <w:t>麻</w:t>
            </w:r>
            <w:r>
              <w:rPr>
                <w:sz w:val="21"/>
              </w:rPr>
              <w:t>痹</w:t>
              <w:tab/>
              <w:t>71、</w:t>
            </w:r>
            <w:r>
              <w:rPr>
                <w:spacing w:val="-3"/>
                <w:sz w:val="21"/>
              </w:rPr>
              <w:t>亚</w:t>
            </w:r>
            <w:r>
              <w:rPr>
                <w:sz w:val="21"/>
              </w:rPr>
              <w:t>急</w:t>
            </w:r>
            <w:r>
              <w:rPr>
                <w:spacing w:val="-3"/>
                <w:sz w:val="21"/>
              </w:rPr>
              <w:t>性</w:t>
            </w:r>
            <w:r>
              <w:rPr>
                <w:sz w:val="21"/>
              </w:rPr>
              <w:t>硬</w:t>
            </w:r>
            <w:r>
              <w:rPr>
                <w:spacing w:val="-3"/>
                <w:sz w:val="21"/>
              </w:rPr>
              <w:t>化</w:t>
            </w:r>
            <w:r>
              <w:rPr>
                <w:sz w:val="21"/>
              </w:rPr>
              <w:t>性</w:t>
            </w:r>
            <w:r>
              <w:rPr>
                <w:spacing w:val="-3"/>
                <w:sz w:val="21"/>
              </w:rPr>
              <w:t>全</w:t>
            </w:r>
            <w:r>
              <w:rPr>
                <w:sz w:val="21"/>
              </w:rPr>
              <w:t>脑炎</w:t>
            </w:r>
          </w:p>
          <w:p>
            <w:pPr>
              <w:pStyle w:val="TableParagraph"/>
              <w:tabs>
                <w:tab w:pos="3379" w:val="left" w:leader="none"/>
              </w:tabs>
              <w:spacing w:before="37"/>
              <w:ind w:left="103"/>
              <w:rPr>
                <w:sz w:val="21"/>
              </w:rPr>
            </w:pPr>
            <w:r>
              <w:rPr>
                <w:sz w:val="21"/>
              </w:rPr>
              <w:t>72、</w:t>
            </w:r>
            <w:r>
              <w:rPr>
                <w:spacing w:val="-3"/>
                <w:sz w:val="21"/>
              </w:rPr>
              <w:t>丧</w:t>
            </w:r>
            <w:r>
              <w:rPr>
                <w:sz w:val="21"/>
              </w:rPr>
              <w:t>失</w:t>
            </w:r>
            <w:r>
              <w:rPr>
                <w:spacing w:val="-3"/>
                <w:sz w:val="21"/>
              </w:rPr>
              <w:t>一</w:t>
            </w:r>
            <w:r>
              <w:rPr>
                <w:sz w:val="21"/>
              </w:rPr>
              <w:t>眼</w:t>
            </w:r>
            <w:r>
              <w:rPr>
                <w:spacing w:val="-3"/>
                <w:sz w:val="21"/>
              </w:rPr>
              <w:t>及</w:t>
            </w:r>
            <w:r>
              <w:rPr>
                <w:sz w:val="21"/>
              </w:rPr>
              <w:t>一肢</w:t>
              <w:tab/>
              <w:t>73、</w:t>
            </w:r>
            <w:r>
              <w:rPr>
                <w:spacing w:val="-3"/>
                <w:sz w:val="21"/>
              </w:rPr>
              <w:t>破</w:t>
            </w:r>
            <w:r>
              <w:rPr>
                <w:sz w:val="21"/>
              </w:rPr>
              <w:t>裂</w:t>
            </w:r>
            <w:r>
              <w:rPr>
                <w:spacing w:val="-3"/>
                <w:sz w:val="21"/>
              </w:rPr>
              <w:t>脑</w:t>
            </w:r>
            <w:r>
              <w:rPr>
                <w:sz w:val="21"/>
              </w:rPr>
              <w:t>动</w:t>
            </w:r>
            <w:r>
              <w:rPr>
                <w:spacing w:val="-3"/>
                <w:sz w:val="21"/>
              </w:rPr>
              <w:t>脉</w:t>
            </w:r>
            <w:r>
              <w:rPr>
                <w:sz w:val="21"/>
              </w:rPr>
              <w:t>瘤</w:t>
            </w:r>
            <w:r>
              <w:rPr>
                <w:spacing w:val="-3"/>
                <w:sz w:val="21"/>
              </w:rPr>
              <w:t>夹</w:t>
            </w:r>
            <w:r>
              <w:rPr>
                <w:sz w:val="21"/>
              </w:rPr>
              <w:t>闭</w:t>
            </w:r>
            <w:r>
              <w:rPr>
                <w:spacing w:val="-3"/>
                <w:sz w:val="21"/>
              </w:rPr>
              <w:t>手术</w:t>
            </w:r>
          </w:p>
          <w:p>
            <w:pPr>
              <w:pStyle w:val="TableParagraph"/>
              <w:tabs>
                <w:tab w:pos="3379" w:val="left" w:leader="none"/>
              </w:tabs>
              <w:spacing w:before="37"/>
              <w:ind w:left="103"/>
              <w:rPr>
                <w:sz w:val="21"/>
              </w:rPr>
            </w:pPr>
            <w:r>
              <w:rPr>
                <w:sz w:val="21"/>
              </w:rPr>
              <w:t>74、</w:t>
            </w:r>
            <w:r>
              <w:rPr>
                <w:spacing w:val="-3"/>
                <w:sz w:val="21"/>
              </w:rPr>
              <w:t>多</w:t>
            </w:r>
            <w:r>
              <w:rPr>
                <w:sz w:val="21"/>
              </w:rPr>
              <w:t>个</w:t>
            </w:r>
            <w:r>
              <w:rPr>
                <w:spacing w:val="-3"/>
                <w:sz w:val="21"/>
              </w:rPr>
              <w:t>肢</w:t>
            </w:r>
            <w:r>
              <w:rPr>
                <w:sz w:val="21"/>
              </w:rPr>
              <w:t>体</w:t>
            </w:r>
            <w:r>
              <w:rPr>
                <w:spacing w:val="-3"/>
                <w:sz w:val="21"/>
              </w:rPr>
              <w:t>缺</w:t>
            </w:r>
            <w:r>
              <w:rPr>
                <w:sz w:val="21"/>
              </w:rPr>
              <w:t>失</w:t>
              <w:tab/>
              <w:t>75、</w:t>
            </w:r>
            <w:r>
              <w:rPr>
                <w:spacing w:val="-3"/>
                <w:sz w:val="21"/>
              </w:rPr>
              <w:t>严</w:t>
            </w:r>
            <w:r>
              <w:rPr>
                <w:sz w:val="21"/>
              </w:rPr>
              <w:t>重</w:t>
            </w:r>
            <w:r>
              <w:rPr>
                <w:spacing w:val="-3"/>
                <w:sz w:val="21"/>
              </w:rPr>
              <w:t>Ⅲ</w:t>
            </w:r>
            <w:r>
              <w:rPr>
                <w:sz w:val="21"/>
              </w:rPr>
              <w:t>度</w:t>
            </w:r>
            <w:r>
              <w:rPr>
                <w:spacing w:val="-3"/>
                <w:sz w:val="21"/>
              </w:rPr>
              <w:t>烧伤</w:t>
            </w:r>
          </w:p>
          <w:p>
            <w:pPr>
              <w:pStyle w:val="TableParagraph"/>
              <w:tabs>
                <w:tab w:pos="3379" w:val="left" w:leader="none"/>
              </w:tabs>
              <w:spacing w:before="37"/>
              <w:ind w:left="103"/>
              <w:rPr>
                <w:sz w:val="21"/>
              </w:rPr>
            </w:pPr>
            <w:r>
              <w:rPr>
                <w:sz w:val="21"/>
              </w:rPr>
              <w:t>76、</w:t>
            </w:r>
            <w:r>
              <w:rPr>
                <w:spacing w:val="-3"/>
                <w:sz w:val="21"/>
              </w:rPr>
              <w:t>严</w:t>
            </w:r>
            <w:r>
              <w:rPr>
                <w:sz w:val="21"/>
              </w:rPr>
              <w:t>重</w:t>
            </w:r>
            <w:r>
              <w:rPr>
                <w:spacing w:val="-3"/>
                <w:sz w:val="21"/>
              </w:rPr>
              <w:t>肌</w:t>
            </w:r>
            <w:r>
              <w:rPr>
                <w:sz w:val="21"/>
              </w:rPr>
              <w:t>营</w:t>
            </w:r>
            <w:r>
              <w:rPr>
                <w:spacing w:val="-3"/>
                <w:sz w:val="21"/>
              </w:rPr>
              <w:t>养</w:t>
            </w:r>
            <w:r>
              <w:rPr>
                <w:sz w:val="21"/>
              </w:rPr>
              <w:t>不</w:t>
            </w:r>
            <w:r>
              <w:rPr>
                <w:spacing w:val="-3"/>
                <w:sz w:val="21"/>
              </w:rPr>
              <w:t>良</w:t>
            </w:r>
            <w:r>
              <w:rPr>
                <w:sz w:val="21"/>
              </w:rPr>
              <w:t>症</w:t>
              <w:tab/>
              <w:t>77、</w:t>
            </w:r>
            <w:r>
              <w:rPr>
                <w:spacing w:val="-3"/>
                <w:sz w:val="21"/>
              </w:rPr>
              <w:t>严</w:t>
            </w:r>
            <w:r>
              <w:rPr>
                <w:sz w:val="21"/>
              </w:rPr>
              <w:t>重</w:t>
            </w:r>
            <w:r>
              <w:rPr>
                <w:spacing w:val="-3"/>
                <w:sz w:val="21"/>
              </w:rPr>
              <w:t>面</w:t>
            </w:r>
            <w:r>
              <w:rPr>
                <w:sz w:val="21"/>
              </w:rPr>
              <w:t>部</w:t>
            </w:r>
            <w:r>
              <w:rPr>
                <w:spacing w:val="-3"/>
                <w:sz w:val="21"/>
              </w:rPr>
              <w:t>烧伤</w:t>
            </w:r>
          </w:p>
          <w:p>
            <w:pPr>
              <w:pStyle w:val="TableParagraph"/>
              <w:tabs>
                <w:tab w:pos="3379" w:val="left" w:leader="none"/>
              </w:tabs>
              <w:spacing w:before="37"/>
              <w:ind w:left="103"/>
              <w:rPr>
                <w:sz w:val="21"/>
              </w:rPr>
            </w:pPr>
            <w:r>
              <w:rPr>
                <w:sz w:val="21"/>
              </w:rPr>
              <w:t>78、</w:t>
            </w:r>
            <w:r>
              <w:rPr>
                <w:spacing w:val="-3"/>
                <w:sz w:val="21"/>
              </w:rPr>
              <w:t>语</w:t>
            </w:r>
            <w:r>
              <w:rPr>
                <w:sz w:val="21"/>
              </w:rPr>
              <w:t>言</w:t>
            </w:r>
            <w:r>
              <w:rPr>
                <w:spacing w:val="-3"/>
                <w:sz w:val="21"/>
              </w:rPr>
              <w:t>能</w:t>
            </w:r>
            <w:r>
              <w:rPr>
                <w:sz w:val="21"/>
              </w:rPr>
              <w:t>力</w:t>
            </w:r>
            <w:r>
              <w:rPr>
                <w:spacing w:val="-3"/>
                <w:sz w:val="21"/>
              </w:rPr>
              <w:t>丧</w:t>
            </w:r>
            <w:r>
              <w:rPr>
                <w:sz w:val="21"/>
              </w:rPr>
              <w:t>失</w:t>
              <w:tab/>
              <w:t>79、</w:t>
            </w:r>
            <w:r>
              <w:rPr>
                <w:spacing w:val="-3"/>
                <w:sz w:val="21"/>
              </w:rPr>
              <w:t>双</w:t>
            </w:r>
            <w:r>
              <w:rPr>
                <w:sz w:val="21"/>
              </w:rPr>
              <w:t>耳</w:t>
            </w:r>
            <w:r>
              <w:rPr>
                <w:spacing w:val="-3"/>
                <w:sz w:val="21"/>
              </w:rPr>
              <w:t>失聪</w:t>
            </w:r>
          </w:p>
          <w:p>
            <w:pPr>
              <w:pStyle w:val="TableParagraph"/>
              <w:spacing w:before="37"/>
              <w:ind w:left="103"/>
              <w:rPr>
                <w:sz w:val="21"/>
              </w:rPr>
            </w:pPr>
            <w:r>
              <w:rPr>
                <w:sz w:val="21"/>
              </w:rPr>
              <w:t>80、双目失明</w:t>
            </w:r>
          </w:p>
        </w:tc>
      </w:tr>
      <w:tr>
        <w:trPr>
          <w:trHeight w:val="1747" w:hRule="atLeast"/>
        </w:trPr>
        <w:tc>
          <w:tcPr>
            <w:tcW w:w="1140" w:type="dxa"/>
          </w:tcPr>
          <w:p>
            <w:pPr>
              <w:pStyle w:val="TableParagraph"/>
              <w:rPr>
                <w:sz w:val="20"/>
              </w:rPr>
            </w:pPr>
          </w:p>
          <w:p>
            <w:pPr>
              <w:pStyle w:val="TableParagraph"/>
              <w:spacing w:before="7"/>
              <w:rPr>
                <w:sz w:val="29"/>
              </w:rPr>
            </w:pPr>
          </w:p>
          <w:p>
            <w:pPr>
              <w:pStyle w:val="TableParagraph"/>
              <w:ind w:right="314"/>
              <w:jc w:val="right"/>
              <w:rPr>
                <w:b/>
                <w:sz w:val="21"/>
              </w:rPr>
            </w:pPr>
            <w:r>
              <w:rPr>
                <w:b/>
                <w:sz w:val="21"/>
              </w:rPr>
              <w:t>1.2</w:t>
            </w:r>
          </w:p>
        </w:tc>
        <w:tc>
          <w:tcPr>
            <w:tcW w:w="2003" w:type="dxa"/>
          </w:tcPr>
          <w:p>
            <w:pPr>
              <w:pStyle w:val="TableParagraph"/>
              <w:rPr>
                <w:sz w:val="20"/>
              </w:rPr>
            </w:pPr>
          </w:p>
          <w:p>
            <w:pPr>
              <w:pStyle w:val="TableParagraph"/>
              <w:spacing w:before="7"/>
              <w:rPr>
                <w:sz w:val="29"/>
              </w:rPr>
            </w:pPr>
          </w:p>
          <w:p>
            <w:pPr>
              <w:pStyle w:val="TableParagraph"/>
              <w:ind w:left="297"/>
              <w:rPr>
                <w:b/>
                <w:sz w:val="21"/>
              </w:rPr>
            </w:pPr>
            <w:r>
              <w:rPr>
                <w:b/>
                <w:sz w:val="21"/>
              </w:rPr>
              <w:t>保险期间</w:t>
            </w:r>
          </w:p>
        </w:tc>
        <w:tc>
          <w:tcPr>
            <w:tcW w:w="7086" w:type="dxa"/>
            <w:tcBorders>
              <w:top w:val="single" w:sz="4" w:space="0" w:color="000000"/>
            </w:tcBorders>
          </w:tcPr>
          <w:p>
            <w:pPr>
              <w:pStyle w:val="TableParagraph"/>
              <w:rPr>
                <w:sz w:val="20"/>
              </w:rPr>
            </w:pPr>
          </w:p>
          <w:p>
            <w:pPr>
              <w:pStyle w:val="TableParagraph"/>
              <w:spacing w:before="7"/>
              <w:rPr>
                <w:sz w:val="29"/>
              </w:rPr>
            </w:pPr>
          </w:p>
          <w:p>
            <w:pPr>
              <w:pStyle w:val="TableParagraph"/>
              <w:spacing w:line="273" w:lineRule="auto"/>
              <w:ind w:left="-4" w:right="100"/>
              <w:jc w:val="both"/>
              <w:rPr>
                <w:sz w:val="21"/>
              </w:rPr>
            </w:pPr>
            <w:r>
              <w:rPr>
                <w:spacing w:val="1"/>
                <w:sz w:val="21"/>
              </w:rPr>
              <w:t>本附加险合同的保险期间分为自本附加险合同生效时起至被保险人年满 </w:t>
            </w:r>
            <w:r>
              <w:rPr>
                <w:rFonts w:ascii="黑体" w:eastAsia="黑体" w:hint="eastAsia"/>
                <w:sz w:val="21"/>
              </w:rPr>
              <w:t>80 </w:t>
            </w:r>
            <w:r>
              <w:rPr>
                <w:rFonts w:ascii="黑体" w:eastAsia="黑体" w:hint="eastAsia"/>
                <w:b/>
                <w:spacing w:val="-4"/>
                <w:sz w:val="21"/>
              </w:rPr>
              <w:t>周岁的保单周年日 </w:t>
            </w:r>
            <w:hyperlink w:history="true" w:anchor="_bookmark5">
              <w:r>
                <w:rPr>
                  <w:b/>
                  <w:position w:val="11"/>
                  <w:sz w:val="11"/>
                </w:rPr>
                <w:t>6</w:t>
              </w:r>
            </w:hyperlink>
            <w:r>
              <w:rPr>
                <w:spacing w:val="-22"/>
                <w:sz w:val="21"/>
              </w:rPr>
              <w:t>或 </w:t>
            </w:r>
            <w:r>
              <w:rPr>
                <w:sz w:val="21"/>
              </w:rPr>
              <w:t>100</w:t>
            </w:r>
            <w:r>
              <w:rPr>
                <w:spacing w:val="-13"/>
                <w:sz w:val="21"/>
              </w:rPr>
              <w:t> 周岁的保单周年日零时止两种，您在投保时可选择</w:t>
            </w:r>
            <w:r>
              <w:rPr>
                <w:spacing w:val="-1"/>
                <w:sz w:val="21"/>
              </w:rPr>
              <w:t>其中一种。</w:t>
            </w:r>
          </w:p>
        </w:tc>
      </w:tr>
      <w:tr>
        <w:trPr>
          <w:trHeight w:val="946" w:hRule="atLeast"/>
        </w:trPr>
        <w:tc>
          <w:tcPr>
            <w:tcW w:w="1140" w:type="dxa"/>
            <w:tcBorders>
              <w:bottom w:val="single" w:sz="8" w:space="0" w:color="000000"/>
            </w:tcBorders>
          </w:tcPr>
          <w:p>
            <w:pPr>
              <w:pStyle w:val="TableParagraph"/>
              <w:spacing w:before="151"/>
              <w:ind w:right="295"/>
              <w:jc w:val="right"/>
              <w:rPr>
                <w:rFonts w:ascii="Arial" w:hAnsi="Arial"/>
                <w:b/>
                <w:sz w:val="40"/>
              </w:rPr>
            </w:pPr>
            <w:r>
              <w:rPr>
                <w:rFonts w:ascii="Arial" w:hAnsi="Arial"/>
                <w:b/>
                <w:w w:val="119"/>
                <w:sz w:val="40"/>
              </w:rPr>
              <w:t></w:t>
            </w:r>
          </w:p>
        </w:tc>
        <w:tc>
          <w:tcPr>
            <w:tcW w:w="9089" w:type="dxa"/>
            <w:gridSpan w:val="2"/>
            <w:tcBorders>
              <w:bottom w:val="single" w:sz="8" w:space="0" w:color="000000"/>
            </w:tcBorders>
          </w:tcPr>
          <w:p>
            <w:pPr>
              <w:pStyle w:val="TableParagraph"/>
              <w:spacing w:before="150"/>
              <w:ind w:left="297"/>
              <w:rPr>
                <w:b/>
                <w:sz w:val="24"/>
              </w:rPr>
            </w:pPr>
            <w:r>
              <w:rPr>
                <w:b/>
                <w:w w:val="95"/>
                <w:sz w:val="24"/>
              </w:rPr>
              <w:t>我们不保什么</w:t>
            </w:r>
          </w:p>
          <w:p>
            <w:pPr>
              <w:pStyle w:val="TableParagraph"/>
              <w:spacing w:before="103"/>
              <w:ind w:left="297"/>
              <w:rPr>
                <w:sz w:val="24"/>
              </w:rPr>
            </w:pPr>
            <w:r>
              <w:rPr>
                <w:sz w:val="24"/>
              </w:rPr>
              <w:t>这部分讲的是我们不承担保险责任的情况。</w:t>
            </w:r>
          </w:p>
        </w:tc>
      </w:tr>
      <w:tr>
        <w:trPr>
          <w:trHeight w:val="4358" w:hRule="atLeast"/>
        </w:trPr>
        <w:tc>
          <w:tcPr>
            <w:tcW w:w="1140" w:type="dxa"/>
            <w:tcBorders>
              <w:top w:val="single" w:sz="8" w:space="0" w:color="000000"/>
            </w:tcBorders>
          </w:tcPr>
          <w:p>
            <w:pPr>
              <w:pStyle w:val="TableParagraph"/>
              <w:spacing w:before="2"/>
              <w:rPr>
                <w:sz w:val="23"/>
              </w:rPr>
            </w:pPr>
          </w:p>
          <w:p>
            <w:pPr>
              <w:pStyle w:val="TableParagraph"/>
              <w:ind w:right="314"/>
              <w:jc w:val="right"/>
              <w:rPr>
                <w:b/>
                <w:sz w:val="21"/>
              </w:rPr>
            </w:pPr>
            <w:r>
              <w:rPr>
                <w:b/>
                <w:sz w:val="21"/>
              </w:rPr>
              <w:t>2.1</w:t>
            </w:r>
          </w:p>
        </w:tc>
        <w:tc>
          <w:tcPr>
            <w:tcW w:w="2003" w:type="dxa"/>
            <w:tcBorders>
              <w:top w:val="single" w:sz="8" w:space="0" w:color="000000"/>
            </w:tcBorders>
          </w:tcPr>
          <w:p>
            <w:pPr>
              <w:pStyle w:val="TableParagraph"/>
              <w:spacing w:before="2"/>
              <w:rPr>
                <w:sz w:val="23"/>
              </w:rPr>
            </w:pPr>
          </w:p>
          <w:p>
            <w:pPr>
              <w:pStyle w:val="TableParagraph"/>
              <w:ind w:left="297"/>
              <w:rPr>
                <w:b/>
                <w:sz w:val="21"/>
              </w:rPr>
            </w:pPr>
            <w:r>
              <w:rPr>
                <w:b/>
                <w:sz w:val="21"/>
              </w:rPr>
              <w:t>责任免除</w:t>
            </w:r>
          </w:p>
        </w:tc>
        <w:tc>
          <w:tcPr>
            <w:tcW w:w="7086" w:type="dxa"/>
            <w:tcBorders>
              <w:top w:val="single" w:sz="8" w:space="0" w:color="000000"/>
            </w:tcBorders>
          </w:tcPr>
          <w:p>
            <w:pPr>
              <w:pStyle w:val="TableParagraph"/>
              <w:spacing w:before="2"/>
              <w:rPr>
                <w:sz w:val="23"/>
              </w:rPr>
            </w:pPr>
          </w:p>
          <w:p>
            <w:pPr>
              <w:pStyle w:val="TableParagraph"/>
              <w:spacing w:line="273" w:lineRule="auto"/>
              <w:ind w:left="-4" w:right="103"/>
              <w:rPr>
                <w:sz w:val="21"/>
              </w:rPr>
            </w:pPr>
            <w:r>
              <w:rPr>
                <w:sz w:val="21"/>
                <w:shd w:fill="DADADA" w:color="auto" w:val="clear"/>
              </w:rPr>
              <w:t>因下列情形之一导致被保险人发生“重大疾病”的，我们不承担给付保险金</w:t>
            </w:r>
            <w:r>
              <w:rPr>
                <w:spacing w:val="-1"/>
                <w:sz w:val="21"/>
                <w:shd w:fill="DADADA" w:color="auto" w:val="clear"/>
              </w:rPr>
              <w:t>的责任</w:t>
            </w:r>
            <w:r>
              <w:rPr>
                <w:spacing w:val="-212"/>
                <w:sz w:val="21"/>
                <w:shd w:fill="DADADA" w:color="auto" w:val="clear"/>
              </w:rPr>
              <w:t>：</w:t>
            </w:r>
          </w:p>
          <w:p>
            <w:pPr>
              <w:pStyle w:val="TableParagraph"/>
              <w:spacing w:before="7"/>
              <w:ind w:left="-4"/>
              <w:rPr>
                <w:sz w:val="21"/>
              </w:rPr>
            </w:pPr>
            <w:r>
              <w:rPr>
                <w:sz w:val="21"/>
                <w:shd w:fill="DADADA" w:color="auto" w:val="clear"/>
              </w:rPr>
              <w:t>（1）投保人对被保险人的故意杀害、故意伤害；</w:t>
            </w:r>
          </w:p>
          <w:p>
            <w:pPr>
              <w:pStyle w:val="TableParagraph"/>
              <w:spacing w:before="36"/>
              <w:ind w:left="-4"/>
              <w:rPr>
                <w:sz w:val="21"/>
              </w:rPr>
            </w:pPr>
            <w:r>
              <w:rPr>
                <w:sz w:val="21"/>
                <w:shd w:fill="DADADA" w:color="auto" w:val="clear"/>
              </w:rPr>
              <w:t>（2）被保险人故意自伤、故意犯罪或者抗拒依法采取的刑事强制措施；</w:t>
            </w:r>
          </w:p>
          <w:p>
            <w:pPr>
              <w:pStyle w:val="TableParagraph"/>
              <w:spacing w:before="36"/>
              <w:ind w:left="-4"/>
              <w:rPr>
                <w:sz w:val="21"/>
              </w:rPr>
            </w:pP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pStyle w:val="TableParagraph"/>
              <w:spacing w:before="36"/>
              <w:ind w:left="-4"/>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pStyle w:val="TableParagraph"/>
              <w:spacing w:line="273" w:lineRule="auto" w:before="36"/>
              <w:ind w:left="500" w:right="74" w:hanging="505"/>
              <w:rPr>
                <w:sz w:val="21"/>
              </w:rPr>
            </w:pPr>
            <w:r>
              <w:rPr>
                <w:sz w:val="21"/>
              </w:rPr>
              <w:t>（5）</w:t>
            </w:r>
            <w:r>
              <w:rPr>
                <w:spacing w:val="-3"/>
                <w:sz w:val="21"/>
              </w:rPr>
              <w:t>被保险人</w:t>
            </w:r>
            <w:r>
              <w:rPr>
                <w:rFonts w:ascii="黑体" w:eastAsia="黑体" w:hint="eastAsia"/>
                <w:b/>
                <w:spacing w:val="-3"/>
                <w:sz w:val="21"/>
              </w:rPr>
              <w:t>感染艾滋病病毒或患艾滋病 </w:t>
            </w:r>
            <w:hyperlink w:history="true" w:anchor="_bookmark9">
              <w:r>
                <w:rPr>
                  <w:rFonts w:ascii="黑体" w:eastAsia="黑体" w:hint="eastAsia"/>
                  <w:b/>
                  <w:position w:val="11"/>
                  <w:sz w:val="11"/>
                </w:rPr>
                <w:t>10</w:t>
              </w:r>
            </w:hyperlink>
            <w:r>
              <w:rPr>
                <w:sz w:val="21"/>
              </w:rPr>
              <w:t>（</w:t>
            </w:r>
            <w:r>
              <w:rPr>
                <w:spacing w:val="-3"/>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TableParagraph"/>
              <w:spacing w:before="7"/>
              <w:ind w:left="-4"/>
              <w:rPr>
                <w:sz w:val="21"/>
              </w:rPr>
            </w:pPr>
            <w:r>
              <w:rPr>
                <w:sz w:val="21"/>
                <w:shd w:fill="DADADA" w:color="auto" w:val="clear"/>
              </w:rPr>
              <w:t>（6）战争、军事冲突、暴乱或武装叛乱；</w:t>
            </w:r>
          </w:p>
          <w:p>
            <w:pPr>
              <w:pStyle w:val="TableParagraph"/>
              <w:spacing w:before="37"/>
              <w:ind w:left="-4"/>
              <w:rPr>
                <w:sz w:val="21"/>
              </w:rPr>
            </w:pPr>
            <w:r>
              <w:rPr>
                <w:sz w:val="21"/>
                <w:shd w:fill="DADADA" w:color="auto" w:val="clear"/>
              </w:rPr>
              <w:t>（7）核爆炸、核辐射或核污染；</w:t>
            </w:r>
          </w:p>
          <w:p>
            <w:pPr>
              <w:pStyle w:val="TableParagraph"/>
              <w:spacing w:line="310" w:lineRule="atLeast" w:before="2"/>
              <w:ind w:left="461" w:right="101" w:hanging="466"/>
              <w:jc w:val="both"/>
              <w:rPr>
                <w:sz w:val="21"/>
              </w:rPr>
            </w:pPr>
            <w:r>
              <w:rPr>
                <w:spacing w:val="-3"/>
                <w:sz w:val="21"/>
              </w:rPr>
              <w:t>（8）</w:t>
            </w:r>
            <w:r>
              <w:rPr>
                <w:rFonts w:ascii="黑体" w:eastAsia="黑体" w:hint="eastAsia"/>
                <w:b/>
                <w:spacing w:val="-5"/>
                <w:sz w:val="21"/>
              </w:rPr>
              <w:t>遗传性疾病 </w:t>
            </w:r>
            <w:hyperlink w:history="true" w:anchor="_bookmark10">
              <w:r>
                <w:rPr>
                  <w:rFonts w:ascii="黑体" w:eastAsia="黑体" w:hint="eastAsia"/>
                  <w:b/>
                  <w:position w:val="11"/>
                  <w:sz w:val="11"/>
                </w:rPr>
                <w:t>11</w:t>
              </w:r>
            </w:hyperlink>
            <w:r>
              <w:rPr>
                <w:sz w:val="21"/>
              </w:rPr>
              <w:t>（</w:t>
            </w:r>
            <w:r>
              <w:rPr>
                <w:spacing w:val="-5"/>
                <w:sz w:val="21"/>
              </w:rPr>
              <w:t>不包括严重肾髓质囊性病、严重肝豆状核变性</w:t>
            </w:r>
            <w:r>
              <w:rPr>
                <w:sz w:val="21"/>
              </w:rPr>
              <w:t>（Wilson </w:t>
            </w:r>
            <w:r>
              <w:rPr>
                <w:w w:val="100"/>
                <w:sz w:val="21"/>
              </w:rPr>
              <w:t>病</w:t>
            </w:r>
            <w:r>
              <w:rPr>
                <w:spacing w:val="-106"/>
                <w:w w:val="100"/>
                <w:sz w:val="21"/>
              </w:rPr>
              <w:t>）</w:t>
            </w:r>
            <w:r>
              <w:rPr>
                <w:spacing w:val="-3"/>
                <w:w w:val="100"/>
                <w:sz w:val="21"/>
              </w:rPr>
              <w:t>、艾森门格综合征及成骨不全症第三型</w:t>
            </w:r>
            <w:r>
              <w:rPr>
                <w:spacing w:val="-106"/>
                <w:w w:val="100"/>
                <w:sz w:val="21"/>
              </w:rPr>
              <w:t>）</w:t>
            </w:r>
            <w:r>
              <w:rPr>
                <w:spacing w:val="-4"/>
                <w:w w:val="100"/>
                <w:sz w:val="21"/>
              </w:rPr>
              <w:t>，</w:t>
            </w:r>
            <w:r>
              <w:rPr>
                <w:rFonts w:ascii="黑体" w:eastAsia="黑体" w:hint="eastAsia"/>
                <w:b/>
                <w:spacing w:val="-2"/>
                <w:w w:val="100"/>
                <w:sz w:val="21"/>
                <w:shd w:fill="DADADA" w:color="auto" w:val="clear"/>
              </w:rPr>
              <w:t>先天性畸形、变形或染色</w:t>
            </w:r>
            <w:r>
              <w:rPr>
                <w:rFonts w:ascii="黑体" w:eastAsia="黑体" w:hint="eastAsia"/>
                <w:b/>
                <w:spacing w:val="-12"/>
                <w:sz w:val="21"/>
              </w:rPr>
              <w:t>体异常 </w:t>
            </w:r>
            <w:hyperlink w:history="true" w:anchor="_bookmark11">
              <w:r>
                <w:rPr>
                  <w:rFonts w:ascii="黑体" w:eastAsia="黑体" w:hint="eastAsia"/>
                  <w:b/>
                  <w:position w:val="11"/>
                  <w:sz w:val="11"/>
                </w:rPr>
                <w:t>12</w:t>
              </w:r>
            </w:hyperlink>
            <w:r>
              <w:rPr>
                <w:sz w:val="21"/>
              </w:rPr>
              <w:t>。</w:t>
            </w:r>
          </w:p>
        </w:tc>
      </w:tr>
    </w:tbl>
    <w:p>
      <w:pPr>
        <w:pStyle w:val="BodyText"/>
        <w:spacing w:before="3"/>
        <w:rPr>
          <w:sz w:val="26"/>
        </w:rPr>
      </w:pPr>
      <w:r>
        <w:rPr/>
        <w:pict>
          <v:line style="position:absolute;mso-position-horizontal-relative:page;mso-position-vertical-relative:paragraph;z-index:1240;mso-wrap-distance-left:0;mso-wrap-distance-right:0" from="51pt,19.3995pt" to="195pt,19.3995pt" stroked="true" strokeweight=".481pt" strokecolor="#000000">
            <v:stroke dashstyle="solid"/>
            <w10:wrap type="topAndBottom"/>
          </v:line>
        </w:pict>
      </w:r>
      <w:r>
        <w:rPr/>
        <w:pict>
          <v:line style="position:absolute;mso-position-horizontal-relative:page;mso-position-vertical-relative:page;z-index:-62704" from="544.559998pt,56.639984pt" to="544.559998pt,160.799984pt" stroked="true" strokeweight=".48pt" strokecolor="#000000">
            <v:stroke dashstyle="solid"/>
            <w10:wrap type="none"/>
          </v:line>
        </w:pict>
      </w:r>
      <w:r>
        <w:rPr/>
        <w:pict>
          <v:shape style="position:absolute;margin-left:198.840012pt;margin-top:375.959961pt;width:203.65pt;height:44.9pt;mso-position-horizontal-relative:page;mso-position-vertical-relative:page;z-index:-62680" coordorigin="3977,7519" coordsize="4073,898" path="m7267,7831l3977,7831,3977,8105,7267,8105,7267,7831m7562,7519l3977,7519,3977,7793,7562,7793,7562,7519m8050,8143l3977,8143,3977,8417,8050,8417,8050,8143e" filled="true" fillcolor="#dadada" stroked="false">
            <v:path arrowok="t"/>
            <v:fill type="solid"/>
            <w10:wrap type="none"/>
          </v:shape>
        </w:pict>
      </w:r>
    </w:p>
    <w:p>
      <w:pPr>
        <w:spacing w:line="216" w:lineRule="auto" w:before="70"/>
        <w:ind w:left="444" w:right="465" w:hanging="144"/>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r>
        <w:rPr>
          <w:rFonts w:ascii="Microsoft JhengHei" w:eastAsia="Microsoft JhengHei" w:hint="eastAsia"/>
          <w:b/>
          <w:sz w:val="18"/>
        </w:rPr>
        <w:t>保单周年日</w:t>
      </w:r>
      <w:r>
        <w:rPr>
          <w:sz w:val="18"/>
        </w:rPr>
        <w:t>指本附加险合同生效日以后每年的对应日。如果当月无对应的同一日，则以该月最后一日作为对应日。</w:t>
      </w:r>
    </w:p>
    <w:p>
      <w:pPr>
        <w:spacing w:line="226" w:lineRule="exact" w:before="0"/>
        <w:ind w:left="475" w:right="0" w:firstLine="0"/>
        <w:jc w:val="left"/>
        <w:rPr>
          <w:sz w:val="18"/>
        </w:rPr>
      </w:pPr>
      <w:r>
        <w:rPr/>
        <w:pict>
          <v:rect style="position:absolute;margin-left:198.839996pt;margin-top:-98.049545pt;width:87.6pt;height:13.68pt;mso-position-horizontal-relative:page;mso-position-vertical-relative:paragraph;z-index:-62656" filled="true" fillcolor="#dadada" stroked="false">
            <v:fill type="solid"/>
            <w10:wrap type="none"/>
          </v:rect>
        </w:pict>
      </w:r>
      <w:r>
        <w:rPr/>
        <w:pict>
          <v:rect style="position:absolute;margin-left:222.119995pt;margin-top:-66.849548pt;width:51pt;height:13.68pt;mso-position-horizontal-relative:page;mso-position-vertical-relative:paragraph;z-index:-62632" filled="true" fillcolor="#dadada" stroked="false">
            <v:fill type="solid"/>
            <w10:wrap type="none"/>
          </v:rect>
        </w:pict>
      </w:r>
      <w:r>
        <w:rPr>
          <w:rFonts w:ascii="Microsoft JhengHei" w:eastAsia="Microsoft JhengHei" w:hint="eastAsia"/>
          <w:b/>
          <w:spacing w:val="-13"/>
          <w:sz w:val="18"/>
        </w:rPr>
        <w:t>举例：</w:t>
      </w:r>
      <w:r>
        <w:rPr>
          <w:spacing w:val="-6"/>
          <w:sz w:val="18"/>
        </w:rPr>
        <w:t>假设保单生效日是 </w:t>
      </w:r>
      <w:r>
        <w:rPr>
          <w:sz w:val="18"/>
        </w:rPr>
        <w:t>2017</w:t>
      </w:r>
      <w:r>
        <w:rPr>
          <w:spacing w:val="-32"/>
          <w:sz w:val="18"/>
        </w:rPr>
        <w:t> 年 </w:t>
      </w:r>
      <w:r>
        <w:rPr>
          <w:sz w:val="18"/>
        </w:rPr>
        <w:t>10</w:t>
      </w:r>
      <w:r>
        <w:rPr>
          <w:spacing w:val="-32"/>
          <w:sz w:val="18"/>
        </w:rPr>
        <w:t> 月 </w:t>
      </w:r>
      <w:r>
        <w:rPr>
          <w:sz w:val="18"/>
        </w:rPr>
        <w:t>1</w:t>
      </w:r>
      <w:r>
        <w:rPr>
          <w:spacing w:val="-17"/>
          <w:sz w:val="18"/>
        </w:rPr>
        <w:t> 日，则以后每年 </w:t>
      </w:r>
      <w:r>
        <w:rPr>
          <w:sz w:val="18"/>
        </w:rPr>
        <w:t>10</w:t>
      </w:r>
      <w:r>
        <w:rPr>
          <w:spacing w:val="-32"/>
          <w:sz w:val="18"/>
        </w:rPr>
        <w:t> 月 </w:t>
      </w:r>
      <w:r>
        <w:rPr>
          <w:sz w:val="18"/>
        </w:rPr>
        <w:t>1</w:t>
      </w:r>
      <w:r>
        <w:rPr>
          <w:spacing w:val="-12"/>
          <w:sz w:val="18"/>
        </w:rPr>
        <w:t> 日为保单周年日；被保险人出生日期是 </w:t>
      </w:r>
      <w:r>
        <w:rPr>
          <w:sz w:val="18"/>
        </w:rPr>
        <w:t>2000</w:t>
      </w:r>
      <w:r>
        <w:rPr>
          <w:spacing w:val="-32"/>
          <w:sz w:val="18"/>
        </w:rPr>
        <w:t> 年 </w:t>
      </w:r>
      <w:r>
        <w:rPr>
          <w:sz w:val="18"/>
        </w:rPr>
        <w:t>11</w:t>
      </w:r>
      <w:r>
        <w:rPr>
          <w:spacing w:val="-32"/>
          <w:sz w:val="18"/>
        </w:rPr>
        <w:t> 月 </w:t>
      </w:r>
      <w:r>
        <w:rPr>
          <w:sz w:val="18"/>
        </w:rPr>
        <w:t>1</w:t>
      </w:r>
      <w:r>
        <w:rPr>
          <w:spacing w:val="-16"/>
          <w:sz w:val="18"/>
        </w:rPr>
        <w:t> 日，</w:t>
      </w:r>
    </w:p>
    <w:p>
      <w:pPr>
        <w:spacing w:line="223" w:lineRule="exact" w:before="0"/>
        <w:ind w:left="475" w:right="0" w:firstLine="0"/>
        <w:jc w:val="left"/>
        <w:rPr>
          <w:sz w:val="18"/>
        </w:rPr>
      </w:pPr>
      <w:r>
        <w:rPr>
          <w:spacing w:val="-16"/>
          <w:sz w:val="18"/>
        </w:rPr>
        <w:t>那么 </w:t>
      </w:r>
      <w:r>
        <w:rPr>
          <w:sz w:val="18"/>
        </w:rPr>
        <w:t>2080</w:t>
      </w:r>
      <w:r>
        <w:rPr>
          <w:spacing w:val="-32"/>
          <w:sz w:val="18"/>
        </w:rPr>
        <w:t> 年 </w:t>
      </w:r>
      <w:r>
        <w:rPr>
          <w:sz w:val="18"/>
        </w:rPr>
        <w:t>11</w:t>
      </w:r>
      <w:r>
        <w:rPr>
          <w:spacing w:val="-32"/>
          <w:sz w:val="18"/>
        </w:rPr>
        <w:t> 月 </w:t>
      </w:r>
      <w:r>
        <w:rPr>
          <w:sz w:val="18"/>
        </w:rPr>
        <w:t>2</w:t>
      </w:r>
      <w:r>
        <w:rPr>
          <w:spacing w:val="-12"/>
          <w:sz w:val="18"/>
        </w:rPr>
        <w:t> 日被保险人年满 </w:t>
      </w:r>
      <w:r>
        <w:rPr>
          <w:sz w:val="18"/>
        </w:rPr>
        <w:t>80</w:t>
      </w:r>
      <w:r>
        <w:rPr>
          <w:spacing w:val="-20"/>
          <w:sz w:val="18"/>
        </w:rPr>
        <w:t> 周岁，而 </w:t>
      </w:r>
      <w:r>
        <w:rPr>
          <w:sz w:val="18"/>
        </w:rPr>
        <w:t>80</w:t>
      </w:r>
      <w:r>
        <w:rPr>
          <w:spacing w:val="-11"/>
          <w:sz w:val="18"/>
        </w:rPr>
        <w:t> 周岁的保单周年日为 </w:t>
      </w:r>
      <w:r>
        <w:rPr>
          <w:sz w:val="18"/>
        </w:rPr>
        <w:t>2081</w:t>
      </w:r>
      <w:r>
        <w:rPr>
          <w:spacing w:val="-32"/>
          <w:sz w:val="18"/>
        </w:rPr>
        <w:t> 年 </w:t>
      </w:r>
      <w:r>
        <w:rPr>
          <w:sz w:val="18"/>
        </w:rPr>
        <w:t>10</w:t>
      </w:r>
      <w:r>
        <w:rPr>
          <w:spacing w:val="-32"/>
          <w:sz w:val="18"/>
        </w:rPr>
        <w:t> 月 </w:t>
      </w:r>
      <w:r>
        <w:rPr>
          <w:sz w:val="18"/>
        </w:rPr>
        <w:t>1</w:t>
      </w:r>
      <w:r>
        <w:rPr>
          <w:spacing w:val="-32"/>
          <w:sz w:val="18"/>
        </w:rPr>
        <w:t> 日</w:t>
      </w:r>
      <w:r>
        <w:rPr>
          <w:sz w:val="18"/>
        </w:rPr>
        <w:t>（</w:t>
      </w:r>
      <w:r>
        <w:rPr>
          <w:spacing w:val="-22"/>
          <w:sz w:val="18"/>
        </w:rPr>
        <w:t>因 </w:t>
      </w:r>
      <w:r>
        <w:rPr>
          <w:sz w:val="18"/>
        </w:rPr>
        <w:t>2080</w:t>
      </w:r>
      <w:r>
        <w:rPr>
          <w:spacing w:val="-32"/>
          <w:sz w:val="18"/>
        </w:rPr>
        <w:t> 年 </w:t>
      </w:r>
      <w:r>
        <w:rPr>
          <w:sz w:val="18"/>
        </w:rPr>
        <w:t>10</w:t>
      </w:r>
      <w:r>
        <w:rPr>
          <w:spacing w:val="-32"/>
          <w:sz w:val="18"/>
        </w:rPr>
        <w:t> 月 </w:t>
      </w:r>
      <w:r>
        <w:rPr>
          <w:sz w:val="18"/>
        </w:rPr>
        <w:t>1</w:t>
      </w:r>
      <w:r>
        <w:rPr>
          <w:spacing w:val="-9"/>
          <w:sz w:val="18"/>
        </w:rPr>
        <w:t> 日时被保险</w:t>
      </w:r>
    </w:p>
    <w:p>
      <w:pPr>
        <w:spacing w:line="227" w:lineRule="exact" w:before="0"/>
        <w:ind w:left="474" w:right="0" w:firstLine="0"/>
        <w:jc w:val="left"/>
        <w:rPr>
          <w:sz w:val="18"/>
        </w:rPr>
      </w:pPr>
      <w:r>
        <w:rPr>
          <w:spacing w:val="-9"/>
          <w:sz w:val="18"/>
        </w:rPr>
        <w:t>人尚未满 </w:t>
      </w:r>
      <w:r>
        <w:rPr>
          <w:sz w:val="18"/>
        </w:rPr>
        <w:t>80</w:t>
      </w:r>
      <w:r>
        <w:rPr>
          <w:spacing w:val="-16"/>
          <w:sz w:val="18"/>
        </w:rPr>
        <w:t> 周岁</w:t>
      </w:r>
      <w:r>
        <w:rPr>
          <w:spacing w:val="-92"/>
          <w:sz w:val="18"/>
        </w:rPr>
        <w:t>）</w:t>
      </w:r>
      <w:r>
        <w:rPr>
          <w:sz w:val="18"/>
        </w:rPr>
        <w:t>。</w:t>
      </w:r>
    </w:p>
    <w:p>
      <w:pPr>
        <w:spacing w:line="278" w:lineRule="exact" w:before="38"/>
        <w:ind w:left="479" w:right="277"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0"/>
        <w:ind w:left="480" w:right="282"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300"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8"/>
        <w:ind w:left="480" w:right="278" w:hanging="181"/>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511" w:right="21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30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3"/>
        <w:ind w:left="479" w:right="0" w:firstLine="0"/>
        <w:jc w:val="left"/>
        <w:rPr>
          <w:sz w:val="18"/>
        </w:rPr>
      </w:pPr>
      <w:r>
        <w:rPr>
          <w:sz w:val="18"/>
        </w:rPr>
        <w:t>直传递的特征。</w:t>
      </w:r>
    </w:p>
    <w:p>
      <w:pPr>
        <w:spacing w:line="280" w:lineRule="exact" w:before="37"/>
        <w:ind w:left="480" w:right="275"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7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Heading2"/>
        <w:spacing w:line="240" w:lineRule="auto" w:before="12"/>
        <w:ind w:left="2995"/>
      </w:pPr>
      <w:r>
        <w:rPr/>
        <w:pict>
          <v:shape style="position:absolute;margin-left:41.880001pt;margin-top:-503.139374pt;width:511.45pt;height:648.2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897"/>
                    <w:gridCol w:w="7191"/>
                  </w:tblGrid>
                  <w:tr>
                    <w:trPr>
                      <w:trHeight w:val="1311" w:hRule="atLeast"/>
                    </w:trPr>
                    <w:tc>
                      <w:tcPr>
                        <w:tcW w:w="1140" w:type="dxa"/>
                      </w:tcPr>
                      <w:p>
                        <w:pPr>
                          <w:pStyle w:val="TableParagraph"/>
                          <w:rPr>
                            <w:rFonts w:ascii="Times New Roman"/>
                            <w:sz w:val="20"/>
                          </w:rPr>
                        </w:pPr>
                      </w:p>
                    </w:tc>
                    <w:tc>
                      <w:tcPr>
                        <w:tcW w:w="1897" w:type="dxa"/>
                      </w:tcPr>
                      <w:p>
                        <w:pPr>
                          <w:pStyle w:val="TableParagraph"/>
                          <w:rPr>
                            <w:rFonts w:ascii="Times New Roman"/>
                            <w:sz w:val="20"/>
                          </w:rPr>
                        </w:pPr>
                      </w:p>
                    </w:tc>
                    <w:tc>
                      <w:tcPr>
                        <w:tcW w:w="7191" w:type="dxa"/>
                      </w:tcPr>
                      <w:p>
                        <w:pPr>
                          <w:pStyle w:val="TableParagraph"/>
                          <w:spacing w:line="211" w:lineRule="exact"/>
                          <w:ind w:left="102"/>
                          <w:rPr>
                            <w:sz w:val="21"/>
                          </w:rPr>
                        </w:pPr>
                        <w:r>
                          <w:rPr>
                            <w:sz w:val="21"/>
                            <w:shd w:fill="DADADA" w:color="auto" w:val="clear"/>
                          </w:rPr>
                          <w:t>发生上述第（1）项情形导致被保险人发生“重大疾病”的，本附加险合同终</w:t>
                        </w:r>
                      </w:p>
                      <w:p>
                        <w:pPr>
                          <w:pStyle w:val="TableParagraph"/>
                          <w:spacing w:before="37"/>
                          <w:ind w:left="102"/>
                          <w:rPr>
                            <w:sz w:val="21"/>
                          </w:rPr>
                        </w:pPr>
                        <w:r>
                          <w:rPr>
                            <w:sz w:val="21"/>
                            <w:shd w:fill="DADADA" w:color="auto" w:val="clear"/>
                          </w:rPr>
                          <w:t>止，我们向被保险人退还本附加险合同的现金价值。</w:t>
                        </w:r>
                      </w:p>
                      <w:p>
                        <w:pPr>
                          <w:pStyle w:val="TableParagraph"/>
                          <w:spacing w:line="273" w:lineRule="auto" w:before="37"/>
                          <w:ind w:left="102" w:right="102"/>
                          <w:rPr>
                            <w:sz w:val="21"/>
                          </w:rPr>
                        </w:pPr>
                        <w:r>
                          <w:rPr>
                            <w:sz w:val="21"/>
                            <w:shd w:fill="DADADA" w:color="auto" w:val="clear"/>
                          </w:rPr>
                          <w:t>发生上述其他情形导致被保险人发生“重大疾病”的，本附加险合同终止，</w:t>
                        </w:r>
                        <w:r>
                          <w:rPr>
                            <w:spacing w:val="-212"/>
                            <w:sz w:val="21"/>
                            <w:shd w:fill="DADADA" w:color="auto" w:val="clear"/>
                          </w:rPr>
                          <w:t>我</w:t>
                        </w:r>
                        <w:r>
                          <w:rPr>
                            <w:spacing w:val="-3"/>
                            <w:sz w:val="21"/>
                            <w:shd w:fill="DADADA" w:color="auto" w:val="clear"/>
                          </w:rPr>
                          <w:t>们向您退还本附加险合同的现金价值。</w:t>
                        </w:r>
                      </w:p>
                    </w:tc>
                  </w:tr>
                  <w:tr>
                    <w:trPr>
                      <w:trHeight w:val="1164" w:hRule="atLeast"/>
                    </w:trPr>
                    <w:tc>
                      <w:tcPr>
                        <w:tcW w:w="1140" w:type="dxa"/>
                      </w:tcPr>
                      <w:p>
                        <w:pPr>
                          <w:pStyle w:val="TableParagraph"/>
                          <w:spacing w:before="100"/>
                          <w:ind w:right="314"/>
                          <w:jc w:val="right"/>
                          <w:rPr>
                            <w:b/>
                            <w:sz w:val="21"/>
                          </w:rPr>
                        </w:pPr>
                        <w:r>
                          <w:rPr>
                            <w:b/>
                            <w:sz w:val="21"/>
                          </w:rPr>
                          <w:t>2.2</w:t>
                        </w:r>
                      </w:p>
                    </w:tc>
                    <w:tc>
                      <w:tcPr>
                        <w:tcW w:w="1897" w:type="dxa"/>
                      </w:tcPr>
                      <w:p>
                        <w:pPr>
                          <w:pStyle w:val="TableParagraph"/>
                          <w:spacing w:before="100"/>
                          <w:ind w:left="297"/>
                          <w:rPr>
                            <w:b/>
                            <w:sz w:val="21"/>
                          </w:rPr>
                        </w:pPr>
                        <w:r>
                          <w:rPr>
                            <w:b/>
                            <w:sz w:val="21"/>
                          </w:rPr>
                          <w:t>其他免责条款</w:t>
                        </w:r>
                      </w:p>
                    </w:tc>
                    <w:tc>
                      <w:tcPr>
                        <w:tcW w:w="7191" w:type="dxa"/>
                      </w:tcPr>
                      <w:p>
                        <w:pPr>
                          <w:pStyle w:val="TableParagraph"/>
                          <w:spacing w:line="273" w:lineRule="auto" w:before="100"/>
                          <w:ind w:left="102" w:right="97" w:hanging="1"/>
                          <w:jc w:val="both"/>
                          <w:rPr>
                            <w:sz w:val="21"/>
                          </w:rPr>
                        </w:pPr>
                        <w:r>
                          <w:rPr>
                            <w:spacing w:val="-27"/>
                            <w:sz w:val="21"/>
                          </w:rPr>
                          <w:t>除</w:t>
                        </w:r>
                        <w:r>
                          <w:rPr>
                            <w:sz w:val="21"/>
                          </w:rPr>
                          <w:t>“2.1</w:t>
                        </w:r>
                        <w:r>
                          <w:rPr>
                            <w:spacing w:val="-11"/>
                            <w:sz w:val="21"/>
                          </w:rPr>
                          <w:t> 责任免除”外，本附加险合同中还有一些免除保险人责任的条款，详</w:t>
                        </w:r>
                        <w:r>
                          <w:rPr>
                            <w:spacing w:val="-16"/>
                            <w:sz w:val="21"/>
                          </w:rPr>
                          <w:t>见“</w:t>
                        </w:r>
                        <w:r>
                          <w:rPr>
                            <w:sz w:val="21"/>
                          </w:rPr>
                          <w:t>1.1</w:t>
                        </w:r>
                        <w:r>
                          <w:rPr>
                            <w:spacing w:val="-44"/>
                            <w:sz w:val="21"/>
                          </w:rPr>
                          <w:t> 保险责任”、</w:t>
                        </w:r>
                        <w:r>
                          <w:rPr>
                            <w:sz w:val="21"/>
                          </w:rPr>
                          <w:t>“5.1</w:t>
                        </w:r>
                        <w:r>
                          <w:rPr>
                            <w:spacing w:val="-50"/>
                            <w:sz w:val="21"/>
                          </w:rPr>
                          <w:t> 犹豫期”、</w:t>
                        </w:r>
                        <w:r>
                          <w:rPr>
                            <w:sz w:val="21"/>
                          </w:rPr>
                          <w:t>“7</w:t>
                        </w:r>
                        <w:r>
                          <w:rPr>
                            <w:spacing w:val="-32"/>
                            <w:sz w:val="21"/>
                          </w:rPr>
                          <w:t> 重大疾病释义”、“</w:t>
                        </w:r>
                        <w:r>
                          <w:rPr>
                            <w:sz w:val="21"/>
                          </w:rPr>
                          <w:t>8.4</w:t>
                        </w:r>
                        <w:r>
                          <w:rPr>
                            <w:spacing w:val="-35"/>
                            <w:sz w:val="21"/>
                          </w:rPr>
                          <w:t> 年龄错误”、“脚</w:t>
                        </w:r>
                        <w:r>
                          <w:rPr>
                            <w:spacing w:val="-40"/>
                            <w:sz w:val="21"/>
                          </w:rPr>
                          <w:t>注 </w:t>
                        </w:r>
                        <w:r>
                          <w:rPr>
                            <w:sz w:val="21"/>
                          </w:rPr>
                          <w:t>1</w:t>
                        </w:r>
                        <w:r>
                          <w:rPr>
                            <w:spacing w:val="-8"/>
                            <w:sz w:val="21"/>
                          </w:rPr>
                          <w:t> 医院”中背景突出显示的内容。</w:t>
                        </w:r>
                      </w:p>
                    </w:tc>
                  </w:tr>
                  <w:tr>
                    <w:trPr>
                      <w:trHeight w:val="920" w:hRule="atLeast"/>
                    </w:trPr>
                    <w:tc>
                      <w:tcPr>
                        <w:tcW w:w="1140" w:type="dxa"/>
                        <w:tcBorders>
                          <w:bottom w:val="single" w:sz="8" w:space="0" w:color="000000"/>
                        </w:tcBorders>
                      </w:tcPr>
                      <w:p>
                        <w:pPr>
                          <w:pStyle w:val="TableParagraph"/>
                          <w:spacing w:before="128"/>
                          <w:ind w:right="295"/>
                          <w:jc w:val="right"/>
                          <w:rPr>
                            <w:rFonts w:ascii="Arial" w:hAnsi="Arial"/>
                            <w:b/>
                            <w:sz w:val="40"/>
                          </w:rPr>
                        </w:pPr>
                        <w:r>
                          <w:rPr>
                            <w:rFonts w:ascii="Arial" w:hAnsi="Arial"/>
                            <w:b/>
                            <w:w w:val="119"/>
                            <w:sz w:val="40"/>
                          </w:rPr>
                          <w:t></w:t>
                        </w:r>
                      </w:p>
                    </w:tc>
                    <w:tc>
                      <w:tcPr>
                        <w:tcW w:w="9088" w:type="dxa"/>
                        <w:gridSpan w:val="2"/>
                        <w:tcBorders>
                          <w:bottom w:val="single" w:sz="8" w:space="0" w:color="000000"/>
                        </w:tcBorders>
                      </w:tcPr>
                      <w:p>
                        <w:pPr>
                          <w:pStyle w:val="TableParagraph"/>
                          <w:spacing w:before="127"/>
                          <w:ind w:left="297"/>
                          <w:rPr>
                            <w:b/>
                            <w:sz w:val="24"/>
                          </w:rPr>
                        </w:pPr>
                        <w:r>
                          <w:rPr>
                            <w:b/>
                            <w:w w:val="95"/>
                            <w:sz w:val="24"/>
                          </w:rPr>
                          <w:t>如何支付保险费</w:t>
                        </w:r>
                      </w:p>
                      <w:p>
                        <w:pPr>
                          <w:pStyle w:val="TableParagraph"/>
                          <w:spacing w:before="106"/>
                          <w:ind w:left="297"/>
                          <w:rPr>
                            <w:sz w:val="24"/>
                          </w:rPr>
                        </w:pPr>
                        <w:r>
                          <w:rPr>
                            <w:sz w:val="24"/>
                          </w:rPr>
                          <w:t>这部分讲的是您应当按时交纳保险费，如果不及时交费可能会导致合同效力中止。</w:t>
                        </w:r>
                      </w:p>
                    </w:tc>
                  </w:tr>
                  <w:tr>
                    <w:trPr>
                      <w:trHeight w:val="1571" w:hRule="atLeast"/>
                    </w:trPr>
                    <w:tc>
                      <w:tcPr>
                        <w:tcW w:w="1140" w:type="dxa"/>
                        <w:tcBorders>
                          <w:top w:val="single" w:sz="8" w:space="0" w:color="000000"/>
                        </w:tcBorders>
                      </w:tcPr>
                      <w:p>
                        <w:pPr>
                          <w:pStyle w:val="TableParagraph"/>
                          <w:spacing w:before="12"/>
                          <w:rPr>
                            <w:sz w:val="14"/>
                          </w:rPr>
                        </w:pPr>
                      </w:p>
                      <w:p>
                        <w:pPr>
                          <w:pStyle w:val="TableParagraph"/>
                          <w:ind w:right="314"/>
                          <w:jc w:val="right"/>
                          <w:rPr>
                            <w:b/>
                            <w:sz w:val="21"/>
                          </w:rPr>
                        </w:pPr>
                        <w:r>
                          <w:rPr>
                            <w:b/>
                            <w:sz w:val="21"/>
                          </w:rPr>
                          <w:t>3.1</w:t>
                        </w:r>
                      </w:p>
                    </w:tc>
                    <w:tc>
                      <w:tcPr>
                        <w:tcW w:w="1897" w:type="dxa"/>
                        <w:tcBorders>
                          <w:top w:val="single" w:sz="8" w:space="0" w:color="000000"/>
                        </w:tcBorders>
                      </w:tcPr>
                      <w:p>
                        <w:pPr>
                          <w:pStyle w:val="TableParagraph"/>
                          <w:spacing w:before="12"/>
                          <w:rPr>
                            <w:sz w:val="14"/>
                          </w:rPr>
                        </w:pPr>
                      </w:p>
                      <w:p>
                        <w:pPr>
                          <w:pStyle w:val="TableParagraph"/>
                          <w:ind w:left="297"/>
                          <w:rPr>
                            <w:b/>
                            <w:sz w:val="21"/>
                          </w:rPr>
                        </w:pPr>
                        <w:r>
                          <w:rPr>
                            <w:b/>
                            <w:sz w:val="21"/>
                          </w:rPr>
                          <w:t>保险费的支付</w:t>
                        </w:r>
                      </w:p>
                    </w:tc>
                    <w:tc>
                      <w:tcPr>
                        <w:tcW w:w="7191" w:type="dxa"/>
                        <w:tcBorders>
                          <w:top w:val="single" w:sz="8" w:space="0" w:color="000000"/>
                        </w:tcBorders>
                      </w:tcPr>
                      <w:p>
                        <w:pPr>
                          <w:pStyle w:val="TableParagraph"/>
                          <w:spacing w:before="12"/>
                          <w:rPr>
                            <w:sz w:val="14"/>
                          </w:rPr>
                        </w:pPr>
                      </w:p>
                      <w:p>
                        <w:pPr>
                          <w:pStyle w:val="TableParagraph"/>
                          <w:spacing w:line="273" w:lineRule="auto"/>
                          <w:ind w:left="102" w:right="36"/>
                          <w:rPr>
                            <w:sz w:val="21"/>
                          </w:rPr>
                        </w:pPr>
                        <w:r>
                          <w:rPr>
                            <w:sz w:val="21"/>
                          </w:rPr>
                          <w:t>本附加险合同的交费方式和交费期间由您和我们约定并在保险单上载明。 分期支付保险费的，在支付首期保险费后，您应当在</w:t>
                        </w:r>
                        <w:r>
                          <w:rPr>
                            <w:rFonts w:ascii="黑体" w:eastAsia="黑体" w:hint="eastAsia"/>
                            <w:b/>
                            <w:sz w:val="21"/>
                          </w:rPr>
                          <w:t>保险费约定支付日 </w:t>
                        </w:r>
                        <w:hyperlink w:history="true" w:anchor="_bookmark12">
                          <w:r>
                            <w:rPr>
                              <w:rFonts w:ascii="黑体" w:eastAsia="黑体" w:hint="eastAsia"/>
                              <w:b/>
                              <w:position w:val="11"/>
                              <w:sz w:val="11"/>
                            </w:rPr>
                            <w:t>13</w:t>
                          </w:r>
                        </w:hyperlink>
                        <w:r>
                          <w:rPr>
                            <w:sz w:val="21"/>
                          </w:rPr>
                          <w:t>支付其余各期的保险费。</w:t>
                        </w:r>
                      </w:p>
                      <w:p>
                        <w:pPr>
                          <w:pStyle w:val="TableParagraph"/>
                          <w:spacing w:before="7"/>
                          <w:ind w:left="102"/>
                          <w:rPr>
                            <w:sz w:val="21"/>
                          </w:rPr>
                        </w:pPr>
                        <w:r>
                          <w:rPr>
                            <w:sz w:val="21"/>
                          </w:rPr>
                          <w:t>本附加险合同的保险费必须随主险合同保险费一同支付，不能单独支付。</w:t>
                        </w:r>
                      </w:p>
                    </w:tc>
                  </w:tr>
                  <w:tr>
                    <w:trPr>
                      <w:trHeight w:val="2098" w:hRule="atLeast"/>
                    </w:trPr>
                    <w:tc>
                      <w:tcPr>
                        <w:tcW w:w="1140" w:type="dxa"/>
                      </w:tcPr>
                      <w:p>
                        <w:pPr>
                          <w:pStyle w:val="TableParagraph"/>
                          <w:spacing w:before="100"/>
                          <w:ind w:right="314"/>
                          <w:jc w:val="right"/>
                          <w:rPr>
                            <w:b/>
                            <w:sz w:val="21"/>
                          </w:rPr>
                        </w:pPr>
                        <w:r>
                          <w:rPr>
                            <w:b/>
                            <w:sz w:val="21"/>
                          </w:rPr>
                          <w:t>3.2</w:t>
                        </w:r>
                      </w:p>
                    </w:tc>
                    <w:tc>
                      <w:tcPr>
                        <w:tcW w:w="1897" w:type="dxa"/>
                      </w:tcPr>
                      <w:p>
                        <w:pPr>
                          <w:pStyle w:val="TableParagraph"/>
                          <w:spacing w:before="100"/>
                          <w:ind w:left="297"/>
                          <w:rPr>
                            <w:b/>
                            <w:sz w:val="21"/>
                          </w:rPr>
                        </w:pPr>
                        <w:r>
                          <w:rPr>
                            <w:b/>
                            <w:sz w:val="21"/>
                          </w:rPr>
                          <w:t>宽限期</w:t>
                        </w:r>
                      </w:p>
                    </w:tc>
                    <w:tc>
                      <w:tcPr>
                        <w:tcW w:w="7191" w:type="dxa"/>
                      </w:tcPr>
                      <w:p>
                        <w:pPr>
                          <w:pStyle w:val="TableParagraph"/>
                          <w:spacing w:line="273" w:lineRule="auto" w:before="100"/>
                          <w:ind w:left="102" w:right="45"/>
                          <w:jc w:val="both"/>
                          <w:rPr>
                            <w:sz w:val="21"/>
                          </w:rPr>
                        </w:pPr>
                        <w:r>
                          <w:rPr>
                            <w:sz w:val="21"/>
                          </w:rPr>
                          <w:t>分期支付保险费的，在支付首期保险费后，除本附加险合同另有约定外，如</w:t>
                        </w:r>
                        <w:r>
                          <w:rPr>
                            <w:spacing w:val="-5"/>
                            <w:sz w:val="21"/>
                          </w:rPr>
                          <w:t>果您到期未支付保险费，自保险费约定支付日的次日零时起 </w:t>
                        </w:r>
                        <w:r>
                          <w:rPr>
                            <w:sz w:val="21"/>
                          </w:rPr>
                          <w:t>60</w:t>
                        </w:r>
                        <w:r>
                          <w:rPr>
                            <w:spacing w:val="-8"/>
                            <w:sz w:val="21"/>
                          </w:rPr>
                          <w:t> 日为宽限期。宽限期内发生的保险事故，我们仍会承担保险责任，但在给付保险金时会扣</w:t>
                        </w:r>
                        <w:r>
                          <w:rPr>
                            <w:spacing w:val="-5"/>
                            <w:sz w:val="21"/>
                          </w:rPr>
                          <w:t>减您欠交的保险费。</w:t>
                        </w:r>
                      </w:p>
                      <w:p>
                        <w:pPr>
                          <w:pStyle w:val="TableParagraph"/>
                          <w:spacing w:line="273" w:lineRule="auto" w:before="7"/>
                          <w:ind w:left="102" w:right="102"/>
                          <w:jc w:val="both"/>
                          <w:rPr>
                            <w:sz w:val="21"/>
                          </w:rPr>
                        </w:pPr>
                        <w:r>
                          <w:rPr>
                            <w:sz w:val="21"/>
                          </w:rPr>
                          <w:t>如果您宽限期结束之后仍未支付保险费，则本附加险合同自宽限期满的次日零时起效力中止。</w:t>
                        </w:r>
                      </w:p>
                    </w:tc>
                  </w:tr>
                  <w:tr>
                    <w:trPr>
                      <w:trHeight w:val="3514" w:hRule="atLeast"/>
                    </w:trPr>
                    <w:tc>
                      <w:tcPr>
                        <w:tcW w:w="1140" w:type="dxa"/>
                        <w:tcBorders>
                          <w:bottom w:val="single" w:sz="8" w:space="0" w:color="000000"/>
                        </w:tcBorders>
                      </w:tcPr>
                      <w:p>
                        <w:pPr>
                          <w:pStyle w:val="TableParagraph"/>
                          <w:spacing w:before="99"/>
                          <w:ind w:left="506"/>
                          <w:rPr>
                            <w:b/>
                            <w:sz w:val="21"/>
                          </w:rPr>
                        </w:pPr>
                        <w:r>
                          <w:rPr>
                            <w:b/>
                            <w:sz w:val="21"/>
                          </w:rPr>
                          <w:t>3.3</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5"/>
                          </w:rPr>
                        </w:pPr>
                      </w:p>
                      <w:p>
                        <w:pPr>
                          <w:pStyle w:val="TableParagraph"/>
                          <w:spacing w:before="1"/>
                          <w:ind w:left="484"/>
                          <w:rPr>
                            <w:rFonts w:ascii="Arial" w:hAnsi="Arial"/>
                            <w:b/>
                            <w:sz w:val="40"/>
                          </w:rPr>
                        </w:pPr>
                        <w:r>
                          <w:rPr>
                            <w:rFonts w:ascii="Arial" w:hAnsi="Arial"/>
                            <w:b/>
                            <w:w w:val="119"/>
                            <w:sz w:val="40"/>
                          </w:rPr>
                          <w:t></w:t>
                        </w:r>
                      </w:p>
                    </w:tc>
                    <w:tc>
                      <w:tcPr>
                        <w:tcW w:w="1897" w:type="dxa"/>
                        <w:tcBorders>
                          <w:bottom w:val="single" w:sz="8" w:space="0" w:color="000000"/>
                        </w:tcBorders>
                      </w:tcPr>
                      <w:p>
                        <w:pPr>
                          <w:pStyle w:val="TableParagraph"/>
                          <w:spacing w:before="99"/>
                          <w:ind w:left="297"/>
                          <w:rPr>
                            <w:b/>
                            <w:sz w:val="21"/>
                          </w:rPr>
                        </w:pPr>
                        <w:r>
                          <w:rPr>
                            <w:b/>
                            <w:sz w:val="21"/>
                          </w:rPr>
                          <w:t>效力中止与恢复</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5"/>
                          </w:rPr>
                        </w:pPr>
                      </w:p>
                      <w:p>
                        <w:pPr>
                          <w:pStyle w:val="TableParagraph"/>
                          <w:spacing w:before="1"/>
                          <w:ind w:left="297"/>
                          <w:rPr>
                            <w:b/>
                            <w:sz w:val="24"/>
                          </w:rPr>
                        </w:pPr>
                        <w:r>
                          <w:rPr>
                            <w:b/>
                            <w:w w:val="95"/>
                            <w:sz w:val="24"/>
                          </w:rPr>
                          <w:t>如何领取保险</w:t>
                        </w:r>
                      </w:p>
                      <w:p>
                        <w:pPr>
                          <w:pStyle w:val="TableParagraph"/>
                          <w:spacing w:before="135"/>
                          <w:ind w:left="297"/>
                          <w:rPr>
                            <w:sz w:val="24"/>
                          </w:rPr>
                        </w:pPr>
                        <w:r>
                          <w:rPr>
                            <w:sz w:val="24"/>
                          </w:rPr>
                          <w:t>这部分讲的是</w:t>
                        </w:r>
                      </w:p>
                    </w:tc>
                    <w:tc>
                      <w:tcPr>
                        <w:tcW w:w="7191" w:type="dxa"/>
                        <w:tcBorders>
                          <w:bottom w:val="single" w:sz="8" w:space="0" w:color="000000"/>
                        </w:tcBorders>
                      </w:tcPr>
                      <w:p>
                        <w:pPr>
                          <w:pStyle w:val="TableParagraph"/>
                          <w:spacing w:before="99"/>
                          <w:ind w:left="102"/>
                          <w:rPr>
                            <w:sz w:val="21"/>
                          </w:rPr>
                        </w:pPr>
                        <w:r>
                          <w:rPr>
                            <w:sz w:val="21"/>
                          </w:rPr>
                          <w:t>在本附加险合同效力中止期间，我们不承担保险责任。</w:t>
                        </w:r>
                      </w:p>
                      <w:p>
                        <w:pPr>
                          <w:pStyle w:val="TableParagraph"/>
                          <w:spacing w:line="273" w:lineRule="auto" w:before="36"/>
                          <w:ind w:left="102" w:right="37" w:hanging="1"/>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102"/>
                          <w:rPr>
                            <w:sz w:val="21"/>
                          </w:rPr>
                        </w:pPr>
                        <w:r>
                          <w:rPr>
                            <w:sz w:val="21"/>
                          </w:rPr>
                          <w:t>主险合同效力中止期间，本附加险合同不得单独申请复效。</w:t>
                        </w:r>
                      </w:p>
                      <w:p>
                        <w:pPr>
                          <w:pStyle w:val="TableParagraph"/>
                          <w:spacing w:line="273" w:lineRule="auto" w:before="37"/>
                          <w:ind w:left="102" w:right="97"/>
                          <w:jc w:val="both"/>
                          <w:rPr>
                            <w:sz w:val="21"/>
                          </w:rPr>
                        </w:pPr>
                        <w:r>
                          <w:rPr>
                            <w:spacing w:val="-4"/>
                            <w:sz w:val="21"/>
                          </w:rPr>
                          <w:t>自本附加险合同效力中止之日起满 </w:t>
                        </w:r>
                        <w:r>
                          <w:rPr>
                            <w:sz w:val="21"/>
                          </w:rPr>
                          <w:t>2</w:t>
                        </w:r>
                        <w:r>
                          <w:rPr>
                            <w:spacing w:val="-4"/>
                            <w:sz w:val="21"/>
                          </w:rPr>
                          <w:t> 年您和我们未达成协议的，我们有权解除合同。我们解除合同的，向您退还合同效力中止时本附加险合同的现金价值。</w:t>
                        </w:r>
                      </w:p>
                      <w:p>
                        <w:pPr>
                          <w:pStyle w:val="TableParagraph"/>
                          <w:spacing w:before="1"/>
                          <w:rPr>
                            <w:sz w:val="20"/>
                          </w:rPr>
                        </w:pPr>
                      </w:p>
                      <w:p>
                        <w:pPr>
                          <w:pStyle w:val="TableParagraph"/>
                          <w:spacing w:before="1"/>
                          <w:ind w:left="-153"/>
                          <w:rPr>
                            <w:b/>
                            <w:sz w:val="24"/>
                          </w:rPr>
                        </w:pPr>
                        <w:r>
                          <w:rPr>
                            <w:b/>
                            <w:w w:val="99"/>
                            <w:sz w:val="24"/>
                          </w:rPr>
                          <w:t>金</w:t>
                        </w:r>
                      </w:p>
                      <w:p>
                        <w:pPr>
                          <w:pStyle w:val="TableParagraph"/>
                          <w:spacing w:before="135"/>
                          <w:ind w:left="80"/>
                          <w:jc w:val="both"/>
                          <w:rPr>
                            <w:sz w:val="24"/>
                          </w:rPr>
                        </w:pPr>
                        <w:r>
                          <w:rPr>
                            <w:sz w:val="24"/>
                          </w:rPr>
                          <w:t>生保险事故后受益人如何领取保险金。</w:t>
                        </w:r>
                      </w:p>
                    </w:tc>
                  </w:tr>
                  <w:tr>
                    <w:trPr>
                      <w:trHeight w:val="677" w:hRule="atLeast"/>
                    </w:trPr>
                    <w:tc>
                      <w:tcPr>
                        <w:tcW w:w="1140" w:type="dxa"/>
                        <w:tcBorders>
                          <w:top w:val="single" w:sz="8" w:space="0" w:color="000000"/>
                        </w:tcBorders>
                      </w:tcPr>
                      <w:p>
                        <w:pPr>
                          <w:pStyle w:val="TableParagraph"/>
                          <w:spacing w:before="12"/>
                          <w:rPr>
                            <w:sz w:val="14"/>
                          </w:rPr>
                        </w:pPr>
                      </w:p>
                      <w:p>
                        <w:pPr>
                          <w:pStyle w:val="TableParagraph"/>
                          <w:ind w:right="314"/>
                          <w:jc w:val="right"/>
                          <w:rPr>
                            <w:b/>
                            <w:sz w:val="21"/>
                          </w:rPr>
                        </w:pPr>
                        <w:r>
                          <w:rPr>
                            <w:b/>
                            <w:sz w:val="21"/>
                          </w:rPr>
                          <w:t>4.1</w:t>
                        </w:r>
                      </w:p>
                    </w:tc>
                    <w:tc>
                      <w:tcPr>
                        <w:tcW w:w="1897" w:type="dxa"/>
                        <w:tcBorders>
                          <w:top w:val="single" w:sz="8" w:space="0" w:color="000000"/>
                        </w:tcBorders>
                      </w:tcPr>
                      <w:p>
                        <w:pPr>
                          <w:pStyle w:val="TableParagraph"/>
                          <w:spacing w:before="12"/>
                          <w:rPr>
                            <w:sz w:val="14"/>
                          </w:rPr>
                        </w:pPr>
                      </w:p>
                      <w:p>
                        <w:pPr>
                          <w:pStyle w:val="TableParagraph"/>
                          <w:ind w:left="297"/>
                          <w:rPr>
                            <w:b/>
                            <w:sz w:val="21"/>
                          </w:rPr>
                        </w:pPr>
                        <w:r>
                          <w:rPr>
                            <w:b/>
                            <w:sz w:val="21"/>
                          </w:rPr>
                          <w:t>受益人</w:t>
                        </w:r>
                      </w:p>
                    </w:tc>
                    <w:tc>
                      <w:tcPr>
                        <w:tcW w:w="7191" w:type="dxa"/>
                        <w:tcBorders>
                          <w:top w:val="single" w:sz="8" w:space="0" w:color="000000"/>
                        </w:tcBorders>
                      </w:tcPr>
                      <w:p>
                        <w:pPr>
                          <w:pStyle w:val="TableParagraph"/>
                          <w:spacing w:before="12"/>
                          <w:rPr>
                            <w:sz w:val="14"/>
                          </w:rPr>
                        </w:pPr>
                      </w:p>
                      <w:p>
                        <w:pPr>
                          <w:pStyle w:val="TableParagraph"/>
                          <w:ind w:left="102"/>
                          <w:rPr>
                            <w:sz w:val="21"/>
                          </w:rPr>
                        </w:pPr>
                        <w:r>
                          <w:rPr>
                            <w:sz w:val="21"/>
                          </w:rPr>
                          <w:t>除另有指定外，重大疾病保险金受益人为被保险人本人。</w:t>
                        </w:r>
                      </w:p>
                    </w:tc>
                  </w:tr>
                  <w:tr>
                    <w:trPr>
                      <w:trHeight w:val="613" w:hRule="atLeast"/>
                    </w:trPr>
                    <w:tc>
                      <w:tcPr>
                        <w:tcW w:w="1140" w:type="dxa"/>
                      </w:tcPr>
                      <w:p>
                        <w:pPr>
                          <w:pStyle w:val="TableParagraph"/>
                          <w:spacing w:before="142"/>
                          <w:ind w:right="314"/>
                          <w:jc w:val="right"/>
                          <w:rPr>
                            <w:b/>
                            <w:sz w:val="21"/>
                          </w:rPr>
                        </w:pPr>
                        <w:r>
                          <w:rPr>
                            <w:b/>
                            <w:sz w:val="21"/>
                          </w:rPr>
                          <w:t>4.2</w:t>
                        </w:r>
                      </w:p>
                    </w:tc>
                    <w:tc>
                      <w:tcPr>
                        <w:tcW w:w="1897" w:type="dxa"/>
                      </w:tcPr>
                      <w:p>
                        <w:pPr>
                          <w:pStyle w:val="TableParagraph"/>
                          <w:spacing w:before="142"/>
                          <w:ind w:left="297"/>
                          <w:rPr>
                            <w:b/>
                            <w:sz w:val="21"/>
                          </w:rPr>
                        </w:pPr>
                        <w:r>
                          <w:rPr>
                            <w:b/>
                            <w:sz w:val="21"/>
                          </w:rPr>
                          <w:t>保险金申请</w:t>
                        </w:r>
                      </w:p>
                    </w:tc>
                    <w:tc>
                      <w:tcPr>
                        <w:tcW w:w="7191" w:type="dxa"/>
                      </w:tcPr>
                      <w:p>
                        <w:pPr>
                          <w:pStyle w:val="TableParagraph"/>
                          <w:spacing w:before="142"/>
                          <w:ind w:left="102"/>
                          <w:rPr>
                            <w:sz w:val="21"/>
                          </w:rPr>
                        </w:pPr>
                        <w:r>
                          <w:rPr>
                            <w:sz w:val="21"/>
                          </w:rPr>
                          <w:t>在申请保险金时，请按照下列方式办理：</w:t>
                        </w:r>
                      </w:p>
                    </w:tc>
                  </w:tr>
                  <w:tr>
                    <w:trPr>
                      <w:trHeight w:val="1051" w:hRule="atLeast"/>
                    </w:trPr>
                    <w:tc>
                      <w:tcPr>
                        <w:tcW w:w="1140" w:type="dxa"/>
                      </w:tcPr>
                      <w:p>
                        <w:pPr>
                          <w:pStyle w:val="TableParagraph"/>
                          <w:rPr>
                            <w:rFonts w:ascii="Times New Roman"/>
                            <w:sz w:val="20"/>
                          </w:rPr>
                        </w:pPr>
                      </w:p>
                    </w:tc>
                    <w:tc>
                      <w:tcPr>
                        <w:tcW w:w="1897" w:type="dxa"/>
                      </w:tcPr>
                      <w:p>
                        <w:pPr>
                          <w:pStyle w:val="TableParagraph"/>
                          <w:spacing w:line="232" w:lineRule="auto" w:before="126"/>
                          <w:ind w:left="297" w:right="99"/>
                          <w:rPr>
                            <w:rFonts w:ascii="等线" w:eastAsia="等线" w:hint="eastAsia"/>
                            <w:b/>
                            <w:sz w:val="24"/>
                          </w:rPr>
                        </w:pPr>
                        <w:r>
                          <w:rPr>
                            <w:rFonts w:ascii="等线" w:eastAsia="等线" w:hint="eastAsia"/>
                            <w:b/>
                            <w:sz w:val="24"/>
                          </w:rPr>
                          <w:t>重大疾病保险金申请</w:t>
                        </w:r>
                      </w:p>
                    </w:tc>
                    <w:tc>
                      <w:tcPr>
                        <w:tcW w:w="7191" w:type="dxa"/>
                      </w:tcPr>
                      <w:p>
                        <w:pPr>
                          <w:pStyle w:val="TableParagraph"/>
                          <w:spacing w:before="152"/>
                          <w:ind w:left="102"/>
                          <w:rPr>
                            <w:sz w:val="21"/>
                          </w:rPr>
                        </w:pPr>
                        <w:r>
                          <w:rPr>
                            <w:sz w:val="21"/>
                          </w:rPr>
                          <w:t>由重大疾病保险金受益人填写保险金给付申请书，并提供下列证明和资料：</w:t>
                        </w:r>
                      </w:p>
                      <w:p>
                        <w:pPr>
                          <w:pStyle w:val="TableParagraph"/>
                          <w:spacing w:before="36"/>
                          <w:ind w:left="102"/>
                          <w:rPr>
                            <w:sz w:val="21"/>
                          </w:rPr>
                        </w:pPr>
                        <w:r>
                          <w:rPr>
                            <w:sz w:val="21"/>
                          </w:rPr>
                          <w:t>（1）保险合同；</w:t>
                        </w:r>
                      </w:p>
                      <w:p>
                        <w:pPr>
                          <w:pStyle w:val="TableParagraph"/>
                          <w:spacing w:line="255" w:lineRule="exact" w:before="36"/>
                          <w:ind w:left="102"/>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tc>
                  </w:tr>
                </w:tbl>
                <w:p>
                  <w:pPr>
                    <w:pStyle w:val="BodyText"/>
                  </w:pPr>
                </w:p>
              </w:txbxContent>
            </v:textbox>
            <w10:wrap type="none"/>
          </v:shape>
        </w:pict>
      </w:r>
      <w:r>
        <w:rPr/>
        <w:t>发</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r>
        <w:rPr/>
        <w:pict>
          <v:line style="position:absolute;mso-position-horizontal-relative:page;mso-position-vertical-relative:paragraph;z-index:1360;mso-wrap-distance-left:0;mso-wrap-distance-right:0" from="51pt,14.55303pt" to="195pt,14.55303pt" stroked="true" strokeweight=".48pt" strokecolor="#000000">
            <v:stroke dashstyle="solid"/>
            <w10:wrap type="topAndBottom"/>
          </v:line>
        </w:pict>
      </w:r>
    </w:p>
    <w:p>
      <w:pPr>
        <w:spacing w:line="256" w:lineRule="auto" w:before="25"/>
        <w:ind w:left="480" w:right="278"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9"/>
        <w:ind w:left="479" w:right="191"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160" w:bottom="280" w:left="720" w:right="7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0"/>
        <w:gridCol w:w="1894"/>
        <w:gridCol w:w="7196"/>
      </w:tblGrid>
      <w:tr>
        <w:trPr>
          <w:trHeight w:val="1652" w:hRule="atLeast"/>
        </w:trPr>
        <w:tc>
          <w:tcPr>
            <w:tcW w:w="1140" w:type="dxa"/>
          </w:tcPr>
          <w:p>
            <w:pPr>
              <w:pStyle w:val="TableParagraph"/>
              <w:rPr>
                <w:rFonts w:ascii="Times New Roman"/>
                <w:sz w:val="20"/>
              </w:rPr>
            </w:pPr>
          </w:p>
        </w:tc>
        <w:tc>
          <w:tcPr>
            <w:tcW w:w="1894" w:type="dxa"/>
          </w:tcPr>
          <w:p>
            <w:pPr>
              <w:pStyle w:val="TableParagraph"/>
              <w:rPr>
                <w:rFonts w:ascii="Times New Roman"/>
                <w:sz w:val="20"/>
              </w:rPr>
            </w:pPr>
          </w:p>
        </w:tc>
        <w:tc>
          <w:tcPr>
            <w:tcW w:w="7196" w:type="dxa"/>
          </w:tcPr>
          <w:p>
            <w:pPr>
              <w:pStyle w:val="TableParagraph"/>
              <w:spacing w:line="211" w:lineRule="exact"/>
              <w:ind w:left="122"/>
              <w:rPr>
                <w:sz w:val="21"/>
              </w:rPr>
            </w:pPr>
            <w:r>
              <w:rPr>
                <w:sz w:val="21"/>
              </w:rPr>
              <w:t>（3）医院出具的附有病理显微镜检查、血液检验及其他科学方法检验报告的</w:t>
            </w:r>
          </w:p>
          <w:p>
            <w:pPr>
              <w:pStyle w:val="TableParagraph"/>
              <w:spacing w:before="37"/>
              <w:ind w:left="645"/>
              <w:rPr>
                <w:sz w:val="21"/>
              </w:rPr>
            </w:pPr>
            <w:r>
              <w:rPr>
                <w:sz w:val="21"/>
              </w:rPr>
              <w:t>疾病诊断证明书；</w:t>
            </w:r>
          </w:p>
          <w:p>
            <w:pPr>
              <w:pStyle w:val="TableParagraph"/>
              <w:spacing w:before="37"/>
              <w:ind w:left="105"/>
              <w:rPr>
                <w:sz w:val="21"/>
              </w:rPr>
            </w:pPr>
            <w:r>
              <w:rPr>
                <w:sz w:val="21"/>
              </w:rPr>
              <w:t>（4）与确认保险事故的性质、原因等有关的其他证明和资料。</w:t>
            </w:r>
          </w:p>
          <w:p>
            <w:pPr>
              <w:pStyle w:val="TableParagraph"/>
              <w:spacing w:line="273" w:lineRule="auto" w:before="37"/>
              <w:ind w:left="105" w:right="104"/>
              <w:rPr>
                <w:sz w:val="21"/>
              </w:rPr>
            </w:pPr>
            <w:r>
              <w:rPr>
                <w:sz w:val="21"/>
              </w:rPr>
              <w:t>以上证明和资料不完整的，我们将一次性通知受益人补充提供有关证明和资料。</w:t>
            </w:r>
          </w:p>
        </w:tc>
      </w:tr>
      <w:tr>
        <w:trPr>
          <w:trHeight w:val="3689" w:hRule="atLeast"/>
        </w:trPr>
        <w:tc>
          <w:tcPr>
            <w:tcW w:w="1140" w:type="dxa"/>
          </w:tcPr>
          <w:p>
            <w:pPr>
              <w:pStyle w:val="TableParagraph"/>
              <w:spacing w:before="129"/>
              <w:ind w:right="314"/>
              <w:jc w:val="right"/>
              <w:rPr>
                <w:b/>
                <w:sz w:val="21"/>
              </w:rPr>
            </w:pPr>
            <w:r>
              <w:rPr>
                <w:b/>
                <w:sz w:val="21"/>
              </w:rPr>
              <w:t>4.3</w:t>
            </w:r>
          </w:p>
        </w:tc>
        <w:tc>
          <w:tcPr>
            <w:tcW w:w="1894" w:type="dxa"/>
          </w:tcPr>
          <w:p>
            <w:pPr>
              <w:pStyle w:val="TableParagraph"/>
              <w:spacing w:before="129"/>
              <w:ind w:left="297"/>
              <w:rPr>
                <w:b/>
                <w:sz w:val="21"/>
              </w:rPr>
            </w:pPr>
            <w:r>
              <w:rPr>
                <w:b/>
                <w:sz w:val="21"/>
              </w:rPr>
              <w:t>保险金的给付</w:t>
            </w:r>
          </w:p>
        </w:tc>
        <w:tc>
          <w:tcPr>
            <w:tcW w:w="7196" w:type="dxa"/>
          </w:tcPr>
          <w:p>
            <w:pPr>
              <w:pStyle w:val="TableParagraph"/>
              <w:spacing w:before="129"/>
              <w:ind w:left="105"/>
              <w:rPr>
                <w:sz w:val="21"/>
              </w:rPr>
            </w:pPr>
            <w:r>
              <w:rPr>
                <w:sz w:val="21"/>
              </w:rPr>
              <w:t>我们在收到保险金给付申请书及上述有关证明和资料后，将在 5 日内作出核</w:t>
            </w:r>
          </w:p>
          <w:p>
            <w:pPr>
              <w:pStyle w:val="TableParagraph"/>
              <w:spacing w:before="36"/>
              <w:ind w:left="105"/>
              <w:rPr>
                <w:sz w:val="21"/>
              </w:rPr>
            </w:pPr>
            <w:r>
              <w:rPr>
                <w:sz w:val="21"/>
              </w:rPr>
              <w:t>定；情形复杂的，在 30 日内作出核定。</w:t>
            </w:r>
          </w:p>
          <w:p>
            <w:pPr>
              <w:pStyle w:val="TableParagraph"/>
              <w:spacing w:line="273" w:lineRule="auto" w:before="36"/>
              <w:ind w:left="105" w:right="101" w:hanging="1"/>
              <w:jc w:val="both"/>
              <w:rPr>
                <w:sz w:val="21"/>
              </w:rPr>
            </w:pPr>
            <w:r>
              <w:rPr>
                <w:spacing w:val="-8"/>
                <w:sz w:val="21"/>
              </w:rPr>
              <w:t>对属于保险责任的，我们在与受益人达成给付保险金的协议后 </w:t>
            </w:r>
            <w:r>
              <w:rPr>
                <w:sz w:val="21"/>
              </w:rPr>
              <w:t>10</w:t>
            </w:r>
            <w:r>
              <w:rPr>
                <w:spacing w:val="-13"/>
                <w:sz w:val="21"/>
              </w:rPr>
              <w:t> 日内，履行</w:t>
            </w:r>
            <w:r>
              <w:rPr>
                <w:sz w:val="21"/>
              </w:rPr>
              <w:t>给付保险金义务；若我们在收到保险金给付申请书及上述有关证明和资料后</w:t>
            </w:r>
            <w:r>
              <w:rPr>
                <w:spacing w:val="-16"/>
                <w:sz w:val="21"/>
              </w:rPr>
              <w:t>第 </w:t>
            </w:r>
            <w:r>
              <w:rPr>
                <w:sz w:val="21"/>
              </w:rPr>
              <w:t>30</w:t>
            </w:r>
            <w:r>
              <w:rPr>
                <w:spacing w:val="-9"/>
                <w:sz w:val="21"/>
              </w:rPr>
              <w:t> 日仍未作出核定，除支付保险金外，我们将从第 </w:t>
            </w:r>
            <w:r>
              <w:rPr>
                <w:sz w:val="21"/>
              </w:rPr>
              <w:t>31</w:t>
            </w:r>
            <w:r>
              <w:rPr>
                <w:spacing w:val="-7"/>
                <w:sz w:val="21"/>
              </w:rPr>
              <w:t> 日起按超过天数赔偿受益人因此受到的利息损失。利息按照我们公示的利率按单利计算，且保</w:t>
            </w:r>
            <w:r>
              <w:rPr>
                <w:spacing w:val="5"/>
                <w:sz w:val="21"/>
              </w:rPr>
              <w:t>证该利率不低于中国人民银行公布的同期金融机构人民币活期存款基准利率。若我们要求投保人、被保险人或者受益人补充提供有关证明和资料的， </w:t>
            </w:r>
            <w:r>
              <w:rPr>
                <w:spacing w:val="-8"/>
                <w:sz w:val="21"/>
              </w:rPr>
              <w:t>则上述的 </w:t>
            </w:r>
            <w:r>
              <w:rPr>
                <w:sz w:val="21"/>
              </w:rPr>
              <w:t>30</w:t>
            </w:r>
            <w:r>
              <w:rPr>
                <w:spacing w:val="-8"/>
                <w:sz w:val="21"/>
              </w:rPr>
              <w:t> 日不包括补充提供有关证明和资料的期间。</w:t>
            </w:r>
          </w:p>
          <w:p>
            <w:pPr>
              <w:pStyle w:val="TableParagraph"/>
              <w:spacing w:line="273" w:lineRule="auto" w:before="7"/>
              <w:ind w:left="105" w:right="99"/>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tc>
      </w:tr>
      <w:tr>
        <w:trPr>
          <w:trHeight w:val="1726" w:hRule="atLeast"/>
        </w:trPr>
        <w:tc>
          <w:tcPr>
            <w:tcW w:w="1140" w:type="dxa"/>
            <w:tcBorders>
              <w:bottom w:val="single" w:sz="8" w:space="0" w:color="000000"/>
            </w:tcBorders>
          </w:tcPr>
          <w:p>
            <w:pPr>
              <w:pStyle w:val="TableParagraph"/>
              <w:spacing w:before="128"/>
              <w:ind w:right="295"/>
              <w:jc w:val="right"/>
              <w:rPr>
                <w:rFonts w:ascii="Arial" w:hAnsi="Arial"/>
                <w:b/>
                <w:sz w:val="40"/>
              </w:rPr>
            </w:pPr>
            <w:r>
              <w:rPr>
                <w:rFonts w:ascii="Arial" w:hAnsi="Arial"/>
                <w:b/>
                <w:w w:val="119"/>
                <w:sz w:val="40"/>
              </w:rPr>
              <w:t></w:t>
            </w:r>
          </w:p>
        </w:tc>
        <w:tc>
          <w:tcPr>
            <w:tcW w:w="9090" w:type="dxa"/>
            <w:gridSpan w:val="2"/>
            <w:tcBorders>
              <w:bottom w:val="single" w:sz="8" w:space="0" w:color="000000"/>
            </w:tcBorders>
          </w:tcPr>
          <w:p>
            <w:pPr>
              <w:pStyle w:val="TableParagraph"/>
              <w:spacing w:before="127"/>
              <w:ind w:left="297"/>
              <w:rPr>
                <w:b/>
                <w:sz w:val="24"/>
              </w:rPr>
            </w:pPr>
            <w:r>
              <w:rPr>
                <w:b/>
                <w:sz w:val="24"/>
              </w:rPr>
              <w:t>如何退保</w:t>
            </w:r>
          </w:p>
          <w:p>
            <w:pPr>
              <w:pStyle w:val="TableParagraph"/>
              <w:spacing w:before="134"/>
              <w:ind w:left="297"/>
              <w:rPr>
                <w:sz w:val="24"/>
              </w:rPr>
            </w:pPr>
            <w:r>
              <w:rPr>
                <w:sz w:val="24"/>
              </w:rPr>
              <w:t>这部分讲的是您可以随时申请退保，在犹豫期内退保没有损失，犹豫期后退保会有</w:t>
            </w:r>
          </w:p>
          <w:p>
            <w:pPr>
              <w:pStyle w:val="TableParagraph"/>
              <w:spacing w:before="8"/>
              <w:rPr>
                <w:sz w:val="23"/>
              </w:rPr>
            </w:pPr>
          </w:p>
          <w:p>
            <w:pPr>
              <w:pStyle w:val="TableParagraph"/>
              <w:ind w:left="297"/>
              <w:rPr>
                <w:sz w:val="24"/>
              </w:rPr>
            </w:pPr>
            <w:r>
              <w:rPr>
                <w:sz w:val="24"/>
              </w:rPr>
              <w:t>损失。</w:t>
            </w:r>
          </w:p>
        </w:tc>
      </w:tr>
      <w:tr>
        <w:trPr>
          <w:trHeight w:val="5032" w:hRule="atLeast"/>
        </w:trPr>
        <w:tc>
          <w:tcPr>
            <w:tcW w:w="1140" w:type="dxa"/>
            <w:tcBorders>
              <w:top w:val="single" w:sz="8" w:space="0" w:color="000000"/>
            </w:tcBorders>
          </w:tcPr>
          <w:p>
            <w:pPr>
              <w:pStyle w:val="TableParagraph"/>
              <w:spacing w:before="2"/>
              <w:rPr>
                <w:sz w:val="19"/>
              </w:rPr>
            </w:pPr>
          </w:p>
          <w:p>
            <w:pPr>
              <w:pStyle w:val="TableParagraph"/>
              <w:ind w:left="506"/>
              <w:rPr>
                <w:b/>
                <w:sz w:val="21"/>
              </w:rPr>
            </w:pPr>
            <w:r>
              <w:rPr>
                <w:b/>
                <w:sz w:val="21"/>
              </w:rPr>
              <w:t>5.1</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ind w:left="506"/>
              <w:rPr>
                <w:b/>
                <w:sz w:val="21"/>
              </w:rPr>
            </w:pPr>
            <w:r>
              <w:rPr>
                <w:b/>
                <w:sz w:val="21"/>
              </w:rPr>
              <w:t>5.2</w:t>
            </w:r>
          </w:p>
        </w:tc>
        <w:tc>
          <w:tcPr>
            <w:tcW w:w="1894" w:type="dxa"/>
            <w:tcBorders>
              <w:top w:val="single" w:sz="8" w:space="0" w:color="000000"/>
            </w:tcBorders>
          </w:tcPr>
          <w:p>
            <w:pPr>
              <w:pStyle w:val="TableParagraph"/>
              <w:spacing w:before="2"/>
              <w:rPr>
                <w:sz w:val="19"/>
              </w:rPr>
            </w:pPr>
          </w:p>
          <w:p>
            <w:pPr>
              <w:pStyle w:val="TableParagraph"/>
              <w:ind w:left="297"/>
              <w:rPr>
                <w:b/>
                <w:sz w:val="21"/>
              </w:rPr>
            </w:pPr>
            <w:r>
              <w:rPr>
                <w:b/>
                <w:sz w:val="21"/>
              </w:rPr>
              <w:t>犹豫期</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spacing w:line="273" w:lineRule="auto"/>
              <w:ind w:left="297" w:right="104"/>
              <w:rPr>
                <w:b/>
                <w:sz w:val="21"/>
              </w:rPr>
            </w:pPr>
            <w:r>
              <w:rPr>
                <w:b/>
                <w:sz w:val="21"/>
              </w:rPr>
              <w:t>您解除合同的手续及风险</w:t>
            </w:r>
          </w:p>
        </w:tc>
        <w:tc>
          <w:tcPr>
            <w:tcW w:w="7196" w:type="dxa"/>
            <w:tcBorders>
              <w:top w:val="single" w:sz="8" w:space="0" w:color="000000"/>
            </w:tcBorders>
          </w:tcPr>
          <w:p>
            <w:pPr>
              <w:pStyle w:val="TableParagraph"/>
              <w:spacing w:before="2"/>
              <w:rPr>
                <w:sz w:val="19"/>
              </w:rPr>
            </w:pPr>
          </w:p>
          <w:p>
            <w:pPr>
              <w:pStyle w:val="TableParagraph"/>
              <w:spacing w:line="273" w:lineRule="auto"/>
              <w:ind w:left="105" w:right="99" w:hanging="1"/>
              <w:jc w:val="both"/>
              <w:rPr>
                <w:sz w:val="21"/>
              </w:rPr>
            </w:pPr>
            <w:r>
              <w:rPr>
                <w:spacing w:val="-7"/>
                <w:sz w:val="21"/>
              </w:rPr>
              <w:t>自您签收本附加险合同次日起，有 </w:t>
            </w:r>
            <w:r>
              <w:rPr>
                <w:sz w:val="21"/>
              </w:rPr>
              <w:t>20</w:t>
            </w:r>
            <w:r>
              <w:rPr>
                <w:spacing w:val="-10"/>
                <w:sz w:val="21"/>
              </w:rPr>
              <w:t> 日的犹豫期。在此期间请您认真审视本</w:t>
            </w:r>
            <w:r>
              <w:rPr>
                <w:spacing w:val="-5"/>
                <w:sz w:val="21"/>
              </w:rPr>
              <w:t>附加险合同，如果您认为本附加险合同与您的需求不相符，您可以在此期间</w:t>
            </w:r>
            <w:r>
              <w:rPr>
                <w:spacing w:val="-4"/>
                <w:sz w:val="21"/>
              </w:rPr>
              <w:t>提出解除本附加险合同，我们将无息退还您所支付的全部保险费。</w:t>
            </w:r>
          </w:p>
          <w:p>
            <w:pPr>
              <w:pStyle w:val="TableParagraph"/>
              <w:spacing w:line="273" w:lineRule="auto" w:before="7"/>
              <w:ind w:left="105" w:right="152"/>
              <w:jc w:val="both"/>
              <w:rPr>
                <w:sz w:val="21"/>
              </w:rPr>
            </w:pPr>
            <w:r>
              <w:rPr>
                <w:sz w:val="21"/>
              </w:rPr>
              <w:t>解除本附加险合同时，您需要填写申请书，并提供您的保险合同及有效身份证件。自我们收到您解除合同的书面申请时起，本附加险合同即被解除，</w:t>
            </w:r>
            <w:r>
              <w:rPr>
                <w:sz w:val="21"/>
                <w:shd w:fill="DADADA" w:color="auto" w:val="clear"/>
              </w:rPr>
              <w:t>合同解除前发生的保险事故我们不承担保险责任。</w:t>
            </w:r>
          </w:p>
          <w:p>
            <w:pPr>
              <w:pStyle w:val="TableParagraph"/>
              <w:spacing w:before="5"/>
              <w:rPr>
                <w:sz w:val="22"/>
              </w:rPr>
            </w:pPr>
          </w:p>
          <w:p>
            <w:pPr>
              <w:pStyle w:val="TableParagraph"/>
              <w:spacing w:line="273" w:lineRule="auto"/>
              <w:ind w:left="105" w:right="104"/>
              <w:jc w:val="both"/>
              <w:rPr>
                <w:sz w:val="21"/>
              </w:rPr>
            </w:pPr>
            <w:r>
              <w:rPr>
                <w:sz w:val="21"/>
              </w:rPr>
              <w:t>您在犹豫期后可以申请解除本附加险合同，请填写解除合同申请书并向我们提供下列资料：</w:t>
            </w:r>
          </w:p>
          <w:p>
            <w:pPr>
              <w:pStyle w:val="TableParagraph"/>
              <w:spacing w:before="7"/>
              <w:ind w:left="105"/>
              <w:rPr>
                <w:sz w:val="21"/>
              </w:rPr>
            </w:pPr>
            <w:r>
              <w:rPr>
                <w:sz w:val="21"/>
              </w:rPr>
              <w:t>（1）保险合同；</w:t>
            </w:r>
          </w:p>
          <w:p>
            <w:pPr>
              <w:pStyle w:val="TableParagraph"/>
              <w:spacing w:before="36"/>
              <w:ind w:left="105"/>
              <w:rPr>
                <w:sz w:val="21"/>
              </w:rPr>
            </w:pPr>
            <w:r>
              <w:rPr>
                <w:sz w:val="21"/>
              </w:rPr>
              <w:t>（2）您的有效身份证件。</w:t>
            </w:r>
          </w:p>
          <w:p>
            <w:pPr>
              <w:pStyle w:val="TableParagraph"/>
              <w:spacing w:line="273" w:lineRule="auto" w:before="36"/>
              <w:ind w:left="105" w:right="104"/>
              <w:jc w:val="both"/>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105" w:right="3303"/>
              <w:rPr>
                <w:sz w:val="21"/>
              </w:rPr>
            </w:pPr>
            <w:r>
              <w:rPr>
                <w:sz w:val="21"/>
              </w:rPr>
              <w:t>您在犹豫期后解除合同会遭受一定损失。解除合同后，您会失去原有的保障。</w:t>
            </w:r>
          </w:p>
        </w:tc>
      </w:tr>
      <w:tr>
        <w:trPr>
          <w:trHeight w:val="1103" w:hRule="atLeast"/>
        </w:trPr>
        <w:tc>
          <w:tcPr>
            <w:tcW w:w="1140" w:type="dxa"/>
            <w:tcBorders>
              <w:bottom w:val="single" w:sz="8" w:space="0" w:color="000000"/>
            </w:tcBorders>
          </w:tcPr>
          <w:p>
            <w:pPr>
              <w:pStyle w:val="TableParagraph"/>
              <w:spacing w:before="128"/>
              <w:ind w:right="295"/>
              <w:jc w:val="right"/>
              <w:rPr>
                <w:rFonts w:ascii="Arial" w:hAnsi="Arial"/>
                <w:b/>
                <w:sz w:val="40"/>
              </w:rPr>
            </w:pPr>
            <w:r>
              <w:rPr>
                <w:rFonts w:ascii="Arial" w:hAnsi="Arial"/>
                <w:b/>
                <w:w w:val="119"/>
                <w:sz w:val="40"/>
              </w:rPr>
              <w:t></w:t>
            </w:r>
          </w:p>
        </w:tc>
        <w:tc>
          <w:tcPr>
            <w:tcW w:w="9090" w:type="dxa"/>
            <w:gridSpan w:val="2"/>
            <w:tcBorders>
              <w:bottom w:val="single" w:sz="8" w:space="0" w:color="000000"/>
            </w:tcBorders>
          </w:tcPr>
          <w:p>
            <w:pPr>
              <w:pStyle w:val="TableParagraph"/>
              <w:spacing w:before="127"/>
              <w:ind w:left="297"/>
              <w:rPr>
                <w:b/>
                <w:sz w:val="24"/>
              </w:rPr>
            </w:pPr>
            <w:r>
              <w:rPr>
                <w:b/>
                <w:sz w:val="24"/>
              </w:rPr>
              <w:t>其他权益</w:t>
            </w:r>
          </w:p>
          <w:p>
            <w:pPr>
              <w:pStyle w:val="TableParagraph"/>
              <w:spacing w:before="134"/>
              <w:ind w:left="297"/>
              <w:rPr>
                <w:sz w:val="24"/>
              </w:rPr>
            </w:pPr>
            <w:r>
              <w:rPr>
                <w:sz w:val="24"/>
              </w:rPr>
              <w:t>这部分讲的是您所拥有的其他相关权益。</w:t>
            </w:r>
          </w:p>
        </w:tc>
      </w:tr>
      <w:tr>
        <w:trPr>
          <w:trHeight w:val="838" w:hRule="atLeast"/>
        </w:trPr>
        <w:tc>
          <w:tcPr>
            <w:tcW w:w="1140" w:type="dxa"/>
            <w:tcBorders>
              <w:top w:val="single" w:sz="8" w:space="0" w:color="000000"/>
            </w:tcBorders>
          </w:tcPr>
          <w:p>
            <w:pPr>
              <w:pStyle w:val="TableParagraph"/>
              <w:spacing w:before="2"/>
              <w:rPr>
                <w:sz w:val="19"/>
              </w:rPr>
            </w:pPr>
          </w:p>
          <w:p>
            <w:pPr>
              <w:pStyle w:val="TableParagraph"/>
              <w:ind w:right="314"/>
              <w:jc w:val="right"/>
              <w:rPr>
                <w:b/>
                <w:sz w:val="21"/>
              </w:rPr>
            </w:pPr>
            <w:r>
              <w:rPr>
                <w:b/>
                <w:sz w:val="21"/>
              </w:rPr>
              <w:t>6.1</w:t>
            </w:r>
          </w:p>
        </w:tc>
        <w:tc>
          <w:tcPr>
            <w:tcW w:w="1894" w:type="dxa"/>
            <w:tcBorders>
              <w:top w:val="single" w:sz="8" w:space="0" w:color="000000"/>
            </w:tcBorders>
          </w:tcPr>
          <w:p>
            <w:pPr>
              <w:pStyle w:val="TableParagraph"/>
              <w:spacing w:before="2"/>
              <w:rPr>
                <w:sz w:val="19"/>
              </w:rPr>
            </w:pPr>
          </w:p>
          <w:p>
            <w:pPr>
              <w:pStyle w:val="TableParagraph"/>
              <w:ind w:left="297"/>
              <w:rPr>
                <w:b/>
                <w:sz w:val="21"/>
              </w:rPr>
            </w:pPr>
            <w:r>
              <w:rPr>
                <w:b/>
                <w:sz w:val="21"/>
              </w:rPr>
              <w:t>现金价值</w:t>
            </w:r>
          </w:p>
        </w:tc>
        <w:tc>
          <w:tcPr>
            <w:tcW w:w="7196" w:type="dxa"/>
            <w:tcBorders>
              <w:top w:val="single" w:sz="8" w:space="0" w:color="000000"/>
            </w:tcBorders>
          </w:tcPr>
          <w:p>
            <w:pPr>
              <w:pStyle w:val="TableParagraph"/>
              <w:spacing w:before="6"/>
              <w:rPr>
                <w:sz w:val="16"/>
              </w:rPr>
            </w:pPr>
          </w:p>
          <w:p>
            <w:pPr>
              <w:pStyle w:val="TableParagraph"/>
              <w:spacing w:line="310" w:lineRule="atLeast"/>
              <w:ind w:left="105" w:right="104"/>
              <w:rPr>
                <w:sz w:val="21"/>
              </w:rPr>
            </w:pPr>
            <w:r>
              <w:rPr>
                <w:sz w:val="21"/>
              </w:rPr>
              <w:t>指保险单所具有的价值。通常体现为解除合同时，由本公司退还的那部分金额。</w:t>
            </w:r>
          </w:p>
        </w:tc>
      </w:tr>
    </w:tbl>
    <w:p>
      <w:pPr>
        <w:spacing w:after="0" w:line="310" w:lineRule="atLeast"/>
        <w:rPr>
          <w:sz w:val="21"/>
        </w:rPr>
        <w:sectPr>
          <w:pgSz w:w="11910" w:h="16840"/>
          <w:pgMar w:top="1160" w:bottom="280" w:left="720" w:right="740"/>
        </w:sectPr>
      </w:pPr>
    </w:p>
    <w:p>
      <w:pPr>
        <w:pStyle w:val="BodyText"/>
        <w:rPr>
          <w:sz w:val="42"/>
        </w:rPr>
      </w:pPr>
    </w:p>
    <w:p>
      <w:pPr>
        <w:tabs>
          <w:tab w:pos="1555" w:val="left" w:leader="none"/>
        </w:tabs>
        <w:spacing w:before="374"/>
        <w:ind w:left="602"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42"/>
        <w:ind w:left="216" w:right="198" w:hanging="1"/>
      </w:pPr>
      <w:r>
        <w:rPr/>
        <w:br w:type="column"/>
      </w:r>
      <w:r>
        <w:rPr/>
        <w:t>本附加险合同</w:t>
      </w:r>
      <w:r>
        <w:rPr>
          <w:rFonts w:ascii="黑体" w:eastAsia="黑体" w:hint="eastAsia"/>
          <w:b/>
        </w:rPr>
        <w:t>保单年度 </w:t>
      </w:r>
      <w:hyperlink w:history="true" w:anchor="_bookmark14">
        <w:r>
          <w:rPr>
            <w:rFonts w:ascii="黑体" w:eastAsia="黑体" w:hint="eastAsia"/>
            <w:b/>
            <w:position w:val="11"/>
            <w:sz w:val="11"/>
          </w:rPr>
          <w:t>15</w:t>
        </w:r>
      </w:hyperlink>
      <w:r>
        <w:rPr/>
        <w:t>末的现金价值会在保险单上载明。保单年度内的现金价值，您可以向我们咨询。</w:t>
      </w:r>
    </w:p>
    <w:p>
      <w:pPr>
        <w:spacing w:after="0" w:line="273" w:lineRule="auto"/>
        <w:sectPr>
          <w:pgSz w:w="11910" w:h="16840"/>
          <w:pgMar w:top="1060" w:bottom="280" w:left="720" w:right="740"/>
          <w:cols w:num="2" w:equalWidth="0">
            <w:col w:w="3001" w:space="40"/>
            <w:col w:w="7409"/>
          </w:cols>
        </w:sectPr>
      </w:pPr>
    </w:p>
    <w:p>
      <w:pPr>
        <w:pStyle w:val="Heading2"/>
        <w:spacing w:line="242" w:lineRule="auto"/>
        <w:ind w:right="207"/>
      </w:pPr>
      <w:r>
        <w:rPr/>
        <w:pict>
          <v:group style="position:absolute;margin-left:41.880001pt;margin-top:34.535614pt;width:511.45pt;height:1pt;mso-position-horizontal-relative:page;mso-position-vertical-relative:paragraph;z-index:1408;mso-wrap-distance-left:0;mso-wrap-distance-right:0" coordorigin="838,691" coordsize="10229,20">
            <v:line style="position:absolute" from="838,700" to="2167,700" stroked="true" strokeweight=".96pt" strokecolor="#000000">
              <v:stroke dashstyle="solid"/>
            </v:line>
            <v:rect style="position:absolute;left:2167;top:690;width:20;height:20" filled="true" fillcolor="#000000" stroked="false">
              <v:fill type="solid"/>
            </v:rect>
            <v:line style="position:absolute" from="2186,700" to="3866,700" stroked="true" strokeweight=".96pt" strokecolor="#000000">
              <v:stroke dashstyle="solid"/>
            </v:line>
            <v:rect style="position:absolute;left:3866;top:690;width:20;height:20" filled="true" fillcolor="#000000" stroked="false">
              <v:fill type="solid"/>
            </v:rect>
            <v:line style="position:absolute" from="3886,700" to="11066,700" stroked="true" strokeweight=".96pt" strokecolor="#000000">
              <v:stroke dashstyle="solid"/>
            </v:line>
            <w10:wrap type="topAndBottom"/>
          </v:group>
        </w:pict>
      </w:r>
      <w:r>
        <w:rPr>
          <w:spacing w:val="-4"/>
        </w:rPr>
        <w:t>这部分讲的是我们提供保障的 </w:t>
      </w:r>
      <w:r>
        <w:rPr/>
        <w:t>80</w:t>
      </w:r>
      <w:r>
        <w:rPr>
          <w:spacing w:val="-14"/>
        </w:rPr>
        <w:t> 种重大疾病的定义，其中包含一些免责条款，请您特别留意。</w:t>
      </w:r>
    </w:p>
    <w:p>
      <w:pPr>
        <w:pStyle w:val="BodyText"/>
        <w:spacing w:before="2"/>
        <w:rPr>
          <w:sz w:val="20"/>
        </w:rPr>
      </w:pPr>
    </w:p>
    <w:tbl>
      <w:tblPr>
        <w:tblW w:w="0" w:type="auto"/>
        <w:jc w:val="left"/>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1960"/>
        <w:gridCol w:w="7137"/>
      </w:tblGrid>
      <w:tr>
        <w:trPr>
          <w:trHeight w:val="429" w:hRule="atLeast"/>
        </w:trPr>
        <w:tc>
          <w:tcPr>
            <w:tcW w:w="516" w:type="dxa"/>
          </w:tcPr>
          <w:p>
            <w:pPr>
              <w:pStyle w:val="TableParagraph"/>
              <w:rPr>
                <w:rFonts w:ascii="Times New Roman"/>
                <w:sz w:val="20"/>
              </w:rPr>
            </w:pPr>
          </w:p>
        </w:tc>
        <w:tc>
          <w:tcPr>
            <w:tcW w:w="1960" w:type="dxa"/>
          </w:tcPr>
          <w:p>
            <w:pPr>
              <w:pStyle w:val="TableParagraph"/>
              <w:spacing w:line="211" w:lineRule="exact"/>
              <w:ind w:left="359"/>
              <w:rPr>
                <w:b/>
                <w:sz w:val="21"/>
              </w:rPr>
            </w:pPr>
            <w:r>
              <w:rPr>
                <w:b/>
                <w:sz w:val="21"/>
              </w:rPr>
              <w:t>第 1 组：</w:t>
            </w:r>
          </w:p>
        </w:tc>
        <w:tc>
          <w:tcPr>
            <w:tcW w:w="7137" w:type="dxa"/>
          </w:tcPr>
          <w:p>
            <w:pPr>
              <w:pStyle w:val="TableParagraph"/>
              <w:spacing w:line="233" w:lineRule="exact"/>
              <w:ind w:left="101"/>
              <w:rPr>
                <w:b/>
                <w:sz w:val="21"/>
              </w:rPr>
            </w:pPr>
            <w:r>
              <w:rPr>
                <w:b/>
                <w:sz w:val="21"/>
              </w:rPr>
              <w:t>恶性肿瘤及严重器官功能受损（29 种）</w:t>
            </w:r>
          </w:p>
        </w:tc>
      </w:tr>
      <w:tr>
        <w:trPr>
          <w:trHeight w:val="486" w:hRule="atLeast"/>
        </w:trPr>
        <w:tc>
          <w:tcPr>
            <w:tcW w:w="516" w:type="dxa"/>
          </w:tcPr>
          <w:p>
            <w:pPr>
              <w:pStyle w:val="TableParagraph"/>
              <w:spacing w:before="152"/>
              <w:ind w:left="50"/>
              <w:rPr>
                <w:b/>
                <w:sz w:val="21"/>
              </w:rPr>
            </w:pPr>
            <w:r>
              <w:rPr>
                <w:b/>
                <w:w w:val="99"/>
                <w:sz w:val="21"/>
              </w:rPr>
              <w:t>1</w:t>
            </w:r>
          </w:p>
        </w:tc>
        <w:tc>
          <w:tcPr>
            <w:tcW w:w="1960" w:type="dxa"/>
          </w:tcPr>
          <w:p>
            <w:pPr>
              <w:pStyle w:val="TableParagraph"/>
              <w:spacing w:before="116"/>
              <w:ind w:left="359"/>
              <w:rPr>
                <w:rFonts w:ascii="等线" w:eastAsia="等线" w:hint="eastAsia"/>
                <w:b/>
                <w:sz w:val="24"/>
              </w:rPr>
            </w:pPr>
            <w:r>
              <w:rPr>
                <w:rFonts w:ascii="等线" w:eastAsia="等线" w:hint="eastAsia"/>
                <w:b/>
                <w:sz w:val="24"/>
              </w:rPr>
              <w:t>恶性肿瘤</w:t>
            </w:r>
          </w:p>
        </w:tc>
        <w:tc>
          <w:tcPr>
            <w:tcW w:w="7137" w:type="dxa"/>
          </w:tcPr>
          <w:p>
            <w:pPr>
              <w:pStyle w:val="TableParagraph"/>
              <w:spacing w:before="152"/>
              <w:ind w:left="101"/>
              <w:rPr>
                <w:sz w:val="21"/>
              </w:rPr>
            </w:pPr>
            <w:r>
              <w:rPr>
                <w:sz w:val="21"/>
              </w:rPr>
              <w:t>指恶性细胞不受控制的进行性增长和扩散，浸润和破坏周围正常组织，可以</w:t>
            </w:r>
          </w:p>
        </w:tc>
      </w:tr>
      <w:tr>
        <w:trPr>
          <w:trHeight w:val="303"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53" w:lineRule="exact"/>
              <w:ind w:left="101"/>
              <w:rPr>
                <w:sz w:val="21"/>
              </w:rPr>
            </w:pPr>
            <w:r>
              <w:rPr>
                <w:sz w:val="21"/>
              </w:rPr>
              <w:t>经血管、淋巴管和体腔扩散转移到身体其它部位的疾病。经病理学检查结果</w:t>
            </w:r>
          </w:p>
        </w:tc>
      </w:tr>
      <w:tr>
        <w:trPr>
          <w:trHeight w:val="312"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sz w:val="21"/>
              </w:rPr>
              <w:t>明确诊断，临床诊断属于世界卫生组织《疾病和有关健康问题的国际统计分</w:t>
            </w:r>
          </w:p>
        </w:tc>
      </w:tr>
      <w:tr>
        <w:trPr>
          <w:trHeight w:val="312"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2"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sz w:val="21"/>
                <w:shd w:fill="DADADA" w:color="auto" w:val="clear"/>
              </w:rPr>
              <w:t>（1）原位癌；</w:t>
            </w:r>
          </w:p>
        </w:tc>
      </w:tr>
      <w:tr>
        <w:trPr>
          <w:trHeight w:val="311"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sz w:val="21"/>
                <w:shd w:fill="DADADA" w:color="auto" w:val="clear"/>
              </w:rPr>
              <w:t>（2）相当于 Binet 分期方案 A 期程度的慢性淋巴细胞白血病；</w:t>
            </w:r>
          </w:p>
        </w:tc>
      </w:tr>
      <w:tr>
        <w:trPr>
          <w:trHeight w:val="312"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sz w:val="21"/>
                <w:shd w:fill="DADADA" w:color="auto" w:val="clear"/>
              </w:rPr>
              <w:t>（3）相当于 Ann Arbor 分期方案 I 期程度的何杰金氏病；</w:t>
            </w:r>
          </w:p>
        </w:tc>
      </w:tr>
      <w:tr>
        <w:trPr>
          <w:trHeight w:val="311"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61" w:lineRule="exact"/>
              <w:ind w:left="101"/>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516" w:type="dxa"/>
          </w:tcPr>
          <w:p>
            <w:pPr>
              <w:pStyle w:val="TableParagraph"/>
              <w:rPr>
                <w:rFonts w:ascii="Times New Roman"/>
                <w:sz w:val="18"/>
              </w:rPr>
            </w:pPr>
          </w:p>
        </w:tc>
        <w:tc>
          <w:tcPr>
            <w:tcW w:w="1960" w:type="dxa"/>
          </w:tcPr>
          <w:p>
            <w:pPr>
              <w:pStyle w:val="TableParagraph"/>
              <w:rPr>
                <w:rFonts w:ascii="Times New Roman"/>
                <w:sz w:val="18"/>
              </w:rPr>
            </w:pPr>
          </w:p>
        </w:tc>
        <w:tc>
          <w:tcPr>
            <w:tcW w:w="7137" w:type="dxa"/>
          </w:tcPr>
          <w:p>
            <w:pPr>
              <w:pStyle w:val="TableParagraph"/>
              <w:spacing w:line="242" w:lineRule="exact"/>
              <w:ind w:left="101"/>
              <w:rPr>
                <w:sz w:val="21"/>
              </w:rPr>
            </w:pPr>
            <w:r>
              <w:rPr>
                <w:sz w:val="21"/>
                <w:shd w:fill="DADADA" w:color="auto" w:val="clear"/>
              </w:rPr>
              <w:t>（6）感染艾滋病病毒或患艾滋病</w:t>
            </w:r>
            <w:r>
              <w:rPr>
                <w:sz w:val="21"/>
              </w:rPr>
              <w:t>（不包括经输血、因职业关系、器官移植导</w:t>
            </w:r>
          </w:p>
        </w:tc>
      </w:tr>
      <w:tr>
        <w:trPr>
          <w:trHeight w:val="495"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before="37"/>
              <w:ind w:left="626"/>
              <w:rPr>
                <w:sz w:val="21"/>
              </w:rPr>
            </w:pPr>
            <w:r>
              <w:rPr>
                <w:sz w:val="21"/>
              </w:rPr>
              <w:t>致的艾滋病病毒感染或患艾滋病）</w:t>
            </w:r>
            <w:r>
              <w:rPr>
                <w:sz w:val="21"/>
                <w:shd w:fill="DADADA" w:color="auto" w:val="clear"/>
              </w:rPr>
              <w:t>期间所患恶性肿瘤</w:t>
            </w:r>
            <w:r>
              <w:rPr>
                <w:sz w:val="21"/>
              </w:rPr>
              <w:t>。</w:t>
            </w:r>
          </w:p>
        </w:tc>
      </w:tr>
      <w:tr>
        <w:trPr>
          <w:trHeight w:val="1242" w:hRule="atLeast"/>
        </w:trPr>
        <w:tc>
          <w:tcPr>
            <w:tcW w:w="516" w:type="dxa"/>
          </w:tcPr>
          <w:p>
            <w:pPr>
              <w:pStyle w:val="TableParagraph"/>
              <w:spacing w:before="139"/>
              <w:ind w:left="50"/>
              <w:rPr>
                <w:b/>
                <w:sz w:val="21"/>
              </w:rPr>
            </w:pPr>
            <w:r>
              <w:rPr>
                <w:b/>
                <w:w w:val="99"/>
                <w:sz w:val="21"/>
              </w:rPr>
              <w:t>2</w:t>
            </w:r>
          </w:p>
        </w:tc>
        <w:tc>
          <w:tcPr>
            <w:tcW w:w="1960" w:type="dxa"/>
          </w:tcPr>
          <w:p>
            <w:pPr>
              <w:pStyle w:val="TableParagraph"/>
              <w:spacing w:line="322" w:lineRule="exact" w:before="103"/>
              <w:ind w:left="359"/>
              <w:rPr>
                <w:rFonts w:ascii="等线" w:eastAsia="等线" w:hint="eastAsia"/>
                <w:b/>
                <w:sz w:val="24"/>
              </w:rPr>
            </w:pPr>
            <w:r>
              <w:rPr>
                <w:rFonts w:ascii="等线" w:eastAsia="等线" w:hint="eastAsia"/>
                <w:b/>
                <w:sz w:val="24"/>
              </w:rPr>
              <w:t>侵蚀性葡萄胎</w:t>
            </w:r>
          </w:p>
          <w:p>
            <w:pPr>
              <w:pStyle w:val="TableParagraph"/>
              <w:spacing w:line="232" w:lineRule="auto" w:before="4"/>
              <w:ind w:left="359" w:right="100"/>
              <w:rPr>
                <w:rFonts w:ascii="等线" w:eastAsia="等线" w:hint="eastAsia"/>
                <w:b/>
                <w:sz w:val="24"/>
              </w:rPr>
            </w:pPr>
            <w:r>
              <w:rPr>
                <w:rFonts w:ascii="等线" w:eastAsia="等线" w:hint="eastAsia"/>
                <w:b/>
                <w:sz w:val="24"/>
              </w:rPr>
              <w:t>（或称恶性葡萄胎）</w:t>
            </w:r>
          </w:p>
        </w:tc>
        <w:tc>
          <w:tcPr>
            <w:tcW w:w="7137" w:type="dxa"/>
          </w:tcPr>
          <w:p>
            <w:pPr>
              <w:pStyle w:val="TableParagraph"/>
              <w:spacing w:line="273" w:lineRule="auto" w:before="139"/>
              <w:ind w:left="101" w:right="49"/>
              <w:rPr>
                <w:sz w:val="21"/>
              </w:rPr>
            </w:pPr>
            <w:r>
              <w:rPr>
                <w:sz w:val="21"/>
              </w:rPr>
              <w:t>指异常增生的绒毛组织浸润性生长浸入子宫肌层或转移至其他器官或组织的葡萄胎，并已经进行化疗或手术治疗的。</w:t>
            </w:r>
          </w:p>
        </w:tc>
      </w:tr>
      <w:tr>
        <w:trPr>
          <w:trHeight w:val="781" w:hRule="atLeast"/>
        </w:trPr>
        <w:tc>
          <w:tcPr>
            <w:tcW w:w="516" w:type="dxa"/>
          </w:tcPr>
          <w:p>
            <w:pPr>
              <w:pStyle w:val="TableParagraph"/>
              <w:spacing w:before="133"/>
              <w:ind w:left="50"/>
              <w:rPr>
                <w:b/>
                <w:sz w:val="21"/>
              </w:rPr>
            </w:pPr>
            <w:r>
              <w:rPr>
                <w:b/>
                <w:w w:val="99"/>
                <w:sz w:val="21"/>
              </w:rPr>
              <w:t>3</w:t>
            </w:r>
          </w:p>
        </w:tc>
        <w:tc>
          <w:tcPr>
            <w:tcW w:w="1960" w:type="dxa"/>
          </w:tcPr>
          <w:p>
            <w:pPr>
              <w:pStyle w:val="TableParagraph"/>
              <w:spacing w:line="232" w:lineRule="auto" w:before="107"/>
              <w:ind w:left="359" w:right="100"/>
              <w:rPr>
                <w:rFonts w:ascii="等线" w:eastAsia="等线" w:hint="eastAsia"/>
                <w:b/>
                <w:sz w:val="24"/>
              </w:rPr>
            </w:pPr>
            <w:r>
              <w:rPr>
                <w:rFonts w:ascii="等线" w:eastAsia="等线" w:hint="eastAsia"/>
                <w:b/>
                <w:sz w:val="24"/>
              </w:rPr>
              <w:t>重型再生障碍性贫血</w:t>
            </w:r>
          </w:p>
        </w:tc>
        <w:tc>
          <w:tcPr>
            <w:tcW w:w="7137" w:type="dxa"/>
          </w:tcPr>
          <w:p>
            <w:pPr>
              <w:pStyle w:val="TableParagraph"/>
              <w:spacing w:line="273" w:lineRule="auto" w:before="133"/>
              <w:ind w:left="101" w:right="49"/>
              <w:rPr>
                <w:sz w:val="21"/>
              </w:rPr>
            </w:pPr>
            <w:r>
              <w:rPr>
                <w:sz w:val="21"/>
              </w:rPr>
              <w:t>指因骨髓造血功能慢性持续性衰竭导致的贫血、中性粒细胞减少及血小板减少。须满足下列全部条件：</w:t>
            </w:r>
          </w:p>
        </w:tc>
      </w:tr>
      <w:tr>
        <w:trPr>
          <w:trHeight w:val="300"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7" w:type="dxa"/>
          </w:tcPr>
          <w:p>
            <w:pPr>
              <w:pStyle w:val="TableParagraph"/>
              <w:spacing w:line="250" w:lineRule="exact"/>
              <w:ind w:left="101"/>
              <w:rPr>
                <w:sz w:val="21"/>
              </w:rPr>
            </w:pPr>
            <w:r>
              <w:rPr>
                <w:sz w:val="21"/>
              </w:rPr>
              <w:t>（1）骨髓穿刺检查或骨髓活检结果支持诊断；</w:t>
            </w:r>
          </w:p>
        </w:tc>
      </w:tr>
      <w:tr>
        <w:trPr>
          <w:trHeight w:val="261" w:hRule="atLeast"/>
        </w:trPr>
        <w:tc>
          <w:tcPr>
            <w:tcW w:w="516" w:type="dxa"/>
          </w:tcPr>
          <w:p>
            <w:pPr>
              <w:pStyle w:val="TableParagraph"/>
              <w:rPr>
                <w:rFonts w:ascii="Times New Roman"/>
                <w:sz w:val="18"/>
              </w:rPr>
            </w:pPr>
          </w:p>
        </w:tc>
        <w:tc>
          <w:tcPr>
            <w:tcW w:w="1960" w:type="dxa"/>
          </w:tcPr>
          <w:p>
            <w:pPr>
              <w:pStyle w:val="TableParagraph"/>
              <w:rPr>
                <w:rFonts w:ascii="Times New Roman"/>
                <w:sz w:val="18"/>
              </w:rPr>
            </w:pPr>
          </w:p>
        </w:tc>
        <w:tc>
          <w:tcPr>
            <w:tcW w:w="7137" w:type="dxa"/>
          </w:tcPr>
          <w:p>
            <w:pPr>
              <w:pStyle w:val="TableParagraph"/>
              <w:spacing w:line="242" w:lineRule="exact"/>
              <w:ind w:left="101"/>
              <w:rPr>
                <w:sz w:val="21"/>
              </w:rPr>
            </w:pPr>
            <w:r>
              <w:rPr>
                <w:sz w:val="21"/>
              </w:rPr>
              <w:t>（2）外周血象须具备以下三项条件：</w:t>
            </w:r>
          </w:p>
        </w:tc>
      </w:tr>
    </w:tbl>
    <w:p>
      <w:pPr>
        <w:pStyle w:val="BodyText"/>
        <w:tabs>
          <w:tab w:pos="3784" w:val="left" w:leader="none"/>
        </w:tabs>
        <w:spacing w:before="37"/>
        <w:ind w:left="336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3784" w:val="left" w:leader="none"/>
        </w:tabs>
        <w:spacing w:before="37"/>
        <w:ind w:left="3362"/>
      </w:pPr>
      <w:r>
        <w:rPr/>
        <w:t>②</w:t>
        <w:tab/>
      </w:r>
      <w:r>
        <w:rPr>
          <w:spacing w:val="-3"/>
        </w:rPr>
        <w:t>网织红细胞＜</w:t>
      </w:r>
      <w:r>
        <w:rPr>
          <w:spacing w:val="-1"/>
        </w:rPr>
        <w:t>1%；</w:t>
      </w:r>
    </w:p>
    <w:p>
      <w:pPr>
        <w:pStyle w:val="BodyText"/>
        <w:tabs>
          <w:tab w:pos="3785" w:val="left" w:leader="none"/>
        </w:tabs>
        <w:spacing w:before="37"/>
        <w:ind w:left="3362"/>
      </w:pPr>
      <w:r>
        <w:rPr/>
        <w:t>③</w:t>
        <w:tab/>
      </w:r>
      <w:r>
        <w:rPr>
          <w:spacing w:val="-3"/>
        </w:rPr>
        <w:t>血小板绝对值≤</w:t>
      </w:r>
      <w:r>
        <w:rPr>
          <w:spacing w:val="-1"/>
        </w:rPr>
        <w:t>20×10</w:t>
      </w:r>
      <w:r>
        <w:rPr>
          <w:spacing w:val="-1"/>
          <w:position w:val="11"/>
          <w:sz w:val="11"/>
        </w:rPr>
        <w:t>9</w:t>
      </w:r>
      <w:r>
        <w:rPr>
          <w:spacing w:val="-1"/>
        </w:rPr>
        <w:t>/L</w:t>
      </w:r>
      <w:r>
        <w:rPr/>
        <w:t>。</w:t>
      </w:r>
    </w:p>
    <w:p>
      <w:pPr>
        <w:pStyle w:val="BodyText"/>
        <w:rPr>
          <w:sz w:val="20"/>
        </w:rPr>
      </w:pPr>
    </w:p>
    <w:p>
      <w:pPr>
        <w:pStyle w:val="BodyText"/>
        <w:spacing w:before="5"/>
        <w:rPr>
          <w:sz w:val="12"/>
        </w:rPr>
      </w:pPr>
    </w:p>
    <w:tbl>
      <w:tblPr>
        <w:tblW w:w="0" w:type="auto"/>
        <w:jc w:val="left"/>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1960"/>
        <w:gridCol w:w="7136"/>
      </w:tblGrid>
      <w:tr>
        <w:trPr>
          <w:trHeight w:val="283" w:hRule="atLeast"/>
        </w:trPr>
        <w:tc>
          <w:tcPr>
            <w:tcW w:w="516" w:type="dxa"/>
          </w:tcPr>
          <w:p>
            <w:pPr>
              <w:pStyle w:val="TableParagraph"/>
              <w:spacing w:line="231" w:lineRule="exact"/>
              <w:ind w:left="50"/>
              <w:rPr>
                <w:b/>
                <w:sz w:val="21"/>
              </w:rPr>
            </w:pPr>
            <w:r>
              <w:rPr>
                <w:b/>
                <w:w w:val="99"/>
                <w:sz w:val="21"/>
              </w:rPr>
              <w:t>4</w:t>
            </w:r>
          </w:p>
        </w:tc>
        <w:tc>
          <w:tcPr>
            <w:tcW w:w="1960" w:type="dxa"/>
          </w:tcPr>
          <w:p>
            <w:pPr>
              <w:pStyle w:val="TableParagraph"/>
              <w:spacing w:line="248" w:lineRule="exact"/>
              <w:ind w:left="359"/>
              <w:rPr>
                <w:rFonts w:ascii="等线" w:eastAsia="等线" w:hint="eastAsia"/>
                <w:b/>
                <w:sz w:val="24"/>
              </w:rPr>
            </w:pPr>
            <w:r>
              <w:rPr>
                <w:rFonts w:ascii="等线" w:eastAsia="等线" w:hint="eastAsia"/>
                <w:b/>
                <w:sz w:val="24"/>
              </w:rPr>
              <w:t>严重溃疡性结</w:t>
            </w:r>
          </w:p>
        </w:tc>
        <w:tc>
          <w:tcPr>
            <w:tcW w:w="7136" w:type="dxa"/>
          </w:tcPr>
          <w:p>
            <w:pPr>
              <w:pStyle w:val="TableParagraph"/>
              <w:spacing w:line="231" w:lineRule="exact"/>
              <w:ind w:left="101"/>
              <w:rPr>
                <w:sz w:val="21"/>
              </w:rPr>
            </w:pPr>
            <w:r>
              <w:rPr>
                <w:sz w:val="21"/>
              </w:rPr>
              <w:t>指伴有致命性电解质紊乱的急性暴发性溃疡性结肠炎，病变累及全结肠，表</w:t>
            </w:r>
          </w:p>
        </w:tc>
      </w:tr>
      <w:tr>
        <w:trPr>
          <w:trHeight w:val="621" w:hRule="atLeast"/>
        </w:trPr>
        <w:tc>
          <w:tcPr>
            <w:tcW w:w="516" w:type="dxa"/>
          </w:tcPr>
          <w:p>
            <w:pPr>
              <w:pStyle w:val="TableParagraph"/>
              <w:rPr>
                <w:rFonts w:ascii="Times New Roman"/>
                <w:sz w:val="20"/>
              </w:rPr>
            </w:pPr>
          </w:p>
        </w:tc>
        <w:tc>
          <w:tcPr>
            <w:tcW w:w="1960" w:type="dxa"/>
          </w:tcPr>
          <w:p>
            <w:pPr>
              <w:pStyle w:val="TableParagraph"/>
              <w:spacing w:line="283" w:lineRule="exact"/>
              <w:ind w:left="359"/>
              <w:rPr>
                <w:rFonts w:ascii="等线" w:eastAsia="等线" w:hint="eastAsia"/>
                <w:b/>
                <w:sz w:val="24"/>
              </w:rPr>
            </w:pPr>
            <w:r>
              <w:rPr>
                <w:rFonts w:ascii="等线" w:eastAsia="等线" w:hint="eastAsia"/>
                <w:b/>
                <w:sz w:val="24"/>
              </w:rPr>
              <w:t>肠炎</w:t>
            </w:r>
          </w:p>
        </w:tc>
        <w:tc>
          <w:tcPr>
            <w:tcW w:w="7136" w:type="dxa"/>
          </w:tcPr>
          <w:p>
            <w:pPr>
              <w:pStyle w:val="TableParagraph"/>
              <w:spacing w:line="259" w:lineRule="exact"/>
              <w:ind w:left="101"/>
              <w:rPr>
                <w:sz w:val="21"/>
              </w:rPr>
            </w:pPr>
            <w:r>
              <w:rPr>
                <w:sz w:val="21"/>
              </w:rPr>
              <w:t>现为严重的血便和系统性症状体征，已经造成瘘管并伴有肠梗阻或肠穿孔，</w:t>
            </w:r>
          </w:p>
          <w:p>
            <w:pPr>
              <w:pStyle w:val="TableParagraph"/>
              <w:spacing w:before="37"/>
              <w:ind w:left="101"/>
              <w:rPr>
                <w:sz w:val="21"/>
              </w:rPr>
            </w:pPr>
            <w:r>
              <w:rPr>
                <w:sz w:val="21"/>
              </w:rPr>
              <w:t>治疗通常采取全结肠切除和回肠造瘘术。溃疡性结肠炎必须根据组织病理学</w:t>
            </w:r>
          </w:p>
        </w:tc>
      </w:tr>
      <w:tr>
        <w:trPr>
          <w:trHeight w:val="444" w:hRule="atLeast"/>
        </w:trPr>
        <w:tc>
          <w:tcPr>
            <w:tcW w:w="516" w:type="dxa"/>
          </w:tcPr>
          <w:p>
            <w:pPr>
              <w:pStyle w:val="TableParagraph"/>
              <w:rPr>
                <w:rFonts w:ascii="Times New Roman"/>
                <w:sz w:val="20"/>
              </w:rPr>
            </w:pPr>
          </w:p>
        </w:tc>
        <w:tc>
          <w:tcPr>
            <w:tcW w:w="1960" w:type="dxa"/>
          </w:tcPr>
          <w:p>
            <w:pPr>
              <w:pStyle w:val="TableParagraph"/>
              <w:rPr>
                <w:rFonts w:ascii="Times New Roman"/>
                <w:sz w:val="20"/>
              </w:rPr>
            </w:pPr>
          </w:p>
        </w:tc>
        <w:tc>
          <w:tcPr>
            <w:tcW w:w="7136" w:type="dxa"/>
          </w:tcPr>
          <w:p>
            <w:pPr>
              <w:pStyle w:val="TableParagraph"/>
              <w:spacing w:line="261" w:lineRule="exact"/>
              <w:ind w:left="101"/>
              <w:rPr>
                <w:sz w:val="21"/>
              </w:rPr>
            </w:pPr>
            <w:r>
              <w:rPr>
                <w:sz w:val="21"/>
              </w:rPr>
              <w:t>特点诊断，并且被保险人已经接受了结肠切除和回肠造瘘术。</w:t>
            </w:r>
          </w:p>
        </w:tc>
      </w:tr>
      <w:tr>
        <w:trPr>
          <w:trHeight w:val="776" w:hRule="atLeast"/>
        </w:trPr>
        <w:tc>
          <w:tcPr>
            <w:tcW w:w="516" w:type="dxa"/>
          </w:tcPr>
          <w:p>
            <w:pPr>
              <w:pStyle w:val="TableParagraph"/>
              <w:spacing w:before="139"/>
              <w:ind w:left="50"/>
              <w:rPr>
                <w:b/>
                <w:sz w:val="21"/>
              </w:rPr>
            </w:pPr>
            <w:r>
              <w:rPr>
                <w:b/>
                <w:w w:val="99"/>
                <w:sz w:val="21"/>
              </w:rPr>
              <w:t>5</w:t>
            </w:r>
          </w:p>
        </w:tc>
        <w:tc>
          <w:tcPr>
            <w:tcW w:w="1960" w:type="dxa"/>
          </w:tcPr>
          <w:p>
            <w:pPr>
              <w:pStyle w:val="TableParagraph"/>
              <w:spacing w:before="103"/>
              <w:ind w:left="359"/>
              <w:rPr>
                <w:rFonts w:ascii="等线" w:eastAsia="等线" w:hint="eastAsia"/>
                <w:b/>
                <w:sz w:val="24"/>
              </w:rPr>
            </w:pPr>
            <w:r>
              <w:rPr>
                <w:rFonts w:ascii="等线" w:eastAsia="等线" w:hint="eastAsia"/>
                <w:b/>
                <w:sz w:val="24"/>
              </w:rPr>
              <w:t>终末期肺病</w:t>
            </w:r>
          </w:p>
        </w:tc>
        <w:tc>
          <w:tcPr>
            <w:tcW w:w="7136" w:type="dxa"/>
          </w:tcPr>
          <w:p>
            <w:pPr>
              <w:pStyle w:val="TableParagraph"/>
              <w:spacing w:line="273" w:lineRule="auto" w:before="139"/>
              <w:ind w:left="101" w:right="48"/>
              <w:rPr>
                <w:sz w:val="21"/>
              </w:rPr>
            </w:pPr>
            <w:r>
              <w:rPr>
                <w:sz w:val="21"/>
              </w:rPr>
              <w:t>指经专科医生明确诊断，且被保险人已出现慢性呼吸功能衰竭，其诊断标准必须满足下列所有条件：</w:t>
            </w:r>
          </w:p>
        </w:tc>
      </w:tr>
      <w:tr>
        <w:trPr>
          <w:trHeight w:val="311" w:hRule="atLeast"/>
        </w:trPr>
        <w:tc>
          <w:tcPr>
            <w:tcW w:w="2476" w:type="dxa"/>
            <w:gridSpan w:val="2"/>
            <w:vMerge w:val="restart"/>
          </w:tcPr>
          <w:p>
            <w:pPr>
              <w:pStyle w:val="TableParagraph"/>
              <w:rPr>
                <w:rFonts w:ascii="Times New Roman"/>
                <w:sz w:val="20"/>
              </w:rPr>
            </w:pPr>
          </w:p>
        </w:tc>
        <w:tc>
          <w:tcPr>
            <w:tcW w:w="7136" w:type="dxa"/>
          </w:tcPr>
          <w:p>
            <w:pPr>
              <w:pStyle w:val="TableParagraph"/>
              <w:spacing w:line="261" w:lineRule="exact"/>
              <w:ind w:left="101"/>
              <w:rPr>
                <w:sz w:val="21"/>
              </w:rPr>
            </w:pPr>
            <w:r>
              <w:rPr>
                <w:sz w:val="21"/>
              </w:rPr>
              <w:t>（1）肺功能测试其 FEV1 持续低于 1 升；</w:t>
            </w:r>
          </w:p>
        </w:tc>
      </w:tr>
      <w:tr>
        <w:trPr>
          <w:trHeight w:val="311" w:hRule="atLeast"/>
        </w:trPr>
        <w:tc>
          <w:tcPr>
            <w:tcW w:w="2476" w:type="dxa"/>
            <w:gridSpan w:val="2"/>
            <w:vMerge/>
            <w:tcBorders>
              <w:top w:val="nil"/>
            </w:tcBorders>
          </w:tcPr>
          <w:p>
            <w:pPr>
              <w:rPr>
                <w:sz w:val="2"/>
                <w:szCs w:val="2"/>
              </w:rPr>
            </w:pPr>
          </w:p>
        </w:tc>
        <w:tc>
          <w:tcPr>
            <w:tcW w:w="7136" w:type="dxa"/>
          </w:tcPr>
          <w:p>
            <w:pPr>
              <w:pStyle w:val="TableParagraph"/>
              <w:spacing w:line="261" w:lineRule="exact"/>
              <w:ind w:left="101"/>
              <w:rPr>
                <w:sz w:val="21"/>
              </w:rPr>
            </w:pPr>
            <w:r>
              <w:rPr>
                <w:sz w:val="21"/>
              </w:rPr>
              <w:t>（2）动脉血气分析氧分压低于 55mmHg；</w:t>
            </w:r>
          </w:p>
        </w:tc>
      </w:tr>
      <w:tr>
        <w:trPr>
          <w:trHeight w:val="261" w:hRule="atLeast"/>
        </w:trPr>
        <w:tc>
          <w:tcPr>
            <w:tcW w:w="2476" w:type="dxa"/>
            <w:gridSpan w:val="2"/>
            <w:vMerge/>
            <w:tcBorders>
              <w:top w:val="nil"/>
            </w:tcBorders>
          </w:tcPr>
          <w:p>
            <w:pPr>
              <w:rPr>
                <w:sz w:val="2"/>
                <w:szCs w:val="2"/>
              </w:rPr>
            </w:pPr>
          </w:p>
        </w:tc>
        <w:tc>
          <w:tcPr>
            <w:tcW w:w="7136" w:type="dxa"/>
          </w:tcPr>
          <w:p>
            <w:pPr>
              <w:pStyle w:val="TableParagraph"/>
              <w:spacing w:line="242" w:lineRule="exact"/>
              <w:ind w:left="101"/>
              <w:rPr>
                <w:sz w:val="21"/>
              </w:rPr>
            </w:pPr>
            <w:r>
              <w:rPr>
                <w:sz w:val="21"/>
              </w:rPr>
              <w:t>（3）病人缺氧必须进行输氧治疗。</w:t>
            </w:r>
          </w:p>
        </w:tc>
      </w:tr>
    </w:tbl>
    <w:p>
      <w:pPr>
        <w:pStyle w:val="BodyText"/>
        <w:rPr>
          <w:sz w:val="20"/>
        </w:rPr>
      </w:pPr>
    </w:p>
    <w:p>
      <w:pPr>
        <w:pStyle w:val="BodyText"/>
        <w:rPr>
          <w:sz w:val="20"/>
        </w:rPr>
      </w:pPr>
    </w:p>
    <w:p>
      <w:pPr>
        <w:pStyle w:val="BodyText"/>
        <w:spacing w:before="8"/>
        <w:rPr>
          <w:sz w:val="13"/>
        </w:rPr>
      </w:pPr>
      <w:r>
        <w:rPr/>
        <w:pict>
          <v:line style="position:absolute;mso-position-horizontal-relative:page;mso-position-vertical-relative:paragraph;z-index:1432;mso-wrap-distance-left:0;mso-wrap-distance-right:0" from="51pt,11.114645pt" to="195pt,11.114645pt" stroked="true" strokeweight=".48pt" strokecolor="#000000">
            <v:stroke dashstyle="solid"/>
            <w10:wrap type="topAndBottom"/>
          </v:line>
        </w:pict>
      </w:r>
    </w:p>
    <w:p>
      <w:pPr>
        <w:spacing w:before="25"/>
        <w:ind w:left="3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after="0"/>
        <w:jc w:val="left"/>
        <w:rPr>
          <w:sz w:val="18"/>
        </w:rPr>
        <w:sectPr>
          <w:type w:val="continuous"/>
          <w:pgSz w:w="11910" w:h="16840"/>
          <w:pgMar w:top="500" w:bottom="280" w:left="72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33"/>
        <w:gridCol w:w="7394"/>
      </w:tblGrid>
      <w:tr>
        <w:trPr>
          <w:trHeight w:val="1066" w:hRule="atLeast"/>
        </w:trPr>
        <w:tc>
          <w:tcPr>
            <w:tcW w:w="745" w:type="dxa"/>
          </w:tcPr>
          <w:p>
            <w:pPr>
              <w:pStyle w:val="TableParagraph"/>
              <w:spacing w:line="231" w:lineRule="exact"/>
              <w:ind w:right="131"/>
              <w:jc w:val="center"/>
              <w:rPr>
                <w:b/>
                <w:sz w:val="21"/>
              </w:rPr>
            </w:pPr>
            <w:r>
              <w:rPr>
                <w:b/>
                <w:w w:val="99"/>
                <w:sz w:val="21"/>
              </w:rPr>
              <w:t>6</w:t>
            </w:r>
          </w:p>
        </w:tc>
        <w:tc>
          <w:tcPr>
            <w:tcW w:w="1933" w:type="dxa"/>
          </w:tcPr>
          <w:p>
            <w:pPr>
              <w:pStyle w:val="TableParagraph"/>
              <w:spacing w:line="248" w:lineRule="exact"/>
              <w:ind w:left="333"/>
              <w:rPr>
                <w:rFonts w:ascii="等线" w:eastAsia="等线" w:hint="eastAsia"/>
                <w:b/>
                <w:sz w:val="24"/>
              </w:rPr>
            </w:pPr>
            <w:r>
              <w:rPr>
                <w:rFonts w:ascii="等线" w:eastAsia="等线" w:hint="eastAsia"/>
                <w:b/>
                <w:sz w:val="24"/>
              </w:rPr>
              <w:t>胰腺移植</w:t>
            </w:r>
          </w:p>
        </w:tc>
        <w:tc>
          <w:tcPr>
            <w:tcW w:w="7394" w:type="dxa"/>
          </w:tcPr>
          <w:p>
            <w:pPr>
              <w:pStyle w:val="TableParagraph"/>
              <w:spacing w:line="231" w:lineRule="exact"/>
              <w:ind w:left="101"/>
              <w:rPr>
                <w:sz w:val="21"/>
              </w:rPr>
            </w:pPr>
            <w:r>
              <w:rPr>
                <w:sz w:val="21"/>
              </w:rPr>
              <w:t>指因胰腺功能衰竭，已经实施了在全身麻醉下进行的胰腺的异体器官移植手</w:t>
            </w:r>
          </w:p>
          <w:p>
            <w:pPr>
              <w:pStyle w:val="TableParagraph"/>
              <w:spacing w:before="37"/>
              <w:ind w:left="101"/>
              <w:rPr>
                <w:sz w:val="21"/>
              </w:rPr>
            </w:pPr>
            <w:r>
              <w:rPr>
                <w:sz w:val="21"/>
              </w:rPr>
              <w:t>术。</w:t>
            </w:r>
          </w:p>
          <w:p>
            <w:pPr>
              <w:pStyle w:val="TableParagraph"/>
              <w:spacing w:before="37"/>
              <w:ind w:left="101"/>
              <w:rPr>
                <w:sz w:val="21"/>
              </w:rPr>
            </w:pPr>
            <w:r>
              <w:rPr>
                <w:sz w:val="21"/>
                <w:shd w:fill="DADADA" w:color="auto" w:val="clear"/>
              </w:rPr>
              <w:t>单纯胰岛移植、部分胰腺组织或细胞的移植不在保障范围内。</w:t>
            </w:r>
          </w:p>
        </w:tc>
      </w:tr>
      <w:tr>
        <w:trPr>
          <w:trHeight w:val="1588" w:hRule="atLeast"/>
        </w:trPr>
        <w:tc>
          <w:tcPr>
            <w:tcW w:w="745" w:type="dxa"/>
          </w:tcPr>
          <w:p>
            <w:pPr>
              <w:pStyle w:val="TableParagraph"/>
              <w:spacing w:before="167"/>
              <w:ind w:right="131"/>
              <w:jc w:val="center"/>
              <w:rPr>
                <w:b/>
                <w:sz w:val="21"/>
              </w:rPr>
            </w:pPr>
            <w:r>
              <w:rPr>
                <w:b/>
                <w:w w:val="99"/>
                <w:sz w:val="21"/>
              </w:rPr>
              <w:t>7</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严重肾髓质囊性病</w:t>
            </w:r>
          </w:p>
        </w:tc>
        <w:tc>
          <w:tcPr>
            <w:tcW w:w="7394" w:type="dxa"/>
          </w:tcPr>
          <w:p>
            <w:pPr>
              <w:pStyle w:val="TableParagraph"/>
              <w:spacing w:before="167"/>
              <w:ind w:left="101"/>
              <w:rPr>
                <w:sz w:val="21"/>
              </w:rPr>
            </w:pPr>
            <w:r>
              <w:rPr>
                <w:sz w:val="21"/>
              </w:rPr>
              <w:t>指经专科医生明确诊断为肾髓质囊性病，且须同时满足下列条件：</w:t>
            </w:r>
          </w:p>
          <w:p>
            <w:pPr>
              <w:pStyle w:val="TableParagraph"/>
              <w:spacing w:before="37"/>
              <w:ind w:left="101"/>
              <w:rPr>
                <w:sz w:val="21"/>
              </w:rPr>
            </w:pPr>
            <w:r>
              <w:rPr>
                <w:sz w:val="21"/>
              </w:rPr>
              <w:t>（1）肾髓质有囊肿、肾小管萎缩及间质纤维化等病理改变；</w:t>
            </w:r>
          </w:p>
          <w:p>
            <w:pPr>
              <w:pStyle w:val="TableParagraph"/>
              <w:spacing w:before="37"/>
              <w:ind w:left="101"/>
              <w:rPr>
                <w:sz w:val="21"/>
              </w:rPr>
            </w:pPr>
            <w:r>
              <w:rPr>
                <w:sz w:val="21"/>
              </w:rPr>
              <w:t>（2）贫血、多尿及肾功能衰竭等临床表现；</w:t>
            </w:r>
          </w:p>
          <w:p>
            <w:pPr>
              <w:pStyle w:val="TableParagraph"/>
              <w:spacing w:before="37"/>
              <w:ind w:left="101"/>
              <w:rPr>
                <w:sz w:val="21"/>
              </w:rPr>
            </w:pPr>
            <w:r>
              <w:rPr>
                <w:sz w:val="21"/>
              </w:rPr>
              <w:t>（3）诊断须由肾组织活检确定。</w:t>
            </w:r>
          </w:p>
        </w:tc>
      </w:tr>
      <w:tr>
        <w:trPr>
          <w:trHeight w:val="2835" w:hRule="atLeast"/>
        </w:trPr>
        <w:tc>
          <w:tcPr>
            <w:tcW w:w="745" w:type="dxa"/>
          </w:tcPr>
          <w:p>
            <w:pPr>
              <w:pStyle w:val="TableParagraph"/>
              <w:spacing w:before="167"/>
              <w:ind w:right="131"/>
              <w:jc w:val="center"/>
              <w:rPr>
                <w:b/>
                <w:sz w:val="21"/>
              </w:rPr>
            </w:pPr>
            <w:r>
              <w:rPr>
                <w:b/>
                <w:w w:val="99"/>
                <w:sz w:val="21"/>
              </w:rPr>
              <w:t>8</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严重自身免疫性肝炎</w:t>
            </w:r>
          </w:p>
        </w:tc>
        <w:tc>
          <w:tcPr>
            <w:tcW w:w="7394" w:type="dxa"/>
          </w:tcPr>
          <w:p>
            <w:pPr>
              <w:pStyle w:val="TableParagraph"/>
              <w:spacing w:line="273" w:lineRule="auto" w:before="167"/>
              <w:ind w:left="101" w:right="305"/>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101"/>
              <w:rPr>
                <w:sz w:val="21"/>
              </w:rPr>
            </w:pPr>
            <w:r>
              <w:rPr>
                <w:sz w:val="21"/>
              </w:rPr>
              <w:t>（1）高γ球蛋白血症；</w:t>
            </w:r>
          </w:p>
          <w:p>
            <w:pPr>
              <w:pStyle w:val="TableParagraph"/>
              <w:spacing w:line="273" w:lineRule="auto" w:before="36"/>
              <w:ind w:left="627" w:right="303" w:hanging="526"/>
              <w:rPr>
                <w:sz w:val="21"/>
              </w:rPr>
            </w:pPr>
            <w:r>
              <w:rPr>
                <w:sz w:val="21"/>
              </w:rPr>
              <w:t>（2）</w:t>
            </w:r>
            <w:r>
              <w:rPr>
                <w:spacing w:val="-5"/>
                <w:sz w:val="21"/>
              </w:rPr>
              <w:t>血液中存在高水平的自身免疫抗体，如 </w:t>
            </w:r>
            <w:r>
              <w:rPr>
                <w:sz w:val="21"/>
              </w:rPr>
              <w:t>ANA（</w:t>
            </w:r>
            <w:r>
              <w:rPr>
                <w:spacing w:val="-1"/>
                <w:sz w:val="21"/>
              </w:rPr>
              <w:t>抗核抗体</w:t>
            </w:r>
            <w:r>
              <w:rPr>
                <w:spacing w:val="-109"/>
                <w:sz w:val="21"/>
              </w:rPr>
              <w:t>）</w:t>
            </w:r>
            <w:r>
              <w:rPr>
                <w:sz w:val="21"/>
              </w:rPr>
              <w:t>、SMA（</w:t>
            </w:r>
            <w:r>
              <w:rPr>
                <w:spacing w:val="-2"/>
                <w:sz w:val="21"/>
              </w:rPr>
              <w:t>抗平滑</w:t>
            </w:r>
            <w:r>
              <w:rPr>
                <w:spacing w:val="-3"/>
                <w:sz w:val="21"/>
              </w:rPr>
              <w:t>肌抗体</w:t>
            </w:r>
            <w:r>
              <w:rPr>
                <w:spacing w:val="-106"/>
                <w:sz w:val="21"/>
              </w:rPr>
              <w:t>）</w:t>
            </w:r>
            <w:r>
              <w:rPr>
                <w:spacing w:val="-18"/>
                <w:sz w:val="21"/>
              </w:rPr>
              <w:t>、抗 </w:t>
            </w:r>
            <w:r>
              <w:rPr>
                <w:sz w:val="21"/>
              </w:rPr>
              <w:t>LKM1</w:t>
            </w:r>
            <w:r>
              <w:rPr>
                <w:spacing w:val="-12"/>
                <w:sz w:val="21"/>
              </w:rPr>
              <w:t> 抗体或抗</w:t>
            </w:r>
            <w:r>
              <w:rPr>
                <w:sz w:val="21"/>
              </w:rPr>
              <w:t>-SLA/LP</w:t>
            </w:r>
            <w:r>
              <w:rPr>
                <w:spacing w:val="-15"/>
                <w:sz w:val="21"/>
              </w:rPr>
              <w:t> 抗体；</w:t>
            </w:r>
          </w:p>
          <w:p>
            <w:pPr>
              <w:pStyle w:val="TableParagraph"/>
              <w:spacing w:before="7"/>
              <w:ind w:left="102"/>
              <w:jc w:val="both"/>
              <w:rPr>
                <w:sz w:val="21"/>
              </w:rPr>
            </w:pPr>
            <w:r>
              <w:rPr>
                <w:sz w:val="21"/>
              </w:rPr>
              <w:t>（3）肝脏活检证实免疫性肝炎；</w:t>
            </w:r>
          </w:p>
          <w:p>
            <w:pPr>
              <w:pStyle w:val="TableParagraph"/>
              <w:spacing w:before="37"/>
              <w:ind w:left="102"/>
              <w:jc w:val="both"/>
              <w:rPr>
                <w:sz w:val="21"/>
              </w:rPr>
            </w:pPr>
            <w:r>
              <w:rPr>
                <w:sz w:val="21"/>
              </w:rPr>
              <w:t>（4）临床已经出现腹水、食道静脉曲张和脾肿大等肝硬化表现。</w:t>
            </w:r>
          </w:p>
        </w:tc>
      </w:tr>
      <w:tr>
        <w:trPr>
          <w:trHeight w:val="1899" w:hRule="atLeast"/>
        </w:trPr>
        <w:tc>
          <w:tcPr>
            <w:tcW w:w="745" w:type="dxa"/>
          </w:tcPr>
          <w:p>
            <w:pPr>
              <w:pStyle w:val="TableParagraph"/>
              <w:spacing w:before="166"/>
              <w:ind w:right="131"/>
              <w:jc w:val="center"/>
              <w:rPr>
                <w:b/>
                <w:sz w:val="21"/>
              </w:rPr>
            </w:pPr>
            <w:r>
              <w:rPr>
                <w:b/>
                <w:w w:val="99"/>
                <w:sz w:val="21"/>
              </w:rPr>
              <w:t>9</w:t>
            </w:r>
          </w:p>
        </w:tc>
        <w:tc>
          <w:tcPr>
            <w:tcW w:w="1933" w:type="dxa"/>
          </w:tcPr>
          <w:p>
            <w:pPr>
              <w:pStyle w:val="TableParagraph"/>
              <w:spacing w:line="235" w:lineRule="auto" w:before="136"/>
              <w:ind w:left="333" w:right="101"/>
              <w:rPr>
                <w:rFonts w:ascii="等线" w:eastAsia="等线" w:hint="eastAsia"/>
                <w:b/>
                <w:sz w:val="24"/>
              </w:rPr>
            </w:pPr>
            <w:r>
              <w:rPr>
                <w:rFonts w:ascii="等线" w:eastAsia="等线" w:hint="eastAsia"/>
                <w:b/>
                <w:w w:val="105"/>
                <w:sz w:val="24"/>
              </w:rPr>
              <w:t>肺淋巴管</w:t>
            </w:r>
            <w:r>
              <w:rPr>
                <w:rFonts w:ascii="等线" w:eastAsia="等线" w:hint="eastAsia"/>
                <w:b/>
                <w:w w:val="110"/>
                <w:sz w:val="24"/>
              </w:rPr>
              <w:t>ft</w:t>
            </w:r>
            <w:r>
              <w:rPr>
                <w:rFonts w:ascii="等线" w:eastAsia="等线" w:hint="eastAsia"/>
                <w:b/>
                <w:w w:val="105"/>
                <w:sz w:val="24"/>
              </w:rPr>
              <w:t>瘤病</w:t>
            </w:r>
          </w:p>
        </w:tc>
        <w:tc>
          <w:tcPr>
            <w:tcW w:w="7394" w:type="dxa"/>
          </w:tcPr>
          <w:p>
            <w:pPr>
              <w:pStyle w:val="TableParagraph"/>
              <w:spacing w:line="273" w:lineRule="auto" w:before="166"/>
              <w:ind w:left="101" w:right="305"/>
              <w:rPr>
                <w:sz w:val="21"/>
              </w:rPr>
            </w:pPr>
            <w:r>
              <w:rPr>
                <w:sz w:val="21"/>
              </w:rPr>
              <w:t>是一种弥漫性肺部疾病，主要病理改变为肺间质、支气管、血管和淋巴管内出现未成熟的平滑肌异常增生，并须同时满足下列全部条件：</w:t>
            </w:r>
          </w:p>
          <w:p>
            <w:pPr>
              <w:pStyle w:val="TableParagraph"/>
              <w:spacing w:before="7"/>
              <w:ind w:left="102"/>
              <w:rPr>
                <w:sz w:val="21"/>
              </w:rPr>
            </w:pPr>
            <w:r>
              <w:rPr>
                <w:sz w:val="21"/>
              </w:rPr>
              <w:t>（1）经组织病理学诊断；</w:t>
            </w:r>
          </w:p>
          <w:p>
            <w:pPr>
              <w:pStyle w:val="TableParagraph"/>
              <w:spacing w:before="36"/>
              <w:ind w:left="102"/>
              <w:rPr>
                <w:sz w:val="21"/>
              </w:rPr>
            </w:pPr>
            <w:r>
              <w:rPr>
                <w:sz w:val="21"/>
              </w:rPr>
              <w:t>（2）CT 显示双肺弥漫性囊性改变；</w:t>
            </w:r>
          </w:p>
          <w:p>
            <w:pPr>
              <w:pStyle w:val="TableParagraph"/>
              <w:spacing w:before="36"/>
              <w:ind w:left="102"/>
              <w:rPr>
                <w:sz w:val="21"/>
              </w:rPr>
            </w:pPr>
            <w:r>
              <w:rPr>
                <w:sz w:val="21"/>
              </w:rPr>
              <w:t>（3）血气提示低氧血症。</w:t>
            </w:r>
          </w:p>
        </w:tc>
      </w:tr>
      <w:tr>
        <w:trPr>
          <w:trHeight w:val="1900" w:hRule="atLeast"/>
        </w:trPr>
        <w:tc>
          <w:tcPr>
            <w:tcW w:w="745" w:type="dxa"/>
          </w:tcPr>
          <w:p>
            <w:pPr>
              <w:pStyle w:val="TableParagraph"/>
              <w:spacing w:before="167"/>
              <w:ind w:left="181" w:right="312"/>
              <w:jc w:val="center"/>
              <w:rPr>
                <w:b/>
                <w:sz w:val="21"/>
              </w:rPr>
            </w:pPr>
            <w:r>
              <w:rPr>
                <w:b/>
                <w:sz w:val="21"/>
              </w:rPr>
              <w:t>10</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慢性复发性胰腺炎</w:t>
            </w:r>
          </w:p>
        </w:tc>
        <w:tc>
          <w:tcPr>
            <w:tcW w:w="7394" w:type="dxa"/>
          </w:tcPr>
          <w:p>
            <w:pPr>
              <w:pStyle w:val="TableParagraph"/>
              <w:spacing w:line="273" w:lineRule="auto" w:before="167"/>
              <w:ind w:left="101" w:right="301"/>
              <w:jc w:val="both"/>
              <w:rPr>
                <w:sz w:val="21"/>
              </w:rPr>
            </w:pPr>
            <w:r>
              <w:rPr>
                <w:sz w:val="21"/>
              </w:rPr>
              <w:t>有腹痛等典型症状的胰腺炎反复发作，导致胰腺进行性破坏、胰腺功能紊乱</w:t>
            </w:r>
            <w:r>
              <w:rPr>
                <w:spacing w:val="-3"/>
                <w:sz w:val="21"/>
              </w:rPr>
              <w:t>致糖尿病、营养不良。</w:t>
            </w:r>
            <w:r>
              <w:rPr>
                <w:sz w:val="21"/>
              </w:rPr>
              <w:t>CT</w:t>
            </w:r>
            <w:r>
              <w:rPr>
                <w:spacing w:val="-6"/>
                <w:sz w:val="21"/>
              </w:rPr>
              <w:t> 检查证实胰腺存在广泛钙化，且必须接受酶替代以</w:t>
            </w:r>
            <w:r>
              <w:rPr>
                <w:spacing w:val="-5"/>
                <w:sz w:val="21"/>
              </w:rPr>
              <w:t>及胰岛素替代治疗 </w:t>
            </w:r>
            <w:r>
              <w:rPr>
                <w:sz w:val="21"/>
              </w:rPr>
              <w:t>6</w:t>
            </w:r>
            <w:r>
              <w:rPr>
                <w:spacing w:val="-4"/>
                <w:sz w:val="21"/>
              </w:rPr>
              <w:t> 个月以上、手术或介入治疗。此病症须经专科医生明确诊断。</w:t>
            </w:r>
          </w:p>
          <w:p>
            <w:pPr>
              <w:pStyle w:val="TableParagraph"/>
              <w:spacing w:before="7"/>
              <w:ind w:left="101"/>
              <w:jc w:val="both"/>
              <w:rPr>
                <w:sz w:val="21"/>
              </w:rPr>
            </w:pPr>
            <w:r>
              <w:rPr>
                <w:sz w:val="21"/>
                <w:shd w:fill="DADADA" w:color="auto" w:val="clear"/>
              </w:rPr>
              <w:t>因酗酒或饮酒过量所致的慢性复发性胰腺炎不在保障范围内。</w:t>
            </w:r>
          </w:p>
        </w:tc>
      </w:tr>
      <w:tr>
        <w:trPr>
          <w:trHeight w:val="1275" w:hRule="atLeast"/>
        </w:trPr>
        <w:tc>
          <w:tcPr>
            <w:tcW w:w="745" w:type="dxa"/>
          </w:tcPr>
          <w:p>
            <w:pPr>
              <w:pStyle w:val="TableParagraph"/>
              <w:spacing w:before="167"/>
              <w:ind w:left="181" w:right="312"/>
              <w:jc w:val="center"/>
              <w:rPr>
                <w:b/>
                <w:sz w:val="21"/>
              </w:rPr>
            </w:pPr>
            <w:r>
              <w:rPr>
                <w:b/>
                <w:sz w:val="21"/>
              </w:rPr>
              <w:t>11</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严重小肠疾病并发症</w:t>
            </w:r>
          </w:p>
        </w:tc>
        <w:tc>
          <w:tcPr>
            <w:tcW w:w="7394" w:type="dxa"/>
          </w:tcPr>
          <w:p>
            <w:pPr>
              <w:pStyle w:val="TableParagraph"/>
              <w:spacing w:before="167"/>
              <w:ind w:left="101"/>
              <w:rPr>
                <w:sz w:val="21"/>
              </w:rPr>
            </w:pPr>
            <w:r>
              <w:rPr>
                <w:sz w:val="21"/>
              </w:rPr>
              <w:t>指严重肠道疾病或外伤导致小肠损害并发症，满足以下所有条件：</w:t>
            </w:r>
          </w:p>
          <w:p>
            <w:pPr>
              <w:pStyle w:val="TableParagraph"/>
              <w:spacing w:before="37"/>
              <w:ind w:left="101"/>
              <w:rPr>
                <w:sz w:val="21"/>
              </w:rPr>
            </w:pPr>
            <w:r>
              <w:rPr>
                <w:sz w:val="21"/>
              </w:rPr>
              <w:t>（1）切除部分或全部小肠；</w:t>
            </w:r>
          </w:p>
          <w:p>
            <w:pPr>
              <w:pStyle w:val="TableParagraph"/>
              <w:spacing w:before="37"/>
              <w:ind w:left="101"/>
              <w:rPr>
                <w:sz w:val="21"/>
              </w:rPr>
            </w:pPr>
            <w:r>
              <w:rPr>
                <w:sz w:val="21"/>
              </w:rPr>
              <w:t>（2）完全肠外营养支持三个月以上。</w:t>
            </w:r>
          </w:p>
        </w:tc>
      </w:tr>
      <w:tr>
        <w:trPr>
          <w:trHeight w:val="1275" w:hRule="atLeast"/>
        </w:trPr>
        <w:tc>
          <w:tcPr>
            <w:tcW w:w="745" w:type="dxa"/>
          </w:tcPr>
          <w:p>
            <w:pPr>
              <w:pStyle w:val="TableParagraph"/>
              <w:spacing w:before="166"/>
              <w:ind w:left="181" w:right="312"/>
              <w:jc w:val="center"/>
              <w:rPr>
                <w:b/>
                <w:sz w:val="21"/>
              </w:rPr>
            </w:pPr>
            <w:r>
              <w:rPr>
                <w:b/>
                <w:sz w:val="21"/>
              </w:rPr>
              <w:t>12</w:t>
            </w:r>
          </w:p>
        </w:tc>
        <w:tc>
          <w:tcPr>
            <w:tcW w:w="1933" w:type="dxa"/>
          </w:tcPr>
          <w:p>
            <w:pPr>
              <w:pStyle w:val="TableParagraph"/>
              <w:spacing w:before="130"/>
              <w:ind w:left="333"/>
              <w:rPr>
                <w:rFonts w:ascii="等线" w:eastAsia="等线" w:hint="eastAsia"/>
                <w:b/>
                <w:sz w:val="24"/>
              </w:rPr>
            </w:pPr>
            <w:r>
              <w:rPr>
                <w:rFonts w:ascii="等线" w:eastAsia="等线" w:hint="eastAsia"/>
                <w:b/>
                <w:sz w:val="24"/>
              </w:rPr>
              <w:t>严重克隆病</w:t>
            </w:r>
          </w:p>
        </w:tc>
        <w:tc>
          <w:tcPr>
            <w:tcW w:w="7394" w:type="dxa"/>
          </w:tcPr>
          <w:p>
            <w:pPr>
              <w:pStyle w:val="TableParagraph"/>
              <w:spacing w:line="273" w:lineRule="auto" w:before="166"/>
              <w:ind w:left="101" w:right="305"/>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2001" w:hRule="atLeast"/>
        </w:trPr>
        <w:tc>
          <w:tcPr>
            <w:tcW w:w="745" w:type="dxa"/>
          </w:tcPr>
          <w:p>
            <w:pPr>
              <w:pStyle w:val="TableParagraph"/>
              <w:spacing w:before="167"/>
              <w:ind w:left="181" w:right="312"/>
              <w:jc w:val="center"/>
              <w:rPr>
                <w:b/>
                <w:sz w:val="21"/>
              </w:rPr>
            </w:pPr>
            <w:r>
              <w:rPr>
                <w:b/>
                <w:sz w:val="21"/>
              </w:rPr>
              <w:t>13</w:t>
            </w:r>
          </w:p>
        </w:tc>
        <w:tc>
          <w:tcPr>
            <w:tcW w:w="1933" w:type="dxa"/>
          </w:tcPr>
          <w:p>
            <w:pPr>
              <w:pStyle w:val="TableParagraph"/>
              <w:spacing w:before="131"/>
              <w:ind w:left="333"/>
              <w:rPr>
                <w:rFonts w:ascii="等线" w:eastAsia="等线" w:hint="eastAsia"/>
                <w:b/>
                <w:sz w:val="24"/>
              </w:rPr>
            </w:pPr>
            <w:r>
              <w:rPr>
                <w:rFonts w:ascii="等线" w:eastAsia="等线" w:hint="eastAsia"/>
                <w:b/>
                <w:sz w:val="24"/>
              </w:rPr>
              <w:t>严重哮喘</w:t>
            </w:r>
          </w:p>
        </w:tc>
        <w:tc>
          <w:tcPr>
            <w:tcW w:w="7394" w:type="dxa"/>
          </w:tcPr>
          <w:p>
            <w:pPr>
              <w:pStyle w:val="TableParagraph"/>
              <w:spacing w:before="167"/>
              <w:ind w:left="101"/>
              <w:rPr>
                <w:sz w:val="21"/>
              </w:rPr>
            </w:pPr>
            <w:r>
              <w:rPr>
                <w:sz w:val="21"/>
              </w:rPr>
              <w:t>指经专科医生明确诊断为严重哮喘，并且满足下列标准中的三项或三项以上：</w:t>
            </w:r>
          </w:p>
          <w:p>
            <w:pPr>
              <w:pStyle w:val="TableParagraph"/>
              <w:spacing w:before="37"/>
              <w:ind w:left="101"/>
              <w:rPr>
                <w:sz w:val="21"/>
              </w:rPr>
            </w:pPr>
            <w:r>
              <w:rPr>
                <w:sz w:val="21"/>
              </w:rPr>
              <w:t>（1）过去两年中有哮喘持续状态病史；</w:t>
            </w:r>
          </w:p>
          <w:p>
            <w:pPr>
              <w:pStyle w:val="TableParagraph"/>
              <w:spacing w:line="273" w:lineRule="auto" w:before="37"/>
              <w:ind w:left="627" w:right="256" w:hanging="526"/>
              <w:rPr>
                <w:sz w:val="21"/>
              </w:rPr>
            </w:pPr>
            <w:r>
              <w:rPr>
                <w:sz w:val="21"/>
              </w:rPr>
              <w:t>（2）身体活动耐受能力显著下降，轻微体力活动即有呼吸困难，且持续六个月以上；</w:t>
            </w:r>
          </w:p>
          <w:p>
            <w:pPr>
              <w:pStyle w:val="TableParagraph"/>
              <w:spacing w:before="7"/>
              <w:ind w:left="102"/>
              <w:rPr>
                <w:sz w:val="21"/>
              </w:rPr>
            </w:pPr>
            <w:r>
              <w:rPr>
                <w:sz w:val="21"/>
              </w:rPr>
              <w:t>（3）慢性肺部过度膨涨充气导致的由影像学检查证实的胸廓畸形；</w:t>
            </w:r>
          </w:p>
          <w:p>
            <w:pPr>
              <w:pStyle w:val="TableParagraph"/>
              <w:spacing w:line="255" w:lineRule="exact" w:before="36"/>
              <w:ind w:left="102"/>
              <w:rPr>
                <w:sz w:val="21"/>
              </w:rPr>
            </w:pPr>
            <w:r>
              <w:rPr>
                <w:sz w:val="21"/>
              </w:rPr>
              <w:t>（4）每日口服皮质类固醇激素，至少持续六个月以上。</w:t>
            </w:r>
          </w:p>
        </w:tc>
      </w:tr>
    </w:tbl>
    <w:p>
      <w:pPr>
        <w:spacing w:after="0" w:line="255" w:lineRule="exact"/>
        <w:rPr>
          <w:sz w:val="21"/>
        </w:rPr>
        <w:sectPr>
          <w:pgSz w:w="11910" w:h="16840"/>
          <w:pgMar w:top="1140" w:bottom="280" w:left="108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33"/>
        <w:gridCol w:w="7394"/>
      </w:tblGrid>
      <w:tr>
        <w:trPr>
          <w:trHeight w:val="1066" w:hRule="atLeast"/>
        </w:trPr>
        <w:tc>
          <w:tcPr>
            <w:tcW w:w="745" w:type="dxa"/>
          </w:tcPr>
          <w:p>
            <w:pPr>
              <w:pStyle w:val="TableParagraph"/>
              <w:spacing w:line="231" w:lineRule="exact"/>
              <w:ind w:left="200"/>
              <w:rPr>
                <w:b/>
                <w:sz w:val="21"/>
              </w:rPr>
            </w:pPr>
            <w:r>
              <w:rPr>
                <w:b/>
                <w:sz w:val="21"/>
              </w:rPr>
              <w:t>14</w:t>
            </w:r>
          </w:p>
        </w:tc>
        <w:tc>
          <w:tcPr>
            <w:tcW w:w="1933" w:type="dxa"/>
          </w:tcPr>
          <w:p>
            <w:pPr>
              <w:pStyle w:val="TableParagraph"/>
              <w:spacing w:line="248" w:lineRule="exact"/>
              <w:ind w:left="333"/>
              <w:rPr>
                <w:rFonts w:ascii="等线" w:eastAsia="等线" w:hint="eastAsia"/>
                <w:b/>
                <w:sz w:val="24"/>
              </w:rPr>
            </w:pPr>
            <w:r>
              <w:rPr>
                <w:rFonts w:ascii="等线" w:eastAsia="等线" w:hint="eastAsia"/>
                <w:b/>
                <w:sz w:val="24"/>
              </w:rPr>
              <w:t>胆道重建手术</w:t>
            </w:r>
          </w:p>
        </w:tc>
        <w:tc>
          <w:tcPr>
            <w:tcW w:w="7394" w:type="dxa"/>
          </w:tcPr>
          <w:p>
            <w:pPr>
              <w:pStyle w:val="TableParagraph"/>
              <w:spacing w:line="231" w:lineRule="exact"/>
              <w:ind w:left="101"/>
              <w:rPr>
                <w:sz w:val="21"/>
              </w:rPr>
            </w:pPr>
            <w:r>
              <w:rPr>
                <w:sz w:val="21"/>
              </w:rPr>
              <w:t>指因疾病或胆道创伤导致接受涉及胆总管小肠吻合术的胆道重建手术。手术</w:t>
            </w:r>
          </w:p>
          <w:p>
            <w:pPr>
              <w:pStyle w:val="TableParagraph"/>
              <w:spacing w:line="256" w:lineRule="auto" w:before="37"/>
              <w:ind w:left="101" w:right="2876"/>
              <w:rPr>
                <w:sz w:val="21"/>
              </w:rPr>
            </w:pPr>
            <w:r>
              <w:rPr>
                <w:spacing w:val="-3"/>
                <w:sz w:val="21"/>
              </w:rPr>
              <w:t>必须在专科医生认为是医疗所需的情况下进</w:t>
            </w:r>
            <w:r>
              <w:rPr>
                <w:rFonts w:ascii="Times New Roman" w:eastAsia="Times New Roman"/>
                <w:spacing w:val="-3"/>
                <w:w w:val="110"/>
                <w:sz w:val="21"/>
              </w:rPr>
              <w:t>行</w:t>
            </w:r>
            <w:r>
              <w:rPr>
                <w:spacing w:val="-62"/>
                <w:sz w:val="21"/>
              </w:rPr>
              <w:t>。</w:t>
            </w:r>
            <w:r>
              <w:rPr>
                <w:spacing w:val="-2"/>
                <w:sz w:val="21"/>
                <w:shd w:fill="DADADA" w:color="auto" w:val="clear"/>
              </w:rPr>
              <w:t>胆道闭锁并</w:t>
            </w:r>
            <w:r>
              <w:rPr>
                <w:rFonts w:ascii="Times New Roman" w:eastAsia="Times New Roman"/>
                <w:w w:val="110"/>
                <w:sz w:val="21"/>
                <w:shd w:fill="DADADA" w:color="auto" w:val="clear"/>
              </w:rPr>
              <w:t>不</w:t>
            </w:r>
            <w:r>
              <w:rPr>
                <w:spacing w:val="-3"/>
                <w:sz w:val="21"/>
                <w:shd w:fill="DADADA" w:color="auto" w:val="clear"/>
              </w:rPr>
              <w:t>在保障范围内。</w:t>
            </w:r>
          </w:p>
        </w:tc>
      </w:tr>
      <w:tr>
        <w:trPr>
          <w:trHeight w:val="1900" w:hRule="atLeast"/>
        </w:trPr>
        <w:tc>
          <w:tcPr>
            <w:tcW w:w="745" w:type="dxa"/>
          </w:tcPr>
          <w:p>
            <w:pPr>
              <w:pStyle w:val="TableParagraph"/>
              <w:spacing w:before="167"/>
              <w:ind w:left="200"/>
              <w:rPr>
                <w:b/>
                <w:sz w:val="21"/>
              </w:rPr>
            </w:pPr>
            <w:r>
              <w:rPr>
                <w:b/>
                <w:sz w:val="21"/>
              </w:rPr>
              <w:t>15</w:t>
            </w:r>
          </w:p>
        </w:tc>
        <w:tc>
          <w:tcPr>
            <w:tcW w:w="1933" w:type="dxa"/>
          </w:tcPr>
          <w:p>
            <w:pPr>
              <w:pStyle w:val="TableParagraph"/>
              <w:spacing w:line="232" w:lineRule="auto" w:before="141"/>
              <w:ind w:left="333" w:right="101"/>
              <w:jc w:val="both"/>
              <w:rPr>
                <w:rFonts w:ascii="等线" w:eastAsia="等线" w:hint="eastAsia"/>
                <w:b/>
                <w:sz w:val="24"/>
              </w:rPr>
            </w:pPr>
            <w:r>
              <w:rPr>
                <w:rFonts w:ascii="等线" w:eastAsia="等线" w:hint="eastAsia"/>
                <w:b/>
                <w:sz w:val="24"/>
              </w:rPr>
              <w:t>重大器官移植术或造血干细胞移植术</w:t>
            </w:r>
          </w:p>
        </w:tc>
        <w:tc>
          <w:tcPr>
            <w:tcW w:w="7394" w:type="dxa"/>
          </w:tcPr>
          <w:p>
            <w:pPr>
              <w:pStyle w:val="TableParagraph"/>
              <w:spacing w:line="273" w:lineRule="auto" w:before="167"/>
              <w:ind w:left="101" w:right="305"/>
              <w:jc w:val="both"/>
              <w:rPr>
                <w:sz w:val="21"/>
              </w:rPr>
            </w:pPr>
            <w:r>
              <w:rPr>
                <w:sz w:val="21"/>
              </w:rPr>
              <w:t>重大器官移植术，指因相应器官功能衰竭，已经实施了肾脏、肝脏、心脏或肺脏的异体移植手术。</w:t>
            </w:r>
          </w:p>
          <w:p>
            <w:pPr>
              <w:pStyle w:val="TableParagraph"/>
              <w:spacing w:line="273" w:lineRule="auto" w:before="7"/>
              <w:ind w:left="102"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211" w:hRule="atLeast"/>
        </w:trPr>
        <w:tc>
          <w:tcPr>
            <w:tcW w:w="745" w:type="dxa"/>
          </w:tcPr>
          <w:p>
            <w:pPr>
              <w:pStyle w:val="TableParagraph"/>
              <w:spacing w:before="167"/>
              <w:ind w:left="200"/>
              <w:rPr>
                <w:b/>
                <w:sz w:val="21"/>
              </w:rPr>
            </w:pPr>
            <w:r>
              <w:rPr>
                <w:b/>
                <w:sz w:val="21"/>
              </w:rPr>
              <w:t>16</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慢性肝功能衰竭失代偿期</w:t>
            </w:r>
          </w:p>
        </w:tc>
        <w:tc>
          <w:tcPr>
            <w:tcW w:w="7394" w:type="dxa"/>
          </w:tcPr>
          <w:p>
            <w:pPr>
              <w:pStyle w:val="TableParagraph"/>
              <w:spacing w:before="167"/>
              <w:ind w:left="101"/>
              <w:rPr>
                <w:sz w:val="21"/>
              </w:rPr>
            </w:pPr>
            <w:r>
              <w:rPr>
                <w:sz w:val="21"/>
              </w:rPr>
              <w:t>指因慢性肝脏疾病导致肝功能衰竭。须满足下列全部条件：</w:t>
            </w:r>
          </w:p>
          <w:p>
            <w:pPr>
              <w:pStyle w:val="TableParagraph"/>
              <w:spacing w:before="37"/>
              <w:ind w:left="101"/>
              <w:rPr>
                <w:sz w:val="21"/>
              </w:rPr>
            </w:pPr>
            <w:r>
              <w:rPr>
                <w:sz w:val="21"/>
              </w:rPr>
              <w:t>（1）持续性黄疸；</w:t>
            </w:r>
          </w:p>
          <w:p>
            <w:pPr>
              <w:pStyle w:val="TableParagraph"/>
              <w:spacing w:before="37"/>
              <w:ind w:left="101"/>
              <w:rPr>
                <w:sz w:val="21"/>
              </w:rPr>
            </w:pPr>
            <w:r>
              <w:rPr>
                <w:sz w:val="21"/>
              </w:rPr>
              <w:t>（2）腹水；</w:t>
            </w:r>
          </w:p>
          <w:p>
            <w:pPr>
              <w:pStyle w:val="TableParagraph"/>
              <w:spacing w:before="37"/>
              <w:ind w:left="101"/>
              <w:rPr>
                <w:sz w:val="21"/>
              </w:rPr>
            </w:pPr>
            <w:r>
              <w:rPr>
                <w:sz w:val="21"/>
              </w:rPr>
              <w:t>（3）肝性脑病；</w:t>
            </w:r>
          </w:p>
          <w:p>
            <w:pPr>
              <w:pStyle w:val="TableParagraph"/>
              <w:spacing w:line="273" w:lineRule="auto" w:before="37"/>
              <w:ind w:left="101" w:right="214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8863" w:hRule="atLeast"/>
        </w:trPr>
        <w:tc>
          <w:tcPr>
            <w:tcW w:w="745" w:type="dxa"/>
          </w:tcPr>
          <w:p>
            <w:pPr>
              <w:pStyle w:val="TableParagraph"/>
              <w:spacing w:before="166"/>
              <w:ind w:left="200"/>
              <w:rPr>
                <w:b/>
                <w:sz w:val="21"/>
              </w:rPr>
            </w:pPr>
            <w:r>
              <w:rPr>
                <w:b/>
                <w:sz w:val="21"/>
              </w:rPr>
              <w:t>17</w:t>
            </w:r>
          </w:p>
        </w:tc>
        <w:tc>
          <w:tcPr>
            <w:tcW w:w="1933" w:type="dxa"/>
          </w:tcPr>
          <w:p>
            <w:pPr>
              <w:pStyle w:val="TableParagraph"/>
              <w:spacing w:line="232" w:lineRule="auto" w:before="139"/>
              <w:ind w:left="333" w:right="101"/>
              <w:jc w:val="both"/>
              <w:rPr>
                <w:rFonts w:ascii="等线" w:eastAsia="等线" w:hint="eastAsia"/>
                <w:b/>
                <w:sz w:val="24"/>
              </w:rPr>
            </w:pPr>
            <w:r>
              <w:rPr>
                <w:rFonts w:ascii="等线" w:eastAsia="等线" w:hint="eastAsia"/>
                <w:b/>
                <w:sz w:val="24"/>
              </w:rPr>
              <w:t>系统性红斑狼疮并发肾功能损害</w:t>
            </w:r>
          </w:p>
        </w:tc>
        <w:tc>
          <w:tcPr>
            <w:tcW w:w="7394" w:type="dxa"/>
          </w:tcPr>
          <w:p>
            <w:pPr>
              <w:pStyle w:val="TableParagraph"/>
              <w:spacing w:line="273" w:lineRule="auto" w:before="166"/>
              <w:ind w:left="101" w:right="198"/>
              <w:rPr>
                <w:sz w:val="21"/>
              </w:rPr>
            </w:pPr>
            <w:r>
              <w:rPr>
                <w:spacing w:val="-7"/>
                <w:sz w:val="21"/>
              </w:rPr>
              <w:t>指一种自身免疫性结缔组织病，于体内有大量致病性自身抗体和免疫复合物， 造成组织损伤。系统性红斑狼疮的诊断必须经专科医生明确诊断，并须同时</w:t>
            </w:r>
            <w:r>
              <w:rPr>
                <w:spacing w:val="-5"/>
                <w:sz w:val="21"/>
              </w:rPr>
              <w:t>满足下列条件：</w:t>
            </w:r>
          </w:p>
          <w:p>
            <w:pPr>
              <w:pStyle w:val="TableParagraph"/>
              <w:spacing w:before="8"/>
              <w:ind w:left="101"/>
              <w:rPr>
                <w:sz w:val="21"/>
              </w:rPr>
            </w:pPr>
            <w:r>
              <w:rPr>
                <w:sz w:val="21"/>
              </w:rPr>
              <w:t>（1）临床表现至少具备下列条件中的 4 个：</w:t>
            </w:r>
          </w:p>
          <w:p>
            <w:pPr>
              <w:pStyle w:val="TableParagraph"/>
              <w:tabs>
                <w:tab w:pos="629" w:val="left" w:leader="none"/>
              </w:tabs>
              <w:spacing w:before="37"/>
              <w:ind w:left="207"/>
              <w:rPr>
                <w:sz w:val="21"/>
              </w:rPr>
            </w:pPr>
            <w:r>
              <w:rPr>
                <w:sz w:val="21"/>
              </w:rPr>
              <w:t>①</w:t>
              <w:tab/>
            </w:r>
            <w:r>
              <w:rPr>
                <w:spacing w:val="-3"/>
                <w:sz w:val="21"/>
              </w:rPr>
              <w:t>蝶形红斑或盘形红斑；</w:t>
            </w:r>
          </w:p>
          <w:p>
            <w:pPr>
              <w:pStyle w:val="TableParagraph"/>
              <w:tabs>
                <w:tab w:pos="629" w:val="left" w:leader="none"/>
              </w:tabs>
              <w:spacing w:before="37"/>
              <w:ind w:left="207"/>
              <w:rPr>
                <w:sz w:val="21"/>
              </w:rPr>
            </w:pPr>
            <w:r>
              <w:rPr>
                <w:sz w:val="21"/>
              </w:rPr>
              <w:t>②</w:t>
              <w:tab/>
            </w:r>
            <w:r>
              <w:rPr>
                <w:spacing w:val="-3"/>
                <w:sz w:val="21"/>
              </w:rPr>
              <w:t>光敏感；</w:t>
            </w:r>
          </w:p>
          <w:p>
            <w:pPr>
              <w:pStyle w:val="TableParagraph"/>
              <w:tabs>
                <w:tab w:pos="629" w:val="left" w:leader="none"/>
              </w:tabs>
              <w:spacing w:before="37"/>
              <w:ind w:left="207"/>
              <w:rPr>
                <w:sz w:val="21"/>
              </w:rPr>
            </w:pPr>
            <w:r>
              <w:rPr>
                <w:sz w:val="21"/>
              </w:rPr>
              <w:t>③</w:t>
              <w:tab/>
            </w:r>
            <w:r>
              <w:rPr>
                <w:spacing w:val="-3"/>
                <w:sz w:val="21"/>
              </w:rPr>
              <w:t>口鼻腔黏膜溃疡；</w:t>
            </w:r>
          </w:p>
          <w:p>
            <w:pPr>
              <w:pStyle w:val="TableParagraph"/>
              <w:tabs>
                <w:tab w:pos="629" w:val="left" w:leader="none"/>
              </w:tabs>
              <w:spacing w:before="37"/>
              <w:ind w:left="207"/>
              <w:rPr>
                <w:sz w:val="21"/>
              </w:rPr>
            </w:pPr>
            <w:r>
              <w:rPr>
                <w:sz w:val="21"/>
              </w:rPr>
              <w:t>④</w:t>
              <w:tab/>
            </w:r>
            <w:r>
              <w:rPr>
                <w:spacing w:val="-3"/>
                <w:sz w:val="21"/>
              </w:rPr>
              <w:t>非畸形性关节炎或多关节痛；</w:t>
            </w:r>
          </w:p>
          <w:p>
            <w:pPr>
              <w:pStyle w:val="TableParagraph"/>
              <w:tabs>
                <w:tab w:pos="629" w:val="left" w:leader="none"/>
              </w:tabs>
              <w:spacing w:before="37"/>
              <w:ind w:left="207"/>
              <w:rPr>
                <w:sz w:val="21"/>
              </w:rPr>
            </w:pPr>
            <w:r>
              <w:rPr>
                <w:sz w:val="21"/>
              </w:rPr>
              <w:t>⑤</w:t>
              <w:tab/>
            </w:r>
            <w:r>
              <w:rPr>
                <w:spacing w:val="-3"/>
                <w:sz w:val="21"/>
              </w:rPr>
              <w:t>胸膜炎或心包炎；</w:t>
            </w:r>
          </w:p>
          <w:p>
            <w:pPr>
              <w:pStyle w:val="TableParagraph"/>
              <w:tabs>
                <w:tab w:pos="629" w:val="left" w:leader="none"/>
              </w:tabs>
              <w:spacing w:before="37"/>
              <w:ind w:left="207"/>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9" w:val="left" w:leader="none"/>
              </w:tabs>
              <w:spacing w:line="273" w:lineRule="auto" w:before="37"/>
              <w:ind w:left="627" w:right="305" w:hanging="420"/>
              <w:rPr>
                <w:sz w:val="21"/>
              </w:rPr>
            </w:pPr>
            <w:r>
              <w:rPr>
                <w:sz w:val="21"/>
              </w:rPr>
              <w:t>⑦</w:t>
              <w:tab/>
              <w:tab/>
            </w:r>
            <w:r>
              <w:rPr>
                <w:spacing w:val="-16"/>
                <w:sz w:val="21"/>
              </w:rPr>
              <w:t>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1"/>
                <w:sz w:val="21"/>
              </w:rPr>
              <w:t> 或溶血性贫</w:t>
            </w:r>
            <w:r>
              <w:rPr>
                <w:sz w:val="21"/>
              </w:rPr>
              <w:t>血</w:t>
            </w:r>
            <w:r>
              <w:rPr>
                <w:spacing w:val="-106"/>
                <w:sz w:val="21"/>
              </w:rPr>
              <w:t>）。</w:t>
            </w:r>
          </w:p>
          <w:p>
            <w:pPr>
              <w:pStyle w:val="TableParagraph"/>
              <w:spacing w:before="7"/>
              <w:ind w:left="101"/>
              <w:rPr>
                <w:sz w:val="21"/>
              </w:rPr>
            </w:pPr>
            <w:r>
              <w:rPr>
                <w:sz w:val="21"/>
              </w:rPr>
              <w:t>（2）检测结果至少具备下列条件中的 2 个：</w:t>
            </w:r>
          </w:p>
          <w:p>
            <w:pPr>
              <w:pStyle w:val="TableParagraph"/>
              <w:tabs>
                <w:tab w:pos="627" w:val="left" w:leader="none"/>
              </w:tabs>
              <w:spacing w:before="36"/>
              <w:ind w:left="207"/>
              <w:rPr>
                <w:sz w:val="21"/>
              </w:rPr>
            </w:pPr>
            <w:r>
              <w:rPr>
                <w:sz w:val="21"/>
              </w:rPr>
              <w:t>①</w:t>
              <w:tab/>
            </w:r>
            <w:r>
              <w:rPr>
                <w:spacing w:val="-25"/>
                <w:sz w:val="21"/>
              </w:rPr>
              <w:t>抗 </w:t>
            </w:r>
            <w:r>
              <w:rPr>
                <w:sz w:val="21"/>
              </w:rPr>
              <w:t>dsDNA</w:t>
            </w:r>
            <w:r>
              <w:rPr>
                <w:spacing w:val="-10"/>
                <w:sz w:val="21"/>
              </w:rPr>
              <w:t> 抗体阳性；</w:t>
            </w:r>
          </w:p>
          <w:p>
            <w:pPr>
              <w:pStyle w:val="TableParagraph"/>
              <w:tabs>
                <w:tab w:pos="627" w:val="left" w:leader="none"/>
              </w:tabs>
              <w:spacing w:before="36"/>
              <w:ind w:left="207"/>
              <w:rPr>
                <w:sz w:val="21"/>
              </w:rPr>
            </w:pPr>
            <w:r>
              <w:rPr>
                <w:sz w:val="21"/>
              </w:rPr>
              <w:t>②</w:t>
              <w:tab/>
            </w:r>
            <w:r>
              <w:rPr>
                <w:spacing w:val="-25"/>
                <w:sz w:val="21"/>
              </w:rPr>
              <w:t>抗 </w:t>
            </w:r>
            <w:r>
              <w:rPr>
                <w:sz w:val="21"/>
              </w:rPr>
              <w:t>Sm</w:t>
            </w:r>
            <w:r>
              <w:rPr>
                <w:spacing w:val="-12"/>
                <w:sz w:val="21"/>
              </w:rPr>
              <w:t> 抗体阳性；</w:t>
            </w:r>
          </w:p>
          <w:p>
            <w:pPr>
              <w:pStyle w:val="TableParagraph"/>
              <w:tabs>
                <w:tab w:pos="630" w:val="left" w:leader="none"/>
              </w:tabs>
              <w:spacing w:before="36"/>
              <w:ind w:left="208"/>
              <w:rPr>
                <w:sz w:val="21"/>
              </w:rPr>
            </w:pPr>
            <w:r>
              <w:rPr>
                <w:sz w:val="21"/>
              </w:rPr>
              <w:t>③</w:t>
              <w:tab/>
            </w:r>
            <w:r>
              <w:rPr>
                <w:spacing w:val="-3"/>
                <w:sz w:val="21"/>
              </w:rPr>
              <w:t>抗核抗体阳性；</w:t>
            </w:r>
          </w:p>
          <w:p>
            <w:pPr>
              <w:pStyle w:val="TableParagraph"/>
              <w:tabs>
                <w:tab w:pos="630" w:val="left" w:leader="none"/>
              </w:tabs>
              <w:spacing w:before="36"/>
              <w:ind w:left="208"/>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0" w:val="left" w:leader="none"/>
              </w:tabs>
              <w:spacing w:before="36"/>
              <w:ind w:left="208"/>
              <w:rPr>
                <w:sz w:val="21"/>
              </w:rPr>
            </w:pPr>
            <w:r>
              <w:rPr>
                <w:sz w:val="21"/>
              </w:rPr>
              <w:t>⑤</w:t>
              <w:tab/>
              <w:t>C3</w:t>
            </w:r>
            <w:r>
              <w:rPr>
                <w:spacing w:val="-10"/>
                <w:sz w:val="21"/>
              </w:rPr>
              <w:t> 低于正常值。</w:t>
            </w:r>
          </w:p>
          <w:p>
            <w:pPr>
              <w:pStyle w:val="TableParagraph"/>
              <w:spacing w:before="36"/>
              <w:ind w:left="102"/>
              <w:rPr>
                <w:sz w:val="21"/>
              </w:rPr>
            </w:pPr>
            <w:r>
              <w:rPr>
                <w:w w:val="100"/>
                <w:sz w:val="21"/>
              </w:rPr>
              <w:t>（3</w:t>
            </w:r>
            <w:r>
              <w:rPr>
                <w:spacing w:val="-3"/>
                <w:w w:val="100"/>
                <w:sz w:val="21"/>
              </w:rPr>
              <w:t>）狼疮肾炎致使肾功能减退（</w:t>
            </w:r>
            <w:r>
              <w:rPr>
                <w:spacing w:val="-2"/>
                <w:w w:val="100"/>
                <w:sz w:val="21"/>
              </w:rPr>
              <w:t>或损害</w:t>
            </w:r>
            <w:r>
              <w:rPr>
                <w:spacing w:val="-109"/>
                <w:w w:val="100"/>
                <w:sz w:val="21"/>
              </w:rPr>
              <w:t>）</w:t>
            </w:r>
            <w:r>
              <w:rPr>
                <w:spacing w:val="-3"/>
                <w:w w:val="100"/>
                <w:sz w:val="21"/>
              </w:rPr>
              <w:t>，且符合以下条件之一：</w:t>
            </w:r>
          </w:p>
          <w:p>
            <w:pPr>
              <w:pStyle w:val="TableParagraph"/>
              <w:tabs>
                <w:tab w:pos="630" w:val="left" w:leader="none"/>
              </w:tabs>
              <w:spacing w:line="273" w:lineRule="auto" w:before="36"/>
              <w:ind w:left="628" w:right="305" w:hanging="421"/>
              <w:rPr>
                <w:sz w:val="21"/>
              </w:rPr>
            </w:pPr>
            <w:r>
              <w:rPr>
                <w:sz w:val="21"/>
              </w:rPr>
              <w:t>①</w:t>
              <w:tab/>
              <w:tab/>
            </w:r>
            <w:r>
              <w:rPr>
                <w:spacing w:val="-3"/>
                <w:sz w:val="21"/>
              </w:rPr>
              <w:t>系统性红斑狼疮造成肾脏功能损害，尿蛋白</w:t>
            </w:r>
            <w:r>
              <w:rPr>
                <w:sz w:val="21"/>
              </w:rPr>
              <w:t>＞2g/24</w:t>
            </w:r>
            <w:r>
              <w:rPr>
                <w:spacing w:val="-6"/>
                <w:sz w:val="21"/>
              </w:rPr>
              <w:t> 小时且持续性蛋白</w:t>
            </w:r>
            <w:r>
              <w:rPr>
                <w:spacing w:val="-1"/>
                <w:sz w:val="21"/>
              </w:rPr>
              <w:t>尿＞+++；</w:t>
            </w:r>
          </w:p>
          <w:p>
            <w:pPr>
              <w:pStyle w:val="TableParagraph"/>
              <w:tabs>
                <w:tab w:pos="630" w:val="left" w:leader="none"/>
              </w:tabs>
              <w:spacing w:line="273" w:lineRule="auto" w:before="7"/>
              <w:ind w:left="102" w:right="1718"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tabs>
                <w:tab w:pos="2205" w:val="left" w:leader="none"/>
              </w:tabs>
              <w:spacing w:before="7"/>
              <w:ind w:left="102"/>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2205" w:val="left" w:leader="none"/>
              </w:tabs>
              <w:spacing w:before="36"/>
              <w:ind w:left="102"/>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p>
            <w:pPr>
              <w:pStyle w:val="TableParagraph"/>
              <w:tabs>
                <w:tab w:pos="2836" w:val="left" w:leader="none"/>
              </w:tabs>
              <w:spacing w:before="36"/>
              <w:ind w:left="102"/>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p>
          <w:p>
            <w:pPr>
              <w:pStyle w:val="TableParagraph"/>
              <w:tabs>
                <w:tab w:pos="2205" w:val="left" w:leader="none"/>
              </w:tabs>
              <w:spacing w:before="36"/>
              <w:ind w:left="102"/>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p>
            <w:pPr>
              <w:pStyle w:val="TableParagraph"/>
              <w:tabs>
                <w:tab w:pos="1573" w:val="left" w:leader="none"/>
              </w:tabs>
              <w:spacing w:line="255" w:lineRule="exact" w:before="36"/>
              <w:ind w:left="102"/>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bl>
    <w:p>
      <w:pPr>
        <w:spacing w:after="0" w:line="255" w:lineRule="exact"/>
        <w:rPr>
          <w:sz w:val="21"/>
        </w:rPr>
        <w:sectPr>
          <w:pgSz w:w="11910" w:h="16840"/>
          <w:pgMar w:top="1140" w:bottom="280" w:left="108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965"/>
        <w:gridCol w:w="7213"/>
      </w:tblGrid>
      <w:tr>
        <w:trPr>
          <w:trHeight w:val="605" w:hRule="atLeast"/>
        </w:trPr>
        <w:tc>
          <w:tcPr>
            <w:tcW w:w="595" w:type="dxa"/>
          </w:tcPr>
          <w:p>
            <w:pPr>
              <w:pStyle w:val="TableParagraph"/>
              <w:spacing w:line="231" w:lineRule="exact"/>
              <w:ind w:left="50"/>
              <w:rPr>
                <w:b/>
                <w:sz w:val="21"/>
              </w:rPr>
            </w:pPr>
            <w:r>
              <w:rPr>
                <w:b/>
                <w:sz w:val="21"/>
              </w:rPr>
              <w:t>18</w:t>
            </w:r>
          </w:p>
        </w:tc>
        <w:tc>
          <w:tcPr>
            <w:tcW w:w="1965" w:type="dxa"/>
          </w:tcPr>
          <w:p>
            <w:pPr>
              <w:pStyle w:val="TableParagraph"/>
              <w:spacing w:line="244" w:lineRule="exact"/>
              <w:ind w:left="333"/>
              <w:rPr>
                <w:rFonts w:ascii="等线" w:eastAsia="等线" w:hint="eastAsia"/>
                <w:b/>
                <w:sz w:val="24"/>
              </w:rPr>
            </w:pPr>
            <w:r>
              <w:rPr>
                <w:rFonts w:ascii="等线" w:eastAsia="等线" w:hint="eastAsia"/>
                <w:b/>
                <w:sz w:val="24"/>
              </w:rPr>
              <w:t>急性或亚急性</w:t>
            </w:r>
          </w:p>
          <w:p>
            <w:pPr>
              <w:pStyle w:val="TableParagraph"/>
              <w:spacing w:line="323" w:lineRule="exact"/>
              <w:ind w:left="333"/>
              <w:rPr>
                <w:rFonts w:ascii="等线" w:eastAsia="等线" w:hint="eastAsia"/>
                <w:b/>
                <w:sz w:val="24"/>
              </w:rPr>
            </w:pPr>
            <w:r>
              <w:rPr>
                <w:rFonts w:ascii="等线" w:eastAsia="等线" w:hint="eastAsia"/>
                <w:b/>
                <w:sz w:val="24"/>
              </w:rPr>
              <w:t>重症肝炎</w:t>
            </w:r>
          </w:p>
        </w:tc>
        <w:tc>
          <w:tcPr>
            <w:tcW w:w="7213" w:type="dxa"/>
          </w:tcPr>
          <w:p>
            <w:pPr>
              <w:pStyle w:val="TableParagraph"/>
              <w:spacing w:line="231" w:lineRule="exact"/>
              <w:ind w:left="70"/>
              <w:rPr>
                <w:sz w:val="21"/>
              </w:rPr>
            </w:pPr>
            <w:r>
              <w:rPr>
                <w:sz w:val="21"/>
              </w:rPr>
              <w:t>指因肝炎病毒感染引起肝脏组织弥漫性坏死，导致急性肝功能衰竭，且经血</w:t>
            </w:r>
          </w:p>
          <w:p>
            <w:pPr>
              <w:pStyle w:val="TableParagraph"/>
              <w:spacing w:before="37"/>
              <w:ind w:left="70"/>
              <w:rPr>
                <w:sz w:val="21"/>
              </w:rPr>
            </w:pPr>
            <w:r>
              <w:rPr>
                <w:sz w:val="21"/>
              </w:rPr>
              <w:t>清学或病毒学检查证实，并须满足下列全部条件：</w:t>
            </w:r>
          </w:p>
        </w:tc>
      </w:tr>
      <w:tr>
        <w:trPr>
          <w:trHeight w:val="299"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49" w:lineRule="exact"/>
              <w:ind w:left="70"/>
              <w:rPr>
                <w:sz w:val="21"/>
              </w:rPr>
            </w:pPr>
            <w:r>
              <w:rPr>
                <w:sz w:val="21"/>
              </w:rPr>
              <w:t>（1）重度黄疸或黄疸迅速加重；</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（2）肝性脑病；</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（3）B 超或其它影像学检查显示肝脏体积急速萎缩；</w:t>
            </w:r>
          </w:p>
        </w:tc>
      </w:tr>
      <w:tr>
        <w:trPr>
          <w:trHeight w:val="47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（4）肝功能指标进行性恶化。</w:t>
            </w:r>
          </w:p>
        </w:tc>
      </w:tr>
      <w:tr>
        <w:trPr>
          <w:trHeight w:val="1616" w:hRule="atLeast"/>
        </w:trPr>
        <w:tc>
          <w:tcPr>
            <w:tcW w:w="595" w:type="dxa"/>
          </w:tcPr>
          <w:p>
            <w:pPr>
              <w:pStyle w:val="TableParagraph"/>
              <w:spacing w:before="167"/>
              <w:ind w:left="50"/>
              <w:rPr>
                <w:b/>
                <w:sz w:val="21"/>
              </w:rPr>
            </w:pPr>
            <w:r>
              <w:rPr>
                <w:b/>
                <w:sz w:val="21"/>
              </w:rPr>
              <w:t>19</w:t>
            </w:r>
          </w:p>
        </w:tc>
        <w:tc>
          <w:tcPr>
            <w:tcW w:w="1965" w:type="dxa"/>
          </w:tcPr>
          <w:p>
            <w:pPr>
              <w:pStyle w:val="TableParagraph"/>
              <w:spacing w:line="322" w:lineRule="exact" w:before="131"/>
              <w:ind w:left="333"/>
              <w:rPr>
                <w:rFonts w:ascii="等线" w:eastAsia="等线" w:hint="eastAsia"/>
                <w:b/>
                <w:sz w:val="24"/>
              </w:rPr>
            </w:pPr>
            <w:r>
              <w:rPr>
                <w:rFonts w:ascii="等线" w:eastAsia="等线" w:hint="eastAsia"/>
                <w:b/>
                <w:sz w:val="24"/>
              </w:rPr>
              <w:t>终 末 期 肾 病 </w:t>
            </w:r>
          </w:p>
          <w:p>
            <w:pPr>
              <w:pStyle w:val="TableParagraph"/>
              <w:spacing w:line="232" w:lineRule="auto" w:before="4"/>
              <w:ind w:left="333" w:right="133"/>
              <w:jc w:val="both"/>
              <w:rPr>
                <w:rFonts w:ascii="等线" w:eastAsia="等线" w:hint="eastAsia"/>
                <w:b/>
                <w:sz w:val="24"/>
              </w:rPr>
            </w:pPr>
            <w:r>
              <w:rPr>
                <w:rFonts w:ascii="等线" w:eastAsia="等线" w:hint="eastAsia"/>
                <w:b/>
                <w:sz w:val="24"/>
              </w:rPr>
              <w:t>（或称慢性肾功能衰竭尿毒症期）</w:t>
            </w:r>
          </w:p>
        </w:tc>
        <w:tc>
          <w:tcPr>
            <w:tcW w:w="7213" w:type="dxa"/>
          </w:tcPr>
          <w:p>
            <w:pPr>
              <w:pStyle w:val="TableParagraph"/>
              <w:spacing w:before="167"/>
              <w:ind w:left="70"/>
              <w:rPr>
                <w:sz w:val="21"/>
              </w:rPr>
            </w:pPr>
            <w:r>
              <w:rPr>
                <w:sz w:val="21"/>
              </w:rPr>
              <w:t>指双肾功能慢性不可逆性衰竭，达到尿毒症期，经诊断后已经进行了至少 90</w:t>
            </w:r>
          </w:p>
          <w:p>
            <w:pPr>
              <w:pStyle w:val="TableParagraph"/>
              <w:spacing w:before="37"/>
              <w:ind w:left="69"/>
              <w:rPr>
                <w:sz w:val="21"/>
              </w:rPr>
            </w:pPr>
            <w:r>
              <w:rPr>
                <w:sz w:val="21"/>
              </w:rPr>
              <w:t>日的规律性透析治疗或实施了肾脏移植手术。</w:t>
            </w:r>
          </w:p>
        </w:tc>
      </w:tr>
      <w:tr>
        <w:trPr>
          <w:trHeight w:val="809" w:hRule="atLeast"/>
        </w:trPr>
        <w:tc>
          <w:tcPr>
            <w:tcW w:w="595" w:type="dxa"/>
          </w:tcPr>
          <w:p>
            <w:pPr>
              <w:pStyle w:val="TableParagraph"/>
              <w:spacing w:before="161"/>
              <w:ind w:left="50"/>
              <w:rPr>
                <w:b/>
                <w:sz w:val="21"/>
              </w:rPr>
            </w:pPr>
            <w:r>
              <w:rPr>
                <w:b/>
                <w:sz w:val="21"/>
              </w:rPr>
              <w:t>20</w:t>
            </w:r>
          </w:p>
        </w:tc>
        <w:tc>
          <w:tcPr>
            <w:tcW w:w="1965" w:type="dxa"/>
          </w:tcPr>
          <w:p>
            <w:pPr>
              <w:pStyle w:val="TableParagraph"/>
              <w:spacing w:line="232" w:lineRule="auto" w:before="134"/>
              <w:ind w:left="333" w:right="133"/>
              <w:rPr>
                <w:rFonts w:ascii="等线" w:eastAsia="等线" w:hint="eastAsia"/>
                <w:b/>
                <w:sz w:val="24"/>
              </w:rPr>
            </w:pPr>
            <w:r>
              <w:rPr>
                <w:rFonts w:ascii="等线" w:eastAsia="等线" w:hint="eastAsia"/>
                <w:b/>
                <w:sz w:val="24"/>
              </w:rPr>
              <w:t>急性坏死性胰腺炎开腹手术</w:t>
            </w:r>
          </w:p>
        </w:tc>
        <w:tc>
          <w:tcPr>
            <w:tcW w:w="7213" w:type="dxa"/>
          </w:tcPr>
          <w:p>
            <w:pPr>
              <w:pStyle w:val="TableParagraph"/>
              <w:spacing w:line="273" w:lineRule="auto" w:before="161"/>
              <w:ind w:left="70" w:right="156"/>
              <w:rPr>
                <w:sz w:val="21"/>
              </w:rPr>
            </w:pPr>
            <w:r>
              <w:rPr>
                <w:sz w:val="21"/>
              </w:rPr>
              <w:t>指由专科医生确诊为急性坏死性胰腺炎，并已经接受了开腹手术进行坏死组织清除、病灶切除或胰腺部分切除的治疗。</w:t>
            </w:r>
          </w:p>
        </w:tc>
      </w:tr>
      <w:tr>
        <w:trPr>
          <w:trHeight w:val="300"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50" w:lineRule="exact"/>
              <w:ind w:left="70"/>
              <w:rPr>
                <w:sz w:val="21"/>
              </w:rPr>
            </w:pPr>
            <w:r>
              <w:rPr>
                <w:sz w:val="21"/>
                <w:shd w:fill="DADADA" w:color="auto" w:val="clear"/>
              </w:rPr>
              <w:t>因酗酒或饮酒过量所致的急性坏死性胰腺炎以及腹腔镜手术不在保障范围</w:t>
            </w:r>
          </w:p>
        </w:tc>
      </w:tr>
      <w:tr>
        <w:trPr>
          <w:trHeight w:val="47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shd w:fill="DADADA" w:color="auto" w:val="clear"/>
              </w:rPr>
              <w:t>内。</w:t>
            </w:r>
          </w:p>
        </w:tc>
      </w:tr>
      <w:tr>
        <w:trPr>
          <w:trHeight w:val="1428" w:hRule="atLeast"/>
        </w:trPr>
        <w:tc>
          <w:tcPr>
            <w:tcW w:w="595" w:type="dxa"/>
          </w:tcPr>
          <w:p>
            <w:pPr>
              <w:pStyle w:val="TableParagraph"/>
              <w:spacing w:before="167"/>
              <w:ind w:left="50"/>
              <w:rPr>
                <w:b/>
                <w:sz w:val="21"/>
              </w:rPr>
            </w:pPr>
            <w:r>
              <w:rPr>
                <w:b/>
                <w:sz w:val="21"/>
              </w:rPr>
              <w:t>21</w:t>
            </w:r>
          </w:p>
        </w:tc>
        <w:tc>
          <w:tcPr>
            <w:tcW w:w="1965" w:type="dxa"/>
          </w:tcPr>
          <w:p>
            <w:pPr>
              <w:pStyle w:val="TableParagraph"/>
              <w:spacing w:line="232" w:lineRule="auto" w:before="141"/>
              <w:ind w:left="333" w:right="133"/>
              <w:jc w:val="both"/>
              <w:rPr>
                <w:rFonts w:ascii="等线" w:eastAsia="等线" w:hint="eastAsia"/>
                <w:b/>
                <w:sz w:val="24"/>
              </w:rPr>
            </w:pPr>
            <w:r>
              <w:rPr>
                <w:rFonts w:ascii="等线" w:eastAsia="等线" w:hint="eastAsia"/>
                <w:b/>
                <w:sz w:val="24"/>
              </w:rPr>
              <w:t>严重肝豆状核变性（Wilson 病）</w:t>
            </w:r>
          </w:p>
        </w:tc>
        <w:tc>
          <w:tcPr>
            <w:tcW w:w="7213" w:type="dxa"/>
          </w:tcPr>
          <w:p>
            <w:pPr>
              <w:pStyle w:val="TableParagraph"/>
              <w:spacing w:line="273" w:lineRule="auto" w:before="167"/>
              <w:ind w:left="70" w:right="15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595" w:right="153" w:hanging="526"/>
              <w:rPr>
                <w:sz w:val="21"/>
              </w:rPr>
            </w:pPr>
            <w:r>
              <w:rPr>
                <w:spacing w:val="-5"/>
                <w:sz w:val="21"/>
              </w:rPr>
              <w:t>（1）</w:t>
            </w:r>
            <w:r>
              <w:rPr>
                <w:spacing w:val="-8"/>
                <w:sz w:val="21"/>
              </w:rPr>
              <w:t>临床表现包括：进行性加剧的肢体震颤，肌强直，吞咽及发音困难，精</w:t>
            </w:r>
            <w:r>
              <w:rPr>
                <w:spacing w:val="-6"/>
                <w:sz w:val="21"/>
              </w:rPr>
              <w:t>神异常；</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（2）</w:t>
            </w:r>
            <w:r>
              <w:rPr>
                <w:spacing w:val="-3"/>
                <w:sz w:val="21"/>
              </w:rPr>
              <w:t>角膜色素环</w:t>
            </w:r>
            <w:r>
              <w:rPr>
                <w:sz w:val="21"/>
              </w:rPr>
              <w:t>（K-F</w:t>
            </w:r>
            <w:r>
              <w:rPr>
                <w:spacing w:val="-25"/>
                <w:sz w:val="21"/>
              </w:rPr>
              <w:t> 环</w:t>
            </w:r>
            <w:r>
              <w:rPr>
                <w:spacing w:val="-106"/>
                <w:sz w:val="21"/>
              </w:rPr>
              <w:t>）；</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（3）血清铜和血清铜蓝蛋白降低，尿铜增加；</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（4）食管静脉曲张；</w:t>
            </w:r>
          </w:p>
        </w:tc>
      </w:tr>
      <w:tr>
        <w:trPr>
          <w:trHeight w:val="47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（5）腹水。</w:t>
            </w:r>
          </w:p>
        </w:tc>
      </w:tr>
      <w:tr>
        <w:trPr>
          <w:trHeight w:val="815" w:hRule="atLeast"/>
        </w:trPr>
        <w:tc>
          <w:tcPr>
            <w:tcW w:w="595" w:type="dxa"/>
          </w:tcPr>
          <w:p>
            <w:pPr>
              <w:pStyle w:val="TableParagraph"/>
              <w:spacing w:before="166"/>
              <w:ind w:left="50"/>
              <w:rPr>
                <w:b/>
                <w:sz w:val="21"/>
              </w:rPr>
            </w:pPr>
            <w:r>
              <w:rPr>
                <w:b/>
                <w:sz w:val="21"/>
              </w:rPr>
              <w:t>22</w:t>
            </w:r>
          </w:p>
        </w:tc>
        <w:tc>
          <w:tcPr>
            <w:tcW w:w="1965" w:type="dxa"/>
          </w:tcPr>
          <w:p>
            <w:pPr>
              <w:pStyle w:val="TableParagraph"/>
              <w:spacing w:line="235" w:lineRule="auto" w:before="136"/>
              <w:ind w:left="333" w:right="133"/>
              <w:rPr>
                <w:rFonts w:ascii="等线" w:eastAsia="等线" w:hint="eastAsia"/>
                <w:b/>
                <w:sz w:val="24"/>
              </w:rPr>
            </w:pPr>
            <w:r>
              <w:rPr>
                <w:rFonts w:ascii="等线" w:eastAsia="等线" w:hint="eastAsia"/>
                <w:b/>
                <w:sz w:val="24"/>
              </w:rPr>
              <w:t>严重弥漫性系统性硬皮病</w:t>
            </w:r>
          </w:p>
        </w:tc>
        <w:tc>
          <w:tcPr>
            <w:tcW w:w="7213" w:type="dxa"/>
          </w:tcPr>
          <w:p>
            <w:pPr>
              <w:pStyle w:val="TableParagraph"/>
              <w:spacing w:line="273" w:lineRule="auto" w:before="166"/>
              <w:ind w:left="69" w:right="155"/>
              <w:rPr>
                <w:sz w:val="21"/>
              </w:rPr>
            </w:pPr>
            <w:r>
              <w:rPr>
                <w:sz w:val="21"/>
              </w:rPr>
              <w:t>指一种系统性胶原血管病引起进行性的皮肤/血管和内脏器官的弥漫性纤维化。本病症须经专科医生明确诊断，并由活检和血清学证据支持并且疾病已</w:t>
            </w:r>
          </w:p>
        </w:tc>
      </w:tr>
      <w:tr>
        <w:trPr>
          <w:trHeight w:val="299"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49" w:lineRule="exact"/>
              <w:ind w:left="69"/>
              <w:rPr>
                <w:sz w:val="21"/>
              </w:rPr>
            </w:pPr>
            <w:r>
              <w:rPr>
                <w:sz w:val="21"/>
              </w:rPr>
              <w:t>经影响到心脏、肺或肾脏等内脏器官并且达到下列标准之一：</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69"/>
              <w:rPr>
                <w:sz w:val="21"/>
              </w:rPr>
            </w:pPr>
            <w:r>
              <w:rPr>
                <w:sz w:val="21"/>
              </w:rPr>
              <w:t>（1）肺纤维化，已经出现肺动脉高压、肺心病；</w:t>
            </w:r>
          </w:p>
        </w:tc>
      </w:tr>
      <w:tr>
        <w:trPr>
          <w:trHeight w:val="261" w:hRule="atLeast"/>
        </w:trPr>
        <w:tc>
          <w:tcPr>
            <w:tcW w:w="595" w:type="dxa"/>
          </w:tcPr>
          <w:p>
            <w:pPr>
              <w:pStyle w:val="TableParagraph"/>
              <w:rPr>
                <w:rFonts w:ascii="Times New Roman"/>
                <w:sz w:val="18"/>
              </w:rPr>
            </w:pPr>
          </w:p>
        </w:tc>
        <w:tc>
          <w:tcPr>
            <w:tcW w:w="1965" w:type="dxa"/>
          </w:tcPr>
          <w:p>
            <w:pPr>
              <w:pStyle w:val="TableParagraph"/>
              <w:rPr>
                <w:rFonts w:ascii="Times New Roman"/>
                <w:sz w:val="18"/>
              </w:rPr>
            </w:pPr>
          </w:p>
        </w:tc>
        <w:tc>
          <w:tcPr>
            <w:tcW w:w="7213" w:type="dxa"/>
          </w:tcPr>
          <w:p>
            <w:pPr>
              <w:pStyle w:val="TableParagraph"/>
              <w:spacing w:line="242" w:lineRule="exact"/>
              <w:ind w:left="69"/>
              <w:rPr>
                <w:sz w:val="21"/>
              </w:rPr>
            </w:pPr>
            <w:r>
              <w:rPr>
                <w:sz w:val="21"/>
              </w:rPr>
              <w:t>（2）心脏功能损害，心脏功能衰竭程度达到纽约心脏病学会的心功能分级标</w:t>
            </w:r>
          </w:p>
        </w:tc>
      </w:tr>
      <w:tr>
        <w:trPr>
          <w:trHeight w:val="36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before="37"/>
              <w:ind w:left="595"/>
              <w:rPr>
                <w:sz w:val="21"/>
              </w:rPr>
            </w:pPr>
            <w:r>
              <w:rPr>
                <w:sz w:val="21"/>
              </w:rPr>
              <w:t>准之心功能 IV 级；</w:t>
            </w:r>
          </w:p>
        </w:tc>
      </w:tr>
      <w:tr>
        <w:trPr>
          <w:trHeight w:val="31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rPr>
              <w:t>（3）肾脏功能损害，已经出现肾功能衰竭。</w:t>
            </w:r>
          </w:p>
        </w:tc>
      </w:tr>
      <w:tr>
        <w:trPr>
          <w:trHeight w:val="31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2" w:lineRule="exact"/>
              <w:ind w:left="70"/>
              <w:rPr>
                <w:sz w:val="21"/>
              </w:rPr>
            </w:pPr>
            <w:r>
              <w:rPr>
                <w:sz w:val="21"/>
                <w:shd w:fill="DADADA" w:color="auto" w:val="clear"/>
              </w:rPr>
              <w:t>下列疾病不在保障范围内：</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shd w:fill="DADADA" w:color="auto" w:val="clear"/>
              </w:rPr>
              <w:t>（1）局限硬皮病；</w:t>
            </w:r>
          </w:p>
        </w:tc>
      </w:tr>
      <w:tr>
        <w:trPr>
          <w:trHeight w:val="31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shd w:fill="DADADA" w:color="auto" w:val="clear"/>
              </w:rPr>
              <w:t>（2）嗜酸细胞筋膜炎；</w:t>
            </w:r>
          </w:p>
        </w:tc>
      </w:tr>
      <w:tr>
        <w:trPr>
          <w:trHeight w:val="472"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61" w:lineRule="exact"/>
              <w:ind w:left="70"/>
              <w:rPr>
                <w:sz w:val="21"/>
              </w:rPr>
            </w:pPr>
            <w:r>
              <w:rPr>
                <w:sz w:val="21"/>
                <w:shd w:fill="DADADA" w:color="auto" w:val="clear"/>
              </w:rPr>
              <w:t>（3）CREST 综合征。</w:t>
            </w:r>
          </w:p>
        </w:tc>
      </w:tr>
      <w:tr>
        <w:trPr>
          <w:trHeight w:val="815" w:hRule="atLeast"/>
        </w:trPr>
        <w:tc>
          <w:tcPr>
            <w:tcW w:w="595" w:type="dxa"/>
          </w:tcPr>
          <w:p>
            <w:pPr>
              <w:pStyle w:val="TableParagraph"/>
              <w:spacing w:before="167"/>
              <w:ind w:left="50"/>
              <w:rPr>
                <w:b/>
                <w:sz w:val="21"/>
              </w:rPr>
            </w:pPr>
            <w:r>
              <w:rPr>
                <w:b/>
                <w:sz w:val="21"/>
              </w:rPr>
              <w:t>23</w:t>
            </w:r>
          </w:p>
        </w:tc>
        <w:tc>
          <w:tcPr>
            <w:tcW w:w="1965" w:type="dxa"/>
          </w:tcPr>
          <w:p>
            <w:pPr>
              <w:pStyle w:val="TableParagraph"/>
              <w:spacing w:line="232" w:lineRule="auto" w:before="141"/>
              <w:ind w:left="333" w:right="133"/>
              <w:rPr>
                <w:rFonts w:ascii="等线" w:eastAsia="等线" w:hint="eastAsia"/>
                <w:b/>
                <w:sz w:val="24"/>
              </w:rPr>
            </w:pPr>
            <w:r>
              <w:rPr>
                <w:rFonts w:ascii="等线" w:eastAsia="等线" w:hint="eastAsia"/>
                <w:b/>
                <w:sz w:val="24"/>
              </w:rPr>
              <w:t>肺泡蛋白质沉积症</w:t>
            </w:r>
          </w:p>
        </w:tc>
        <w:tc>
          <w:tcPr>
            <w:tcW w:w="7213" w:type="dxa"/>
          </w:tcPr>
          <w:p>
            <w:pPr>
              <w:pStyle w:val="TableParagraph"/>
              <w:spacing w:line="273" w:lineRule="auto" w:before="167"/>
              <w:ind w:left="69" w:right="89"/>
              <w:rPr>
                <w:sz w:val="21"/>
              </w:rPr>
            </w:pPr>
            <w:r>
              <w:rPr>
                <w:sz w:val="21"/>
              </w:rPr>
              <w:t>指肺泡和细支气管腔内充满不可溶性富磷脂蛋白的疾病，胸部 X 线呈双肺弥漫性肺部磨玻璃影，病理学检查肺泡内充满有过碘酸雪夫（PAS）染色阳性的</w:t>
            </w:r>
          </w:p>
        </w:tc>
      </w:tr>
      <w:tr>
        <w:trPr>
          <w:trHeight w:val="461" w:hRule="atLeast"/>
        </w:trPr>
        <w:tc>
          <w:tcPr>
            <w:tcW w:w="595" w:type="dxa"/>
          </w:tcPr>
          <w:p>
            <w:pPr>
              <w:pStyle w:val="TableParagraph"/>
              <w:rPr>
                <w:rFonts w:ascii="Times New Roman"/>
                <w:sz w:val="20"/>
              </w:rPr>
            </w:pPr>
          </w:p>
        </w:tc>
        <w:tc>
          <w:tcPr>
            <w:tcW w:w="1965" w:type="dxa"/>
          </w:tcPr>
          <w:p>
            <w:pPr>
              <w:pStyle w:val="TableParagraph"/>
              <w:rPr>
                <w:rFonts w:ascii="Times New Roman"/>
                <w:sz w:val="20"/>
              </w:rPr>
            </w:pPr>
          </w:p>
        </w:tc>
        <w:tc>
          <w:tcPr>
            <w:tcW w:w="7213" w:type="dxa"/>
          </w:tcPr>
          <w:p>
            <w:pPr>
              <w:pStyle w:val="TableParagraph"/>
              <w:spacing w:line="250" w:lineRule="exact"/>
              <w:ind w:left="69"/>
              <w:rPr>
                <w:sz w:val="21"/>
              </w:rPr>
            </w:pPr>
            <w:r>
              <w:rPr>
                <w:sz w:val="21"/>
              </w:rPr>
              <w:t>蛋白样物质，并且接受了肺灌洗治疗。</w:t>
            </w:r>
          </w:p>
        </w:tc>
      </w:tr>
      <w:tr>
        <w:trPr>
          <w:trHeight w:val="1093" w:hRule="atLeast"/>
        </w:trPr>
        <w:tc>
          <w:tcPr>
            <w:tcW w:w="595" w:type="dxa"/>
          </w:tcPr>
          <w:p>
            <w:pPr>
              <w:pStyle w:val="TableParagraph"/>
              <w:spacing w:before="167"/>
              <w:ind w:left="50"/>
              <w:rPr>
                <w:b/>
                <w:sz w:val="21"/>
              </w:rPr>
            </w:pPr>
            <w:r>
              <w:rPr>
                <w:b/>
                <w:sz w:val="21"/>
              </w:rPr>
              <w:t>24</w:t>
            </w:r>
          </w:p>
        </w:tc>
        <w:tc>
          <w:tcPr>
            <w:tcW w:w="1965" w:type="dxa"/>
          </w:tcPr>
          <w:p>
            <w:pPr>
              <w:pStyle w:val="TableParagraph"/>
              <w:spacing w:line="316" w:lineRule="exact" w:before="150"/>
              <w:ind w:left="333" w:right="133"/>
              <w:jc w:val="both"/>
              <w:rPr>
                <w:rFonts w:ascii="等线" w:eastAsia="等线" w:hint="eastAsia"/>
                <w:b/>
                <w:sz w:val="24"/>
              </w:rPr>
            </w:pPr>
            <w:r>
              <w:rPr>
                <w:rFonts w:ascii="等线" w:eastAsia="等线" w:hint="eastAsia"/>
                <w:b/>
                <w:sz w:val="24"/>
              </w:rPr>
              <w:t>特发性慢性肾上腺皮质功能减退</w:t>
            </w:r>
          </w:p>
        </w:tc>
        <w:tc>
          <w:tcPr>
            <w:tcW w:w="7213" w:type="dxa"/>
          </w:tcPr>
          <w:p>
            <w:pPr>
              <w:pStyle w:val="TableParagraph"/>
              <w:spacing w:line="273" w:lineRule="auto" w:before="167"/>
              <w:ind w:left="70" w:right="49"/>
              <w:rPr>
                <w:sz w:val="21"/>
              </w:rPr>
            </w:pPr>
            <w:r>
              <w:rPr>
                <w:spacing w:val="-7"/>
                <w:sz w:val="21"/>
              </w:rPr>
              <w:t>指原发性自身免疫性肾上腺炎，导致肾上腺萎缩和慢性肾上腺皮质功能减退。</w:t>
            </w:r>
            <w:r>
              <w:rPr>
                <w:spacing w:val="-5"/>
                <w:sz w:val="21"/>
              </w:rPr>
              <w:t>必须满足所有以下条件：</w:t>
            </w:r>
          </w:p>
          <w:p>
            <w:pPr>
              <w:pStyle w:val="TableParagraph"/>
              <w:spacing w:before="7"/>
              <w:ind w:left="70"/>
              <w:rPr>
                <w:sz w:val="21"/>
              </w:rPr>
            </w:pPr>
            <w:r>
              <w:rPr>
                <w:sz w:val="21"/>
              </w:rPr>
              <w:t>（1）明确诊断，符合所有以下诊断标准：</w:t>
            </w:r>
          </w:p>
        </w:tc>
      </w:tr>
    </w:tbl>
    <w:p>
      <w:pPr>
        <w:pStyle w:val="BodyText"/>
        <w:spacing w:before="15"/>
        <w:ind w:left="2842"/>
      </w:pPr>
      <w:r>
        <w:rPr/>
        <w:t>① 血浆促肾上腺皮质激素（ACTH）水平测定大于 100pg/ml；</w:t>
      </w:r>
    </w:p>
    <w:p>
      <w:pPr>
        <w:spacing w:after="0"/>
        <w:sectPr>
          <w:pgSz w:w="11910" w:h="16840"/>
          <w:pgMar w:top="1140" w:bottom="280" w:left="1240" w:right="6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2035"/>
        <w:gridCol w:w="7292"/>
      </w:tblGrid>
      <w:tr>
        <w:trPr>
          <w:trHeight w:val="2737" w:hRule="atLeast"/>
        </w:trPr>
        <w:tc>
          <w:tcPr>
            <w:tcW w:w="745" w:type="dxa"/>
          </w:tcPr>
          <w:p>
            <w:pPr>
              <w:pStyle w:val="TableParagraph"/>
              <w:rPr>
                <w:rFonts w:ascii="Times New Roman"/>
                <w:sz w:val="20"/>
              </w:rPr>
            </w:pPr>
          </w:p>
        </w:tc>
        <w:tc>
          <w:tcPr>
            <w:tcW w:w="2035" w:type="dxa"/>
          </w:tcPr>
          <w:p>
            <w:pPr>
              <w:pStyle w:val="TableParagraph"/>
              <w:rPr>
                <w:rFonts w:ascii="Times New Roman"/>
                <w:sz w:val="20"/>
              </w:rPr>
            </w:pPr>
          </w:p>
        </w:tc>
        <w:tc>
          <w:tcPr>
            <w:tcW w:w="7292" w:type="dxa"/>
          </w:tcPr>
          <w:p>
            <w:pPr>
              <w:pStyle w:val="TableParagraph"/>
              <w:spacing w:line="211" w:lineRule="exact"/>
              <w:ind w:left="105"/>
              <w:rPr>
                <w:sz w:val="21"/>
              </w:rPr>
            </w:pPr>
            <w:r>
              <w:rPr>
                <w:sz w:val="21"/>
              </w:rPr>
              <w:t>② 血浆和尿游离皮质醇及尿 17 羟皮质类固醇、17 酮皮质类固醇测定、血浆</w:t>
            </w:r>
          </w:p>
          <w:p>
            <w:pPr>
              <w:pStyle w:val="TableParagraph"/>
              <w:spacing w:line="273" w:lineRule="auto" w:before="37"/>
              <w:ind w:left="408" w:right="305"/>
              <w:rPr>
                <w:sz w:val="21"/>
              </w:rPr>
            </w:pPr>
            <w:r>
              <w:rPr>
                <w:sz w:val="21"/>
              </w:rPr>
              <w:t>肾素活性、血管紧张素Ⅱ和醛固酮测定，显示为原发性肾上腺皮质功能减退症；</w:t>
            </w:r>
          </w:p>
          <w:p>
            <w:pPr>
              <w:pStyle w:val="TableParagraph"/>
              <w:spacing w:line="273" w:lineRule="auto" w:before="7"/>
              <w:ind w:left="408" w:right="303" w:hanging="296"/>
              <w:rPr>
                <w:sz w:val="21"/>
              </w:rPr>
            </w:pPr>
            <w:r>
              <w:rPr>
                <w:sz w:val="21"/>
              </w:rPr>
              <w:t>③ 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before="37"/>
              <w:rPr>
                <w:sz w:val="21"/>
              </w:rPr>
            </w:pPr>
            <w:r>
              <w:rPr>
                <w:sz w:val="21"/>
              </w:rPr>
              <w:t>本保障仅包括由自身免疫功能紊乱所导致的慢性肾上腺功能不全，其他成因</w:t>
            </w:r>
          </w:p>
          <w:p>
            <w:pPr>
              <w:pStyle w:val="TableParagraph"/>
              <w:spacing w:line="310" w:lineRule="atLeast" w:before="1"/>
              <w:ind w:right="303"/>
              <w:rPr>
                <w:sz w:val="21"/>
              </w:rPr>
            </w:pPr>
            <w:r>
              <w:rPr>
                <w:sz w:val="21"/>
              </w:rPr>
              <w:t>（</w:t>
            </w:r>
            <w:r>
              <w:rPr>
                <w:spacing w:val="-8"/>
                <w:sz w:val="21"/>
              </w:rPr>
              <w:t>包括但不限于：肾上腺结核、</w:t>
            </w:r>
            <w:r>
              <w:rPr>
                <w:sz w:val="21"/>
              </w:rPr>
              <w:t>HIV</w:t>
            </w:r>
            <w:r>
              <w:rPr>
                <w:spacing w:val="-10"/>
                <w:sz w:val="21"/>
              </w:rPr>
              <w:t> 感染或艾滋病、感染、肿瘤</w:t>
            </w:r>
            <w:r>
              <w:rPr>
                <w:spacing w:val="-24"/>
                <w:sz w:val="21"/>
              </w:rPr>
              <w:t>）</w:t>
            </w:r>
            <w:r>
              <w:rPr>
                <w:spacing w:val="-3"/>
                <w:sz w:val="21"/>
              </w:rPr>
              <w:t>所致的原发性肾上腺皮质功能减退和继发性肾上腺皮质功能减退均不在保障范围内。</w:t>
            </w:r>
          </w:p>
        </w:tc>
      </w:tr>
      <w:tr>
        <w:trPr>
          <w:trHeight w:val="2621" w:hRule="atLeast"/>
        </w:trPr>
        <w:tc>
          <w:tcPr>
            <w:tcW w:w="745" w:type="dxa"/>
          </w:tcPr>
          <w:p>
            <w:pPr>
              <w:pStyle w:val="TableParagraph"/>
              <w:spacing w:before="4"/>
              <w:rPr>
                <w:sz w:val="22"/>
              </w:rPr>
            </w:pPr>
          </w:p>
          <w:p>
            <w:pPr>
              <w:pStyle w:val="TableParagraph"/>
              <w:ind w:left="200"/>
              <w:rPr>
                <w:b/>
                <w:sz w:val="21"/>
              </w:rPr>
            </w:pPr>
            <w:r>
              <w:rPr>
                <w:b/>
                <w:sz w:val="21"/>
              </w:rPr>
              <w:t>25</w:t>
            </w:r>
          </w:p>
        </w:tc>
        <w:tc>
          <w:tcPr>
            <w:tcW w:w="2035" w:type="dxa"/>
          </w:tcPr>
          <w:p>
            <w:pPr>
              <w:pStyle w:val="TableParagraph"/>
              <w:spacing w:before="4"/>
              <w:rPr>
                <w:sz w:val="20"/>
              </w:rPr>
            </w:pPr>
          </w:p>
          <w:p>
            <w:pPr>
              <w:pStyle w:val="TableParagraph"/>
              <w:spacing w:line="232" w:lineRule="auto"/>
              <w:ind w:left="333" w:right="203"/>
              <w:rPr>
                <w:rFonts w:ascii="等线" w:eastAsia="等线" w:hint="eastAsia"/>
                <w:b/>
                <w:sz w:val="24"/>
              </w:rPr>
            </w:pPr>
            <w:r>
              <w:rPr>
                <w:rFonts w:ascii="等线" w:eastAsia="等线" w:hint="eastAsia"/>
                <w:b/>
                <w:sz w:val="24"/>
              </w:rPr>
              <w:t>严重的骨髓增生异常综合征</w:t>
            </w:r>
          </w:p>
        </w:tc>
        <w:tc>
          <w:tcPr>
            <w:tcW w:w="7292" w:type="dxa"/>
          </w:tcPr>
          <w:p>
            <w:pPr>
              <w:pStyle w:val="TableParagraph"/>
              <w:spacing w:before="4"/>
              <w:rPr>
                <w:sz w:val="22"/>
              </w:rPr>
            </w:pPr>
          </w:p>
          <w:p>
            <w:pPr>
              <w:pStyle w:val="TableParagraph"/>
              <w:rPr>
                <w:sz w:val="21"/>
              </w:rPr>
            </w:pPr>
            <w:r>
              <w:rPr>
                <w:sz w:val="21"/>
              </w:rPr>
              <w:t>指起源于造血干细胞的一组骨髓克隆增生异常的疾病，符合世界卫生组织</w:t>
            </w:r>
          </w:p>
          <w:p>
            <w:pPr>
              <w:pStyle w:val="TableParagraph"/>
              <w:spacing w:line="273" w:lineRule="auto" w:before="36"/>
              <w:ind w:right="306"/>
              <w:jc w:val="both"/>
              <w:rPr>
                <w:sz w:val="21"/>
              </w:rPr>
            </w:pPr>
            <w:r>
              <w:rPr>
                <w:spacing w:val="1"/>
                <w:w w:val="100"/>
                <w:sz w:val="21"/>
              </w:rPr>
              <w:t>（</w:t>
            </w:r>
            <w:r>
              <w:rPr>
                <w:w w:val="100"/>
                <w:sz w:val="21"/>
              </w:rPr>
              <w:t>W</w:t>
            </w:r>
            <w:r>
              <w:rPr>
                <w:spacing w:val="-3"/>
                <w:w w:val="100"/>
                <w:sz w:val="21"/>
              </w:rPr>
              <w:t>H</w:t>
            </w:r>
            <w:r>
              <w:rPr>
                <w:w w:val="100"/>
                <w:sz w:val="21"/>
              </w:rPr>
              <w:t>O</w:t>
            </w:r>
            <w:r>
              <w:rPr>
                <w:spacing w:val="1"/>
                <w:w w:val="100"/>
                <w:sz w:val="21"/>
              </w:rPr>
              <w:t>）</w:t>
            </w:r>
            <w:r>
              <w:rPr>
                <w:spacing w:val="-1"/>
                <w:w w:val="100"/>
                <w:sz w:val="21"/>
              </w:rPr>
              <w:t>分型方案中的、难治性贫血伴原始细胞增多-</w:t>
            </w:r>
            <w:r>
              <w:rPr>
                <w:spacing w:val="1"/>
                <w:w w:val="100"/>
                <w:sz w:val="21"/>
              </w:rPr>
              <w:t>1</w:t>
            </w:r>
            <w:r>
              <w:rPr>
                <w:w w:val="100"/>
                <w:sz w:val="21"/>
              </w:rPr>
              <w:t>（RAEB</w:t>
            </w:r>
            <w:r>
              <w:rPr>
                <w:spacing w:val="-3"/>
                <w:w w:val="100"/>
                <w:sz w:val="21"/>
              </w:rPr>
              <w:t>-</w:t>
            </w:r>
            <w:r>
              <w:rPr>
                <w:w w:val="100"/>
                <w:sz w:val="21"/>
              </w:rPr>
              <w:t>1</w:t>
            </w:r>
            <w:r>
              <w:rPr>
                <w:spacing w:val="-104"/>
                <w:w w:val="100"/>
                <w:sz w:val="21"/>
              </w:rPr>
              <w:t>）</w:t>
            </w:r>
            <w:r>
              <w:rPr>
                <w:w w:val="100"/>
                <w:sz w:val="21"/>
              </w:rPr>
              <w:t>、难治性贫</w:t>
            </w:r>
            <w:r>
              <w:rPr>
                <w:spacing w:val="-3"/>
                <w:w w:val="100"/>
                <w:sz w:val="21"/>
              </w:rPr>
              <w:t>血伴原始细胞增多-2</w:t>
            </w:r>
            <w:r>
              <w:rPr>
                <w:w w:val="100"/>
                <w:sz w:val="21"/>
              </w:rPr>
              <w:t>（R</w:t>
            </w:r>
            <w:r>
              <w:rPr>
                <w:spacing w:val="-3"/>
                <w:w w:val="100"/>
                <w:sz w:val="21"/>
              </w:rPr>
              <w:t>AE</w:t>
            </w:r>
            <w:r>
              <w:rPr>
                <w:spacing w:val="-1"/>
                <w:w w:val="100"/>
                <w:sz w:val="21"/>
              </w:rPr>
              <w:t>B</w:t>
            </w:r>
            <w:r>
              <w:rPr>
                <w:w w:val="100"/>
                <w:sz w:val="21"/>
              </w:rPr>
              <w:t>-2</w:t>
            </w:r>
            <w:r>
              <w:rPr>
                <w:spacing w:val="-106"/>
                <w:w w:val="100"/>
                <w:sz w:val="21"/>
              </w:rPr>
              <w:t>）</w:t>
            </w:r>
            <w:r>
              <w:rPr>
                <w:spacing w:val="-3"/>
                <w:w w:val="100"/>
                <w:sz w:val="21"/>
              </w:rPr>
              <w:t>、</w:t>
            </w:r>
            <w:r>
              <w:rPr>
                <w:w w:val="100"/>
                <w:sz w:val="21"/>
              </w:rPr>
              <w:t>MDS</w:t>
            </w:r>
            <w:r>
              <w:rPr>
                <w:spacing w:val="-3"/>
                <w:w w:val="100"/>
                <w:sz w:val="21"/>
              </w:rPr>
              <w:t>-未分类（</w:t>
            </w:r>
            <w:r>
              <w:rPr>
                <w:w w:val="100"/>
                <w:sz w:val="21"/>
              </w:rPr>
              <w:t>MDS</w:t>
            </w:r>
            <w:r>
              <w:rPr>
                <w:spacing w:val="-3"/>
                <w:w w:val="100"/>
                <w:sz w:val="21"/>
              </w:rPr>
              <w:t>-U</w:t>
            </w:r>
            <w:r>
              <w:rPr>
                <w:spacing w:val="-106"/>
                <w:w w:val="100"/>
                <w:sz w:val="21"/>
              </w:rPr>
              <w:t>）</w:t>
            </w:r>
            <w:r>
              <w:rPr>
                <w:w w:val="100"/>
                <w:sz w:val="21"/>
              </w:rPr>
              <w:t>、M</w:t>
            </w:r>
            <w:r>
              <w:rPr>
                <w:spacing w:val="-3"/>
                <w:w w:val="100"/>
                <w:sz w:val="21"/>
              </w:rPr>
              <w:t>D</w:t>
            </w:r>
            <w:r>
              <w:rPr>
                <w:w w:val="100"/>
                <w:sz w:val="21"/>
              </w:rPr>
              <w:t>S</w:t>
            </w:r>
            <w:r>
              <w:rPr>
                <w:spacing w:val="-26"/>
                <w:sz w:val="21"/>
              </w:rPr>
              <w:t> </w:t>
            </w:r>
            <w:r>
              <w:rPr>
                <w:spacing w:val="-2"/>
                <w:w w:val="100"/>
                <w:sz w:val="21"/>
              </w:rPr>
              <w:t>伴单纯</w:t>
            </w:r>
            <w:r>
              <w:rPr>
                <w:spacing w:val="-26"/>
                <w:sz w:val="21"/>
              </w:rPr>
              <w:t> </w:t>
            </w:r>
            <w:r>
              <w:rPr>
                <w:spacing w:val="-3"/>
                <w:w w:val="100"/>
                <w:sz w:val="21"/>
              </w:rPr>
              <w:t>5</w:t>
            </w:r>
            <w:r>
              <w:rPr>
                <w:w w:val="100"/>
                <w:sz w:val="21"/>
              </w:rPr>
              <w:t>q-</w:t>
            </w:r>
            <w:r>
              <w:rPr>
                <w:spacing w:val="-3"/>
                <w:w w:val="100"/>
                <w:sz w:val="21"/>
              </w:rPr>
              <w:t>，且</w:t>
            </w:r>
            <w:r>
              <w:rPr>
                <w:spacing w:val="-3"/>
                <w:sz w:val="21"/>
              </w:rPr>
              <w:t>需满足下列所有条件：</w:t>
            </w:r>
          </w:p>
          <w:p>
            <w:pPr>
              <w:pStyle w:val="TableParagraph"/>
              <w:spacing w:before="7"/>
              <w:rPr>
                <w:sz w:val="21"/>
              </w:rPr>
            </w:pPr>
            <w:r>
              <w:rPr>
                <w:sz w:val="21"/>
              </w:rPr>
              <w:t>（1）骨髓穿刺或骨髓活检结果支持诊断；</w:t>
            </w:r>
          </w:p>
          <w:p>
            <w:pPr>
              <w:pStyle w:val="TableParagraph"/>
              <w:spacing w:line="273" w:lineRule="auto" w:before="37"/>
              <w:ind w:right="1724"/>
              <w:rPr>
                <w:sz w:val="21"/>
              </w:rPr>
            </w:pPr>
            <w:r>
              <w:rPr>
                <w:sz w:val="21"/>
              </w:rPr>
              <w:t>（2）已持续接受一个月以上的化疗或已接受骨髓移植治疗。此病症须经专科医生明确诊断。</w:t>
            </w:r>
          </w:p>
        </w:tc>
      </w:tr>
      <w:tr>
        <w:trPr>
          <w:trHeight w:val="1531" w:hRule="atLeast"/>
        </w:trPr>
        <w:tc>
          <w:tcPr>
            <w:tcW w:w="745" w:type="dxa"/>
          </w:tcPr>
          <w:p>
            <w:pPr>
              <w:pStyle w:val="TableParagraph"/>
              <w:spacing w:before="138"/>
              <w:ind w:left="200"/>
              <w:rPr>
                <w:b/>
                <w:sz w:val="21"/>
              </w:rPr>
            </w:pPr>
            <w:r>
              <w:rPr>
                <w:b/>
                <w:sz w:val="21"/>
              </w:rPr>
              <w:t>26</w:t>
            </w:r>
          </w:p>
        </w:tc>
        <w:tc>
          <w:tcPr>
            <w:tcW w:w="2035" w:type="dxa"/>
          </w:tcPr>
          <w:p>
            <w:pPr>
              <w:pStyle w:val="TableParagraph"/>
              <w:spacing w:before="102"/>
              <w:ind w:left="333"/>
              <w:rPr>
                <w:rFonts w:ascii="等线" w:eastAsia="等线" w:hint="eastAsia"/>
                <w:b/>
                <w:sz w:val="24"/>
              </w:rPr>
            </w:pPr>
            <w:r>
              <w:rPr>
                <w:rFonts w:ascii="等线" w:eastAsia="等线" w:hint="eastAsia"/>
                <w:b/>
                <w:sz w:val="24"/>
              </w:rPr>
              <w:t>骨髓纤维化</w:t>
            </w:r>
          </w:p>
        </w:tc>
        <w:tc>
          <w:tcPr>
            <w:tcW w:w="7292" w:type="dxa"/>
          </w:tcPr>
          <w:p>
            <w:pPr>
              <w:pStyle w:val="TableParagraph"/>
              <w:spacing w:line="273" w:lineRule="auto" w:before="138"/>
              <w:ind w:right="305"/>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ind w:left="-1"/>
              <w:jc w:val="both"/>
              <w:rPr>
                <w:sz w:val="21"/>
              </w:rPr>
            </w:pPr>
            <w:r>
              <w:rPr>
                <w:sz w:val="21"/>
              </w:rPr>
              <w:t>此病症须经专科医生明确诊断，并需提供骨髓穿刺检查诊断报告。</w:t>
            </w:r>
          </w:p>
        </w:tc>
      </w:tr>
      <w:tr>
        <w:trPr>
          <w:trHeight w:val="908" w:hRule="atLeast"/>
        </w:trPr>
        <w:tc>
          <w:tcPr>
            <w:tcW w:w="745" w:type="dxa"/>
          </w:tcPr>
          <w:p>
            <w:pPr>
              <w:pStyle w:val="TableParagraph"/>
              <w:spacing w:before="138"/>
              <w:ind w:left="200"/>
              <w:rPr>
                <w:b/>
                <w:sz w:val="21"/>
              </w:rPr>
            </w:pPr>
            <w:r>
              <w:rPr>
                <w:b/>
                <w:sz w:val="21"/>
              </w:rPr>
              <w:t>27</w:t>
            </w:r>
          </w:p>
        </w:tc>
        <w:tc>
          <w:tcPr>
            <w:tcW w:w="2035" w:type="dxa"/>
          </w:tcPr>
          <w:p>
            <w:pPr>
              <w:pStyle w:val="TableParagraph"/>
              <w:spacing w:before="102"/>
              <w:ind w:left="333"/>
              <w:rPr>
                <w:rFonts w:ascii="等线" w:eastAsia="等线" w:hint="eastAsia"/>
                <w:b/>
                <w:sz w:val="24"/>
              </w:rPr>
            </w:pPr>
            <w:r>
              <w:rPr>
                <w:rFonts w:ascii="等线" w:eastAsia="等线" w:hint="eastAsia"/>
                <w:b/>
                <w:sz w:val="24"/>
              </w:rPr>
              <w:t>小肠移植</w:t>
            </w:r>
          </w:p>
        </w:tc>
        <w:tc>
          <w:tcPr>
            <w:tcW w:w="7292" w:type="dxa"/>
          </w:tcPr>
          <w:p>
            <w:pPr>
              <w:pStyle w:val="TableParagraph"/>
              <w:spacing w:line="273" w:lineRule="auto" w:before="138"/>
              <w:ind w:right="305"/>
              <w:rPr>
                <w:sz w:val="21"/>
              </w:rPr>
            </w:pPr>
            <w:r>
              <w:rPr>
                <w:sz w:val="21"/>
              </w:rPr>
              <w:t>指因肠道疾病或外伤，已经实施了在全身麻醉下进行的小肠的异体器官移植手术。此手术必须由专科医生认为是医学上必需的情况下进行。</w:t>
            </w:r>
          </w:p>
        </w:tc>
      </w:tr>
      <w:tr>
        <w:trPr>
          <w:trHeight w:val="925" w:hRule="atLeast"/>
        </w:trPr>
        <w:tc>
          <w:tcPr>
            <w:tcW w:w="745" w:type="dxa"/>
          </w:tcPr>
          <w:p>
            <w:pPr>
              <w:pStyle w:val="TableParagraph"/>
              <w:spacing w:before="139"/>
              <w:ind w:left="200"/>
              <w:rPr>
                <w:b/>
                <w:sz w:val="21"/>
              </w:rPr>
            </w:pPr>
            <w:r>
              <w:rPr>
                <w:b/>
                <w:sz w:val="21"/>
              </w:rPr>
              <w:t>28</w:t>
            </w:r>
          </w:p>
        </w:tc>
        <w:tc>
          <w:tcPr>
            <w:tcW w:w="2035" w:type="dxa"/>
          </w:tcPr>
          <w:p>
            <w:pPr>
              <w:pStyle w:val="TableParagraph"/>
              <w:spacing w:line="232" w:lineRule="auto" w:before="113"/>
              <w:ind w:left="333" w:right="203"/>
              <w:rPr>
                <w:rFonts w:ascii="等线" w:eastAsia="等线" w:hint="eastAsia"/>
                <w:b/>
                <w:sz w:val="24"/>
              </w:rPr>
            </w:pPr>
            <w:r>
              <w:rPr>
                <w:rFonts w:ascii="等线" w:eastAsia="等线" w:hint="eastAsia"/>
                <w:b/>
                <w:sz w:val="24"/>
              </w:rPr>
              <w:t>弥漫性血管内凝血</w:t>
            </w:r>
          </w:p>
        </w:tc>
        <w:tc>
          <w:tcPr>
            <w:tcW w:w="7292" w:type="dxa"/>
          </w:tcPr>
          <w:p>
            <w:pPr>
              <w:pStyle w:val="TableParagraph"/>
              <w:spacing w:line="273" w:lineRule="auto" w:before="139"/>
              <w:ind w:right="305"/>
              <w:rPr>
                <w:sz w:val="21"/>
              </w:rPr>
            </w:pPr>
            <w:r>
              <w:rPr>
                <w:sz w:val="21"/>
              </w:rPr>
              <w:t>指血液凝固系统和纤溶系统的过度活动导致微血管血栓形成、血小板及凝血因子耗竭和严重出血，需要输注血浆和浓缩血小板进行治疗。</w:t>
            </w:r>
          </w:p>
        </w:tc>
      </w:tr>
      <w:tr>
        <w:trPr>
          <w:trHeight w:val="2472" w:hRule="atLeast"/>
        </w:trPr>
        <w:tc>
          <w:tcPr>
            <w:tcW w:w="745" w:type="dxa"/>
          </w:tcPr>
          <w:p>
            <w:pPr>
              <w:pStyle w:val="TableParagraph"/>
              <w:spacing w:before="133"/>
              <w:ind w:left="200"/>
              <w:rPr>
                <w:b/>
                <w:sz w:val="21"/>
              </w:rPr>
            </w:pPr>
            <w:r>
              <w:rPr>
                <w:b/>
                <w:sz w:val="21"/>
              </w:rPr>
              <w:t>29</w:t>
            </w:r>
          </w:p>
        </w:tc>
        <w:tc>
          <w:tcPr>
            <w:tcW w:w="2035" w:type="dxa"/>
          </w:tcPr>
          <w:p>
            <w:pPr>
              <w:pStyle w:val="TableParagraph"/>
              <w:spacing w:line="232" w:lineRule="auto" w:before="107"/>
              <w:ind w:left="333" w:right="203"/>
              <w:rPr>
                <w:rFonts w:ascii="等线" w:eastAsia="等线" w:hint="eastAsia"/>
                <w:b/>
                <w:sz w:val="24"/>
              </w:rPr>
            </w:pPr>
            <w:r>
              <w:rPr>
                <w:rFonts w:ascii="等线" w:eastAsia="等线" w:hint="eastAsia"/>
                <w:b/>
                <w:sz w:val="24"/>
              </w:rPr>
              <w:t>严重的原发性硬化性胆管炎</w:t>
            </w:r>
          </w:p>
        </w:tc>
        <w:tc>
          <w:tcPr>
            <w:tcW w:w="7292" w:type="dxa"/>
          </w:tcPr>
          <w:p>
            <w:pPr>
              <w:pStyle w:val="TableParagraph"/>
              <w:spacing w:line="273" w:lineRule="auto" w:before="133"/>
              <w:ind w:right="198"/>
              <w:rPr>
                <w:sz w:val="21"/>
              </w:rPr>
            </w:pPr>
            <w:r>
              <w:rPr>
                <w:spacing w:val="-8"/>
                <w:sz w:val="21"/>
              </w:rPr>
              <w:t>指一种胆汁淤积综合征，其特征是肝内、肝外胆道因纤维化性炎症逐渐狭窄， 并最终导致完全阻塞而发展为肝硬化。须经内镜逆行胰胆管造影等影像学检</w:t>
            </w:r>
            <w:r>
              <w:rPr>
                <w:spacing w:val="-5"/>
                <w:sz w:val="21"/>
              </w:rPr>
              <w:t>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before="36"/>
              <w:rPr>
                <w:sz w:val="21"/>
              </w:rPr>
            </w:pPr>
            <w:r>
              <w:rPr>
                <w:sz w:val="21"/>
                <w:shd w:fill="DADADA" w:color="auto" w:val="clear"/>
              </w:rPr>
              <w:t>因肿瘤或胆管损伤等继发性的硬化性胆管炎不在保障范围内。</w:t>
            </w:r>
          </w:p>
        </w:tc>
      </w:tr>
      <w:tr>
        <w:trPr>
          <w:trHeight w:val="599" w:hRule="atLeast"/>
        </w:trPr>
        <w:tc>
          <w:tcPr>
            <w:tcW w:w="745" w:type="dxa"/>
          </w:tcPr>
          <w:p>
            <w:pPr>
              <w:pStyle w:val="TableParagraph"/>
              <w:rPr>
                <w:rFonts w:ascii="Times New Roman"/>
                <w:sz w:val="20"/>
              </w:rPr>
            </w:pPr>
          </w:p>
        </w:tc>
        <w:tc>
          <w:tcPr>
            <w:tcW w:w="2035" w:type="dxa"/>
          </w:tcPr>
          <w:p>
            <w:pPr>
              <w:pStyle w:val="TableParagraph"/>
              <w:spacing w:before="128"/>
              <w:ind w:left="333"/>
              <w:rPr>
                <w:b/>
                <w:sz w:val="21"/>
              </w:rPr>
            </w:pPr>
            <w:r>
              <w:rPr>
                <w:b/>
                <w:sz w:val="21"/>
              </w:rPr>
              <w:t>第 2 组：</w:t>
            </w:r>
          </w:p>
        </w:tc>
        <w:tc>
          <w:tcPr>
            <w:tcW w:w="7292" w:type="dxa"/>
          </w:tcPr>
          <w:p>
            <w:pPr>
              <w:pStyle w:val="TableParagraph"/>
              <w:spacing w:before="128"/>
              <w:rPr>
                <w:b/>
                <w:sz w:val="21"/>
              </w:rPr>
            </w:pPr>
            <w:r>
              <w:rPr>
                <w:b/>
                <w:sz w:val="21"/>
              </w:rPr>
              <w:t>心血管相关类重疾及其他（24 种）</w:t>
            </w:r>
          </w:p>
        </w:tc>
      </w:tr>
      <w:tr>
        <w:trPr>
          <w:trHeight w:val="2299" w:hRule="atLeast"/>
        </w:trPr>
        <w:tc>
          <w:tcPr>
            <w:tcW w:w="745" w:type="dxa"/>
          </w:tcPr>
          <w:p>
            <w:pPr>
              <w:pStyle w:val="TableParagraph"/>
              <w:spacing w:before="152"/>
              <w:ind w:left="200"/>
              <w:rPr>
                <w:b/>
                <w:sz w:val="21"/>
              </w:rPr>
            </w:pPr>
            <w:r>
              <w:rPr>
                <w:b/>
                <w:sz w:val="21"/>
              </w:rPr>
              <w:t>30</w:t>
            </w:r>
          </w:p>
        </w:tc>
        <w:tc>
          <w:tcPr>
            <w:tcW w:w="2035" w:type="dxa"/>
          </w:tcPr>
          <w:p>
            <w:pPr>
              <w:pStyle w:val="TableParagraph"/>
              <w:spacing w:before="116"/>
              <w:ind w:left="333"/>
              <w:rPr>
                <w:rFonts w:ascii="等线" w:eastAsia="等线" w:hint="eastAsia"/>
                <w:b/>
                <w:sz w:val="24"/>
              </w:rPr>
            </w:pPr>
            <w:r>
              <w:rPr>
                <w:rFonts w:ascii="等线" w:eastAsia="等线" w:hint="eastAsia"/>
                <w:b/>
                <w:w w:val="105"/>
                <w:sz w:val="24"/>
              </w:rPr>
              <w:t>急性心ft梗塞</w:t>
            </w:r>
          </w:p>
        </w:tc>
        <w:tc>
          <w:tcPr>
            <w:tcW w:w="7292" w:type="dxa"/>
          </w:tcPr>
          <w:p>
            <w:pPr>
              <w:pStyle w:val="TableParagraph"/>
              <w:spacing w:line="273" w:lineRule="auto" w:before="152"/>
              <w:ind w:right="305"/>
              <w:rPr>
                <w:sz w:val="21"/>
              </w:rPr>
            </w:pPr>
            <w:r>
              <w:rPr>
                <w:sz w:val="21"/>
              </w:rPr>
              <w:t>指因冠状动脉阻塞导致的相应区域供血不足造成部分心肌坏死。须满足下列至少三项条件：</w:t>
            </w:r>
          </w:p>
          <w:p>
            <w:pPr>
              <w:pStyle w:val="TableParagraph"/>
              <w:spacing w:before="7"/>
              <w:ind w:left="-1"/>
              <w:rPr>
                <w:sz w:val="21"/>
              </w:rPr>
            </w:pPr>
            <w:r>
              <w:rPr>
                <w:sz w:val="21"/>
              </w:rPr>
              <w:t>（1）典型临床表现，例如急性胸痛等；</w:t>
            </w:r>
          </w:p>
          <w:p>
            <w:pPr>
              <w:pStyle w:val="TableParagraph"/>
              <w:spacing w:before="37"/>
              <w:ind w:left="-1"/>
              <w:rPr>
                <w:sz w:val="21"/>
              </w:rPr>
            </w:pPr>
            <w:r>
              <w:rPr>
                <w:sz w:val="21"/>
              </w:rPr>
              <w:t>（2）新近的心电图改变提示急性心肌梗塞；</w:t>
            </w:r>
          </w:p>
          <w:p>
            <w:pPr>
              <w:pStyle w:val="TableParagraph"/>
              <w:spacing w:line="273" w:lineRule="auto" w:before="37"/>
              <w:ind w:left="525" w:right="248" w:hanging="526"/>
              <w:rPr>
                <w:sz w:val="21"/>
              </w:rPr>
            </w:pPr>
            <w:r>
              <w:rPr>
                <w:sz w:val="21"/>
              </w:rPr>
              <w:t>（3）心肌酶或肌钙蛋白有诊断意义的升高，或呈符合急性心肌梗塞的动态性变化；</w:t>
            </w:r>
          </w:p>
          <w:p>
            <w:pPr>
              <w:pStyle w:val="TableParagraph"/>
              <w:spacing w:line="255" w:lineRule="exact" w:before="8"/>
              <w:rPr>
                <w:sz w:val="21"/>
              </w:rPr>
            </w:pPr>
            <w:r>
              <w:rPr>
                <w:spacing w:val="-25"/>
                <w:sz w:val="21"/>
              </w:rPr>
              <w:t>（4）</w:t>
            </w:r>
            <w:r>
              <w:rPr>
                <w:spacing w:val="-15"/>
                <w:sz w:val="21"/>
              </w:rPr>
              <w:t>发病 </w:t>
            </w:r>
            <w:r>
              <w:rPr>
                <w:sz w:val="21"/>
              </w:rPr>
              <w:t>90</w:t>
            </w:r>
            <w:r>
              <w:rPr>
                <w:spacing w:val="-18"/>
                <w:sz w:val="21"/>
              </w:rPr>
              <w:t> 日后，经检查证实左心室功能降低，如左心室射血分数低于 </w:t>
            </w:r>
            <w:r>
              <w:rPr>
                <w:sz w:val="21"/>
              </w:rPr>
              <w:t>50%。</w:t>
            </w:r>
          </w:p>
        </w:tc>
      </w:tr>
    </w:tbl>
    <w:p>
      <w:pPr>
        <w:rPr>
          <w:sz w:val="2"/>
          <w:szCs w:val="2"/>
        </w:rPr>
      </w:pPr>
      <w:r>
        <w:rPr/>
        <w:pict>
          <v:shape style="position:absolute;margin-left:198.840012pt;margin-top:151.200943pt;width:349.2pt;height:44.9pt;mso-position-horizontal-relative:page;mso-position-vertical-relative:page;z-index:-62512" coordorigin="3977,3024" coordsize="6984,898" path="m10699,3648l3977,3648,3977,3922,10699,3922,10699,3648m10961,3336l3977,3336,3977,3610,10961,3610,10961,3336m10961,3024l3977,3024,3977,3298,10961,3298,10961,3024e" filled="true" fillcolor="#dadada" stroked="false">
            <v:path arrowok="t"/>
            <v:fill type="solid"/>
            <w10:wrap type="none"/>
          </v:shape>
        </w:pict>
      </w:r>
    </w:p>
    <w:p>
      <w:pPr>
        <w:spacing w:after="0"/>
        <w:rPr>
          <w:sz w:val="2"/>
          <w:szCs w:val="2"/>
        </w:rPr>
        <w:sectPr>
          <w:pgSz w:w="11910" w:h="16840"/>
          <w:pgMar w:top="1160" w:bottom="280" w:left="1080" w:right="520"/>
        </w:sectPr>
      </w:pPr>
    </w:p>
    <w:p>
      <w:pPr>
        <w:pStyle w:val="ListParagraph"/>
        <w:numPr>
          <w:ilvl w:val="0"/>
          <w:numId w:val="2"/>
        </w:numPr>
        <w:tabs>
          <w:tab w:pos="1355" w:val="left" w:leader="none"/>
          <w:tab w:pos="1356" w:val="left" w:leader="none"/>
          <w:tab w:pos="3056" w:val="left" w:leader="none"/>
        </w:tabs>
        <w:spacing w:line="240" w:lineRule="auto" w:before="5" w:after="0"/>
        <w:ind w:left="3056" w:right="0" w:hanging="2580"/>
        <w:jc w:val="left"/>
        <w:rPr>
          <w:sz w:val="21"/>
        </w:rPr>
      </w:pPr>
      <w:r>
        <w:rPr>
          <w:rFonts w:ascii="等线" w:eastAsia="等线" w:hint="eastAsia"/>
          <w:b/>
          <w:position w:val="1"/>
          <w:sz w:val="24"/>
        </w:rPr>
        <w:t>心脏瓣膜手术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56"/>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r>
        <w:rPr>
          <w:spacing w:val="-3"/>
          <w:sz w:val="21"/>
        </w:rPr>
        <w:t>术</w:t>
      </w:r>
      <w:r>
        <w:rPr>
          <w:sz w:val="21"/>
        </w:rPr>
        <w:t>。</w:t>
      </w:r>
    </w:p>
    <w:p>
      <w:pPr>
        <w:pStyle w:val="BodyText"/>
        <w:spacing w:before="2"/>
        <w:rPr>
          <w:sz w:val="25"/>
        </w:rPr>
      </w:pPr>
    </w:p>
    <w:p>
      <w:pPr>
        <w:pStyle w:val="ListParagraph"/>
        <w:numPr>
          <w:ilvl w:val="0"/>
          <w:numId w:val="2"/>
        </w:numPr>
        <w:tabs>
          <w:tab w:pos="1355" w:val="left" w:leader="none"/>
          <w:tab w:pos="1356" w:val="left" w:leader="none"/>
          <w:tab w:pos="3056" w:val="left" w:leader="none"/>
        </w:tabs>
        <w:spacing w:line="254" w:lineRule="auto" w:before="0" w:after="0"/>
        <w:ind w:left="3056" w:right="223" w:hanging="2580"/>
        <w:jc w:val="left"/>
        <w:rPr>
          <w:sz w:val="21"/>
        </w:rPr>
      </w:pPr>
      <w:r>
        <w:rPr>
          <w:rFonts w:ascii="等线" w:eastAsia="等线" w:hint="eastAsia"/>
          <w:b/>
          <w:position w:val="1"/>
          <w:sz w:val="24"/>
        </w:rPr>
        <w:t>主动脉手术</w:t>
        <w:tab/>
      </w:r>
      <w:r>
        <w:rPr>
          <w:sz w:val="21"/>
        </w:rPr>
        <w:t>指为治疗主动脉疾病，实际实施了开胸或开腹进行的切除、置换、修补病损 主动</w:t>
      </w:r>
      <w:r>
        <w:rPr>
          <w:spacing w:val="-3"/>
          <w:sz w:val="21"/>
        </w:rPr>
        <w:t>脉</w:t>
      </w:r>
      <w:r>
        <w:rPr>
          <w:sz w:val="21"/>
        </w:rPr>
        <w:t>血</w:t>
      </w:r>
      <w:r>
        <w:rPr>
          <w:spacing w:val="-3"/>
          <w:sz w:val="21"/>
        </w:rPr>
        <w:t>管</w:t>
      </w:r>
      <w:r>
        <w:rPr>
          <w:sz w:val="21"/>
        </w:rPr>
        <w:t>的</w:t>
      </w:r>
      <w:r>
        <w:rPr>
          <w:spacing w:val="-3"/>
          <w:sz w:val="21"/>
        </w:rPr>
        <w:t>手</w:t>
      </w:r>
      <w:r>
        <w:rPr>
          <w:sz w:val="21"/>
        </w:rPr>
        <w:t>术。</w:t>
      </w:r>
    </w:p>
    <w:p>
      <w:pPr>
        <w:pStyle w:val="BodyText"/>
        <w:spacing w:line="273" w:lineRule="auto" w:before="24"/>
        <w:ind w:left="3056" w:right="482"/>
      </w:pPr>
      <w:r>
        <w:rPr/>
        <w:t>主动脉指胸主动脉和腹主动脉，</w:t>
      </w:r>
      <w:r>
        <w:rPr>
          <w:shd w:fill="DADADA" w:color="auto" w:val="clear"/>
        </w:rPr>
        <w:t>不包括胸主动脉和腹主动脉的分支血管。动脉内血管成形术不在保障范围内。</w:t>
      </w:r>
    </w:p>
    <w:p>
      <w:pPr>
        <w:pStyle w:val="BodyText"/>
        <w:spacing w:before="4"/>
        <w:rPr>
          <w:sz w:val="22"/>
        </w:rPr>
      </w:pPr>
    </w:p>
    <w:p>
      <w:pPr>
        <w:spacing w:after="0"/>
        <w:rPr>
          <w:sz w:val="22"/>
        </w:rPr>
        <w:sectPr>
          <w:pgSz w:w="11910" w:h="16840"/>
          <w:pgMar w:top="1060" w:bottom="280" w:left="920" w:right="720"/>
        </w:sectPr>
      </w:pPr>
    </w:p>
    <w:p>
      <w:pPr>
        <w:pStyle w:val="Heading1"/>
        <w:numPr>
          <w:ilvl w:val="0"/>
          <w:numId w:val="2"/>
        </w:numPr>
        <w:tabs>
          <w:tab w:pos="1355" w:val="left" w:leader="none"/>
          <w:tab w:pos="1356" w:val="left" w:leader="none"/>
        </w:tabs>
        <w:spacing w:line="232" w:lineRule="auto" w:before="30" w:after="0"/>
        <w:ind w:left="1355" w:right="0" w:hanging="879"/>
        <w:jc w:val="left"/>
      </w:pPr>
      <w:r>
        <w:rPr>
          <w:spacing w:val="7"/>
          <w:position w:val="1"/>
        </w:rPr>
        <w:t>严重感染性心</w:t>
      </w:r>
      <w:r>
        <w:rPr/>
        <w:t>内膜炎</w:t>
      </w:r>
    </w:p>
    <w:p>
      <w:pPr>
        <w:pStyle w:val="BodyText"/>
        <w:spacing w:line="256" w:lineRule="auto" w:before="56"/>
        <w:ind w:left="163" w:right="223"/>
      </w:pPr>
      <w:r>
        <w:rPr/>
        <w:br w:type="column"/>
      </w:r>
      <w:r>
        <w:rPr/>
        <w:t>指因感染性微生物造成心脏内膜发炎，经由专科医生确诊，并符合下</w:t>
      </w:r>
      <w:r>
        <w:rPr>
          <w:rFonts w:ascii="Times New Roman" w:eastAsia="Times New Roman"/>
          <w:w w:val="110"/>
        </w:rPr>
        <w:t>列</w:t>
      </w:r>
      <w:r>
        <w:rPr/>
        <w:t>所有条件:</w:t>
      </w:r>
    </w:p>
    <w:p>
      <w:pPr>
        <w:pStyle w:val="BodyText"/>
        <w:spacing w:before="21"/>
        <w:ind w:left="163"/>
      </w:pPr>
      <w:r>
        <w:rPr/>
        <w:t>（1）以下方法之一血液培养测试结果为阳性，证实存在感染性微生物：</w:t>
      </w:r>
    </w:p>
    <w:p>
      <w:pPr>
        <w:pStyle w:val="BodyText"/>
        <w:tabs>
          <w:tab w:pos="691" w:val="left" w:leader="none"/>
        </w:tabs>
        <w:spacing w:before="36"/>
        <w:ind w:left="269"/>
      </w:pPr>
      <w:r>
        <w:rPr/>
        <w:t>①</w:t>
        <w:tab/>
      </w:r>
      <w:r>
        <w:rPr>
          <w:spacing w:val="-3"/>
        </w:rPr>
        <w:t>微生物：在赘生物或心脏内脓疡经培养或组织检查证实有微生物；</w:t>
      </w:r>
    </w:p>
    <w:p>
      <w:pPr>
        <w:pStyle w:val="BodyText"/>
        <w:tabs>
          <w:tab w:pos="691" w:val="left" w:leader="none"/>
        </w:tabs>
        <w:spacing w:before="36"/>
        <w:ind w:left="269"/>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91" w:val="left" w:leader="none"/>
        </w:tabs>
        <w:spacing w:before="20"/>
        <w:ind w:left="269"/>
      </w:pPr>
      <w:r>
        <w:rPr/>
        <w:t>③</w:t>
        <w:tab/>
      </w:r>
      <w:r>
        <w:rPr>
          <w:spacing w:val="-3"/>
        </w:rPr>
        <w:t>分别两次血液培养证实有微生物，且与心内膜炎符合。</w:t>
      </w:r>
    </w:p>
    <w:p>
      <w:pPr>
        <w:pStyle w:val="BodyText"/>
        <w:spacing w:line="273" w:lineRule="auto" w:before="36"/>
        <w:ind w:left="689" w:right="221" w:hanging="526"/>
      </w:pPr>
      <w:r>
        <w:rPr>
          <w:spacing w:val="-10"/>
        </w:rPr>
        <w:t>（2）</w:t>
      </w:r>
      <w:r>
        <w:rPr>
          <w:spacing w:val="-6"/>
        </w:rPr>
        <w:t>出现明显的心功能衰竭</w:t>
      </w:r>
      <w:r>
        <w:rPr/>
        <w:t>（</w:t>
      </w:r>
      <w:r>
        <w:rPr>
          <w:spacing w:val="-3"/>
        </w:rPr>
        <w:t>指按照美国纽约心脏病学会提出的心功能状态分级的标准判定，心功能状态已达Ⅳ级</w:t>
      </w:r>
      <w:r>
        <w:rPr>
          <w:spacing w:val="-108"/>
        </w:rPr>
        <w:t>）</w:t>
      </w:r>
      <w:r>
        <w:rPr/>
        <w:t>。</w:t>
      </w:r>
    </w:p>
    <w:p>
      <w:pPr>
        <w:spacing w:after="0" w:line="273" w:lineRule="auto"/>
        <w:sectPr>
          <w:type w:val="continuous"/>
          <w:pgSz w:w="11910" w:h="16840"/>
          <w:pgMar w:top="500" w:bottom="280" w:left="920" w:right="720"/>
          <w:cols w:num="2" w:equalWidth="0">
            <w:col w:w="2853" w:space="40"/>
            <w:col w:w="7377"/>
          </w:cols>
        </w:sectPr>
      </w:pPr>
    </w:p>
    <w:p>
      <w:pPr>
        <w:pStyle w:val="BodyText"/>
        <w:spacing w:before="12"/>
        <w:rPr>
          <w:sz w:val="29"/>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933"/>
        <w:gridCol w:w="7138"/>
      </w:tblGrid>
      <w:tr>
        <w:trPr>
          <w:trHeight w:val="282" w:hRule="atLeast"/>
        </w:trPr>
        <w:tc>
          <w:tcPr>
            <w:tcW w:w="595" w:type="dxa"/>
          </w:tcPr>
          <w:p>
            <w:pPr>
              <w:pStyle w:val="TableParagraph"/>
              <w:spacing w:line="231" w:lineRule="exact"/>
              <w:ind w:left="50"/>
              <w:rPr>
                <w:b/>
                <w:sz w:val="21"/>
              </w:rPr>
            </w:pPr>
            <w:r>
              <w:rPr>
                <w:b/>
                <w:sz w:val="21"/>
              </w:rPr>
              <w:t>34</w:t>
            </w:r>
          </w:p>
        </w:tc>
        <w:tc>
          <w:tcPr>
            <w:tcW w:w="1933" w:type="dxa"/>
          </w:tcPr>
          <w:p>
            <w:pPr>
              <w:pStyle w:val="TableParagraph"/>
              <w:spacing w:line="248" w:lineRule="exact"/>
              <w:ind w:left="333"/>
              <w:rPr>
                <w:rFonts w:ascii="等线" w:eastAsia="等线" w:hint="eastAsia"/>
                <w:b/>
                <w:sz w:val="24"/>
              </w:rPr>
            </w:pPr>
            <w:r>
              <w:rPr>
                <w:rFonts w:ascii="等线" w:eastAsia="等线" w:hint="eastAsia"/>
                <w:b/>
                <w:sz w:val="24"/>
              </w:rPr>
              <w:t>艾森门格综合</w:t>
            </w:r>
          </w:p>
        </w:tc>
        <w:tc>
          <w:tcPr>
            <w:tcW w:w="7138" w:type="dxa"/>
          </w:tcPr>
          <w:p>
            <w:pPr>
              <w:pStyle w:val="TableParagraph"/>
              <w:spacing w:line="231" w:lineRule="exact"/>
              <w:ind w:left="101"/>
              <w:rPr>
                <w:sz w:val="21"/>
              </w:rPr>
            </w:pPr>
            <w:r>
              <w:rPr>
                <w:sz w:val="21"/>
              </w:rPr>
              <w:t>指因心脏病导致的严重肺动脉高血压及右向左分流。诊断必须由专科医生经</w:t>
            </w:r>
          </w:p>
        </w:tc>
      </w:tr>
      <w:tr>
        <w:trPr>
          <w:trHeight w:val="622"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征</w:t>
            </w:r>
          </w:p>
        </w:tc>
        <w:tc>
          <w:tcPr>
            <w:tcW w:w="7138" w:type="dxa"/>
          </w:tcPr>
          <w:p>
            <w:pPr>
              <w:pStyle w:val="TableParagraph"/>
              <w:spacing w:line="260" w:lineRule="exact"/>
              <w:ind w:left="101"/>
              <w:rPr>
                <w:sz w:val="21"/>
              </w:rPr>
            </w:pPr>
            <w:r>
              <w:rPr>
                <w:sz w:val="21"/>
              </w:rPr>
              <w:t>超声心动图和心导管检查证实及需符合以下所有标准:</w:t>
            </w:r>
          </w:p>
          <w:p>
            <w:pPr>
              <w:pStyle w:val="TableParagraph"/>
              <w:spacing w:before="37"/>
              <w:ind w:left="101"/>
              <w:rPr>
                <w:sz w:val="21"/>
              </w:rPr>
            </w:pPr>
            <w:r>
              <w:rPr>
                <w:sz w:val="21"/>
              </w:rPr>
              <w:t>（1）平均肺动脉压高于 40mmHg；</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38" w:type="dxa"/>
          </w:tcPr>
          <w:p>
            <w:pPr>
              <w:pStyle w:val="TableParagraph"/>
              <w:spacing w:line="261" w:lineRule="exact"/>
              <w:ind w:left="101"/>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tc>
      </w:tr>
      <w:tr>
        <w:trPr>
          <w:trHeight w:val="47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38" w:type="dxa"/>
          </w:tcPr>
          <w:p>
            <w:pPr>
              <w:pStyle w:val="TableParagraph"/>
              <w:spacing w:line="261" w:lineRule="exact"/>
              <w:ind w:left="101"/>
              <w:rPr>
                <w:sz w:val="21"/>
              </w:rPr>
            </w:pPr>
            <w:r>
              <w:rPr>
                <w:sz w:val="21"/>
              </w:rPr>
              <w:t>（3）正常肺微血管楔压低于 15mmHg。</w:t>
            </w:r>
          </w:p>
        </w:tc>
      </w:tr>
      <w:tr>
        <w:trPr>
          <w:trHeight w:val="803" w:hRule="atLeast"/>
        </w:trPr>
        <w:tc>
          <w:tcPr>
            <w:tcW w:w="595" w:type="dxa"/>
          </w:tcPr>
          <w:p>
            <w:pPr>
              <w:pStyle w:val="TableParagraph"/>
              <w:spacing w:before="166"/>
              <w:ind w:left="50"/>
              <w:rPr>
                <w:b/>
                <w:sz w:val="21"/>
              </w:rPr>
            </w:pPr>
            <w:r>
              <w:rPr>
                <w:b/>
                <w:sz w:val="21"/>
              </w:rPr>
              <w:t>35</w:t>
            </w:r>
          </w:p>
        </w:tc>
        <w:tc>
          <w:tcPr>
            <w:tcW w:w="1933" w:type="dxa"/>
          </w:tcPr>
          <w:p>
            <w:pPr>
              <w:pStyle w:val="TableParagraph"/>
              <w:spacing w:before="130"/>
              <w:ind w:left="333"/>
              <w:rPr>
                <w:rFonts w:ascii="等线" w:eastAsia="等线" w:hint="eastAsia"/>
                <w:b/>
                <w:sz w:val="24"/>
              </w:rPr>
            </w:pPr>
            <w:r>
              <w:rPr>
                <w:rFonts w:ascii="等线" w:eastAsia="等线" w:hint="eastAsia"/>
                <w:b/>
                <w:sz w:val="24"/>
              </w:rPr>
              <w:t>严重冠心病</w:t>
            </w:r>
          </w:p>
        </w:tc>
        <w:tc>
          <w:tcPr>
            <w:tcW w:w="7138" w:type="dxa"/>
          </w:tcPr>
          <w:p>
            <w:pPr>
              <w:pStyle w:val="TableParagraph"/>
              <w:spacing w:line="273" w:lineRule="auto" w:before="166"/>
              <w:ind w:left="101" w:right="49"/>
              <w:rPr>
                <w:sz w:val="21"/>
              </w:rPr>
            </w:pPr>
            <w:r>
              <w:rPr>
                <w:sz w:val="21"/>
              </w:rPr>
              <w:t>指经冠状动脉造影检查明确诊断为主要血管严重狭窄性病变，须满足下列至少一项条件：</w:t>
            </w:r>
          </w:p>
        </w:tc>
      </w:tr>
      <w:tr>
        <w:trPr>
          <w:trHeight w:val="261" w:hRule="atLeast"/>
        </w:trPr>
        <w:tc>
          <w:tcPr>
            <w:tcW w:w="595" w:type="dxa"/>
          </w:tcPr>
          <w:p>
            <w:pPr>
              <w:pStyle w:val="TableParagraph"/>
              <w:rPr>
                <w:rFonts w:ascii="Times New Roman"/>
                <w:sz w:val="18"/>
              </w:rPr>
            </w:pPr>
          </w:p>
        </w:tc>
        <w:tc>
          <w:tcPr>
            <w:tcW w:w="1933" w:type="dxa"/>
          </w:tcPr>
          <w:p>
            <w:pPr>
              <w:pStyle w:val="TableParagraph"/>
              <w:rPr>
                <w:rFonts w:ascii="Times New Roman"/>
                <w:sz w:val="18"/>
              </w:rPr>
            </w:pPr>
          </w:p>
        </w:tc>
        <w:tc>
          <w:tcPr>
            <w:tcW w:w="7138" w:type="dxa"/>
          </w:tcPr>
          <w:p>
            <w:pPr>
              <w:pStyle w:val="TableParagraph"/>
              <w:spacing w:line="242" w:lineRule="exact"/>
              <w:ind w:left="101"/>
              <w:rPr>
                <w:sz w:val="21"/>
              </w:rPr>
            </w:pPr>
            <w:r>
              <w:rPr>
                <w:sz w:val="21"/>
              </w:rPr>
              <w:t>（1）左冠状动脉主干和右冠状动脉中，一支血管管腔堵塞 75%以上，另一支</w:t>
            </w:r>
          </w:p>
        </w:tc>
      </w:tr>
    </w:tbl>
    <w:p>
      <w:pPr>
        <w:pStyle w:val="BodyText"/>
        <w:spacing w:before="37"/>
        <w:ind w:left="3582"/>
      </w:pPr>
      <w:r>
        <w:rPr/>
        <w:t>血管管腔堵塞 60%以上；</w:t>
      </w:r>
    </w:p>
    <w:p>
      <w:pPr>
        <w:pStyle w:val="BodyText"/>
        <w:spacing w:line="273" w:lineRule="auto" w:before="37"/>
        <w:ind w:left="3582" w:right="159" w:hanging="526"/>
      </w:pPr>
      <w:r>
        <w:rPr/>
        <w:t>（2）左前降支、左旋支和右冠状动脉中，至少一支血管管腔堵塞 75%以上， 其他两支血管管腔堵塞 60%以上。</w:t>
      </w:r>
    </w:p>
    <w:p>
      <w:pPr>
        <w:pStyle w:val="BodyText"/>
        <w:spacing w:line="273" w:lineRule="auto" w:before="8"/>
        <w:ind w:left="3056" w:right="223"/>
      </w:pPr>
      <w:r>
        <w:rPr>
          <w:shd w:fill="DADADA" w:color="auto" w:val="clear"/>
        </w:rPr>
        <w:t>左前降支的分支血管、左旋支的分支血管及右冠状动脉的分支血管的狭窄不作为</w:t>
      </w:r>
      <w:r>
        <w:rPr>
          <w:spacing w:val="-212"/>
          <w:shd w:fill="DADADA" w:color="auto" w:val="clear"/>
        </w:rPr>
        <w:t>本</w:t>
      </w:r>
      <w:r>
        <w:rPr>
          <w:spacing w:val="-3"/>
          <w:shd w:fill="DADADA" w:color="auto" w:val="clear"/>
        </w:rPr>
        <w:t>保障的衡量指标。</w:t>
      </w:r>
    </w:p>
    <w:p>
      <w:pPr>
        <w:pStyle w:val="BodyText"/>
        <w:spacing w:before="4"/>
        <w:rPr>
          <w:sz w:val="22"/>
        </w:rPr>
      </w:pPr>
    </w:p>
    <w:p>
      <w:pPr>
        <w:spacing w:after="0"/>
        <w:rPr>
          <w:sz w:val="22"/>
        </w:rPr>
        <w:sectPr>
          <w:type w:val="continuous"/>
          <w:pgSz w:w="11910" w:h="16840"/>
          <w:pgMar w:top="500" w:bottom="280" w:left="920" w:right="720"/>
        </w:sectPr>
      </w:pPr>
    </w:p>
    <w:p>
      <w:pPr>
        <w:pStyle w:val="Heading1"/>
        <w:numPr>
          <w:ilvl w:val="0"/>
          <w:numId w:val="3"/>
        </w:numPr>
        <w:tabs>
          <w:tab w:pos="1355" w:val="left" w:leader="none"/>
          <w:tab w:pos="1356" w:val="left" w:leader="none"/>
        </w:tabs>
        <w:spacing w:line="232" w:lineRule="auto" w:before="30" w:after="0"/>
        <w:ind w:left="1355" w:right="0" w:hanging="879"/>
        <w:jc w:val="left"/>
      </w:pPr>
      <w:r>
        <w:rPr>
          <w:spacing w:val="7"/>
          <w:position w:val="1"/>
        </w:rPr>
        <w:t>严重原发性肺</w:t>
      </w:r>
      <w:r>
        <w:rPr/>
        <w:t>动脉高压</w:t>
      </w:r>
    </w:p>
    <w:p>
      <w:pPr>
        <w:pStyle w:val="BodyText"/>
        <w:spacing w:line="273" w:lineRule="auto" w:before="56"/>
        <w:ind w:left="163" w:right="218"/>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5">
        <w:r>
          <w:rPr>
            <w:rFonts w:ascii="黑体" w:eastAsia="黑体" w:hint="eastAsia"/>
            <w:b/>
            <w:position w:val="11"/>
            <w:sz w:val="11"/>
          </w:rPr>
          <w:t>16</w:t>
        </w:r>
      </w:hyperlink>
      <w:r>
        <w:rPr/>
        <w:t>性的体力活动能力受限，达到美国纽约心脏病学会</w:t>
      </w:r>
      <w:r>
        <w:rPr>
          <w:rFonts w:ascii="黑体" w:eastAsia="黑体" w:hint="eastAsia"/>
          <w:b/>
        </w:rPr>
        <w:t>心功能状态分级 </w:t>
      </w:r>
      <w:hyperlink w:history="true" w:anchor="_bookmark16">
        <w:r>
          <w:rPr>
            <w:rFonts w:ascii="黑体" w:eastAsia="黑体" w:hint="eastAsia"/>
            <w:b/>
            <w:position w:val="11"/>
            <w:sz w:val="11"/>
          </w:rPr>
          <w:t>17</w:t>
        </w:r>
      </w:hyperlink>
      <w:r>
        <w:rPr/>
        <w:t>IV 级，且静息状态下肺动脉平均压超过 30mmHg。</w:t>
      </w:r>
    </w:p>
    <w:p>
      <w:pPr>
        <w:spacing w:after="0" w:line="273" w:lineRule="auto"/>
        <w:jc w:val="both"/>
        <w:sectPr>
          <w:type w:val="continuous"/>
          <w:pgSz w:w="11910" w:h="16840"/>
          <w:pgMar w:top="500" w:bottom="280" w:left="920" w:right="720"/>
          <w:cols w:num="2" w:equalWidth="0">
            <w:col w:w="2853" w:space="40"/>
            <w:col w:w="7377"/>
          </w:cols>
        </w:sectPr>
      </w:pPr>
    </w:p>
    <w:p>
      <w:pPr>
        <w:pStyle w:val="BodyText"/>
        <w:rPr>
          <w:sz w:val="22"/>
        </w:rPr>
      </w:pPr>
    </w:p>
    <w:p>
      <w:pPr>
        <w:spacing w:after="0"/>
        <w:rPr>
          <w:sz w:val="22"/>
        </w:rPr>
        <w:sectPr>
          <w:type w:val="continuous"/>
          <w:pgSz w:w="11910" w:h="16840"/>
          <w:pgMar w:top="500" w:bottom="280" w:left="920" w:right="720"/>
        </w:sectPr>
      </w:pPr>
    </w:p>
    <w:p>
      <w:pPr>
        <w:pStyle w:val="Heading1"/>
        <w:numPr>
          <w:ilvl w:val="0"/>
          <w:numId w:val="3"/>
        </w:numPr>
        <w:tabs>
          <w:tab w:pos="1355" w:val="left" w:leader="none"/>
          <w:tab w:pos="1356" w:val="left" w:leader="none"/>
        </w:tabs>
        <w:spacing w:line="232" w:lineRule="auto" w:before="30" w:after="0"/>
        <w:ind w:left="1355" w:right="0" w:hanging="879"/>
        <w:jc w:val="left"/>
      </w:pPr>
      <w:r>
        <w:rPr>
          <w:spacing w:val="7"/>
          <w:position w:val="1"/>
        </w:rPr>
        <w:t>严重的原发性</w:t>
      </w:r>
      <w:r>
        <w:rPr>
          <w:w w:val="105"/>
        </w:rPr>
        <w:t>心ft病</w:t>
      </w:r>
    </w:p>
    <w:p>
      <w:pPr>
        <w:pStyle w:val="BodyText"/>
        <w:spacing w:line="273" w:lineRule="auto" w:before="56"/>
        <w:ind w:left="163" w:right="221"/>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w:t>
      </w:r>
      <w:r>
        <w:rPr>
          <w:spacing w:val="-7"/>
        </w:rPr>
        <w:t>的标准判定，心功能状态已达Ⅳ级</w:t>
      </w:r>
      <w:r>
        <w:rPr>
          <w:spacing w:val="-68"/>
        </w:rPr>
        <w:t>）</w:t>
      </w:r>
      <w:r>
        <w:rPr>
          <w:spacing w:val="-10"/>
        </w:rPr>
        <w:t>，且有相关住院医疗记录显示Ⅳ级心功能</w:t>
      </w:r>
    </w:p>
    <w:p>
      <w:pPr>
        <w:spacing w:after="0" w:line="273" w:lineRule="auto"/>
        <w:jc w:val="both"/>
        <w:sectPr>
          <w:type w:val="continuous"/>
          <w:pgSz w:w="11910" w:h="16840"/>
          <w:pgMar w:top="500" w:bottom="280" w:left="920" w:right="720"/>
          <w:cols w:num="2" w:equalWidth="0">
            <w:col w:w="2853" w:space="40"/>
            <w:col w:w="7377"/>
          </w:cols>
        </w:sectPr>
      </w:pPr>
    </w:p>
    <w:p>
      <w:pPr>
        <w:pStyle w:val="BodyText"/>
        <w:rPr>
          <w:sz w:val="20"/>
        </w:rPr>
      </w:pPr>
    </w:p>
    <w:p>
      <w:pPr>
        <w:pStyle w:val="BodyText"/>
        <w:spacing w:before="3"/>
        <w:rPr>
          <w:sz w:val="15"/>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297" w:lineRule="exact" w:before="41"/>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68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00" w:bottom="280" w:left="9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33"/>
        <w:gridCol w:w="7394"/>
      </w:tblGrid>
      <w:tr>
        <w:trPr>
          <w:trHeight w:val="733" w:hRule="atLeast"/>
        </w:trPr>
        <w:tc>
          <w:tcPr>
            <w:tcW w:w="745" w:type="dxa"/>
          </w:tcPr>
          <w:p>
            <w:pPr>
              <w:pStyle w:val="TableParagraph"/>
              <w:rPr>
                <w:rFonts w:ascii="Times New Roman"/>
                <w:sz w:val="20"/>
              </w:rPr>
            </w:pPr>
          </w:p>
        </w:tc>
        <w:tc>
          <w:tcPr>
            <w:tcW w:w="1933" w:type="dxa"/>
          </w:tcPr>
          <w:p>
            <w:pPr>
              <w:pStyle w:val="TableParagraph"/>
              <w:rPr>
                <w:rFonts w:ascii="Times New Roman"/>
                <w:sz w:val="20"/>
              </w:rPr>
            </w:pPr>
          </w:p>
        </w:tc>
        <w:tc>
          <w:tcPr>
            <w:tcW w:w="7394" w:type="dxa"/>
          </w:tcPr>
          <w:p>
            <w:pPr>
              <w:pStyle w:val="TableParagraph"/>
              <w:spacing w:line="211" w:lineRule="exact"/>
              <w:ind w:left="101"/>
              <w:rPr>
                <w:sz w:val="21"/>
              </w:rPr>
            </w:pPr>
            <w:r>
              <w:rPr>
                <w:sz w:val="21"/>
              </w:rPr>
              <w:t>衰竭状态已持续至少 180 日。本病须经专科医生明确诊断。</w:t>
            </w:r>
          </w:p>
          <w:p>
            <w:pPr>
              <w:pStyle w:val="TableParagraph"/>
              <w:spacing w:before="37"/>
              <w:ind w:left="101"/>
              <w:rPr>
                <w:sz w:val="21"/>
              </w:rPr>
            </w:pPr>
            <w:r>
              <w:rPr>
                <w:sz w:val="21"/>
                <w:shd w:fill="DADADA" w:color="auto" w:val="clear"/>
              </w:rPr>
              <w:t>继发于全身性疾病或其它器官系统疾病造成的心肌病变不在保障范围内。</w:t>
            </w:r>
          </w:p>
        </w:tc>
      </w:tr>
      <w:tr>
        <w:trPr>
          <w:trHeight w:val="1616" w:hRule="atLeast"/>
        </w:trPr>
        <w:tc>
          <w:tcPr>
            <w:tcW w:w="745" w:type="dxa"/>
          </w:tcPr>
          <w:p>
            <w:pPr>
              <w:pStyle w:val="TableParagraph"/>
              <w:spacing w:before="167"/>
              <w:ind w:left="200"/>
              <w:rPr>
                <w:b/>
                <w:sz w:val="21"/>
              </w:rPr>
            </w:pPr>
            <w:r>
              <w:rPr>
                <w:b/>
                <w:sz w:val="21"/>
              </w:rPr>
              <w:t>38</w:t>
            </w:r>
          </w:p>
        </w:tc>
        <w:tc>
          <w:tcPr>
            <w:tcW w:w="1933" w:type="dxa"/>
          </w:tcPr>
          <w:p>
            <w:pPr>
              <w:pStyle w:val="TableParagraph"/>
              <w:spacing w:line="232" w:lineRule="auto" w:before="141"/>
              <w:ind w:left="333" w:right="101"/>
              <w:jc w:val="both"/>
              <w:rPr>
                <w:rFonts w:ascii="等线" w:eastAsia="等线" w:hint="eastAsia"/>
                <w:b/>
                <w:sz w:val="24"/>
              </w:rPr>
            </w:pPr>
            <w:r>
              <w:rPr>
                <w:rFonts w:ascii="等线" w:eastAsia="等线" w:hint="eastAsia"/>
                <w:b/>
                <w:sz w:val="24"/>
              </w:rPr>
              <w:t>冠状动脉搭桥术（或称冠状动脉旁路移植术）</w:t>
            </w:r>
          </w:p>
        </w:tc>
        <w:tc>
          <w:tcPr>
            <w:tcW w:w="7394" w:type="dxa"/>
          </w:tcPr>
          <w:p>
            <w:pPr>
              <w:pStyle w:val="TableParagraph"/>
              <w:spacing w:line="273" w:lineRule="auto" w:before="167"/>
              <w:ind w:left="101" w:right="305"/>
              <w:rPr>
                <w:sz w:val="21"/>
              </w:rPr>
            </w:pPr>
            <w:r>
              <w:rPr>
                <w:sz w:val="21"/>
              </w:rPr>
              <w:t>指为治疗严重的冠心病，实际实施了开胸进行的冠状动脉血管旁路移植的手术。</w:t>
            </w:r>
          </w:p>
          <w:p>
            <w:pPr>
              <w:pStyle w:val="TableParagraph"/>
              <w:spacing w:line="273" w:lineRule="auto" w:before="7"/>
              <w:ind w:left="101" w:right="305"/>
              <w:rPr>
                <w:sz w:val="21"/>
              </w:rPr>
            </w:pPr>
            <w:r>
              <w:rPr>
                <w:sz w:val="21"/>
                <w:shd w:fill="DADADA" w:color="auto" w:val="clear"/>
              </w:rPr>
              <w:t>冠状动脉支架植入术、心导管球囊扩张术、激光射频技术及其它非开胸的介</w:t>
            </w:r>
            <w:r>
              <w:rPr>
                <w:spacing w:val="-2"/>
                <w:sz w:val="21"/>
                <w:shd w:fill="DADADA" w:color="auto" w:val="clear"/>
              </w:rPr>
              <w:t>入手术、腔镜</w:t>
            </w:r>
            <w:r>
              <w:rPr>
                <w:spacing w:val="-212"/>
                <w:sz w:val="21"/>
                <w:shd w:fill="DADADA" w:color="auto" w:val="clear"/>
              </w:rPr>
              <w:t>手</w:t>
            </w:r>
            <w:r>
              <w:rPr>
                <w:spacing w:val="-3"/>
                <w:sz w:val="21"/>
                <w:shd w:fill="DADADA" w:color="auto" w:val="clear"/>
              </w:rPr>
              <w:t>术不在保障范围内。</w:t>
            </w:r>
          </w:p>
        </w:tc>
      </w:tr>
      <w:tr>
        <w:trPr>
          <w:trHeight w:val="1270" w:hRule="atLeast"/>
        </w:trPr>
        <w:tc>
          <w:tcPr>
            <w:tcW w:w="745" w:type="dxa"/>
          </w:tcPr>
          <w:p>
            <w:pPr>
              <w:pStyle w:val="TableParagraph"/>
              <w:spacing w:before="161"/>
              <w:ind w:left="200"/>
              <w:rPr>
                <w:b/>
                <w:sz w:val="21"/>
              </w:rPr>
            </w:pPr>
            <w:r>
              <w:rPr>
                <w:b/>
                <w:sz w:val="21"/>
              </w:rPr>
              <w:t>39</w:t>
            </w:r>
          </w:p>
        </w:tc>
        <w:tc>
          <w:tcPr>
            <w:tcW w:w="1933" w:type="dxa"/>
          </w:tcPr>
          <w:p>
            <w:pPr>
              <w:pStyle w:val="TableParagraph"/>
              <w:spacing w:line="232" w:lineRule="auto" w:before="134"/>
              <w:ind w:left="333" w:right="101"/>
              <w:rPr>
                <w:rFonts w:ascii="等线" w:eastAsia="等线" w:hint="eastAsia"/>
                <w:b/>
                <w:sz w:val="24"/>
              </w:rPr>
            </w:pPr>
            <w:r>
              <w:rPr>
                <w:rFonts w:ascii="等线" w:eastAsia="等线" w:hint="eastAsia"/>
                <w:b/>
                <w:sz w:val="24"/>
              </w:rPr>
              <w:t>严重肺源性心脏病</w:t>
            </w:r>
          </w:p>
        </w:tc>
        <w:tc>
          <w:tcPr>
            <w:tcW w:w="7394" w:type="dxa"/>
          </w:tcPr>
          <w:p>
            <w:pPr>
              <w:pStyle w:val="TableParagraph"/>
              <w:spacing w:line="273" w:lineRule="auto" w:before="161"/>
              <w:ind w:left="101" w:right="305"/>
              <w:jc w:val="both"/>
              <w:rPr>
                <w:sz w:val="21"/>
              </w:rPr>
            </w:pPr>
            <w:r>
              <w:rPr>
                <w:sz w:val="21"/>
              </w:rPr>
              <w:t>指因慢性肺部疾病导致慢性心功能损害造成永久不可逆性的心功能衰竭。心功能衰竭程度至少达到美国纽约心脏病学会心功能状态分级Ⅳ级。永久不可逆性的体力活动能力受限，不能从事任何体力活动。</w:t>
            </w:r>
          </w:p>
        </w:tc>
      </w:tr>
      <w:tr>
        <w:trPr>
          <w:trHeight w:val="1899" w:hRule="atLeast"/>
        </w:trPr>
        <w:tc>
          <w:tcPr>
            <w:tcW w:w="745" w:type="dxa"/>
          </w:tcPr>
          <w:p>
            <w:pPr>
              <w:pStyle w:val="TableParagraph"/>
              <w:spacing w:before="167"/>
              <w:ind w:left="200"/>
              <w:rPr>
                <w:b/>
                <w:sz w:val="21"/>
              </w:rPr>
            </w:pPr>
            <w:r>
              <w:rPr>
                <w:b/>
                <w:sz w:val="21"/>
              </w:rPr>
              <w:t>40</w:t>
            </w:r>
          </w:p>
        </w:tc>
        <w:tc>
          <w:tcPr>
            <w:tcW w:w="1933" w:type="dxa"/>
          </w:tcPr>
          <w:p>
            <w:pPr>
              <w:pStyle w:val="TableParagraph"/>
              <w:spacing w:line="232" w:lineRule="auto" w:before="141"/>
              <w:ind w:left="333" w:right="101"/>
              <w:rPr>
                <w:rFonts w:ascii="等线" w:hAnsi="等线" w:eastAsia="等线" w:hint="eastAsia"/>
                <w:b/>
                <w:sz w:val="24"/>
              </w:rPr>
            </w:pPr>
            <w:r>
              <w:rPr>
                <w:rFonts w:ascii="等线" w:hAnsi="等线" w:eastAsia="等线" w:hint="eastAsia"/>
                <w:b/>
                <w:sz w:val="24"/>
              </w:rPr>
              <w:t>严重的Ⅲ度房室传导阻滞</w:t>
            </w:r>
          </w:p>
        </w:tc>
        <w:tc>
          <w:tcPr>
            <w:tcW w:w="7394" w:type="dxa"/>
          </w:tcPr>
          <w:p>
            <w:pPr>
              <w:pStyle w:val="TableParagraph"/>
              <w:spacing w:line="273" w:lineRule="auto" w:before="167"/>
              <w:ind w:left="101" w:right="305"/>
              <w:rPr>
                <w:sz w:val="21"/>
              </w:rPr>
            </w:pPr>
            <w:r>
              <w:rPr>
                <w:sz w:val="21"/>
              </w:rPr>
              <w:t>指心房激动在房室交界区、房室束及其分支内发生阻滞，不能正常地传到心室的心脏传导性疾病须满足下列所有条件：</w:t>
            </w:r>
          </w:p>
          <w:p>
            <w:pPr>
              <w:pStyle w:val="TableParagraph"/>
              <w:spacing w:before="7"/>
              <w:ind w:left="101"/>
              <w:rPr>
                <w:sz w:val="21"/>
              </w:rPr>
            </w:pPr>
            <w:r>
              <w:rPr>
                <w:sz w:val="21"/>
              </w:rPr>
              <w:t>（1）心电图显示房室搏动彼此独立，心室率&lt;50 次/分钟；</w:t>
            </w:r>
          </w:p>
          <w:p>
            <w:pPr>
              <w:pStyle w:val="TableParagraph"/>
              <w:spacing w:before="36"/>
              <w:ind w:left="102"/>
              <w:rPr>
                <w:sz w:val="21"/>
              </w:rPr>
            </w:pPr>
            <w:r>
              <w:rPr>
                <w:sz w:val="21"/>
              </w:rPr>
              <w:t>（2）出现阿-斯综合征或心力衰竭的表现；</w:t>
            </w:r>
          </w:p>
          <w:p>
            <w:pPr>
              <w:pStyle w:val="TableParagraph"/>
              <w:spacing w:before="37"/>
              <w:ind w:left="102"/>
              <w:rPr>
                <w:sz w:val="21"/>
              </w:rPr>
            </w:pPr>
            <w:r>
              <w:rPr>
                <w:sz w:val="21"/>
              </w:rPr>
              <w:t>（3）必须持续性依赖心脏起搏器维持心脏正常功能，且已经放置心脏起搏器。</w:t>
            </w:r>
          </w:p>
        </w:tc>
      </w:tr>
      <w:tr>
        <w:trPr>
          <w:trHeight w:val="1587" w:hRule="atLeast"/>
        </w:trPr>
        <w:tc>
          <w:tcPr>
            <w:tcW w:w="745" w:type="dxa"/>
          </w:tcPr>
          <w:p>
            <w:pPr>
              <w:pStyle w:val="TableParagraph"/>
              <w:spacing w:before="166"/>
              <w:ind w:left="200"/>
              <w:rPr>
                <w:b/>
                <w:sz w:val="21"/>
              </w:rPr>
            </w:pPr>
            <w:r>
              <w:rPr>
                <w:b/>
                <w:sz w:val="21"/>
              </w:rPr>
              <w:t>41</w:t>
            </w:r>
          </w:p>
        </w:tc>
        <w:tc>
          <w:tcPr>
            <w:tcW w:w="1933" w:type="dxa"/>
          </w:tcPr>
          <w:p>
            <w:pPr>
              <w:pStyle w:val="TableParagraph"/>
              <w:spacing w:line="235" w:lineRule="auto" w:before="136"/>
              <w:ind w:left="333" w:right="101"/>
              <w:rPr>
                <w:rFonts w:ascii="等线" w:eastAsia="等线" w:hint="eastAsia"/>
                <w:b/>
                <w:sz w:val="24"/>
              </w:rPr>
            </w:pPr>
            <w:r>
              <w:rPr>
                <w:rFonts w:ascii="等线" w:eastAsia="等线" w:hint="eastAsia"/>
                <w:b/>
                <w:sz w:val="24"/>
              </w:rPr>
              <w:t>风湿热导致的心脏瓣膜疾病</w:t>
            </w:r>
          </w:p>
        </w:tc>
        <w:tc>
          <w:tcPr>
            <w:tcW w:w="7394" w:type="dxa"/>
          </w:tcPr>
          <w:p>
            <w:pPr>
              <w:pStyle w:val="TableParagraph"/>
              <w:spacing w:line="273" w:lineRule="auto" w:before="166"/>
              <w:ind w:left="101" w:right="301"/>
              <w:jc w:val="both"/>
              <w:rPr>
                <w:sz w:val="21"/>
              </w:rPr>
            </w:pPr>
            <w:r>
              <w:rPr>
                <w:spacing w:val="-4"/>
                <w:sz w:val="21"/>
              </w:rPr>
              <w:t>指经由专科医生根据已修订的 </w:t>
            </w:r>
            <w:r>
              <w:rPr>
                <w:sz w:val="21"/>
              </w:rPr>
              <w:t>Jones</w:t>
            </w:r>
            <w:r>
              <w:rPr>
                <w:spacing w:val="-5"/>
                <w:sz w:val="21"/>
              </w:rPr>
              <w:t> 标准诊断证实罹患急性风湿热。且因风湿热所导致一个或以上最少轻度心脏瓣膜关闭不全（</w:t>
            </w:r>
            <w:r>
              <w:rPr>
                <w:spacing w:val="1"/>
                <w:sz w:val="21"/>
              </w:rPr>
              <w:t>即返流部份达 </w:t>
            </w:r>
            <w:r>
              <w:rPr>
                <w:sz w:val="21"/>
              </w:rPr>
              <w:t>20%或以上）</w:t>
            </w:r>
            <w:r>
              <w:rPr>
                <w:spacing w:val="-3"/>
                <w:sz w:val="21"/>
              </w:rPr>
              <w:t>或狭窄的心瓣损伤（</w:t>
            </w:r>
            <w:r>
              <w:rPr>
                <w:spacing w:val="-5"/>
                <w:sz w:val="21"/>
              </w:rPr>
              <w:t>即心脏瓣面积为正常值的 </w:t>
            </w:r>
            <w:r>
              <w:rPr>
                <w:sz w:val="21"/>
              </w:rPr>
              <w:t>30%</w:t>
            </w:r>
            <w:r>
              <w:rPr>
                <w:spacing w:val="-2"/>
                <w:sz w:val="21"/>
              </w:rPr>
              <w:t>或以下</w:t>
            </w:r>
            <w:r>
              <w:rPr>
                <w:spacing w:val="-108"/>
                <w:sz w:val="21"/>
              </w:rPr>
              <w:t>）</w:t>
            </w:r>
            <w:r>
              <w:rPr>
                <w:spacing w:val="-3"/>
                <w:sz w:val="21"/>
              </w:rPr>
              <w:t>。有关诊断须由专科医生根据心瓣功能的定量检查证实。</w:t>
            </w:r>
          </w:p>
        </w:tc>
      </w:tr>
      <w:tr>
        <w:trPr>
          <w:trHeight w:val="1276" w:hRule="atLeast"/>
        </w:trPr>
        <w:tc>
          <w:tcPr>
            <w:tcW w:w="745" w:type="dxa"/>
          </w:tcPr>
          <w:p>
            <w:pPr>
              <w:pStyle w:val="TableParagraph"/>
              <w:spacing w:before="167"/>
              <w:ind w:left="200"/>
              <w:rPr>
                <w:b/>
                <w:sz w:val="21"/>
              </w:rPr>
            </w:pPr>
            <w:r>
              <w:rPr>
                <w:b/>
                <w:sz w:val="21"/>
              </w:rPr>
              <w:t>42</w:t>
            </w:r>
          </w:p>
        </w:tc>
        <w:tc>
          <w:tcPr>
            <w:tcW w:w="1933" w:type="dxa"/>
          </w:tcPr>
          <w:p>
            <w:pPr>
              <w:pStyle w:val="TableParagraph"/>
              <w:spacing w:before="131"/>
              <w:ind w:left="333"/>
              <w:rPr>
                <w:rFonts w:ascii="等线" w:eastAsia="等线" w:hint="eastAsia"/>
                <w:b/>
                <w:sz w:val="24"/>
              </w:rPr>
            </w:pPr>
            <w:r>
              <w:rPr>
                <w:rFonts w:ascii="等线" w:eastAsia="等线" w:hint="eastAsia"/>
                <w:b/>
                <w:sz w:val="24"/>
              </w:rPr>
              <w:t>象皮病</w:t>
            </w:r>
          </w:p>
        </w:tc>
        <w:tc>
          <w:tcPr>
            <w:tcW w:w="7394" w:type="dxa"/>
          </w:tcPr>
          <w:p>
            <w:pPr>
              <w:pStyle w:val="TableParagraph"/>
              <w:spacing w:line="273" w:lineRule="auto" w:before="167"/>
              <w:ind w:left="101" w:right="305"/>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275" w:hRule="atLeast"/>
        </w:trPr>
        <w:tc>
          <w:tcPr>
            <w:tcW w:w="745" w:type="dxa"/>
          </w:tcPr>
          <w:p>
            <w:pPr>
              <w:pStyle w:val="TableParagraph"/>
              <w:spacing w:before="167"/>
              <w:ind w:left="200"/>
              <w:rPr>
                <w:b/>
                <w:sz w:val="21"/>
              </w:rPr>
            </w:pPr>
            <w:r>
              <w:rPr>
                <w:b/>
                <w:sz w:val="21"/>
              </w:rPr>
              <w:t>43</w:t>
            </w:r>
          </w:p>
        </w:tc>
        <w:tc>
          <w:tcPr>
            <w:tcW w:w="1933" w:type="dxa"/>
          </w:tcPr>
          <w:p>
            <w:pPr>
              <w:pStyle w:val="TableParagraph"/>
              <w:spacing w:before="131"/>
              <w:ind w:left="333"/>
              <w:rPr>
                <w:rFonts w:ascii="等线" w:eastAsia="等线" w:hint="eastAsia"/>
                <w:b/>
                <w:sz w:val="24"/>
              </w:rPr>
            </w:pPr>
            <w:r>
              <w:rPr>
                <w:rFonts w:ascii="等线" w:eastAsia="等线" w:hint="eastAsia"/>
                <w:b/>
                <w:sz w:val="24"/>
              </w:rPr>
              <w:t>嗜铬细胞瘤</w:t>
            </w:r>
          </w:p>
        </w:tc>
        <w:tc>
          <w:tcPr>
            <w:tcW w:w="7394" w:type="dxa"/>
          </w:tcPr>
          <w:p>
            <w:pPr>
              <w:pStyle w:val="TableParagraph"/>
              <w:spacing w:line="256" w:lineRule="auto" w:before="167"/>
              <w:ind w:left="101" w:right="305"/>
              <w:jc w:val="both"/>
              <w:rPr>
                <w:sz w:val="21"/>
              </w:rPr>
            </w:pPr>
            <w:r>
              <w:rPr>
                <w:sz w:val="21"/>
              </w:rPr>
              <w:t>指肾上腺或肾上腺外嗜铬组织出现神经内分泌肿瘤，并分</w:t>
            </w:r>
            <w:r>
              <w:rPr>
                <w:rFonts w:ascii="Times New Roman" w:eastAsia="Times New Roman"/>
                <w:w w:val="110"/>
                <w:sz w:val="21"/>
              </w:rPr>
              <w:t>泌</w:t>
            </w:r>
            <w:r>
              <w:rPr>
                <w:spacing w:val="-10"/>
                <w:sz w:val="21"/>
              </w:rPr>
              <w:t>过多的儿茶酚胺</w:t>
            </w:r>
            <w:r>
              <w:rPr>
                <w:sz w:val="21"/>
              </w:rPr>
              <w:t>类的疾病。且已经由组织病理检查证实，并已经进</w:t>
            </w:r>
            <w:r>
              <w:rPr>
                <w:rFonts w:ascii="Times New Roman" w:eastAsia="Times New Roman"/>
                <w:w w:val="110"/>
                <w:sz w:val="21"/>
              </w:rPr>
              <w:t>行</w:t>
            </w:r>
            <w:r>
              <w:rPr>
                <w:sz w:val="21"/>
              </w:rPr>
              <w:t>了切除嗜铬细胞肿瘤 </w:t>
            </w:r>
            <w:r>
              <w:rPr>
                <w:spacing w:val="-3"/>
                <w:sz w:val="21"/>
              </w:rPr>
              <w:t>的手术治疗。嗜铬细胞瘤须经专科医生明确诊断。</w:t>
            </w:r>
          </w:p>
        </w:tc>
      </w:tr>
      <w:tr>
        <w:trPr>
          <w:trHeight w:val="4808" w:hRule="atLeast"/>
        </w:trPr>
        <w:tc>
          <w:tcPr>
            <w:tcW w:w="745" w:type="dxa"/>
          </w:tcPr>
          <w:p>
            <w:pPr>
              <w:pStyle w:val="TableParagraph"/>
              <w:spacing w:before="166"/>
              <w:ind w:left="200"/>
              <w:rPr>
                <w:b/>
                <w:sz w:val="21"/>
              </w:rPr>
            </w:pPr>
            <w:r>
              <w:rPr>
                <w:b/>
                <w:sz w:val="21"/>
              </w:rPr>
              <w:t>44</w:t>
            </w:r>
          </w:p>
        </w:tc>
        <w:tc>
          <w:tcPr>
            <w:tcW w:w="1933" w:type="dxa"/>
          </w:tcPr>
          <w:p>
            <w:pPr>
              <w:pStyle w:val="TableParagraph"/>
              <w:spacing w:line="235" w:lineRule="auto" w:before="136"/>
              <w:ind w:left="333" w:right="101"/>
              <w:rPr>
                <w:rFonts w:ascii="等线" w:eastAsia="等线" w:hint="eastAsia"/>
                <w:b/>
                <w:sz w:val="24"/>
              </w:rPr>
            </w:pPr>
            <w:r>
              <w:rPr>
                <w:rFonts w:ascii="等线" w:eastAsia="等线" w:hint="eastAsia"/>
                <w:b/>
                <w:sz w:val="24"/>
              </w:rPr>
              <w:t>严重类风湿性关节炎</w:t>
            </w:r>
          </w:p>
        </w:tc>
        <w:tc>
          <w:tcPr>
            <w:tcW w:w="7394" w:type="dxa"/>
          </w:tcPr>
          <w:p>
            <w:pPr>
              <w:pStyle w:val="TableParagraph"/>
              <w:spacing w:line="273" w:lineRule="auto" w:before="166"/>
              <w:ind w:left="101" w:right="303"/>
              <w:jc w:val="both"/>
              <w:rPr>
                <w:sz w:val="21"/>
              </w:rPr>
            </w:pPr>
            <w:r>
              <w:rPr>
                <w:sz w:val="21"/>
              </w:rPr>
              <w:t>指广泛分布的慢性进行性多关节病变，表现为关节严重变形，侵犯至少三个主要关节或关节组，[如:双手（多手指）关节、双足（多足趾）关节、双腕</w:t>
            </w:r>
            <w:r>
              <w:rPr>
                <w:spacing w:val="-8"/>
                <w:sz w:val="21"/>
              </w:rPr>
              <w:t>关节、双膝关节和双髋关节]。被保人所患的类风湿性关节炎必须明确诊断并</w:t>
            </w:r>
            <w:r>
              <w:rPr>
                <w:spacing w:val="-7"/>
                <w:sz w:val="21"/>
              </w:rPr>
              <w:t>且已经达到类风湿性关节炎功能分级 </w:t>
            </w:r>
            <w:r>
              <w:rPr>
                <w:sz w:val="21"/>
              </w:rPr>
              <w:t>IV</w:t>
            </w:r>
            <w:r>
              <w:rPr>
                <w:spacing w:val="-11"/>
                <w:sz w:val="21"/>
              </w:rPr>
              <w:t> 级的永久不可逆性关节功能障碍</w:t>
            </w:r>
            <w:r>
              <w:rPr>
                <w:sz w:val="21"/>
              </w:rPr>
              <w:t>（生</w:t>
            </w:r>
            <w:r>
              <w:rPr>
                <w:spacing w:val="-3"/>
                <w:sz w:val="21"/>
              </w:rPr>
              <w:t>活不能自理，且丧失工作能力）并须满足下列全部条件：</w:t>
            </w:r>
          </w:p>
          <w:p>
            <w:pPr>
              <w:pStyle w:val="TableParagraph"/>
              <w:spacing w:before="8"/>
              <w:ind w:left="102"/>
              <w:jc w:val="both"/>
              <w:rPr>
                <w:sz w:val="21"/>
              </w:rPr>
            </w:pPr>
            <w:r>
              <w:rPr>
                <w:sz w:val="21"/>
              </w:rPr>
              <w:t>（1）晨僵；</w:t>
            </w:r>
          </w:p>
          <w:p>
            <w:pPr>
              <w:pStyle w:val="TableParagraph"/>
              <w:spacing w:before="37"/>
              <w:ind w:left="102"/>
              <w:jc w:val="both"/>
              <w:rPr>
                <w:sz w:val="21"/>
              </w:rPr>
            </w:pPr>
            <w:r>
              <w:rPr>
                <w:sz w:val="21"/>
              </w:rPr>
              <w:t>（2）对称性关节炎；</w:t>
            </w:r>
          </w:p>
          <w:p>
            <w:pPr>
              <w:pStyle w:val="TableParagraph"/>
              <w:spacing w:before="37"/>
              <w:ind w:left="102"/>
              <w:jc w:val="both"/>
              <w:rPr>
                <w:sz w:val="21"/>
              </w:rPr>
            </w:pPr>
            <w:r>
              <w:rPr>
                <w:sz w:val="21"/>
              </w:rPr>
              <w:t>（3）类风湿性皮下结节；</w:t>
            </w:r>
          </w:p>
          <w:p>
            <w:pPr>
              <w:pStyle w:val="TableParagraph"/>
              <w:spacing w:before="37"/>
              <w:ind w:left="102"/>
              <w:jc w:val="both"/>
              <w:rPr>
                <w:sz w:val="21"/>
              </w:rPr>
            </w:pPr>
            <w:r>
              <w:rPr>
                <w:sz w:val="21"/>
              </w:rPr>
              <w:t>（4）类风湿因子滴度升高；</w:t>
            </w:r>
          </w:p>
          <w:p>
            <w:pPr>
              <w:pStyle w:val="TableParagraph"/>
              <w:spacing w:line="273" w:lineRule="auto" w:before="37"/>
              <w:ind w:left="102" w:right="1919"/>
              <w:rPr>
                <w:sz w:val="21"/>
              </w:rPr>
            </w:pPr>
            <w:r>
              <w:rPr>
                <w:sz w:val="21"/>
              </w:rPr>
              <w:t>（5）X 线显示严重的关节（软骨和骨）破坏和关节畸形。类风湿性关节炎功能分级标准：</w:t>
            </w:r>
          </w:p>
          <w:p>
            <w:pPr>
              <w:pStyle w:val="TableParagraph"/>
              <w:spacing w:before="8"/>
              <w:ind w:left="101"/>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9"/>
                <w:w w:val="100"/>
                <w:sz w:val="21"/>
              </w:rPr>
              <w:t>）</w:t>
            </w:r>
            <w:r>
              <w:rPr>
                <w:w w:val="100"/>
                <w:sz w:val="21"/>
              </w:rPr>
              <w:t>；</w:t>
            </w:r>
          </w:p>
          <w:p>
            <w:pPr>
              <w:pStyle w:val="TableParagraph"/>
              <w:spacing w:before="36"/>
              <w:ind w:left="101"/>
              <w:jc w:val="both"/>
              <w:rPr>
                <w:sz w:val="21"/>
              </w:rPr>
            </w:pPr>
            <w:r>
              <w:rPr>
                <w:sz w:val="21"/>
              </w:rPr>
              <w:t>Ⅱ级 生活自理和工作，非职业活动受限；</w:t>
            </w:r>
          </w:p>
          <w:p>
            <w:pPr>
              <w:pStyle w:val="TableParagraph"/>
              <w:spacing w:before="36"/>
              <w:ind w:left="101"/>
              <w:jc w:val="both"/>
              <w:rPr>
                <w:sz w:val="21"/>
              </w:rPr>
            </w:pPr>
            <w:r>
              <w:rPr>
                <w:sz w:val="21"/>
              </w:rPr>
              <w:t>Ⅲ级 生活自理和工作，职业和非职业活动受限；</w:t>
            </w:r>
          </w:p>
          <w:p>
            <w:pPr>
              <w:pStyle w:val="TableParagraph"/>
              <w:spacing w:line="255" w:lineRule="exact" w:before="36"/>
              <w:ind w:left="101"/>
              <w:jc w:val="both"/>
              <w:rPr>
                <w:sz w:val="21"/>
              </w:rPr>
            </w:pPr>
            <w:r>
              <w:rPr>
                <w:sz w:val="21"/>
              </w:rPr>
              <w:t>Ⅳ级 生活不能自理，且丧失工作能力。</w:t>
            </w:r>
          </w:p>
        </w:tc>
      </w:tr>
    </w:tbl>
    <w:p>
      <w:pPr>
        <w:spacing w:after="0" w:line="255" w:lineRule="exact"/>
        <w:jc w:val="both"/>
        <w:rPr>
          <w:sz w:val="21"/>
        </w:rPr>
        <w:sectPr>
          <w:pgSz w:w="11910" w:h="16840"/>
          <w:pgMar w:top="1160" w:bottom="280" w:left="1080" w:right="520"/>
        </w:sectPr>
      </w:pPr>
    </w:p>
    <w:p>
      <w:pPr>
        <w:pStyle w:val="Heading1"/>
        <w:numPr>
          <w:ilvl w:val="0"/>
          <w:numId w:val="4"/>
        </w:numPr>
        <w:tabs>
          <w:tab w:pos="1036" w:val="left" w:leader="none"/>
        </w:tabs>
        <w:spacing w:line="232" w:lineRule="auto" w:before="11" w:after="0"/>
        <w:ind w:left="1035" w:right="0" w:hanging="879"/>
        <w:jc w:val="both"/>
      </w:pPr>
      <w:r>
        <w:rPr>
          <w:spacing w:val="7"/>
          <w:position w:val="1"/>
        </w:rPr>
        <w:t>经输血导致的</w:t>
      </w:r>
      <w:r>
        <w:rPr>
          <w:spacing w:val="7"/>
        </w:rPr>
        <w:t>艾滋病病毒感</w:t>
      </w:r>
      <w:r>
        <w:rPr/>
        <w:t>染或患艾滋病</w:t>
      </w:r>
    </w:p>
    <w:p>
      <w:pPr>
        <w:pStyle w:val="BodyText"/>
        <w:spacing w:line="273" w:lineRule="auto" w:before="37"/>
        <w:ind w:left="156" w:right="99"/>
      </w:pPr>
      <w:r>
        <w:rPr/>
        <w:br w:type="column"/>
      </w:r>
      <w:r>
        <w:rPr/>
        <w:t>指被保险人因输血而感染上人类免疫缺陷病毒（HIV）或患艾滋病必须满足以下全部条件：</w:t>
      </w:r>
    </w:p>
    <w:p>
      <w:pPr>
        <w:pStyle w:val="BodyText"/>
        <w:spacing w:before="7"/>
        <w:ind w:left="156"/>
      </w:pPr>
      <w:r>
        <w:rPr/>
        <w:t>（1）被保险人因输血而感染 HIV 或患艾滋病；</w:t>
      </w:r>
    </w:p>
    <w:p>
      <w:pPr>
        <w:pStyle w:val="BodyText"/>
        <w:spacing w:line="273" w:lineRule="auto" w:before="36"/>
        <w:ind w:left="682" w:right="98" w:hanging="526"/>
      </w:pPr>
      <w:r>
        <w:rPr/>
        <w:t>（2）提供输血治疗的输血中心或医院出具该项输血感染属医疗责任事故的报告，或者法院终审裁定为医疗责任；</w:t>
      </w:r>
    </w:p>
    <w:p>
      <w:pPr>
        <w:pStyle w:val="BodyText"/>
        <w:spacing w:before="7"/>
        <w:ind w:left="157"/>
      </w:pPr>
      <w:r>
        <w:rPr/>
        <w:t>（3）受感染的被保险人不是血友病患者。</w:t>
      </w:r>
    </w:p>
    <w:p>
      <w:pPr>
        <w:pStyle w:val="BodyText"/>
        <w:spacing w:line="273" w:lineRule="auto" w:before="37"/>
        <w:ind w:left="156" w:right="158"/>
        <w:jc w:val="both"/>
      </w:pPr>
      <w:r>
        <w:rPr>
          <w:spacing w:val="-3"/>
          <w:shd w:fill="DADADA" w:color="auto" w:val="clear"/>
        </w:rPr>
        <w:t>任何因其他传播方式</w:t>
      </w:r>
      <w:r>
        <w:rPr>
          <w:shd w:fill="DADADA" w:color="auto" w:val="clear"/>
        </w:rPr>
        <w:t>（</w:t>
      </w:r>
      <w:r>
        <w:rPr>
          <w:spacing w:val="-3"/>
          <w:shd w:fill="DADADA" w:color="auto" w:val="clear"/>
        </w:rPr>
        <w:t>包括：性传播或静脉注射毒品等）</w:t>
      </w:r>
      <w:r>
        <w:rPr>
          <w:spacing w:val="-4"/>
          <w:shd w:fill="DADADA" w:color="auto" w:val="clear"/>
        </w:rPr>
        <w:t>导致的 </w:t>
      </w:r>
      <w:r>
        <w:rPr>
          <w:shd w:fill="DADADA" w:color="auto" w:val="clear"/>
        </w:rPr>
        <w:t>HIV</w:t>
      </w:r>
      <w:r>
        <w:rPr>
          <w:spacing w:val="-4"/>
          <w:shd w:fill="DADADA" w:color="auto" w:val="clear"/>
        </w:rPr>
        <w:t> 感染或</w:t>
      </w:r>
      <w:r>
        <w:rPr>
          <w:spacing w:val="-20"/>
          <w:shd w:fill="DADADA" w:color="auto" w:val="clear"/>
        </w:rPr>
        <w:t>患艾滋病不在保障范围内。</w:t>
      </w:r>
      <w:r>
        <w:rPr/>
        <w:t>本公司具有获得使用被保险人的所有血液样本的权</w:t>
      </w:r>
      <w:r>
        <w:rPr>
          <w:spacing w:val="-3"/>
        </w:rPr>
        <w:t>利和能够对这些样本进行独立检验的权利。</w:t>
      </w:r>
    </w:p>
    <w:p>
      <w:pPr>
        <w:spacing w:after="0" w:line="273" w:lineRule="auto"/>
        <w:jc w:val="both"/>
        <w:sectPr>
          <w:pgSz w:w="11910" w:h="16840"/>
          <w:pgMar w:top="1180" w:bottom="280" w:left="1240" w:right="780"/>
          <w:cols w:num="2" w:equalWidth="0">
            <w:col w:w="2533" w:space="47"/>
            <w:col w:w="7310"/>
          </w:cols>
        </w:sectPr>
      </w:pPr>
    </w:p>
    <w:p>
      <w:pPr>
        <w:pStyle w:val="BodyText"/>
        <w:rPr>
          <w:sz w:val="22"/>
        </w:rPr>
      </w:pPr>
    </w:p>
    <w:p>
      <w:pPr>
        <w:spacing w:after="0"/>
        <w:rPr>
          <w:sz w:val="22"/>
        </w:rPr>
        <w:sectPr>
          <w:type w:val="continuous"/>
          <w:pgSz w:w="11910" w:h="16840"/>
          <w:pgMar w:top="500" w:bottom="280" w:left="1240" w:right="780"/>
        </w:sectPr>
      </w:pPr>
    </w:p>
    <w:p>
      <w:pPr>
        <w:pStyle w:val="Heading1"/>
        <w:numPr>
          <w:ilvl w:val="0"/>
          <w:numId w:val="4"/>
        </w:numPr>
        <w:tabs>
          <w:tab w:pos="1036" w:val="left" w:leader="none"/>
        </w:tabs>
        <w:spacing w:line="232" w:lineRule="auto" w:before="32" w:after="0"/>
        <w:ind w:left="1035" w:right="0" w:hanging="879"/>
        <w:jc w:val="both"/>
      </w:pPr>
      <w:r>
        <w:rPr>
          <w:spacing w:val="7"/>
        </w:rPr>
        <w:t>因职业关系导致的艾滋病病毒感染或患艾</w:t>
      </w:r>
      <w:r>
        <w:rPr/>
        <w:t>滋病</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6"/>
        <w:rPr>
          <w:rFonts w:ascii="等线"/>
          <w:b/>
          <w:sz w:val="22"/>
        </w:rPr>
      </w:pPr>
    </w:p>
    <w:p>
      <w:pPr>
        <w:pStyle w:val="ListParagraph"/>
        <w:numPr>
          <w:ilvl w:val="0"/>
          <w:numId w:val="4"/>
        </w:numPr>
        <w:tabs>
          <w:tab w:pos="1036" w:val="left" w:leader="none"/>
        </w:tabs>
        <w:spacing w:line="232" w:lineRule="auto" w:before="0" w:after="0"/>
        <w:ind w:left="1035" w:right="0" w:hanging="879"/>
        <w:jc w:val="both"/>
        <w:rPr>
          <w:rFonts w:ascii="等线" w:eastAsia="等线" w:hint="eastAsia"/>
          <w:b/>
          <w:sz w:val="24"/>
        </w:rPr>
      </w:pPr>
      <w:r>
        <w:rPr>
          <w:rFonts w:ascii="等线" w:eastAsia="等线" w:hint="eastAsia"/>
          <w:b/>
          <w:spacing w:val="7"/>
          <w:position w:val="1"/>
          <w:sz w:val="24"/>
        </w:rPr>
        <w:t>因器官移植导</w:t>
      </w:r>
      <w:r>
        <w:rPr>
          <w:rFonts w:ascii="等线" w:eastAsia="等线" w:hint="eastAsia"/>
          <w:b/>
          <w:spacing w:val="7"/>
          <w:sz w:val="24"/>
        </w:rPr>
        <w:t>致艾滋病病毒感染或患艾滋</w:t>
      </w:r>
      <w:r>
        <w:rPr>
          <w:rFonts w:ascii="等线" w:eastAsia="等线" w:hint="eastAsia"/>
          <w:b/>
          <w:sz w:val="24"/>
        </w:rPr>
        <w:t>病</w:t>
      </w:r>
    </w:p>
    <w:p>
      <w:pPr>
        <w:pStyle w:val="BodyText"/>
        <w:spacing w:line="237" w:lineRule="auto" w:before="39"/>
        <w:ind w:left="156" w:right="161"/>
        <w:jc w:val="both"/>
      </w:pPr>
      <w:r>
        <w:rPr/>
        <w:br w:type="column"/>
      </w:r>
      <w:r>
        <w:rPr/>
        <w:t>被保险人在其常规职业工作过程中遭遇外伤，或者职业需要处理血液或者其</w:t>
      </w:r>
      <w:r>
        <w:rPr>
          <w:spacing w:val="-5"/>
        </w:rPr>
        <w:t>他体液时感染上人类免疫缺陷病毒（HIV）</w:t>
      </w:r>
      <w:r>
        <w:rPr>
          <w:spacing w:val="-6"/>
        </w:rPr>
        <w:t>或患艾滋病。必须满足下列全部条件：</w:t>
      </w:r>
    </w:p>
    <w:p>
      <w:pPr>
        <w:pStyle w:val="BodyText"/>
        <w:spacing w:line="237" w:lineRule="auto" w:before="1"/>
        <w:ind w:left="682" w:right="161" w:hanging="526"/>
        <w:jc w:val="both"/>
      </w:pPr>
      <w:r>
        <w:rPr>
          <w:spacing w:val="-10"/>
        </w:rPr>
        <w:t>（1）</w:t>
      </w:r>
      <w:r>
        <w:rPr>
          <w:spacing w:val="-5"/>
        </w:rPr>
        <w:t>感染必须是在被保险人正在从事其职业工作中发生，该职业必须属于以</w:t>
      </w:r>
      <w:r>
        <w:rPr>
          <w:spacing w:val="-4"/>
        </w:rPr>
        <w:t>下列表内的职业；</w:t>
      </w:r>
    </w:p>
    <w:p>
      <w:pPr>
        <w:pStyle w:val="BodyText"/>
        <w:spacing w:line="237" w:lineRule="auto" w:before="1"/>
        <w:ind w:left="682" w:right="160" w:hanging="526"/>
        <w:jc w:val="both"/>
      </w:pPr>
      <w:r>
        <w:rPr>
          <w:spacing w:val="-10"/>
        </w:rPr>
        <w:t>（2）</w:t>
      </w:r>
      <w:r>
        <w:rPr>
          <w:spacing w:val="-5"/>
        </w:rPr>
        <w:t>必须提供被保险人在所报事故发生后的 </w:t>
      </w:r>
      <w:r>
        <w:rPr/>
        <w:t>5</w:t>
      </w:r>
      <w:r>
        <w:rPr>
          <w:spacing w:val="-9"/>
        </w:rPr>
        <w:t> 天以内进行的检查报告，该报告必须显示被保险人血液 </w:t>
      </w:r>
      <w:r>
        <w:rPr/>
        <w:t>HIV</w:t>
      </w:r>
      <w:r>
        <w:rPr>
          <w:spacing w:val="-11"/>
        </w:rPr>
        <w:t> 病毒阴性和</w:t>
      </w:r>
      <w:r>
        <w:rPr/>
        <w:t>/</w:t>
      </w:r>
      <w:r>
        <w:rPr>
          <w:spacing w:val="-23"/>
        </w:rPr>
        <w:t>或 </w:t>
      </w:r>
      <w:r>
        <w:rPr/>
        <w:t>HIV</w:t>
      </w:r>
      <w:r>
        <w:rPr>
          <w:spacing w:val="-11"/>
        </w:rPr>
        <w:t> 抗体阴性；</w:t>
      </w:r>
    </w:p>
    <w:p>
      <w:pPr>
        <w:pStyle w:val="BodyText"/>
        <w:spacing w:line="237" w:lineRule="auto" w:before="1"/>
        <w:ind w:left="682" w:right="163" w:hanging="526"/>
        <w:jc w:val="both"/>
      </w:pPr>
      <w:r>
        <w:rPr>
          <w:spacing w:val="-5"/>
        </w:rPr>
        <w:t>（3）</w:t>
      </w:r>
      <w:r>
        <w:rPr>
          <w:spacing w:val="-14"/>
        </w:rPr>
        <w:t>必须在事故发生后的 </w:t>
      </w:r>
      <w:r>
        <w:rPr/>
        <w:t>6</w:t>
      </w:r>
      <w:r>
        <w:rPr>
          <w:spacing w:val="-19"/>
        </w:rPr>
        <w:t> 个月内证实被保险人体内存在 </w:t>
      </w:r>
      <w:r>
        <w:rPr>
          <w:spacing w:val="-4"/>
        </w:rPr>
        <w:t>HIV</w:t>
      </w:r>
      <w:r>
        <w:rPr>
          <w:spacing w:val="-25"/>
        </w:rPr>
        <w:t> 病毒或者 </w:t>
      </w:r>
      <w:r>
        <w:rPr>
          <w:spacing w:val="-4"/>
        </w:rPr>
        <w:t>HIV</w:t>
      </w:r>
      <w:r>
        <w:rPr>
          <w:spacing w:val="-27"/>
        </w:rPr>
        <w:t> 抗体。</w:t>
      </w:r>
    </w:p>
    <w:p>
      <w:pPr>
        <w:pStyle w:val="BodyText"/>
        <w:spacing w:line="274" w:lineRule="exact"/>
        <w:ind w:left="156"/>
      </w:pPr>
      <w:r>
        <w:rPr/>
        <w:t>职业限制如下所示:</w:t>
      </w:r>
    </w:p>
    <w:p>
      <w:pPr>
        <w:pStyle w:val="BodyText"/>
        <w:spacing w:before="5"/>
        <w:rPr>
          <w:sz w:val="2"/>
        </w:rPr>
      </w:pPr>
    </w:p>
    <w:tbl>
      <w:tblPr>
        <w:tblW w:w="0" w:type="auto"/>
        <w:jc w:val="left"/>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3262"/>
      </w:tblGrid>
      <w:tr>
        <w:trPr>
          <w:trHeight w:val="280" w:hRule="atLeast"/>
        </w:trPr>
        <w:tc>
          <w:tcPr>
            <w:tcW w:w="3262" w:type="dxa"/>
          </w:tcPr>
          <w:p>
            <w:pPr>
              <w:pStyle w:val="TableParagraph"/>
              <w:spacing w:line="240" w:lineRule="exact"/>
              <w:ind w:left="107"/>
              <w:rPr>
                <w:sz w:val="21"/>
              </w:rPr>
            </w:pPr>
            <w:r>
              <w:rPr>
                <w:sz w:val="21"/>
              </w:rPr>
              <w:t>医生和牙科医生</w:t>
            </w:r>
          </w:p>
        </w:tc>
        <w:tc>
          <w:tcPr>
            <w:tcW w:w="3262" w:type="dxa"/>
          </w:tcPr>
          <w:p>
            <w:pPr>
              <w:pStyle w:val="TableParagraph"/>
              <w:spacing w:line="240" w:lineRule="exact"/>
              <w:ind w:left="107"/>
              <w:rPr>
                <w:sz w:val="21"/>
              </w:rPr>
            </w:pPr>
            <w:r>
              <w:rPr>
                <w:sz w:val="21"/>
              </w:rPr>
              <w:t>护士</w:t>
            </w:r>
          </w:p>
        </w:tc>
      </w:tr>
      <w:tr>
        <w:trPr>
          <w:trHeight w:val="270" w:hRule="atLeast"/>
        </w:trPr>
        <w:tc>
          <w:tcPr>
            <w:tcW w:w="3262" w:type="dxa"/>
          </w:tcPr>
          <w:p>
            <w:pPr>
              <w:pStyle w:val="TableParagraph"/>
              <w:spacing w:line="241" w:lineRule="exact"/>
              <w:ind w:left="107"/>
              <w:rPr>
                <w:sz w:val="21"/>
              </w:rPr>
            </w:pPr>
            <w:r>
              <w:rPr>
                <w:sz w:val="21"/>
              </w:rPr>
              <w:t>医院化验室工作人员</w:t>
            </w:r>
          </w:p>
        </w:tc>
        <w:tc>
          <w:tcPr>
            <w:tcW w:w="3262" w:type="dxa"/>
          </w:tcPr>
          <w:p>
            <w:pPr>
              <w:pStyle w:val="TableParagraph"/>
              <w:spacing w:line="241" w:lineRule="exact"/>
              <w:ind w:left="107"/>
              <w:rPr>
                <w:sz w:val="21"/>
              </w:rPr>
            </w:pPr>
            <w:r>
              <w:rPr>
                <w:sz w:val="21"/>
              </w:rPr>
              <w:t>医院护工</w:t>
            </w:r>
          </w:p>
        </w:tc>
      </w:tr>
      <w:tr>
        <w:trPr>
          <w:trHeight w:val="280" w:hRule="atLeast"/>
        </w:trPr>
        <w:tc>
          <w:tcPr>
            <w:tcW w:w="3262" w:type="dxa"/>
          </w:tcPr>
          <w:p>
            <w:pPr>
              <w:pStyle w:val="TableParagraph"/>
              <w:spacing w:line="243" w:lineRule="exact"/>
              <w:ind w:left="107"/>
              <w:rPr>
                <w:sz w:val="21"/>
              </w:rPr>
            </w:pPr>
            <w:r>
              <w:rPr>
                <w:sz w:val="21"/>
              </w:rPr>
              <w:t>医生助理和牙医助理</w:t>
            </w:r>
          </w:p>
        </w:tc>
        <w:tc>
          <w:tcPr>
            <w:tcW w:w="3262" w:type="dxa"/>
          </w:tcPr>
          <w:p>
            <w:pPr>
              <w:pStyle w:val="TableParagraph"/>
              <w:spacing w:line="243" w:lineRule="exact"/>
              <w:ind w:left="107"/>
              <w:rPr>
                <w:sz w:val="21"/>
              </w:rPr>
            </w:pPr>
            <w:r>
              <w:rPr>
                <w:sz w:val="21"/>
              </w:rPr>
              <w:t>救护车工作人员</w:t>
            </w:r>
          </w:p>
        </w:tc>
      </w:tr>
      <w:tr>
        <w:trPr>
          <w:trHeight w:val="273" w:hRule="atLeast"/>
        </w:trPr>
        <w:tc>
          <w:tcPr>
            <w:tcW w:w="3262" w:type="dxa"/>
          </w:tcPr>
          <w:p>
            <w:pPr>
              <w:pStyle w:val="TableParagraph"/>
              <w:spacing w:line="241" w:lineRule="exact"/>
              <w:ind w:left="107"/>
              <w:rPr>
                <w:sz w:val="21"/>
              </w:rPr>
            </w:pPr>
            <w:r>
              <w:rPr>
                <w:sz w:val="21"/>
              </w:rPr>
              <w:t>助产士</w:t>
            </w:r>
          </w:p>
        </w:tc>
        <w:tc>
          <w:tcPr>
            <w:tcW w:w="3262" w:type="dxa"/>
          </w:tcPr>
          <w:p>
            <w:pPr>
              <w:pStyle w:val="TableParagraph"/>
              <w:spacing w:line="241" w:lineRule="exact"/>
              <w:ind w:left="107"/>
              <w:rPr>
                <w:sz w:val="21"/>
              </w:rPr>
            </w:pPr>
            <w:r>
              <w:rPr>
                <w:sz w:val="21"/>
              </w:rPr>
              <w:t>消防队员</w:t>
            </w:r>
          </w:p>
        </w:tc>
      </w:tr>
      <w:tr>
        <w:trPr>
          <w:trHeight w:val="292" w:hRule="atLeast"/>
        </w:trPr>
        <w:tc>
          <w:tcPr>
            <w:tcW w:w="3262" w:type="dxa"/>
          </w:tcPr>
          <w:p>
            <w:pPr>
              <w:pStyle w:val="TableParagraph"/>
              <w:spacing w:line="241" w:lineRule="exact"/>
              <w:ind w:left="107"/>
              <w:rPr>
                <w:sz w:val="21"/>
              </w:rPr>
            </w:pPr>
            <w:r>
              <w:rPr>
                <w:sz w:val="21"/>
              </w:rPr>
              <w:t>警察</w:t>
            </w:r>
          </w:p>
        </w:tc>
        <w:tc>
          <w:tcPr>
            <w:tcW w:w="3262" w:type="dxa"/>
          </w:tcPr>
          <w:p>
            <w:pPr>
              <w:pStyle w:val="TableParagraph"/>
              <w:spacing w:line="241" w:lineRule="exact"/>
              <w:ind w:left="107"/>
              <w:rPr>
                <w:sz w:val="21"/>
              </w:rPr>
            </w:pPr>
            <w:r>
              <w:rPr>
                <w:sz w:val="21"/>
              </w:rPr>
              <w:t>狱警</w:t>
            </w:r>
          </w:p>
        </w:tc>
      </w:tr>
    </w:tbl>
    <w:p>
      <w:pPr>
        <w:pStyle w:val="BodyText"/>
        <w:spacing w:before="1"/>
        <w:rPr>
          <w:sz w:val="25"/>
        </w:rPr>
      </w:pPr>
    </w:p>
    <w:p>
      <w:pPr>
        <w:pStyle w:val="BodyText"/>
        <w:spacing w:line="273" w:lineRule="auto"/>
        <w:ind w:left="156" w:right="162"/>
        <w:jc w:val="both"/>
      </w:pPr>
      <w:r>
        <w:rPr>
          <w:spacing w:val="-4"/>
        </w:rPr>
        <w:t>指因进行器官移植而感染上人类免疫缺陷病毒</w:t>
      </w:r>
      <w:r>
        <w:rPr>
          <w:spacing w:val="-5"/>
        </w:rPr>
        <w:t>（HIV）</w:t>
      </w:r>
      <w:r>
        <w:rPr>
          <w:spacing w:val="-6"/>
        </w:rPr>
        <w:t>或患艾滋病，且须满足</w:t>
      </w:r>
      <w:r>
        <w:rPr>
          <w:spacing w:val="-2"/>
        </w:rPr>
        <w:t>下列全部条件：</w:t>
      </w:r>
    </w:p>
    <w:p>
      <w:pPr>
        <w:pStyle w:val="BodyText"/>
        <w:spacing w:line="273" w:lineRule="auto" w:before="7"/>
        <w:ind w:left="682" w:right="162" w:hanging="526"/>
        <w:jc w:val="both"/>
      </w:pPr>
      <w:r>
        <w:rPr>
          <w:spacing w:val="-7"/>
        </w:rPr>
        <w:t>（1）</w:t>
      </w:r>
      <w:r>
        <w:rPr>
          <w:spacing w:val="-6"/>
        </w:rPr>
        <w:t>在保障起始日或复效日之后，被保险人因治疗必需而实施器官移植，并</w:t>
      </w:r>
      <w:r>
        <w:rPr>
          <w:spacing w:val="-4"/>
        </w:rPr>
        <w:t>且因器官移植而感染人类免疫缺陷病毒或患艾滋病；</w:t>
      </w:r>
    </w:p>
    <w:p>
      <w:pPr>
        <w:pStyle w:val="BodyText"/>
        <w:spacing w:line="273" w:lineRule="auto" w:before="7"/>
        <w:ind w:left="682" w:right="158" w:hanging="526"/>
        <w:jc w:val="both"/>
      </w:pPr>
      <w:r>
        <w:rPr>
          <w:spacing w:val="-18"/>
        </w:rPr>
        <w:t>（2）</w:t>
      </w:r>
      <w:r>
        <w:rPr>
          <w:spacing w:val="-3"/>
        </w:rPr>
        <w:t>提供器官移植治疗的器官移植中心或医院出具的此次因器官移植感染人</w:t>
      </w:r>
      <w:r>
        <w:rPr>
          <w:spacing w:val="-6"/>
        </w:rPr>
        <w:t>类免疫缺陷病毒或患艾滋病，属于医疗事故的报告，或者法院终审裁定</w:t>
      </w:r>
      <w:r>
        <w:rPr>
          <w:spacing w:val="-4"/>
        </w:rPr>
        <w:t>为医疗事故并且不准上诉；</w:t>
      </w:r>
    </w:p>
    <w:p>
      <w:pPr>
        <w:spacing w:after="0" w:line="273" w:lineRule="auto"/>
        <w:jc w:val="both"/>
        <w:sectPr>
          <w:type w:val="continuous"/>
          <w:pgSz w:w="11910" w:h="16840"/>
          <w:pgMar w:top="500" w:bottom="280" w:left="1240" w:right="780"/>
          <w:cols w:num="2" w:equalWidth="0">
            <w:col w:w="2533" w:space="47"/>
            <w:col w:w="7310"/>
          </w:cols>
        </w:sectPr>
      </w:pPr>
    </w:p>
    <w:p>
      <w:pPr>
        <w:pStyle w:val="BodyText"/>
        <w:spacing w:before="5"/>
        <w:rPr>
          <w:sz w:val="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933"/>
        <w:gridCol w:w="7141"/>
      </w:tblGrid>
      <w:tr>
        <w:trPr>
          <w:trHeight w:val="261" w:hRule="atLeast"/>
        </w:trPr>
        <w:tc>
          <w:tcPr>
            <w:tcW w:w="2528" w:type="dxa"/>
            <w:gridSpan w:val="2"/>
            <w:vMerge w:val="restart"/>
          </w:tcPr>
          <w:p>
            <w:pPr>
              <w:pStyle w:val="TableParagraph"/>
              <w:rPr>
                <w:rFonts w:ascii="Times New Roman"/>
                <w:sz w:val="20"/>
              </w:rPr>
            </w:pPr>
          </w:p>
        </w:tc>
        <w:tc>
          <w:tcPr>
            <w:tcW w:w="7141" w:type="dxa"/>
          </w:tcPr>
          <w:p>
            <w:pPr>
              <w:pStyle w:val="TableParagraph"/>
              <w:spacing w:line="211" w:lineRule="exact"/>
              <w:ind w:left="101"/>
              <w:rPr>
                <w:sz w:val="21"/>
              </w:rPr>
            </w:pPr>
            <w:r>
              <w:rPr>
                <w:sz w:val="21"/>
              </w:rPr>
              <w:t>（3）提供器官移植治疗的器官移植中心或医院必须拥有合法经营执照。</w:t>
            </w:r>
          </w:p>
        </w:tc>
      </w:tr>
      <w:tr>
        <w:trPr>
          <w:trHeight w:val="312" w:hRule="atLeast"/>
        </w:trPr>
        <w:tc>
          <w:tcPr>
            <w:tcW w:w="2528" w:type="dxa"/>
            <w:gridSpan w:val="2"/>
            <w:vMerge/>
            <w:tcBorders>
              <w:top w:val="nil"/>
            </w:tcBorders>
          </w:tcPr>
          <w:p>
            <w:pPr>
              <w:rPr>
                <w:sz w:val="2"/>
                <w:szCs w:val="2"/>
              </w:rPr>
            </w:pPr>
          </w:p>
        </w:tc>
        <w:tc>
          <w:tcPr>
            <w:tcW w:w="7141" w:type="dxa"/>
          </w:tcPr>
          <w:p>
            <w:pPr>
              <w:pStyle w:val="TableParagraph"/>
              <w:spacing w:line="262" w:lineRule="exact"/>
              <w:ind w:left="101"/>
              <w:rPr>
                <w:sz w:val="21"/>
              </w:rPr>
            </w:pPr>
            <w:r>
              <w:rPr>
                <w:sz w:val="21"/>
                <w:shd w:fill="DADADA" w:color="auto" w:val="clear"/>
              </w:rPr>
              <w:t>任何因其他传播方式（包括：性传播或静脉注射毒品）导致的 HIV 感染或患</w:t>
            </w:r>
          </w:p>
        </w:tc>
      </w:tr>
      <w:tr>
        <w:trPr>
          <w:trHeight w:val="472" w:hRule="atLeast"/>
        </w:trPr>
        <w:tc>
          <w:tcPr>
            <w:tcW w:w="2528" w:type="dxa"/>
            <w:gridSpan w:val="2"/>
            <w:vMerge/>
            <w:tcBorders>
              <w:top w:val="nil"/>
            </w:tcBorders>
          </w:tcPr>
          <w:p>
            <w:pPr>
              <w:rPr>
                <w:sz w:val="2"/>
                <w:szCs w:val="2"/>
              </w:rPr>
            </w:pPr>
          </w:p>
        </w:tc>
        <w:tc>
          <w:tcPr>
            <w:tcW w:w="7141" w:type="dxa"/>
          </w:tcPr>
          <w:p>
            <w:pPr>
              <w:pStyle w:val="TableParagraph"/>
              <w:spacing w:line="261" w:lineRule="exact"/>
              <w:ind w:left="101"/>
              <w:rPr>
                <w:sz w:val="21"/>
              </w:rPr>
            </w:pPr>
            <w:r>
              <w:rPr>
                <w:sz w:val="21"/>
                <w:shd w:fill="DADADA" w:color="auto" w:val="clear"/>
              </w:rPr>
              <w:t>艾滋病不在保障范围内。</w:t>
            </w:r>
          </w:p>
        </w:tc>
      </w:tr>
      <w:tr>
        <w:trPr>
          <w:trHeight w:val="815" w:hRule="atLeast"/>
        </w:trPr>
        <w:tc>
          <w:tcPr>
            <w:tcW w:w="595" w:type="dxa"/>
          </w:tcPr>
          <w:p>
            <w:pPr>
              <w:pStyle w:val="TableParagraph"/>
              <w:spacing w:before="167"/>
              <w:ind w:left="50"/>
              <w:rPr>
                <w:b/>
                <w:sz w:val="21"/>
              </w:rPr>
            </w:pPr>
            <w:r>
              <w:rPr>
                <w:b/>
                <w:sz w:val="21"/>
              </w:rPr>
              <w:t>48</w:t>
            </w:r>
          </w:p>
        </w:tc>
        <w:tc>
          <w:tcPr>
            <w:tcW w:w="1933" w:type="dxa"/>
          </w:tcPr>
          <w:p>
            <w:pPr>
              <w:pStyle w:val="TableParagraph"/>
              <w:spacing w:line="232" w:lineRule="auto" w:before="141"/>
              <w:ind w:left="333" w:right="113"/>
              <w:rPr>
                <w:rFonts w:ascii="等线" w:eastAsia="等线" w:hint="eastAsia"/>
                <w:b/>
                <w:sz w:val="24"/>
              </w:rPr>
            </w:pPr>
            <w:r>
              <w:rPr>
                <w:rFonts w:ascii="等线" w:eastAsia="等线" w:hint="eastAsia"/>
                <w:b/>
                <w:sz w:val="24"/>
              </w:rPr>
              <w:t>严重的 1 型糖尿病</w:t>
            </w:r>
          </w:p>
        </w:tc>
        <w:tc>
          <w:tcPr>
            <w:tcW w:w="7141" w:type="dxa"/>
          </w:tcPr>
          <w:p>
            <w:pPr>
              <w:pStyle w:val="TableParagraph"/>
              <w:spacing w:line="273" w:lineRule="auto" w:before="167"/>
              <w:ind w:left="101" w:right="50"/>
              <w:rPr>
                <w:sz w:val="21"/>
              </w:rPr>
            </w:pPr>
            <w:r>
              <w:rPr>
                <w:sz w:val="21"/>
              </w:rPr>
              <w:t>指由于胰岛素分泌绝对不足引起的慢性血糖升高，且已经持续性地依赖外源</w:t>
            </w:r>
            <w:r>
              <w:rPr>
                <w:spacing w:val="-8"/>
                <w:sz w:val="21"/>
              </w:rPr>
              <w:t>性胰岛素维持 </w:t>
            </w:r>
            <w:r>
              <w:rPr>
                <w:sz w:val="21"/>
              </w:rPr>
              <w:t>180</w:t>
            </w:r>
            <w:r>
              <w:rPr>
                <w:spacing w:val="-11"/>
                <w:sz w:val="21"/>
              </w:rPr>
              <w:t> 日以上。须经血胰岛素测定、血 </w:t>
            </w:r>
            <w:r>
              <w:rPr>
                <w:sz w:val="21"/>
              </w:rPr>
              <w:t>C</w:t>
            </w:r>
            <w:r>
              <w:rPr>
                <w:spacing w:val="-14"/>
                <w:sz w:val="21"/>
              </w:rPr>
              <w:t> 肽测定或尿 </w:t>
            </w:r>
            <w:r>
              <w:rPr>
                <w:sz w:val="21"/>
              </w:rPr>
              <w:t>C</w:t>
            </w:r>
            <w:r>
              <w:rPr>
                <w:spacing w:val="-10"/>
                <w:sz w:val="21"/>
              </w:rPr>
              <w:t> 肽测定，</w:t>
            </w:r>
          </w:p>
        </w:tc>
      </w:tr>
      <w:tr>
        <w:trPr>
          <w:trHeight w:val="300"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41" w:type="dxa"/>
          </w:tcPr>
          <w:p>
            <w:pPr>
              <w:pStyle w:val="TableParagraph"/>
              <w:spacing w:line="250" w:lineRule="exact"/>
              <w:ind w:left="101"/>
              <w:rPr>
                <w:sz w:val="21"/>
              </w:rPr>
            </w:pPr>
            <w:r>
              <w:rPr>
                <w:sz w:val="21"/>
              </w:rPr>
              <w:t>结果异常，并由内分泌科专科医生明确诊断。并须在本附加险合同保险期间</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41" w:type="dxa"/>
          </w:tcPr>
          <w:p>
            <w:pPr>
              <w:pStyle w:val="TableParagraph"/>
              <w:spacing w:line="261" w:lineRule="exact"/>
              <w:ind w:left="101"/>
              <w:rPr>
                <w:sz w:val="21"/>
              </w:rPr>
            </w:pPr>
            <w:r>
              <w:rPr>
                <w:sz w:val="21"/>
              </w:rPr>
              <w:t>内，满足下列至少 1 个条件：</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41" w:type="dxa"/>
          </w:tcPr>
          <w:p>
            <w:pPr>
              <w:pStyle w:val="TableParagraph"/>
              <w:spacing w:line="261" w:lineRule="exact"/>
              <w:ind w:left="101"/>
              <w:rPr>
                <w:sz w:val="21"/>
              </w:rPr>
            </w:pPr>
            <w:r>
              <w:rPr>
                <w:sz w:val="21"/>
              </w:rPr>
              <w:t>（1）已出现增殖性视网膜病变；</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41" w:type="dxa"/>
          </w:tcPr>
          <w:p>
            <w:pPr>
              <w:pStyle w:val="TableParagraph"/>
              <w:spacing w:line="261" w:lineRule="exact"/>
              <w:ind w:left="101"/>
              <w:rPr>
                <w:sz w:val="21"/>
              </w:rPr>
            </w:pPr>
            <w:r>
              <w:rPr>
                <w:sz w:val="21"/>
              </w:rPr>
              <w:t>（2）须植入心脏起搏器治疗心脏病；</w:t>
            </w:r>
          </w:p>
        </w:tc>
      </w:tr>
      <w:tr>
        <w:trPr>
          <w:trHeight w:val="47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141" w:type="dxa"/>
          </w:tcPr>
          <w:p>
            <w:pPr>
              <w:pStyle w:val="TableParagraph"/>
              <w:spacing w:line="261" w:lineRule="exact"/>
              <w:ind w:left="101"/>
              <w:rPr>
                <w:sz w:val="21"/>
              </w:rPr>
            </w:pPr>
            <w:r>
              <w:rPr>
                <w:sz w:val="21"/>
              </w:rPr>
              <w:t>（3）因坏疽需切除至少一个脚趾。</w:t>
            </w:r>
          </w:p>
        </w:tc>
      </w:tr>
      <w:tr>
        <w:trPr>
          <w:trHeight w:val="777" w:hRule="atLeast"/>
        </w:trPr>
        <w:tc>
          <w:tcPr>
            <w:tcW w:w="595" w:type="dxa"/>
          </w:tcPr>
          <w:p>
            <w:pPr>
              <w:pStyle w:val="TableParagraph"/>
              <w:spacing w:before="166"/>
              <w:ind w:left="50"/>
              <w:rPr>
                <w:b/>
                <w:sz w:val="21"/>
              </w:rPr>
            </w:pPr>
            <w:r>
              <w:rPr>
                <w:b/>
                <w:sz w:val="21"/>
              </w:rPr>
              <w:t>49</w:t>
            </w:r>
          </w:p>
        </w:tc>
        <w:tc>
          <w:tcPr>
            <w:tcW w:w="1933" w:type="dxa"/>
          </w:tcPr>
          <w:p>
            <w:pPr>
              <w:pStyle w:val="TableParagraph"/>
              <w:spacing w:line="320" w:lineRule="exact" w:before="145"/>
              <w:ind w:left="333" w:right="101"/>
              <w:rPr>
                <w:rFonts w:ascii="等线" w:eastAsia="等线" w:hint="eastAsia"/>
                <w:b/>
                <w:sz w:val="24"/>
              </w:rPr>
            </w:pPr>
            <w:r>
              <w:rPr>
                <w:rFonts w:ascii="等线" w:eastAsia="等线" w:hint="eastAsia"/>
                <w:b/>
                <w:sz w:val="24"/>
              </w:rPr>
              <w:t>成骨不全症第三型</w:t>
            </w:r>
          </w:p>
        </w:tc>
        <w:tc>
          <w:tcPr>
            <w:tcW w:w="7141" w:type="dxa"/>
          </w:tcPr>
          <w:p>
            <w:pPr>
              <w:pStyle w:val="TableParagraph"/>
              <w:spacing w:before="166"/>
              <w:ind w:left="101"/>
              <w:rPr>
                <w:sz w:val="21"/>
              </w:rPr>
            </w:pPr>
            <w:r>
              <w:rPr>
                <w:sz w:val="21"/>
              </w:rPr>
              <w:t>成骨不全症第三型须由专科医生明确诊断，同时符合下列所有条件：</w:t>
            </w:r>
          </w:p>
          <w:p>
            <w:pPr>
              <w:pStyle w:val="TableParagraph"/>
              <w:spacing w:before="37"/>
              <w:ind w:left="101"/>
              <w:rPr>
                <w:sz w:val="21"/>
              </w:rPr>
            </w:pPr>
            <w:r>
              <w:rPr>
                <w:sz w:val="21"/>
              </w:rPr>
              <w:t>（1）就成骨不全症第三型之诊断进行的皮肤切片的病理检查结果为阳性；</w:t>
            </w:r>
          </w:p>
        </w:tc>
      </w:tr>
    </w:tbl>
    <w:p>
      <w:pPr>
        <w:spacing w:after="0"/>
        <w:rPr>
          <w:sz w:val="21"/>
        </w:rPr>
        <w:sectPr>
          <w:type w:val="continuous"/>
          <w:pgSz w:w="11910" w:h="16840"/>
          <w:pgMar w:top="500" w:bottom="280" w:left="1240" w:right="780"/>
        </w:sect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933"/>
        <w:gridCol w:w="7244"/>
      </w:tblGrid>
      <w:tr>
        <w:trPr>
          <w:trHeight w:val="261" w:hRule="atLeast"/>
        </w:trPr>
        <w:tc>
          <w:tcPr>
            <w:tcW w:w="595" w:type="dxa"/>
          </w:tcPr>
          <w:p>
            <w:pPr>
              <w:pStyle w:val="TableParagraph"/>
              <w:rPr>
                <w:rFonts w:ascii="Times New Roman"/>
                <w:sz w:val="18"/>
              </w:rPr>
            </w:pPr>
          </w:p>
        </w:tc>
        <w:tc>
          <w:tcPr>
            <w:tcW w:w="1933" w:type="dxa"/>
          </w:tcPr>
          <w:p>
            <w:pPr>
              <w:pStyle w:val="TableParagraph"/>
              <w:rPr>
                <w:rFonts w:ascii="Times New Roman"/>
                <w:sz w:val="18"/>
              </w:rPr>
            </w:pPr>
          </w:p>
        </w:tc>
        <w:tc>
          <w:tcPr>
            <w:tcW w:w="7244" w:type="dxa"/>
          </w:tcPr>
          <w:p>
            <w:pPr>
              <w:pStyle w:val="TableParagraph"/>
              <w:spacing w:line="211" w:lineRule="exact"/>
              <w:ind w:left="101"/>
              <w:rPr>
                <w:sz w:val="21"/>
              </w:rPr>
            </w:pPr>
            <w:r>
              <w:rPr>
                <w:sz w:val="21"/>
              </w:rPr>
              <w:t>（2）X 光片结果显示多处骨折及逐步脊柱后侧凸畸形；</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61" w:lineRule="exact"/>
              <w:ind w:left="101"/>
              <w:rPr>
                <w:sz w:val="21"/>
              </w:rPr>
            </w:pPr>
            <w:r>
              <w:rPr>
                <w:sz w:val="21"/>
              </w:rPr>
              <w:t>（3）有证明是因此疾病引致发育迟缓及听力损伤。</w:t>
            </w:r>
          </w:p>
        </w:tc>
      </w:tr>
      <w:tr>
        <w:trPr>
          <w:trHeight w:val="472"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61" w:lineRule="exact"/>
              <w:ind w:left="101"/>
              <w:rPr>
                <w:sz w:val="21"/>
              </w:rPr>
            </w:pPr>
            <w:r>
              <w:rPr>
                <w:sz w:val="21"/>
                <w:shd w:fill="DADADA" w:color="auto" w:val="clear"/>
              </w:rPr>
              <w:t>本公司仅对被保险人年满 18 周岁前确诊本项疾病承担保险责任。</w:t>
            </w:r>
          </w:p>
        </w:tc>
      </w:tr>
      <w:tr>
        <w:trPr>
          <w:trHeight w:val="493" w:hRule="atLeast"/>
        </w:trPr>
        <w:tc>
          <w:tcPr>
            <w:tcW w:w="595" w:type="dxa"/>
          </w:tcPr>
          <w:p>
            <w:pPr>
              <w:pStyle w:val="TableParagraph"/>
              <w:spacing w:before="167"/>
              <w:ind w:left="50"/>
              <w:rPr>
                <w:b/>
                <w:sz w:val="21"/>
              </w:rPr>
            </w:pPr>
            <w:r>
              <w:rPr>
                <w:b/>
                <w:sz w:val="21"/>
              </w:rPr>
              <w:t>50</w:t>
            </w:r>
          </w:p>
        </w:tc>
        <w:tc>
          <w:tcPr>
            <w:tcW w:w="1933" w:type="dxa"/>
          </w:tcPr>
          <w:p>
            <w:pPr>
              <w:pStyle w:val="TableParagraph"/>
              <w:spacing w:before="131"/>
              <w:ind w:left="333"/>
              <w:rPr>
                <w:rFonts w:ascii="等线" w:eastAsia="等线" w:hint="eastAsia"/>
                <w:b/>
                <w:sz w:val="24"/>
              </w:rPr>
            </w:pPr>
            <w:r>
              <w:rPr>
                <w:rFonts w:ascii="等线" w:eastAsia="等线" w:hint="eastAsia"/>
                <w:b/>
                <w:sz w:val="24"/>
              </w:rPr>
              <w:t>多处臂丛神经</w:t>
            </w:r>
          </w:p>
        </w:tc>
        <w:tc>
          <w:tcPr>
            <w:tcW w:w="7244" w:type="dxa"/>
          </w:tcPr>
          <w:p>
            <w:pPr>
              <w:pStyle w:val="TableParagraph"/>
              <w:spacing w:before="167"/>
              <w:ind w:left="101"/>
              <w:rPr>
                <w:sz w:val="21"/>
              </w:rPr>
            </w:pPr>
            <w:r>
              <w:rPr>
                <w:sz w:val="21"/>
              </w:rPr>
              <w:t>指由于疾病或意外导致至少两根臂丛神经根性撕脱，所造成的手臂感觉功能</w:t>
            </w:r>
          </w:p>
        </w:tc>
      </w:tr>
      <w:tr>
        <w:trPr>
          <w:trHeight w:val="321"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根性撕脱</w:t>
            </w:r>
          </w:p>
        </w:tc>
        <w:tc>
          <w:tcPr>
            <w:tcW w:w="7244" w:type="dxa"/>
          </w:tcPr>
          <w:p>
            <w:pPr>
              <w:pStyle w:val="TableParagraph"/>
              <w:spacing w:line="260" w:lineRule="exact"/>
              <w:ind w:left="101"/>
              <w:rPr>
                <w:sz w:val="21"/>
              </w:rPr>
            </w:pPr>
            <w:r>
              <w:rPr>
                <w:sz w:val="21"/>
              </w:rPr>
              <w:t>与运动功能完全永久性丧失。该病须由医院专科医生明确诊断，并且有电生</w:t>
            </w:r>
          </w:p>
        </w:tc>
      </w:tr>
      <w:tr>
        <w:trPr>
          <w:trHeight w:val="46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50" w:lineRule="exact"/>
              <w:ind w:left="101"/>
              <w:rPr>
                <w:sz w:val="21"/>
              </w:rPr>
            </w:pPr>
            <w:r>
              <w:rPr>
                <w:sz w:val="21"/>
              </w:rPr>
              <w:t>理检查结果证实。</w:t>
            </w:r>
          </w:p>
        </w:tc>
      </w:tr>
      <w:tr>
        <w:trPr>
          <w:trHeight w:val="493" w:hRule="atLeast"/>
        </w:trPr>
        <w:tc>
          <w:tcPr>
            <w:tcW w:w="595" w:type="dxa"/>
          </w:tcPr>
          <w:p>
            <w:pPr>
              <w:pStyle w:val="TableParagraph"/>
              <w:spacing w:before="167"/>
              <w:ind w:left="50"/>
              <w:rPr>
                <w:b/>
                <w:sz w:val="21"/>
              </w:rPr>
            </w:pPr>
            <w:r>
              <w:rPr>
                <w:b/>
                <w:sz w:val="21"/>
              </w:rPr>
              <w:t>51</w:t>
            </w:r>
          </w:p>
        </w:tc>
        <w:tc>
          <w:tcPr>
            <w:tcW w:w="1933" w:type="dxa"/>
          </w:tcPr>
          <w:p>
            <w:pPr>
              <w:pStyle w:val="TableParagraph"/>
              <w:spacing w:before="131"/>
              <w:ind w:left="333"/>
              <w:rPr>
                <w:rFonts w:ascii="等线" w:eastAsia="等线" w:hint="eastAsia"/>
                <w:b/>
                <w:sz w:val="24"/>
              </w:rPr>
            </w:pPr>
            <w:r>
              <w:rPr>
                <w:rFonts w:ascii="等线" w:eastAsia="等线" w:hint="eastAsia"/>
                <w:b/>
                <w:sz w:val="24"/>
              </w:rPr>
              <w:t>溶血性链球菌</w:t>
            </w:r>
          </w:p>
        </w:tc>
        <w:tc>
          <w:tcPr>
            <w:tcW w:w="7244" w:type="dxa"/>
          </w:tcPr>
          <w:p>
            <w:pPr>
              <w:pStyle w:val="TableParagraph"/>
              <w:spacing w:before="167"/>
              <w:ind w:left="101"/>
              <w:rPr>
                <w:sz w:val="21"/>
              </w:rPr>
            </w:pPr>
            <w:r>
              <w:rPr>
                <w:sz w:val="21"/>
              </w:rPr>
              <w:t>指包围肢体或者躯干的浅筋膜或者深筋膜受到溶血性链球菌的感染，病情在</w:t>
            </w:r>
          </w:p>
        </w:tc>
      </w:tr>
      <w:tr>
        <w:trPr>
          <w:trHeight w:val="321"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引起的坏疽</w:t>
            </w:r>
          </w:p>
        </w:tc>
        <w:tc>
          <w:tcPr>
            <w:tcW w:w="7244" w:type="dxa"/>
          </w:tcPr>
          <w:p>
            <w:pPr>
              <w:pStyle w:val="TableParagraph"/>
              <w:spacing w:line="260" w:lineRule="exact"/>
              <w:ind w:left="101"/>
              <w:rPr>
                <w:sz w:val="21"/>
              </w:rPr>
            </w:pPr>
            <w:r>
              <w:rPr>
                <w:sz w:val="21"/>
              </w:rPr>
              <w:t>短时间内急剧恶化，且已经立刻进行了手术。最后的诊断必须由微生物或者</w:t>
            </w:r>
          </w:p>
        </w:tc>
      </w:tr>
      <w:tr>
        <w:trPr>
          <w:trHeight w:val="460"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50" w:lineRule="exact"/>
              <w:ind w:left="101"/>
              <w:rPr>
                <w:sz w:val="21"/>
              </w:rPr>
            </w:pPr>
            <w:r>
              <w:rPr>
                <w:sz w:val="21"/>
              </w:rPr>
              <w:t>病理学专家进行相关检查后证实。</w:t>
            </w:r>
          </w:p>
        </w:tc>
      </w:tr>
      <w:tr>
        <w:trPr>
          <w:trHeight w:val="493" w:hRule="atLeast"/>
        </w:trPr>
        <w:tc>
          <w:tcPr>
            <w:tcW w:w="595" w:type="dxa"/>
          </w:tcPr>
          <w:p>
            <w:pPr>
              <w:pStyle w:val="TableParagraph"/>
              <w:spacing w:before="166"/>
              <w:ind w:left="50"/>
              <w:rPr>
                <w:b/>
                <w:sz w:val="21"/>
              </w:rPr>
            </w:pPr>
            <w:r>
              <w:rPr>
                <w:b/>
                <w:sz w:val="21"/>
              </w:rPr>
              <w:t>52</w:t>
            </w:r>
          </w:p>
        </w:tc>
        <w:tc>
          <w:tcPr>
            <w:tcW w:w="1933" w:type="dxa"/>
          </w:tcPr>
          <w:p>
            <w:pPr>
              <w:pStyle w:val="TableParagraph"/>
              <w:spacing w:before="130"/>
              <w:ind w:left="333"/>
              <w:rPr>
                <w:rFonts w:ascii="等线" w:eastAsia="等线" w:hint="eastAsia"/>
                <w:b/>
                <w:sz w:val="24"/>
              </w:rPr>
            </w:pPr>
            <w:r>
              <w:rPr>
                <w:rFonts w:ascii="等线" w:eastAsia="等线" w:hint="eastAsia"/>
                <w:b/>
                <w:sz w:val="24"/>
              </w:rPr>
              <w:t>严重瑞氏综合</w:t>
            </w:r>
          </w:p>
        </w:tc>
        <w:tc>
          <w:tcPr>
            <w:tcW w:w="7244" w:type="dxa"/>
          </w:tcPr>
          <w:p>
            <w:pPr>
              <w:pStyle w:val="TableParagraph"/>
              <w:spacing w:before="166"/>
              <w:ind w:left="101"/>
              <w:rPr>
                <w:sz w:val="21"/>
              </w:rPr>
            </w:pPr>
            <w:r>
              <w:rPr>
                <w:sz w:val="21"/>
              </w:rPr>
              <w:t>瑞氏综合征是线粒体功能障碍性疾病。导致脂肪代谢障碍，引起短链脂肪酸、</w:t>
            </w:r>
          </w:p>
        </w:tc>
      </w:tr>
      <w:tr>
        <w:trPr>
          <w:trHeight w:val="318" w:hRule="atLeast"/>
        </w:trPr>
        <w:tc>
          <w:tcPr>
            <w:tcW w:w="595" w:type="dxa"/>
          </w:tcPr>
          <w:p>
            <w:pPr>
              <w:pStyle w:val="TableParagraph"/>
              <w:rPr>
                <w:rFonts w:ascii="Times New Roman"/>
                <w:sz w:val="20"/>
              </w:rPr>
            </w:pPr>
          </w:p>
        </w:tc>
        <w:tc>
          <w:tcPr>
            <w:tcW w:w="1933" w:type="dxa"/>
          </w:tcPr>
          <w:p>
            <w:pPr>
              <w:pStyle w:val="TableParagraph"/>
              <w:spacing w:line="283" w:lineRule="exact"/>
              <w:ind w:left="333"/>
              <w:rPr>
                <w:rFonts w:ascii="等线" w:eastAsia="等线" w:hint="eastAsia"/>
                <w:b/>
                <w:sz w:val="24"/>
              </w:rPr>
            </w:pPr>
            <w:r>
              <w:rPr>
                <w:rFonts w:ascii="等线" w:eastAsia="等线" w:hint="eastAsia"/>
                <w:b/>
                <w:spacing w:val="-51"/>
                <w:sz w:val="24"/>
              </w:rPr>
              <w:t>症</w:t>
            </w:r>
            <w:r>
              <w:rPr>
                <w:rFonts w:ascii="等线" w:eastAsia="等线" w:hint="eastAsia"/>
                <w:b/>
                <w:sz w:val="24"/>
              </w:rPr>
              <w:t>（Reye</w:t>
            </w:r>
            <w:r>
              <w:rPr>
                <w:rFonts w:ascii="等线" w:eastAsia="等线" w:hint="eastAsia"/>
                <w:b/>
                <w:spacing w:val="-7"/>
                <w:sz w:val="24"/>
              </w:rPr>
              <w:t> 综合</w:t>
            </w:r>
          </w:p>
        </w:tc>
        <w:tc>
          <w:tcPr>
            <w:tcW w:w="7244" w:type="dxa"/>
          </w:tcPr>
          <w:p>
            <w:pPr>
              <w:pStyle w:val="TableParagraph"/>
              <w:spacing w:line="259" w:lineRule="exact"/>
              <w:ind w:left="101"/>
              <w:rPr>
                <w:sz w:val="21"/>
              </w:rPr>
            </w:pPr>
            <w:r>
              <w:rPr>
                <w:sz w:val="21"/>
              </w:rPr>
              <w:t>血氨升高，造成脑水肿。主要临床表现为急性发热、反复呕吐、惊厥及意识</w:t>
            </w:r>
          </w:p>
        </w:tc>
      </w:tr>
      <w:tr>
        <w:trPr>
          <w:trHeight w:val="316"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征，也称赖氏</w:t>
            </w:r>
          </w:p>
        </w:tc>
        <w:tc>
          <w:tcPr>
            <w:tcW w:w="7244" w:type="dxa"/>
          </w:tcPr>
          <w:p>
            <w:pPr>
              <w:pStyle w:val="TableParagraph"/>
              <w:spacing w:line="253" w:lineRule="exact"/>
              <w:ind w:left="101"/>
              <w:rPr>
                <w:sz w:val="21"/>
              </w:rPr>
            </w:pPr>
            <w:r>
              <w:rPr>
                <w:sz w:val="21"/>
              </w:rPr>
              <w:t>障碍等。肝脏活检是确诊的重要手段。瑞氏综合征需由医院的专科医生确诊，</w:t>
            </w:r>
          </w:p>
        </w:tc>
      </w:tr>
      <w:tr>
        <w:trPr>
          <w:trHeight w:val="316"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综合征、雷氏</w:t>
            </w:r>
          </w:p>
        </w:tc>
        <w:tc>
          <w:tcPr>
            <w:tcW w:w="7244" w:type="dxa"/>
          </w:tcPr>
          <w:p>
            <w:pPr>
              <w:pStyle w:val="TableParagraph"/>
              <w:spacing w:line="248" w:lineRule="exact"/>
              <w:ind w:left="101"/>
              <w:rPr>
                <w:sz w:val="21"/>
              </w:rPr>
            </w:pPr>
            <w:r>
              <w:rPr>
                <w:sz w:val="21"/>
              </w:rPr>
              <w:t>并符合以下所有条件：</w:t>
            </w:r>
          </w:p>
        </w:tc>
      </w:tr>
      <w:tr>
        <w:trPr>
          <w:trHeight w:val="606" w:hRule="atLeast"/>
        </w:trPr>
        <w:tc>
          <w:tcPr>
            <w:tcW w:w="595" w:type="dxa"/>
          </w:tcPr>
          <w:p>
            <w:pPr>
              <w:pStyle w:val="TableParagraph"/>
              <w:rPr>
                <w:rFonts w:ascii="Times New Roman"/>
                <w:sz w:val="20"/>
              </w:rPr>
            </w:pPr>
          </w:p>
        </w:tc>
        <w:tc>
          <w:tcPr>
            <w:tcW w:w="1933" w:type="dxa"/>
          </w:tcPr>
          <w:p>
            <w:pPr>
              <w:pStyle w:val="TableParagraph"/>
              <w:spacing w:line="285" w:lineRule="exact"/>
              <w:ind w:left="333"/>
              <w:rPr>
                <w:rFonts w:ascii="等线" w:eastAsia="等线" w:hint="eastAsia"/>
                <w:b/>
                <w:sz w:val="24"/>
              </w:rPr>
            </w:pPr>
            <w:r>
              <w:rPr>
                <w:rFonts w:ascii="等线" w:eastAsia="等线" w:hint="eastAsia"/>
                <w:b/>
                <w:sz w:val="24"/>
              </w:rPr>
              <w:t>综合征）</w:t>
            </w:r>
          </w:p>
        </w:tc>
        <w:tc>
          <w:tcPr>
            <w:tcW w:w="7244" w:type="dxa"/>
          </w:tcPr>
          <w:p>
            <w:pPr>
              <w:pStyle w:val="TableParagraph"/>
              <w:spacing w:line="244" w:lineRule="exact"/>
              <w:ind w:left="102"/>
              <w:rPr>
                <w:sz w:val="21"/>
              </w:rPr>
            </w:pPr>
            <w:r>
              <w:rPr>
                <w:sz w:val="21"/>
              </w:rPr>
              <w:t>（1）有脑水肿和颅内压升高的脑脊液检查和影像学检查证据；</w:t>
            </w:r>
          </w:p>
          <w:p>
            <w:pPr>
              <w:pStyle w:val="TableParagraph"/>
              <w:spacing w:before="37"/>
              <w:ind w:left="102"/>
              <w:rPr>
                <w:sz w:val="21"/>
              </w:rPr>
            </w:pPr>
            <w:r>
              <w:rPr>
                <w:sz w:val="21"/>
              </w:rPr>
              <w:t>（2）血氨超过正常值的 3 倍；</w:t>
            </w:r>
          </w:p>
        </w:tc>
      </w:tr>
      <w:tr>
        <w:trPr>
          <w:trHeight w:val="472"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61" w:lineRule="exact"/>
              <w:ind w:left="102"/>
              <w:rPr>
                <w:sz w:val="21"/>
              </w:rPr>
            </w:pPr>
            <w:r>
              <w:rPr>
                <w:sz w:val="21"/>
              </w:rPr>
              <w:t>（3）临床出现昏迷，病程至少达到疾病分期的第 3 期。</w:t>
            </w:r>
          </w:p>
        </w:tc>
      </w:tr>
      <w:tr>
        <w:trPr>
          <w:trHeight w:val="493" w:hRule="atLeast"/>
        </w:trPr>
        <w:tc>
          <w:tcPr>
            <w:tcW w:w="595" w:type="dxa"/>
          </w:tcPr>
          <w:p>
            <w:pPr>
              <w:pStyle w:val="TableParagraph"/>
              <w:spacing w:before="167"/>
              <w:ind w:left="50"/>
              <w:rPr>
                <w:b/>
                <w:sz w:val="21"/>
              </w:rPr>
            </w:pPr>
            <w:r>
              <w:rPr>
                <w:b/>
                <w:sz w:val="21"/>
              </w:rPr>
              <w:t>53</w:t>
            </w:r>
          </w:p>
        </w:tc>
        <w:tc>
          <w:tcPr>
            <w:tcW w:w="1933" w:type="dxa"/>
          </w:tcPr>
          <w:p>
            <w:pPr>
              <w:pStyle w:val="TableParagraph"/>
              <w:spacing w:before="131"/>
              <w:ind w:left="333"/>
              <w:rPr>
                <w:rFonts w:ascii="等线" w:eastAsia="等线" w:hint="eastAsia"/>
                <w:b/>
                <w:sz w:val="24"/>
              </w:rPr>
            </w:pPr>
            <w:r>
              <w:rPr>
                <w:rFonts w:ascii="等线" w:eastAsia="等线" w:hint="eastAsia"/>
                <w:b/>
                <w:sz w:val="24"/>
              </w:rPr>
              <w:t>原发性脊柱侧</w:t>
            </w:r>
          </w:p>
        </w:tc>
        <w:tc>
          <w:tcPr>
            <w:tcW w:w="7244" w:type="dxa"/>
          </w:tcPr>
          <w:p>
            <w:pPr>
              <w:pStyle w:val="TableParagraph"/>
              <w:spacing w:before="167"/>
              <w:ind w:left="101"/>
              <w:rPr>
                <w:sz w:val="21"/>
              </w:rPr>
            </w:pPr>
            <w:r>
              <w:rPr>
                <w:sz w:val="21"/>
              </w:rPr>
              <w:t>指被保险人因原发性脊柱侧弯，实际实施了对该病的矫正外科手术。</w:t>
            </w:r>
            <w:r>
              <w:rPr>
                <w:sz w:val="21"/>
                <w:shd w:fill="DADADA" w:color="auto" w:val="clear"/>
              </w:rPr>
              <w:t>但由于</w:t>
            </w:r>
          </w:p>
        </w:tc>
      </w:tr>
      <w:tr>
        <w:trPr>
          <w:trHeight w:val="322" w:hRule="atLeast"/>
        </w:trPr>
        <w:tc>
          <w:tcPr>
            <w:tcW w:w="595" w:type="dxa"/>
          </w:tcPr>
          <w:p>
            <w:pPr>
              <w:pStyle w:val="TableParagraph"/>
              <w:rPr>
                <w:rFonts w:ascii="Times New Roman"/>
                <w:sz w:val="20"/>
              </w:rPr>
            </w:pPr>
          </w:p>
        </w:tc>
        <w:tc>
          <w:tcPr>
            <w:tcW w:w="1933" w:type="dxa"/>
          </w:tcPr>
          <w:p>
            <w:pPr>
              <w:pStyle w:val="TableParagraph"/>
              <w:spacing w:line="282" w:lineRule="exact"/>
              <w:ind w:left="333"/>
              <w:rPr>
                <w:rFonts w:ascii="等线" w:eastAsia="等线" w:hint="eastAsia"/>
                <w:b/>
                <w:sz w:val="24"/>
              </w:rPr>
            </w:pPr>
            <w:r>
              <w:rPr>
                <w:rFonts w:ascii="等线" w:eastAsia="等线" w:hint="eastAsia"/>
                <w:b/>
                <w:sz w:val="24"/>
              </w:rPr>
              <w:t>弯的矫正手术</w:t>
            </w:r>
          </w:p>
        </w:tc>
        <w:tc>
          <w:tcPr>
            <w:tcW w:w="7244" w:type="dxa"/>
          </w:tcPr>
          <w:p>
            <w:pPr>
              <w:pStyle w:val="TableParagraph"/>
              <w:spacing w:line="260" w:lineRule="exact"/>
              <w:ind w:left="101"/>
              <w:rPr>
                <w:sz w:val="21"/>
              </w:rPr>
            </w:pPr>
            <w:r>
              <w:rPr>
                <w:sz w:val="21"/>
                <w:shd w:fill="DADADA" w:color="auto" w:val="clear"/>
              </w:rPr>
              <w:t>先天性脊柱侧弯以及其他疾病或意外导致的继发性脊柱侧弯而进行的手术治</w:t>
            </w:r>
          </w:p>
        </w:tc>
      </w:tr>
      <w:tr>
        <w:trPr>
          <w:trHeight w:val="47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50" w:lineRule="exact"/>
              <w:ind w:left="101"/>
              <w:rPr>
                <w:sz w:val="21"/>
              </w:rPr>
            </w:pPr>
            <w:r>
              <w:rPr>
                <w:sz w:val="21"/>
                <w:shd w:fill="DADADA" w:color="auto" w:val="clear"/>
              </w:rPr>
              <w:t>疗不属于本保障责任。</w:t>
            </w:r>
          </w:p>
        </w:tc>
      </w:tr>
      <w:tr>
        <w:trPr>
          <w:trHeight w:val="641" w:hRule="atLeast"/>
        </w:trPr>
        <w:tc>
          <w:tcPr>
            <w:tcW w:w="595" w:type="dxa"/>
          </w:tcPr>
          <w:p>
            <w:pPr>
              <w:pStyle w:val="TableParagraph"/>
              <w:rPr>
                <w:rFonts w:ascii="Times New Roman"/>
                <w:sz w:val="20"/>
              </w:rPr>
            </w:pPr>
          </w:p>
        </w:tc>
        <w:tc>
          <w:tcPr>
            <w:tcW w:w="1933" w:type="dxa"/>
          </w:tcPr>
          <w:p>
            <w:pPr>
              <w:pStyle w:val="TableParagraph"/>
              <w:spacing w:before="157"/>
              <w:ind w:left="333"/>
              <w:rPr>
                <w:b/>
                <w:sz w:val="21"/>
              </w:rPr>
            </w:pPr>
            <w:r>
              <w:rPr>
                <w:b/>
                <w:sz w:val="21"/>
              </w:rPr>
              <w:t>第 3 组：</w:t>
            </w:r>
          </w:p>
        </w:tc>
        <w:tc>
          <w:tcPr>
            <w:tcW w:w="7244" w:type="dxa"/>
          </w:tcPr>
          <w:p>
            <w:pPr>
              <w:pStyle w:val="TableParagraph"/>
              <w:spacing w:before="157"/>
              <w:ind w:left="101"/>
              <w:rPr>
                <w:b/>
                <w:sz w:val="21"/>
              </w:rPr>
            </w:pPr>
            <w:r>
              <w:rPr>
                <w:b/>
                <w:sz w:val="21"/>
              </w:rPr>
              <w:t>神经系统相关及其他（27 种）</w:t>
            </w:r>
          </w:p>
        </w:tc>
      </w:tr>
      <w:tr>
        <w:trPr>
          <w:trHeight w:val="499" w:hRule="atLeast"/>
        </w:trPr>
        <w:tc>
          <w:tcPr>
            <w:tcW w:w="595" w:type="dxa"/>
          </w:tcPr>
          <w:p>
            <w:pPr>
              <w:pStyle w:val="TableParagraph"/>
              <w:spacing w:before="166"/>
              <w:ind w:left="50"/>
              <w:rPr>
                <w:b/>
                <w:sz w:val="21"/>
              </w:rPr>
            </w:pPr>
            <w:r>
              <w:rPr>
                <w:b/>
                <w:sz w:val="21"/>
              </w:rPr>
              <w:t>54</w:t>
            </w:r>
          </w:p>
        </w:tc>
        <w:tc>
          <w:tcPr>
            <w:tcW w:w="1933" w:type="dxa"/>
          </w:tcPr>
          <w:p>
            <w:pPr>
              <w:pStyle w:val="TableParagraph"/>
              <w:spacing w:before="130"/>
              <w:ind w:left="333"/>
              <w:rPr>
                <w:rFonts w:ascii="等线" w:eastAsia="等线" w:hint="eastAsia"/>
                <w:b/>
                <w:sz w:val="24"/>
              </w:rPr>
            </w:pPr>
            <w:r>
              <w:rPr>
                <w:rFonts w:ascii="等线" w:eastAsia="等线" w:hint="eastAsia"/>
                <w:b/>
                <w:sz w:val="24"/>
              </w:rPr>
              <w:t>脑中风后遗症</w:t>
            </w:r>
          </w:p>
        </w:tc>
        <w:tc>
          <w:tcPr>
            <w:tcW w:w="7244" w:type="dxa"/>
          </w:tcPr>
          <w:p>
            <w:pPr>
              <w:pStyle w:val="TableParagraph"/>
              <w:spacing w:before="166"/>
              <w:ind w:left="101"/>
              <w:rPr>
                <w:sz w:val="21"/>
              </w:rPr>
            </w:pPr>
            <w:r>
              <w:rPr>
                <w:sz w:val="21"/>
              </w:rPr>
              <w:t>指因脑血管的突发病变引起脑血管出血、栓塞或梗塞，并导致神经系统永久</w:t>
            </w:r>
          </w:p>
        </w:tc>
      </w:tr>
      <w:tr>
        <w:trPr>
          <w:trHeight w:val="303"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53" w:lineRule="exact"/>
              <w:ind w:left="101"/>
              <w:rPr>
                <w:sz w:val="21"/>
              </w:rPr>
            </w:pPr>
            <w:r>
              <w:rPr>
                <w:sz w:val="21"/>
              </w:rPr>
              <w:t>性的功能障碍。神经系统永久性的功能障碍，指疾病确诊 180 日后，仍遗留</w:t>
            </w:r>
          </w:p>
        </w:tc>
      </w:tr>
      <w:tr>
        <w:trPr>
          <w:trHeight w:val="300"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61" w:lineRule="exact"/>
              <w:ind w:left="101"/>
              <w:rPr>
                <w:sz w:val="21"/>
              </w:rPr>
            </w:pPr>
            <w:r>
              <w:rPr>
                <w:sz w:val="21"/>
              </w:rPr>
              <w:t>下列一种或一种以上障碍：</w:t>
            </w:r>
          </w:p>
        </w:tc>
      </w:tr>
      <w:tr>
        <w:trPr>
          <w:trHeight w:val="312"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73" w:lineRule="exact"/>
              <w:ind w:left="101"/>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tc>
      </w:tr>
      <w:tr>
        <w:trPr>
          <w:trHeight w:val="311"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73" w:lineRule="exact"/>
              <w:ind w:left="101"/>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tc>
      </w:tr>
      <w:tr>
        <w:trPr>
          <w:trHeight w:val="273" w:hRule="atLeast"/>
        </w:trPr>
        <w:tc>
          <w:tcPr>
            <w:tcW w:w="595" w:type="dxa"/>
          </w:tcPr>
          <w:p>
            <w:pPr>
              <w:pStyle w:val="TableParagraph"/>
              <w:rPr>
                <w:rFonts w:ascii="Times New Roman"/>
                <w:sz w:val="20"/>
              </w:rPr>
            </w:pPr>
          </w:p>
        </w:tc>
        <w:tc>
          <w:tcPr>
            <w:tcW w:w="1933" w:type="dxa"/>
          </w:tcPr>
          <w:p>
            <w:pPr>
              <w:pStyle w:val="TableParagraph"/>
              <w:rPr>
                <w:rFonts w:ascii="Times New Roman"/>
                <w:sz w:val="20"/>
              </w:rPr>
            </w:pPr>
          </w:p>
        </w:tc>
        <w:tc>
          <w:tcPr>
            <w:tcW w:w="7244" w:type="dxa"/>
          </w:tcPr>
          <w:p>
            <w:pPr>
              <w:pStyle w:val="TableParagraph"/>
              <w:spacing w:line="253" w:lineRule="exact"/>
              <w:ind w:left="102"/>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w:t>
            </w:r>
          </w:p>
        </w:tc>
      </w:tr>
    </w:tbl>
    <w:p>
      <w:pPr>
        <w:pStyle w:val="BodyText"/>
        <w:spacing w:before="42"/>
        <w:ind w:left="3582"/>
      </w:pPr>
      <w:r>
        <w:rPr/>
        <w:t>项或三项以上。</w:t>
      </w:r>
    </w:p>
    <w:p>
      <w:pPr>
        <w:pStyle w:val="BodyText"/>
        <w:spacing w:before="3"/>
        <w:rPr>
          <w:sz w:val="28"/>
        </w:rPr>
      </w:pPr>
      <w:r>
        <w:rPr/>
        <w:pict>
          <v:line style="position:absolute;mso-position-horizontal-relative:page;mso-position-vertical-relative:paragraph;z-index:1504;mso-wrap-distance-left:0;mso-wrap-distance-right:0" from="51pt,20.692863pt" to="195pt,20.692863pt" stroked="true" strokeweight=".48pt" strokecolor="#000000">
            <v:stroke dashstyle="solid"/>
            <w10:wrap type="topAndBottom"/>
          </v:line>
        </w:pict>
      </w:r>
    </w:p>
    <w:p>
      <w:pPr>
        <w:spacing w:line="256" w:lineRule="auto" w:before="25"/>
        <w:ind w:left="280" w:right="33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33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33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pgSz w:w="11910" w:h="16840"/>
          <w:pgMar w:top="1160" w:bottom="280" w:left="920" w:right="6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06"/>
        <w:gridCol w:w="7420"/>
      </w:tblGrid>
      <w:tr>
        <w:trPr>
          <w:trHeight w:val="2314" w:hRule="atLeast"/>
        </w:trPr>
        <w:tc>
          <w:tcPr>
            <w:tcW w:w="745" w:type="dxa"/>
          </w:tcPr>
          <w:p>
            <w:pPr>
              <w:pStyle w:val="TableParagraph"/>
              <w:spacing w:line="231" w:lineRule="exact"/>
              <w:ind w:left="200"/>
              <w:rPr>
                <w:b/>
                <w:sz w:val="21"/>
              </w:rPr>
            </w:pPr>
            <w:r>
              <w:rPr>
                <w:b/>
                <w:sz w:val="21"/>
              </w:rPr>
              <w:t>55</w:t>
            </w:r>
          </w:p>
        </w:tc>
        <w:tc>
          <w:tcPr>
            <w:tcW w:w="1906" w:type="dxa"/>
          </w:tcPr>
          <w:p>
            <w:pPr>
              <w:pStyle w:val="TableParagraph"/>
              <w:spacing w:line="248" w:lineRule="exact"/>
              <w:ind w:left="333"/>
              <w:rPr>
                <w:rFonts w:ascii="等线" w:eastAsia="等线" w:hint="eastAsia"/>
                <w:b/>
                <w:sz w:val="24"/>
              </w:rPr>
            </w:pPr>
            <w:r>
              <w:rPr>
                <w:rFonts w:ascii="等线" w:eastAsia="等线" w:hint="eastAsia"/>
                <w:b/>
                <w:sz w:val="24"/>
              </w:rPr>
              <w:t>良性脑肿瘤</w:t>
            </w:r>
          </w:p>
        </w:tc>
        <w:tc>
          <w:tcPr>
            <w:tcW w:w="7420" w:type="dxa"/>
          </w:tcPr>
          <w:p>
            <w:pPr>
              <w:pStyle w:val="TableParagraph"/>
              <w:spacing w:line="231" w:lineRule="exact"/>
              <w:ind w:left="129"/>
              <w:rPr>
                <w:sz w:val="21"/>
              </w:rPr>
            </w:pPr>
            <w:r>
              <w:rPr>
                <w:sz w:val="21"/>
              </w:rPr>
              <w:t>指脑的良性肿瘤，已经引起颅内压增高，临床表现为视神经乳头水肿、精神</w:t>
            </w:r>
          </w:p>
          <w:p>
            <w:pPr>
              <w:pStyle w:val="TableParagraph"/>
              <w:spacing w:line="273" w:lineRule="auto" w:before="37"/>
              <w:ind w:left="129" w:right="302" w:hanging="1"/>
              <w:jc w:val="both"/>
              <w:rPr>
                <w:sz w:val="21"/>
              </w:rPr>
            </w:pPr>
            <w:r>
              <w:rPr>
                <w:spacing w:val="-7"/>
                <w:w w:val="100"/>
                <w:sz w:val="21"/>
              </w:rPr>
              <w:t>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4"/>
                <w:w w:val="100"/>
                <w:sz w:val="21"/>
              </w:rPr>
              <w:t>、核磁</w:t>
            </w:r>
            <w:r>
              <w:rPr>
                <w:spacing w:val="-4"/>
                <w:sz w:val="21"/>
              </w:rPr>
              <w:t>共振检查（MRI）或正电子发射断层扫描（PET）等影像学检查证实，并须满</w:t>
            </w:r>
            <w:r>
              <w:rPr>
                <w:spacing w:val="-3"/>
                <w:sz w:val="21"/>
              </w:rPr>
              <w:t>足下列至少一项条件：</w:t>
            </w:r>
          </w:p>
          <w:p>
            <w:pPr>
              <w:pStyle w:val="TableParagraph"/>
              <w:spacing w:before="7"/>
              <w:ind w:left="129"/>
              <w:jc w:val="both"/>
              <w:rPr>
                <w:sz w:val="21"/>
              </w:rPr>
            </w:pPr>
            <w:r>
              <w:rPr>
                <w:sz w:val="21"/>
              </w:rPr>
              <w:t>（1）实际实施了开颅进行的脑肿瘤完全切除或部分切除的手术；</w:t>
            </w:r>
          </w:p>
          <w:p>
            <w:pPr>
              <w:pStyle w:val="TableParagraph"/>
              <w:spacing w:before="36"/>
              <w:ind w:left="129"/>
              <w:jc w:val="both"/>
              <w:rPr>
                <w:sz w:val="21"/>
              </w:rPr>
            </w:pPr>
            <w:r>
              <w:rPr>
                <w:sz w:val="21"/>
              </w:rPr>
              <w:t>（2）实际实施了对脑肿瘤进行的放射治疗。</w:t>
            </w:r>
          </w:p>
          <w:p>
            <w:pPr>
              <w:pStyle w:val="TableParagraph"/>
              <w:spacing w:before="37"/>
              <w:ind w:left="129"/>
              <w:jc w:val="both"/>
              <w:rPr>
                <w:sz w:val="21"/>
              </w:rPr>
            </w:pPr>
            <w:r>
              <w:rPr>
                <w:sz w:val="21"/>
                <w:shd w:fill="DADADA" w:color="auto" w:val="clear"/>
              </w:rPr>
              <w:t>脑垂体瘤、脑囊肿、脑血管性疾病不在保障范围内。</w:t>
            </w:r>
          </w:p>
        </w:tc>
      </w:tr>
      <w:tr>
        <w:trPr>
          <w:trHeight w:val="1588" w:hRule="atLeast"/>
        </w:trPr>
        <w:tc>
          <w:tcPr>
            <w:tcW w:w="745" w:type="dxa"/>
          </w:tcPr>
          <w:p>
            <w:pPr>
              <w:pStyle w:val="TableParagraph"/>
              <w:spacing w:before="167"/>
              <w:ind w:left="200"/>
              <w:rPr>
                <w:b/>
                <w:sz w:val="21"/>
              </w:rPr>
            </w:pPr>
            <w:r>
              <w:rPr>
                <w:b/>
                <w:sz w:val="21"/>
              </w:rPr>
              <w:t>56</w:t>
            </w:r>
          </w:p>
        </w:tc>
        <w:tc>
          <w:tcPr>
            <w:tcW w:w="1906" w:type="dxa"/>
          </w:tcPr>
          <w:p>
            <w:pPr>
              <w:pStyle w:val="TableParagraph"/>
              <w:spacing w:before="131"/>
              <w:ind w:left="333"/>
              <w:rPr>
                <w:rFonts w:ascii="等线" w:eastAsia="等线" w:hint="eastAsia"/>
                <w:b/>
                <w:sz w:val="24"/>
              </w:rPr>
            </w:pPr>
            <w:r>
              <w:rPr>
                <w:rFonts w:ascii="等线" w:eastAsia="等线" w:hint="eastAsia"/>
                <w:b/>
                <w:sz w:val="24"/>
              </w:rPr>
              <w:t>深度昏迷</w:t>
            </w:r>
          </w:p>
        </w:tc>
        <w:tc>
          <w:tcPr>
            <w:tcW w:w="7420" w:type="dxa"/>
          </w:tcPr>
          <w:p>
            <w:pPr>
              <w:pStyle w:val="TableParagraph"/>
              <w:spacing w:line="273" w:lineRule="auto" w:before="167"/>
              <w:ind w:left="129" w:right="199"/>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13"/>
                <w:sz w:val="21"/>
              </w:rPr>
              <w:t> 分以下， </w:t>
            </w:r>
            <w:r>
              <w:rPr>
                <w:spacing w:val="-5"/>
                <w:sz w:val="21"/>
              </w:rPr>
              <w:t>且已经持续使用呼吸机及其它生命维持系统 </w:t>
            </w:r>
            <w:r>
              <w:rPr>
                <w:sz w:val="21"/>
              </w:rPr>
              <w:t>96</w:t>
            </w:r>
            <w:r>
              <w:rPr>
                <w:spacing w:val="-9"/>
                <w:sz w:val="21"/>
              </w:rPr>
              <w:t> 小时以上。</w:t>
            </w:r>
          </w:p>
          <w:p>
            <w:pPr>
              <w:pStyle w:val="TableParagraph"/>
              <w:spacing w:before="7"/>
              <w:ind w:left="129"/>
              <w:rPr>
                <w:sz w:val="21"/>
              </w:rPr>
            </w:pPr>
            <w:r>
              <w:rPr>
                <w:sz w:val="21"/>
                <w:shd w:fill="DADADA" w:color="auto" w:val="clear"/>
              </w:rPr>
              <w:t>因酗酒或药物滥用导致的深度昏迷不在保障范围内。</w:t>
            </w:r>
          </w:p>
        </w:tc>
      </w:tr>
      <w:tr>
        <w:trPr>
          <w:trHeight w:val="1275" w:hRule="atLeast"/>
        </w:trPr>
        <w:tc>
          <w:tcPr>
            <w:tcW w:w="745" w:type="dxa"/>
          </w:tcPr>
          <w:p>
            <w:pPr>
              <w:pStyle w:val="TableParagraph"/>
              <w:spacing w:before="167"/>
              <w:ind w:left="200"/>
              <w:rPr>
                <w:b/>
                <w:sz w:val="21"/>
              </w:rPr>
            </w:pPr>
            <w:r>
              <w:rPr>
                <w:b/>
                <w:sz w:val="21"/>
              </w:rPr>
              <w:t>57</w:t>
            </w:r>
          </w:p>
        </w:tc>
        <w:tc>
          <w:tcPr>
            <w:tcW w:w="1906" w:type="dxa"/>
          </w:tcPr>
          <w:p>
            <w:pPr>
              <w:pStyle w:val="TableParagraph"/>
              <w:spacing w:before="131"/>
              <w:ind w:left="333"/>
              <w:rPr>
                <w:rFonts w:ascii="等线" w:eastAsia="等线" w:hint="eastAsia"/>
                <w:b/>
                <w:sz w:val="24"/>
              </w:rPr>
            </w:pPr>
            <w:r>
              <w:rPr>
                <w:rFonts w:ascii="等线" w:eastAsia="等线" w:hint="eastAsia"/>
                <w:b/>
                <w:sz w:val="24"/>
              </w:rPr>
              <w:t>瘫痪</w:t>
            </w:r>
          </w:p>
        </w:tc>
        <w:tc>
          <w:tcPr>
            <w:tcW w:w="7420" w:type="dxa"/>
          </w:tcPr>
          <w:p>
            <w:pPr>
              <w:pStyle w:val="TableParagraph"/>
              <w:spacing w:line="273" w:lineRule="auto" w:before="167"/>
              <w:ind w:left="129" w:right="300"/>
              <w:jc w:val="both"/>
              <w:rPr>
                <w:sz w:val="21"/>
              </w:rPr>
            </w:pPr>
            <w:r>
              <w:rPr>
                <w:sz w:val="21"/>
              </w:rPr>
              <w:t>指因疾病或意外伤害导致两肢或两肢以上肢体机能永久完全丧失。肢体机能</w:t>
            </w:r>
            <w:r>
              <w:rPr>
                <w:spacing w:val="-6"/>
                <w:sz w:val="21"/>
              </w:rPr>
              <w:t>永久完全丧失，指疾病确诊 </w:t>
            </w:r>
            <w:r>
              <w:rPr>
                <w:sz w:val="21"/>
              </w:rPr>
              <w:t>180</w:t>
            </w:r>
            <w:r>
              <w:rPr>
                <w:spacing w:val="-10"/>
                <w:sz w:val="21"/>
              </w:rPr>
              <w:t> 日后或意外伤害发生 </w:t>
            </w:r>
            <w:r>
              <w:rPr>
                <w:sz w:val="21"/>
              </w:rPr>
              <w:t>180</w:t>
            </w:r>
            <w:r>
              <w:rPr>
                <w:spacing w:val="-7"/>
                <w:sz w:val="21"/>
              </w:rPr>
              <w:t> 日后，每肢三大关</w:t>
            </w:r>
            <w:r>
              <w:rPr>
                <w:spacing w:val="-5"/>
                <w:sz w:val="21"/>
              </w:rPr>
              <w:t>节中的两大关节仍然完全僵硬，或不能随意识活动。</w:t>
            </w:r>
          </w:p>
        </w:tc>
      </w:tr>
      <w:tr>
        <w:trPr>
          <w:trHeight w:val="2211" w:hRule="atLeast"/>
        </w:trPr>
        <w:tc>
          <w:tcPr>
            <w:tcW w:w="745" w:type="dxa"/>
          </w:tcPr>
          <w:p>
            <w:pPr>
              <w:pStyle w:val="TableParagraph"/>
              <w:spacing w:before="166"/>
              <w:ind w:left="200"/>
              <w:rPr>
                <w:b/>
                <w:sz w:val="21"/>
              </w:rPr>
            </w:pPr>
            <w:r>
              <w:rPr>
                <w:b/>
                <w:sz w:val="21"/>
              </w:rPr>
              <w:t>58</w:t>
            </w:r>
          </w:p>
        </w:tc>
        <w:tc>
          <w:tcPr>
            <w:tcW w:w="1906" w:type="dxa"/>
          </w:tcPr>
          <w:p>
            <w:pPr>
              <w:pStyle w:val="TableParagraph"/>
              <w:spacing w:before="130"/>
              <w:ind w:left="333"/>
              <w:rPr>
                <w:rFonts w:ascii="等线" w:eastAsia="等线" w:hint="eastAsia"/>
                <w:b/>
                <w:sz w:val="24"/>
              </w:rPr>
            </w:pPr>
            <w:r>
              <w:rPr>
                <w:rFonts w:ascii="等线" w:eastAsia="等线" w:hint="eastAsia"/>
                <w:b/>
                <w:sz w:val="24"/>
              </w:rPr>
              <w:t>严重帕金森病</w:t>
            </w:r>
          </w:p>
        </w:tc>
        <w:tc>
          <w:tcPr>
            <w:tcW w:w="7420" w:type="dxa"/>
          </w:tcPr>
          <w:p>
            <w:pPr>
              <w:pStyle w:val="TableParagraph"/>
              <w:spacing w:line="273" w:lineRule="auto" w:before="166"/>
              <w:ind w:left="129" w:right="304"/>
              <w:rPr>
                <w:sz w:val="21"/>
              </w:rPr>
            </w:pPr>
            <w:r>
              <w:rPr>
                <w:sz w:val="21"/>
              </w:rPr>
              <w:t>是一种中枢神经系统的退行性疾病，临床表现为震颤麻痹、共济失调等。须满足下列全部条件：</w:t>
            </w:r>
          </w:p>
          <w:p>
            <w:pPr>
              <w:pStyle w:val="TableParagraph"/>
              <w:spacing w:before="8"/>
              <w:ind w:left="129"/>
              <w:rPr>
                <w:sz w:val="21"/>
              </w:rPr>
            </w:pPr>
            <w:r>
              <w:rPr>
                <w:sz w:val="21"/>
              </w:rPr>
              <w:t>（1）药物治疗无法控制病情；</w:t>
            </w:r>
          </w:p>
          <w:p>
            <w:pPr>
              <w:pStyle w:val="TableParagraph"/>
              <w:spacing w:line="273" w:lineRule="auto" w:before="37"/>
              <w:ind w:left="611" w:right="302" w:hanging="483"/>
              <w:rPr>
                <w:sz w:val="21"/>
              </w:rPr>
            </w:pPr>
            <w:r>
              <w:rPr>
                <w:spacing w:val="-10"/>
                <w:sz w:val="21"/>
              </w:rPr>
              <w:t>（2）</w:t>
            </w:r>
            <w:r>
              <w:rPr>
                <w:spacing w:val="-6"/>
                <w:sz w:val="21"/>
              </w:rPr>
              <w:t>自主生活能力完全丧失，无法独立完成六项基本日常生活活动中的三项</w:t>
            </w:r>
            <w:r>
              <w:rPr>
                <w:spacing w:val="-4"/>
                <w:sz w:val="21"/>
              </w:rPr>
              <w:t>或三项以上。</w:t>
            </w:r>
          </w:p>
          <w:p>
            <w:pPr>
              <w:pStyle w:val="TableParagraph"/>
              <w:spacing w:before="7"/>
              <w:ind w:left="129"/>
              <w:rPr>
                <w:sz w:val="21"/>
              </w:rPr>
            </w:pPr>
            <w:r>
              <w:rPr>
                <w:sz w:val="21"/>
                <w:shd w:fill="DADADA" w:color="auto" w:val="clear"/>
              </w:rPr>
              <w:t>继发性帕金森综合征不在保障范围内。</w:t>
            </w:r>
          </w:p>
        </w:tc>
      </w:tr>
      <w:tr>
        <w:trPr>
          <w:trHeight w:val="2836" w:hRule="atLeast"/>
        </w:trPr>
        <w:tc>
          <w:tcPr>
            <w:tcW w:w="745" w:type="dxa"/>
          </w:tcPr>
          <w:p>
            <w:pPr>
              <w:pStyle w:val="TableParagraph"/>
              <w:spacing w:before="167"/>
              <w:ind w:left="200"/>
              <w:rPr>
                <w:b/>
                <w:sz w:val="21"/>
              </w:rPr>
            </w:pPr>
            <w:r>
              <w:rPr>
                <w:b/>
                <w:sz w:val="21"/>
              </w:rPr>
              <w:t>59</w:t>
            </w:r>
          </w:p>
        </w:tc>
        <w:tc>
          <w:tcPr>
            <w:tcW w:w="1906" w:type="dxa"/>
          </w:tcPr>
          <w:p>
            <w:pPr>
              <w:pStyle w:val="TableParagraph"/>
              <w:spacing w:before="131"/>
              <w:ind w:left="333"/>
              <w:rPr>
                <w:rFonts w:ascii="等线" w:eastAsia="等线" w:hint="eastAsia"/>
                <w:b/>
                <w:sz w:val="24"/>
              </w:rPr>
            </w:pPr>
            <w:r>
              <w:rPr>
                <w:rFonts w:ascii="等线" w:eastAsia="等线" w:hint="eastAsia"/>
                <w:b/>
                <w:sz w:val="24"/>
              </w:rPr>
              <w:t>严重脑损伤</w:t>
            </w:r>
          </w:p>
        </w:tc>
        <w:tc>
          <w:tcPr>
            <w:tcW w:w="7420" w:type="dxa"/>
          </w:tcPr>
          <w:p>
            <w:pPr>
              <w:pStyle w:val="TableParagraph"/>
              <w:spacing w:line="273" w:lineRule="auto" w:before="167"/>
              <w:ind w:left="129" w:right="302"/>
              <w:jc w:val="both"/>
              <w:rPr>
                <w:sz w:val="21"/>
              </w:rPr>
            </w:pPr>
            <w:r>
              <w:rPr>
                <w:sz w:val="21"/>
              </w:rPr>
              <w:t>指因头部遭受机械性外力，引起脑重要部位损伤，导致神经系统永久性的功</w:t>
            </w:r>
            <w:r>
              <w:rPr>
                <w:w w:val="100"/>
                <w:sz w:val="21"/>
              </w:rPr>
              <w:t>能障碍。须由头颅断层扫描</w:t>
            </w:r>
            <w:r>
              <w:rPr>
                <w:spacing w:val="1"/>
                <w:w w:val="100"/>
                <w:sz w:val="21"/>
              </w:rPr>
              <w:t>（</w:t>
            </w:r>
            <w:r>
              <w:rPr>
                <w:w w:val="100"/>
                <w:sz w:val="21"/>
              </w:rPr>
              <w:t>CT</w:t>
            </w:r>
            <w:r>
              <w:rPr>
                <w:spacing w:val="-106"/>
                <w:w w:val="100"/>
                <w:sz w:val="21"/>
              </w:rPr>
              <w:t>）</w:t>
            </w:r>
            <w:r>
              <w:rPr>
                <w:w w:val="100"/>
                <w:sz w:val="21"/>
              </w:rPr>
              <w:t>、核磁共振检查（MRI）或正电子发射断层</w:t>
            </w:r>
            <w:r>
              <w:rPr>
                <w:sz w:val="21"/>
              </w:rPr>
              <w:t>扫描（PET）</w:t>
            </w:r>
            <w:r>
              <w:rPr>
                <w:spacing w:val="-4"/>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129"/>
              <w:rPr>
                <w:sz w:val="21"/>
              </w:rPr>
            </w:pPr>
            <w:r>
              <w:rPr>
                <w:sz w:val="21"/>
              </w:rPr>
              <w:t>（1）一肢或一肢以上肢体机能完全丧失；</w:t>
            </w:r>
          </w:p>
          <w:p>
            <w:pPr>
              <w:pStyle w:val="TableParagraph"/>
              <w:spacing w:before="36"/>
              <w:ind w:left="129"/>
              <w:rPr>
                <w:sz w:val="21"/>
              </w:rPr>
            </w:pPr>
            <w:r>
              <w:rPr>
                <w:sz w:val="21"/>
              </w:rPr>
              <w:t>（2）语言能力或咀嚼吞咽能力完全丧失；</w:t>
            </w:r>
          </w:p>
          <w:p>
            <w:pPr>
              <w:pStyle w:val="TableParagraph"/>
              <w:spacing w:line="273" w:lineRule="auto" w:before="36"/>
              <w:ind w:left="611" w:right="302" w:hanging="483"/>
              <w:rPr>
                <w:sz w:val="21"/>
              </w:rPr>
            </w:pPr>
            <w:r>
              <w:rPr>
                <w:spacing w:val="-10"/>
                <w:sz w:val="21"/>
              </w:rPr>
              <w:t>（3）</w:t>
            </w:r>
            <w:r>
              <w:rPr>
                <w:spacing w:val="-6"/>
                <w:sz w:val="21"/>
              </w:rPr>
              <w:t>自主生活能力完全丧失，无法独立完成六项基本日常生活活动中的三项</w:t>
            </w:r>
            <w:r>
              <w:rPr>
                <w:spacing w:val="-4"/>
                <w:sz w:val="21"/>
              </w:rPr>
              <w:t>或三项以上。</w:t>
            </w:r>
          </w:p>
        </w:tc>
      </w:tr>
      <w:tr>
        <w:trPr>
          <w:trHeight w:val="1587" w:hRule="atLeast"/>
        </w:trPr>
        <w:tc>
          <w:tcPr>
            <w:tcW w:w="745" w:type="dxa"/>
          </w:tcPr>
          <w:p>
            <w:pPr>
              <w:pStyle w:val="TableParagraph"/>
              <w:spacing w:before="167"/>
              <w:ind w:left="200"/>
              <w:rPr>
                <w:b/>
                <w:sz w:val="21"/>
              </w:rPr>
            </w:pPr>
            <w:r>
              <w:rPr>
                <w:b/>
                <w:sz w:val="21"/>
              </w:rPr>
              <w:t>60</w:t>
            </w:r>
          </w:p>
        </w:tc>
        <w:tc>
          <w:tcPr>
            <w:tcW w:w="1906" w:type="dxa"/>
          </w:tcPr>
          <w:p>
            <w:pPr>
              <w:pStyle w:val="TableParagraph"/>
              <w:spacing w:before="131"/>
              <w:ind w:left="333"/>
              <w:rPr>
                <w:rFonts w:ascii="等线" w:eastAsia="等线" w:hint="eastAsia"/>
                <w:b/>
                <w:sz w:val="24"/>
              </w:rPr>
            </w:pPr>
            <w:r>
              <w:rPr>
                <w:rFonts w:ascii="等线" w:eastAsia="等线" w:hint="eastAsia"/>
                <w:b/>
                <w:sz w:val="24"/>
              </w:rPr>
              <w:t>植物人状态</w:t>
            </w:r>
          </w:p>
        </w:tc>
        <w:tc>
          <w:tcPr>
            <w:tcW w:w="7420" w:type="dxa"/>
          </w:tcPr>
          <w:p>
            <w:pPr>
              <w:pStyle w:val="TableParagraph"/>
              <w:spacing w:line="273" w:lineRule="auto" w:before="167"/>
              <w:ind w:left="129" w:right="304"/>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129"/>
              <w:jc w:val="both"/>
              <w:rPr>
                <w:sz w:val="21"/>
              </w:rPr>
            </w:pPr>
            <w:r>
              <w:rPr>
                <w:sz w:val="21"/>
                <w:shd w:fill="DADADA" w:color="auto" w:val="clear"/>
              </w:rPr>
              <w:t>由于酗酒或滥用药物所致的植物人状态不在保障范围内。</w:t>
            </w:r>
          </w:p>
        </w:tc>
      </w:tr>
      <w:tr>
        <w:trPr>
          <w:trHeight w:val="1274" w:hRule="atLeast"/>
        </w:trPr>
        <w:tc>
          <w:tcPr>
            <w:tcW w:w="745" w:type="dxa"/>
          </w:tcPr>
          <w:p>
            <w:pPr>
              <w:pStyle w:val="TableParagraph"/>
              <w:spacing w:before="166"/>
              <w:ind w:left="200"/>
              <w:rPr>
                <w:b/>
                <w:sz w:val="21"/>
              </w:rPr>
            </w:pPr>
            <w:r>
              <w:rPr>
                <w:b/>
                <w:sz w:val="21"/>
              </w:rPr>
              <w:t>61</w:t>
            </w:r>
          </w:p>
        </w:tc>
        <w:tc>
          <w:tcPr>
            <w:tcW w:w="1906" w:type="dxa"/>
          </w:tcPr>
          <w:p>
            <w:pPr>
              <w:pStyle w:val="TableParagraph"/>
              <w:spacing w:before="130"/>
              <w:ind w:left="333"/>
              <w:rPr>
                <w:rFonts w:ascii="等线" w:eastAsia="等线" w:hint="eastAsia"/>
                <w:b/>
                <w:sz w:val="24"/>
              </w:rPr>
            </w:pPr>
            <w:r>
              <w:rPr>
                <w:rFonts w:ascii="等线" w:eastAsia="等线" w:hint="eastAsia"/>
                <w:b/>
                <w:sz w:val="24"/>
              </w:rPr>
              <w:t>开颅手术</w:t>
            </w:r>
          </w:p>
        </w:tc>
        <w:tc>
          <w:tcPr>
            <w:tcW w:w="7420" w:type="dxa"/>
          </w:tcPr>
          <w:p>
            <w:pPr>
              <w:pStyle w:val="TableParagraph"/>
              <w:spacing w:line="273" w:lineRule="auto" w:before="166"/>
              <w:ind w:left="129" w:right="304"/>
              <w:rPr>
                <w:sz w:val="21"/>
              </w:rPr>
            </w:pPr>
            <w:r>
              <w:rPr>
                <w:sz w:val="21"/>
              </w:rPr>
              <w:t>被保险人因疾病或意外已实施全麻下的开颅手术（不包括颅骨钻孔手术和经</w:t>
            </w:r>
            <w:r>
              <w:rPr>
                <w:spacing w:val="-3"/>
                <w:sz w:val="21"/>
              </w:rPr>
              <w:t>鼻蝶窦入颅手术</w:t>
            </w:r>
            <w:r>
              <w:rPr>
                <w:spacing w:val="-106"/>
                <w:sz w:val="21"/>
              </w:rPr>
              <w:t>）</w:t>
            </w:r>
            <w:r>
              <w:rPr>
                <w:sz w:val="21"/>
              </w:rPr>
              <w:t>。</w:t>
            </w:r>
          </w:p>
          <w:p>
            <w:pPr>
              <w:pStyle w:val="TableParagraph"/>
              <w:spacing w:before="8"/>
              <w:ind w:left="128"/>
              <w:rPr>
                <w:sz w:val="21"/>
              </w:rPr>
            </w:pPr>
            <w:r>
              <w:rPr>
                <w:sz w:val="21"/>
              </w:rPr>
              <w:t>理赔时必须提供由专科医生出具的诊断书及手术证明。</w:t>
            </w:r>
          </w:p>
        </w:tc>
      </w:tr>
      <w:tr>
        <w:trPr>
          <w:trHeight w:val="1066" w:hRule="atLeast"/>
        </w:trPr>
        <w:tc>
          <w:tcPr>
            <w:tcW w:w="745" w:type="dxa"/>
          </w:tcPr>
          <w:p>
            <w:pPr>
              <w:pStyle w:val="TableParagraph"/>
              <w:spacing w:before="146"/>
              <w:ind w:left="200"/>
              <w:rPr>
                <w:b/>
                <w:sz w:val="21"/>
              </w:rPr>
            </w:pPr>
            <w:r>
              <w:rPr>
                <w:b/>
                <w:sz w:val="21"/>
              </w:rPr>
              <w:t>62</w:t>
            </w:r>
          </w:p>
        </w:tc>
        <w:tc>
          <w:tcPr>
            <w:tcW w:w="1906" w:type="dxa"/>
          </w:tcPr>
          <w:p>
            <w:pPr>
              <w:pStyle w:val="TableParagraph"/>
              <w:spacing w:before="132"/>
              <w:ind w:left="333"/>
              <w:rPr>
                <w:rFonts w:ascii="等线" w:eastAsia="等线" w:hint="eastAsia"/>
                <w:b/>
                <w:sz w:val="24"/>
              </w:rPr>
            </w:pPr>
            <w:r>
              <w:rPr>
                <w:rFonts w:ascii="等线" w:eastAsia="等线" w:hint="eastAsia"/>
                <w:b/>
                <w:sz w:val="24"/>
              </w:rPr>
              <w:t>克雅氏病</w:t>
            </w:r>
          </w:p>
        </w:tc>
        <w:tc>
          <w:tcPr>
            <w:tcW w:w="7420" w:type="dxa"/>
          </w:tcPr>
          <w:p>
            <w:pPr>
              <w:pStyle w:val="TableParagraph"/>
              <w:spacing w:line="310" w:lineRule="atLeast" w:before="132"/>
              <w:ind w:left="129" w:right="304"/>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bl>
    <w:p>
      <w:pPr>
        <w:spacing w:after="0" w:line="310" w:lineRule="atLeast"/>
        <w:jc w:val="both"/>
        <w:rPr>
          <w:sz w:val="21"/>
        </w:rPr>
        <w:sectPr>
          <w:pgSz w:w="11910" w:h="16840"/>
          <w:pgMar w:top="1140" w:bottom="280" w:left="108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33"/>
        <w:gridCol w:w="7396"/>
      </w:tblGrid>
      <w:tr>
        <w:trPr>
          <w:trHeight w:val="771" w:hRule="atLeast"/>
        </w:trPr>
        <w:tc>
          <w:tcPr>
            <w:tcW w:w="745" w:type="dxa"/>
          </w:tcPr>
          <w:p>
            <w:pPr>
              <w:pStyle w:val="TableParagraph"/>
              <w:spacing w:line="231" w:lineRule="exact"/>
              <w:ind w:left="200"/>
              <w:rPr>
                <w:b/>
                <w:sz w:val="21"/>
              </w:rPr>
            </w:pPr>
            <w:r>
              <w:rPr>
                <w:b/>
                <w:sz w:val="21"/>
              </w:rPr>
              <w:t>63</w:t>
            </w:r>
          </w:p>
        </w:tc>
        <w:tc>
          <w:tcPr>
            <w:tcW w:w="1933" w:type="dxa"/>
          </w:tcPr>
          <w:p>
            <w:pPr>
              <w:pStyle w:val="TableParagraph"/>
              <w:spacing w:line="244" w:lineRule="exact"/>
              <w:ind w:left="333"/>
              <w:rPr>
                <w:rFonts w:ascii="等线" w:eastAsia="等线" w:hint="eastAsia"/>
                <w:b/>
                <w:sz w:val="24"/>
              </w:rPr>
            </w:pPr>
            <w:r>
              <w:rPr>
                <w:rFonts w:ascii="等线" w:eastAsia="等线" w:hint="eastAsia"/>
                <w:b/>
                <w:sz w:val="24"/>
              </w:rPr>
              <w:t>进行性多灶性</w:t>
            </w:r>
          </w:p>
          <w:p>
            <w:pPr>
              <w:pStyle w:val="TableParagraph"/>
              <w:spacing w:line="323" w:lineRule="exact"/>
              <w:ind w:left="333"/>
              <w:rPr>
                <w:rFonts w:ascii="等线" w:eastAsia="等线" w:hint="eastAsia"/>
                <w:b/>
                <w:sz w:val="21"/>
              </w:rPr>
            </w:pPr>
            <w:r>
              <w:rPr>
                <w:rFonts w:ascii="等线" w:eastAsia="等线" w:hint="eastAsia"/>
                <w:b/>
                <w:sz w:val="24"/>
              </w:rPr>
              <w:t>白质脑</w:t>
            </w:r>
            <w:r>
              <w:rPr>
                <w:rFonts w:ascii="等线" w:eastAsia="等线" w:hint="eastAsia"/>
                <w:b/>
                <w:sz w:val="21"/>
              </w:rPr>
              <w:t>病</w:t>
            </w:r>
          </w:p>
        </w:tc>
        <w:tc>
          <w:tcPr>
            <w:tcW w:w="7396" w:type="dxa"/>
          </w:tcPr>
          <w:p>
            <w:pPr>
              <w:pStyle w:val="TableParagraph"/>
              <w:spacing w:line="231" w:lineRule="exact"/>
              <w:ind w:left="101"/>
              <w:rPr>
                <w:sz w:val="21"/>
              </w:rPr>
            </w:pPr>
            <w:r>
              <w:rPr>
                <w:sz w:val="21"/>
              </w:rPr>
              <w:t>是一种亚急性脱髓鞘性脑病，常常发现于免疫缺陷的病人。必须由神经科专</w:t>
            </w:r>
          </w:p>
          <w:p>
            <w:pPr>
              <w:pStyle w:val="TableParagraph"/>
              <w:spacing w:before="37"/>
              <w:ind w:left="101"/>
              <w:rPr>
                <w:sz w:val="21"/>
              </w:rPr>
            </w:pPr>
            <w:r>
              <w:rPr>
                <w:sz w:val="21"/>
              </w:rPr>
              <w:t>科医生根据脑组织活检确诊。</w:t>
            </w:r>
          </w:p>
        </w:tc>
      </w:tr>
      <w:tr>
        <w:trPr>
          <w:trHeight w:val="2517" w:hRule="atLeast"/>
        </w:trPr>
        <w:tc>
          <w:tcPr>
            <w:tcW w:w="745" w:type="dxa"/>
          </w:tcPr>
          <w:p>
            <w:pPr>
              <w:pStyle w:val="TableParagraph"/>
              <w:spacing w:before="140"/>
              <w:ind w:left="200"/>
              <w:rPr>
                <w:b/>
                <w:sz w:val="21"/>
              </w:rPr>
            </w:pPr>
            <w:r>
              <w:rPr>
                <w:b/>
                <w:sz w:val="21"/>
              </w:rPr>
              <w:t>64</w:t>
            </w:r>
          </w:p>
        </w:tc>
        <w:tc>
          <w:tcPr>
            <w:tcW w:w="1933" w:type="dxa"/>
          </w:tcPr>
          <w:p>
            <w:pPr>
              <w:pStyle w:val="TableParagraph"/>
              <w:spacing w:line="232" w:lineRule="auto" w:before="135"/>
              <w:ind w:left="333" w:right="101"/>
              <w:rPr>
                <w:rFonts w:ascii="等线" w:eastAsia="等线" w:hint="eastAsia"/>
                <w:b/>
                <w:sz w:val="24"/>
              </w:rPr>
            </w:pPr>
            <w:r>
              <w:rPr>
                <w:rFonts w:ascii="等线" w:eastAsia="等线" w:hint="eastAsia"/>
                <w:b/>
                <w:sz w:val="24"/>
              </w:rPr>
              <w:t>脊髓小脑变性症</w:t>
            </w:r>
          </w:p>
        </w:tc>
        <w:tc>
          <w:tcPr>
            <w:tcW w:w="7396" w:type="dxa"/>
          </w:tcPr>
          <w:p>
            <w:pPr>
              <w:pStyle w:val="TableParagraph"/>
              <w:spacing w:line="273" w:lineRule="auto" w:before="161"/>
              <w:ind w:left="101" w:right="307"/>
              <w:rPr>
                <w:sz w:val="21"/>
              </w:rPr>
            </w:pPr>
            <w:r>
              <w:rPr>
                <w:sz w:val="21"/>
              </w:rPr>
              <w:t>脊髓小脑变性症为一组以小脑萎缩和共济失调为主要临床特点的疾病。必须符合所有以下条件：</w:t>
            </w:r>
          </w:p>
          <w:p>
            <w:pPr>
              <w:pStyle w:val="TableParagraph"/>
              <w:spacing w:before="7"/>
              <w:ind w:left="102"/>
              <w:rPr>
                <w:sz w:val="21"/>
              </w:rPr>
            </w:pPr>
            <w:r>
              <w:rPr>
                <w:sz w:val="21"/>
              </w:rPr>
              <w:t>（1）脊髓小脑变性症必须由医院诊断，并有以下证据支持：</w:t>
            </w:r>
          </w:p>
          <w:p>
            <w:pPr>
              <w:pStyle w:val="TableParagraph"/>
              <w:tabs>
                <w:tab w:pos="628" w:val="left" w:leader="none"/>
              </w:tabs>
              <w:spacing w:before="37"/>
              <w:ind w:left="208"/>
              <w:rPr>
                <w:sz w:val="21"/>
              </w:rPr>
            </w:pPr>
            <w:r>
              <w:rPr>
                <w:sz w:val="21"/>
              </w:rPr>
              <w:t>①</w:t>
              <w:tab/>
            </w:r>
            <w:r>
              <w:rPr>
                <w:spacing w:val="-3"/>
                <w:sz w:val="21"/>
              </w:rPr>
              <w:t>影像学检查证实存在小脑萎缩；</w:t>
            </w:r>
          </w:p>
          <w:p>
            <w:pPr>
              <w:pStyle w:val="TableParagraph"/>
              <w:tabs>
                <w:tab w:pos="628" w:val="left" w:leader="none"/>
              </w:tabs>
              <w:spacing w:before="37"/>
              <w:ind w:left="208"/>
              <w:rPr>
                <w:sz w:val="21"/>
              </w:rPr>
            </w:pPr>
            <w:r>
              <w:rPr>
                <w:sz w:val="21"/>
              </w:rPr>
              <w:t>②</w:t>
              <w:tab/>
            </w:r>
            <w:r>
              <w:rPr>
                <w:spacing w:val="-3"/>
                <w:sz w:val="21"/>
              </w:rPr>
              <w:t>临床表现存在共济失调、语言障碍和肌张力异常。</w:t>
            </w:r>
          </w:p>
          <w:p>
            <w:pPr>
              <w:pStyle w:val="TableParagraph"/>
              <w:spacing w:line="273" w:lineRule="auto" w:before="37"/>
              <w:ind w:left="628" w:right="308" w:hanging="526"/>
              <w:rPr>
                <w:sz w:val="21"/>
              </w:rPr>
            </w:pPr>
            <w:r>
              <w:rPr>
                <w:spacing w:val="-7"/>
                <w:sz w:val="21"/>
              </w:rPr>
              <w:t>（2）</w:t>
            </w:r>
            <w:r>
              <w:rPr>
                <w:spacing w:val="-6"/>
                <w:sz w:val="21"/>
              </w:rPr>
              <w:t>被保险人运动功能严重障碍，自主生活能力完全丧失，无法独立完成六</w:t>
            </w:r>
            <w:r>
              <w:rPr>
                <w:spacing w:val="-3"/>
                <w:sz w:val="21"/>
              </w:rPr>
              <w:t>项基本日常生活活动中的三项或三项以上。</w:t>
            </w:r>
          </w:p>
        </w:tc>
      </w:tr>
      <w:tr>
        <w:trPr>
          <w:trHeight w:val="2211" w:hRule="atLeast"/>
        </w:trPr>
        <w:tc>
          <w:tcPr>
            <w:tcW w:w="745" w:type="dxa"/>
          </w:tcPr>
          <w:p>
            <w:pPr>
              <w:pStyle w:val="TableParagraph"/>
              <w:spacing w:before="166"/>
              <w:ind w:left="200"/>
              <w:rPr>
                <w:b/>
                <w:sz w:val="21"/>
              </w:rPr>
            </w:pPr>
            <w:r>
              <w:rPr>
                <w:b/>
                <w:sz w:val="21"/>
              </w:rPr>
              <w:t>65</w:t>
            </w:r>
          </w:p>
        </w:tc>
        <w:tc>
          <w:tcPr>
            <w:tcW w:w="1933" w:type="dxa"/>
          </w:tcPr>
          <w:p>
            <w:pPr>
              <w:pStyle w:val="TableParagraph"/>
              <w:spacing w:line="235" w:lineRule="auto" w:before="136"/>
              <w:ind w:left="333" w:right="101"/>
              <w:rPr>
                <w:rFonts w:ascii="等线" w:eastAsia="等线" w:hint="eastAsia"/>
                <w:b/>
                <w:sz w:val="24"/>
              </w:rPr>
            </w:pPr>
            <w:r>
              <w:rPr>
                <w:rFonts w:ascii="等线" w:eastAsia="等线" w:hint="eastAsia"/>
                <w:b/>
                <w:sz w:val="24"/>
              </w:rPr>
              <w:t>脑炎后遗症或脑膜炎后遗症</w:t>
            </w:r>
          </w:p>
        </w:tc>
        <w:tc>
          <w:tcPr>
            <w:tcW w:w="7396" w:type="dxa"/>
          </w:tcPr>
          <w:p>
            <w:pPr>
              <w:pStyle w:val="TableParagraph"/>
              <w:spacing w:line="273" w:lineRule="auto" w:before="166"/>
              <w:ind w:left="101" w:right="307"/>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2"/>
              <w:rPr>
                <w:sz w:val="21"/>
              </w:rPr>
            </w:pPr>
            <w:r>
              <w:rPr>
                <w:sz w:val="21"/>
              </w:rPr>
              <w:t>（1）一肢或一肢以上肢体机能完全丧失；</w:t>
            </w:r>
          </w:p>
          <w:p>
            <w:pPr>
              <w:pStyle w:val="TableParagraph"/>
              <w:spacing w:before="36"/>
              <w:ind w:left="101"/>
              <w:rPr>
                <w:sz w:val="21"/>
              </w:rPr>
            </w:pPr>
            <w:r>
              <w:rPr>
                <w:sz w:val="21"/>
              </w:rPr>
              <w:t>（2）语言能力或咀嚼吞咽能力完全丧失；</w:t>
            </w:r>
          </w:p>
          <w:p>
            <w:pPr>
              <w:pStyle w:val="TableParagraph"/>
              <w:spacing w:line="273" w:lineRule="auto" w:before="36"/>
              <w:ind w:left="627" w:right="305" w:hanging="526"/>
              <w:rPr>
                <w:sz w:val="21"/>
              </w:rPr>
            </w:pPr>
            <w:r>
              <w:rPr>
                <w:spacing w:val="-10"/>
                <w:sz w:val="21"/>
              </w:rPr>
              <w:t>（3）</w:t>
            </w:r>
            <w:r>
              <w:rPr>
                <w:spacing w:val="-6"/>
                <w:sz w:val="21"/>
              </w:rPr>
              <w:t>自主生活能力完全丧失，无法独立完成六项基本日常生活活动中的三项</w:t>
            </w:r>
            <w:r>
              <w:rPr>
                <w:spacing w:val="-4"/>
                <w:sz w:val="21"/>
              </w:rPr>
              <w:t>或三项以上。</w:t>
            </w:r>
          </w:p>
        </w:tc>
      </w:tr>
      <w:tr>
        <w:trPr>
          <w:trHeight w:val="2212" w:hRule="atLeast"/>
        </w:trPr>
        <w:tc>
          <w:tcPr>
            <w:tcW w:w="745" w:type="dxa"/>
          </w:tcPr>
          <w:p>
            <w:pPr>
              <w:pStyle w:val="TableParagraph"/>
              <w:spacing w:before="167"/>
              <w:ind w:left="200"/>
              <w:rPr>
                <w:b/>
                <w:sz w:val="21"/>
              </w:rPr>
            </w:pPr>
            <w:r>
              <w:rPr>
                <w:b/>
                <w:sz w:val="21"/>
              </w:rPr>
              <w:t>66</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严重阿尔茨海默病</w:t>
            </w:r>
          </w:p>
        </w:tc>
        <w:tc>
          <w:tcPr>
            <w:tcW w:w="7396" w:type="dxa"/>
          </w:tcPr>
          <w:p>
            <w:pPr>
              <w:pStyle w:val="TableParagraph"/>
              <w:spacing w:line="273" w:lineRule="auto" w:before="167"/>
              <w:ind w:left="101" w:right="305"/>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）或正电子发射断层扫</w:t>
            </w:r>
            <w:r>
              <w:rPr>
                <w:spacing w:val="-13"/>
                <w:sz w:val="21"/>
              </w:rPr>
              <w:t>描</w:t>
            </w:r>
            <w:r>
              <w:rPr>
                <w:spacing w:val="-5"/>
                <w:sz w:val="21"/>
              </w:rPr>
              <w:t>（PET）</w:t>
            </w:r>
            <w:r>
              <w:rPr>
                <w:spacing w:val="-6"/>
                <w:sz w:val="21"/>
              </w:rPr>
              <w:t>等影像学检查证实，且自主生活能力完全丧失，无法独立完成六项</w:t>
            </w:r>
            <w:r>
              <w:rPr>
                <w:spacing w:val="-3"/>
                <w:sz w:val="21"/>
              </w:rPr>
              <w:t>基本日常生活活动中的三项或三项以上。</w:t>
            </w:r>
          </w:p>
          <w:p>
            <w:pPr>
              <w:pStyle w:val="TableParagraph"/>
              <w:spacing w:before="8"/>
              <w:ind w:left="101"/>
              <w:jc w:val="both"/>
              <w:rPr>
                <w:sz w:val="21"/>
              </w:rPr>
            </w:pPr>
            <w:r>
              <w:rPr>
                <w:sz w:val="21"/>
                <w:shd w:fill="DADADA" w:color="auto" w:val="clear"/>
              </w:rPr>
              <w:t>神经官能症和精神疾病不在保障范围内。</w:t>
            </w:r>
          </w:p>
        </w:tc>
      </w:tr>
      <w:tr>
        <w:trPr>
          <w:trHeight w:val="2835" w:hRule="atLeast"/>
        </w:trPr>
        <w:tc>
          <w:tcPr>
            <w:tcW w:w="745" w:type="dxa"/>
          </w:tcPr>
          <w:p>
            <w:pPr>
              <w:pStyle w:val="TableParagraph"/>
              <w:spacing w:before="167"/>
              <w:ind w:left="200"/>
              <w:rPr>
                <w:b/>
                <w:sz w:val="21"/>
              </w:rPr>
            </w:pPr>
            <w:r>
              <w:rPr>
                <w:b/>
                <w:sz w:val="21"/>
              </w:rPr>
              <w:t>67</w:t>
            </w:r>
          </w:p>
        </w:tc>
        <w:tc>
          <w:tcPr>
            <w:tcW w:w="1933" w:type="dxa"/>
          </w:tcPr>
          <w:p>
            <w:pPr>
              <w:pStyle w:val="TableParagraph"/>
              <w:spacing w:line="232" w:lineRule="auto" w:before="141"/>
              <w:ind w:left="333" w:right="101"/>
              <w:rPr>
                <w:rFonts w:ascii="等线" w:eastAsia="等线" w:hint="eastAsia"/>
                <w:b/>
                <w:sz w:val="24"/>
              </w:rPr>
            </w:pPr>
            <w:r>
              <w:rPr>
                <w:rFonts w:ascii="等线" w:eastAsia="等线" w:hint="eastAsia"/>
                <w:b/>
                <w:sz w:val="24"/>
              </w:rPr>
              <w:t>严重的多发性硬化</w:t>
            </w:r>
          </w:p>
        </w:tc>
        <w:tc>
          <w:tcPr>
            <w:tcW w:w="7396" w:type="dxa"/>
          </w:tcPr>
          <w:p>
            <w:pPr>
              <w:pStyle w:val="TableParagraph"/>
              <w:spacing w:line="273" w:lineRule="auto" w:before="167"/>
              <w:ind w:left="101" w:right="250"/>
              <w:jc w:val="both"/>
              <w:rPr>
                <w:sz w:val="21"/>
              </w:rPr>
            </w:pPr>
            <w:r>
              <w:rPr>
                <w:sz w:val="21"/>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TableParagraph"/>
              <w:spacing w:before="7"/>
              <w:ind w:left="102"/>
              <w:jc w:val="both"/>
              <w:rPr>
                <w:sz w:val="21"/>
              </w:rPr>
            </w:pPr>
            <w:r>
              <w:rPr>
                <w:sz w:val="21"/>
              </w:rPr>
              <w:t>180 日以上。</w:t>
            </w:r>
          </w:p>
          <w:p>
            <w:pPr>
              <w:pStyle w:val="TableParagraph"/>
              <w:spacing w:before="36"/>
              <w:ind w:left="102"/>
              <w:jc w:val="both"/>
              <w:rPr>
                <w:sz w:val="21"/>
              </w:rPr>
            </w:pPr>
            <w:r>
              <w:rPr>
                <w:sz w:val="21"/>
              </w:rPr>
              <w:t>由神经科专科医生提供的明确诊断必须同时包含下列内容：</w:t>
            </w:r>
          </w:p>
          <w:p>
            <w:pPr>
              <w:pStyle w:val="TableParagraph"/>
              <w:spacing w:before="36"/>
              <w:ind w:left="102"/>
              <w:jc w:val="both"/>
              <w:rPr>
                <w:sz w:val="21"/>
              </w:rPr>
            </w:pPr>
            <w:r>
              <w:rPr>
                <w:sz w:val="21"/>
              </w:rPr>
              <w:t>（1）明确出现因视神经、脑干和脊髓损伤而导致的临床表现；</w:t>
            </w:r>
          </w:p>
          <w:p>
            <w:pPr>
              <w:pStyle w:val="TableParagraph"/>
              <w:spacing w:before="36"/>
              <w:ind w:left="102"/>
              <w:jc w:val="both"/>
              <w:rPr>
                <w:sz w:val="21"/>
              </w:rPr>
            </w:pPr>
            <w:r>
              <w:rPr>
                <w:sz w:val="21"/>
              </w:rPr>
              <w:t>（2）神经系统散在的多部位病变；</w:t>
            </w:r>
          </w:p>
          <w:p>
            <w:pPr>
              <w:pStyle w:val="TableParagraph"/>
              <w:spacing w:before="36"/>
              <w:ind w:left="102"/>
              <w:jc w:val="both"/>
              <w:rPr>
                <w:sz w:val="21"/>
              </w:rPr>
            </w:pPr>
            <w:r>
              <w:rPr>
                <w:sz w:val="21"/>
              </w:rPr>
              <w:t>（3）有明确的上述症状及神经损伤反复恶化、减轻的病史纪录。</w:t>
            </w:r>
          </w:p>
        </w:tc>
      </w:tr>
      <w:tr>
        <w:trPr>
          <w:trHeight w:val="1587" w:hRule="atLeast"/>
        </w:trPr>
        <w:tc>
          <w:tcPr>
            <w:tcW w:w="745" w:type="dxa"/>
          </w:tcPr>
          <w:p>
            <w:pPr>
              <w:pStyle w:val="TableParagraph"/>
              <w:spacing w:before="166"/>
              <w:ind w:left="200"/>
              <w:rPr>
                <w:b/>
                <w:sz w:val="21"/>
              </w:rPr>
            </w:pPr>
            <w:r>
              <w:rPr>
                <w:b/>
                <w:sz w:val="21"/>
              </w:rPr>
              <w:t>68</w:t>
            </w:r>
          </w:p>
        </w:tc>
        <w:tc>
          <w:tcPr>
            <w:tcW w:w="1933" w:type="dxa"/>
          </w:tcPr>
          <w:p>
            <w:pPr>
              <w:pStyle w:val="TableParagraph"/>
              <w:spacing w:line="235" w:lineRule="auto" w:before="136"/>
              <w:ind w:left="333" w:right="101"/>
              <w:rPr>
                <w:rFonts w:ascii="等线" w:eastAsia="等线" w:hint="eastAsia"/>
                <w:b/>
                <w:sz w:val="24"/>
              </w:rPr>
            </w:pPr>
            <w:r>
              <w:rPr>
                <w:rFonts w:ascii="等线" w:eastAsia="等线" w:hint="eastAsia"/>
                <w:b/>
                <w:sz w:val="24"/>
              </w:rPr>
              <w:t>严重运动神经元病</w:t>
            </w:r>
          </w:p>
        </w:tc>
        <w:tc>
          <w:tcPr>
            <w:tcW w:w="7396" w:type="dxa"/>
          </w:tcPr>
          <w:p>
            <w:pPr>
              <w:pStyle w:val="TableParagraph"/>
              <w:spacing w:line="273" w:lineRule="auto" w:before="166"/>
              <w:ind w:left="101" w:right="197"/>
              <w:rPr>
                <w:sz w:val="21"/>
              </w:rPr>
            </w:pPr>
            <w:r>
              <w:rPr>
                <w:spacing w:val="-6"/>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2002" w:hRule="atLeast"/>
        </w:trPr>
        <w:tc>
          <w:tcPr>
            <w:tcW w:w="745" w:type="dxa"/>
          </w:tcPr>
          <w:p>
            <w:pPr>
              <w:pStyle w:val="TableParagraph"/>
              <w:spacing w:before="167"/>
              <w:ind w:left="200"/>
              <w:rPr>
                <w:b/>
                <w:sz w:val="21"/>
              </w:rPr>
            </w:pPr>
            <w:r>
              <w:rPr>
                <w:b/>
                <w:sz w:val="21"/>
              </w:rPr>
              <w:t>69</w:t>
            </w:r>
          </w:p>
        </w:tc>
        <w:tc>
          <w:tcPr>
            <w:tcW w:w="1933" w:type="dxa"/>
          </w:tcPr>
          <w:p>
            <w:pPr>
              <w:pStyle w:val="TableParagraph"/>
              <w:spacing w:line="232" w:lineRule="auto" w:before="141"/>
              <w:ind w:left="333" w:right="101"/>
              <w:jc w:val="both"/>
              <w:rPr>
                <w:rFonts w:ascii="等线" w:eastAsia="等线" w:hint="eastAsia"/>
                <w:b/>
                <w:sz w:val="24"/>
              </w:rPr>
            </w:pPr>
            <w:r>
              <w:rPr>
                <w:rFonts w:ascii="等线" w:eastAsia="等线" w:hint="eastAsia"/>
                <w:b/>
                <w:sz w:val="24"/>
              </w:rPr>
              <w:t>非阿尔茨海默病所致严重痴呆</w:t>
            </w:r>
          </w:p>
        </w:tc>
        <w:tc>
          <w:tcPr>
            <w:tcW w:w="7396" w:type="dxa"/>
          </w:tcPr>
          <w:p>
            <w:pPr>
              <w:pStyle w:val="TableParagraph"/>
              <w:spacing w:line="273" w:lineRule="auto" w:before="167"/>
              <w:ind w:left="101"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55" w:lineRule="exact" w:before="8"/>
              <w:ind w:left="101"/>
              <w:jc w:val="both"/>
              <w:rPr>
                <w:sz w:val="21"/>
              </w:rPr>
            </w:pPr>
            <w:r>
              <w:rPr>
                <w:sz w:val="21"/>
                <w:shd w:fill="DADADA" w:color="auto" w:val="clear"/>
              </w:rPr>
              <w:t>神经官能症、精神疾病及酒精中毒所致脑损害不在保障范围内。</w:t>
            </w:r>
          </w:p>
        </w:tc>
      </w:tr>
    </w:tbl>
    <w:p>
      <w:pPr>
        <w:spacing w:after="0" w:line="255" w:lineRule="exact"/>
        <w:jc w:val="both"/>
        <w:rPr>
          <w:sz w:val="21"/>
        </w:rPr>
        <w:sectPr>
          <w:pgSz w:w="11910" w:h="16840"/>
          <w:pgMar w:top="1140" w:bottom="280" w:left="108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33"/>
        <w:gridCol w:w="7394"/>
      </w:tblGrid>
      <w:tr>
        <w:trPr>
          <w:trHeight w:val="1662" w:hRule="atLeast"/>
        </w:trPr>
        <w:tc>
          <w:tcPr>
            <w:tcW w:w="745" w:type="dxa"/>
          </w:tcPr>
          <w:p>
            <w:pPr>
              <w:pStyle w:val="TableParagraph"/>
              <w:spacing w:line="231" w:lineRule="exact"/>
              <w:ind w:left="200"/>
              <w:rPr>
                <w:b/>
                <w:sz w:val="21"/>
              </w:rPr>
            </w:pPr>
            <w:r>
              <w:rPr>
                <w:b/>
                <w:sz w:val="21"/>
              </w:rPr>
              <w:t>70</w:t>
            </w:r>
          </w:p>
        </w:tc>
        <w:tc>
          <w:tcPr>
            <w:tcW w:w="1933" w:type="dxa"/>
          </w:tcPr>
          <w:p>
            <w:pPr>
              <w:pStyle w:val="TableParagraph"/>
              <w:spacing w:line="244" w:lineRule="exact"/>
              <w:ind w:left="333"/>
              <w:rPr>
                <w:rFonts w:ascii="等线" w:eastAsia="等线" w:hint="eastAsia"/>
                <w:b/>
                <w:sz w:val="24"/>
              </w:rPr>
            </w:pPr>
            <w:r>
              <w:rPr>
                <w:rFonts w:ascii="等线" w:eastAsia="等线" w:hint="eastAsia"/>
                <w:b/>
                <w:sz w:val="24"/>
              </w:rPr>
              <w:t>进行性核上性</w:t>
            </w:r>
          </w:p>
          <w:p>
            <w:pPr>
              <w:pStyle w:val="TableParagraph"/>
              <w:spacing w:line="323" w:lineRule="exact"/>
              <w:ind w:left="333"/>
              <w:rPr>
                <w:rFonts w:ascii="等线" w:eastAsia="等线" w:hint="eastAsia"/>
                <w:b/>
                <w:sz w:val="24"/>
              </w:rPr>
            </w:pPr>
            <w:r>
              <w:rPr>
                <w:rFonts w:ascii="等线" w:eastAsia="等线" w:hint="eastAsia"/>
                <w:b/>
                <w:sz w:val="24"/>
              </w:rPr>
              <w:t>麻痹</w:t>
            </w:r>
          </w:p>
        </w:tc>
        <w:tc>
          <w:tcPr>
            <w:tcW w:w="7394" w:type="dxa"/>
          </w:tcPr>
          <w:p>
            <w:pPr>
              <w:pStyle w:val="TableParagraph"/>
              <w:spacing w:line="231" w:lineRule="exact"/>
              <w:ind w:left="101"/>
              <w:rPr>
                <w:sz w:val="21"/>
              </w:rPr>
            </w:pPr>
            <w:r>
              <w:rPr>
                <w:sz w:val="21"/>
              </w:rPr>
              <w:t>指一种隐袭起病、逐渐加重的神经系统变性疾病。此病症须由专科医生明确，</w:t>
            </w:r>
          </w:p>
          <w:p>
            <w:pPr>
              <w:pStyle w:val="TableParagraph"/>
              <w:spacing w:before="37"/>
              <w:ind w:left="101"/>
              <w:rPr>
                <w:sz w:val="21"/>
              </w:rPr>
            </w:pPr>
            <w:r>
              <w:rPr>
                <w:sz w:val="21"/>
              </w:rPr>
              <w:t>并满足以下全部临床特征：</w:t>
            </w:r>
          </w:p>
          <w:p>
            <w:pPr>
              <w:pStyle w:val="TableParagraph"/>
              <w:spacing w:before="37"/>
              <w:ind w:left="102"/>
              <w:rPr>
                <w:sz w:val="21"/>
              </w:rPr>
            </w:pPr>
            <w:r>
              <w:rPr>
                <w:sz w:val="21"/>
              </w:rPr>
              <w:t>（1）步态共济失调；</w:t>
            </w:r>
          </w:p>
          <w:p>
            <w:pPr>
              <w:pStyle w:val="TableParagraph"/>
              <w:spacing w:before="37"/>
              <w:ind w:left="102"/>
              <w:rPr>
                <w:sz w:val="21"/>
              </w:rPr>
            </w:pPr>
            <w:r>
              <w:rPr>
                <w:sz w:val="21"/>
              </w:rPr>
              <w:t>（2）对称性眼球垂直运动障碍；</w:t>
            </w:r>
          </w:p>
          <w:p>
            <w:pPr>
              <w:pStyle w:val="TableParagraph"/>
              <w:spacing w:before="37"/>
              <w:ind w:left="102"/>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2468" w:hRule="atLeast"/>
        </w:trPr>
        <w:tc>
          <w:tcPr>
            <w:tcW w:w="745" w:type="dxa"/>
          </w:tcPr>
          <w:p>
            <w:pPr>
              <w:pStyle w:val="TableParagraph"/>
              <w:spacing w:before="139"/>
              <w:ind w:left="200"/>
              <w:rPr>
                <w:b/>
                <w:sz w:val="21"/>
              </w:rPr>
            </w:pPr>
            <w:r>
              <w:rPr>
                <w:b/>
                <w:sz w:val="21"/>
              </w:rPr>
              <w:t>71</w:t>
            </w:r>
          </w:p>
        </w:tc>
        <w:tc>
          <w:tcPr>
            <w:tcW w:w="1933" w:type="dxa"/>
          </w:tcPr>
          <w:p>
            <w:pPr>
              <w:pStyle w:val="TableParagraph"/>
              <w:spacing w:line="232" w:lineRule="auto" w:before="113"/>
              <w:ind w:left="333" w:right="101"/>
              <w:rPr>
                <w:rFonts w:ascii="等线" w:eastAsia="等线" w:hint="eastAsia"/>
                <w:b/>
                <w:sz w:val="24"/>
              </w:rPr>
            </w:pPr>
            <w:r>
              <w:rPr>
                <w:rFonts w:ascii="等线" w:eastAsia="等线" w:hint="eastAsia"/>
                <w:b/>
                <w:sz w:val="24"/>
              </w:rPr>
              <w:t>亚急性硬化性全脑炎</w:t>
            </w:r>
          </w:p>
        </w:tc>
        <w:tc>
          <w:tcPr>
            <w:tcW w:w="7394" w:type="dxa"/>
          </w:tcPr>
          <w:p>
            <w:pPr>
              <w:pStyle w:val="TableParagraph"/>
              <w:spacing w:line="273" w:lineRule="auto" w:before="139"/>
              <w:ind w:left="101" w:right="305"/>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7" w:right="303" w:hanging="526"/>
              <w:rPr>
                <w:sz w:val="21"/>
              </w:rPr>
            </w:pPr>
            <w:r>
              <w:rPr>
                <w:spacing w:val="-13"/>
                <w:sz w:val="21"/>
              </w:rPr>
              <w:t>（1）</w:t>
            </w:r>
            <w:r>
              <w:rPr>
                <w:spacing w:val="-8"/>
                <w:sz w:val="21"/>
              </w:rPr>
              <w:t>脑电图存在周期性复合波、脑脊液 </w:t>
            </w:r>
            <w:r>
              <w:rPr>
                <w:sz w:val="21"/>
              </w:rPr>
              <w:t>r</w:t>
            </w:r>
            <w:r>
              <w:rPr>
                <w:spacing w:val="-7"/>
                <w:sz w:val="21"/>
              </w:rPr>
              <w:t>-球蛋白升高、脑脊液和血清中麻疹</w:t>
            </w:r>
            <w:r>
              <w:rPr>
                <w:spacing w:val="-5"/>
                <w:sz w:val="21"/>
              </w:rPr>
              <w:t>抗体滴定度升高；</w:t>
            </w:r>
          </w:p>
          <w:p>
            <w:pPr>
              <w:pStyle w:val="TableParagraph"/>
              <w:spacing w:line="273" w:lineRule="auto" w:before="7"/>
              <w:ind w:left="627" w:right="307" w:hanging="526"/>
              <w:rPr>
                <w:sz w:val="21"/>
              </w:rPr>
            </w:pPr>
            <w:r>
              <w:rPr>
                <w:spacing w:val="-7"/>
                <w:sz w:val="21"/>
              </w:rPr>
              <w:t>（2）</w:t>
            </w:r>
            <w:r>
              <w:rPr>
                <w:spacing w:val="-6"/>
                <w:sz w:val="21"/>
              </w:rPr>
              <w:t>被保险人出现运动障碍，自主生活能力完全丧失，无法独立完成六项基</w:t>
            </w:r>
            <w:r>
              <w:rPr>
                <w:spacing w:val="-3"/>
                <w:sz w:val="21"/>
              </w:rPr>
              <w:t>本日常生活活动中的三项或三项以上。</w:t>
            </w:r>
          </w:p>
        </w:tc>
      </w:tr>
      <w:tr>
        <w:trPr>
          <w:trHeight w:val="3091" w:hRule="atLeast"/>
        </w:trPr>
        <w:tc>
          <w:tcPr>
            <w:tcW w:w="745" w:type="dxa"/>
          </w:tcPr>
          <w:p>
            <w:pPr>
              <w:pStyle w:val="TableParagraph"/>
              <w:spacing w:before="138"/>
              <w:ind w:left="200"/>
              <w:rPr>
                <w:b/>
                <w:sz w:val="21"/>
              </w:rPr>
            </w:pPr>
            <w:r>
              <w:rPr>
                <w:b/>
                <w:sz w:val="21"/>
              </w:rPr>
              <w:t>72</w:t>
            </w:r>
          </w:p>
        </w:tc>
        <w:tc>
          <w:tcPr>
            <w:tcW w:w="1933" w:type="dxa"/>
          </w:tcPr>
          <w:p>
            <w:pPr>
              <w:pStyle w:val="TableParagraph"/>
              <w:spacing w:line="232" w:lineRule="auto" w:before="112"/>
              <w:ind w:left="333" w:right="101"/>
              <w:rPr>
                <w:rFonts w:ascii="等线" w:eastAsia="等线" w:hint="eastAsia"/>
                <w:b/>
                <w:sz w:val="24"/>
              </w:rPr>
            </w:pPr>
            <w:r>
              <w:rPr>
                <w:rFonts w:ascii="等线" w:eastAsia="等线" w:hint="eastAsia"/>
                <w:b/>
                <w:sz w:val="24"/>
              </w:rPr>
              <w:t>丧失一眼及一肢</w:t>
            </w:r>
          </w:p>
        </w:tc>
        <w:tc>
          <w:tcPr>
            <w:tcW w:w="7394" w:type="dxa"/>
          </w:tcPr>
          <w:p>
            <w:pPr>
              <w:pStyle w:val="TableParagraph"/>
              <w:spacing w:before="138"/>
              <w:ind w:left="101"/>
              <w:rPr>
                <w:sz w:val="21"/>
              </w:rPr>
            </w:pPr>
            <w:r>
              <w:rPr>
                <w:sz w:val="21"/>
              </w:rPr>
              <w:t>指因疾病或意外伤害导致单眼视力丧失及单肢肢体机能完全丧失。</w:t>
            </w:r>
          </w:p>
          <w:p>
            <w:pPr>
              <w:pStyle w:val="TableParagraph"/>
              <w:spacing w:before="36"/>
              <w:ind w:left="101"/>
              <w:rPr>
                <w:sz w:val="21"/>
              </w:rPr>
            </w:pPr>
            <w:r>
              <w:rPr>
                <w:sz w:val="21"/>
              </w:rPr>
              <w:t>单眼视力丧失指单眼视力永久不可逆性丧失，患眼须满足下列至少一项条件：</w:t>
            </w:r>
          </w:p>
          <w:p>
            <w:pPr>
              <w:pStyle w:val="TableParagraph"/>
              <w:spacing w:before="36"/>
              <w:ind w:left="101"/>
              <w:rPr>
                <w:sz w:val="21"/>
              </w:rPr>
            </w:pPr>
            <w:r>
              <w:rPr>
                <w:sz w:val="21"/>
              </w:rPr>
              <w:t>（1）眼球缺失或摘除；</w:t>
            </w:r>
          </w:p>
          <w:p>
            <w:pPr>
              <w:pStyle w:val="TableParagraph"/>
              <w:spacing w:line="273" w:lineRule="auto" w:before="36"/>
              <w:ind w:left="627" w:right="303" w:hanging="526"/>
              <w:rPr>
                <w:sz w:val="21"/>
              </w:rPr>
            </w:pPr>
            <w:r>
              <w:rPr>
                <w:spacing w:val="-13"/>
                <w:sz w:val="21"/>
              </w:rPr>
              <w:t>（2）</w:t>
            </w:r>
            <w:r>
              <w:rPr>
                <w:spacing w:val="-6"/>
                <w:sz w:val="21"/>
              </w:rPr>
              <w:t>矫正视力低于 </w:t>
            </w:r>
            <w:r>
              <w:rPr>
                <w:spacing w:val="-9"/>
                <w:sz w:val="21"/>
              </w:rPr>
              <w:t>0.02（</w:t>
            </w:r>
            <w:r>
              <w:rPr>
                <w:spacing w:val="-7"/>
                <w:sz w:val="21"/>
              </w:rPr>
              <w:t>采用国际标准视力表，如果使用其它视力表应进行</w:t>
            </w:r>
            <w:r>
              <w:rPr>
                <w:spacing w:val="-7"/>
                <w:w w:val="100"/>
                <w:sz w:val="21"/>
              </w:rPr>
              <w:t>换算</w:t>
            </w:r>
            <w:r>
              <w:rPr>
                <w:spacing w:val="-109"/>
                <w:w w:val="100"/>
                <w:sz w:val="21"/>
              </w:rPr>
              <w:t>）</w:t>
            </w:r>
            <w:r>
              <w:rPr>
                <w:w w:val="100"/>
                <w:sz w:val="21"/>
              </w:rPr>
              <w:t>；</w:t>
            </w:r>
          </w:p>
          <w:p>
            <w:pPr>
              <w:pStyle w:val="TableParagraph"/>
              <w:spacing w:before="7"/>
              <w:ind w:left="101"/>
              <w:rPr>
                <w:sz w:val="21"/>
              </w:rPr>
            </w:pPr>
            <w:r>
              <w:rPr>
                <w:sz w:val="21"/>
              </w:rPr>
              <w:t>（3）视野半径小于 5 度。</w:t>
            </w:r>
          </w:p>
          <w:p>
            <w:pPr>
              <w:pStyle w:val="TableParagraph"/>
              <w:spacing w:before="37"/>
              <w:ind w:left="101"/>
              <w:rPr>
                <w:sz w:val="21"/>
              </w:rPr>
            </w:pPr>
            <w:r>
              <w:rPr>
                <w:sz w:val="21"/>
              </w:rPr>
              <w:t>单肢肢体机能完全丧失，须满足下列至少一项条件：</w:t>
            </w:r>
          </w:p>
          <w:p>
            <w:pPr>
              <w:pStyle w:val="TableParagraph"/>
              <w:spacing w:before="37"/>
              <w:ind w:left="101"/>
              <w:rPr>
                <w:sz w:val="21"/>
              </w:rPr>
            </w:pPr>
            <w:r>
              <w:rPr>
                <w:sz w:val="21"/>
              </w:rPr>
              <w:t>（1）任何一肢自腕关节或踝关节近端（靠近躯干端）以上完全性断离；</w:t>
            </w:r>
          </w:p>
          <w:p>
            <w:pPr>
              <w:pStyle w:val="TableParagraph"/>
              <w:spacing w:before="37"/>
              <w:ind w:left="101"/>
              <w:rPr>
                <w:sz w:val="21"/>
              </w:rPr>
            </w:pPr>
            <w:r>
              <w:rPr>
                <w:sz w:val="21"/>
              </w:rPr>
              <w:t>（2）任何一肢肢体机能完全丧失。</w:t>
            </w:r>
          </w:p>
        </w:tc>
      </w:tr>
      <w:tr>
        <w:trPr>
          <w:trHeight w:val="1532" w:hRule="atLeast"/>
        </w:trPr>
        <w:tc>
          <w:tcPr>
            <w:tcW w:w="745" w:type="dxa"/>
          </w:tcPr>
          <w:p>
            <w:pPr>
              <w:pStyle w:val="TableParagraph"/>
              <w:spacing w:before="138"/>
              <w:ind w:left="200"/>
              <w:rPr>
                <w:b/>
                <w:sz w:val="21"/>
              </w:rPr>
            </w:pPr>
            <w:r>
              <w:rPr>
                <w:b/>
                <w:sz w:val="21"/>
              </w:rPr>
              <w:t>73</w:t>
            </w:r>
          </w:p>
        </w:tc>
        <w:tc>
          <w:tcPr>
            <w:tcW w:w="1933" w:type="dxa"/>
          </w:tcPr>
          <w:p>
            <w:pPr>
              <w:pStyle w:val="TableParagraph"/>
              <w:spacing w:line="235" w:lineRule="auto" w:before="109"/>
              <w:ind w:left="333" w:right="101"/>
              <w:rPr>
                <w:rFonts w:ascii="等线" w:eastAsia="等线" w:hint="eastAsia"/>
                <w:b/>
                <w:sz w:val="24"/>
              </w:rPr>
            </w:pPr>
            <w:r>
              <w:rPr>
                <w:rFonts w:ascii="等线" w:eastAsia="等线" w:hint="eastAsia"/>
                <w:b/>
                <w:sz w:val="24"/>
              </w:rPr>
              <w:t>破裂脑动脉瘤夹闭手术</w:t>
            </w:r>
          </w:p>
        </w:tc>
        <w:tc>
          <w:tcPr>
            <w:tcW w:w="7394" w:type="dxa"/>
          </w:tcPr>
          <w:p>
            <w:pPr>
              <w:pStyle w:val="TableParagraph"/>
              <w:spacing w:line="273" w:lineRule="auto" w:before="138"/>
              <w:ind w:left="101" w:right="305"/>
              <w:rPr>
                <w:sz w:val="21"/>
              </w:rPr>
            </w:pPr>
            <w:r>
              <w:rPr>
                <w:sz w:val="21"/>
              </w:rPr>
              <w:t>指因脑动脉瘤破裂造成蛛网膜下腔出血，被保险人已经实施了在全麻下进行的开颅动脉瘤夹闭手术。</w:t>
            </w:r>
          </w:p>
          <w:p>
            <w:pPr>
              <w:pStyle w:val="TableParagraph"/>
              <w:spacing w:line="273" w:lineRule="auto" w:before="7"/>
              <w:ind w:left="101" w:right="305"/>
              <w:rPr>
                <w:sz w:val="21"/>
              </w:rPr>
            </w:pPr>
            <w:r>
              <w:rPr>
                <w:sz w:val="21"/>
                <w:shd w:fill="DADADA" w:color="auto" w:val="clear"/>
              </w:rPr>
              <w:t>脑动脉瘤（未破裂）预防性手术、颅骨打孔手术、动脉瘤栓塞手术、血管内手术及其他颅脑手术不在本保障范围内。</w:t>
            </w:r>
          </w:p>
        </w:tc>
      </w:tr>
      <w:tr>
        <w:trPr>
          <w:trHeight w:val="908" w:hRule="atLeast"/>
        </w:trPr>
        <w:tc>
          <w:tcPr>
            <w:tcW w:w="745" w:type="dxa"/>
          </w:tcPr>
          <w:p>
            <w:pPr>
              <w:pStyle w:val="TableParagraph"/>
              <w:spacing w:before="139"/>
              <w:ind w:left="200"/>
              <w:rPr>
                <w:b/>
                <w:sz w:val="21"/>
              </w:rPr>
            </w:pPr>
            <w:r>
              <w:rPr>
                <w:b/>
                <w:sz w:val="21"/>
              </w:rPr>
              <w:t>74</w:t>
            </w:r>
          </w:p>
        </w:tc>
        <w:tc>
          <w:tcPr>
            <w:tcW w:w="1933" w:type="dxa"/>
          </w:tcPr>
          <w:p>
            <w:pPr>
              <w:pStyle w:val="TableParagraph"/>
              <w:spacing w:before="103"/>
              <w:ind w:right="155"/>
              <w:jc w:val="right"/>
              <w:rPr>
                <w:rFonts w:ascii="等线" w:eastAsia="等线" w:hint="eastAsia"/>
                <w:b/>
                <w:sz w:val="24"/>
              </w:rPr>
            </w:pPr>
            <w:r>
              <w:rPr>
                <w:rFonts w:ascii="等线" w:eastAsia="等线" w:hint="eastAsia"/>
                <w:b/>
                <w:sz w:val="24"/>
              </w:rPr>
              <w:t>多个肢体缺失</w:t>
            </w:r>
          </w:p>
        </w:tc>
        <w:tc>
          <w:tcPr>
            <w:tcW w:w="7394" w:type="dxa"/>
          </w:tcPr>
          <w:p>
            <w:pPr>
              <w:pStyle w:val="TableParagraph"/>
              <w:spacing w:line="273" w:lineRule="auto" w:before="139"/>
              <w:ind w:left="101" w:right="305"/>
              <w:rPr>
                <w:sz w:val="21"/>
              </w:rPr>
            </w:pPr>
            <w:r>
              <w:rPr>
                <w:sz w:val="21"/>
              </w:rPr>
              <w:t>指因疾病或意外伤害导致两个或两个以上肢体自腕关节或踝关节近端（靠近躯干端）以上完全性断离。</w:t>
            </w:r>
          </w:p>
        </w:tc>
      </w:tr>
      <w:tr>
        <w:trPr>
          <w:trHeight w:val="907" w:hRule="atLeast"/>
        </w:trPr>
        <w:tc>
          <w:tcPr>
            <w:tcW w:w="745" w:type="dxa"/>
          </w:tcPr>
          <w:p>
            <w:pPr>
              <w:pStyle w:val="TableParagraph"/>
              <w:spacing w:before="138"/>
              <w:ind w:left="200"/>
              <w:rPr>
                <w:b/>
                <w:sz w:val="21"/>
              </w:rPr>
            </w:pPr>
            <w:r>
              <w:rPr>
                <w:b/>
                <w:sz w:val="21"/>
              </w:rPr>
              <w:t>75</w:t>
            </w:r>
          </w:p>
        </w:tc>
        <w:tc>
          <w:tcPr>
            <w:tcW w:w="1933" w:type="dxa"/>
          </w:tcPr>
          <w:p>
            <w:pPr>
              <w:pStyle w:val="TableParagraph"/>
              <w:spacing w:before="102"/>
              <w:ind w:right="155"/>
              <w:jc w:val="right"/>
              <w:rPr>
                <w:rFonts w:ascii="等线" w:hAnsi="等线" w:eastAsia="等线" w:hint="eastAsia"/>
                <w:b/>
                <w:sz w:val="24"/>
              </w:rPr>
            </w:pPr>
            <w:r>
              <w:rPr>
                <w:rFonts w:ascii="等线" w:hAnsi="等线" w:eastAsia="等线" w:hint="eastAsia"/>
                <w:b/>
                <w:sz w:val="24"/>
              </w:rPr>
              <w:t>严重Ⅲ度烧伤</w:t>
            </w:r>
          </w:p>
        </w:tc>
        <w:tc>
          <w:tcPr>
            <w:tcW w:w="7394" w:type="dxa"/>
          </w:tcPr>
          <w:p>
            <w:pPr>
              <w:pStyle w:val="TableParagraph"/>
              <w:spacing w:line="273" w:lineRule="auto" w:before="138"/>
              <w:ind w:left="102" w:right="248" w:hanging="1"/>
              <w:rPr>
                <w:sz w:val="21"/>
              </w:rPr>
            </w:pPr>
            <w:r>
              <w:rPr>
                <w:spacing w:val="-5"/>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844" w:hRule="atLeast"/>
        </w:trPr>
        <w:tc>
          <w:tcPr>
            <w:tcW w:w="745" w:type="dxa"/>
          </w:tcPr>
          <w:p>
            <w:pPr>
              <w:pStyle w:val="TableParagraph"/>
              <w:spacing w:before="138"/>
              <w:ind w:left="200"/>
              <w:rPr>
                <w:b/>
                <w:sz w:val="21"/>
              </w:rPr>
            </w:pPr>
            <w:r>
              <w:rPr>
                <w:b/>
                <w:sz w:val="21"/>
              </w:rPr>
              <w:t>76</w:t>
            </w:r>
          </w:p>
        </w:tc>
        <w:tc>
          <w:tcPr>
            <w:tcW w:w="1933" w:type="dxa"/>
          </w:tcPr>
          <w:p>
            <w:pPr>
              <w:pStyle w:val="TableParagraph"/>
              <w:spacing w:line="235" w:lineRule="auto" w:before="109"/>
              <w:ind w:left="333" w:right="101"/>
              <w:rPr>
                <w:rFonts w:ascii="等线" w:eastAsia="等线" w:hint="eastAsia"/>
                <w:b/>
                <w:sz w:val="24"/>
              </w:rPr>
            </w:pPr>
            <w:r>
              <w:rPr>
                <w:rFonts w:ascii="等线" w:eastAsia="等线" w:hint="eastAsia"/>
                <w:b/>
                <w:w w:val="105"/>
                <w:sz w:val="24"/>
              </w:rPr>
              <w:t>严重</w:t>
            </w:r>
            <w:r>
              <w:rPr>
                <w:rFonts w:ascii="等线" w:eastAsia="等线" w:hint="eastAsia"/>
                <w:b/>
                <w:w w:val="110"/>
                <w:sz w:val="24"/>
              </w:rPr>
              <w:t>ft</w:t>
            </w:r>
            <w:r>
              <w:rPr>
                <w:rFonts w:ascii="等线" w:eastAsia="等线" w:hint="eastAsia"/>
                <w:b/>
                <w:w w:val="105"/>
                <w:sz w:val="24"/>
              </w:rPr>
              <w:t>营养不</w:t>
            </w:r>
            <w:r>
              <w:rPr>
                <w:rFonts w:ascii="等线" w:eastAsia="等线" w:hint="eastAsia"/>
                <w:b/>
                <w:sz w:val="24"/>
              </w:rPr>
              <w:t>良症</w:t>
            </w:r>
          </w:p>
        </w:tc>
        <w:tc>
          <w:tcPr>
            <w:tcW w:w="7394" w:type="dxa"/>
          </w:tcPr>
          <w:p>
            <w:pPr>
              <w:pStyle w:val="TableParagraph"/>
              <w:spacing w:line="273" w:lineRule="auto" w:before="138"/>
              <w:ind w:left="101" w:right="305"/>
              <w:rPr>
                <w:sz w:val="21"/>
              </w:rPr>
            </w:pPr>
            <w:r>
              <w:rPr>
                <w:sz w:val="21"/>
              </w:rPr>
              <w:t>指一组原发于肌肉的疾病，临床表现为与神经系统无关的肌肉无力和肌肉萎缩。且须满足下列全部条件：</w:t>
            </w:r>
          </w:p>
          <w:p>
            <w:pPr>
              <w:pStyle w:val="TableParagraph"/>
              <w:spacing w:before="7"/>
              <w:ind w:left="101"/>
              <w:rPr>
                <w:sz w:val="21"/>
              </w:rPr>
            </w:pPr>
            <w:r>
              <w:rPr>
                <w:sz w:val="21"/>
              </w:rPr>
              <w:t>（1）肌肉组织活检结果满足肌营养不良症的肌肉细胞变性、坏死等阳性改变；</w:t>
            </w:r>
          </w:p>
          <w:p>
            <w:pPr>
              <w:pStyle w:val="TableParagraph"/>
              <w:spacing w:line="273" w:lineRule="auto" w:before="37"/>
              <w:ind w:left="627" w:right="303" w:hanging="526"/>
              <w:rPr>
                <w:sz w:val="21"/>
              </w:rPr>
            </w:pPr>
            <w:r>
              <w:rPr>
                <w:spacing w:val="-10"/>
                <w:sz w:val="21"/>
              </w:rPr>
              <w:t>（2）</w:t>
            </w:r>
            <w:r>
              <w:rPr>
                <w:spacing w:val="-6"/>
                <w:sz w:val="21"/>
              </w:rPr>
              <w:t>自主生活能力完全丧失，无法独立完成六项基本日常生活活动中的三项</w:t>
            </w:r>
            <w:r>
              <w:rPr>
                <w:spacing w:val="-4"/>
                <w:sz w:val="21"/>
              </w:rPr>
              <w:t>或三项以上。</w:t>
            </w:r>
          </w:p>
        </w:tc>
      </w:tr>
      <w:tr>
        <w:trPr>
          <w:trHeight w:val="908" w:hRule="atLeast"/>
        </w:trPr>
        <w:tc>
          <w:tcPr>
            <w:tcW w:w="745" w:type="dxa"/>
          </w:tcPr>
          <w:p>
            <w:pPr>
              <w:pStyle w:val="TableParagraph"/>
              <w:spacing w:before="139"/>
              <w:ind w:left="200"/>
              <w:rPr>
                <w:b/>
                <w:sz w:val="21"/>
              </w:rPr>
            </w:pPr>
            <w:r>
              <w:rPr>
                <w:b/>
                <w:sz w:val="21"/>
              </w:rPr>
              <w:t>77</w:t>
            </w:r>
          </w:p>
        </w:tc>
        <w:tc>
          <w:tcPr>
            <w:tcW w:w="1933" w:type="dxa"/>
          </w:tcPr>
          <w:p>
            <w:pPr>
              <w:pStyle w:val="TableParagraph"/>
              <w:spacing w:before="103"/>
              <w:ind w:right="155"/>
              <w:jc w:val="right"/>
              <w:rPr>
                <w:rFonts w:ascii="等线" w:eastAsia="等线" w:hint="eastAsia"/>
                <w:b/>
                <w:sz w:val="24"/>
              </w:rPr>
            </w:pPr>
            <w:r>
              <w:rPr>
                <w:rFonts w:ascii="等线" w:eastAsia="等线" w:hint="eastAsia"/>
                <w:b/>
                <w:sz w:val="24"/>
              </w:rPr>
              <w:t>严重面部烧伤</w:t>
            </w:r>
          </w:p>
        </w:tc>
        <w:tc>
          <w:tcPr>
            <w:tcW w:w="7394" w:type="dxa"/>
          </w:tcPr>
          <w:p>
            <w:pPr>
              <w:pStyle w:val="TableParagraph"/>
              <w:spacing w:line="273" w:lineRule="auto" w:before="139"/>
              <w:ind w:left="102" w:right="303" w:hanging="1"/>
              <w:rPr>
                <w:sz w:val="21"/>
              </w:rPr>
            </w:pPr>
            <w:r>
              <w:rPr>
                <w:spacing w:val="-10"/>
                <w:sz w:val="21"/>
              </w:rPr>
              <w:t>指面部烧伤程度为Ⅲ度，且Ⅲ度烧伤的面积达到面部表面积的 </w:t>
            </w:r>
            <w:r>
              <w:rPr>
                <w:sz w:val="21"/>
              </w:rPr>
              <w:t>80</w:t>
            </w:r>
            <w:r>
              <w:rPr>
                <w:spacing w:val="-12"/>
                <w:sz w:val="21"/>
              </w:rPr>
              <w:t>％或者 </w:t>
            </w:r>
            <w:r>
              <w:rPr>
                <w:sz w:val="21"/>
              </w:rPr>
              <w:t>80％ 以上。</w:t>
            </w:r>
          </w:p>
        </w:tc>
      </w:tr>
      <w:tr>
        <w:trPr>
          <w:trHeight w:val="1037" w:hRule="atLeast"/>
        </w:trPr>
        <w:tc>
          <w:tcPr>
            <w:tcW w:w="745" w:type="dxa"/>
          </w:tcPr>
          <w:p>
            <w:pPr>
              <w:pStyle w:val="TableParagraph"/>
              <w:spacing w:before="138"/>
              <w:ind w:left="200"/>
              <w:rPr>
                <w:b/>
                <w:sz w:val="21"/>
              </w:rPr>
            </w:pPr>
            <w:r>
              <w:rPr>
                <w:b/>
                <w:sz w:val="21"/>
              </w:rPr>
              <w:t>78</w:t>
            </w:r>
          </w:p>
        </w:tc>
        <w:tc>
          <w:tcPr>
            <w:tcW w:w="1933" w:type="dxa"/>
          </w:tcPr>
          <w:p>
            <w:pPr>
              <w:pStyle w:val="TableParagraph"/>
              <w:spacing w:before="102"/>
              <w:ind w:right="155"/>
              <w:jc w:val="right"/>
              <w:rPr>
                <w:rFonts w:ascii="等线" w:eastAsia="等线" w:hint="eastAsia"/>
                <w:b/>
                <w:sz w:val="24"/>
              </w:rPr>
            </w:pPr>
            <w:r>
              <w:rPr>
                <w:rFonts w:ascii="等线" w:eastAsia="等线" w:hint="eastAsia"/>
                <w:b/>
                <w:sz w:val="24"/>
              </w:rPr>
              <w:t>语言能力丧失</w:t>
            </w:r>
          </w:p>
        </w:tc>
        <w:tc>
          <w:tcPr>
            <w:tcW w:w="7394" w:type="dxa"/>
          </w:tcPr>
          <w:p>
            <w:pPr>
              <w:pStyle w:val="TableParagraph"/>
              <w:spacing w:line="273" w:lineRule="auto" w:before="138"/>
              <w:ind w:left="102" w:right="305" w:hanging="1"/>
              <w:rPr>
                <w:sz w:val="21"/>
              </w:rPr>
            </w:pPr>
            <w:r>
              <w:rPr>
                <w:spacing w:val="-7"/>
                <w:sz w:val="21"/>
              </w:rPr>
              <w:t>指因疾病或意外伤害导致完全丧失语言能力，经过积极治疗至少 </w:t>
            </w:r>
            <w:r>
              <w:rPr>
                <w:sz w:val="21"/>
              </w:rPr>
              <w:t>12</w:t>
            </w:r>
            <w:r>
              <w:rPr>
                <w:spacing w:val="-23"/>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55" w:lineRule="exact" w:before="7"/>
              <w:ind w:left="101"/>
              <w:rPr>
                <w:sz w:val="21"/>
              </w:rPr>
            </w:pPr>
            <w:r>
              <w:rPr>
                <w:sz w:val="21"/>
                <w:shd w:fill="DADADA" w:color="auto" w:val="clear"/>
              </w:rPr>
              <w:t>精神心理因素所致的语言能力丧失不在保障范围内。</w:t>
            </w:r>
          </w:p>
        </w:tc>
      </w:tr>
    </w:tbl>
    <w:p>
      <w:pPr>
        <w:spacing w:after="0" w:line="255" w:lineRule="exact"/>
        <w:rPr>
          <w:sz w:val="21"/>
        </w:rPr>
        <w:sectPr>
          <w:pgSz w:w="11910" w:h="16840"/>
          <w:pgMar w:top="1140" w:bottom="280" w:left="1080" w:right="520"/>
        </w:sectPr>
      </w:pPr>
    </w:p>
    <w:tbl>
      <w:tblPr>
        <w:tblW w:w="0" w:type="auto"/>
        <w:jc w:val="left"/>
        <w:tblInd w:w="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2035"/>
        <w:gridCol w:w="6985"/>
      </w:tblGrid>
      <w:tr>
        <w:trPr>
          <w:trHeight w:val="261" w:hRule="atLeast"/>
        </w:trPr>
        <w:tc>
          <w:tcPr>
            <w:tcW w:w="2630" w:type="dxa"/>
            <w:gridSpan w:val="2"/>
            <w:vMerge w:val="restart"/>
          </w:tcPr>
          <w:p>
            <w:pPr>
              <w:pStyle w:val="TableParagraph"/>
              <w:rPr>
                <w:rFonts w:ascii="Times New Roman"/>
                <w:sz w:val="20"/>
              </w:rPr>
            </w:pPr>
          </w:p>
        </w:tc>
        <w:tc>
          <w:tcPr>
            <w:tcW w:w="6985" w:type="dxa"/>
          </w:tcPr>
          <w:p>
            <w:pPr>
              <w:pStyle w:val="TableParagraph"/>
              <w:spacing w:line="211" w:lineRule="exact"/>
              <w:ind w:right="-15"/>
              <w:rPr>
                <w:sz w:val="21"/>
              </w:rPr>
            </w:pPr>
            <w:r>
              <w:rPr>
                <w:spacing w:val="-7"/>
                <w:sz w:val="21"/>
                <w:shd w:fill="DADADA" w:color="auto" w:val="clear"/>
              </w:rPr>
              <w:t>若被保险人在 </w:t>
            </w:r>
            <w:r>
              <w:rPr>
                <w:sz w:val="21"/>
                <w:shd w:fill="DADADA" w:color="auto" w:val="clear"/>
              </w:rPr>
              <w:t>0</w:t>
            </w:r>
            <w:r>
              <w:rPr>
                <w:spacing w:val="-22"/>
                <w:sz w:val="21"/>
                <w:shd w:fill="DADADA" w:color="auto" w:val="clear"/>
              </w:rPr>
              <w:t> 至 </w:t>
            </w:r>
            <w:r>
              <w:rPr>
                <w:sz w:val="21"/>
                <w:shd w:fill="DADADA" w:color="auto" w:val="clear"/>
              </w:rPr>
              <w:t>3</w:t>
            </w:r>
            <w:r>
              <w:rPr>
                <w:spacing w:val="-7"/>
                <w:sz w:val="21"/>
                <w:shd w:fill="DADADA" w:color="auto" w:val="clear"/>
              </w:rPr>
              <w:t> 周岁保单周年日期间语言能力丧失，在本附加险合同有</w:t>
            </w:r>
          </w:p>
        </w:tc>
      </w:tr>
      <w:tr>
        <w:trPr>
          <w:trHeight w:val="472" w:hRule="atLeast"/>
        </w:trPr>
        <w:tc>
          <w:tcPr>
            <w:tcW w:w="2630" w:type="dxa"/>
            <w:gridSpan w:val="2"/>
            <w:vMerge/>
            <w:tcBorders>
              <w:top w:val="nil"/>
            </w:tcBorders>
          </w:tcPr>
          <w:p>
            <w:pPr>
              <w:rPr>
                <w:sz w:val="2"/>
                <w:szCs w:val="2"/>
              </w:rPr>
            </w:pPr>
          </w:p>
        </w:tc>
        <w:tc>
          <w:tcPr>
            <w:tcW w:w="6985" w:type="dxa"/>
          </w:tcPr>
          <w:p>
            <w:pPr>
              <w:pStyle w:val="TableParagraph"/>
              <w:spacing w:line="261" w:lineRule="exact"/>
              <w:rPr>
                <w:sz w:val="21"/>
              </w:rPr>
            </w:pPr>
            <w:r>
              <w:rPr>
                <w:sz w:val="21"/>
                <w:shd w:fill="DADADA" w:color="auto" w:val="clear"/>
              </w:rPr>
              <w:t>效期内我们对语言能力丧失不承担保险责任。</w:t>
            </w:r>
          </w:p>
        </w:tc>
      </w:tr>
      <w:tr>
        <w:trPr>
          <w:trHeight w:val="804" w:hRule="atLeast"/>
        </w:trPr>
        <w:tc>
          <w:tcPr>
            <w:tcW w:w="595" w:type="dxa"/>
          </w:tcPr>
          <w:p>
            <w:pPr>
              <w:pStyle w:val="TableParagraph"/>
              <w:spacing w:before="167"/>
              <w:ind w:left="50"/>
              <w:rPr>
                <w:b/>
                <w:sz w:val="21"/>
              </w:rPr>
            </w:pPr>
            <w:r>
              <w:rPr>
                <w:b/>
                <w:sz w:val="21"/>
              </w:rPr>
              <w:t>79</w:t>
            </w:r>
          </w:p>
        </w:tc>
        <w:tc>
          <w:tcPr>
            <w:tcW w:w="2035" w:type="dxa"/>
          </w:tcPr>
          <w:p>
            <w:pPr>
              <w:pStyle w:val="TableParagraph"/>
              <w:spacing w:before="131"/>
              <w:ind w:left="333"/>
              <w:rPr>
                <w:rFonts w:ascii="等线" w:eastAsia="等线" w:hint="eastAsia"/>
                <w:b/>
                <w:sz w:val="24"/>
              </w:rPr>
            </w:pPr>
            <w:r>
              <w:rPr>
                <w:rFonts w:ascii="等线" w:eastAsia="等线" w:hint="eastAsia"/>
                <w:b/>
                <w:sz w:val="24"/>
              </w:rPr>
              <w:t>双耳失聪</w:t>
            </w:r>
          </w:p>
        </w:tc>
        <w:tc>
          <w:tcPr>
            <w:tcW w:w="6985" w:type="dxa"/>
          </w:tcPr>
          <w:p>
            <w:pPr>
              <w:pStyle w:val="TableParagraph"/>
              <w:spacing w:line="273" w:lineRule="auto" w:before="167"/>
              <w:ind w:right="-15" w:hanging="1"/>
              <w:rPr>
                <w:sz w:val="21"/>
              </w:rPr>
            </w:pPr>
            <w:r>
              <w:rPr>
                <w:spacing w:val="-5"/>
                <w:sz w:val="21"/>
              </w:rPr>
              <w:t>指因疾病或意外伤害导致双耳听力永久不可逆性丧失，在 </w:t>
            </w:r>
            <w:r>
              <w:rPr>
                <w:sz w:val="21"/>
              </w:rPr>
              <w:t>500</w:t>
            </w:r>
            <w:r>
              <w:rPr>
                <w:spacing w:val="-13"/>
                <w:sz w:val="21"/>
              </w:rPr>
              <w:t> 赫兹、</w:t>
            </w:r>
            <w:r>
              <w:rPr>
                <w:sz w:val="21"/>
              </w:rPr>
              <w:t>1000</w:t>
            </w:r>
            <w:r>
              <w:rPr>
                <w:spacing w:val="-22"/>
                <w:sz w:val="21"/>
              </w:rPr>
              <w:t> 赫</w:t>
            </w:r>
            <w:r>
              <w:rPr>
                <w:spacing w:val="-26"/>
                <w:sz w:val="21"/>
              </w:rPr>
              <w:t>兹和 </w:t>
            </w:r>
            <w:r>
              <w:rPr>
                <w:sz w:val="21"/>
              </w:rPr>
              <w:t>2000</w:t>
            </w:r>
            <w:r>
              <w:rPr>
                <w:spacing w:val="-10"/>
                <w:sz w:val="21"/>
              </w:rPr>
              <w:t> 赫兹语音频率下，平均听阈大于 </w:t>
            </w:r>
            <w:r>
              <w:rPr>
                <w:sz w:val="21"/>
              </w:rPr>
              <w:t>90</w:t>
            </w:r>
            <w:r>
              <w:rPr>
                <w:spacing w:val="-7"/>
                <w:sz w:val="21"/>
              </w:rPr>
              <w:t> 分贝，且经纯音听力测试、声</w:t>
            </w:r>
          </w:p>
        </w:tc>
      </w:tr>
      <w:tr>
        <w:trPr>
          <w:trHeight w:val="330" w:hRule="atLeast"/>
        </w:trPr>
        <w:tc>
          <w:tcPr>
            <w:tcW w:w="595" w:type="dxa"/>
          </w:tcPr>
          <w:p>
            <w:pPr>
              <w:pStyle w:val="TableParagraph"/>
              <w:rPr>
                <w:rFonts w:ascii="Times New Roman"/>
                <w:sz w:val="20"/>
              </w:rPr>
            </w:pPr>
          </w:p>
        </w:tc>
        <w:tc>
          <w:tcPr>
            <w:tcW w:w="2035" w:type="dxa"/>
          </w:tcPr>
          <w:p>
            <w:pPr>
              <w:pStyle w:val="TableParagraph"/>
              <w:rPr>
                <w:rFonts w:ascii="Times New Roman"/>
                <w:sz w:val="20"/>
              </w:rPr>
            </w:pPr>
          </w:p>
        </w:tc>
        <w:tc>
          <w:tcPr>
            <w:tcW w:w="6985" w:type="dxa"/>
          </w:tcPr>
          <w:p>
            <w:pPr>
              <w:pStyle w:val="TableParagraph"/>
              <w:spacing w:line="261" w:lineRule="exact"/>
              <w:rPr>
                <w:sz w:val="21"/>
              </w:rPr>
            </w:pPr>
            <w:r>
              <w:rPr>
                <w:sz w:val="21"/>
              </w:rPr>
              <w:t>导抗检测或听觉诱发电位检测等证实。</w:t>
            </w:r>
          </w:p>
        </w:tc>
      </w:tr>
      <w:tr>
        <w:trPr>
          <w:trHeight w:val="270" w:hRule="atLeast"/>
        </w:trPr>
        <w:tc>
          <w:tcPr>
            <w:tcW w:w="595" w:type="dxa"/>
          </w:tcPr>
          <w:p>
            <w:pPr>
              <w:pStyle w:val="TableParagraph"/>
              <w:rPr>
                <w:rFonts w:ascii="Times New Roman"/>
                <w:sz w:val="20"/>
              </w:rPr>
            </w:pPr>
          </w:p>
        </w:tc>
        <w:tc>
          <w:tcPr>
            <w:tcW w:w="2035" w:type="dxa"/>
          </w:tcPr>
          <w:p>
            <w:pPr>
              <w:pStyle w:val="TableParagraph"/>
              <w:rPr>
                <w:rFonts w:ascii="Times New Roman"/>
                <w:sz w:val="20"/>
              </w:rPr>
            </w:pPr>
          </w:p>
        </w:tc>
        <w:tc>
          <w:tcPr>
            <w:tcW w:w="6985" w:type="dxa"/>
            <w:tcBorders>
              <w:bottom w:val="single" w:sz="18" w:space="0" w:color="FFFFFF"/>
            </w:tcBorders>
            <w:shd w:val="clear" w:color="auto" w:fill="DADADA"/>
          </w:tcPr>
          <w:p>
            <w:pPr>
              <w:pStyle w:val="TableParagraph"/>
              <w:spacing w:line="243" w:lineRule="exact"/>
              <w:ind w:right="-15"/>
              <w:rPr>
                <w:sz w:val="21"/>
              </w:rPr>
            </w:pPr>
            <w:r>
              <w:rPr>
                <w:spacing w:val="-6"/>
                <w:sz w:val="21"/>
              </w:rPr>
              <w:t>若被保险人在 </w:t>
            </w:r>
            <w:r>
              <w:rPr>
                <w:sz w:val="21"/>
              </w:rPr>
              <w:t>0</w:t>
            </w:r>
            <w:r>
              <w:rPr>
                <w:spacing w:val="-20"/>
                <w:sz w:val="21"/>
              </w:rPr>
              <w:t> 至 </w:t>
            </w:r>
            <w:r>
              <w:rPr>
                <w:sz w:val="21"/>
              </w:rPr>
              <w:t>3</w:t>
            </w:r>
            <w:r>
              <w:rPr>
                <w:spacing w:val="-31"/>
                <w:sz w:val="21"/>
              </w:rPr>
              <w:t> </w:t>
            </w:r>
            <w:r>
              <w:rPr>
                <w:rFonts w:ascii="黑体" w:eastAsia="黑体" w:hint="eastAsia"/>
                <w:b/>
                <w:spacing w:val="-7"/>
                <w:sz w:val="21"/>
              </w:rPr>
              <w:t>周岁 </w:t>
            </w:r>
            <w:hyperlink w:history="true" w:anchor="_bookmark20">
              <w:r>
                <w:rPr>
                  <w:rFonts w:ascii="黑体" w:eastAsia="黑体" w:hint="eastAsia"/>
                  <w:b/>
                  <w:position w:val="11"/>
                  <w:sz w:val="11"/>
                </w:rPr>
                <w:t>21</w:t>
              </w:r>
            </w:hyperlink>
            <w:r>
              <w:rPr>
                <w:spacing w:val="-3"/>
                <w:sz w:val="21"/>
              </w:rPr>
              <w:t>保单周年日期间双耳失聪，在本附加险合同有效</w:t>
            </w:r>
          </w:p>
        </w:tc>
      </w:tr>
      <w:tr>
        <w:trPr>
          <w:trHeight w:val="450" w:hRule="atLeast"/>
        </w:trPr>
        <w:tc>
          <w:tcPr>
            <w:tcW w:w="595" w:type="dxa"/>
          </w:tcPr>
          <w:p>
            <w:pPr>
              <w:pStyle w:val="TableParagraph"/>
              <w:rPr>
                <w:rFonts w:ascii="Times New Roman"/>
                <w:sz w:val="20"/>
              </w:rPr>
            </w:pPr>
          </w:p>
        </w:tc>
        <w:tc>
          <w:tcPr>
            <w:tcW w:w="2035" w:type="dxa"/>
          </w:tcPr>
          <w:p>
            <w:pPr>
              <w:pStyle w:val="TableParagraph"/>
              <w:rPr>
                <w:rFonts w:ascii="Times New Roman"/>
                <w:sz w:val="20"/>
              </w:rPr>
            </w:pPr>
          </w:p>
        </w:tc>
        <w:tc>
          <w:tcPr>
            <w:tcW w:w="6985" w:type="dxa"/>
            <w:tcBorders>
              <w:top w:val="single" w:sz="18" w:space="0" w:color="FFFFFF"/>
            </w:tcBorders>
          </w:tcPr>
          <w:p>
            <w:pPr>
              <w:pStyle w:val="TableParagraph"/>
              <w:spacing w:line="240" w:lineRule="exact"/>
              <w:rPr>
                <w:sz w:val="21"/>
              </w:rPr>
            </w:pPr>
            <w:r>
              <w:rPr>
                <w:sz w:val="21"/>
                <w:shd w:fill="DADADA" w:color="auto" w:val="clear"/>
              </w:rPr>
              <w:t>期内我们对双耳失聪不承担保险责任。</w:t>
            </w:r>
          </w:p>
        </w:tc>
      </w:tr>
      <w:tr>
        <w:trPr>
          <w:trHeight w:val="804" w:hRule="atLeast"/>
        </w:trPr>
        <w:tc>
          <w:tcPr>
            <w:tcW w:w="595" w:type="dxa"/>
          </w:tcPr>
          <w:p>
            <w:pPr>
              <w:pStyle w:val="TableParagraph"/>
              <w:spacing w:before="167"/>
              <w:ind w:left="50"/>
              <w:rPr>
                <w:b/>
                <w:sz w:val="21"/>
              </w:rPr>
            </w:pPr>
            <w:r>
              <w:rPr>
                <w:b/>
                <w:sz w:val="21"/>
              </w:rPr>
              <w:t>80</w:t>
            </w:r>
          </w:p>
        </w:tc>
        <w:tc>
          <w:tcPr>
            <w:tcW w:w="2035" w:type="dxa"/>
          </w:tcPr>
          <w:p>
            <w:pPr>
              <w:pStyle w:val="TableParagraph"/>
              <w:spacing w:before="131"/>
              <w:ind w:left="333"/>
              <w:rPr>
                <w:rFonts w:ascii="等线" w:eastAsia="等线" w:hint="eastAsia"/>
                <w:b/>
                <w:sz w:val="24"/>
              </w:rPr>
            </w:pPr>
            <w:r>
              <w:rPr>
                <w:rFonts w:ascii="等线" w:eastAsia="等线" w:hint="eastAsia"/>
                <w:b/>
                <w:sz w:val="24"/>
              </w:rPr>
              <w:t>双目失明</w:t>
            </w:r>
          </w:p>
        </w:tc>
        <w:tc>
          <w:tcPr>
            <w:tcW w:w="6985" w:type="dxa"/>
          </w:tcPr>
          <w:p>
            <w:pPr>
              <w:pStyle w:val="TableParagraph"/>
              <w:spacing w:line="273" w:lineRule="auto" w:before="167"/>
              <w:rPr>
                <w:sz w:val="21"/>
              </w:rPr>
            </w:pPr>
            <w:r>
              <w:rPr>
                <w:sz w:val="21"/>
              </w:rPr>
              <w:t>指因疾病或意外伤害导致双眼视力永久不可逆性丧失，双眼中较好眼须满足下列至少一项条件：</w:t>
            </w:r>
          </w:p>
        </w:tc>
      </w:tr>
      <w:tr>
        <w:trPr>
          <w:trHeight w:val="311" w:hRule="atLeast"/>
        </w:trPr>
        <w:tc>
          <w:tcPr>
            <w:tcW w:w="595" w:type="dxa"/>
          </w:tcPr>
          <w:p>
            <w:pPr>
              <w:pStyle w:val="TableParagraph"/>
              <w:rPr>
                <w:rFonts w:ascii="Times New Roman"/>
                <w:sz w:val="20"/>
              </w:rPr>
            </w:pPr>
          </w:p>
        </w:tc>
        <w:tc>
          <w:tcPr>
            <w:tcW w:w="2035" w:type="dxa"/>
          </w:tcPr>
          <w:p>
            <w:pPr>
              <w:pStyle w:val="TableParagraph"/>
              <w:rPr>
                <w:rFonts w:ascii="Times New Roman"/>
                <w:sz w:val="20"/>
              </w:rPr>
            </w:pPr>
          </w:p>
        </w:tc>
        <w:tc>
          <w:tcPr>
            <w:tcW w:w="6985" w:type="dxa"/>
          </w:tcPr>
          <w:p>
            <w:pPr>
              <w:pStyle w:val="TableParagraph"/>
              <w:spacing w:line="261" w:lineRule="exact"/>
              <w:rPr>
                <w:sz w:val="21"/>
              </w:rPr>
            </w:pPr>
            <w:r>
              <w:rPr>
                <w:sz w:val="21"/>
              </w:rPr>
              <w:t>（1）眼球缺失或摘除；</w:t>
            </w:r>
          </w:p>
        </w:tc>
      </w:tr>
      <w:tr>
        <w:trPr>
          <w:trHeight w:val="261" w:hRule="atLeast"/>
        </w:trPr>
        <w:tc>
          <w:tcPr>
            <w:tcW w:w="595" w:type="dxa"/>
          </w:tcPr>
          <w:p>
            <w:pPr>
              <w:pStyle w:val="TableParagraph"/>
              <w:rPr>
                <w:rFonts w:ascii="Times New Roman"/>
                <w:sz w:val="18"/>
              </w:rPr>
            </w:pPr>
          </w:p>
        </w:tc>
        <w:tc>
          <w:tcPr>
            <w:tcW w:w="2035" w:type="dxa"/>
          </w:tcPr>
          <w:p>
            <w:pPr>
              <w:pStyle w:val="TableParagraph"/>
              <w:rPr>
                <w:rFonts w:ascii="Times New Roman"/>
                <w:sz w:val="18"/>
              </w:rPr>
            </w:pPr>
          </w:p>
        </w:tc>
        <w:tc>
          <w:tcPr>
            <w:tcW w:w="6985" w:type="dxa"/>
          </w:tcPr>
          <w:p>
            <w:pPr>
              <w:pStyle w:val="TableParagraph"/>
              <w:spacing w:line="242" w:lineRule="exact"/>
              <w:ind w:right="-15"/>
              <w:rPr>
                <w:sz w:val="21"/>
              </w:rPr>
            </w:pPr>
            <w:r>
              <w:rPr>
                <w:spacing w:val="-13"/>
                <w:sz w:val="21"/>
              </w:rPr>
              <w:t>（2）</w:t>
            </w:r>
            <w:r>
              <w:rPr>
                <w:spacing w:val="-4"/>
                <w:sz w:val="21"/>
              </w:rPr>
              <w:t>矫正视力低于 </w:t>
            </w:r>
            <w:r>
              <w:rPr>
                <w:spacing w:val="-9"/>
                <w:sz w:val="21"/>
              </w:rPr>
              <w:t>0.02（</w:t>
            </w:r>
            <w:r>
              <w:rPr>
                <w:spacing w:val="-7"/>
                <w:sz w:val="21"/>
              </w:rPr>
              <w:t>采用国际标准视力表，如果使用其它视力表应进行</w:t>
            </w:r>
          </w:p>
        </w:tc>
      </w:tr>
    </w:tbl>
    <w:p>
      <w:pPr>
        <w:pStyle w:val="BodyText"/>
        <w:spacing w:before="42"/>
        <w:ind w:left="285" w:right="2427"/>
        <w:jc w:val="center"/>
      </w:pPr>
      <w:r>
        <w:rPr>
          <w:w w:val="100"/>
        </w:rPr>
        <w:t>换算</w:t>
      </w:r>
      <w:r>
        <w:rPr>
          <w:spacing w:val="-109"/>
          <w:w w:val="100"/>
        </w:rPr>
        <w:t>）</w:t>
      </w:r>
      <w:r>
        <w:rPr>
          <w:w w:val="100"/>
        </w:rPr>
        <w:t>；</w:t>
      </w:r>
    </w:p>
    <w:p>
      <w:pPr>
        <w:pStyle w:val="BodyText"/>
        <w:spacing w:before="36"/>
        <w:ind w:left="3256"/>
      </w:pPr>
      <w:r>
        <w:rPr/>
        <w:t>（3）视野半径小于 5 度。</w:t>
      </w:r>
    </w:p>
    <w:p>
      <w:pPr>
        <w:pStyle w:val="BodyText"/>
        <w:spacing w:before="9"/>
        <w:rPr>
          <w:sz w:val="24"/>
        </w:rPr>
      </w:pPr>
    </w:p>
    <w:p>
      <w:pPr>
        <w:pStyle w:val="Heading1"/>
        <w:tabs>
          <w:tab w:pos="1555" w:val="left" w:leader="none"/>
        </w:tabs>
        <w:spacing w:line="457" w:lineRule="exact"/>
        <w:ind w:left="602"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2"/>
      </w:pPr>
      <w:r>
        <w:rPr/>
        <w:t>这部分讲的是您应当注意的其他事项。</w:t>
      </w:r>
    </w:p>
    <w:p>
      <w:pPr>
        <w:pStyle w:val="BodyText"/>
        <w:spacing w:before="4"/>
        <w:rPr>
          <w:sz w:val="13"/>
        </w:rPr>
      </w:pPr>
      <w:r>
        <w:rPr/>
        <w:pict>
          <v:group style="position:absolute;margin-left:41.880001pt;margin-top:10.698174pt;width:511.45pt;height:1pt;mso-position-horizontal-relative:page;mso-position-vertical-relative:paragraph;z-index:1528;mso-wrap-distance-left:0;mso-wrap-distance-right:0" coordorigin="838,214" coordsize="10229,20">
            <v:line style="position:absolute" from="838,224" to="2167,224" stroked="true" strokeweight=".96pt" strokecolor="#000000">
              <v:stroke dashstyle="solid"/>
            </v:line>
            <v:rect style="position:absolute;left:2167;top:213;width:20;height:20" filled="true" fillcolor="#000000" stroked="false">
              <v:fill type="solid"/>
            </v:rect>
            <v:line style="position:absolute" from="2186,224" to="3866,224" stroked="true" strokeweight=".96pt" strokecolor="#000000">
              <v:stroke dashstyle="solid"/>
            </v:line>
            <v:rect style="position:absolute;left:3866;top:213;width:20;height:20" filled="true" fillcolor="#000000" stroked="false">
              <v:fill type="solid"/>
            </v:rect>
            <v:line style="position:absolute" from="3886,224" to="11066,224" stroked="true" strokeweight=".96pt" strokecolor="#000000">
              <v:stroke dashstyle="solid"/>
            </v:line>
            <w10:wrap type="topAndBottom"/>
          </v:group>
        </w:pict>
      </w:r>
    </w:p>
    <w:p>
      <w:pPr>
        <w:pStyle w:val="BodyText"/>
        <w:spacing w:before="11"/>
        <w:rPr>
          <w:sz w:val="19"/>
        </w:rPr>
      </w:pPr>
    </w:p>
    <w:p>
      <w:pPr>
        <w:pStyle w:val="ListParagraph"/>
        <w:numPr>
          <w:ilvl w:val="1"/>
          <w:numId w:val="5"/>
        </w:numPr>
        <w:tabs>
          <w:tab w:pos="1556" w:val="left" w:leader="none"/>
        </w:tabs>
        <w:spacing w:line="273" w:lineRule="auto" w:before="37" w:after="0"/>
        <w:ind w:left="3256" w:right="203" w:hanging="2632"/>
        <w:jc w:val="both"/>
        <w:rPr>
          <w:sz w:val="21"/>
        </w:rPr>
      </w:pPr>
      <w:r>
        <w:rPr>
          <w:b/>
          <w:spacing w:val="5"/>
          <w:sz w:val="21"/>
        </w:rPr>
        <w:t>合同订立       </w:t>
      </w:r>
      <w:r>
        <w:rPr>
          <w:sz w:val="21"/>
        </w:rPr>
        <w:t>若您与我们签订的保险合同中附有平安附加福寿安康提前给付重大疾病保险</w:t>
      </w:r>
      <w:r>
        <w:rPr>
          <w:spacing w:val="-3"/>
          <w:sz w:val="21"/>
        </w:rPr>
        <w:t>合同，则可投保本附加险合同。</w:t>
      </w:r>
    </w:p>
    <w:p>
      <w:pPr>
        <w:pStyle w:val="BodyText"/>
        <w:spacing w:before="8"/>
        <w:ind w:left="3256"/>
      </w:pPr>
      <w:r>
        <w:rPr/>
        <w:t>本附加险合同由主险合同投保人提出申请，经我们同意而订立。</w:t>
      </w:r>
    </w:p>
    <w:p>
      <w:pPr>
        <w:pStyle w:val="BodyText"/>
        <w:spacing w:before="9"/>
        <w:rPr>
          <w:sz w:val="28"/>
        </w:rPr>
      </w:pPr>
    </w:p>
    <w:p>
      <w:pPr>
        <w:pStyle w:val="ListParagraph"/>
        <w:numPr>
          <w:ilvl w:val="1"/>
          <w:numId w:val="5"/>
        </w:numPr>
        <w:tabs>
          <w:tab w:pos="1555" w:val="left" w:leader="none"/>
          <w:tab w:pos="1556" w:val="left" w:leader="none"/>
          <w:tab w:pos="3256" w:val="left" w:leader="none"/>
        </w:tabs>
        <w:spacing w:line="240" w:lineRule="auto" w:before="0" w:after="0"/>
        <w:ind w:left="3256" w:right="0" w:hanging="2632"/>
        <w:jc w:val="left"/>
        <w:rPr>
          <w:sz w:val="21"/>
        </w:rPr>
      </w:pPr>
      <w:r>
        <w:rPr>
          <w:b/>
          <w:sz w:val="21"/>
        </w:rPr>
        <w:t>合同生效</w:t>
        <w:tab/>
      </w:r>
      <w:r>
        <w:rPr>
          <w:sz w:val="21"/>
        </w:rPr>
        <w:t>本附</w:t>
      </w:r>
      <w:r>
        <w:rPr>
          <w:spacing w:val="-3"/>
          <w:sz w:val="21"/>
        </w:rPr>
        <w:t>加</w:t>
      </w:r>
      <w:r>
        <w:rPr>
          <w:sz w:val="21"/>
        </w:rPr>
        <w:t>险</w:t>
      </w:r>
      <w:r>
        <w:rPr>
          <w:spacing w:val="-3"/>
          <w:sz w:val="21"/>
        </w:rPr>
        <w:t>合</w:t>
      </w:r>
      <w:r>
        <w:rPr>
          <w:sz w:val="21"/>
        </w:rPr>
        <w:t>同</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w:t>
      </w:r>
    </w:p>
    <w:p>
      <w:pPr>
        <w:pStyle w:val="BodyText"/>
        <w:spacing w:before="36"/>
        <w:ind w:left="3256"/>
      </w:pPr>
      <w:r>
        <w:rPr/>
        <w:t>本附加险合同的生效日与主险合同相同。</w:t>
      </w:r>
    </w:p>
    <w:p>
      <w:pPr>
        <w:pStyle w:val="BodyText"/>
        <w:spacing w:before="36"/>
        <w:ind w:left="3256"/>
      </w:pPr>
      <w:r>
        <w:rPr/>
        <w:t>本附加险合同的保单周年日同主险合同的保单周年日。</w:t>
      </w:r>
    </w:p>
    <w:p>
      <w:pPr>
        <w:pStyle w:val="BodyText"/>
        <w:spacing w:before="8"/>
        <w:rPr>
          <w:sz w:val="28"/>
        </w:rPr>
      </w:pPr>
    </w:p>
    <w:p>
      <w:pPr>
        <w:pStyle w:val="ListParagraph"/>
        <w:numPr>
          <w:ilvl w:val="1"/>
          <w:numId w:val="5"/>
        </w:numPr>
        <w:tabs>
          <w:tab w:pos="1556" w:val="left" w:leader="none"/>
        </w:tabs>
        <w:spacing w:line="273" w:lineRule="auto" w:before="1" w:after="0"/>
        <w:ind w:left="3256" w:right="203" w:hanging="2632"/>
        <w:jc w:val="both"/>
        <w:rPr>
          <w:sz w:val="21"/>
        </w:rPr>
      </w:pPr>
      <w:r>
        <w:rPr>
          <w:b/>
          <w:spacing w:val="5"/>
          <w:sz w:val="21"/>
        </w:rPr>
        <w:t>投保年龄       </w:t>
      </w:r>
      <w:r>
        <w:rPr>
          <w:sz w:val="21"/>
        </w:rPr>
        <w:t>指投保时被保险人的年龄，投保年龄以周岁计算。本附加险合同接受的投保</w:t>
      </w:r>
      <w:r>
        <w:rPr>
          <w:spacing w:val="-12"/>
          <w:sz w:val="21"/>
        </w:rPr>
        <w:t>年龄为 </w:t>
      </w:r>
      <w:r>
        <w:rPr>
          <w:sz w:val="21"/>
        </w:rPr>
        <w:t>0</w:t>
      </w:r>
      <w:r>
        <w:rPr>
          <w:spacing w:val="-19"/>
          <w:sz w:val="21"/>
        </w:rPr>
        <w:t> 周岁至 </w:t>
      </w:r>
      <w:r>
        <w:rPr>
          <w:sz w:val="21"/>
        </w:rPr>
        <w:t>50</w:t>
      </w:r>
      <w:r>
        <w:rPr>
          <w:spacing w:val="-11"/>
          <w:sz w:val="21"/>
        </w:rPr>
        <w:t> 周岁，投保时被保险人为 </w:t>
      </w:r>
      <w:r>
        <w:rPr>
          <w:sz w:val="21"/>
        </w:rPr>
        <w:t>0</w:t>
      </w:r>
      <w:r>
        <w:rPr>
          <w:spacing w:val="-11"/>
          <w:sz w:val="21"/>
        </w:rPr>
        <w:t> 周岁的，应当为出生满 </w:t>
      </w:r>
      <w:r>
        <w:rPr>
          <w:sz w:val="21"/>
        </w:rPr>
        <w:t>28</w:t>
      </w:r>
      <w:r>
        <w:rPr>
          <w:spacing w:val="-22"/>
          <w:sz w:val="21"/>
        </w:rPr>
        <w:t> 日</w:t>
      </w:r>
      <w:r>
        <w:rPr>
          <w:spacing w:val="-8"/>
          <w:sz w:val="21"/>
        </w:rPr>
        <w:t>且已健康出院的婴儿。</w:t>
      </w:r>
    </w:p>
    <w:p>
      <w:pPr>
        <w:pStyle w:val="BodyText"/>
        <w:spacing w:before="11"/>
        <w:rPr>
          <w:sz w:val="26"/>
        </w:rPr>
      </w:pPr>
    </w:p>
    <w:p>
      <w:pPr>
        <w:pStyle w:val="ListParagraph"/>
        <w:numPr>
          <w:ilvl w:val="1"/>
          <w:numId w:val="5"/>
        </w:numPr>
        <w:tabs>
          <w:tab w:pos="1556" w:val="left" w:leader="none"/>
        </w:tabs>
        <w:spacing w:line="273" w:lineRule="auto" w:before="0" w:after="0"/>
        <w:ind w:left="3256" w:right="201" w:hanging="2632"/>
        <w:jc w:val="both"/>
        <w:rPr>
          <w:sz w:val="21"/>
        </w:rPr>
      </w:pPr>
      <w:r>
        <w:rPr>
          <w:b/>
          <w:spacing w:val="5"/>
          <w:sz w:val="21"/>
        </w:rPr>
        <w:t>年龄错误       </w:t>
      </w:r>
      <w:r>
        <w:rPr>
          <w:sz w:val="21"/>
        </w:rPr>
        <w:t>您在申请投保时，应将与有效身份证件相符的被保险人的出生日期在投保书</w:t>
      </w:r>
      <w:r>
        <w:rPr>
          <w:spacing w:val="-3"/>
          <w:sz w:val="21"/>
        </w:rPr>
        <w:t>上填明，如果发生错误按照下列方式办理：</w:t>
      </w:r>
    </w:p>
    <w:p>
      <w:pPr>
        <w:pStyle w:val="BodyText"/>
        <w:spacing w:line="273" w:lineRule="auto" w:before="7"/>
        <w:ind w:left="3760" w:right="200" w:hanging="504"/>
        <w:jc w:val="both"/>
      </w:pPr>
      <w:r>
        <w:rPr>
          <w:spacing w:val="-10"/>
        </w:rPr>
        <w:t>（1）</w:t>
      </w:r>
      <w:r>
        <w:rPr>
          <w:spacing w:val="-5"/>
        </w:rPr>
        <w:t>您申报的被保险人年龄不真实，并且其真实年龄不符合本附加险合同约</w:t>
      </w:r>
      <w:r>
        <w:rPr>
          <w:spacing w:val="-7"/>
        </w:rPr>
        <w:t>定投保年龄限制的，我们有权解除合同，并向您退还本附加险合同的现金价值。我们行使合同解除权适用“</w:t>
      </w:r>
      <w:r>
        <w:rPr>
          <w:spacing w:val="-3"/>
        </w:rPr>
        <w:t>8.6（2）</w:t>
      </w:r>
      <w:r>
        <w:rPr>
          <w:spacing w:val="-4"/>
        </w:rPr>
        <w:t>明确说明与如实告知”中</w:t>
      </w:r>
      <w:r>
        <w:rPr>
          <w:spacing w:val="-3"/>
        </w:rPr>
        <w:t>合同解除权限制的规定；</w:t>
      </w:r>
    </w:p>
    <w:p>
      <w:pPr>
        <w:pStyle w:val="BodyText"/>
        <w:spacing w:line="273" w:lineRule="auto" w:before="7"/>
        <w:ind w:left="3760" w:right="148" w:hanging="504"/>
        <w:jc w:val="both"/>
      </w:pPr>
      <w:r>
        <w:rPr/>
        <w:t>（2）</w:t>
      </w:r>
      <w:r>
        <w:rPr>
          <w:spacing w:val="-3"/>
          <w:shd w:fill="DADADA" w:color="auto" w:val="clear"/>
        </w:rPr>
        <w:t>您申报的被保险人年龄不真实，致使您实付保险费少于应付保险费的， 我们</w:t>
      </w:r>
      <w:r>
        <w:rPr>
          <w:spacing w:val="-18"/>
          <w:shd w:fill="DADADA" w:color="auto" w:val="clear"/>
        </w:rPr>
        <w:t>有权更正并要求您补交保险费。若已经发生保险事故，在给付保险金</w:t>
      </w:r>
      <w:r>
        <w:rPr>
          <w:spacing w:val="-6"/>
          <w:shd w:fill="DADADA" w:color="auto" w:val="clear"/>
        </w:rPr>
        <w:t>时按实付保险费和应付保险费的比例给付；</w:t>
      </w:r>
    </w:p>
    <w:p>
      <w:pPr>
        <w:pStyle w:val="BodyText"/>
        <w:spacing w:line="273" w:lineRule="auto" w:before="7"/>
        <w:ind w:left="3760" w:right="148" w:hanging="504"/>
        <w:jc w:val="both"/>
      </w:pPr>
      <w:r>
        <w:rPr/>
        <w:t>（3）您申报的被保险人年龄不真实，致使您实付保险费多于应付保险费的， 我们会将多收的保险费退还给您。</w:t>
      </w:r>
    </w:p>
    <w:p>
      <w:pPr>
        <w:pStyle w:val="BodyText"/>
        <w:rPr>
          <w:sz w:val="20"/>
        </w:rPr>
      </w:pPr>
    </w:p>
    <w:p>
      <w:pPr>
        <w:pStyle w:val="BodyText"/>
        <w:spacing w:before="9"/>
        <w:rPr>
          <w:sz w:val="22"/>
        </w:rPr>
      </w:pPr>
      <w:r>
        <w:rPr/>
        <w:pict>
          <v:line style="position:absolute;mso-position-horizontal-relative:page;mso-position-vertical-relative:paragraph;z-index:1552;mso-wrap-distance-left:0;mso-wrap-distance-right:0" from="51pt,17.075268pt" to="195pt,17.075268pt" stroked="true" strokeweight=".48pt" strokecolor="#000000">
            <v:stroke dashstyle="solid"/>
            <w10:wrap type="topAndBottom"/>
          </v:line>
        </w:pict>
      </w:r>
    </w:p>
    <w:p>
      <w:pPr>
        <w:spacing w:before="25"/>
        <w:ind w:left="3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72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903"/>
        <w:gridCol w:w="4931"/>
      </w:tblGrid>
      <w:tr>
        <w:trPr>
          <w:trHeight w:val="1049" w:hRule="atLeast"/>
        </w:trPr>
        <w:tc>
          <w:tcPr>
            <w:tcW w:w="824" w:type="dxa"/>
          </w:tcPr>
          <w:p>
            <w:pPr>
              <w:pStyle w:val="TableParagraph"/>
              <w:spacing w:line="211" w:lineRule="exact"/>
              <w:ind w:left="200"/>
              <w:rPr>
                <w:b/>
                <w:sz w:val="21"/>
              </w:rPr>
            </w:pPr>
            <w:r>
              <w:rPr>
                <w:b/>
                <w:sz w:val="21"/>
              </w:rPr>
              <w:t>8.5</w:t>
            </w:r>
          </w:p>
        </w:tc>
        <w:tc>
          <w:tcPr>
            <w:tcW w:w="1903" w:type="dxa"/>
          </w:tcPr>
          <w:p>
            <w:pPr>
              <w:pStyle w:val="TableParagraph"/>
              <w:spacing w:line="211" w:lineRule="exact"/>
              <w:ind w:left="307"/>
              <w:rPr>
                <w:b/>
                <w:sz w:val="21"/>
              </w:rPr>
            </w:pPr>
            <w:r>
              <w:rPr>
                <w:b/>
                <w:sz w:val="21"/>
              </w:rPr>
              <w:t>效力终止</w:t>
            </w:r>
          </w:p>
        </w:tc>
        <w:tc>
          <w:tcPr>
            <w:tcW w:w="4931" w:type="dxa"/>
          </w:tcPr>
          <w:p>
            <w:pPr>
              <w:pStyle w:val="TableParagraph"/>
              <w:spacing w:line="211" w:lineRule="exact"/>
              <w:ind w:left="105"/>
              <w:rPr>
                <w:sz w:val="21"/>
              </w:rPr>
            </w:pPr>
            <w:r>
              <w:rPr>
                <w:sz w:val="21"/>
              </w:rPr>
              <w:t>当发生下列情形之一时，本附加险合同效力终止：</w:t>
            </w:r>
          </w:p>
          <w:p>
            <w:pPr>
              <w:pStyle w:val="TableParagraph"/>
              <w:spacing w:before="37"/>
              <w:ind w:left="105"/>
              <w:rPr>
                <w:sz w:val="21"/>
              </w:rPr>
            </w:pPr>
            <w:r>
              <w:rPr>
                <w:sz w:val="21"/>
              </w:rPr>
              <w:t>（1）主险合同效力终止；</w:t>
            </w:r>
          </w:p>
          <w:p>
            <w:pPr>
              <w:pStyle w:val="TableParagraph"/>
              <w:spacing w:before="37"/>
              <w:ind w:left="105"/>
              <w:rPr>
                <w:sz w:val="21"/>
              </w:rPr>
            </w:pPr>
            <w:r>
              <w:rPr>
                <w:sz w:val="21"/>
              </w:rPr>
              <w:t>（2）您申请解除本附加险合同。</w:t>
            </w:r>
          </w:p>
        </w:tc>
      </w:tr>
      <w:tr>
        <w:trPr>
          <w:trHeight w:val="1985" w:hRule="atLeast"/>
        </w:trPr>
        <w:tc>
          <w:tcPr>
            <w:tcW w:w="824" w:type="dxa"/>
          </w:tcPr>
          <w:p>
            <w:pPr>
              <w:pStyle w:val="TableParagraph"/>
              <w:spacing w:before="151"/>
              <w:ind w:left="200"/>
              <w:rPr>
                <w:b/>
                <w:sz w:val="21"/>
              </w:rPr>
            </w:pPr>
            <w:r>
              <w:rPr>
                <w:b/>
                <w:sz w:val="21"/>
              </w:rPr>
              <w:t>8.6</w:t>
            </w:r>
          </w:p>
        </w:tc>
        <w:tc>
          <w:tcPr>
            <w:tcW w:w="1903" w:type="dxa"/>
          </w:tcPr>
          <w:p>
            <w:pPr>
              <w:pStyle w:val="TableParagraph"/>
              <w:spacing w:line="273" w:lineRule="auto" w:before="151"/>
              <w:ind w:left="307" w:right="103"/>
              <w:rPr>
                <w:b/>
                <w:sz w:val="21"/>
              </w:rPr>
            </w:pPr>
            <w:r>
              <w:rPr>
                <w:b/>
                <w:sz w:val="21"/>
              </w:rPr>
              <w:t>适用主险合同条款</w:t>
            </w:r>
          </w:p>
        </w:tc>
        <w:tc>
          <w:tcPr>
            <w:tcW w:w="4931" w:type="dxa"/>
          </w:tcPr>
          <w:p>
            <w:pPr>
              <w:pStyle w:val="TableParagraph"/>
              <w:spacing w:before="151"/>
              <w:ind w:left="105"/>
              <w:rPr>
                <w:sz w:val="21"/>
              </w:rPr>
            </w:pPr>
            <w:r>
              <w:rPr>
                <w:sz w:val="21"/>
              </w:rPr>
              <w:t>下列各项条款，适用主险合同条款：</w:t>
            </w:r>
          </w:p>
          <w:p>
            <w:pPr>
              <w:pStyle w:val="TableParagraph"/>
              <w:spacing w:before="37"/>
              <w:ind w:left="105"/>
              <w:rPr>
                <w:sz w:val="21"/>
              </w:rPr>
            </w:pPr>
            <w:r>
              <w:rPr>
                <w:sz w:val="21"/>
              </w:rPr>
              <w:t>（1）保险事故通知；</w:t>
            </w:r>
          </w:p>
          <w:p>
            <w:pPr>
              <w:pStyle w:val="TableParagraph"/>
              <w:spacing w:before="37"/>
              <w:ind w:left="105"/>
              <w:rPr>
                <w:sz w:val="21"/>
              </w:rPr>
            </w:pPr>
            <w:r>
              <w:rPr>
                <w:sz w:val="21"/>
              </w:rPr>
              <w:t>（2）明确说明与如实告知；</w:t>
            </w:r>
          </w:p>
          <w:p>
            <w:pPr>
              <w:pStyle w:val="TableParagraph"/>
              <w:spacing w:before="37"/>
              <w:ind w:left="105"/>
              <w:rPr>
                <w:sz w:val="21"/>
              </w:rPr>
            </w:pPr>
            <w:r>
              <w:rPr>
                <w:sz w:val="21"/>
              </w:rPr>
              <w:t>（3）未还款项；</w:t>
            </w:r>
          </w:p>
          <w:p>
            <w:pPr>
              <w:pStyle w:val="TableParagraph"/>
              <w:spacing w:before="37"/>
              <w:ind w:left="105"/>
              <w:rPr>
                <w:sz w:val="21"/>
              </w:rPr>
            </w:pPr>
            <w:r>
              <w:rPr>
                <w:sz w:val="21"/>
              </w:rPr>
              <w:t>（4）合同内容变更；</w:t>
            </w:r>
          </w:p>
          <w:p>
            <w:pPr>
              <w:pStyle w:val="TableParagraph"/>
              <w:spacing w:line="255" w:lineRule="exact" w:before="37"/>
              <w:ind w:left="105"/>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pStyle w:val="BodyText"/>
        <w:spacing w:before="1"/>
        <w:ind w:left="4737" w:right="3783"/>
        <w:jc w:val="center"/>
      </w:pPr>
      <w:r>
        <w:rPr/>
        <w:t>（完）</w:t>
      </w:r>
    </w:p>
    <w:sectPr>
      <w:pgSz w:w="11910" w:h="16840"/>
      <w:pgMar w:top="1160" w:bottom="280" w:left="10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3256" w:hanging="932"/>
        <w:jc w:val="left"/>
      </w:pPr>
      <w:rPr>
        <w:rFonts w:hint="default"/>
      </w:rPr>
    </w:lvl>
    <w:lvl w:ilvl="1">
      <w:start w:val="1"/>
      <w:numFmt w:val="decimal"/>
      <w:lvlText w:val="%1.%2"/>
      <w:lvlJc w:val="left"/>
      <w:pPr>
        <w:ind w:left="3256" w:hanging="932"/>
        <w:jc w:val="left"/>
      </w:pPr>
      <w:rPr>
        <w:rFonts w:hint="default" w:ascii="宋体" w:hAnsi="宋体" w:eastAsia="宋体" w:cs="宋体"/>
        <w:b/>
        <w:bCs/>
        <w:w w:val="99"/>
        <w:sz w:val="21"/>
        <w:szCs w:val="21"/>
      </w:rPr>
    </w:lvl>
    <w:lvl w:ilvl="2">
      <w:start w:val="0"/>
      <w:numFmt w:val="bullet"/>
      <w:lvlText w:val="•"/>
      <w:lvlJc w:val="left"/>
      <w:pPr>
        <w:ind w:left="4697" w:hanging="932"/>
      </w:pPr>
      <w:rPr>
        <w:rFonts w:hint="default"/>
      </w:rPr>
    </w:lvl>
    <w:lvl w:ilvl="3">
      <w:start w:val="0"/>
      <w:numFmt w:val="bullet"/>
      <w:lvlText w:val="•"/>
      <w:lvlJc w:val="left"/>
      <w:pPr>
        <w:ind w:left="5415" w:hanging="932"/>
      </w:pPr>
      <w:rPr>
        <w:rFonts w:hint="default"/>
      </w:rPr>
    </w:lvl>
    <w:lvl w:ilvl="4">
      <w:start w:val="0"/>
      <w:numFmt w:val="bullet"/>
      <w:lvlText w:val="•"/>
      <w:lvlJc w:val="left"/>
      <w:pPr>
        <w:ind w:left="6134" w:hanging="932"/>
      </w:pPr>
      <w:rPr>
        <w:rFonts w:hint="default"/>
      </w:rPr>
    </w:lvl>
    <w:lvl w:ilvl="5">
      <w:start w:val="0"/>
      <w:numFmt w:val="bullet"/>
      <w:lvlText w:val="•"/>
      <w:lvlJc w:val="left"/>
      <w:pPr>
        <w:ind w:left="6853" w:hanging="932"/>
      </w:pPr>
      <w:rPr>
        <w:rFonts w:hint="default"/>
      </w:rPr>
    </w:lvl>
    <w:lvl w:ilvl="6">
      <w:start w:val="0"/>
      <w:numFmt w:val="bullet"/>
      <w:lvlText w:val="•"/>
      <w:lvlJc w:val="left"/>
      <w:pPr>
        <w:ind w:left="7571" w:hanging="932"/>
      </w:pPr>
      <w:rPr>
        <w:rFonts w:hint="default"/>
      </w:rPr>
    </w:lvl>
    <w:lvl w:ilvl="7">
      <w:start w:val="0"/>
      <w:numFmt w:val="bullet"/>
      <w:lvlText w:val="•"/>
      <w:lvlJc w:val="left"/>
      <w:pPr>
        <w:ind w:left="8290" w:hanging="932"/>
      </w:pPr>
      <w:rPr>
        <w:rFonts w:hint="default"/>
      </w:rPr>
    </w:lvl>
    <w:lvl w:ilvl="8">
      <w:start w:val="0"/>
      <w:numFmt w:val="bullet"/>
      <w:lvlText w:val="•"/>
      <w:lvlJc w:val="left"/>
      <w:pPr>
        <w:ind w:left="9009" w:hanging="932"/>
      </w:pPr>
      <w:rPr>
        <w:rFonts w:hint="default"/>
      </w:rPr>
    </w:lvl>
  </w:abstractNum>
  <w:abstractNum w:abstractNumId="3">
    <w:multiLevelType w:val="hybridMultilevel"/>
    <w:lvl w:ilvl="0">
      <w:start w:val="45"/>
      <w:numFmt w:val="decimal"/>
      <w:lvlText w:val="%1"/>
      <w:lvlJc w:val="left"/>
      <w:pPr>
        <w:ind w:left="1035" w:hanging="879"/>
        <w:jc w:val="left"/>
      </w:pPr>
      <w:rPr>
        <w:rFonts w:hint="default" w:ascii="宋体" w:hAnsi="宋体" w:eastAsia="宋体" w:cs="宋体"/>
        <w:b/>
        <w:bCs/>
        <w:w w:val="99"/>
        <w:sz w:val="21"/>
        <w:szCs w:val="21"/>
      </w:rPr>
    </w:lvl>
    <w:lvl w:ilvl="1">
      <w:start w:val="0"/>
      <w:numFmt w:val="bullet"/>
      <w:lvlText w:val="•"/>
      <w:lvlJc w:val="left"/>
      <w:pPr>
        <w:ind w:left="1189" w:hanging="879"/>
      </w:pPr>
      <w:rPr>
        <w:rFonts w:hint="default"/>
      </w:rPr>
    </w:lvl>
    <w:lvl w:ilvl="2">
      <w:start w:val="0"/>
      <w:numFmt w:val="bullet"/>
      <w:lvlText w:val="•"/>
      <w:lvlJc w:val="left"/>
      <w:pPr>
        <w:ind w:left="1338" w:hanging="879"/>
      </w:pPr>
      <w:rPr>
        <w:rFonts w:hint="default"/>
      </w:rPr>
    </w:lvl>
    <w:lvl w:ilvl="3">
      <w:start w:val="0"/>
      <w:numFmt w:val="bullet"/>
      <w:lvlText w:val="•"/>
      <w:lvlJc w:val="left"/>
      <w:pPr>
        <w:ind w:left="1487" w:hanging="879"/>
      </w:pPr>
      <w:rPr>
        <w:rFonts w:hint="default"/>
      </w:rPr>
    </w:lvl>
    <w:lvl w:ilvl="4">
      <w:start w:val="0"/>
      <w:numFmt w:val="bullet"/>
      <w:lvlText w:val="•"/>
      <w:lvlJc w:val="left"/>
      <w:pPr>
        <w:ind w:left="1637" w:hanging="879"/>
      </w:pPr>
      <w:rPr>
        <w:rFonts w:hint="default"/>
      </w:rPr>
    </w:lvl>
    <w:lvl w:ilvl="5">
      <w:start w:val="0"/>
      <w:numFmt w:val="bullet"/>
      <w:lvlText w:val="•"/>
      <w:lvlJc w:val="left"/>
      <w:pPr>
        <w:ind w:left="1786" w:hanging="879"/>
      </w:pPr>
      <w:rPr>
        <w:rFonts w:hint="default"/>
      </w:rPr>
    </w:lvl>
    <w:lvl w:ilvl="6">
      <w:start w:val="0"/>
      <w:numFmt w:val="bullet"/>
      <w:lvlText w:val="•"/>
      <w:lvlJc w:val="left"/>
      <w:pPr>
        <w:ind w:left="1935" w:hanging="879"/>
      </w:pPr>
      <w:rPr>
        <w:rFonts w:hint="default"/>
      </w:rPr>
    </w:lvl>
    <w:lvl w:ilvl="7">
      <w:start w:val="0"/>
      <w:numFmt w:val="bullet"/>
      <w:lvlText w:val="•"/>
      <w:lvlJc w:val="left"/>
      <w:pPr>
        <w:ind w:left="2084" w:hanging="879"/>
      </w:pPr>
      <w:rPr>
        <w:rFonts w:hint="default"/>
      </w:rPr>
    </w:lvl>
    <w:lvl w:ilvl="8">
      <w:start w:val="0"/>
      <w:numFmt w:val="bullet"/>
      <w:lvlText w:val="•"/>
      <w:lvlJc w:val="left"/>
      <w:pPr>
        <w:ind w:left="2234" w:hanging="879"/>
      </w:pPr>
      <w:rPr>
        <w:rFonts w:hint="default"/>
      </w:rPr>
    </w:lvl>
  </w:abstractNum>
  <w:abstractNum w:abstractNumId="2">
    <w:multiLevelType w:val="hybridMultilevel"/>
    <w:lvl w:ilvl="0">
      <w:start w:val="36"/>
      <w:numFmt w:val="decimal"/>
      <w:lvlText w:val="%1"/>
      <w:lvlJc w:val="left"/>
      <w:pPr>
        <w:ind w:left="1355" w:hanging="879"/>
        <w:jc w:val="left"/>
      </w:pPr>
      <w:rPr>
        <w:rFonts w:hint="default" w:ascii="宋体" w:hAnsi="宋体" w:eastAsia="宋体" w:cs="宋体"/>
        <w:b/>
        <w:bCs/>
        <w:w w:val="99"/>
        <w:sz w:val="21"/>
        <w:szCs w:val="21"/>
      </w:rPr>
    </w:lvl>
    <w:lvl w:ilvl="1">
      <w:start w:val="0"/>
      <w:numFmt w:val="bullet"/>
      <w:lvlText w:val="•"/>
      <w:lvlJc w:val="left"/>
      <w:pPr>
        <w:ind w:left="1509" w:hanging="879"/>
      </w:pPr>
      <w:rPr>
        <w:rFonts w:hint="default"/>
      </w:rPr>
    </w:lvl>
    <w:lvl w:ilvl="2">
      <w:start w:val="0"/>
      <w:numFmt w:val="bullet"/>
      <w:lvlText w:val="•"/>
      <w:lvlJc w:val="left"/>
      <w:pPr>
        <w:ind w:left="1658" w:hanging="879"/>
      </w:pPr>
      <w:rPr>
        <w:rFonts w:hint="default"/>
      </w:rPr>
    </w:lvl>
    <w:lvl w:ilvl="3">
      <w:start w:val="0"/>
      <w:numFmt w:val="bullet"/>
      <w:lvlText w:val="•"/>
      <w:lvlJc w:val="left"/>
      <w:pPr>
        <w:ind w:left="1807" w:hanging="879"/>
      </w:pPr>
      <w:rPr>
        <w:rFonts w:hint="default"/>
      </w:rPr>
    </w:lvl>
    <w:lvl w:ilvl="4">
      <w:start w:val="0"/>
      <w:numFmt w:val="bullet"/>
      <w:lvlText w:val="•"/>
      <w:lvlJc w:val="left"/>
      <w:pPr>
        <w:ind w:left="1957" w:hanging="879"/>
      </w:pPr>
      <w:rPr>
        <w:rFonts w:hint="default"/>
      </w:rPr>
    </w:lvl>
    <w:lvl w:ilvl="5">
      <w:start w:val="0"/>
      <w:numFmt w:val="bullet"/>
      <w:lvlText w:val="•"/>
      <w:lvlJc w:val="left"/>
      <w:pPr>
        <w:ind w:left="2106" w:hanging="879"/>
      </w:pPr>
      <w:rPr>
        <w:rFonts w:hint="default"/>
      </w:rPr>
    </w:lvl>
    <w:lvl w:ilvl="6">
      <w:start w:val="0"/>
      <w:numFmt w:val="bullet"/>
      <w:lvlText w:val="•"/>
      <w:lvlJc w:val="left"/>
      <w:pPr>
        <w:ind w:left="2255" w:hanging="879"/>
      </w:pPr>
      <w:rPr>
        <w:rFonts w:hint="default"/>
      </w:rPr>
    </w:lvl>
    <w:lvl w:ilvl="7">
      <w:start w:val="0"/>
      <w:numFmt w:val="bullet"/>
      <w:lvlText w:val="•"/>
      <w:lvlJc w:val="left"/>
      <w:pPr>
        <w:ind w:left="2404" w:hanging="879"/>
      </w:pPr>
      <w:rPr>
        <w:rFonts w:hint="default"/>
      </w:rPr>
    </w:lvl>
    <w:lvl w:ilvl="8">
      <w:start w:val="0"/>
      <w:numFmt w:val="bullet"/>
      <w:lvlText w:val="•"/>
      <w:lvlJc w:val="left"/>
      <w:pPr>
        <w:ind w:left="2554" w:hanging="879"/>
      </w:pPr>
      <w:rPr>
        <w:rFonts w:hint="default"/>
      </w:rPr>
    </w:lvl>
  </w:abstractNum>
  <w:abstractNum w:abstractNumId="1">
    <w:multiLevelType w:val="hybridMultilevel"/>
    <w:lvl w:ilvl="0">
      <w:start w:val="31"/>
      <w:numFmt w:val="decimal"/>
      <w:lvlText w:val="%1"/>
      <w:lvlJc w:val="left"/>
      <w:pPr>
        <w:ind w:left="3056" w:hanging="879"/>
        <w:jc w:val="left"/>
      </w:pPr>
      <w:rPr>
        <w:rFonts w:hint="default" w:ascii="宋体" w:hAnsi="宋体" w:eastAsia="宋体" w:cs="宋体"/>
        <w:b/>
        <w:bCs/>
        <w:w w:val="99"/>
        <w:sz w:val="21"/>
        <w:szCs w:val="21"/>
      </w:rPr>
    </w:lvl>
    <w:lvl w:ilvl="1">
      <w:start w:val="0"/>
      <w:numFmt w:val="bullet"/>
      <w:lvlText w:val="•"/>
      <w:lvlJc w:val="left"/>
      <w:pPr>
        <w:ind w:left="3780" w:hanging="879"/>
      </w:pPr>
      <w:rPr>
        <w:rFonts w:hint="default"/>
      </w:rPr>
    </w:lvl>
    <w:lvl w:ilvl="2">
      <w:start w:val="0"/>
      <w:numFmt w:val="bullet"/>
      <w:lvlText w:val="•"/>
      <w:lvlJc w:val="left"/>
      <w:pPr>
        <w:ind w:left="4501" w:hanging="879"/>
      </w:pPr>
      <w:rPr>
        <w:rFonts w:hint="default"/>
      </w:rPr>
    </w:lvl>
    <w:lvl w:ilvl="3">
      <w:start w:val="0"/>
      <w:numFmt w:val="bullet"/>
      <w:lvlText w:val="•"/>
      <w:lvlJc w:val="left"/>
      <w:pPr>
        <w:ind w:left="5221" w:hanging="879"/>
      </w:pPr>
      <w:rPr>
        <w:rFonts w:hint="default"/>
      </w:rPr>
    </w:lvl>
    <w:lvl w:ilvl="4">
      <w:start w:val="0"/>
      <w:numFmt w:val="bullet"/>
      <w:lvlText w:val="•"/>
      <w:lvlJc w:val="left"/>
      <w:pPr>
        <w:ind w:left="5942" w:hanging="879"/>
      </w:pPr>
      <w:rPr>
        <w:rFonts w:hint="default"/>
      </w:rPr>
    </w:lvl>
    <w:lvl w:ilvl="5">
      <w:start w:val="0"/>
      <w:numFmt w:val="bullet"/>
      <w:lvlText w:val="•"/>
      <w:lvlJc w:val="left"/>
      <w:pPr>
        <w:ind w:left="6663" w:hanging="879"/>
      </w:pPr>
      <w:rPr>
        <w:rFonts w:hint="default"/>
      </w:rPr>
    </w:lvl>
    <w:lvl w:ilvl="6">
      <w:start w:val="0"/>
      <w:numFmt w:val="bullet"/>
      <w:lvlText w:val="•"/>
      <w:lvlJc w:val="left"/>
      <w:pPr>
        <w:ind w:left="7383" w:hanging="879"/>
      </w:pPr>
      <w:rPr>
        <w:rFonts w:hint="default"/>
      </w:rPr>
    </w:lvl>
    <w:lvl w:ilvl="7">
      <w:start w:val="0"/>
      <w:numFmt w:val="bullet"/>
      <w:lvlText w:val="•"/>
      <w:lvlJc w:val="left"/>
      <w:pPr>
        <w:ind w:left="8104" w:hanging="879"/>
      </w:pPr>
      <w:rPr>
        <w:rFonts w:hint="default"/>
      </w:rPr>
    </w:lvl>
    <w:lvl w:ilvl="8">
      <w:start w:val="0"/>
      <w:numFmt w:val="bullet"/>
      <w:lvlText w:val="•"/>
      <w:lvlJc w:val="left"/>
      <w:pPr>
        <w:ind w:left="8825" w:hanging="879"/>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09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9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69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490" w:hanging="420"/>
      </w:pPr>
      <w:rPr>
        <w:rFonts w:hint="default"/>
      </w:rPr>
    </w:lvl>
    <w:lvl w:ilvl="8">
      <w:start w:val="0"/>
      <w:numFmt w:val="bullet"/>
      <w:lvlText w:val="•"/>
      <w:lvlJc w:val="left"/>
      <w:pPr>
        <w:ind w:left="838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35" w:hanging="879"/>
      <w:outlineLvl w:val="1"/>
    </w:pPr>
    <w:rPr>
      <w:rFonts w:ascii="等线" w:hAnsi="等线" w:eastAsia="等线" w:cs="等线"/>
      <w:b/>
      <w:bCs/>
      <w:sz w:val="24"/>
      <w:szCs w:val="24"/>
    </w:rPr>
  </w:style>
  <w:style w:styleId="Heading2" w:type="paragraph">
    <w:name w:val="Heading 2"/>
    <w:basedOn w:val="Normal"/>
    <w:uiPriority w:val="1"/>
    <w:qFormat/>
    <w:pPr>
      <w:spacing w:line="306" w:lineRule="exact"/>
      <w:ind w:left="1555"/>
      <w:outlineLvl w:val="2"/>
    </w:pPr>
    <w:rPr>
      <w:rFonts w:ascii="宋体" w:hAnsi="宋体" w:eastAsia="宋体" w:cs="宋体"/>
      <w:sz w:val="24"/>
      <w:szCs w:val="24"/>
    </w:rPr>
  </w:style>
  <w:style w:styleId="ListParagraph" w:type="paragraph">
    <w:name w:val="List Paragraph"/>
    <w:basedOn w:val="Normal"/>
    <w:uiPriority w:val="1"/>
    <w:qFormat/>
    <w:pPr>
      <w:ind w:left="1191" w:hanging="879"/>
      <w:jc w:val="both"/>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2018-10-20T03:03:45Z</dcterms:created>
  <dcterms:modified xsi:type="dcterms:W3CDTF">2018-10-20T03:03:45Z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2017-09-07T00:00:00Z</vt:filetime>
  </property>
  <property fmtid="{D5CDD505-2E9C-101B-9397-08002B2CF9AE}" pid="3" name="Creator">
    <vt:lpwstr>Acrobat PDFMaker 11 Word 版</vt:lpwstr>
  </property>
  <property fmtid="{D5CDD505-2E9C-101B-9397-08002B2CF9AE}" pid="4" name="LastSaved">
    <vt:filetime>2018-10-19T00:00:00Z</vt:filetime>
  </property>
</Properties>
</file>