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38"/>
        <w:ind w:left="215" w:right="0" w:firstLine="0"/>
        <w:jc w:val="left"/>
        <w:rPr>
          <w:rFonts w:ascii="Times New Roman" w:eastAsia="Times New Roman"/>
          <w:b/>
          <w:sz w:val="28"/>
        </w:rPr>
      </w:pPr>
      <w:r>
        <w:rPr>
          <w:b/>
          <w:sz w:val="28"/>
        </w:rPr>
        <w:t>附件 </w:t>
      </w:r>
      <w:r>
        <w:rPr>
          <w:rFonts w:ascii="Times New Roman" w:eastAsia="Times New Roman"/>
          <w:b/>
          <w:sz w:val="28"/>
        </w:rPr>
        <w:t>1-3</w:t>
      </w:r>
    </w:p>
    <w:p>
      <w:pPr>
        <w:pStyle w:val="BodyText"/>
        <w:spacing w:before="5"/>
        <w:rPr>
          <w:rFonts w:ascii="Times New Roman"/>
          <w:b/>
          <w:sz w:val="24"/>
        </w:rPr>
      </w:pPr>
    </w:p>
    <w:p>
      <w:pPr>
        <w:spacing w:line="528" w:lineRule="exact" w:before="0"/>
        <w:ind w:left="1262" w:right="0" w:firstLine="0"/>
        <w:jc w:val="left"/>
        <w:rPr>
          <w:rFonts w:ascii="微软雅黑" w:eastAsia="微软雅黑" w:hint="eastAsia"/>
          <w:b/>
          <w:sz w:val="32"/>
        </w:rPr>
      </w:pPr>
      <w:r>
        <w:rPr>
          <w:rFonts w:ascii="微软雅黑" w:eastAsia="微软雅黑" w:hint="eastAsia"/>
          <w:b/>
          <w:sz w:val="32"/>
        </w:rPr>
        <w:t>合众珍爱幸福终身重大疾病保险（2017）条款</w:t>
      </w:r>
    </w:p>
    <w:p>
      <w:pPr>
        <w:spacing w:line="528" w:lineRule="exact" w:before="0"/>
        <w:ind w:left="2011" w:right="29"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229"/>
        <w:ind w:left="2078" w:right="29"/>
        <w:jc w:val="center"/>
      </w:pPr>
      <w:r>
        <w:rPr/>
        <w:drawing>
          <wp:anchor distT="0" distB="0" distL="0" distR="0" allowOverlap="1" layoutInCell="1" locked="0" behindDoc="1" simplePos="0" relativeHeight="268372751">
            <wp:simplePos x="0" y="0"/>
            <wp:positionH relativeFrom="page">
              <wp:posOffset>609904</wp:posOffset>
            </wp:positionH>
            <wp:positionV relativeFrom="paragraph">
              <wp:posOffset>392603</wp:posOffset>
            </wp:positionV>
            <wp:extent cx="6339281" cy="8003413"/>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6339281" cy="8003413"/>
                    </a:xfrm>
                    <a:prstGeom prst="rect">
                      <a:avLst/>
                    </a:prstGeom>
                  </pic:spPr>
                </pic:pic>
              </a:graphicData>
            </a:graphic>
          </wp:anchor>
        </w:drawing>
      </w:r>
      <w:r>
        <w:rPr>
          <w:spacing w:val="-149"/>
        </w:rPr>
        <w:t>本</w:t>
      </w:r>
      <w:r>
        <w:rPr>
          <w:spacing w:val="-63"/>
          <w:position w:val="-7"/>
        </w:rPr>
        <w:t>．</w:t>
      </w:r>
      <w:r>
        <w:rPr>
          <w:spacing w:val="-149"/>
        </w:rPr>
        <w:t>阅</w:t>
      </w:r>
      <w:r>
        <w:rPr>
          <w:spacing w:val="-63"/>
          <w:position w:val="-7"/>
        </w:rPr>
        <w:t>．</w:t>
      </w:r>
      <w:r>
        <w:rPr>
          <w:spacing w:val="-149"/>
        </w:rPr>
        <w:t>读</w:t>
      </w:r>
      <w:r>
        <w:rPr>
          <w:spacing w:val="-63"/>
          <w:position w:val="-7"/>
        </w:rPr>
        <w:t>．</w:t>
      </w:r>
      <w:r>
        <w:rPr>
          <w:spacing w:val="-149"/>
        </w:rPr>
        <w:t>指</w:t>
      </w:r>
      <w:r>
        <w:rPr>
          <w:spacing w:val="-63"/>
          <w:position w:val="-7"/>
        </w:rPr>
        <w:t>．</w:t>
      </w:r>
      <w:r>
        <w:rPr>
          <w:spacing w:val="-154"/>
        </w:rPr>
        <w:t>引</w:t>
      </w:r>
      <w:r>
        <w:rPr>
          <w:spacing w:val="-63"/>
          <w:position w:val="-7"/>
        </w:rPr>
        <w:t>．</w:t>
      </w:r>
      <w:r>
        <w:rPr>
          <w:spacing w:val="-149"/>
        </w:rPr>
        <w:t>有</w:t>
      </w:r>
      <w:r>
        <w:rPr>
          <w:spacing w:val="-63"/>
          <w:position w:val="-7"/>
        </w:rPr>
        <w:t>．</w:t>
      </w:r>
      <w:r>
        <w:rPr>
          <w:spacing w:val="-149"/>
        </w:rPr>
        <w:t>助</w:t>
      </w:r>
      <w:r>
        <w:rPr>
          <w:spacing w:val="-63"/>
          <w:position w:val="-7"/>
        </w:rPr>
        <w:t>．</w:t>
      </w:r>
      <w:r>
        <w:rPr>
          <w:spacing w:val="-148"/>
        </w:rPr>
        <w:t>于</w:t>
      </w:r>
      <w:r>
        <w:rPr>
          <w:spacing w:val="-64"/>
          <w:position w:val="-7"/>
        </w:rPr>
        <w:t>．</w:t>
      </w:r>
      <w:r>
        <w:rPr>
          <w:spacing w:val="-153"/>
        </w:rPr>
        <w:t>您</w:t>
      </w:r>
      <w:r>
        <w:rPr>
          <w:spacing w:val="-64"/>
          <w:position w:val="-7"/>
        </w:rPr>
        <w:t>．</w:t>
      </w:r>
      <w:r>
        <w:rPr>
          <w:spacing w:val="-148"/>
        </w:rPr>
        <w:t>理</w:t>
      </w:r>
      <w:r>
        <w:rPr>
          <w:spacing w:val="-64"/>
          <w:position w:val="-7"/>
        </w:rPr>
        <w:t>．</w:t>
      </w:r>
      <w:r>
        <w:rPr>
          <w:spacing w:val="-148"/>
        </w:rPr>
        <w:t>解</w:t>
      </w:r>
      <w:r>
        <w:rPr>
          <w:spacing w:val="-64"/>
          <w:position w:val="-7"/>
        </w:rPr>
        <w:t>．</w:t>
      </w:r>
      <w:r>
        <w:rPr>
          <w:spacing w:val="-148"/>
        </w:rPr>
        <w:t>条</w:t>
      </w:r>
      <w:r>
        <w:rPr>
          <w:spacing w:val="-64"/>
          <w:position w:val="-7"/>
        </w:rPr>
        <w:t>．</w:t>
      </w:r>
      <w:r>
        <w:rPr>
          <w:spacing w:val="-153"/>
        </w:rPr>
        <w:t>款</w:t>
      </w:r>
      <w:r>
        <w:rPr>
          <w:spacing w:val="-92"/>
          <w:position w:val="-7"/>
        </w:rPr>
        <w:t>．</w:t>
      </w:r>
      <w:r>
        <w:rPr>
          <w:spacing w:val="-92"/>
        </w:rPr>
        <w:t>，</w:t>
      </w:r>
      <w:r>
        <w:rPr>
          <w:spacing w:val="-92"/>
          <w:position w:val="-7"/>
        </w:rPr>
        <w:t>．</w:t>
      </w:r>
      <w:r>
        <w:rPr>
          <w:spacing w:val="-148"/>
        </w:rPr>
        <w:t>对</w:t>
      </w:r>
      <w:r>
        <w:rPr>
          <w:spacing w:val="-64"/>
          <w:position w:val="-7"/>
        </w:rPr>
        <w:t>．</w:t>
      </w:r>
      <w:r>
        <w:rPr>
          <w:spacing w:val="-148"/>
        </w:rPr>
        <w:t>本</w:t>
      </w:r>
      <w:r>
        <w:rPr>
          <w:spacing w:val="-64"/>
          <w:position w:val="-7"/>
        </w:rPr>
        <w:t>．</w:t>
      </w:r>
      <w:r>
        <w:rPr>
          <w:spacing w:val="-153"/>
        </w:rPr>
        <w:t>合</w:t>
      </w:r>
      <w:r>
        <w:rPr>
          <w:spacing w:val="-65"/>
          <w:position w:val="-7"/>
        </w:rPr>
        <w:t>．</w:t>
      </w:r>
      <w:r>
        <w:rPr>
          <w:spacing w:val="-148"/>
        </w:rPr>
        <w:t>同</w:t>
      </w:r>
      <w:r>
        <w:rPr>
          <w:spacing w:val="-65"/>
          <w:position w:val="-7"/>
        </w:rPr>
        <w:t>．</w:t>
      </w:r>
      <w:r>
        <w:rPr>
          <w:spacing w:val="-147"/>
        </w:rPr>
        <w:t>内</w:t>
      </w:r>
      <w:r>
        <w:rPr>
          <w:spacing w:val="-65"/>
          <w:position w:val="-7"/>
        </w:rPr>
        <w:t>．</w:t>
      </w:r>
      <w:r>
        <w:rPr>
          <w:spacing w:val="-147"/>
        </w:rPr>
        <w:t>容</w:t>
      </w:r>
      <w:r>
        <w:rPr>
          <w:spacing w:val="-65"/>
          <w:position w:val="-7"/>
        </w:rPr>
        <w:t>．</w:t>
      </w:r>
      <w:r>
        <w:rPr>
          <w:spacing w:val="-152"/>
        </w:rPr>
        <w:t>的</w:t>
      </w:r>
      <w:r>
        <w:rPr>
          <w:spacing w:val="-65"/>
          <w:position w:val="-7"/>
        </w:rPr>
        <w:t>．</w:t>
      </w:r>
      <w:r>
        <w:rPr>
          <w:spacing w:val="-147"/>
        </w:rPr>
        <w:t>解</w:t>
      </w:r>
      <w:r>
        <w:rPr>
          <w:spacing w:val="-65"/>
          <w:position w:val="-7"/>
        </w:rPr>
        <w:t>．</w:t>
      </w:r>
      <w:r>
        <w:rPr>
          <w:spacing w:val="-152"/>
        </w:rPr>
        <w:t>释</w:t>
      </w:r>
      <w:r>
        <w:rPr>
          <w:spacing w:val="-65"/>
          <w:position w:val="-7"/>
        </w:rPr>
        <w:t>．</w:t>
      </w:r>
      <w:r>
        <w:rPr>
          <w:spacing w:val="-147"/>
        </w:rPr>
        <w:t>以</w:t>
      </w:r>
      <w:r>
        <w:rPr>
          <w:spacing w:val="-65"/>
          <w:position w:val="-7"/>
        </w:rPr>
        <w:t>．</w:t>
      </w:r>
      <w:r>
        <w:rPr>
          <w:spacing w:val="-147"/>
        </w:rPr>
        <w:t>条</w:t>
      </w:r>
      <w:r>
        <w:rPr>
          <w:spacing w:val="-66"/>
          <w:position w:val="-7"/>
        </w:rPr>
        <w:t>．</w:t>
      </w:r>
      <w:r>
        <w:rPr>
          <w:spacing w:val="-147"/>
        </w:rPr>
        <w:t>款</w:t>
      </w:r>
      <w:r>
        <w:rPr>
          <w:spacing w:val="-66"/>
          <w:position w:val="-7"/>
        </w:rPr>
        <w:t>．</w:t>
      </w:r>
      <w:r>
        <w:rPr>
          <w:spacing w:val="-147"/>
        </w:rPr>
        <w:t>为</w:t>
      </w:r>
      <w:r>
        <w:rPr>
          <w:spacing w:val="-66"/>
          <w:position w:val="-7"/>
        </w:rPr>
        <w:t>．</w:t>
      </w:r>
      <w:r>
        <w:rPr>
          <w:spacing w:val="-151"/>
        </w:rPr>
        <w:t>准</w:t>
      </w:r>
      <w:r>
        <w:rPr>
          <w:spacing w:val="-66"/>
          <w:position w:val="-7"/>
        </w:rPr>
        <w:t>．</w:t>
      </w:r>
      <w:r>
        <w:rPr>
          <w:spacing w:val="-151"/>
        </w:rPr>
        <w:t>。</w:t>
      </w:r>
      <w:r>
        <w:rPr>
          <w:position w:val="-7"/>
        </w:rPr>
        <w:t>．</w:t>
      </w:r>
    </w:p>
    <w:p>
      <w:pPr>
        <w:tabs>
          <w:tab w:pos="1248" w:val="left" w:leader="none"/>
        </w:tabs>
        <w:spacing w:before="84"/>
        <w:ind w:left="239" w:right="0" w:firstLine="0"/>
        <w:jc w:val="left"/>
        <w:rPr>
          <w:b/>
          <w:sz w:val="21"/>
        </w:rPr>
      </w:pPr>
      <w:r>
        <w:rPr>
          <w:rFonts w:ascii="Arial" w:hAnsi="Arial" w:eastAsia="Arial"/>
          <w:b/>
          <w:w w:val="105"/>
          <w:position w:val="-11"/>
          <w:sz w:val="52"/>
        </w:rPr>
        <w:t></w:t>
        <w:tab/>
      </w:r>
      <w:r>
        <w:rPr>
          <w:b/>
          <w:sz w:val="21"/>
        </w:rPr>
        <w:t>您拥有的重要权益</w:t>
      </w:r>
    </w:p>
    <w:p>
      <w:pPr>
        <w:spacing w:before="33"/>
        <w:ind w:left="-26" w:right="103" w:firstLine="0"/>
        <w:jc w:val="center"/>
        <w:rPr>
          <w:rFonts w:ascii="仿宋" w:eastAsia="仿宋" w:hint="eastAsia"/>
          <w:sz w:val="18"/>
        </w:rPr>
      </w:pPr>
      <w:r>
        <w:rPr/>
        <w:br w:type="column"/>
      </w:r>
      <w:r>
        <w:rPr>
          <w:rFonts w:ascii="仿宋" w:eastAsia="仿宋" w:hint="eastAsia"/>
          <w:spacing w:val="-3"/>
          <w:sz w:val="18"/>
        </w:rPr>
        <w:t>合众人寿〔</w:t>
      </w:r>
      <w:r>
        <w:rPr>
          <w:rFonts w:ascii="仿宋" w:eastAsia="仿宋" w:hint="eastAsia"/>
          <w:sz w:val="18"/>
        </w:rPr>
        <w:t>2017</w:t>
      </w:r>
      <w:r>
        <w:rPr>
          <w:rFonts w:ascii="仿宋" w:eastAsia="仿宋" w:hint="eastAsia"/>
          <w:spacing w:val="-8"/>
          <w:sz w:val="18"/>
        </w:rPr>
        <w:t>〕疾病保险 </w:t>
      </w:r>
      <w:r>
        <w:rPr>
          <w:rFonts w:ascii="仿宋" w:eastAsia="仿宋" w:hint="eastAsia"/>
          <w:sz w:val="18"/>
        </w:rPr>
        <w:t>033</w:t>
      </w:r>
      <w:r>
        <w:rPr>
          <w:rFonts w:ascii="仿宋" w:eastAsia="仿宋" w:hint="eastAsia"/>
          <w:spacing w:val="-20"/>
          <w:sz w:val="18"/>
        </w:rPr>
        <w:t> 号</w:t>
      </w:r>
    </w:p>
    <w:p>
      <w:pPr>
        <w:pStyle w:val="BodyText"/>
        <w:spacing w:before="12"/>
        <w:rPr>
          <w:rFonts w:ascii="仿宋"/>
          <w:sz w:val="8"/>
        </w:rPr>
      </w:pPr>
    </w:p>
    <w:p>
      <w:pPr>
        <w:pStyle w:val="BodyText"/>
        <w:ind w:left="749"/>
        <w:rPr>
          <w:rFonts w:ascii="仿宋"/>
          <w:sz w:val="20"/>
        </w:rPr>
      </w:pPr>
      <w:r>
        <w:rPr>
          <w:rFonts w:ascii="仿宋"/>
          <w:sz w:val="20"/>
        </w:rPr>
        <w:drawing>
          <wp:inline distT="0" distB="0" distL="0" distR="0">
            <wp:extent cx="723266"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3266" cy="723900"/>
                    </a:xfrm>
                    <a:prstGeom prst="rect">
                      <a:avLst/>
                    </a:prstGeom>
                  </pic:spPr>
                </pic:pic>
              </a:graphicData>
            </a:graphic>
          </wp:inline>
        </w:drawing>
      </w:r>
      <w:r>
        <w:rPr>
          <w:rFonts w:ascii="仿宋"/>
          <w:sz w:val="20"/>
        </w:rPr>
      </w:r>
    </w:p>
    <w:p>
      <w:pPr>
        <w:spacing w:before="67"/>
        <w:ind w:left="412" w:right="535" w:firstLine="0"/>
        <w:jc w:val="center"/>
        <w:rPr>
          <w:rFonts w:ascii="仿宋" w:eastAsia="仿宋" w:hint="eastAsia"/>
          <w:sz w:val="18"/>
        </w:rPr>
      </w:pPr>
      <w:r>
        <w:rPr>
          <w:rFonts w:ascii="仿宋" w:eastAsia="仿宋" w:hint="eastAsia"/>
          <w:sz w:val="18"/>
        </w:rPr>
        <w:t>请扫描以查询验证条款</w:t>
      </w:r>
    </w:p>
    <w:p>
      <w:pPr>
        <w:spacing w:after="0"/>
        <w:jc w:val="center"/>
        <w:rPr>
          <w:rFonts w:ascii="仿宋" w:eastAsia="仿宋" w:hint="eastAsia"/>
          <w:sz w:val="18"/>
        </w:rPr>
        <w:sectPr>
          <w:footerReference w:type="default" r:id="rId5"/>
          <w:type w:val="continuous"/>
          <w:pgSz w:w="11910" w:h="16840"/>
          <w:pgMar w:footer="995" w:top="160" w:bottom="1180" w:left="860" w:right="20"/>
          <w:pgNumType w:start="1"/>
          <w:cols w:num="2" w:equalWidth="0">
            <w:col w:w="8202" w:space="40"/>
            <w:col w:w="2788"/>
          </w:cols>
        </w:sectPr>
      </w:pPr>
    </w:p>
    <w:p>
      <w:pPr>
        <w:pStyle w:val="ListParagraph"/>
        <w:numPr>
          <w:ilvl w:val="0"/>
          <w:numId w:val="1"/>
        </w:numPr>
        <w:tabs>
          <w:tab w:pos="1272" w:val="left" w:leader="none"/>
          <w:tab w:pos="1273" w:val="left" w:leader="none"/>
          <w:tab w:pos="9568" w:val="right" w:leader="dot"/>
        </w:tabs>
        <w:spacing w:line="240" w:lineRule="auto" w:before="23" w:after="0"/>
        <w:ind w:left="1272" w:right="0" w:hanging="399"/>
        <w:jc w:val="left"/>
        <w:rPr>
          <w:sz w:val="21"/>
        </w:rPr>
      </w:pPr>
      <w:r>
        <w:rPr>
          <w:spacing w:val="-5"/>
          <w:sz w:val="21"/>
        </w:rPr>
        <w:t>签</w:t>
      </w:r>
      <w:r>
        <w:rPr>
          <w:sz w:val="21"/>
        </w:rPr>
        <w:t>收本合</w:t>
      </w:r>
      <w:r>
        <w:rPr>
          <w:spacing w:val="-5"/>
          <w:sz w:val="21"/>
        </w:rPr>
        <w:t>同</w:t>
      </w:r>
      <w:r>
        <w:rPr>
          <w:sz w:val="21"/>
        </w:rPr>
        <w:t>之日起</w:t>
      </w:r>
      <w:r>
        <w:rPr>
          <w:spacing w:val="-51"/>
          <w:sz w:val="21"/>
        </w:rPr>
        <w:t> </w:t>
      </w:r>
      <w:r>
        <w:rPr>
          <w:sz w:val="21"/>
        </w:rPr>
        <w:t>10</w:t>
      </w:r>
      <w:r>
        <w:rPr>
          <w:spacing w:val="-56"/>
          <w:sz w:val="21"/>
        </w:rPr>
        <w:t> </w:t>
      </w:r>
      <w:r>
        <w:rPr>
          <w:sz w:val="21"/>
        </w:rPr>
        <w:t>天（</w:t>
      </w:r>
      <w:r>
        <w:rPr>
          <w:spacing w:val="-5"/>
          <w:sz w:val="21"/>
        </w:rPr>
        <w:t>即</w:t>
      </w:r>
      <w:r>
        <w:rPr>
          <w:sz w:val="21"/>
        </w:rPr>
        <w:t>犹豫期</w:t>
      </w:r>
      <w:r>
        <w:rPr>
          <w:spacing w:val="-5"/>
          <w:sz w:val="21"/>
        </w:rPr>
        <w:t>）</w:t>
      </w:r>
      <w:r>
        <w:rPr>
          <w:sz w:val="21"/>
        </w:rPr>
        <w:t>内</w:t>
      </w:r>
      <w:r>
        <w:rPr>
          <w:spacing w:val="-5"/>
          <w:sz w:val="21"/>
        </w:rPr>
        <w:t>您</w:t>
      </w:r>
      <w:r>
        <w:rPr>
          <w:sz w:val="21"/>
        </w:rPr>
        <w:t>若要求退</w:t>
      </w:r>
      <w:r>
        <w:rPr>
          <w:spacing w:val="-5"/>
          <w:sz w:val="21"/>
        </w:rPr>
        <w:t>保</w:t>
      </w:r>
      <w:r>
        <w:rPr>
          <w:sz w:val="21"/>
        </w:rPr>
        <w:t>，我们</w:t>
      </w:r>
      <w:r>
        <w:rPr>
          <w:spacing w:val="-5"/>
          <w:sz w:val="21"/>
        </w:rPr>
        <w:t>仅</w:t>
      </w:r>
      <w:r>
        <w:rPr>
          <w:sz w:val="21"/>
        </w:rPr>
        <w:t>扣除工</w:t>
      </w:r>
      <w:r>
        <w:rPr>
          <w:spacing w:val="-5"/>
          <w:sz w:val="21"/>
        </w:rPr>
        <w:t>本</w:t>
      </w:r>
      <w:r>
        <w:rPr>
          <w:sz w:val="21"/>
        </w:rPr>
        <w:t>费</w:t>
        <w:tab/>
        <w:t>1.4</w:t>
      </w:r>
    </w:p>
    <w:p>
      <w:pPr>
        <w:pStyle w:val="ListParagraph"/>
        <w:numPr>
          <w:ilvl w:val="0"/>
          <w:numId w:val="1"/>
        </w:numPr>
        <w:tabs>
          <w:tab w:pos="1272" w:val="left" w:leader="none"/>
          <w:tab w:pos="1273" w:val="left" w:leader="none"/>
          <w:tab w:pos="9569" w:val="right" w:leader="dot"/>
        </w:tabs>
        <w:spacing w:line="240" w:lineRule="auto" w:before="22" w:after="0"/>
        <w:ind w:left="1272" w:right="0" w:hanging="399"/>
        <w:jc w:val="left"/>
        <w:rPr>
          <w:sz w:val="21"/>
        </w:rPr>
      </w:pPr>
      <w:r>
        <w:rPr>
          <w:spacing w:val="-5"/>
          <w:sz w:val="21"/>
        </w:rPr>
        <w:t>您</w:t>
      </w:r>
      <w:r>
        <w:rPr>
          <w:sz w:val="21"/>
        </w:rPr>
        <w:t>有退保</w:t>
      </w:r>
      <w:r>
        <w:rPr>
          <w:spacing w:val="-5"/>
          <w:sz w:val="21"/>
        </w:rPr>
        <w:t>的</w:t>
      </w:r>
      <w:r>
        <w:rPr>
          <w:sz w:val="21"/>
        </w:rPr>
        <w:t>权利</w:t>
        <w:tab/>
        <w:t>1.7</w:t>
      </w:r>
    </w:p>
    <w:p>
      <w:pPr>
        <w:pStyle w:val="ListParagraph"/>
        <w:numPr>
          <w:ilvl w:val="0"/>
          <w:numId w:val="1"/>
        </w:numPr>
        <w:tabs>
          <w:tab w:pos="1267" w:val="left" w:leader="none"/>
          <w:tab w:pos="1268" w:val="left" w:leader="none"/>
          <w:tab w:pos="9564" w:val="right" w:leader="dot"/>
        </w:tabs>
        <w:spacing w:line="240" w:lineRule="auto" w:before="22" w:after="0"/>
        <w:ind w:left="1267" w:right="0" w:hanging="399"/>
        <w:jc w:val="left"/>
        <w:rPr>
          <w:sz w:val="21"/>
        </w:rPr>
      </w:pPr>
      <w:r>
        <w:rPr>
          <w:sz w:val="21"/>
        </w:rPr>
        <w:t>本合同</w:t>
      </w:r>
      <w:r>
        <w:rPr>
          <w:spacing w:val="-5"/>
          <w:sz w:val="21"/>
        </w:rPr>
        <w:t>提</w:t>
      </w:r>
      <w:r>
        <w:rPr>
          <w:sz w:val="21"/>
        </w:rPr>
        <w:t>供的保</w:t>
      </w:r>
      <w:r>
        <w:rPr>
          <w:spacing w:val="-5"/>
          <w:sz w:val="21"/>
        </w:rPr>
        <w:t>障</w:t>
      </w:r>
      <w:r>
        <w:rPr>
          <w:sz w:val="21"/>
        </w:rPr>
        <w:t>在保险</w:t>
      </w:r>
      <w:r>
        <w:rPr>
          <w:spacing w:val="-5"/>
          <w:sz w:val="21"/>
        </w:rPr>
        <w:t>责</w:t>
      </w:r>
      <w:r>
        <w:rPr>
          <w:sz w:val="21"/>
        </w:rPr>
        <w:t>任条款</w:t>
      </w:r>
      <w:r>
        <w:rPr>
          <w:spacing w:val="-5"/>
          <w:sz w:val="21"/>
        </w:rPr>
        <w:t>中</w:t>
      </w:r>
      <w:r>
        <w:rPr>
          <w:sz w:val="21"/>
        </w:rPr>
        <w:t>列明</w:t>
        <w:tab/>
        <w:t>2.3</w:t>
      </w:r>
    </w:p>
    <w:p>
      <w:pPr>
        <w:pStyle w:val="ListParagraph"/>
        <w:numPr>
          <w:ilvl w:val="0"/>
          <w:numId w:val="1"/>
        </w:numPr>
        <w:tabs>
          <w:tab w:pos="1267" w:val="left" w:leader="none"/>
          <w:tab w:pos="1268" w:val="left" w:leader="none"/>
          <w:tab w:pos="9564" w:val="right" w:leader="dot"/>
        </w:tabs>
        <w:spacing w:line="240" w:lineRule="auto" w:before="21" w:after="0"/>
        <w:ind w:left="1267" w:right="0" w:hanging="399"/>
        <w:jc w:val="left"/>
        <w:rPr>
          <w:sz w:val="21"/>
        </w:rPr>
      </w:pPr>
      <w:r>
        <w:rPr>
          <w:sz w:val="21"/>
        </w:rPr>
        <w:t>您有按</w:t>
      </w:r>
      <w:r>
        <w:rPr>
          <w:spacing w:val="-5"/>
          <w:sz w:val="21"/>
        </w:rPr>
        <w:t>本</w:t>
      </w:r>
      <w:r>
        <w:rPr>
          <w:sz w:val="21"/>
        </w:rPr>
        <w:t>合同约</w:t>
      </w:r>
      <w:r>
        <w:rPr>
          <w:spacing w:val="-5"/>
          <w:sz w:val="21"/>
        </w:rPr>
        <w:t>定</w:t>
      </w:r>
      <w:r>
        <w:rPr>
          <w:sz w:val="21"/>
        </w:rPr>
        <w:t>申请保</w:t>
      </w:r>
      <w:r>
        <w:rPr>
          <w:spacing w:val="-5"/>
          <w:sz w:val="21"/>
        </w:rPr>
        <w:t>单</w:t>
      </w:r>
      <w:r>
        <w:rPr>
          <w:sz w:val="21"/>
        </w:rPr>
        <w:t>贷款的</w:t>
      </w:r>
      <w:r>
        <w:rPr>
          <w:spacing w:val="-5"/>
          <w:sz w:val="21"/>
        </w:rPr>
        <w:t>权</w:t>
      </w:r>
      <w:r>
        <w:rPr>
          <w:sz w:val="21"/>
        </w:rPr>
        <w:t>利</w:t>
        <w:tab/>
        <w:t>4.4</w:t>
      </w:r>
    </w:p>
    <w:p>
      <w:pPr>
        <w:tabs>
          <w:tab w:pos="1248" w:val="left" w:leader="none"/>
        </w:tabs>
        <w:spacing w:before="24"/>
        <w:ind w:left="239" w:right="0" w:firstLine="0"/>
        <w:jc w:val="left"/>
        <w:rPr>
          <w:b/>
          <w:sz w:val="21"/>
        </w:rPr>
      </w:pPr>
      <w:r>
        <w:rPr>
          <w:rFonts w:ascii="Arial" w:hAnsi="Arial" w:eastAsia="Arial"/>
          <w:b/>
          <w:w w:val="105"/>
          <w:position w:val="-11"/>
          <w:sz w:val="52"/>
        </w:rPr>
        <w:t></w:t>
        <w:tab/>
      </w:r>
      <w:r>
        <w:rPr>
          <w:b/>
          <w:sz w:val="21"/>
        </w:rPr>
        <w:t>您应当特别注意的事项</w:t>
      </w:r>
    </w:p>
    <w:p>
      <w:pPr>
        <w:pStyle w:val="ListParagraph"/>
        <w:numPr>
          <w:ilvl w:val="0"/>
          <w:numId w:val="1"/>
        </w:numPr>
        <w:tabs>
          <w:tab w:pos="1262" w:val="left" w:leader="none"/>
          <w:tab w:pos="1263" w:val="left" w:leader="none"/>
          <w:tab w:pos="9564" w:val="right" w:leader="dot"/>
        </w:tabs>
        <w:spacing w:line="240" w:lineRule="auto" w:before="23" w:after="0"/>
        <w:ind w:left="1262" w:right="0" w:hanging="394"/>
        <w:jc w:val="left"/>
        <w:rPr>
          <w:sz w:val="21"/>
        </w:rPr>
      </w:pPr>
      <w:r>
        <w:rPr>
          <w:sz w:val="21"/>
        </w:rPr>
        <w:t>退保会给</w:t>
      </w:r>
      <w:r>
        <w:rPr>
          <w:spacing w:val="-5"/>
          <w:sz w:val="21"/>
        </w:rPr>
        <w:t>您</w:t>
      </w:r>
      <w:r>
        <w:rPr>
          <w:sz w:val="21"/>
        </w:rPr>
        <w:t>造成一</w:t>
      </w:r>
      <w:r>
        <w:rPr>
          <w:spacing w:val="-5"/>
          <w:sz w:val="21"/>
        </w:rPr>
        <w:t>定</w:t>
      </w:r>
      <w:r>
        <w:rPr>
          <w:sz w:val="21"/>
        </w:rPr>
        <w:t>的损失</w:t>
      </w:r>
      <w:r>
        <w:rPr>
          <w:spacing w:val="-5"/>
          <w:sz w:val="21"/>
        </w:rPr>
        <w:t>，</w:t>
      </w:r>
      <w:r>
        <w:rPr>
          <w:sz w:val="21"/>
        </w:rPr>
        <w:t>请您慎</w:t>
      </w:r>
      <w:r>
        <w:rPr>
          <w:spacing w:val="-5"/>
          <w:sz w:val="21"/>
        </w:rPr>
        <w:t>重</w:t>
      </w:r>
      <w:r>
        <w:rPr>
          <w:sz w:val="21"/>
        </w:rPr>
        <w:t>决策</w:t>
        <w:tab/>
        <w:t>1.7</w:t>
      </w:r>
    </w:p>
    <w:p>
      <w:pPr>
        <w:pStyle w:val="ListParagraph"/>
        <w:numPr>
          <w:ilvl w:val="0"/>
          <w:numId w:val="1"/>
        </w:numPr>
        <w:tabs>
          <w:tab w:pos="1262" w:val="left" w:leader="none"/>
          <w:tab w:pos="1263" w:val="left" w:leader="none"/>
          <w:tab w:pos="9564" w:val="right" w:leader="dot"/>
        </w:tabs>
        <w:spacing w:line="240" w:lineRule="auto" w:before="22" w:after="0"/>
        <w:ind w:left="1262" w:right="0" w:hanging="394"/>
        <w:jc w:val="left"/>
        <w:rPr>
          <w:sz w:val="21"/>
        </w:rPr>
      </w:pPr>
      <w:r>
        <w:rPr>
          <w:sz w:val="21"/>
        </w:rPr>
        <w:t>本合同的</w:t>
      </w:r>
      <w:r>
        <w:rPr>
          <w:spacing w:val="-5"/>
          <w:sz w:val="21"/>
        </w:rPr>
        <w:t>疾</w:t>
      </w:r>
      <w:r>
        <w:rPr>
          <w:sz w:val="21"/>
        </w:rPr>
        <w:t>病责任有</w:t>
      </w:r>
      <w:r>
        <w:rPr>
          <w:spacing w:val="-57"/>
          <w:sz w:val="21"/>
        </w:rPr>
        <w:t> </w:t>
      </w:r>
      <w:r>
        <w:rPr>
          <w:sz w:val="21"/>
        </w:rPr>
        <w:t>90</w:t>
      </w:r>
      <w:r>
        <w:rPr>
          <w:spacing w:val="-52"/>
          <w:sz w:val="21"/>
        </w:rPr>
        <w:t> </w:t>
      </w:r>
      <w:r>
        <w:rPr>
          <w:sz w:val="21"/>
        </w:rPr>
        <w:t>天的</w:t>
      </w:r>
      <w:r>
        <w:rPr>
          <w:spacing w:val="-5"/>
          <w:sz w:val="21"/>
        </w:rPr>
        <w:t>等</w:t>
      </w:r>
      <w:r>
        <w:rPr>
          <w:sz w:val="21"/>
        </w:rPr>
        <w:t>待期</w:t>
        <w:tab/>
        <w:t>2.3</w:t>
      </w:r>
    </w:p>
    <w:p>
      <w:pPr>
        <w:pStyle w:val="ListParagraph"/>
        <w:numPr>
          <w:ilvl w:val="0"/>
          <w:numId w:val="1"/>
        </w:numPr>
        <w:tabs>
          <w:tab w:pos="1267" w:val="left" w:leader="none"/>
          <w:tab w:pos="1268" w:val="left" w:leader="none"/>
          <w:tab w:pos="9564" w:val="right" w:leader="dot"/>
        </w:tabs>
        <w:spacing w:line="240" w:lineRule="auto" w:before="22" w:after="0"/>
        <w:ind w:left="1267" w:right="0" w:hanging="399"/>
        <w:jc w:val="left"/>
        <w:rPr>
          <w:sz w:val="21"/>
        </w:rPr>
      </w:pPr>
      <w:r>
        <w:rPr>
          <w:sz w:val="21"/>
        </w:rPr>
        <w:t>在某些</w:t>
      </w:r>
      <w:r>
        <w:rPr>
          <w:spacing w:val="-5"/>
          <w:sz w:val="21"/>
        </w:rPr>
        <w:t>情</w:t>
      </w:r>
      <w:r>
        <w:rPr>
          <w:sz w:val="21"/>
        </w:rPr>
        <w:t>况下，</w:t>
      </w:r>
      <w:r>
        <w:rPr>
          <w:spacing w:val="-5"/>
          <w:sz w:val="21"/>
        </w:rPr>
        <w:t>我</w:t>
      </w:r>
      <w:r>
        <w:rPr>
          <w:sz w:val="21"/>
        </w:rPr>
        <w:t>们不承</w:t>
      </w:r>
      <w:r>
        <w:rPr>
          <w:spacing w:val="-5"/>
          <w:sz w:val="21"/>
        </w:rPr>
        <w:t>担</w:t>
      </w:r>
      <w:r>
        <w:rPr>
          <w:sz w:val="21"/>
        </w:rPr>
        <w:t>保险责任</w:t>
        <w:tab/>
        <w:t>2.4</w:t>
      </w:r>
    </w:p>
    <w:p>
      <w:pPr>
        <w:pStyle w:val="ListParagraph"/>
        <w:numPr>
          <w:ilvl w:val="0"/>
          <w:numId w:val="1"/>
        </w:numPr>
        <w:tabs>
          <w:tab w:pos="1272" w:val="left" w:leader="none"/>
          <w:tab w:pos="1273" w:val="left" w:leader="none"/>
          <w:tab w:pos="9569" w:val="right" w:leader="dot"/>
        </w:tabs>
        <w:spacing w:line="240" w:lineRule="auto" w:before="22" w:after="0"/>
        <w:ind w:left="1272" w:right="0" w:hanging="399"/>
        <w:jc w:val="left"/>
        <w:rPr>
          <w:sz w:val="21"/>
        </w:rPr>
      </w:pPr>
      <w:r>
        <w:rPr>
          <w:spacing w:val="-5"/>
          <w:sz w:val="21"/>
        </w:rPr>
        <w:t>保</w:t>
      </w:r>
      <w:r>
        <w:rPr>
          <w:sz w:val="21"/>
        </w:rPr>
        <w:t>险事故</w:t>
      </w:r>
      <w:r>
        <w:rPr>
          <w:spacing w:val="-5"/>
          <w:sz w:val="21"/>
        </w:rPr>
        <w:t>发</w:t>
      </w:r>
      <w:r>
        <w:rPr>
          <w:sz w:val="21"/>
        </w:rPr>
        <w:t>生后请</w:t>
      </w:r>
      <w:r>
        <w:rPr>
          <w:spacing w:val="-5"/>
          <w:sz w:val="21"/>
        </w:rPr>
        <w:t>您</w:t>
      </w:r>
      <w:r>
        <w:rPr>
          <w:sz w:val="21"/>
        </w:rPr>
        <w:t>及时通</w:t>
      </w:r>
      <w:r>
        <w:rPr>
          <w:spacing w:val="-5"/>
          <w:sz w:val="21"/>
        </w:rPr>
        <w:t>知</w:t>
      </w:r>
      <w:r>
        <w:rPr>
          <w:sz w:val="21"/>
        </w:rPr>
        <w:t>我们</w:t>
        <w:tab/>
        <w:t>3.2</w:t>
      </w:r>
    </w:p>
    <w:p>
      <w:pPr>
        <w:pStyle w:val="ListParagraph"/>
        <w:numPr>
          <w:ilvl w:val="0"/>
          <w:numId w:val="1"/>
        </w:numPr>
        <w:tabs>
          <w:tab w:pos="1267" w:val="left" w:leader="none"/>
          <w:tab w:pos="1268" w:val="left" w:leader="none"/>
          <w:tab w:pos="9559" w:val="right" w:leader="dot"/>
        </w:tabs>
        <w:spacing w:line="240" w:lineRule="auto" w:before="22" w:after="0"/>
        <w:ind w:left="1267" w:right="0" w:hanging="399"/>
        <w:jc w:val="left"/>
        <w:rPr>
          <w:sz w:val="21"/>
        </w:rPr>
      </w:pPr>
      <w:r>
        <w:rPr>
          <w:sz w:val="21"/>
        </w:rPr>
        <w:t>您应当</w:t>
      </w:r>
      <w:r>
        <w:rPr>
          <w:spacing w:val="-5"/>
          <w:sz w:val="21"/>
        </w:rPr>
        <w:t>按</w:t>
      </w:r>
      <w:r>
        <w:rPr>
          <w:sz w:val="21"/>
        </w:rPr>
        <w:t>时支付</w:t>
      </w:r>
      <w:r>
        <w:rPr>
          <w:spacing w:val="-5"/>
          <w:sz w:val="21"/>
        </w:rPr>
        <w:t>保</w:t>
      </w:r>
      <w:r>
        <w:rPr>
          <w:sz w:val="21"/>
        </w:rPr>
        <w:t>险费</w:t>
        <w:tab/>
      </w:r>
      <w:r>
        <w:rPr>
          <w:spacing w:val="-4"/>
          <w:sz w:val="21"/>
        </w:rPr>
        <w:t>4.1</w:t>
      </w:r>
    </w:p>
    <w:p>
      <w:pPr>
        <w:pStyle w:val="ListParagraph"/>
        <w:numPr>
          <w:ilvl w:val="0"/>
          <w:numId w:val="1"/>
        </w:numPr>
        <w:tabs>
          <w:tab w:pos="1272" w:val="left" w:leader="none"/>
          <w:tab w:pos="1273" w:val="left" w:leader="none"/>
          <w:tab w:pos="9569" w:val="right" w:leader="dot"/>
        </w:tabs>
        <w:spacing w:line="240" w:lineRule="auto" w:before="22" w:after="0"/>
        <w:ind w:left="1272" w:right="0" w:hanging="399"/>
        <w:jc w:val="left"/>
        <w:rPr>
          <w:sz w:val="21"/>
        </w:rPr>
      </w:pPr>
      <w:r>
        <w:rPr>
          <w:spacing w:val="-5"/>
          <w:sz w:val="21"/>
        </w:rPr>
        <w:t>您</w:t>
      </w:r>
      <w:r>
        <w:rPr>
          <w:sz w:val="21"/>
        </w:rPr>
        <w:t>有如实</w:t>
      </w:r>
      <w:r>
        <w:rPr>
          <w:spacing w:val="-5"/>
          <w:sz w:val="21"/>
        </w:rPr>
        <w:t>告</w:t>
      </w:r>
      <w:r>
        <w:rPr>
          <w:sz w:val="21"/>
        </w:rPr>
        <w:t>知的义务</w:t>
        <w:tab/>
        <w:t>5.1</w:t>
      </w:r>
    </w:p>
    <w:p>
      <w:pPr>
        <w:pStyle w:val="ListParagraph"/>
        <w:numPr>
          <w:ilvl w:val="0"/>
          <w:numId w:val="1"/>
        </w:numPr>
        <w:tabs>
          <w:tab w:pos="1272" w:val="left" w:leader="none"/>
          <w:tab w:pos="1273" w:val="left" w:leader="none"/>
          <w:tab w:pos="9358" w:val="right" w:leader="dot"/>
        </w:tabs>
        <w:spacing w:line="240" w:lineRule="auto" w:before="22" w:after="0"/>
        <w:ind w:left="1272" w:right="0" w:hanging="399"/>
        <w:jc w:val="left"/>
        <w:rPr>
          <w:sz w:val="21"/>
        </w:rPr>
      </w:pPr>
      <w:r>
        <w:rPr>
          <w:spacing w:val="-5"/>
          <w:sz w:val="21"/>
        </w:rPr>
        <w:t>我</w:t>
      </w:r>
      <w:r>
        <w:rPr>
          <w:sz w:val="21"/>
        </w:rPr>
        <w:t>们对一</w:t>
      </w:r>
      <w:r>
        <w:rPr>
          <w:spacing w:val="-5"/>
          <w:sz w:val="21"/>
        </w:rPr>
        <w:t>些</w:t>
      </w:r>
      <w:r>
        <w:rPr>
          <w:sz w:val="21"/>
        </w:rPr>
        <w:t>重要术</w:t>
      </w:r>
      <w:r>
        <w:rPr>
          <w:spacing w:val="-5"/>
          <w:sz w:val="21"/>
        </w:rPr>
        <w:t>语</w:t>
      </w:r>
      <w:r>
        <w:rPr>
          <w:sz w:val="21"/>
        </w:rPr>
        <w:t>进行了</w:t>
      </w:r>
      <w:r>
        <w:rPr>
          <w:spacing w:val="-5"/>
          <w:sz w:val="21"/>
        </w:rPr>
        <w:t>解</w:t>
      </w:r>
      <w:r>
        <w:rPr>
          <w:sz w:val="21"/>
        </w:rPr>
        <w:t>释，并</w:t>
      </w:r>
      <w:r>
        <w:rPr>
          <w:spacing w:val="-5"/>
          <w:sz w:val="21"/>
        </w:rPr>
        <w:t>作了</w:t>
      </w:r>
      <w:r>
        <w:rPr>
          <w:sz w:val="21"/>
        </w:rPr>
        <w:t>显著标识</w:t>
      </w:r>
      <w:r>
        <w:rPr>
          <w:spacing w:val="-5"/>
          <w:sz w:val="21"/>
        </w:rPr>
        <w:t>，</w:t>
      </w:r>
      <w:r>
        <w:rPr>
          <w:sz w:val="21"/>
        </w:rPr>
        <w:t>请您注意</w:t>
        <w:tab/>
        <w:t>6</w:t>
      </w:r>
    </w:p>
    <w:p>
      <w:pPr>
        <w:tabs>
          <w:tab w:pos="1248" w:val="left" w:leader="none"/>
        </w:tabs>
        <w:spacing w:before="24"/>
        <w:ind w:left="239" w:right="0" w:firstLine="0"/>
        <w:jc w:val="left"/>
        <w:rPr>
          <w:b/>
          <w:sz w:val="21"/>
        </w:rPr>
      </w:pPr>
      <w:r>
        <w:rPr>
          <w:rFonts w:ascii="Arial" w:hAnsi="Arial" w:eastAsia="Arial"/>
          <w:b/>
          <w:w w:val="105"/>
          <w:position w:val="-11"/>
          <w:sz w:val="52"/>
        </w:rPr>
        <w:t></w:t>
        <w:tab/>
      </w:r>
      <w:r>
        <w:rPr>
          <w:b/>
          <w:spacing w:val="-1"/>
          <w:sz w:val="21"/>
        </w:rPr>
        <w:t>条款是保险合同的重要内容，为充分保障您的权益，请您仔细阅读本条款。</w:t>
      </w:r>
    </w:p>
    <w:p>
      <w:pPr>
        <w:tabs>
          <w:tab w:pos="1248" w:val="left" w:leader="none"/>
        </w:tabs>
        <w:spacing w:before="25"/>
        <w:ind w:left="239" w:right="0" w:firstLine="0"/>
        <w:jc w:val="left"/>
        <w:rPr>
          <w:b/>
          <w:sz w:val="21"/>
        </w:rPr>
      </w:pPr>
      <w:r>
        <w:rPr>
          <w:rFonts w:ascii="Arial" w:hAnsi="Arial" w:eastAsia="Arial"/>
          <w:b/>
          <w:w w:val="110"/>
          <w:position w:val="-11"/>
          <w:sz w:val="52"/>
        </w:rPr>
        <w:t></w:t>
        <w:tab/>
      </w:r>
      <w:r>
        <w:rPr>
          <w:b/>
          <w:sz w:val="21"/>
        </w:rPr>
        <w:t>条款目录</w:t>
      </w:r>
    </w:p>
    <w:p>
      <w:pPr>
        <w:pStyle w:val="BodyText"/>
        <w:spacing w:before="8"/>
        <w:rPr>
          <w:b/>
          <w:sz w:val="6"/>
        </w:rPr>
      </w:pP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2"/>
        <w:gridCol w:w="3403"/>
        <w:gridCol w:w="3948"/>
      </w:tblGrid>
      <w:tr>
        <w:trPr>
          <w:trHeight w:val="6452" w:hRule="atLeast"/>
        </w:trPr>
        <w:tc>
          <w:tcPr>
            <w:tcW w:w="2592" w:type="dxa"/>
          </w:tcPr>
          <w:p>
            <w:pPr>
              <w:pStyle w:val="TableParagraph"/>
              <w:numPr>
                <w:ilvl w:val="0"/>
                <w:numId w:val="2"/>
              </w:numPr>
              <w:tabs>
                <w:tab w:pos="517" w:val="left" w:leader="none"/>
              </w:tabs>
              <w:spacing w:line="211" w:lineRule="exact" w:before="0" w:after="0"/>
              <w:ind w:left="516" w:right="0" w:hanging="316"/>
              <w:jc w:val="left"/>
              <w:rPr>
                <w:b/>
                <w:sz w:val="21"/>
              </w:rPr>
            </w:pPr>
            <w:r>
              <w:rPr>
                <w:b/>
                <w:sz w:val="21"/>
              </w:rPr>
              <w:t>您与我们的合同</w:t>
            </w:r>
          </w:p>
          <w:p>
            <w:pPr>
              <w:pStyle w:val="TableParagraph"/>
              <w:numPr>
                <w:ilvl w:val="1"/>
                <w:numId w:val="2"/>
              </w:numPr>
              <w:tabs>
                <w:tab w:pos="728" w:val="left" w:leader="none"/>
              </w:tabs>
              <w:spacing w:line="240" w:lineRule="auto" w:before="37" w:after="0"/>
              <w:ind w:left="723" w:right="0" w:hanging="418"/>
              <w:jc w:val="left"/>
              <w:rPr>
                <w:sz w:val="21"/>
              </w:rPr>
            </w:pPr>
            <w:r>
              <w:rPr>
                <w:spacing w:val="-2"/>
                <w:sz w:val="21"/>
              </w:rPr>
              <w:t>投保范围</w:t>
            </w:r>
          </w:p>
          <w:p>
            <w:pPr>
              <w:pStyle w:val="TableParagraph"/>
              <w:numPr>
                <w:ilvl w:val="1"/>
                <w:numId w:val="2"/>
              </w:numPr>
              <w:tabs>
                <w:tab w:pos="728" w:val="left" w:leader="none"/>
              </w:tabs>
              <w:spacing w:line="240" w:lineRule="auto" w:before="37" w:after="0"/>
              <w:ind w:left="723" w:right="0" w:hanging="418"/>
              <w:jc w:val="left"/>
              <w:rPr>
                <w:sz w:val="21"/>
              </w:rPr>
            </w:pPr>
            <w:r>
              <w:rPr>
                <w:spacing w:val="-2"/>
                <w:sz w:val="21"/>
              </w:rPr>
              <w:t>合同构成</w:t>
            </w:r>
          </w:p>
          <w:p>
            <w:pPr>
              <w:pStyle w:val="TableParagraph"/>
              <w:numPr>
                <w:ilvl w:val="1"/>
                <w:numId w:val="2"/>
              </w:numPr>
              <w:tabs>
                <w:tab w:pos="728" w:val="left" w:leader="none"/>
              </w:tabs>
              <w:spacing w:line="240" w:lineRule="auto" w:before="37" w:after="0"/>
              <w:ind w:left="723" w:right="0" w:hanging="418"/>
              <w:jc w:val="left"/>
              <w:rPr>
                <w:sz w:val="21"/>
              </w:rPr>
            </w:pPr>
            <w:r>
              <w:rPr>
                <w:spacing w:val="-2"/>
                <w:sz w:val="21"/>
              </w:rPr>
              <w:t>合同成立与生效</w:t>
            </w:r>
          </w:p>
          <w:p>
            <w:pPr>
              <w:pStyle w:val="TableParagraph"/>
              <w:numPr>
                <w:ilvl w:val="1"/>
                <w:numId w:val="2"/>
              </w:numPr>
              <w:tabs>
                <w:tab w:pos="728" w:val="left" w:leader="none"/>
              </w:tabs>
              <w:spacing w:line="240" w:lineRule="auto" w:before="37" w:after="0"/>
              <w:ind w:left="723" w:right="0" w:hanging="418"/>
              <w:jc w:val="left"/>
              <w:rPr>
                <w:sz w:val="21"/>
              </w:rPr>
            </w:pPr>
            <w:r>
              <w:rPr>
                <w:sz w:val="21"/>
              </w:rPr>
              <w:t>犹豫期</w:t>
            </w:r>
          </w:p>
          <w:p>
            <w:pPr>
              <w:pStyle w:val="TableParagraph"/>
              <w:numPr>
                <w:ilvl w:val="1"/>
                <w:numId w:val="2"/>
              </w:numPr>
              <w:tabs>
                <w:tab w:pos="728" w:val="left" w:leader="none"/>
              </w:tabs>
              <w:spacing w:line="240" w:lineRule="auto" w:before="37" w:after="0"/>
              <w:ind w:left="723" w:right="0" w:hanging="418"/>
              <w:jc w:val="left"/>
              <w:rPr>
                <w:sz w:val="21"/>
              </w:rPr>
            </w:pPr>
            <w:r>
              <w:rPr>
                <w:spacing w:val="-2"/>
                <w:sz w:val="21"/>
              </w:rPr>
              <w:t>合同内容变更</w:t>
            </w:r>
          </w:p>
          <w:p>
            <w:pPr>
              <w:pStyle w:val="TableParagraph"/>
              <w:numPr>
                <w:ilvl w:val="1"/>
                <w:numId w:val="2"/>
              </w:numPr>
              <w:tabs>
                <w:tab w:pos="728" w:val="left" w:leader="none"/>
              </w:tabs>
              <w:spacing w:line="240" w:lineRule="auto" w:before="36" w:after="0"/>
              <w:ind w:left="723" w:right="0" w:hanging="418"/>
              <w:jc w:val="left"/>
              <w:rPr>
                <w:sz w:val="21"/>
              </w:rPr>
            </w:pPr>
            <w:r>
              <w:rPr>
                <w:spacing w:val="-2"/>
                <w:sz w:val="21"/>
              </w:rPr>
              <w:t>投保信息变更</w:t>
            </w:r>
          </w:p>
          <w:p>
            <w:pPr>
              <w:pStyle w:val="TableParagraph"/>
              <w:numPr>
                <w:ilvl w:val="1"/>
                <w:numId w:val="2"/>
              </w:numPr>
              <w:tabs>
                <w:tab w:pos="738" w:val="left" w:leader="none"/>
              </w:tabs>
              <w:spacing w:line="273" w:lineRule="auto" w:before="36" w:after="0"/>
              <w:ind w:left="723" w:right="107" w:hanging="418"/>
              <w:jc w:val="left"/>
              <w:rPr>
                <w:sz w:val="21"/>
              </w:rPr>
            </w:pPr>
            <w:r>
              <w:rPr>
                <w:spacing w:val="3"/>
                <w:sz w:val="21"/>
              </w:rPr>
              <w:t>您解除合同的手续及风险</w:t>
            </w:r>
          </w:p>
          <w:p>
            <w:pPr>
              <w:pStyle w:val="TableParagraph"/>
              <w:numPr>
                <w:ilvl w:val="0"/>
                <w:numId w:val="2"/>
              </w:numPr>
              <w:tabs>
                <w:tab w:pos="517" w:val="left" w:leader="none"/>
              </w:tabs>
              <w:spacing w:line="240" w:lineRule="auto" w:before="7" w:after="0"/>
              <w:ind w:left="516" w:right="0" w:hanging="316"/>
              <w:jc w:val="left"/>
              <w:rPr>
                <w:b/>
                <w:sz w:val="21"/>
              </w:rPr>
            </w:pPr>
            <w:r>
              <w:rPr>
                <w:b/>
                <w:sz w:val="21"/>
              </w:rPr>
              <w:t>我们提供的保障</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基本保险金额</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保险期间</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保险责任</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保险责任的免除</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保险责任的终止</w:t>
            </w:r>
          </w:p>
          <w:p>
            <w:pPr>
              <w:pStyle w:val="TableParagraph"/>
              <w:numPr>
                <w:ilvl w:val="0"/>
                <w:numId w:val="2"/>
              </w:numPr>
              <w:tabs>
                <w:tab w:pos="517" w:val="left" w:leader="none"/>
              </w:tabs>
              <w:spacing w:line="240" w:lineRule="auto" w:before="36" w:after="0"/>
              <w:ind w:left="516" w:right="0" w:hanging="316"/>
              <w:jc w:val="left"/>
              <w:rPr>
                <w:b/>
                <w:sz w:val="21"/>
              </w:rPr>
            </w:pPr>
            <w:r>
              <w:rPr>
                <w:b/>
                <w:sz w:val="21"/>
              </w:rPr>
              <w:t>如何申请领取保险金</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保险金受益人</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保险事故通知</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保险金申请</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保险金的给付</w:t>
            </w:r>
          </w:p>
          <w:p>
            <w:pPr>
              <w:pStyle w:val="TableParagraph"/>
              <w:numPr>
                <w:ilvl w:val="1"/>
                <w:numId w:val="2"/>
              </w:numPr>
              <w:tabs>
                <w:tab w:pos="728" w:val="left" w:leader="none"/>
              </w:tabs>
              <w:spacing w:line="255" w:lineRule="exact" w:before="37" w:after="0"/>
              <w:ind w:left="728" w:right="0" w:hanging="423"/>
              <w:jc w:val="left"/>
              <w:rPr>
                <w:sz w:val="21"/>
              </w:rPr>
            </w:pPr>
            <w:r>
              <w:rPr>
                <w:spacing w:val="-2"/>
                <w:sz w:val="21"/>
              </w:rPr>
              <w:t>失踪处理</w:t>
            </w:r>
          </w:p>
        </w:tc>
        <w:tc>
          <w:tcPr>
            <w:tcW w:w="3403" w:type="dxa"/>
          </w:tcPr>
          <w:p>
            <w:pPr>
              <w:pStyle w:val="TableParagraph"/>
              <w:spacing w:line="211" w:lineRule="exact" w:before="0"/>
              <w:ind w:left="215"/>
              <w:rPr>
                <w:sz w:val="21"/>
              </w:rPr>
            </w:pPr>
            <w:r>
              <w:rPr>
                <w:sz w:val="21"/>
              </w:rPr>
              <w:t>3.6 诉讼时效</w:t>
            </w:r>
          </w:p>
          <w:p>
            <w:pPr>
              <w:pStyle w:val="TableParagraph"/>
              <w:numPr>
                <w:ilvl w:val="0"/>
                <w:numId w:val="3"/>
              </w:numPr>
              <w:tabs>
                <w:tab w:pos="427" w:val="left" w:leader="none"/>
              </w:tabs>
              <w:spacing w:line="240" w:lineRule="auto" w:before="37" w:after="0"/>
              <w:ind w:left="426" w:right="0" w:hanging="317"/>
              <w:jc w:val="left"/>
              <w:rPr>
                <w:b/>
                <w:sz w:val="21"/>
              </w:rPr>
            </w:pPr>
            <w:r>
              <w:rPr>
                <w:b/>
                <w:sz w:val="21"/>
              </w:rPr>
              <w:t>保险费的支付和现金价值权益</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保险费的支付</w:t>
            </w:r>
          </w:p>
          <w:p>
            <w:pPr>
              <w:pStyle w:val="TableParagraph"/>
              <w:numPr>
                <w:ilvl w:val="1"/>
                <w:numId w:val="3"/>
              </w:numPr>
              <w:tabs>
                <w:tab w:pos="638" w:val="left" w:leader="none"/>
              </w:tabs>
              <w:spacing w:line="240" w:lineRule="auto" w:before="37" w:after="0"/>
              <w:ind w:left="637" w:right="0" w:hanging="422"/>
              <w:jc w:val="left"/>
              <w:rPr>
                <w:sz w:val="21"/>
              </w:rPr>
            </w:pPr>
            <w:r>
              <w:rPr>
                <w:spacing w:val="-3"/>
                <w:sz w:val="21"/>
              </w:rPr>
              <w:t>保险单的现金价值</w:t>
            </w:r>
          </w:p>
          <w:p>
            <w:pPr>
              <w:pStyle w:val="TableParagraph"/>
              <w:numPr>
                <w:ilvl w:val="1"/>
                <w:numId w:val="3"/>
              </w:numPr>
              <w:tabs>
                <w:tab w:pos="638" w:val="left" w:leader="none"/>
              </w:tabs>
              <w:spacing w:line="240" w:lineRule="auto" w:before="37" w:after="0"/>
              <w:ind w:left="637" w:right="0" w:hanging="422"/>
              <w:jc w:val="left"/>
              <w:rPr>
                <w:sz w:val="21"/>
              </w:rPr>
            </w:pPr>
            <w:r>
              <w:rPr>
                <w:sz w:val="21"/>
              </w:rPr>
              <w:t>宽限期</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保单贷款</w:t>
            </w:r>
          </w:p>
          <w:p>
            <w:pPr>
              <w:pStyle w:val="TableParagraph"/>
              <w:numPr>
                <w:ilvl w:val="1"/>
                <w:numId w:val="3"/>
              </w:numPr>
              <w:tabs>
                <w:tab w:pos="638" w:val="left" w:leader="none"/>
              </w:tabs>
              <w:spacing w:line="240" w:lineRule="auto" w:before="36" w:after="0"/>
              <w:ind w:left="637" w:right="0" w:hanging="422"/>
              <w:jc w:val="left"/>
              <w:rPr>
                <w:sz w:val="21"/>
              </w:rPr>
            </w:pPr>
            <w:r>
              <w:rPr>
                <w:spacing w:val="-2"/>
                <w:sz w:val="21"/>
              </w:rPr>
              <w:t>合同效力中止</w:t>
            </w:r>
          </w:p>
          <w:p>
            <w:pPr>
              <w:pStyle w:val="TableParagraph"/>
              <w:numPr>
                <w:ilvl w:val="1"/>
                <w:numId w:val="3"/>
              </w:numPr>
              <w:tabs>
                <w:tab w:pos="638" w:val="left" w:leader="none"/>
              </w:tabs>
              <w:spacing w:line="240" w:lineRule="auto" w:before="36" w:after="0"/>
              <w:ind w:left="637" w:right="0" w:hanging="422"/>
              <w:jc w:val="left"/>
              <w:rPr>
                <w:sz w:val="21"/>
              </w:rPr>
            </w:pPr>
            <w:r>
              <w:rPr>
                <w:spacing w:val="-2"/>
                <w:sz w:val="21"/>
              </w:rPr>
              <w:t>合同效力恢复</w:t>
            </w:r>
          </w:p>
          <w:p>
            <w:pPr>
              <w:pStyle w:val="TableParagraph"/>
              <w:numPr>
                <w:ilvl w:val="0"/>
                <w:numId w:val="3"/>
              </w:numPr>
              <w:tabs>
                <w:tab w:pos="427" w:val="left" w:leader="none"/>
              </w:tabs>
              <w:spacing w:line="240" w:lineRule="auto" w:before="36" w:after="0"/>
              <w:ind w:left="426" w:right="0" w:hanging="317"/>
              <w:jc w:val="left"/>
              <w:rPr>
                <w:b/>
                <w:sz w:val="21"/>
              </w:rPr>
            </w:pPr>
            <w:r>
              <w:rPr>
                <w:b/>
                <w:sz w:val="21"/>
              </w:rPr>
              <w:t>其他事项</w:t>
            </w:r>
          </w:p>
          <w:p>
            <w:pPr>
              <w:pStyle w:val="TableParagraph"/>
              <w:numPr>
                <w:ilvl w:val="1"/>
                <w:numId w:val="3"/>
              </w:numPr>
              <w:tabs>
                <w:tab w:pos="638" w:val="left" w:leader="none"/>
              </w:tabs>
              <w:spacing w:line="240" w:lineRule="auto" w:before="36" w:after="0"/>
              <w:ind w:left="637" w:right="0" w:hanging="422"/>
              <w:jc w:val="left"/>
              <w:rPr>
                <w:sz w:val="21"/>
              </w:rPr>
            </w:pPr>
            <w:r>
              <w:rPr>
                <w:spacing w:val="-3"/>
                <w:sz w:val="21"/>
              </w:rPr>
              <w:t>明确说明与如实告知</w:t>
            </w:r>
          </w:p>
          <w:p>
            <w:pPr>
              <w:pStyle w:val="TableParagraph"/>
              <w:numPr>
                <w:ilvl w:val="1"/>
                <w:numId w:val="3"/>
              </w:numPr>
              <w:tabs>
                <w:tab w:pos="638" w:val="left" w:leader="none"/>
              </w:tabs>
              <w:spacing w:line="240" w:lineRule="auto" w:before="37" w:after="0"/>
              <w:ind w:left="637" w:right="0" w:hanging="422"/>
              <w:jc w:val="left"/>
              <w:rPr>
                <w:sz w:val="21"/>
              </w:rPr>
            </w:pPr>
            <w:r>
              <w:rPr>
                <w:spacing w:val="-3"/>
                <w:sz w:val="21"/>
              </w:rPr>
              <w:t>本公司合同解除权的限制</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年龄性别错误</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未还款项</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事故鉴定</w:t>
            </w:r>
          </w:p>
          <w:p>
            <w:pPr>
              <w:pStyle w:val="TableParagraph"/>
              <w:numPr>
                <w:ilvl w:val="1"/>
                <w:numId w:val="3"/>
              </w:numPr>
              <w:tabs>
                <w:tab w:pos="638" w:val="left" w:leader="none"/>
              </w:tabs>
              <w:spacing w:line="240" w:lineRule="auto" w:before="37" w:after="0"/>
              <w:ind w:left="637" w:right="0" w:hanging="422"/>
              <w:jc w:val="left"/>
              <w:rPr>
                <w:sz w:val="21"/>
              </w:rPr>
            </w:pPr>
            <w:r>
              <w:rPr>
                <w:spacing w:val="-2"/>
                <w:sz w:val="21"/>
              </w:rPr>
              <w:t>争议处理</w:t>
            </w:r>
          </w:p>
          <w:p>
            <w:pPr>
              <w:pStyle w:val="TableParagraph"/>
              <w:numPr>
                <w:ilvl w:val="0"/>
                <w:numId w:val="3"/>
              </w:numPr>
              <w:tabs>
                <w:tab w:pos="427" w:val="left" w:leader="none"/>
              </w:tabs>
              <w:spacing w:line="240" w:lineRule="auto" w:before="37" w:after="0"/>
              <w:ind w:left="426" w:right="0" w:hanging="317"/>
              <w:jc w:val="left"/>
              <w:rPr>
                <w:b/>
                <w:sz w:val="21"/>
              </w:rPr>
            </w:pPr>
            <w:r>
              <w:rPr>
                <w:b/>
                <w:sz w:val="21"/>
              </w:rPr>
              <w:t>释义</w:t>
            </w:r>
          </w:p>
          <w:p>
            <w:pPr>
              <w:pStyle w:val="TableParagraph"/>
              <w:numPr>
                <w:ilvl w:val="1"/>
                <w:numId w:val="3"/>
              </w:numPr>
              <w:tabs>
                <w:tab w:pos="638" w:val="left" w:leader="none"/>
              </w:tabs>
              <w:spacing w:line="240" w:lineRule="auto" w:before="37" w:after="0"/>
              <w:ind w:left="637" w:right="0" w:hanging="422"/>
              <w:jc w:val="left"/>
              <w:rPr>
                <w:sz w:val="21"/>
              </w:rPr>
            </w:pPr>
            <w:r>
              <w:rPr>
                <w:sz w:val="21"/>
              </w:rPr>
              <w:t>周岁</w:t>
            </w:r>
          </w:p>
          <w:p>
            <w:pPr>
              <w:pStyle w:val="TableParagraph"/>
              <w:numPr>
                <w:ilvl w:val="1"/>
                <w:numId w:val="3"/>
              </w:numPr>
              <w:tabs>
                <w:tab w:pos="638" w:val="left" w:leader="none"/>
              </w:tabs>
              <w:spacing w:line="240" w:lineRule="auto" w:before="36" w:after="0"/>
              <w:ind w:left="637" w:right="0" w:hanging="422"/>
              <w:jc w:val="left"/>
              <w:rPr>
                <w:sz w:val="21"/>
              </w:rPr>
            </w:pPr>
            <w:r>
              <w:rPr>
                <w:spacing w:val="-2"/>
                <w:sz w:val="21"/>
              </w:rPr>
              <w:t>有效身份证件</w:t>
            </w:r>
          </w:p>
          <w:p>
            <w:pPr>
              <w:pStyle w:val="TableParagraph"/>
              <w:numPr>
                <w:ilvl w:val="1"/>
                <w:numId w:val="3"/>
              </w:numPr>
              <w:tabs>
                <w:tab w:pos="638" w:val="left" w:leader="none"/>
              </w:tabs>
              <w:spacing w:line="240" w:lineRule="auto" w:before="36" w:after="0"/>
              <w:ind w:left="637" w:right="0" w:hanging="422"/>
              <w:jc w:val="left"/>
              <w:rPr>
                <w:sz w:val="21"/>
              </w:rPr>
            </w:pPr>
            <w:r>
              <w:rPr>
                <w:spacing w:val="-2"/>
                <w:sz w:val="21"/>
              </w:rPr>
              <w:t>现金价值</w:t>
            </w:r>
          </w:p>
          <w:p>
            <w:pPr>
              <w:pStyle w:val="TableParagraph"/>
              <w:numPr>
                <w:ilvl w:val="1"/>
                <w:numId w:val="3"/>
              </w:numPr>
              <w:tabs>
                <w:tab w:pos="638" w:val="left" w:leader="none"/>
              </w:tabs>
              <w:spacing w:line="240" w:lineRule="auto" w:before="36" w:after="0"/>
              <w:ind w:left="637" w:right="0" w:hanging="422"/>
              <w:jc w:val="left"/>
              <w:rPr>
                <w:sz w:val="21"/>
              </w:rPr>
            </w:pPr>
            <w:r>
              <w:rPr>
                <w:spacing w:val="-2"/>
                <w:sz w:val="21"/>
              </w:rPr>
              <w:t>轻症疾病</w:t>
            </w:r>
          </w:p>
          <w:p>
            <w:pPr>
              <w:pStyle w:val="TableParagraph"/>
              <w:numPr>
                <w:ilvl w:val="1"/>
                <w:numId w:val="3"/>
              </w:numPr>
              <w:tabs>
                <w:tab w:pos="638" w:val="left" w:leader="none"/>
              </w:tabs>
              <w:spacing w:line="255" w:lineRule="exact" w:before="36" w:after="0"/>
              <w:ind w:left="637" w:right="0" w:hanging="422"/>
              <w:jc w:val="left"/>
              <w:rPr>
                <w:sz w:val="21"/>
              </w:rPr>
            </w:pPr>
            <w:r>
              <w:rPr>
                <w:spacing w:val="-2"/>
                <w:sz w:val="21"/>
              </w:rPr>
              <w:t>重大疾病</w:t>
            </w:r>
          </w:p>
        </w:tc>
        <w:tc>
          <w:tcPr>
            <w:tcW w:w="3948" w:type="dxa"/>
          </w:tcPr>
          <w:p>
            <w:pPr>
              <w:pStyle w:val="TableParagraph"/>
              <w:numPr>
                <w:ilvl w:val="1"/>
                <w:numId w:val="4"/>
              </w:numPr>
              <w:tabs>
                <w:tab w:pos="654" w:val="left" w:leader="none"/>
              </w:tabs>
              <w:spacing w:line="211" w:lineRule="exact" w:before="0" w:after="0"/>
              <w:ind w:left="735" w:right="0" w:hanging="504"/>
              <w:jc w:val="left"/>
              <w:rPr>
                <w:sz w:val="21"/>
              </w:rPr>
            </w:pPr>
            <w:r>
              <w:rPr>
                <w:spacing w:val="-3"/>
                <w:sz w:val="21"/>
              </w:rPr>
              <w:t>少儿特定重大疾病</w:t>
            </w:r>
          </w:p>
          <w:p>
            <w:pPr>
              <w:pStyle w:val="TableParagraph"/>
              <w:numPr>
                <w:ilvl w:val="1"/>
                <w:numId w:val="4"/>
              </w:numPr>
              <w:tabs>
                <w:tab w:pos="654" w:val="left" w:leader="none"/>
              </w:tabs>
              <w:spacing w:line="240" w:lineRule="auto" w:before="37" w:after="0"/>
              <w:ind w:left="735" w:right="0" w:hanging="504"/>
              <w:jc w:val="left"/>
              <w:rPr>
                <w:sz w:val="21"/>
              </w:rPr>
            </w:pPr>
            <w:r>
              <w:rPr>
                <w:spacing w:val="-2"/>
                <w:sz w:val="21"/>
              </w:rPr>
              <w:t>意外伤害</w:t>
            </w:r>
          </w:p>
          <w:p>
            <w:pPr>
              <w:pStyle w:val="TableParagraph"/>
              <w:numPr>
                <w:ilvl w:val="1"/>
                <w:numId w:val="4"/>
              </w:numPr>
              <w:tabs>
                <w:tab w:pos="654" w:val="left" w:leader="none"/>
              </w:tabs>
              <w:spacing w:line="240" w:lineRule="auto" w:before="37" w:after="0"/>
              <w:ind w:left="735" w:right="0" w:hanging="504"/>
              <w:jc w:val="left"/>
              <w:rPr>
                <w:sz w:val="21"/>
              </w:rPr>
            </w:pPr>
            <w:r>
              <w:rPr>
                <w:spacing w:val="-2"/>
                <w:sz w:val="21"/>
              </w:rPr>
              <w:t>专科医生</w:t>
            </w:r>
          </w:p>
          <w:p>
            <w:pPr>
              <w:pStyle w:val="TableParagraph"/>
              <w:numPr>
                <w:ilvl w:val="1"/>
                <w:numId w:val="4"/>
              </w:numPr>
              <w:tabs>
                <w:tab w:pos="654" w:val="left" w:leader="none"/>
              </w:tabs>
              <w:spacing w:line="240" w:lineRule="auto" w:before="37" w:after="0"/>
              <w:ind w:left="735" w:right="0" w:hanging="504"/>
              <w:jc w:val="left"/>
              <w:rPr>
                <w:sz w:val="21"/>
              </w:rPr>
            </w:pPr>
            <w:r>
              <w:rPr>
                <w:sz w:val="21"/>
              </w:rPr>
              <w:t>全残</w:t>
            </w:r>
          </w:p>
          <w:p>
            <w:pPr>
              <w:pStyle w:val="TableParagraph"/>
              <w:numPr>
                <w:ilvl w:val="1"/>
                <w:numId w:val="4"/>
              </w:numPr>
              <w:tabs>
                <w:tab w:pos="760" w:val="left" w:leader="none"/>
              </w:tabs>
              <w:spacing w:line="240" w:lineRule="auto" w:before="37" w:after="0"/>
              <w:ind w:left="759" w:right="0" w:hanging="528"/>
              <w:jc w:val="left"/>
              <w:rPr>
                <w:sz w:val="21"/>
              </w:rPr>
            </w:pPr>
            <w:r>
              <w:rPr>
                <w:sz w:val="21"/>
              </w:rPr>
              <w:t>毒品</w:t>
            </w:r>
          </w:p>
          <w:p>
            <w:pPr>
              <w:pStyle w:val="TableParagraph"/>
              <w:numPr>
                <w:ilvl w:val="1"/>
                <w:numId w:val="4"/>
              </w:numPr>
              <w:tabs>
                <w:tab w:pos="760" w:val="left" w:leader="none"/>
              </w:tabs>
              <w:spacing w:line="240" w:lineRule="auto" w:before="37" w:after="0"/>
              <w:ind w:left="759" w:right="0" w:hanging="528"/>
              <w:jc w:val="left"/>
              <w:rPr>
                <w:sz w:val="21"/>
              </w:rPr>
            </w:pPr>
            <w:r>
              <w:rPr>
                <w:spacing w:val="-2"/>
                <w:sz w:val="21"/>
              </w:rPr>
              <w:t>酒后驾驶</w:t>
            </w:r>
          </w:p>
          <w:p>
            <w:pPr>
              <w:pStyle w:val="TableParagraph"/>
              <w:numPr>
                <w:ilvl w:val="1"/>
                <w:numId w:val="4"/>
              </w:numPr>
              <w:tabs>
                <w:tab w:pos="760" w:val="left" w:leader="none"/>
              </w:tabs>
              <w:spacing w:line="240" w:lineRule="auto" w:before="36" w:after="0"/>
              <w:ind w:left="759" w:right="0" w:hanging="528"/>
              <w:jc w:val="left"/>
              <w:rPr>
                <w:sz w:val="21"/>
              </w:rPr>
            </w:pPr>
            <w:r>
              <w:rPr>
                <w:spacing w:val="-3"/>
                <w:sz w:val="21"/>
              </w:rPr>
              <w:t>无合法有效驾驶证驾驶</w:t>
            </w:r>
          </w:p>
          <w:p>
            <w:pPr>
              <w:pStyle w:val="TableParagraph"/>
              <w:numPr>
                <w:ilvl w:val="1"/>
                <w:numId w:val="4"/>
              </w:numPr>
              <w:tabs>
                <w:tab w:pos="760" w:val="left" w:leader="none"/>
              </w:tabs>
              <w:spacing w:line="240" w:lineRule="auto" w:before="36" w:after="0"/>
              <w:ind w:left="759" w:right="0" w:hanging="528"/>
              <w:jc w:val="left"/>
              <w:rPr>
                <w:sz w:val="21"/>
              </w:rPr>
            </w:pPr>
            <w:r>
              <w:rPr>
                <w:spacing w:val="-2"/>
                <w:sz w:val="21"/>
              </w:rPr>
              <w:t>无有效行驶证</w:t>
            </w:r>
          </w:p>
          <w:p>
            <w:pPr>
              <w:pStyle w:val="TableParagraph"/>
              <w:numPr>
                <w:ilvl w:val="1"/>
                <w:numId w:val="4"/>
              </w:numPr>
              <w:tabs>
                <w:tab w:pos="760" w:val="left" w:leader="none"/>
              </w:tabs>
              <w:spacing w:line="240" w:lineRule="auto" w:before="36" w:after="0"/>
              <w:ind w:left="759" w:right="0" w:hanging="528"/>
              <w:jc w:val="left"/>
              <w:rPr>
                <w:sz w:val="21"/>
              </w:rPr>
            </w:pPr>
            <w:r>
              <w:rPr>
                <w:sz w:val="21"/>
              </w:rPr>
              <w:t>潜水</w:t>
            </w:r>
          </w:p>
          <w:p>
            <w:pPr>
              <w:pStyle w:val="TableParagraph"/>
              <w:numPr>
                <w:ilvl w:val="1"/>
                <w:numId w:val="4"/>
              </w:numPr>
              <w:tabs>
                <w:tab w:pos="760" w:val="left" w:leader="none"/>
              </w:tabs>
              <w:spacing w:line="240" w:lineRule="auto" w:before="36" w:after="0"/>
              <w:ind w:left="759" w:right="0" w:hanging="528"/>
              <w:jc w:val="left"/>
              <w:rPr>
                <w:sz w:val="21"/>
              </w:rPr>
            </w:pPr>
            <w:r>
              <w:rPr>
                <w:sz w:val="21"/>
              </w:rPr>
              <w:t>攀岩</w:t>
            </w:r>
          </w:p>
          <w:p>
            <w:pPr>
              <w:pStyle w:val="TableParagraph"/>
              <w:numPr>
                <w:ilvl w:val="1"/>
                <w:numId w:val="4"/>
              </w:numPr>
              <w:tabs>
                <w:tab w:pos="760" w:val="left" w:leader="none"/>
              </w:tabs>
              <w:spacing w:line="240" w:lineRule="auto" w:before="37" w:after="0"/>
              <w:ind w:left="759" w:right="0" w:hanging="528"/>
              <w:jc w:val="left"/>
              <w:rPr>
                <w:sz w:val="21"/>
              </w:rPr>
            </w:pPr>
            <w:r>
              <w:rPr>
                <w:spacing w:val="-2"/>
                <w:sz w:val="21"/>
              </w:rPr>
              <w:t>探险活动</w:t>
            </w:r>
          </w:p>
          <w:p>
            <w:pPr>
              <w:pStyle w:val="TableParagraph"/>
              <w:numPr>
                <w:ilvl w:val="1"/>
                <w:numId w:val="4"/>
              </w:numPr>
              <w:tabs>
                <w:tab w:pos="707" w:val="left" w:leader="none"/>
              </w:tabs>
              <w:spacing w:line="240" w:lineRule="auto" w:before="37" w:after="0"/>
              <w:ind w:left="706" w:right="0" w:hanging="475"/>
              <w:jc w:val="left"/>
              <w:rPr>
                <w:sz w:val="21"/>
              </w:rPr>
            </w:pPr>
            <w:r>
              <w:rPr>
                <w:spacing w:val="-2"/>
                <w:sz w:val="21"/>
              </w:rPr>
              <w:t>武术比赛</w:t>
            </w:r>
          </w:p>
          <w:p>
            <w:pPr>
              <w:pStyle w:val="TableParagraph"/>
              <w:numPr>
                <w:ilvl w:val="1"/>
                <w:numId w:val="4"/>
              </w:numPr>
              <w:tabs>
                <w:tab w:pos="760" w:val="left" w:leader="none"/>
              </w:tabs>
              <w:spacing w:line="240" w:lineRule="auto" w:before="37" w:after="0"/>
              <w:ind w:left="759" w:right="0" w:hanging="528"/>
              <w:jc w:val="left"/>
              <w:rPr>
                <w:sz w:val="21"/>
              </w:rPr>
            </w:pPr>
            <w:r>
              <w:rPr>
                <w:spacing w:val="-2"/>
                <w:sz w:val="21"/>
              </w:rPr>
              <w:t>遗传性疾病</w:t>
            </w:r>
          </w:p>
          <w:p>
            <w:pPr>
              <w:pStyle w:val="TableParagraph"/>
              <w:numPr>
                <w:ilvl w:val="1"/>
                <w:numId w:val="4"/>
              </w:numPr>
              <w:tabs>
                <w:tab w:pos="760" w:val="left" w:leader="none"/>
              </w:tabs>
              <w:spacing w:line="240" w:lineRule="auto" w:before="37" w:after="0"/>
              <w:ind w:left="759" w:right="0" w:hanging="528"/>
              <w:jc w:val="left"/>
              <w:rPr>
                <w:sz w:val="21"/>
              </w:rPr>
            </w:pPr>
            <w:r>
              <w:rPr>
                <w:spacing w:val="-4"/>
                <w:sz w:val="21"/>
              </w:rPr>
              <w:t>先天性畸形、变形或染色体异常</w:t>
            </w:r>
          </w:p>
          <w:p>
            <w:pPr>
              <w:pStyle w:val="TableParagraph"/>
              <w:numPr>
                <w:ilvl w:val="1"/>
                <w:numId w:val="4"/>
              </w:numPr>
              <w:tabs>
                <w:tab w:pos="760" w:val="left" w:leader="none"/>
              </w:tabs>
              <w:spacing w:line="240" w:lineRule="auto" w:before="37" w:after="0"/>
              <w:ind w:left="759" w:right="0" w:hanging="528"/>
              <w:jc w:val="left"/>
              <w:rPr>
                <w:sz w:val="21"/>
              </w:rPr>
            </w:pPr>
            <w:r>
              <w:rPr>
                <w:spacing w:val="-2"/>
                <w:sz w:val="21"/>
              </w:rPr>
              <w:t>本合同约定利率</w:t>
            </w:r>
          </w:p>
          <w:p>
            <w:pPr>
              <w:pStyle w:val="TableParagraph"/>
              <w:numPr>
                <w:ilvl w:val="1"/>
                <w:numId w:val="4"/>
              </w:numPr>
              <w:tabs>
                <w:tab w:pos="760" w:val="left" w:leader="none"/>
              </w:tabs>
              <w:spacing w:line="240" w:lineRule="auto" w:before="37" w:after="0"/>
              <w:ind w:left="759" w:right="0" w:hanging="528"/>
              <w:jc w:val="left"/>
              <w:rPr>
                <w:sz w:val="21"/>
              </w:rPr>
            </w:pPr>
            <w:r>
              <w:rPr>
                <w:spacing w:val="-3"/>
                <w:sz w:val="21"/>
              </w:rPr>
              <w:t>本公司认可的医疗机构</w:t>
            </w:r>
          </w:p>
          <w:p>
            <w:pPr>
              <w:pStyle w:val="TableParagraph"/>
              <w:numPr>
                <w:ilvl w:val="1"/>
                <w:numId w:val="4"/>
              </w:numPr>
              <w:tabs>
                <w:tab w:pos="707" w:val="left" w:leader="none"/>
              </w:tabs>
              <w:spacing w:line="240" w:lineRule="auto" w:before="37" w:after="0"/>
              <w:ind w:left="706" w:right="0" w:hanging="475"/>
              <w:jc w:val="left"/>
              <w:rPr>
                <w:sz w:val="21"/>
              </w:rPr>
            </w:pPr>
            <w:r>
              <w:rPr>
                <w:spacing w:val="-3"/>
                <w:sz w:val="21"/>
              </w:rPr>
              <w:t>六项基本日常生活活动</w:t>
            </w:r>
          </w:p>
          <w:p>
            <w:pPr>
              <w:pStyle w:val="TableParagraph"/>
              <w:numPr>
                <w:ilvl w:val="1"/>
                <w:numId w:val="4"/>
              </w:numPr>
              <w:tabs>
                <w:tab w:pos="707" w:val="left" w:leader="none"/>
              </w:tabs>
              <w:spacing w:line="240" w:lineRule="auto" w:before="36" w:after="0"/>
              <w:ind w:left="706" w:right="0" w:hanging="475"/>
              <w:jc w:val="left"/>
              <w:rPr>
                <w:sz w:val="21"/>
              </w:rPr>
            </w:pPr>
            <w:r>
              <w:rPr>
                <w:spacing w:val="-3"/>
                <w:sz w:val="21"/>
              </w:rPr>
              <w:t>肢体机能完全丧失</w:t>
            </w:r>
          </w:p>
          <w:p>
            <w:pPr>
              <w:pStyle w:val="TableParagraph"/>
              <w:numPr>
                <w:ilvl w:val="1"/>
                <w:numId w:val="4"/>
              </w:numPr>
              <w:tabs>
                <w:tab w:pos="765" w:val="left" w:leader="none"/>
              </w:tabs>
              <w:spacing w:line="273" w:lineRule="auto" w:before="36" w:after="0"/>
              <w:ind w:left="735" w:right="197" w:hanging="504"/>
              <w:jc w:val="left"/>
              <w:rPr>
                <w:sz w:val="21"/>
              </w:rPr>
            </w:pPr>
            <w:r>
              <w:rPr>
                <w:sz w:val="21"/>
              </w:rPr>
              <w:t>语言能力或咀嚼吞咽能力完全丧失</w:t>
            </w:r>
          </w:p>
          <w:p>
            <w:pPr>
              <w:pStyle w:val="TableParagraph"/>
              <w:numPr>
                <w:ilvl w:val="1"/>
                <w:numId w:val="4"/>
              </w:numPr>
              <w:tabs>
                <w:tab w:pos="760" w:val="left" w:leader="none"/>
              </w:tabs>
              <w:spacing w:line="255" w:lineRule="exact" w:before="7" w:after="0"/>
              <w:ind w:left="759" w:right="0" w:hanging="528"/>
              <w:jc w:val="left"/>
              <w:rPr>
                <w:sz w:val="21"/>
              </w:rPr>
            </w:pPr>
            <w:r>
              <w:rPr>
                <w:spacing w:val="-2"/>
                <w:sz w:val="21"/>
              </w:rPr>
              <w:t>永久不可逆</w:t>
            </w:r>
          </w:p>
        </w:tc>
      </w:tr>
    </w:tbl>
    <w:p>
      <w:pPr>
        <w:spacing w:after="0" w:line="255" w:lineRule="exact"/>
        <w:jc w:val="left"/>
        <w:rPr>
          <w:sz w:val="21"/>
        </w:rPr>
        <w:sectPr>
          <w:type w:val="continuous"/>
          <w:pgSz w:w="11910" w:h="16840"/>
          <w:pgMar w:top="160" w:bottom="1180" w:left="860" w:right="20"/>
        </w:sectPr>
      </w:pPr>
    </w:p>
    <w:p>
      <w:pPr>
        <w:pStyle w:val="BodyText"/>
        <w:rPr>
          <w:b/>
          <w:sz w:val="25"/>
        </w:rPr>
      </w:pPr>
    </w:p>
    <w:p>
      <w:pPr>
        <w:spacing w:line="508" w:lineRule="exact" w:before="0"/>
        <w:ind w:left="1809" w:right="0" w:firstLine="0"/>
        <w:jc w:val="left"/>
        <w:rPr>
          <w:rFonts w:ascii="微软雅黑" w:eastAsia="微软雅黑" w:hint="eastAsia"/>
          <w:b/>
          <w:sz w:val="32"/>
        </w:rPr>
      </w:pPr>
      <w:r>
        <w:rPr>
          <w:rFonts w:ascii="微软雅黑" w:eastAsia="微软雅黑" w:hint="eastAsia"/>
          <w:b/>
          <w:sz w:val="32"/>
        </w:rPr>
        <w:t>合众珍爱幸福终身重大疾病保险（2017）条款</w:t>
      </w:r>
    </w:p>
    <w:p>
      <w:pPr>
        <w:pStyle w:val="BodyText"/>
        <w:rPr>
          <w:rFonts w:ascii="微软雅黑"/>
          <w:b/>
          <w:sz w:val="24"/>
        </w:rPr>
      </w:pPr>
    </w:p>
    <w:p>
      <w:pPr>
        <w:pStyle w:val="BodyText"/>
        <w:ind w:left="215"/>
      </w:pPr>
      <w:r>
        <w:rPr/>
        <w:t>在本条款中，“您”指投保人，“我们”、“本公司”均指合众人寿保险股份有限公司。</w:t>
      </w:r>
    </w:p>
    <w:p>
      <w:pPr>
        <w:pStyle w:val="BodyText"/>
        <w:rPr>
          <w:sz w:val="20"/>
        </w:rPr>
      </w:pPr>
    </w:p>
    <w:p>
      <w:pPr>
        <w:pStyle w:val="BodyText"/>
        <w:spacing w:before="5"/>
        <w:rPr>
          <w:sz w:val="14"/>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1959"/>
        <w:gridCol w:w="7200"/>
      </w:tblGrid>
      <w:tr>
        <w:trPr>
          <w:trHeight w:val="522" w:hRule="atLeast"/>
        </w:trPr>
        <w:tc>
          <w:tcPr>
            <w:tcW w:w="742" w:type="dxa"/>
            <w:tcBorders>
              <w:bottom w:val="single" w:sz="4" w:space="0" w:color="000000"/>
            </w:tcBorders>
          </w:tcPr>
          <w:p>
            <w:pPr>
              <w:pStyle w:val="TableParagraph"/>
              <w:spacing w:line="421" w:lineRule="exact" w:before="0"/>
              <w:ind w:left="110"/>
              <w:rPr>
                <w:rFonts w:ascii="Arial" w:hAnsi="Arial"/>
                <w:b/>
                <w:sz w:val="40"/>
              </w:rPr>
            </w:pPr>
            <w:r>
              <w:rPr>
                <w:rFonts w:ascii="Arial" w:hAnsi="Arial"/>
                <w:b/>
                <w:w w:val="118"/>
                <w:sz w:val="40"/>
              </w:rPr>
              <w:t></w:t>
            </w:r>
          </w:p>
        </w:tc>
        <w:tc>
          <w:tcPr>
            <w:tcW w:w="1959" w:type="dxa"/>
            <w:tcBorders>
              <w:bottom w:val="single" w:sz="4" w:space="0" w:color="000000"/>
            </w:tcBorders>
          </w:tcPr>
          <w:p>
            <w:pPr>
              <w:pStyle w:val="TableParagraph"/>
              <w:spacing w:before="17"/>
              <w:ind w:left="276" w:right="-15"/>
              <w:rPr>
                <w:b/>
                <w:sz w:val="24"/>
              </w:rPr>
            </w:pPr>
            <w:r>
              <w:rPr>
                <w:b/>
                <w:w w:val="95"/>
                <w:sz w:val="24"/>
              </w:rPr>
              <w:t>您与我们的合同</w:t>
            </w:r>
          </w:p>
        </w:tc>
        <w:tc>
          <w:tcPr>
            <w:tcW w:w="7200" w:type="dxa"/>
            <w:tcBorders>
              <w:bottom w:val="single" w:sz="4" w:space="0" w:color="000000"/>
            </w:tcBorders>
          </w:tcPr>
          <w:p>
            <w:pPr>
              <w:pStyle w:val="TableParagraph"/>
              <w:spacing w:before="0"/>
              <w:ind w:left="0"/>
              <w:rPr>
                <w:rFonts w:ascii="Times New Roman"/>
                <w:sz w:val="20"/>
              </w:rPr>
            </w:pPr>
          </w:p>
        </w:tc>
      </w:tr>
      <w:tr>
        <w:trPr>
          <w:trHeight w:val="1306" w:hRule="atLeast"/>
        </w:trPr>
        <w:tc>
          <w:tcPr>
            <w:tcW w:w="742" w:type="dxa"/>
            <w:tcBorders>
              <w:top w:val="single" w:sz="4" w:space="0" w:color="000000"/>
            </w:tcBorders>
          </w:tcPr>
          <w:p>
            <w:pPr>
              <w:pStyle w:val="TableParagraph"/>
              <w:spacing w:before="4"/>
              <w:ind w:left="0"/>
              <w:rPr>
                <w:sz w:val="15"/>
              </w:rPr>
            </w:pPr>
          </w:p>
          <w:p>
            <w:pPr>
              <w:pStyle w:val="TableParagraph"/>
              <w:spacing w:before="0"/>
              <w:ind w:left="110"/>
              <w:rPr>
                <w:b/>
                <w:sz w:val="21"/>
              </w:rPr>
            </w:pPr>
            <w:r>
              <w:rPr>
                <w:b/>
                <w:sz w:val="21"/>
              </w:rPr>
              <w:t>1.1</w:t>
            </w:r>
          </w:p>
        </w:tc>
        <w:tc>
          <w:tcPr>
            <w:tcW w:w="1959" w:type="dxa"/>
            <w:tcBorders>
              <w:top w:val="single" w:sz="4" w:space="0" w:color="000000"/>
            </w:tcBorders>
          </w:tcPr>
          <w:p>
            <w:pPr>
              <w:pStyle w:val="TableParagraph"/>
              <w:spacing w:before="4"/>
              <w:ind w:left="0"/>
              <w:rPr>
                <w:sz w:val="15"/>
              </w:rPr>
            </w:pPr>
          </w:p>
          <w:p>
            <w:pPr>
              <w:pStyle w:val="TableParagraph"/>
              <w:spacing w:before="0"/>
              <w:ind w:left="276"/>
              <w:rPr>
                <w:b/>
                <w:sz w:val="21"/>
              </w:rPr>
            </w:pPr>
            <w:r>
              <w:rPr>
                <w:b/>
                <w:sz w:val="21"/>
              </w:rPr>
              <w:t>投保范围</w:t>
            </w:r>
          </w:p>
        </w:tc>
        <w:tc>
          <w:tcPr>
            <w:tcW w:w="7200" w:type="dxa"/>
            <w:tcBorders>
              <w:top w:val="single" w:sz="4" w:space="0" w:color="000000"/>
            </w:tcBorders>
          </w:tcPr>
          <w:p>
            <w:pPr>
              <w:pStyle w:val="TableParagraph"/>
              <w:spacing w:before="4"/>
              <w:ind w:left="0"/>
              <w:rPr>
                <w:sz w:val="15"/>
              </w:rPr>
            </w:pPr>
          </w:p>
          <w:p>
            <w:pPr>
              <w:pStyle w:val="TableParagraph"/>
              <w:spacing w:line="273" w:lineRule="auto" w:before="0"/>
              <w:ind w:left="203" w:right="115"/>
              <w:rPr>
                <w:sz w:val="21"/>
              </w:rPr>
            </w:pPr>
            <w:r>
              <w:rPr>
                <w:w w:val="100"/>
                <w:sz w:val="21"/>
              </w:rPr>
              <w:t>凡年满</w:t>
            </w:r>
            <w:r>
              <w:rPr>
                <w:spacing w:val="-52"/>
                <w:sz w:val="21"/>
              </w:rPr>
              <w:t> </w:t>
            </w:r>
            <w:r>
              <w:rPr>
                <w:w w:val="100"/>
                <w:sz w:val="21"/>
              </w:rPr>
              <w:t>18</w:t>
            </w:r>
            <w:r>
              <w:rPr>
                <w:spacing w:val="-57"/>
                <w:sz w:val="21"/>
              </w:rPr>
              <w:t> </w:t>
            </w:r>
            <w:r>
              <w:rPr>
                <w:b/>
                <w:w w:val="100"/>
                <w:sz w:val="21"/>
              </w:rPr>
              <w:t>周岁</w:t>
            </w:r>
            <w:r>
              <w:rPr>
                <w:w w:val="100"/>
                <w:sz w:val="21"/>
              </w:rPr>
              <w:t>（见释义</w:t>
            </w:r>
            <w:r>
              <w:rPr>
                <w:spacing w:val="-57"/>
                <w:sz w:val="21"/>
              </w:rPr>
              <w:t> </w:t>
            </w:r>
            <w:r>
              <w:rPr>
                <w:w w:val="100"/>
                <w:sz w:val="21"/>
              </w:rPr>
              <w:t>6.1</w:t>
            </w:r>
            <w:r>
              <w:rPr>
                <w:spacing w:val="-106"/>
                <w:w w:val="100"/>
                <w:sz w:val="21"/>
              </w:rPr>
              <w:t>）</w:t>
            </w:r>
            <w:r>
              <w:rPr>
                <w:spacing w:val="-5"/>
                <w:w w:val="100"/>
                <w:sz w:val="21"/>
              </w:rPr>
              <w:t>，具有完全民事行为能力且在本保险合同订立</w:t>
            </w:r>
            <w:r>
              <w:rPr>
                <w:spacing w:val="-5"/>
                <w:sz w:val="21"/>
              </w:rPr>
              <w:t>时对被保险人具有保险利益的人，均可以作为投保人。</w:t>
            </w:r>
          </w:p>
          <w:p>
            <w:pPr>
              <w:pStyle w:val="TableParagraph"/>
              <w:spacing w:before="7"/>
              <w:ind w:left="203"/>
              <w:rPr>
                <w:sz w:val="21"/>
              </w:rPr>
            </w:pPr>
            <w:r>
              <w:rPr>
                <w:sz w:val="21"/>
              </w:rPr>
              <w:t>凡年满 28 天至 65 周岁，符合本公司承保条件的人，均可作为被保险人。</w:t>
            </w:r>
          </w:p>
        </w:tc>
      </w:tr>
      <w:tr>
        <w:trPr>
          <w:trHeight w:val="1831" w:hRule="atLeast"/>
        </w:trPr>
        <w:tc>
          <w:tcPr>
            <w:tcW w:w="742" w:type="dxa"/>
          </w:tcPr>
          <w:p>
            <w:pPr>
              <w:pStyle w:val="TableParagraph"/>
              <w:spacing w:before="142"/>
              <w:ind w:left="110"/>
              <w:rPr>
                <w:b/>
                <w:sz w:val="21"/>
              </w:rPr>
            </w:pPr>
            <w:r>
              <w:rPr>
                <w:b/>
                <w:sz w:val="21"/>
              </w:rPr>
              <w:t>1.2</w:t>
            </w:r>
          </w:p>
        </w:tc>
        <w:tc>
          <w:tcPr>
            <w:tcW w:w="1959" w:type="dxa"/>
          </w:tcPr>
          <w:p>
            <w:pPr>
              <w:pStyle w:val="TableParagraph"/>
              <w:spacing w:before="142"/>
              <w:ind w:left="276"/>
              <w:rPr>
                <w:b/>
                <w:sz w:val="21"/>
              </w:rPr>
            </w:pPr>
            <w:r>
              <w:rPr>
                <w:b/>
                <w:sz w:val="21"/>
              </w:rPr>
              <w:t>合同构成</w:t>
            </w:r>
          </w:p>
        </w:tc>
        <w:tc>
          <w:tcPr>
            <w:tcW w:w="7200" w:type="dxa"/>
          </w:tcPr>
          <w:p>
            <w:pPr>
              <w:pStyle w:val="TableParagraph"/>
              <w:spacing w:line="273" w:lineRule="auto" w:before="142"/>
              <w:ind w:left="203"/>
              <w:rPr>
                <w:sz w:val="21"/>
              </w:rPr>
            </w:pPr>
            <w:r>
              <w:rPr>
                <w:spacing w:val="-13"/>
                <w:sz w:val="21"/>
              </w:rPr>
              <w:t>本保险条款、保险单或其他保险凭证、投保书、与保险合同有关的投保文件、</w:t>
            </w:r>
            <w:r>
              <w:rPr>
                <w:spacing w:val="-12"/>
                <w:sz w:val="21"/>
              </w:rPr>
              <w:t>合法有效的声明、批注、附贴批单、其他书面协议共同构成您与我们之间订</w:t>
            </w:r>
            <w:r>
              <w:rPr>
                <w:spacing w:val="-9"/>
                <w:sz w:val="21"/>
              </w:rPr>
              <w:t>立的保险合同。</w:t>
            </w:r>
          </w:p>
          <w:p>
            <w:pPr>
              <w:pStyle w:val="TableParagraph"/>
              <w:spacing w:line="273" w:lineRule="auto" w:before="7"/>
              <w:ind w:left="203" w:right="165"/>
              <w:rPr>
                <w:sz w:val="21"/>
              </w:rPr>
            </w:pPr>
            <w:r>
              <w:rPr>
                <w:spacing w:val="-10"/>
                <w:w w:val="100"/>
                <w:sz w:val="21"/>
              </w:rPr>
              <w:t>保险合同可以包括主险合同和附加险合同，“合众珍爱幸福终身重大疾病保</w:t>
            </w:r>
            <w:r>
              <w:rPr>
                <w:spacing w:val="-1"/>
                <w:sz w:val="21"/>
              </w:rPr>
              <w:t>险（2017）</w:t>
            </w:r>
            <w:r>
              <w:rPr>
                <w:spacing w:val="-11"/>
                <w:sz w:val="21"/>
              </w:rPr>
              <w:t>合同”是主合同，以下简称为“本主合同”。</w:t>
            </w:r>
          </w:p>
        </w:tc>
      </w:tr>
      <w:tr>
        <w:trPr>
          <w:trHeight w:val="2792" w:hRule="atLeast"/>
        </w:trPr>
        <w:tc>
          <w:tcPr>
            <w:tcW w:w="742" w:type="dxa"/>
          </w:tcPr>
          <w:p>
            <w:pPr>
              <w:pStyle w:val="TableParagraph"/>
              <w:spacing w:before="102"/>
              <w:ind w:left="110"/>
              <w:rPr>
                <w:b/>
                <w:sz w:val="21"/>
              </w:rPr>
            </w:pPr>
            <w:r>
              <w:rPr>
                <w:b/>
                <w:sz w:val="21"/>
              </w:rPr>
              <w:t>1.3</w:t>
            </w:r>
          </w:p>
        </w:tc>
        <w:tc>
          <w:tcPr>
            <w:tcW w:w="1959" w:type="dxa"/>
          </w:tcPr>
          <w:p>
            <w:pPr>
              <w:pStyle w:val="TableParagraph"/>
              <w:spacing w:before="102"/>
              <w:ind w:left="276"/>
              <w:rPr>
                <w:b/>
                <w:sz w:val="21"/>
              </w:rPr>
            </w:pPr>
            <w:r>
              <w:rPr>
                <w:b/>
                <w:sz w:val="21"/>
              </w:rPr>
              <w:t>合同成立与生效</w:t>
            </w:r>
          </w:p>
        </w:tc>
        <w:tc>
          <w:tcPr>
            <w:tcW w:w="7200" w:type="dxa"/>
          </w:tcPr>
          <w:p>
            <w:pPr>
              <w:pStyle w:val="TableParagraph"/>
              <w:spacing w:line="273" w:lineRule="auto" w:before="102"/>
              <w:ind w:left="203" w:right="111"/>
              <w:jc w:val="both"/>
              <w:rPr>
                <w:sz w:val="21"/>
              </w:rPr>
            </w:pPr>
            <w:r>
              <w:rPr>
                <w:spacing w:val="-7"/>
                <w:sz w:val="21"/>
              </w:rPr>
              <w:t>您提出保险申请、我们同意承保，本主合同成立，合同成立日期在保险单上载明。</w:t>
            </w:r>
          </w:p>
          <w:p>
            <w:pPr>
              <w:pStyle w:val="TableParagraph"/>
              <w:spacing w:line="273" w:lineRule="auto" w:before="8"/>
              <w:ind w:left="203" w:right="105"/>
              <w:jc w:val="both"/>
              <w:rPr>
                <w:sz w:val="21"/>
              </w:rPr>
            </w:pPr>
            <w:r>
              <w:rPr>
                <w:spacing w:val="-8"/>
                <w:sz w:val="21"/>
              </w:rPr>
              <w:t>自本主合同成立、我们收取首期保险费并签发保险单的次日零时起本主合同生效，若投保人指定生效日期的，以指定生效日期为合同生效日期，合同生</w:t>
            </w:r>
            <w:r>
              <w:rPr>
                <w:spacing w:val="-10"/>
                <w:sz w:val="21"/>
              </w:rPr>
              <w:t>效日期在保险单上载明。本主合同生效的日期为本公司开始承担保险责任的</w:t>
            </w:r>
            <w:r>
              <w:rPr>
                <w:spacing w:val="-9"/>
                <w:sz w:val="21"/>
              </w:rPr>
              <w:t>日期，保险合同生效日以后每年的对应日是保单周年日。保单年度、保险费</w:t>
            </w:r>
            <w:r>
              <w:rPr>
                <w:spacing w:val="-10"/>
                <w:sz w:val="21"/>
              </w:rPr>
              <w:t>约定支付日均以该日期计算。如果当月无对应的同一日，则以该月最后一日</w:t>
            </w:r>
            <w:r>
              <w:rPr>
                <w:spacing w:val="-8"/>
                <w:sz w:val="21"/>
              </w:rPr>
              <w:t>作为对应日。</w:t>
            </w:r>
          </w:p>
        </w:tc>
      </w:tr>
      <w:tr>
        <w:trPr>
          <w:trHeight w:val="2544" w:hRule="atLeast"/>
        </w:trPr>
        <w:tc>
          <w:tcPr>
            <w:tcW w:w="742" w:type="dxa"/>
          </w:tcPr>
          <w:p>
            <w:pPr>
              <w:pStyle w:val="TableParagraph"/>
              <w:spacing w:before="166"/>
              <w:ind w:left="110"/>
              <w:rPr>
                <w:b/>
                <w:sz w:val="21"/>
              </w:rPr>
            </w:pPr>
            <w:r>
              <w:rPr>
                <w:b/>
                <w:sz w:val="21"/>
              </w:rPr>
              <w:t>1.4</w:t>
            </w:r>
          </w:p>
        </w:tc>
        <w:tc>
          <w:tcPr>
            <w:tcW w:w="1959" w:type="dxa"/>
          </w:tcPr>
          <w:p>
            <w:pPr>
              <w:pStyle w:val="TableParagraph"/>
              <w:spacing w:before="166"/>
              <w:ind w:left="276"/>
              <w:rPr>
                <w:b/>
                <w:sz w:val="21"/>
              </w:rPr>
            </w:pPr>
            <w:r>
              <w:rPr>
                <w:b/>
                <w:sz w:val="21"/>
              </w:rPr>
              <w:t>犹豫期</w:t>
            </w:r>
          </w:p>
        </w:tc>
        <w:tc>
          <w:tcPr>
            <w:tcW w:w="7200" w:type="dxa"/>
          </w:tcPr>
          <w:p>
            <w:pPr>
              <w:pStyle w:val="TableParagraph"/>
              <w:spacing w:line="273" w:lineRule="auto" w:before="166"/>
              <w:ind w:left="203" w:right="60"/>
              <w:rPr>
                <w:sz w:val="21"/>
              </w:rPr>
            </w:pPr>
            <w:r>
              <w:rPr>
                <w:spacing w:val="-5"/>
                <w:sz w:val="21"/>
              </w:rPr>
              <w:t>为了使您充分了解本主合同的保障范围，确定选择了合适的基本保险金额、</w:t>
            </w:r>
            <w:r>
              <w:rPr>
                <w:spacing w:val="-7"/>
                <w:sz w:val="21"/>
              </w:rPr>
              <w:t>交费期限和交费金额，自您签收本主合同之日起，有</w:t>
            </w:r>
            <w:r>
              <w:rPr>
                <w:spacing w:val="-3"/>
                <w:sz w:val="21"/>
              </w:rPr>
              <w:t>10</w:t>
            </w:r>
            <w:r>
              <w:rPr>
                <w:spacing w:val="-5"/>
                <w:sz w:val="21"/>
              </w:rPr>
              <w:t>天的犹豫期。如果您</w:t>
            </w:r>
            <w:r>
              <w:rPr>
                <w:spacing w:val="-8"/>
                <w:sz w:val="21"/>
              </w:rPr>
              <w:t>在此期间提出解除本主合同，需要填写书面申请书，并提供您的保险合同及</w:t>
            </w:r>
            <w:r>
              <w:rPr>
                <w:b/>
                <w:spacing w:val="-8"/>
                <w:sz w:val="21"/>
              </w:rPr>
              <w:t>有效身份证件</w:t>
            </w:r>
            <w:r>
              <w:rPr>
                <w:spacing w:val="-8"/>
                <w:sz w:val="21"/>
              </w:rPr>
              <w:t>（</w:t>
            </w:r>
            <w:r>
              <w:rPr>
                <w:spacing w:val="-5"/>
                <w:sz w:val="21"/>
              </w:rPr>
              <w:t>见释义</w:t>
            </w:r>
            <w:r>
              <w:rPr>
                <w:sz w:val="21"/>
              </w:rPr>
              <w:t>6.2）</w:t>
            </w:r>
            <w:r>
              <w:rPr>
                <w:spacing w:val="-3"/>
                <w:sz w:val="21"/>
              </w:rPr>
              <w:t>，我们会在扣除不超过人民币</w:t>
            </w:r>
            <w:r>
              <w:rPr>
                <w:sz w:val="21"/>
              </w:rPr>
              <w:t>10</w:t>
            </w:r>
            <w:r>
              <w:rPr>
                <w:spacing w:val="-3"/>
                <w:sz w:val="21"/>
              </w:rPr>
              <w:t>元的保单工本</w:t>
            </w:r>
            <w:r>
              <w:rPr>
                <w:spacing w:val="-8"/>
                <w:sz w:val="21"/>
              </w:rPr>
              <w:t>费后无息退还您所交的本主合同的保险费。自我们收到您解除合同的书面申</w:t>
            </w:r>
            <w:r>
              <w:rPr>
                <w:spacing w:val="-10"/>
                <w:sz w:val="21"/>
              </w:rPr>
              <w:t>请时起，本主合同即被解除。对本主合同解除前发生的保险事故我们不承担保险责任。</w:t>
            </w:r>
          </w:p>
        </w:tc>
      </w:tr>
      <w:tr>
        <w:trPr>
          <w:trHeight w:val="1346" w:hRule="atLeast"/>
        </w:trPr>
        <w:tc>
          <w:tcPr>
            <w:tcW w:w="742" w:type="dxa"/>
          </w:tcPr>
          <w:p>
            <w:pPr>
              <w:pStyle w:val="TableParagraph"/>
              <w:spacing w:before="167"/>
              <w:ind w:left="110"/>
              <w:rPr>
                <w:b/>
                <w:sz w:val="21"/>
              </w:rPr>
            </w:pPr>
            <w:r>
              <w:rPr>
                <w:b/>
                <w:sz w:val="21"/>
              </w:rPr>
              <w:t>1.5</w:t>
            </w:r>
          </w:p>
        </w:tc>
        <w:tc>
          <w:tcPr>
            <w:tcW w:w="1959" w:type="dxa"/>
          </w:tcPr>
          <w:p>
            <w:pPr>
              <w:pStyle w:val="TableParagraph"/>
              <w:spacing w:before="167"/>
              <w:ind w:left="276"/>
              <w:rPr>
                <w:b/>
                <w:sz w:val="21"/>
              </w:rPr>
            </w:pPr>
            <w:r>
              <w:rPr>
                <w:b/>
                <w:sz w:val="21"/>
              </w:rPr>
              <w:t>合同内容变更</w:t>
            </w:r>
          </w:p>
        </w:tc>
        <w:tc>
          <w:tcPr>
            <w:tcW w:w="7200" w:type="dxa"/>
          </w:tcPr>
          <w:p>
            <w:pPr>
              <w:pStyle w:val="TableParagraph"/>
              <w:spacing w:line="273" w:lineRule="auto" w:before="167"/>
              <w:ind w:left="203"/>
              <w:rPr>
                <w:sz w:val="21"/>
              </w:rPr>
            </w:pPr>
            <w:r>
              <w:rPr>
                <w:spacing w:val="-14"/>
                <w:sz w:val="21"/>
              </w:rPr>
              <w:t>在本主合同有效期内，经您与我们协商一致，可以变更本主合同的有关内容。</w:t>
            </w:r>
            <w:r>
              <w:rPr>
                <w:spacing w:val="-12"/>
                <w:sz w:val="21"/>
              </w:rPr>
              <w:t>变更本主合同的，应当由我们在受理您的变更申请后在保险单或者其他保险</w:t>
            </w:r>
            <w:r>
              <w:rPr>
                <w:spacing w:val="-8"/>
                <w:sz w:val="21"/>
              </w:rPr>
              <w:t>凭证上批注或者附贴批单，或者由您与我们订立书面的变更协议。</w:t>
            </w:r>
          </w:p>
        </w:tc>
      </w:tr>
      <w:tr>
        <w:trPr>
          <w:trHeight w:val="1947" w:hRule="atLeast"/>
        </w:trPr>
        <w:tc>
          <w:tcPr>
            <w:tcW w:w="742" w:type="dxa"/>
          </w:tcPr>
          <w:p>
            <w:pPr>
              <w:pStyle w:val="TableParagraph"/>
              <w:spacing w:before="7"/>
              <w:ind w:left="0"/>
              <w:rPr>
                <w:sz w:val="16"/>
              </w:rPr>
            </w:pPr>
          </w:p>
          <w:p>
            <w:pPr>
              <w:pStyle w:val="TableParagraph"/>
              <w:spacing w:before="0"/>
              <w:ind w:left="110"/>
              <w:rPr>
                <w:b/>
                <w:sz w:val="21"/>
              </w:rPr>
            </w:pPr>
            <w:r>
              <w:rPr>
                <w:b/>
                <w:sz w:val="21"/>
              </w:rPr>
              <w:t>1.6</w:t>
            </w:r>
          </w:p>
        </w:tc>
        <w:tc>
          <w:tcPr>
            <w:tcW w:w="1959" w:type="dxa"/>
          </w:tcPr>
          <w:p>
            <w:pPr>
              <w:pStyle w:val="TableParagraph"/>
              <w:spacing w:before="7"/>
              <w:ind w:left="0"/>
              <w:rPr>
                <w:sz w:val="16"/>
              </w:rPr>
            </w:pPr>
          </w:p>
          <w:p>
            <w:pPr>
              <w:pStyle w:val="TableParagraph"/>
              <w:spacing w:before="0"/>
              <w:ind w:left="276"/>
              <w:rPr>
                <w:b/>
                <w:sz w:val="21"/>
              </w:rPr>
            </w:pPr>
            <w:r>
              <w:rPr>
                <w:b/>
                <w:sz w:val="21"/>
              </w:rPr>
              <w:t>投保信息变更</w:t>
            </w:r>
          </w:p>
        </w:tc>
        <w:tc>
          <w:tcPr>
            <w:tcW w:w="7200" w:type="dxa"/>
          </w:tcPr>
          <w:p>
            <w:pPr>
              <w:pStyle w:val="TableParagraph"/>
              <w:spacing w:before="7"/>
              <w:ind w:left="0"/>
              <w:rPr>
                <w:sz w:val="16"/>
              </w:rPr>
            </w:pPr>
          </w:p>
          <w:p>
            <w:pPr>
              <w:pStyle w:val="TableParagraph"/>
              <w:spacing w:line="273" w:lineRule="auto" w:before="0"/>
              <w:ind w:left="203" w:right="62"/>
              <w:rPr>
                <w:sz w:val="21"/>
              </w:rPr>
            </w:pPr>
            <w:r>
              <w:rPr>
                <w:sz w:val="21"/>
              </w:rPr>
              <w:t>为了保障您的合法权益，在本主合同有效期间内，如果您提供给我们的住址或其他投保信息发生了变更，请及时以书面或双方认可的其他形式通知我们，以便于我们及时为您改变保险合同上的相关信息。</w:t>
            </w:r>
          </w:p>
          <w:p>
            <w:pPr>
              <w:pStyle w:val="TableParagraph"/>
              <w:spacing w:line="273" w:lineRule="auto" w:before="7"/>
              <w:ind w:left="203" w:right="111"/>
              <w:rPr>
                <w:sz w:val="21"/>
              </w:rPr>
            </w:pPr>
            <w:r>
              <w:rPr>
                <w:spacing w:val="-7"/>
                <w:sz w:val="21"/>
              </w:rPr>
              <w:t>若您的住所或通讯地址变更而未通知我们，我们按本主合同载明的最新住所</w:t>
            </w:r>
            <w:r>
              <w:rPr>
                <w:spacing w:val="-6"/>
                <w:sz w:val="21"/>
              </w:rPr>
              <w:t>或通讯地址发送的有关通知，均视为已送达给您。</w:t>
            </w:r>
          </w:p>
        </w:tc>
      </w:tr>
      <w:tr>
        <w:trPr>
          <w:trHeight w:val="417" w:hRule="atLeast"/>
        </w:trPr>
        <w:tc>
          <w:tcPr>
            <w:tcW w:w="742" w:type="dxa"/>
          </w:tcPr>
          <w:p>
            <w:pPr>
              <w:pStyle w:val="TableParagraph"/>
              <w:spacing w:line="255" w:lineRule="exact" w:before="143"/>
              <w:ind w:left="110"/>
              <w:rPr>
                <w:b/>
                <w:sz w:val="21"/>
              </w:rPr>
            </w:pPr>
            <w:r>
              <w:rPr>
                <w:b/>
                <w:sz w:val="21"/>
              </w:rPr>
              <w:t>1.7</w:t>
            </w:r>
          </w:p>
        </w:tc>
        <w:tc>
          <w:tcPr>
            <w:tcW w:w="1959" w:type="dxa"/>
          </w:tcPr>
          <w:p>
            <w:pPr>
              <w:pStyle w:val="TableParagraph"/>
              <w:spacing w:line="255" w:lineRule="exact" w:before="143"/>
              <w:ind w:left="276"/>
              <w:rPr>
                <w:b/>
                <w:sz w:val="21"/>
              </w:rPr>
            </w:pPr>
            <w:r>
              <w:rPr>
                <w:b/>
                <w:sz w:val="21"/>
              </w:rPr>
              <w:t>您解除合同的手</w:t>
            </w:r>
          </w:p>
        </w:tc>
        <w:tc>
          <w:tcPr>
            <w:tcW w:w="7200" w:type="dxa"/>
          </w:tcPr>
          <w:p>
            <w:pPr>
              <w:pStyle w:val="TableParagraph"/>
              <w:spacing w:line="255" w:lineRule="exact" w:before="143"/>
              <w:ind w:left="203"/>
              <w:rPr>
                <w:sz w:val="21"/>
              </w:rPr>
            </w:pPr>
            <w:r>
              <w:rPr>
                <w:sz w:val="21"/>
              </w:rPr>
              <w:t>犹豫期届满且</w:t>
            </w:r>
            <w:r>
              <w:rPr>
                <w:rFonts w:ascii="黑体" w:eastAsia="黑体" w:hint="eastAsia"/>
                <w:sz w:val="21"/>
              </w:rPr>
              <w:t>被保险人未发Th保险事故</w:t>
            </w:r>
            <w:r>
              <w:rPr>
                <w:sz w:val="21"/>
              </w:rPr>
              <w:t>，您可申请解除本主合同。申请解除</w:t>
            </w:r>
          </w:p>
        </w:tc>
      </w:tr>
    </w:tbl>
    <w:p>
      <w:pPr>
        <w:spacing w:after="0" w:line="255" w:lineRule="exact"/>
        <w:rPr>
          <w:sz w:val="21"/>
        </w:rPr>
        <w:sectPr>
          <w:headerReference w:type="default" r:id="rId8"/>
          <w:pgSz w:w="11910" w:h="16840"/>
          <w:pgMar w:header="496" w:footer="995" w:top="800" w:bottom="1180" w:left="860" w:right="920"/>
        </w:sectPr>
      </w:pPr>
    </w:p>
    <w:p>
      <w:pPr>
        <w:pStyle w:val="BodyText"/>
        <w:rPr>
          <w:rFonts w:ascii="Times New Roman"/>
          <w:sz w:val="20"/>
        </w:rPr>
      </w:pPr>
    </w:p>
    <w:p>
      <w:pPr>
        <w:pStyle w:val="BodyText"/>
        <w:spacing w:before="9" w:after="1"/>
        <w:rPr>
          <w:rFonts w:ascii="Times New Roman"/>
          <w:sz w:val="12"/>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1959"/>
        <w:gridCol w:w="7196"/>
      </w:tblGrid>
      <w:tr>
        <w:trPr>
          <w:trHeight w:val="2004" w:hRule="atLeast"/>
        </w:trPr>
        <w:tc>
          <w:tcPr>
            <w:tcW w:w="742" w:type="dxa"/>
          </w:tcPr>
          <w:p>
            <w:pPr>
              <w:pStyle w:val="TableParagraph"/>
              <w:spacing w:before="0"/>
              <w:ind w:left="0"/>
              <w:rPr>
                <w:rFonts w:ascii="Times New Roman"/>
                <w:sz w:val="20"/>
              </w:rPr>
            </w:pPr>
          </w:p>
        </w:tc>
        <w:tc>
          <w:tcPr>
            <w:tcW w:w="1959" w:type="dxa"/>
          </w:tcPr>
          <w:p>
            <w:pPr>
              <w:pStyle w:val="TableParagraph"/>
              <w:spacing w:line="211" w:lineRule="exact" w:before="0"/>
              <w:ind w:left="276"/>
              <w:rPr>
                <w:b/>
                <w:sz w:val="21"/>
              </w:rPr>
            </w:pPr>
            <w:r>
              <w:rPr>
                <w:b/>
                <w:sz w:val="21"/>
              </w:rPr>
              <w:t>续及风险</w:t>
            </w:r>
          </w:p>
        </w:tc>
        <w:tc>
          <w:tcPr>
            <w:tcW w:w="7196" w:type="dxa"/>
          </w:tcPr>
          <w:p>
            <w:pPr>
              <w:pStyle w:val="TableParagraph"/>
              <w:spacing w:line="211" w:lineRule="exact" w:before="0"/>
              <w:ind w:left="203"/>
              <w:rPr>
                <w:sz w:val="21"/>
              </w:rPr>
            </w:pPr>
            <w:r>
              <w:rPr>
                <w:sz w:val="21"/>
              </w:rPr>
              <w:t>本主合同时，请您填写解除合同申请书并向我们提供下列资料：</w:t>
            </w:r>
          </w:p>
          <w:p>
            <w:pPr>
              <w:pStyle w:val="TableParagraph"/>
              <w:ind w:left="203"/>
              <w:rPr>
                <w:sz w:val="21"/>
              </w:rPr>
            </w:pPr>
            <w:r>
              <w:rPr>
                <w:sz w:val="21"/>
              </w:rPr>
              <w:t>（1）保险合同；</w:t>
            </w:r>
          </w:p>
          <w:p>
            <w:pPr>
              <w:pStyle w:val="TableParagraph"/>
              <w:ind w:left="203"/>
              <w:rPr>
                <w:sz w:val="21"/>
              </w:rPr>
            </w:pPr>
            <w:r>
              <w:rPr>
                <w:sz w:val="21"/>
              </w:rPr>
              <w:t>（2）您的有效身份证件。</w:t>
            </w:r>
          </w:p>
          <w:p>
            <w:pPr>
              <w:pStyle w:val="TableParagraph"/>
              <w:spacing w:line="273" w:lineRule="auto"/>
              <w:ind w:left="203" w:right="105"/>
              <w:rPr>
                <w:sz w:val="21"/>
              </w:rPr>
            </w:pPr>
            <w:r>
              <w:rPr>
                <w:spacing w:val="-6"/>
                <w:sz w:val="21"/>
              </w:rPr>
              <w:t>自我们收到解除合同申请书时起，本主合同终止。我们自收到解除合同申请</w:t>
            </w:r>
            <w:r>
              <w:rPr>
                <w:spacing w:val="-6"/>
                <w:w w:val="100"/>
                <w:sz w:val="21"/>
              </w:rPr>
              <w:t>书之日起</w:t>
            </w:r>
            <w:r>
              <w:rPr>
                <w:spacing w:val="-6"/>
                <w:sz w:val="21"/>
              </w:rPr>
              <w:t> </w:t>
            </w:r>
            <w:r>
              <w:rPr>
                <w:w w:val="100"/>
                <w:sz w:val="21"/>
              </w:rPr>
              <w:t>30</w:t>
            </w:r>
            <w:r>
              <w:rPr>
                <w:spacing w:val="-57"/>
                <w:sz w:val="21"/>
              </w:rPr>
              <w:t> </w:t>
            </w:r>
            <w:r>
              <w:rPr>
                <w:spacing w:val="-4"/>
                <w:w w:val="100"/>
                <w:sz w:val="21"/>
              </w:rPr>
              <w:t>日内向您退还保险单的</w:t>
            </w:r>
            <w:r>
              <w:rPr>
                <w:b/>
                <w:w w:val="100"/>
                <w:sz w:val="21"/>
              </w:rPr>
              <w:t>现金价值</w:t>
            </w:r>
            <w:r>
              <w:rPr>
                <w:w w:val="100"/>
                <w:sz w:val="21"/>
              </w:rPr>
              <w:t>（</w:t>
            </w:r>
            <w:r>
              <w:rPr>
                <w:spacing w:val="-2"/>
                <w:w w:val="100"/>
                <w:sz w:val="21"/>
              </w:rPr>
              <w:t>见释义</w:t>
            </w:r>
            <w:r>
              <w:rPr>
                <w:spacing w:val="-53"/>
                <w:sz w:val="21"/>
              </w:rPr>
              <w:t> </w:t>
            </w:r>
            <w:r>
              <w:rPr>
                <w:w w:val="100"/>
                <w:sz w:val="21"/>
              </w:rPr>
              <w:t>6.3</w:t>
            </w:r>
            <w:r>
              <w:rPr>
                <w:spacing w:val="-106"/>
                <w:w w:val="100"/>
                <w:sz w:val="21"/>
              </w:rPr>
              <w:t>）。</w:t>
            </w:r>
          </w:p>
          <w:p>
            <w:pPr>
              <w:pStyle w:val="TableParagraph"/>
              <w:spacing w:before="7"/>
              <w:ind w:left="203"/>
              <w:rPr>
                <w:sz w:val="21"/>
              </w:rPr>
            </w:pPr>
            <w:r>
              <w:rPr>
                <w:sz w:val="21"/>
              </w:rPr>
              <w:t>您在犹豫期后解除合同会遭受一定损失。</w:t>
            </w:r>
          </w:p>
        </w:tc>
      </w:tr>
      <w:tr>
        <w:trPr>
          <w:trHeight w:val="755" w:hRule="atLeast"/>
        </w:trPr>
        <w:tc>
          <w:tcPr>
            <w:tcW w:w="742" w:type="dxa"/>
            <w:tcBorders>
              <w:bottom w:val="single" w:sz="4" w:space="0" w:color="000000"/>
            </w:tcBorders>
          </w:tcPr>
          <w:p>
            <w:pPr>
              <w:pStyle w:val="TableParagraph"/>
              <w:spacing w:before="193"/>
              <w:ind w:left="110"/>
              <w:rPr>
                <w:rFonts w:ascii="Arial" w:hAnsi="Arial"/>
                <w:b/>
                <w:sz w:val="40"/>
              </w:rPr>
            </w:pPr>
            <w:r>
              <w:rPr>
                <w:rFonts w:ascii="Arial" w:hAnsi="Arial"/>
                <w:b/>
                <w:w w:val="118"/>
                <w:sz w:val="40"/>
              </w:rPr>
              <w:t></w:t>
            </w:r>
          </w:p>
        </w:tc>
        <w:tc>
          <w:tcPr>
            <w:tcW w:w="1959" w:type="dxa"/>
            <w:tcBorders>
              <w:bottom w:val="single" w:sz="4" w:space="0" w:color="000000"/>
            </w:tcBorders>
          </w:tcPr>
          <w:p>
            <w:pPr>
              <w:pStyle w:val="TableParagraph"/>
              <w:spacing w:before="8"/>
              <w:ind w:left="0"/>
              <w:rPr>
                <w:rFonts w:ascii="Times New Roman"/>
                <w:sz w:val="21"/>
              </w:rPr>
            </w:pPr>
          </w:p>
          <w:p>
            <w:pPr>
              <w:pStyle w:val="TableParagraph"/>
              <w:spacing w:before="0"/>
              <w:ind w:left="276" w:right="-15"/>
              <w:rPr>
                <w:b/>
                <w:sz w:val="24"/>
              </w:rPr>
            </w:pPr>
            <w:r>
              <w:rPr>
                <w:b/>
                <w:w w:val="95"/>
                <w:sz w:val="24"/>
              </w:rPr>
              <w:t>我们提供的保障</w:t>
            </w:r>
          </w:p>
        </w:tc>
        <w:tc>
          <w:tcPr>
            <w:tcW w:w="7196" w:type="dxa"/>
            <w:tcBorders>
              <w:bottom w:val="single" w:sz="4" w:space="0" w:color="000000"/>
            </w:tcBorders>
          </w:tcPr>
          <w:p>
            <w:pPr>
              <w:pStyle w:val="TableParagraph"/>
              <w:spacing w:before="0"/>
              <w:ind w:left="0"/>
              <w:rPr>
                <w:rFonts w:ascii="Times New Roman"/>
                <w:sz w:val="20"/>
              </w:rPr>
            </w:pPr>
          </w:p>
        </w:tc>
      </w:tr>
      <w:tr>
        <w:trPr>
          <w:trHeight w:val="1071" w:hRule="atLeast"/>
        </w:trPr>
        <w:tc>
          <w:tcPr>
            <w:tcW w:w="742" w:type="dxa"/>
            <w:tcBorders>
              <w:top w:val="single" w:sz="4" w:space="0" w:color="000000"/>
            </w:tcBorders>
          </w:tcPr>
          <w:p>
            <w:pPr>
              <w:pStyle w:val="TableParagraph"/>
              <w:spacing w:before="2"/>
              <w:ind w:left="0"/>
              <w:rPr>
                <w:rFonts w:ascii="Times New Roman"/>
                <w:sz w:val="24"/>
              </w:rPr>
            </w:pPr>
          </w:p>
          <w:p>
            <w:pPr>
              <w:pStyle w:val="TableParagraph"/>
              <w:spacing w:before="0"/>
              <w:ind w:left="110"/>
              <w:rPr>
                <w:b/>
                <w:sz w:val="21"/>
              </w:rPr>
            </w:pPr>
            <w:r>
              <w:rPr>
                <w:b/>
                <w:sz w:val="21"/>
              </w:rPr>
              <w:t>2.1</w:t>
            </w:r>
          </w:p>
        </w:tc>
        <w:tc>
          <w:tcPr>
            <w:tcW w:w="1959" w:type="dxa"/>
            <w:tcBorders>
              <w:top w:val="single" w:sz="4" w:space="0" w:color="000000"/>
            </w:tcBorders>
          </w:tcPr>
          <w:p>
            <w:pPr>
              <w:pStyle w:val="TableParagraph"/>
              <w:spacing w:before="2"/>
              <w:ind w:left="0"/>
              <w:rPr>
                <w:rFonts w:ascii="Times New Roman"/>
                <w:sz w:val="24"/>
              </w:rPr>
            </w:pPr>
          </w:p>
          <w:p>
            <w:pPr>
              <w:pStyle w:val="TableParagraph"/>
              <w:spacing w:before="0"/>
              <w:ind w:left="276"/>
              <w:rPr>
                <w:b/>
                <w:sz w:val="21"/>
              </w:rPr>
            </w:pPr>
            <w:r>
              <w:rPr>
                <w:b/>
                <w:sz w:val="21"/>
              </w:rPr>
              <w:t>基本保险金额</w:t>
            </w:r>
          </w:p>
        </w:tc>
        <w:tc>
          <w:tcPr>
            <w:tcW w:w="7196" w:type="dxa"/>
            <w:tcBorders>
              <w:top w:val="single" w:sz="4" w:space="0" w:color="000000"/>
            </w:tcBorders>
          </w:tcPr>
          <w:p>
            <w:pPr>
              <w:pStyle w:val="TableParagraph"/>
              <w:spacing w:before="2"/>
              <w:ind w:left="0"/>
              <w:rPr>
                <w:rFonts w:ascii="Times New Roman"/>
                <w:sz w:val="24"/>
              </w:rPr>
            </w:pPr>
          </w:p>
          <w:p>
            <w:pPr>
              <w:pStyle w:val="TableParagraph"/>
              <w:spacing w:line="273" w:lineRule="auto" w:before="0"/>
              <w:ind w:left="203" w:right="106"/>
              <w:rPr>
                <w:sz w:val="21"/>
              </w:rPr>
            </w:pPr>
            <w:r>
              <w:rPr>
                <w:spacing w:val="-7"/>
                <w:sz w:val="21"/>
              </w:rPr>
              <w:t>本主合同的基本保险金额由您在投保时与我们约定并在保险单上载明。若该</w:t>
            </w:r>
            <w:r>
              <w:rPr>
                <w:spacing w:val="-6"/>
                <w:sz w:val="21"/>
              </w:rPr>
              <w:t>金额发生变更，则以变更后的金额为基本保险金额。</w:t>
            </w:r>
          </w:p>
        </w:tc>
      </w:tr>
      <w:tr>
        <w:trPr>
          <w:trHeight w:val="936" w:hRule="atLeast"/>
        </w:trPr>
        <w:tc>
          <w:tcPr>
            <w:tcW w:w="742" w:type="dxa"/>
          </w:tcPr>
          <w:p>
            <w:pPr>
              <w:pStyle w:val="TableParagraph"/>
              <w:spacing w:before="142"/>
              <w:ind w:left="110"/>
              <w:rPr>
                <w:b/>
                <w:sz w:val="21"/>
              </w:rPr>
            </w:pPr>
            <w:r>
              <w:rPr>
                <w:b/>
                <w:sz w:val="21"/>
              </w:rPr>
              <w:t>2.2</w:t>
            </w:r>
          </w:p>
        </w:tc>
        <w:tc>
          <w:tcPr>
            <w:tcW w:w="1959" w:type="dxa"/>
          </w:tcPr>
          <w:p>
            <w:pPr>
              <w:pStyle w:val="TableParagraph"/>
              <w:spacing w:before="142"/>
              <w:ind w:left="276"/>
              <w:rPr>
                <w:b/>
                <w:sz w:val="21"/>
              </w:rPr>
            </w:pPr>
            <w:r>
              <w:rPr>
                <w:b/>
                <w:sz w:val="21"/>
              </w:rPr>
              <w:t>保险期间</w:t>
            </w:r>
          </w:p>
        </w:tc>
        <w:tc>
          <w:tcPr>
            <w:tcW w:w="7196" w:type="dxa"/>
          </w:tcPr>
          <w:p>
            <w:pPr>
              <w:pStyle w:val="TableParagraph"/>
              <w:spacing w:line="273" w:lineRule="auto" w:before="142"/>
              <w:ind w:left="203" w:right="105"/>
              <w:rPr>
                <w:sz w:val="21"/>
              </w:rPr>
            </w:pPr>
            <w:r>
              <w:rPr>
                <w:spacing w:val="-7"/>
                <w:sz w:val="21"/>
              </w:rPr>
              <w:t>本主合同的保险期间为被保险人终身，自保险单上记载的本主合同生效日零</w:t>
            </w:r>
            <w:r>
              <w:rPr>
                <w:spacing w:val="-6"/>
                <w:sz w:val="21"/>
              </w:rPr>
              <w:t>时起，至本主合同约定的终止日二十四时止。</w:t>
            </w:r>
          </w:p>
        </w:tc>
      </w:tr>
      <w:tr>
        <w:trPr>
          <w:trHeight w:val="624" w:hRule="atLeast"/>
        </w:trPr>
        <w:tc>
          <w:tcPr>
            <w:tcW w:w="742" w:type="dxa"/>
          </w:tcPr>
          <w:p>
            <w:pPr>
              <w:pStyle w:val="TableParagraph"/>
              <w:spacing w:before="142"/>
              <w:ind w:left="110"/>
              <w:rPr>
                <w:b/>
                <w:sz w:val="21"/>
              </w:rPr>
            </w:pPr>
            <w:r>
              <w:rPr>
                <w:b/>
                <w:sz w:val="21"/>
              </w:rPr>
              <w:t>2.3</w:t>
            </w:r>
          </w:p>
        </w:tc>
        <w:tc>
          <w:tcPr>
            <w:tcW w:w="1959" w:type="dxa"/>
          </w:tcPr>
          <w:p>
            <w:pPr>
              <w:pStyle w:val="TableParagraph"/>
              <w:spacing w:before="142"/>
              <w:ind w:left="276"/>
              <w:rPr>
                <w:b/>
                <w:sz w:val="21"/>
              </w:rPr>
            </w:pPr>
            <w:r>
              <w:rPr>
                <w:b/>
                <w:sz w:val="21"/>
              </w:rPr>
              <w:t>保险责任</w:t>
            </w:r>
          </w:p>
        </w:tc>
        <w:tc>
          <w:tcPr>
            <w:tcW w:w="7196" w:type="dxa"/>
          </w:tcPr>
          <w:p>
            <w:pPr>
              <w:pStyle w:val="TableParagraph"/>
              <w:spacing w:before="142"/>
              <w:ind w:left="203"/>
              <w:rPr>
                <w:sz w:val="21"/>
              </w:rPr>
            </w:pPr>
            <w:r>
              <w:rPr>
                <w:sz w:val="21"/>
              </w:rPr>
              <w:t>在本主合同保险期间内，我们承担如下保险责任：</w:t>
            </w:r>
          </w:p>
        </w:tc>
      </w:tr>
      <w:tr>
        <w:trPr>
          <w:trHeight w:val="2494" w:hRule="atLeast"/>
        </w:trPr>
        <w:tc>
          <w:tcPr>
            <w:tcW w:w="742" w:type="dxa"/>
          </w:tcPr>
          <w:p>
            <w:pPr>
              <w:pStyle w:val="TableParagraph"/>
              <w:spacing w:before="0"/>
              <w:ind w:left="0"/>
              <w:rPr>
                <w:rFonts w:ascii="Times New Roman"/>
                <w:sz w:val="20"/>
              </w:rPr>
            </w:pPr>
          </w:p>
        </w:tc>
        <w:tc>
          <w:tcPr>
            <w:tcW w:w="1959" w:type="dxa"/>
          </w:tcPr>
          <w:p>
            <w:pPr>
              <w:pStyle w:val="TableParagraph"/>
              <w:spacing w:before="142"/>
              <w:ind w:left="276"/>
              <w:rPr>
                <w:rFonts w:ascii="黑体" w:eastAsia="黑体" w:hint="eastAsia"/>
                <w:b/>
                <w:sz w:val="21"/>
              </w:rPr>
            </w:pPr>
            <w:r>
              <w:rPr>
                <w:rFonts w:ascii="黑体" w:eastAsia="黑体" w:hint="eastAsia"/>
                <w:b/>
                <w:sz w:val="21"/>
              </w:rPr>
              <w:t>等待期</w:t>
            </w:r>
          </w:p>
        </w:tc>
        <w:tc>
          <w:tcPr>
            <w:tcW w:w="7196" w:type="dxa"/>
          </w:tcPr>
          <w:p>
            <w:pPr>
              <w:pStyle w:val="TableParagraph"/>
              <w:spacing w:line="273" w:lineRule="auto" w:before="142"/>
              <w:ind w:left="203" w:right="99"/>
              <w:jc w:val="both"/>
              <w:rPr>
                <w:rFonts w:ascii="黑体" w:eastAsia="黑体" w:hint="eastAsia"/>
                <w:sz w:val="21"/>
              </w:rPr>
            </w:pPr>
            <w:r>
              <w:rPr>
                <w:rFonts w:ascii="黑体" w:eastAsia="黑体" w:hint="eastAsia"/>
                <w:spacing w:val="-2"/>
                <w:sz w:val="21"/>
              </w:rPr>
              <w:t>被保险人在本主合同</w:t>
            </w:r>
            <w:r>
              <w:rPr>
                <w:rFonts w:ascii="黑体" w:eastAsia="黑体" w:hint="eastAsia"/>
                <w:sz w:val="21"/>
              </w:rPr>
              <w:t>Th效（</w:t>
            </w:r>
            <w:r>
              <w:rPr>
                <w:rFonts w:ascii="黑体" w:eastAsia="黑体" w:hint="eastAsia"/>
                <w:spacing w:val="-3"/>
                <w:sz w:val="21"/>
              </w:rPr>
              <w:t>或最后复效</w:t>
            </w:r>
            <w:r>
              <w:rPr>
                <w:rFonts w:ascii="黑体" w:eastAsia="黑体" w:hint="eastAsia"/>
                <w:sz w:val="21"/>
              </w:rPr>
              <w:t>）</w:t>
            </w:r>
            <w:r>
              <w:rPr>
                <w:rFonts w:ascii="黑体" w:eastAsia="黑体" w:hint="eastAsia"/>
                <w:spacing w:val="-12"/>
                <w:sz w:val="21"/>
              </w:rPr>
              <w:t>之日起 </w:t>
            </w:r>
            <w:r>
              <w:rPr>
                <w:rFonts w:ascii="黑体" w:eastAsia="黑体" w:hint="eastAsia"/>
                <w:sz w:val="21"/>
              </w:rPr>
              <w:t>90</w:t>
            </w:r>
            <w:r>
              <w:rPr>
                <w:rFonts w:ascii="黑体" w:eastAsia="黑体" w:hint="eastAsia"/>
                <w:spacing w:val="-10"/>
                <w:sz w:val="21"/>
              </w:rPr>
              <w:t> 天内初次发</w:t>
            </w:r>
            <w:r>
              <w:rPr>
                <w:rFonts w:ascii="黑体" w:eastAsia="黑体" w:hint="eastAsia"/>
                <w:sz w:val="21"/>
              </w:rPr>
              <w:t>Th</w:t>
            </w:r>
            <w:r>
              <w:rPr>
                <w:rFonts w:ascii="黑体" w:eastAsia="黑体" w:hint="eastAsia"/>
                <w:spacing w:val="-2"/>
                <w:sz w:val="21"/>
              </w:rPr>
              <w:t>本主合同</w:t>
            </w:r>
            <w:r>
              <w:rPr>
                <w:rFonts w:ascii="黑体" w:eastAsia="黑体" w:hint="eastAsia"/>
                <w:spacing w:val="-3"/>
                <w:w w:val="100"/>
                <w:sz w:val="21"/>
              </w:rPr>
              <w:t>所定义的</w:t>
            </w:r>
            <w:r>
              <w:rPr>
                <w:rFonts w:ascii="黑体" w:eastAsia="黑体" w:hint="eastAsia"/>
                <w:b/>
                <w:spacing w:val="-4"/>
                <w:w w:val="100"/>
                <w:sz w:val="21"/>
              </w:rPr>
              <w:t>轻症疾病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6.4</w:t>
            </w:r>
            <w:r>
              <w:rPr>
                <w:rFonts w:ascii="黑体" w:eastAsia="黑体" w:hint="eastAsia"/>
                <w:spacing w:val="-111"/>
                <w:w w:val="100"/>
                <w:sz w:val="21"/>
              </w:rPr>
              <w:t>）</w:t>
            </w:r>
            <w:r>
              <w:rPr>
                <w:rFonts w:ascii="黑体" w:eastAsia="黑体" w:hint="eastAsia"/>
                <w:spacing w:val="-20"/>
                <w:w w:val="100"/>
                <w:sz w:val="21"/>
              </w:rPr>
              <w:t>、</w:t>
            </w:r>
            <w:r>
              <w:rPr>
                <w:rFonts w:ascii="黑体" w:eastAsia="黑体" w:hint="eastAsia"/>
                <w:b/>
                <w:spacing w:val="-3"/>
                <w:w w:val="100"/>
                <w:sz w:val="21"/>
              </w:rPr>
              <w:t>重大疾病</w:t>
            </w:r>
            <w:r>
              <w:rPr>
                <w:rFonts w:ascii="黑体" w:eastAsia="黑体" w:hint="eastAsia"/>
                <w:spacing w:val="-5"/>
                <w:w w:val="100"/>
                <w:sz w:val="21"/>
              </w:rPr>
              <w:t>（</w:t>
            </w:r>
            <w:r>
              <w:rPr>
                <w:rFonts w:ascii="黑体" w:eastAsia="黑体" w:hint="eastAsia"/>
                <w:w w:val="100"/>
                <w:sz w:val="21"/>
              </w:rPr>
              <w:t>见释义</w:t>
            </w:r>
            <w:r>
              <w:rPr>
                <w:rFonts w:ascii="黑体" w:eastAsia="黑体" w:hint="eastAsia"/>
                <w:spacing w:val="-57"/>
                <w:sz w:val="21"/>
              </w:rPr>
              <w:t> </w:t>
            </w:r>
            <w:r>
              <w:rPr>
                <w:rFonts w:ascii="黑体" w:eastAsia="黑体" w:hint="eastAsia"/>
                <w:w w:val="100"/>
                <w:sz w:val="21"/>
              </w:rPr>
              <w:t>6.5</w:t>
            </w:r>
            <w:r>
              <w:rPr>
                <w:rFonts w:ascii="黑体" w:eastAsia="黑体" w:hint="eastAsia"/>
                <w:spacing w:val="-14"/>
                <w:w w:val="100"/>
                <w:sz w:val="21"/>
              </w:rPr>
              <w:t>）</w:t>
            </w:r>
            <w:r>
              <w:rPr>
                <w:rFonts w:ascii="黑体" w:eastAsia="黑体" w:hint="eastAsia"/>
                <w:spacing w:val="-5"/>
                <w:w w:val="100"/>
                <w:sz w:val="21"/>
              </w:rPr>
              <w:t>或</w:t>
            </w:r>
            <w:r>
              <w:rPr>
                <w:rFonts w:ascii="黑体" w:eastAsia="黑体" w:hint="eastAsia"/>
                <w:b/>
                <w:w w:val="100"/>
                <w:sz w:val="21"/>
              </w:rPr>
              <w:t>少儿特定重大</w:t>
            </w:r>
            <w:r>
              <w:rPr>
                <w:rFonts w:ascii="黑体" w:eastAsia="黑体" w:hint="eastAsia"/>
                <w:b/>
                <w:spacing w:val="-17"/>
                <w:w w:val="100"/>
                <w:sz w:val="21"/>
              </w:rPr>
              <w:t>疾病</w:t>
            </w:r>
            <w:r>
              <w:rPr>
                <w:rFonts w:ascii="黑体" w:eastAsia="黑体" w:hint="eastAsia"/>
                <w:w w:val="100"/>
                <w:sz w:val="21"/>
              </w:rPr>
              <w:t>（见释义</w:t>
            </w:r>
            <w:r>
              <w:rPr>
                <w:rFonts w:ascii="黑体" w:eastAsia="黑体" w:hint="eastAsia"/>
                <w:spacing w:val="-57"/>
                <w:sz w:val="21"/>
              </w:rPr>
              <w:t> </w:t>
            </w:r>
            <w:r>
              <w:rPr>
                <w:rFonts w:ascii="黑体" w:eastAsia="黑体" w:hint="eastAsia"/>
                <w:w w:val="100"/>
                <w:sz w:val="21"/>
              </w:rPr>
              <w:t>6.6</w:t>
            </w:r>
            <w:r>
              <w:rPr>
                <w:rFonts w:ascii="黑体" w:eastAsia="黑体" w:hint="eastAsia"/>
                <w:spacing w:val="-106"/>
                <w:w w:val="100"/>
                <w:sz w:val="21"/>
              </w:rPr>
              <w:t>）</w:t>
            </w:r>
            <w:r>
              <w:rPr>
                <w:rFonts w:ascii="黑体" w:eastAsia="黑体" w:hint="eastAsia"/>
                <w:spacing w:val="-9"/>
                <w:w w:val="100"/>
                <w:sz w:val="21"/>
              </w:rPr>
              <w:t>，我们将无息返还您所交的本主合同的保险费，本主合同</w:t>
            </w:r>
            <w:r>
              <w:rPr>
                <w:rFonts w:ascii="黑体" w:eastAsia="黑体" w:hint="eastAsia"/>
                <w:spacing w:val="-18"/>
                <w:sz w:val="21"/>
              </w:rPr>
              <w:t>终止。这 </w:t>
            </w:r>
            <w:r>
              <w:rPr>
                <w:rFonts w:ascii="黑体" w:eastAsia="黑体" w:hint="eastAsia"/>
                <w:sz w:val="21"/>
              </w:rPr>
              <w:t>90</w:t>
            </w:r>
            <w:r>
              <w:rPr>
                <w:rFonts w:ascii="黑体" w:eastAsia="黑体" w:hint="eastAsia"/>
                <w:spacing w:val="-10"/>
                <w:sz w:val="21"/>
              </w:rPr>
              <w:t> 天的时间称为等待期。被保险人因</w:t>
            </w:r>
            <w:r>
              <w:rPr>
                <w:rFonts w:ascii="黑体" w:eastAsia="黑体" w:hint="eastAsia"/>
                <w:b/>
                <w:spacing w:val="-6"/>
                <w:sz w:val="21"/>
              </w:rPr>
              <w:t>意外伤害</w:t>
            </w:r>
            <w:r>
              <w:rPr>
                <w:rFonts w:ascii="黑体" w:eastAsia="黑体" w:hint="eastAsia"/>
                <w:sz w:val="21"/>
              </w:rPr>
              <w:t>（</w:t>
            </w:r>
            <w:r>
              <w:rPr>
                <w:rFonts w:ascii="黑体" w:eastAsia="黑体" w:hint="eastAsia"/>
                <w:spacing w:val="-12"/>
                <w:sz w:val="21"/>
              </w:rPr>
              <w:t>见释义 </w:t>
            </w:r>
            <w:r>
              <w:rPr>
                <w:rFonts w:ascii="黑体" w:eastAsia="黑体" w:hint="eastAsia"/>
                <w:spacing w:val="-8"/>
                <w:sz w:val="21"/>
              </w:rPr>
              <w:t>6.7）</w:t>
            </w:r>
            <w:r>
              <w:rPr>
                <w:rFonts w:ascii="黑体" w:eastAsia="黑体" w:hint="eastAsia"/>
                <w:sz w:val="21"/>
              </w:rPr>
              <w:t>导致</w:t>
            </w:r>
            <w:r>
              <w:rPr>
                <w:rFonts w:ascii="黑体" w:eastAsia="黑体" w:hint="eastAsia"/>
                <w:spacing w:val="-5"/>
                <w:sz w:val="21"/>
              </w:rPr>
              <w:t>本主合同定义的轻症疾病、重大疾病或少儿特定重大疾病，无等待期。</w:t>
            </w:r>
          </w:p>
          <w:p>
            <w:pPr>
              <w:pStyle w:val="TableParagraph"/>
              <w:spacing w:before="6"/>
              <w:ind w:left="0"/>
              <w:rPr>
                <w:rFonts w:ascii="Times New Roman"/>
                <w:sz w:val="28"/>
              </w:rPr>
            </w:pPr>
          </w:p>
          <w:p>
            <w:pPr>
              <w:pStyle w:val="TableParagraph"/>
              <w:spacing w:before="0"/>
              <w:ind w:left="203"/>
              <w:jc w:val="both"/>
              <w:rPr>
                <w:rFonts w:ascii="黑体" w:eastAsia="黑体" w:hint="eastAsia"/>
                <w:b/>
                <w:sz w:val="21"/>
              </w:rPr>
            </w:pPr>
            <w:r>
              <w:rPr>
                <w:rFonts w:ascii="黑体" w:eastAsia="黑体" w:hint="eastAsia"/>
                <w:b/>
                <w:sz w:val="21"/>
              </w:rPr>
              <w:t>等待期后发Th保险事故，我们按照下列方式给付保险金：</w:t>
            </w:r>
          </w:p>
        </w:tc>
      </w:tr>
      <w:tr>
        <w:trPr>
          <w:trHeight w:val="4057" w:hRule="atLeast"/>
        </w:trPr>
        <w:tc>
          <w:tcPr>
            <w:tcW w:w="742" w:type="dxa"/>
          </w:tcPr>
          <w:p>
            <w:pPr>
              <w:pStyle w:val="TableParagraph"/>
              <w:spacing w:before="0"/>
              <w:ind w:left="0"/>
              <w:rPr>
                <w:rFonts w:ascii="Times New Roman"/>
                <w:sz w:val="20"/>
              </w:rPr>
            </w:pPr>
          </w:p>
        </w:tc>
        <w:tc>
          <w:tcPr>
            <w:tcW w:w="1959" w:type="dxa"/>
          </w:tcPr>
          <w:p>
            <w:pPr>
              <w:pStyle w:val="TableParagraph"/>
              <w:spacing w:before="131"/>
              <w:ind w:left="276"/>
              <w:rPr>
                <w:rFonts w:ascii="黑体" w:eastAsia="黑体" w:hint="eastAsia"/>
                <w:b/>
                <w:sz w:val="21"/>
              </w:rPr>
            </w:pPr>
            <w:r>
              <w:rPr>
                <w:rFonts w:ascii="黑体" w:eastAsia="黑体" w:hint="eastAsia"/>
                <w:b/>
                <w:sz w:val="21"/>
              </w:rPr>
              <w:t>轻症疾病保险金</w:t>
            </w:r>
          </w:p>
        </w:tc>
        <w:tc>
          <w:tcPr>
            <w:tcW w:w="7196" w:type="dxa"/>
          </w:tcPr>
          <w:p>
            <w:pPr>
              <w:pStyle w:val="TableParagraph"/>
              <w:spacing w:line="273" w:lineRule="auto" w:before="155"/>
              <w:ind w:left="203" w:right="157"/>
              <w:jc w:val="both"/>
              <w:rPr>
                <w:sz w:val="21"/>
              </w:rPr>
            </w:pPr>
            <w:r>
              <w:rPr>
                <w:sz w:val="21"/>
              </w:rPr>
              <w:t>被保险人初次发生且经</w:t>
            </w:r>
            <w:r>
              <w:rPr>
                <w:b/>
                <w:sz w:val="21"/>
              </w:rPr>
              <w:t>专科医生</w:t>
            </w:r>
            <w:r>
              <w:rPr>
                <w:sz w:val="21"/>
              </w:rPr>
              <w:t>（见释义6.8）明确诊断患本主合同所定义的轻症疾病，我们将根据本主合同的基本保险金额的25%给付轻症疾病保险金。</w:t>
            </w:r>
          </w:p>
          <w:p>
            <w:pPr>
              <w:pStyle w:val="TableParagraph"/>
              <w:spacing w:before="10"/>
              <w:ind w:left="0"/>
              <w:rPr>
                <w:rFonts w:ascii="Times New Roman"/>
                <w:sz w:val="27"/>
              </w:rPr>
            </w:pPr>
          </w:p>
          <w:p>
            <w:pPr>
              <w:pStyle w:val="TableParagraph"/>
              <w:spacing w:line="273" w:lineRule="auto" w:before="0"/>
              <w:ind w:left="203" w:right="48"/>
              <w:rPr>
                <w:sz w:val="21"/>
              </w:rPr>
            </w:pPr>
            <w:r>
              <w:rPr>
                <w:sz w:val="21"/>
              </w:rPr>
              <w:t>在本主合同保险期间内，轻症疾病保险金累计给付以</w:t>
            </w:r>
            <w:r>
              <w:rPr>
                <w:b/>
                <w:sz w:val="21"/>
              </w:rPr>
              <w:t>四次为限</w:t>
            </w:r>
            <w:r>
              <w:rPr>
                <w:sz w:val="21"/>
              </w:rPr>
              <w:t>，每种轻症疾病以给付</w:t>
            </w:r>
            <w:r>
              <w:rPr>
                <w:b/>
                <w:sz w:val="21"/>
              </w:rPr>
              <w:t>一次为限</w:t>
            </w:r>
            <w:r>
              <w:rPr>
                <w:sz w:val="21"/>
              </w:rPr>
              <w:t>。我们给付四次轻症疾病保险金后，本项保险责任终止。</w:t>
            </w:r>
          </w:p>
          <w:p>
            <w:pPr>
              <w:pStyle w:val="TableParagraph"/>
              <w:spacing w:before="9"/>
              <w:ind w:left="0"/>
              <w:rPr>
                <w:rFonts w:ascii="Times New Roman"/>
                <w:sz w:val="27"/>
              </w:rPr>
            </w:pPr>
          </w:p>
          <w:p>
            <w:pPr>
              <w:pStyle w:val="TableParagraph"/>
              <w:spacing w:line="273" w:lineRule="auto" w:before="0"/>
              <w:ind w:left="203" w:right="241"/>
              <w:jc w:val="both"/>
              <w:rPr>
                <w:b/>
                <w:sz w:val="21"/>
              </w:rPr>
            </w:pPr>
            <w:r>
              <w:rPr>
                <w:b/>
                <w:sz w:val="21"/>
              </w:rPr>
              <w:t>若被保险人因同一疾病或在同一事故中导致其发生两种或两种以上的轻症疾病，我们仅按一种轻症疾病给付轻症疾病保险金。</w:t>
            </w:r>
          </w:p>
          <w:p>
            <w:pPr>
              <w:pStyle w:val="TableParagraph"/>
              <w:spacing w:before="9"/>
              <w:ind w:left="0"/>
              <w:rPr>
                <w:rFonts w:ascii="Times New Roman"/>
                <w:sz w:val="27"/>
              </w:rPr>
            </w:pPr>
          </w:p>
          <w:p>
            <w:pPr>
              <w:pStyle w:val="TableParagraph"/>
              <w:spacing w:line="273" w:lineRule="auto" w:before="0"/>
              <w:ind w:left="203" w:right="107"/>
              <w:jc w:val="both"/>
              <w:rPr>
                <w:b/>
                <w:sz w:val="21"/>
              </w:rPr>
            </w:pPr>
            <w:r>
              <w:rPr>
                <w:b/>
                <w:spacing w:val="-5"/>
                <w:sz w:val="21"/>
              </w:rPr>
              <w:t>若被保险人首次诊断即达到重疾标准时，我们将向被保险人给付重大疾病保险金，不能同时给付或追溯给付轻症疾病保险金责任。</w:t>
            </w:r>
          </w:p>
        </w:tc>
      </w:tr>
      <w:tr>
        <w:trPr>
          <w:trHeight w:val="936" w:hRule="atLeast"/>
        </w:trPr>
        <w:tc>
          <w:tcPr>
            <w:tcW w:w="742" w:type="dxa"/>
          </w:tcPr>
          <w:p>
            <w:pPr>
              <w:pStyle w:val="TableParagraph"/>
              <w:spacing w:before="0"/>
              <w:ind w:left="0"/>
              <w:rPr>
                <w:rFonts w:ascii="Times New Roman"/>
                <w:sz w:val="20"/>
              </w:rPr>
            </w:pPr>
          </w:p>
        </w:tc>
        <w:tc>
          <w:tcPr>
            <w:tcW w:w="1959" w:type="dxa"/>
          </w:tcPr>
          <w:p>
            <w:pPr>
              <w:pStyle w:val="TableParagraph"/>
              <w:spacing w:before="130"/>
              <w:ind w:left="276"/>
              <w:rPr>
                <w:rFonts w:ascii="黑体" w:eastAsia="黑体" w:hint="eastAsia"/>
                <w:b/>
                <w:sz w:val="21"/>
              </w:rPr>
            </w:pPr>
            <w:r>
              <w:rPr>
                <w:rFonts w:ascii="黑体" w:eastAsia="黑体" w:hint="eastAsia"/>
                <w:b/>
                <w:sz w:val="21"/>
              </w:rPr>
              <w:t>重大疾病保险金</w:t>
            </w:r>
          </w:p>
        </w:tc>
        <w:tc>
          <w:tcPr>
            <w:tcW w:w="7196" w:type="dxa"/>
          </w:tcPr>
          <w:p>
            <w:pPr>
              <w:pStyle w:val="TableParagraph"/>
              <w:spacing w:line="273" w:lineRule="auto" w:before="154"/>
              <w:ind w:left="203" w:right="103"/>
              <w:rPr>
                <w:sz w:val="21"/>
              </w:rPr>
            </w:pPr>
            <w:r>
              <w:rPr>
                <w:spacing w:val="-7"/>
                <w:sz w:val="21"/>
              </w:rPr>
              <w:t>被保险人初次发生且经专科医生明确诊断患本主合同所定义的重大疾病，我</w:t>
            </w:r>
            <w:r>
              <w:rPr>
                <w:spacing w:val="-6"/>
                <w:sz w:val="21"/>
              </w:rPr>
              <w:t>们按本主合同的基本保险金额给付重大疾病保险金，本主合同终止。</w:t>
            </w:r>
          </w:p>
        </w:tc>
      </w:tr>
      <w:tr>
        <w:trPr>
          <w:trHeight w:val="1365" w:hRule="atLeast"/>
        </w:trPr>
        <w:tc>
          <w:tcPr>
            <w:tcW w:w="742" w:type="dxa"/>
          </w:tcPr>
          <w:p>
            <w:pPr>
              <w:pStyle w:val="TableParagraph"/>
              <w:spacing w:before="0"/>
              <w:ind w:left="0"/>
              <w:rPr>
                <w:rFonts w:ascii="Times New Roman"/>
                <w:sz w:val="20"/>
              </w:rPr>
            </w:pPr>
          </w:p>
        </w:tc>
        <w:tc>
          <w:tcPr>
            <w:tcW w:w="1959" w:type="dxa"/>
          </w:tcPr>
          <w:p>
            <w:pPr>
              <w:pStyle w:val="TableParagraph"/>
              <w:spacing w:before="130"/>
              <w:ind w:left="276" w:right="202"/>
              <w:rPr>
                <w:rFonts w:ascii="黑体" w:eastAsia="黑体" w:hint="eastAsia"/>
                <w:b/>
                <w:sz w:val="21"/>
              </w:rPr>
            </w:pPr>
            <w:r>
              <w:rPr>
                <w:rFonts w:ascii="黑体" w:eastAsia="黑体" w:hint="eastAsia"/>
                <w:b/>
                <w:sz w:val="21"/>
              </w:rPr>
              <w:t>少儿特定重大疾病保险金</w:t>
            </w:r>
          </w:p>
        </w:tc>
        <w:tc>
          <w:tcPr>
            <w:tcW w:w="7196" w:type="dxa"/>
          </w:tcPr>
          <w:p>
            <w:pPr>
              <w:pStyle w:val="TableParagraph"/>
              <w:spacing w:line="273" w:lineRule="auto" w:before="154"/>
              <w:ind w:left="203" w:right="104"/>
              <w:jc w:val="both"/>
              <w:rPr>
                <w:sz w:val="21"/>
              </w:rPr>
            </w:pPr>
            <w:r>
              <w:rPr>
                <w:spacing w:val="-6"/>
                <w:sz w:val="21"/>
              </w:rPr>
              <w:t>被保险人在年满 </w:t>
            </w:r>
            <w:r>
              <w:rPr>
                <w:sz w:val="21"/>
              </w:rPr>
              <w:t>18</w:t>
            </w:r>
            <w:r>
              <w:rPr>
                <w:spacing w:val="-8"/>
                <w:sz w:val="21"/>
              </w:rPr>
              <w:t> 周岁的保单周年日</w:t>
            </w:r>
            <w:r>
              <w:rPr>
                <w:spacing w:val="-5"/>
                <w:sz w:val="21"/>
              </w:rPr>
              <w:t>（</w:t>
            </w:r>
            <w:r>
              <w:rPr>
                <w:sz w:val="21"/>
              </w:rPr>
              <w:t>不含</w:t>
            </w:r>
            <w:r>
              <w:rPr>
                <w:spacing w:val="-5"/>
                <w:sz w:val="21"/>
              </w:rPr>
              <w:t>）</w:t>
            </w:r>
            <w:r>
              <w:rPr>
                <w:spacing w:val="-4"/>
                <w:sz w:val="21"/>
              </w:rPr>
              <w:t>前，被保险人初次发生且经</w:t>
            </w:r>
            <w:r>
              <w:rPr>
                <w:spacing w:val="-7"/>
                <w:sz w:val="21"/>
              </w:rPr>
              <w:t>专科医生明确诊断患本主合同所定义的少儿特定重大疾病，我们在给付上述</w:t>
            </w:r>
            <w:r>
              <w:rPr>
                <w:spacing w:val="-4"/>
                <w:sz w:val="21"/>
              </w:rPr>
              <w:t>重大疾病保险金的基础上按本主合同的</w:t>
            </w:r>
            <w:r>
              <w:rPr>
                <w:sz w:val="21"/>
              </w:rPr>
              <w:t>1</w:t>
            </w:r>
            <w:r>
              <w:rPr>
                <w:spacing w:val="-8"/>
                <w:sz w:val="21"/>
              </w:rPr>
              <w:t> 倍基本保险金额额外给付少儿特定</w:t>
            </w:r>
          </w:p>
          <w:p>
            <w:pPr>
              <w:pStyle w:val="TableParagraph"/>
              <w:spacing w:line="255" w:lineRule="exact" w:before="7"/>
              <w:ind w:left="203"/>
              <w:jc w:val="both"/>
              <w:rPr>
                <w:sz w:val="21"/>
              </w:rPr>
            </w:pPr>
            <w:r>
              <w:rPr>
                <w:sz w:val="21"/>
              </w:rPr>
              <w:t>重大疾病保险金，本主合同终止。</w:t>
            </w:r>
          </w:p>
        </w:tc>
      </w:tr>
    </w:tbl>
    <w:p>
      <w:pPr>
        <w:spacing w:after="0" w:line="255" w:lineRule="exact"/>
        <w:jc w:val="both"/>
        <w:rPr>
          <w:sz w:val="21"/>
        </w:rPr>
        <w:sectPr>
          <w:pgSz w:w="11910" w:h="16840"/>
          <w:pgMar w:header="496" w:footer="995" w:top="800" w:bottom="1180" w:left="860" w:right="940"/>
        </w:sectPr>
      </w:pPr>
    </w:p>
    <w:p>
      <w:pPr>
        <w:pStyle w:val="BodyText"/>
        <w:rPr>
          <w:rFonts w:ascii="Times New Roman"/>
          <w:sz w:val="20"/>
        </w:rPr>
      </w:pPr>
    </w:p>
    <w:p>
      <w:pPr>
        <w:pStyle w:val="BodyText"/>
        <w:rPr>
          <w:rFonts w:ascii="Times New Roman"/>
          <w:sz w:val="20"/>
        </w:rPr>
      </w:pPr>
    </w:p>
    <w:p>
      <w:pPr>
        <w:pStyle w:val="BodyText"/>
        <w:spacing w:before="11"/>
        <w:rPr>
          <w:rFonts w:ascii="Times New Roman"/>
          <w:sz w:val="1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2"/>
        <w:gridCol w:w="1978"/>
        <w:gridCol w:w="7396"/>
      </w:tblGrid>
      <w:tr>
        <w:trPr>
          <w:trHeight w:val="1666" w:hRule="atLeast"/>
        </w:trPr>
        <w:tc>
          <w:tcPr>
            <w:tcW w:w="812" w:type="dxa"/>
          </w:tcPr>
          <w:p>
            <w:pPr>
              <w:pStyle w:val="TableParagraph"/>
              <w:spacing w:before="0"/>
              <w:ind w:left="0"/>
              <w:rPr>
                <w:rFonts w:ascii="Times New Roman"/>
                <w:sz w:val="20"/>
              </w:rPr>
            </w:pPr>
          </w:p>
        </w:tc>
        <w:tc>
          <w:tcPr>
            <w:tcW w:w="1978" w:type="dxa"/>
          </w:tcPr>
          <w:p>
            <w:pPr>
              <w:pStyle w:val="TableParagraph"/>
              <w:spacing w:line="211" w:lineRule="exact" w:before="0"/>
              <w:ind w:left="295"/>
              <w:rPr>
                <w:rFonts w:ascii="黑体" w:eastAsia="黑体" w:hint="eastAsia"/>
                <w:b/>
                <w:sz w:val="21"/>
              </w:rPr>
            </w:pPr>
            <w:r>
              <w:rPr>
                <w:rFonts w:ascii="黑体" w:eastAsia="黑体" w:hint="eastAsia"/>
                <w:b/>
                <w:sz w:val="21"/>
              </w:rPr>
              <w:t>身故保险金</w:t>
            </w:r>
          </w:p>
        </w:tc>
        <w:tc>
          <w:tcPr>
            <w:tcW w:w="7396" w:type="dxa"/>
          </w:tcPr>
          <w:p>
            <w:pPr>
              <w:pStyle w:val="TableParagraph"/>
              <w:spacing w:line="211" w:lineRule="exact" w:before="0"/>
              <w:ind w:left="204"/>
              <w:rPr>
                <w:sz w:val="21"/>
              </w:rPr>
            </w:pPr>
            <w:r>
              <w:rPr>
                <w:sz w:val="21"/>
              </w:rPr>
              <w:t>被保险人在年满 18 周岁的保单周年日（不含）前身故，本公司将按被保险</w:t>
            </w:r>
          </w:p>
          <w:p>
            <w:pPr>
              <w:pStyle w:val="TableParagraph"/>
              <w:ind w:left="204"/>
              <w:rPr>
                <w:sz w:val="21"/>
              </w:rPr>
            </w:pPr>
            <w:r>
              <w:rPr>
                <w:sz w:val="21"/>
              </w:rPr>
              <w:t>人发生身故时本主合同的已交保险费给付身故保险金，本主合同终止。</w:t>
            </w:r>
          </w:p>
          <w:p>
            <w:pPr>
              <w:pStyle w:val="TableParagraph"/>
              <w:spacing w:before="0"/>
              <w:ind w:left="0"/>
              <w:rPr>
                <w:rFonts w:ascii="Times New Roman"/>
                <w:sz w:val="20"/>
              </w:rPr>
            </w:pPr>
          </w:p>
          <w:p>
            <w:pPr>
              <w:pStyle w:val="TableParagraph"/>
              <w:spacing w:line="273" w:lineRule="auto" w:before="119"/>
              <w:ind w:left="204" w:right="361"/>
              <w:rPr>
                <w:sz w:val="21"/>
              </w:rPr>
            </w:pPr>
            <w:r>
              <w:rPr>
                <w:spacing w:val="-6"/>
                <w:sz w:val="21"/>
              </w:rPr>
              <w:t>被保险人在年满 </w:t>
            </w:r>
            <w:r>
              <w:rPr>
                <w:sz w:val="21"/>
              </w:rPr>
              <w:t>18</w:t>
            </w:r>
            <w:r>
              <w:rPr>
                <w:spacing w:val="-7"/>
                <w:sz w:val="21"/>
              </w:rPr>
              <w:t> 周岁的保单周年日</w:t>
            </w:r>
            <w:r>
              <w:rPr>
                <w:spacing w:val="-5"/>
                <w:sz w:val="21"/>
              </w:rPr>
              <w:t>（</w:t>
            </w:r>
            <w:r>
              <w:rPr>
                <w:sz w:val="21"/>
              </w:rPr>
              <w:t>含）</w:t>
            </w:r>
            <w:r>
              <w:rPr>
                <w:spacing w:val="-5"/>
                <w:sz w:val="21"/>
              </w:rPr>
              <w:t>后身故，本公司将按本主合同的基本保险金额给付身故保险金，本主合同终止。</w:t>
            </w:r>
          </w:p>
        </w:tc>
      </w:tr>
      <w:tr>
        <w:trPr>
          <w:trHeight w:val="2184" w:hRule="atLeast"/>
        </w:trPr>
        <w:tc>
          <w:tcPr>
            <w:tcW w:w="812" w:type="dxa"/>
          </w:tcPr>
          <w:p>
            <w:pPr>
              <w:pStyle w:val="TableParagraph"/>
              <w:spacing w:before="0"/>
              <w:ind w:left="0"/>
              <w:rPr>
                <w:rFonts w:ascii="Times New Roman"/>
                <w:sz w:val="20"/>
              </w:rPr>
            </w:pPr>
          </w:p>
        </w:tc>
        <w:tc>
          <w:tcPr>
            <w:tcW w:w="1978" w:type="dxa"/>
          </w:tcPr>
          <w:p>
            <w:pPr>
              <w:pStyle w:val="TableParagraph"/>
              <w:spacing w:before="142"/>
              <w:ind w:left="295"/>
              <w:rPr>
                <w:rFonts w:ascii="黑体" w:eastAsia="黑体" w:hint="eastAsia"/>
                <w:b/>
                <w:sz w:val="21"/>
              </w:rPr>
            </w:pPr>
            <w:r>
              <w:rPr>
                <w:rFonts w:ascii="黑体" w:eastAsia="黑体" w:hint="eastAsia"/>
                <w:b/>
                <w:sz w:val="21"/>
              </w:rPr>
              <w:t>全残保险金</w:t>
            </w:r>
          </w:p>
        </w:tc>
        <w:tc>
          <w:tcPr>
            <w:tcW w:w="7396" w:type="dxa"/>
          </w:tcPr>
          <w:p>
            <w:pPr>
              <w:pStyle w:val="TableParagraph"/>
              <w:spacing w:line="273" w:lineRule="auto" w:before="142"/>
              <w:ind w:left="204" w:right="303"/>
              <w:jc w:val="both"/>
              <w:rPr>
                <w:sz w:val="21"/>
              </w:rPr>
            </w:pPr>
            <w:r>
              <w:rPr>
                <w:spacing w:val="-1"/>
                <w:w w:val="100"/>
                <w:sz w:val="21"/>
              </w:rPr>
              <w:t>被保险人在年满</w:t>
            </w:r>
            <w:r>
              <w:rPr>
                <w:spacing w:val="-52"/>
                <w:sz w:val="21"/>
              </w:rPr>
              <w:t> </w:t>
            </w:r>
            <w:r>
              <w:rPr>
                <w:w w:val="100"/>
                <w:sz w:val="21"/>
              </w:rPr>
              <w:t>18</w:t>
            </w:r>
            <w:r>
              <w:rPr>
                <w:spacing w:val="-52"/>
                <w:sz w:val="21"/>
              </w:rPr>
              <w:t> </w:t>
            </w:r>
            <w:r>
              <w:rPr>
                <w:spacing w:val="-3"/>
                <w:w w:val="100"/>
                <w:sz w:val="21"/>
              </w:rPr>
              <w:t>周岁的保单周年日</w:t>
            </w:r>
            <w:r>
              <w:rPr>
                <w:spacing w:val="-5"/>
                <w:w w:val="100"/>
                <w:sz w:val="21"/>
              </w:rPr>
              <w:t>（</w:t>
            </w:r>
            <w:r>
              <w:rPr>
                <w:w w:val="100"/>
                <w:sz w:val="21"/>
              </w:rPr>
              <w:t>不含</w:t>
            </w:r>
            <w:r>
              <w:rPr>
                <w:spacing w:val="-5"/>
                <w:w w:val="100"/>
                <w:sz w:val="21"/>
              </w:rPr>
              <w:t>）</w:t>
            </w:r>
            <w:r>
              <w:rPr>
                <w:spacing w:val="-4"/>
                <w:w w:val="100"/>
                <w:sz w:val="21"/>
              </w:rPr>
              <w:t>前</w:t>
            </w:r>
            <w:r>
              <w:rPr>
                <w:b/>
                <w:spacing w:val="0"/>
                <w:w w:val="100"/>
                <w:sz w:val="21"/>
              </w:rPr>
              <w:t>全残</w:t>
            </w:r>
            <w:r>
              <w:rPr>
                <w:spacing w:val="-5"/>
                <w:w w:val="100"/>
                <w:sz w:val="21"/>
              </w:rPr>
              <w:t>（</w:t>
            </w:r>
            <w:r>
              <w:rPr>
                <w:w w:val="100"/>
                <w:sz w:val="21"/>
              </w:rPr>
              <w:t>见释义</w:t>
            </w:r>
            <w:r>
              <w:rPr>
                <w:spacing w:val="-52"/>
                <w:sz w:val="21"/>
              </w:rPr>
              <w:t> </w:t>
            </w:r>
            <w:r>
              <w:rPr>
                <w:w w:val="100"/>
                <w:sz w:val="21"/>
              </w:rPr>
              <w:t>6</w:t>
            </w:r>
            <w:r>
              <w:rPr>
                <w:spacing w:val="-5"/>
                <w:w w:val="100"/>
                <w:sz w:val="21"/>
              </w:rPr>
              <w:t>.</w:t>
            </w:r>
            <w:r>
              <w:rPr>
                <w:w w:val="100"/>
                <w:sz w:val="21"/>
              </w:rPr>
              <w:t>9</w:t>
            </w:r>
            <w:r>
              <w:rPr>
                <w:spacing w:val="-106"/>
                <w:w w:val="100"/>
                <w:sz w:val="21"/>
              </w:rPr>
              <w:t>）</w:t>
            </w:r>
            <w:r>
              <w:rPr>
                <w:w w:val="100"/>
                <w:sz w:val="21"/>
              </w:rPr>
              <w:t>，本公</w:t>
            </w:r>
            <w:r>
              <w:rPr>
                <w:spacing w:val="-7"/>
                <w:sz w:val="21"/>
              </w:rPr>
              <w:t>司将按被保险人发生全残时本主合同已交保险费给付全残保险金，本主合同终止。</w:t>
            </w:r>
          </w:p>
          <w:p>
            <w:pPr>
              <w:pStyle w:val="TableParagraph"/>
              <w:spacing w:before="8"/>
              <w:ind w:left="0"/>
              <w:rPr>
                <w:rFonts w:ascii="Times New Roman"/>
                <w:sz w:val="27"/>
              </w:rPr>
            </w:pPr>
          </w:p>
          <w:p>
            <w:pPr>
              <w:pStyle w:val="TableParagraph"/>
              <w:spacing w:line="273" w:lineRule="auto" w:before="0"/>
              <w:ind w:left="204" w:right="361"/>
              <w:jc w:val="both"/>
              <w:rPr>
                <w:sz w:val="21"/>
              </w:rPr>
            </w:pPr>
            <w:r>
              <w:rPr>
                <w:spacing w:val="-6"/>
                <w:sz w:val="21"/>
              </w:rPr>
              <w:t>被保险人在年满 </w:t>
            </w:r>
            <w:r>
              <w:rPr>
                <w:sz w:val="21"/>
              </w:rPr>
              <w:t>18</w:t>
            </w:r>
            <w:r>
              <w:rPr>
                <w:spacing w:val="-7"/>
                <w:sz w:val="21"/>
              </w:rPr>
              <w:t> 周岁的保单周年日</w:t>
            </w:r>
            <w:r>
              <w:rPr>
                <w:spacing w:val="-5"/>
                <w:sz w:val="21"/>
              </w:rPr>
              <w:t>（</w:t>
            </w:r>
            <w:r>
              <w:rPr>
                <w:sz w:val="21"/>
              </w:rPr>
              <w:t>含）</w:t>
            </w:r>
            <w:r>
              <w:rPr>
                <w:spacing w:val="-5"/>
                <w:sz w:val="21"/>
              </w:rPr>
              <w:t>后全残，本公司将按本主合同的基本保险金额给付全残保险金，本主合同终止。</w:t>
            </w:r>
          </w:p>
        </w:tc>
      </w:tr>
      <w:tr>
        <w:trPr>
          <w:trHeight w:val="9938" w:hRule="atLeast"/>
        </w:trPr>
        <w:tc>
          <w:tcPr>
            <w:tcW w:w="812" w:type="dxa"/>
          </w:tcPr>
          <w:p>
            <w:pPr>
              <w:pStyle w:val="TableParagraph"/>
              <w:spacing w:before="143"/>
              <w:ind w:left="200"/>
              <w:rPr>
                <w:b/>
                <w:sz w:val="21"/>
              </w:rPr>
            </w:pPr>
            <w:r>
              <w:rPr>
                <w:b/>
                <w:sz w:val="21"/>
              </w:rPr>
              <w:t>2.4</w:t>
            </w:r>
          </w:p>
        </w:tc>
        <w:tc>
          <w:tcPr>
            <w:tcW w:w="1978" w:type="dxa"/>
          </w:tcPr>
          <w:p>
            <w:pPr>
              <w:pStyle w:val="TableParagraph"/>
              <w:spacing w:before="143"/>
              <w:ind w:left="295"/>
              <w:rPr>
                <w:rFonts w:ascii="黑体" w:eastAsia="黑体" w:hint="eastAsia"/>
                <w:b/>
                <w:sz w:val="21"/>
              </w:rPr>
            </w:pPr>
            <w:r>
              <w:rPr>
                <w:rFonts w:ascii="黑体" w:eastAsia="黑体" w:hint="eastAsia"/>
                <w:b/>
                <w:sz w:val="21"/>
              </w:rPr>
              <w:t>保险责任的免除</w:t>
            </w:r>
          </w:p>
        </w:tc>
        <w:tc>
          <w:tcPr>
            <w:tcW w:w="7396" w:type="dxa"/>
          </w:tcPr>
          <w:p>
            <w:pPr>
              <w:pStyle w:val="TableParagraph"/>
              <w:spacing w:line="273" w:lineRule="auto" w:before="143"/>
              <w:ind w:left="204" w:right="255"/>
              <w:jc w:val="both"/>
              <w:rPr>
                <w:rFonts w:ascii="黑体" w:hAnsi="黑体" w:eastAsia="黑体" w:hint="eastAsia"/>
                <w:sz w:val="21"/>
              </w:rPr>
            </w:pPr>
            <w:r>
              <w:rPr>
                <w:rFonts w:ascii="黑体" w:hAnsi="黑体" w:eastAsia="黑体" w:hint="eastAsia"/>
                <w:sz w:val="21"/>
              </w:rPr>
              <w:t>因下列第（1）-（7）项情形导致被保险人身故的，我们不承担给付“身故保险金”的责任；因下列第（1）-（8）项情形导致被保险人全残的，我们</w:t>
            </w:r>
            <w:r>
              <w:rPr>
                <w:rFonts w:ascii="黑体" w:hAnsi="黑体" w:eastAsia="黑体" w:hint="eastAsia"/>
                <w:spacing w:val="-6"/>
                <w:sz w:val="21"/>
              </w:rPr>
              <w:t>不承担给付“全残保险金”的责任：因下列第</w:t>
            </w:r>
            <w:r>
              <w:rPr>
                <w:rFonts w:ascii="黑体" w:hAnsi="黑体" w:eastAsia="黑体" w:hint="eastAsia"/>
                <w:spacing w:val="-4"/>
                <w:sz w:val="21"/>
              </w:rPr>
              <w:t>（1）-（10）</w:t>
            </w:r>
            <w:r>
              <w:rPr>
                <w:rFonts w:ascii="黑体" w:hAnsi="黑体" w:eastAsia="黑体" w:hint="eastAsia"/>
                <w:spacing w:val="-2"/>
                <w:sz w:val="21"/>
              </w:rPr>
              <w:t>项情形导致被保</w:t>
            </w:r>
            <w:r>
              <w:rPr>
                <w:rFonts w:ascii="黑体" w:hAnsi="黑体" w:eastAsia="黑体" w:hint="eastAsia"/>
                <w:spacing w:val="-8"/>
                <w:sz w:val="21"/>
              </w:rPr>
              <w:t>险人患轻症疾病、重大疾病或少儿特定重大疾病的，我们不承担给付“轻症</w:t>
            </w:r>
            <w:r>
              <w:rPr>
                <w:rFonts w:ascii="黑体" w:hAnsi="黑体" w:eastAsia="黑体" w:hint="eastAsia"/>
                <w:spacing w:val="-19"/>
                <w:sz w:val="21"/>
              </w:rPr>
              <w:t>疾病保险金”、“重大疾病保险金”和“少儿特定重大疾病保险金”的责任：</w:t>
            </w:r>
          </w:p>
          <w:p>
            <w:pPr>
              <w:pStyle w:val="TableParagraph"/>
              <w:numPr>
                <w:ilvl w:val="0"/>
                <w:numId w:val="5"/>
              </w:numPr>
              <w:tabs>
                <w:tab w:pos="926" w:val="left" w:leader="none"/>
              </w:tabs>
              <w:spacing w:line="240" w:lineRule="auto" w:before="166" w:after="0"/>
              <w:ind w:left="925" w:right="0" w:hanging="721"/>
              <w:jc w:val="left"/>
              <w:rPr>
                <w:rFonts w:ascii="黑体" w:eastAsia="黑体" w:hint="eastAsia"/>
                <w:sz w:val="21"/>
              </w:rPr>
            </w:pPr>
            <w:r>
              <w:rPr>
                <w:rFonts w:ascii="黑体" w:eastAsia="黑体" w:hint="eastAsia"/>
                <w:spacing w:val="-4"/>
                <w:sz w:val="21"/>
              </w:rPr>
              <w:t>投保人对被保险人的故意杀害、故意伤害；</w:t>
            </w:r>
          </w:p>
          <w:p>
            <w:pPr>
              <w:pStyle w:val="TableParagraph"/>
              <w:numPr>
                <w:ilvl w:val="0"/>
                <w:numId w:val="5"/>
              </w:numPr>
              <w:tabs>
                <w:tab w:pos="926" w:val="left" w:leader="none"/>
              </w:tabs>
              <w:spacing w:line="240" w:lineRule="auto" w:before="36" w:after="0"/>
              <w:ind w:left="925" w:right="0" w:hanging="721"/>
              <w:jc w:val="left"/>
              <w:rPr>
                <w:rFonts w:ascii="黑体" w:eastAsia="黑体" w:hint="eastAsia"/>
                <w:sz w:val="21"/>
              </w:rPr>
            </w:pPr>
            <w:r>
              <w:rPr>
                <w:rFonts w:ascii="黑体" w:eastAsia="黑体" w:hint="eastAsia"/>
                <w:spacing w:val="-5"/>
                <w:sz w:val="21"/>
              </w:rPr>
              <w:t>被保险人故意犯罪或者抗拒依法采取的刑事强制措施；</w:t>
            </w:r>
          </w:p>
          <w:p>
            <w:pPr>
              <w:pStyle w:val="TableParagraph"/>
              <w:numPr>
                <w:ilvl w:val="0"/>
                <w:numId w:val="5"/>
              </w:numPr>
              <w:tabs>
                <w:tab w:pos="926" w:val="left" w:leader="none"/>
              </w:tabs>
              <w:spacing w:line="273" w:lineRule="auto" w:before="36" w:after="0"/>
              <w:ind w:left="925" w:right="303" w:hanging="721"/>
              <w:jc w:val="left"/>
              <w:rPr>
                <w:rFonts w:ascii="黑体" w:eastAsia="黑体" w:hint="eastAsia"/>
                <w:sz w:val="21"/>
              </w:rPr>
            </w:pPr>
            <w:r>
              <w:rPr>
                <w:rFonts w:ascii="黑体" w:eastAsia="黑体" w:hint="eastAsia"/>
                <w:spacing w:val="-2"/>
                <w:sz w:val="21"/>
              </w:rPr>
              <w:t>被保险人在本主合同成立</w:t>
            </w:r>
            <w:r>
              <w:rPr>
                <w:rFonts w:ascii="黑体" w:eastAsia="黑体" w:hint="eastAsia"/>
                <w:sz w:val="21"/>
              </w:rPr>
              <w:t>（</w:t>
            </w:r>
            <w:r>
              <w:rPr>
                <w:rFonts w:ascii="黑体" w:eastAsia="黑体" w:hint="eastAsia"/>
                <w:spacing w:val="-3"/>
                <w:sz w:val="21"/>
              </w:rPr>
              <w:t>或最后复效</w:t>
            </w:r>
            <w:r>
              <w:rPr>
                <w:rFonts w:ascii="黑体" w:eastAsia="黑体" w:hint="eastAsia"/>
                <w:sz w:val="21"/>
              </w:rPr>
              <w:t>）</w:t>
            </w:r>
            <w:r>
              <w:rPr>
                <w:rFonts w:ascii="黑体" w:eastAsia="黑体" w:hint="eastAsia"/>
                <w:spacing w:val="-1"/>
                <w:sz w:val="21"/>
              </w:rPr>
              <w:t>之日起 </w:t>
            </w:r>
            <w:r>
              <w:rPr>
                <w:rFonts w:ascii="黑体" w:eastAsia="黑体" w:hint="eastAsia"/>
                <w:sz w:val="21"/>
              </w:rPr>
              <w:t>2</w:t>
            </w:r>
            <w:r>
              <w:rPr>
                <w:rFonts w:ascii="黑体" w:eastAsia="黑体" w:hint="eastAsia"/>
                <w:spacing w:val="-4"/>
                <w:sz w:val="21"/>
              </w:rPr>
              <w:t> 年内自杀，但被</w:t>
            </w:r>
            <w:r>
              <w:rPr>
                <w:rFonts w:ascii="黑体" w:eastAsia="黑体" w:hint="eastAsia"/>
                <w:spacing w:val="-5"/>
                <w:sz w:val="21"/>
              </w:rPr>
              <w:t>保险人自杀时为无民事行为能力人的除外；</w:t>
            </w:r>
          </w:p>
          <w:p>
            <w:pPr>
              <w:pStyle w:val="TableParagraph"/>
              <w:numPr>
                <w:ilvl w:val="0"/>
                <w:numId w:val="5"/>
              </w:numPr>
              <w:tabs>
                <w:tab w:pos="926" w:val="left" w:leader="none"/>
              </w:tabs>
              <w:spacing w:line="240" w:lineRule="auto" w:before="7" w:after="0"/>
              <w:ind w:left="925" w:right="0" w:hanging="721"/>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spacing w:val="0"/>
                <w:w w:val="100"/>
                <w:sz w:val="21"/>
              </w:rPr>
              <w:t>毒品</w:t>
            </w:r>
            <w:r>
              <w:rPr>
                <w:rFonts w:ascii="黑体" w:eastAsia="黑体" w:hint="eastAsia"/>
                <w:spacing w:val="-5"/>
                <w:w w:val="100"/>
                <w:sz w:val="21"/>
              </w:rPr>
              <w:t>（</w:t>
            </w:r>
            <w:r>
              <w:rPr>
                <w:rFonts w:ascii="黑体" w:eastAsia="黑体" w:hint="eastAsia"/>
                <w:w w:val="100"/>
                <w:sz w:val="21"/>
              </w:rPr>
              <w:t>见释义</w:t>
            </w:r>
            <w:r>
              <w:rPr>
                <w:rFonts w:ascii="黑体" w:eastAsia="黑体" w:hint="eastAsia"/>
                <w:spacing w:val="-52"/>
                <w:sz w:val="21"/>
              </w:rPr>
              <w:t> </w:t>
            </w:r>
            <w:r>
              <w:rPr>
                <w:rFonts w:ascii="黑体" w:eastAsia="黑体" w:hint="eastAsia"/>
                <w:w w:val="100"/>
                <w:sz w:val="21"/>
              </w:rPr>
              <w:t>6.</w:t>
            </w:r>
            <w:r>
              <w:rPr>
                <w:rFonts w:ascii="黑体" w:eastAsia="黑体" w:hint="eastAsia"/>
                <w:spacing w:val="-5"/>
                <w:w w:val="100"/>
                <w:sz w:val="21"/>
              </w:rPr>
              <w:t>1</w:t>
            </w:r>
            <w:r>
              <w:rPr>
                <w:rFonts w:ascii="黑体" w:eastAsia="黑体" w:hint="eastAsia"/>
                <w:w w:val="100"/>
                <w:sz w:val="21"/>
              </w:rPr>
              <w:t>0</w:t>
            </w:r>
            <w:r>
              <w:rPr>
                <w:rFonts w:ascii="黑体" w:eastAsia="黑体" w:hint="eastAsia"/>
                <w:spacing w:val="-106"/>
                <w:w w:val="100"/>
                <w:sz w:val="21"/>
              </w:rPr>
              <w:t>）；</w:t>
            </w:r>
          </w:p>
          <w:p>
            <w:pPr>
              <w:pStyle w:val="TableParagraph"/>
              <w:numPr>
                <w:ilvl w:val="0"/>
                <w:numId w:val="5"/>
              </w:numPr>
              <w:tabs>
                <w:tab w:pos="926" w:val="left" w:leader="none"/>
              </w:tabs>
              <w:spacing w:line="240" w:lineRule="auto" w:before="37" w:after="0"/>
              <w:ind w:left="925" w:right="0" w:hanging="721"/>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8"/>
                <w:w w:val="100"/>
                <w:sz w:val="21"/>
              </w:rPr>
              <w:t>酒后驾驶</w:t>
            </w:r>
            <w:r>
              <w:rPr>
                <w:rFonts w:ascii="黑体" w:eastAsia="黑体" w:hint="eastAsia"/>
                <w:spacing w:val="-5"/>
                <w:w w:val="100"/>
                <w:sz w:val="21"/>
              </w:rPr>
              <w:t>（</w:t>
            </w:r>
            <w:r>
              <w:rPr>
                <w:rFonts w:ascii="黑体" w:eastAsia="黑体" w:hint="eastAsia"/>
                <w:w w:val="100"/>
                <w:sz w:val="21"/>
              </w:rPr>
              <w:t>见释义</w:t>
            </w:r>
            <w:r>
              <w:rPr>
                <w:rFonts w:ascii="黑体" w:eastAsia="黑体" w:hint="eastAsia"/>
                <w:spacing w:val="-52"/>
                <w:sz w:val="21"/>
              </w:rPr>
              <w:t> </w:t>
            </w:r>
            <w:r>
              <w:rPr>
                <w:rFonts w:ascii="黑体" w:eastAsia="黑体" w:hint="eastAsia"/>
                <w:spacing w:val="-5"/>
                <w:w w:val="100"/>
                <w:sz w:val="21"/>
              </w:rPr>
              <w:t>6</w:t>
            </w:r>
            <w:r>
              <w:rPr>
                <w:rFonts w:ascii="黑体" w:eastAsia="黑体" w:hint="eastAsia"/>
                <w:w w:val="100"/>
                <w:sz w:val="21"/>
              </w:rPr>
              <w:t>.11</w:t>
            </w:r>
            <w:r>
              <w:rPr>
                <w:rFonts w:ascii="黑体" w:eastAsia="黑体" w:hint="eastAsia"/>
                <w:spacing w:val="-106"/>
                <w:w w:val="100"/>
                <w:sz w:val="21"/>
              </w:rPr>
              <w:t>）</w:t>
            </w:r>
            <w:r>
              <w:rPr>
                <w:rFonts w:ascii="黑体" w:eastAsia="黑体" w:hint="eastAsia"/>
                <w:spacing w:val="-39"/>
                <w:w w:val="100"/>
                <w:sz w:val="21"/>
              </w:rPr>
              <w:t>、</w:t>
            </w:r>
            <w:r>
              <w:rPr>
                <w:rFonts w:ascii="黑体" w:eastAsia="黑体" w:hint="eastAsia"/>
                <w:b/>
                <w:spacing w:val="-4"/>
                <w:w w:val="100"/>
                <w:sz w:val="21"/>
              </w:rPr>
              <w:t>无合法有效驾驶证驾驶</w:t>
            </w:r>
            <w:r>
              <w:rPr>
                <w:rFonts w:ascii="黑体" w:eastAsia="黑体" w:hint="eastAsia"/>
                <w:spacing w:val="-5"/>
                <w:w w:val="100"/>
                <w:sz w:val="21"/>
              </w:rPr>
              <w:t>（</w:t>
            </w:r>
            <w:r>
              <w:rPr>
                <w:rFonts w:ascii="黑体" w:eastAsia="黑体" w:hint="eastAsia"/>
                <w:w w:val="100"/>
                <w:sz w:val="21"/>
              </w:rPr>
              <w:t>见释义</w:t>
            </w:r>
          </w:p>
          <w:p>
            <w:pPr>
              <w:pStyle w:val="TableParagraph"/>
              <w:spacing w:before="36"/>
              <w:ind w:left="925"/>
              <w:rPr>
                <w:rFonts w:ascii="黑体" w:eastAsia="黑体" w:hint="eastAsia"/>
                <w:sz w:val="21"/>
              </w:rPr>
            </w:pPr>
            <w:r>
              <w:rPr>
                <w:rFonts w:ascii="黑体" w:eastAsia="黑体" w:hint="eastAsia"/>
                <w:sz w:val="21"/>
              </w:rPr>
              <w:t>6.12）或驾驶</w:t>
            </w:r>
            <w:r>
              <w:rPr>
                <w:rFonts w:ascii="黑体" w:eastAsia="黑体" w:hint="eastAsia"/>
                <w:b/>
                <w:sz w:val="21"/>
              </w:rPr>
              <w:t>无有效行驶证</w:t>
            </w:r>
            <w:r>
              <w:rPr>
                <w:rFonts w:ascii="黑体" w:eastAsia="黑体" w:hint="eastAsia"/>
                <w:sz w:val="21"/>
              </w:rPr>
              <w:t>（见释义 6.13）的机动车；</w:t>
            </w:r>
          </w:p>
          <w:p>
            <w:pPr>
              <w:pStyle w:val="TableParagraph"/>
              <w:numPr>
                <w:ilvl w:val="0"/>
                <w:numId w:val="6"/>
              </w:numPr>
              <w:tabs>
                <w:tab w:pos="926" w:val="left" w:leader="none"/>
              </w:tabs>
              <w:spacing w:line="240" w:lineRule="auto" w:before="36" w:after="0"/>
              <w:ind w:left="925" w:right="0" w:hanging="721"/>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6"/>
              </w:numPr>
              <w:tabs>
                <w:tab w:pos="926" w:val="left" w:leader="none"/>
              </w:tabs>
              <w:spacing w:line="240" w:lineRule="auto" w:before="36" w:after="0"/>
              <w:ind w:left="925" w:right="0" w:hanging="721"/>
              <w:jc w:val="left"/>
              <w:rPr>
                <w:rFonts w:ascii="黑体" w:eastAsia="黑体" w:hint="eastAsia"/>
                <w:sz w:val="21"/>
              </w:rPr>
            </w:pPr>
            <w:r>
              <w:rPr>
                <w:rFonts w:ascii="黑体" w:eastAsia="黑体" w:hint="eastAsia"/>
                <w:spacing w:val="-2"/>
                <w:sz w:val="21"/>
              </w:rPr>
              <w:t>核爆炸、核辐射或核污染；</w:t>
            </w:r>
          </w:p>
          <w:p>
            <w:pPr>
              <w:pStyle w:val="TableParagraph"/>
              <w:numPr>
                <w:ilvl w:val="0"/>
                <w:numId w:val="6"/>
              </w:numPr>
              <w:tabs>
                <w:tab w:pos="926" w:val="left" w:leader="none"/>
              </w:tabs>
              <w:spacing w:line="273" w:lineRule="auto" w:before="36" w:after="0"/>
              <w:ind w:left="925" w:right="197" w:hanging="721"/>
              <w:jc w:val="left"/>
              <w:rPr>
                <w:rFonts w:ascii="黑体" w:eastAsia="黑体" w:hint="eastAsia"/>
                <w:sz w:val="21"/>
              </w:rPr>
            </w:pPr>
            <w:r>
              <w:rPr>
                <w:rFonts w:ascii="黑体" w:eastAsia="黑体" w:hint="eastAsia"/>
                <w:spacing w:val="-2"/>
                <w:w w:val="100"/>
                <w:sz w:val="21"/>
              </w:rPr>
              <w:t>被保险人从事</w:t>
            </w:r>
            <w:r>
              <w:rPr>
                <w:rFonts w:ascii="黑体" w:eastAsia="黑体" w:hint="eastAsia"/>
                <w:b/>
                <w:spacing w:val="-34"/>
                <w:w w:val="100"/>
                <w:sz w:val="21"/>
              </w:rPr>
              <w:t>潜水</w:t>
            </w:r>
            <w:r>
              <w:rPr>
                <w:rFonts w:ascii="黑体" w:eastAsia="黑体" w:hint="eastAsia"/>
                <w:w w:val="100"/>
                <w:sz w:val="21"/>
              </w:rPr>
              <w:t>（见释义</w:t>
            </w:r>
            <w:r>
              <w:rPr>
                <w:rFonts w:ascii="黑体" w:eastAsia="黑体" w:hint="eastAsia"/>
                <w:spacing w:val="-57"/>
                <w:sz w:val="21"/>
              </w:rPr>
              <w:t> </w:t>
            </w:r>
            <w:r>
              <w:rPr>
                <w:rFonts w:ascii="黑体" w:eastAsia="黑体" w:hint="eastAsia"/>
                <w:w w:val="100"/>
                <w:sz w:val="21"/>
              </w:rPr>
              <w:t>6.14</w:t>
            </w:r>
            <w:r>
              <w:rPr>
                <w:rFonts w:ascii="黑体" w:eastAsia="黑体" w:hint="eastAsia"/>
                <w:spacing w:val="-106"/>
                <w:w w:val="100"/>
                <w:sz w:val="21"/>
              </w:rPr>
              <w:t>）</w:t>
            </w:r>
            <w:r>
              <w:rPr>
                <w:rFonts w:ascii="黑体" w:eastAsia="黑体" w:hint="eastAsia"/>
                <w:spacing w:val="-34"/>
                <w:w w:val="100"/>
                <w:sz w:val="21"/>
              </w:rPr>
              <w:t>、跳伞、滑雪、</w:t>
            </w:r>
            <w:r>
              <w:rPr>
                <w:rFonts w:ascii="黑体" w:eastAsia="黑体" w:hint="eastAsia"/>
                <w:b/>
                <w:spacing w:val="-34"/>
                <w:w w:val="100"/>
                <w:sz w:val="21"/>
              </w:rPr>
              <w:t>攀岩</w:t>
            </w:r>
            <w:r>
              <w:rPr>
                <w:rFonts w:ascii="黑体" w:eastAsia="黑体" w:hint="eastAsia"/>
                <w:spacing w:val="-5"/>
                <w:w w:val="100"/>
                <w:sz w:val="21"/>
              </w:rPr>
              <w:t>（</w:t>
            </w:r>
            <w:r>
              <w:rPr>
                <w:rFonts w:ascii="黑体" w:eastAsia="黑体" w:hint="eastAsia"/>
                <w:w w:val="100"/>
                <w:sz w:val="21"/>
              </w:rPr>
              <w:t>见释义</w:t>
            </w:r>
            <w:r>
              <w:rPr>
                <w:rFonts w:ascii="黑体" w:eastAsia="黑体" w:hint="eastAsia"/>
                <w:spacing w:val="-53"/>
                <w:sz w:val="21"/>
              </w:rPr>
              <w:t> </w:t>
            </w:r>
            <w:r>
              <w:rPr>
                <w:rFonts w:ascii="黑体" w:eastAsia="黑体" w:hint="eastAsia"/>
                <w:w w:val="100"/>
                <w:sz w:val="21"/>
              </w:rPr>
              <w:t>6.15</w:t>
            </w:r>
            <w:r>
              <w:rPr>
                <w:rFonts w:ascii="黑体" w:eastAsia="黑体" w:hint="eastAsia"/>
                <w:spacing w:val="-111"/>
                <w:w w:val="100"/>
                <w:sz w:val="21"/>
              </w:rPr>
              <w:t>）</w:t>
            </w:r>
            <w:r>
              <w:rPr>
                <w:rFonts w:ascii="黑体" w:eastAsia="黑体" w:hint="eastAsia"/>
                <w:w w:val="100"/>
                <w:sz w:val="21"/>
              </w:rPr>
              <w:t>、</w:t>
            </w:r>
            <w:r>
              <w:rPr>
                <w:rFonts w:ascii="黑体" w:eastAsia="黑体" w:hint="eastAsia"/>
                <w:spacing w:val="-7"/>
                <w:w w:val="100"/>
                <w:sz w:val="21"/>
              </w:rPr>
              <w:t>蹦极、驾驶滑翔机或滑翔伞、</w:t>
            </w:r>
            <w:r>
              <w:rPr>
                <w:rFonts w:ascii="黑体" w:eastAsia="黑体" w:hint="eastAsia"/>
                <w:b/>
                <w:spacing w:val="-4"/>
                <w:w w:val="100"/>
                <w:sz w:val="21"/>
              </w:rPr>
              <w:t>探险活动</w:t>
            </w:r>
            <w:r>
              <w:rPr>
                <w:rFonts w:ascii="黑体" w:eastAsia="黑体" w:hint="eastAsia"/>
                <w:spacing w:val="-5"/>
                <w:w w:val="100"/>
                <w:sz w:val="21"/>
              </w:rPr>
              <w:t>（</w:t>
            </w:r>
            <w:r>
              <w:rPr>
                <w:rFonts w:ascii="黑体" w:eastAsia="黑体" w:hint="eastAsia"/>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5"/>
                <w:w w:val="100"/>
                <w:sz w:val="21"/>
              </w:rPr>
              <w:t>.</w:t>
            </w:r>
            <w:r>
              <w:rPr>
                <w:rFonts w:ascii="黑体" w:eastAsia="黑体" w:hint="eastAsia"/>
                <w:w w:val="100"/>
                <w:sz w:val="21"/>
              </w:rPr>
              <w:t>1</w:t>
            </w:r>
            <w:r>
              <w:rPr>
                <w:rFonts w:ascii="黑体" w:eastAsia="黑体" w:hint="eastAsia"/>
                <w:spacing w:val="-5"/>
                <w:w w:val="100"/>
                <w:sz w:val="21"/>
              </w:rPr>
              <w:t>6</w:t>
            </w:r>
            <w:r>
              <w:rPr>
                <w:rFonts w:ascii="黑体" w:eastAsia="黑体" w:hint="eastAsia"/>
                <w:spacing w:val="-106"/>
                <w:w w:val="100"/>
                <w:sz w:val="21"/>
              </w:rPr>
              <w:t>）</w:t>
            </w:r>
            <w:r>
              <w:rPr>
                <w:rFonts w:ascii="黑体" w:eastAsia="黑体" w:hint="eastAsia"/>
                <w:spacing w:val="-12"/>
                <w:w w:val="100"/>
                <w:sz w:val="21"/>
              </w:rPr>
              <w:t>、摔跤、</w:t>
            </w:r>
            <w:r>
              <w:rPr>
                <w:rFonts w:ascii="黑体" w:eastAsia="黑体" w:hint="eastAsia"/>
                <w:b/>
                <w:w w:val="100"/>
                <w:sz w:val="21"/>
              </w:rPr>
              <w:t>武术</w:t>
            </w:r>
            <w:r>
              <w:rPr>
                <w:rFonts w:ascii="黑体" w:eastAsia="黑体" w:hint="eastAsia"/>
                <w:b/>
                <w:spacing w:val="0"/>
                <w:w w:val="100"/>
                <w:sz w:val="21"/>
              </w:rPr>
              <w:t>比赛</w:t>
            </w:r>
            <w:r>
              <w:rPr>
                <w:rFonts w:ascii="黑体" w:eastAsia="黑体" w:hint="eastAsia"/>
                <w:spacing w:val="-5"/>
                <w:w w:val="100"/>
                <w:sz w:val="21"/>
              </w:rPr>
              <w:t>（</w:t>
            </w:r>
            <w:r>
              <w:rPr>
                <w:rFonts w:ascii="黑体" w:eastAsia="黑体" w:hint="eastAsia"/>
                <w:w w:val="100"/>
                <w:sz w:val="21"/>
              </w:rPr>
              <w:t>见释义</w:t>
            </w:r>
            <w:r>
              <w:rPr>
                <w:rFonts w:ascii="黑体" w:eastAsia="黑体" w:hint="eastAsia"/>
                <w:spacing w:val="-52"/>
                <w:sz w:val="21"/>
              </w:rPr>
              <w:t> </w:t>
            </w:r>
            <w:r>
              <w:rPr>
                <w:rFonts w:ascii="黑体" w:eastAsia="黑体" w:hint="eastAsia"/>
                <w:spacing w:val="-5"/>
                <w:w w:val="100"/>
                <w:sz w:val="21"/>
              </w:rPr>
              <w:t>6</w:t>
            </w:r>
            <w:r>
              <w:rPr>
                <w:rFonts w:ascii="黑体" w:eastAsia="黑体" w:hint="eastAsia"/>
                <w:w w:val="100"/>
                <w:sz w:val="21"/>
              </w:rPr>
              <w:t>.17</w:t>
            </w:r>
            <w:r>
              <w:rPr>
                <w:rFonts w:ascii="黑体" w:eastAsia="黑体" w:hint="eastAsia"/>
                <w:spacing w:val="-106"/>
                <w:w w:val="100"/>
                <w:sz w:val="21"/>
              </w:rPr>
              <w:t>）</w:t>
            </w:r>
            <w:r>
              <w:rPr>
                <w:rFonts w:ascii="黑体" w:eastAsia="黑体" w:hint="eastAsia"/>
                <w:spacing w:val="-5"/>
                <w:w w:val="100"/>
                <w:sz w:val="21"/>
              </w:rPr>
              <w:t>、特技表演、赛马、赛车等高风险运动；</w:t>
            </w:r>
          </w:p>
          <w:p>
            <w:pPr>
              <w:pStyle w:val="TableParagraph"/>
              <w:numPr>
                <w:ilvl w:val="0"/>
                <w:numId w:val="6"/>
              </w:numPr>
              <w:tabs>
                <w:tab w:pos="926" w:val="left" w:leader="none"/>
              </w:tabs>
              <w:spacing w:line="273" w:lineRule="auto" w:before="7" w:after="0"/>
              <w:ind w:left="925" w:right="299" w:hanging="721"/>
              <w:jc w:val="left"/>
              <w:rPr>
                <w:rFonts w:ascii="黑体" w:eastAsia="黑体" w:hint="eastAsia"/>
                <w:sz w:val="21"/>
              </w:rPr>
            </w:pPr>
            <w:r>
              <w:rPr>
                <w:rFonts w:ascii="黑体" w:eastAsia="黑体" w:hint="eastAsia"/>
                <w:b/>
                <w:spacing w:val="-5"/>
                <w:w w:val="100"/>
                <w:sz w:val="21"/>
              </w:rPr>
              <w:t>遗传性疾病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6.18</w:t>
            </w:r>
            <w:r>
              <w:rPr>
                <w:rFonts w:ascii="黑体" w:eastAsia="黑体" w:hint="eastAsia"/>
                <w:spacing w:val="-111"/>
                <w:w w:val="100"/>
                <w:sz w:val="21"/>
              </w:rPr>
              <w:t>）</w:t>
            </w:r>
            <w:r>
              <w:rPr>
                <w:rFonts w:ascii="黑体" w:eastAsia="黑体" w:hint="eastAsia"/>
                <w:spacing w:val="-29"/>
                <w:w w:val="100"/>
                <w:sz w:val="21"/>
              </w:rPr>
              <w:t>，</w:t>
            </w:r>
            <w:r>
              <w:rPr>
                <w:rFonts w:ascii="黑体" w:eastAsia="黑体" w:hint="eastAsia"/>
                <w:b/>
                <w:spacing w:val="-7"/>
                <w:w w:val="100"/>
                <w:sz w:val="21"/>
              </w:rPr>
              <w:t>先天性畸形、变形或染色体异常</w:t>
            </w:r>
            <w:r>
              <w:rPr>
                <w:rFonts w:ascii="黑体" w:eastAsia="黑体" w:hint="eastAsia"/>
                <w:w w:val="100"/>
                <w:sz w:val="21"/>
              </w:rPr>
              <w:t>（见释义</w:t>
            </w:r>
            <w:r>
              <w:rPr>
                <w:rFonts w:ascii="黑体" w:eastAsia="黑体" w:hint="eastAsia"/>
                <w:spacing w:val="-53"/>
                <w:sz w:val="21"/>
              </w:rPr>
              <w:t> </w:t>
            </w:r>
            <w:r>
              <w:rPr>
                <w:rFonts w:ascii="黑体" w:eastAsia="黑体" w:hint="eastAsia"/>
                <w:w w:val="100"/>
                <w:sz w:val="21"/>
              </w:rPr>
              <w:t>6.19</w:t>
            </w:r>
            <w:r>
              <w:rPr>
                <w:rFonts w:ascii="黑体" w:eastAsia="黑体" w:hint="eastAsia"/>
                <w:spacing w:val="-106"/>
                <w:w w:val="100"/>
                <w:sz w:val="21"/>
              </w:rPr>
              <w:t>）；</w:t>
            </w:r>
          </w:p>
          <w:p>
            <w:pPr>
              <w:pStyle w:val="TableParagraph"/>
              <w:numPr>
                <w:ilvl w:val="0"/>
                <w:numId w:val="6"/>
              </w:numPr>
              <w:tabs>
                <w:tab w:pos="926" w:val="left" w:leader="none"/>
              </w:tabs>
              <w:spacing w:line="240" w:lineRule="auto" w:before="7" w:after="0"/>
              <w:ind w:left="925" w:right="0" w:hanging="721"/>
              <w:jc w:val="left"/>
              <w:rPr>
                <w:rFonts w:ascii="黑体" w:eastAsia="黑体" w:hint="eastAsia"/>
                <w:sz w:val="21"/>
              </w:rPr>
            </w:pPr>
            <w:r>
              <w:rPr>
                <w:rFonts w:ascii="黑体" w:eastAsia="黑体" w:hint="eastAsia"/>
                <w:spacing w:val="-6"/>
                <w:sz w:val="21"/>
              </w:rPr>
              <w:t>被保险人故意自伤，但被保险人自伤时为无民事行为能力人的除外。</w:t>
            </w:r>
          </w:p>
          <w:p>
            <w:pPr>
              <w:pStyle w:val="TableParagraph"/>
              <w:spacing w:before="0"/>
              <w:ind w:left="0"/>
              <w:rPr>
                <w:rFonts w:ascii="Times New Roman"/>
                <w:sz w:val="20"/>
              </w:rPr>
            </w:pPr>
          </w:p>
          <w:p>
            <w:pPr>
              <w:pStyle w:val="TableParagraph"/>
              <w:spacing w:line="273" w:lineRule="auto" w:before="119"/>
              <w:ind w:left="204" w:right="303"/>
              <w:rPr>
                <w:sz w:val="21"/>
              </w:rPr>
            </w:pPr>
            <w:r>
              <w:rPr>
                <w:sz w:val="21"/>
              </w:rPr>
              <w:t>发生上述第（1）</w:t>
            </w:r>
            <w:r>
              <w:rPr>
                <w:spacing w:val="0"/>
                <w:sz w:val="21"/>
              </w:rPr>
              <w:t>项情形导致被保险人身故的，本主合同终止，您已交足 </w:t>
            </w:r>
            <w:r>
              <w:rPr>
                <w:sz w:val="21"/>
              </w:rPr>
              <w:t>2 </w:t>
            </w:r>
            <w:r>
              <w:rPr>
                <w:spacing w:val="-5"/>
                <w:sz w:val="21"/>
              </w:rPr>
              <w:t>年以上保险费的，我们向被保险人的法定继承人退还保险单的现金价值； 发生上述第（1）</w:t>
            </w:r>
            <w:r>
              <w:rPr>
                <w:spacing w:val="-4"/>
                <w:sz w:val="21"/>
              </w:rPr>
              <w:t>项情形导致被保险人全残的或者发生本主合同所定义的轻</w:t>
            </w:r>
            <w:r>
              <w:rPr>
                <w:spacing w:val="-9"/>
                <w:sz w:val="21"/>
              </w:rPr>
              <w:t>症疾病、重大疾病或少儿特定重大疾病的，本主合同终止，您已交足 </w:t>
            </w:r>
            <w:r>
              <w:rPr>
                <w:sz w:val="21"/>
              </w:rPr>
              <w:t>2</w:t>
            </w:r>
            <w:r>
              <w:rPr>
                <w:spacing w:val="-14"/>
                <w:sz w:val="21"/>
              </w:rPr>
              <w:t> 年以</w:t>
            </w:r>
            <w:r>
              <w:rPr>
                <w:spacing w:val="-9"/>
                <w:sz w:val="21"/>
              </w:rPr>
              <w:t>上保险费的，我们向被保险人退还保险单的现金价值；</w:t>
            </w:r>
          </w:p>
          <w:p>
            <w:pPr>
              <w:pStyle w:val="TableParagraph"/>
              <w:spacing w:line="273" w:lineRule="auto" w:before="8"/>
              <w:ind w:left="204" w:right="310"/>
              <w:rPr>
                <w:sz w:val="21"/>
              </w:rPr>
            </w:pPr>
            <w:r>
              <w:rPr>
                <w:sz w:val="21"/>
              </w:rPr>
              <w:t>发生上述第（2）-（7）项情形导致被保险人身故的，本主合同终止，我们向您退还保险单的现金价值；</w:t>
            </w:r>
          </w:p>
          <w:p>
            <w:pPr>
              <w:pStyle w:val="TableParagraph"/>
              <w:spacing w:line="273" w:lineRule="auto" w:before="7"/>
              <w:ind w:left="204" w:right="309"/>
              <w:rPr>
                <w:sz w:val="21"/>
              </w:rPr>
            </w:pPr>
            <w:r>
              <w:rPr>
                <w:sz w:val="21"/>
              </w:rPr>
              <w:t>发生上述第（2）-（8）种情形导致被保险人全残的，本主合同终止，我们向您退还保险单的现金价值。</w:t>
            </w:r>
          </w:p>
          <w:p>
            <w:pPr>
              <w:pStyle w:val="TableParagraph"/>
              <w:spacing w:line="255" w:lineRule="exact" w:before="7"/>
              <w:ind w:left="204"/>
              <w:rPr>
                <w:sz w:val="21"/>
              </w:rPr>
            </w:pPr>
            <w:r>
              <w:rPr>
                <w:sz w:val="21"/>
              </w:rPr>
              <w:t>发生上述第（2）—（10）项情形导致被保险人发生本主合同所定义的轻症</w:t>
            </w:r>
          </w:p>
        </w:tc>
      </w:tr>
    </w:tbl>
    <w:p>
      <w:pPr>
        <w:spacing w:after="0" w:line="255" w:lineRule="exact"/>
        <w:rPr>
          <w:sz w:val="21"/>
        </w:rPr>
        <w:sectPr>
          <w:pgSz w:w="11910" w:h="16840"/>
          <w:pgMar w:header="496" w:footer="995" w:top="800" w:bottom="1180" w:left="760" w:right="740"/>
        </w:sectPr>
      </w:pPr>
    </w:p>
    <w:p>
      <w:pPr>
        <w:pStyle w:val="BodyText"/>
        <w:rPr>
          <w:rFonts w:ascii="Times New Roman"/>
          <w:sz w:val="20"/>
        </w:rPr>
      </w:pPr>
    </w:p>
    <w:p>
      <w:pPr>
        <w:pStyle w:val="BodyText"/>
        <w:spacing w:before="9" w:after="1"/>
        <w:rPr>
          <w:rFonts w:ascii="Times New Roman"/>
          <w:sz w:val="12"/>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2065"/>
        <w:gridCol w:w="7090"/>
      </w:tblGrid>
      <w:tr>
        <w:trPr>
          <w:trHeight w:val="729" w:hRule="atLeast"/>
        </w:trPr>
        <w:tc>
          <w:tcPr>
            <w:tcW w:w="742" w:type="dxa"/>
          </w:tcPr>
          <w:p>
            <w:pPr>
              <w:pStyle w:val="TableParagraph"/>
              <w:spacing w:before="0"/>
              <w:ind w:left="0"/>
              <w:rPr>
                <w:rFonts w:ascii="Times New Roman"/>
                <w:sz w:val="20"/>
              </w:rPr>
            </w:pPr>
          </w:p>
        </w:tc>
        <w:tc>
          <w:tcPr>
            <w:tcW w:w="2065" w:type="dxa"/>
          </w:tcPr>
          <w:p>
            <w:pPr>
              <w:pStyle w:val="TableParagraph"/>
              <w:spacing w:before="0"/>
              <w:ind w:left="0"/>
              <w:rPr>
                <w:rFonts w:ascii="Times New Roman"/>
                <w:sz w:val="20"/>
              </w:rPr>
            </w:pPr>
          </w:p>
        </w:tc>
        <w:tc>
          <w:tcPr>
            <w:tcW w:w="7090" w:type="dxa"/>
          </w:tcPr>
          <w:p>
            <w:pPr>
              <w:pStyle w:val="TableParagraph"/>
              <w:spacing w:line="211" w:lineRule="exact" w:before="0"/>
              <w:ind w:left="97"/>
              <w:rPr>
                <w:sz w:val="21"/>
              </w:rPr>
            </w:pPr>
            <w:r>
              <w:rPr>
                <w:sz w:val="21"/>
              </w:rPr>
              <w:t>疾病、重大疾病或少儿特定重大疾病的，本主合同终止，我们向您退还保险</w:t>
            </w:r>
          </w:p>
          <w:p>
            <w:pPr>
              <w:pStyle w:val="TableParagraph"/>
              <w:ind w:left="97"/>
              <w:rPr>
                <w:sz w:val="21"/>
              </w:rPr>
            </w:pPr>
            <w:r>
              <w:rPr>
                <w:sz w:val="21"/>
              </w:rPr>
              <w:t>单的现金价值。</w:t>
            </w:r>
          </w:p>
        </w:tc>
      </w:tr>
      <w:tr>
        <w:trPr>
          <w:trHeight w:val="1898" w:hRule="atLeast"/>
        </w:trPr>
        <w:tc>
          <w:tcPr>
            <w:tcW w:w="742" w:type="dxa"/>
          </w:tcPr>
          <w:p>
            <w:pPr>
              <w:pStyle w:val="TableParagraph"/>
              <w:spacing w:before="142"/>
              <w:ind w:left="110"/>
              <w:rPr>
                <w:b/>
                <w:sz w:val="21"/>
              </w:rPr>
            </w:pPr>
            <w:r>
              <w:rPr>
                <w:b/>
                <w:sz w:val="21"/>
              </w:rPr>
              <w:t>2.5</w:t>
            </w:r>
          </w:p>
        </w:tc>
        <w:tc>
          <w:tcPr>
            <w:tcW w:w="2065" w:type="dxa"/>
          </w:tcPr>
          <w:p>
            <w:pPr>
              <w:pStyle w:val="TableParagraph"/>
              <w:spacing w:before="142"/>
              <w:ind w:left="276"/>
              <w:rPr>
                <w:b/>
                <w:sz w:val="21"/>
              </w:rPr>
            </w:pPr>
            <w:r>
              <w:rPr>
                <w:b/>
                <w:sz w:val="21"/>
              </w:rPr>
              <w:t>保险责任的终止</w:t>
            </w:r>
          </w:p>
        </w:tc>
        <w:tc>
          <w:tcPr>
            <w:tcW w:w="7090" w:type="dxa"/>
          </w:tcPr>
          <w:p>
            <w:pPr>
              <w:pStyle w:val="TableParagraph"/>
              <w:spacing w:before="142"/>
              <w:ind w:left="97"/>
              <w:rPr>
                <w:sz w:val="21"/>
              </w:rPr>
            </w:pPr>
            <w:r>
              <w:rPr>
                <w:sz w:val="21"/>
              </w:rPr>
              <w:t>以下任何一种情况发生时，本主合同及其保险责任自动终止：</w:t>
            </w:r>
          </w:p>
          <w:p>
            <w:pPr>
              <w:pStyle w:val="TableParagraph"/>
              <w:ind w:left="97"/>
              <w:rPr>
                <w:sz w:val="21"/>
              </w:rPr>
            </w:pPr>
            <w:r>
              <w:rPr>
                <w:sz w:val="21"/>
              </w:rPr>
              <w:t>（1）在本主合同有效期内您向我们申请解除合同；</w:t>
            </w:r>
          </w:p>
          <w:p>
            <w:pPr>
              <w:pStyle w:val="TableParagraph"/>
              <w:ind w:left="97"/>
              <w:rPr>
                <w:sz w:val="21"/>
              </w:rPr>
            </w:pPr>
            <w:r>
              <w:rPr>
                <w:sz w:val="21"/>
              </w:rPr>
              <w:t>（2）本主合同其他条款所列保险责任终止或本主合同终止的情形；</w:t>
            </w:r>
          </w:p>
          <w:p>
            <w:pPr>
              <w:pStyle w:val="TableParagraph"/>
              <w:spacing w:line="273" w:lineRule="auto"/>
              <w:ind w:left="564" w:right="162" w:hanging="467"/>
              <w:rPr>
                <w:sz w:val="21"/>
              </w:rPr>
            </w:pPr>
            <w:r>
              <w:rPr>
                <w:sz w:val="21"/>
              </w:rPr>
              <w:t>（3）本主合同因其他条款所列情况而中止效力，且自本主合同效力中止之日起 2 年内您与我们未达成复效协议的。</w:t>
            </w:r>
          </w:p>
        </w:tc>
      </w:tr>
      <w:tr>
        <w:trPr>
          <w:trHeight w:val="755" w:hRule="atLeast"/>
        </w:trPr>
        <w:tc>
          <w:tcPr>
            <w:tcW w:w="742" w:type="dxa"/>
            <w:tcBorders>
              <w:bottom w:val="single" w:sz="4" w:space="0" w:color="000000"/>
            </w:tcBorders>
          </w:tcPr>
          <w:p>
            <w:pPr>
              <w:pStyle w:val="TableParagraph"/>
              <w:spacing w:before="193"/>
              <w:ind w:left="110"/>
              <w:rPr>
                <w:rFonts w:ascii="Arial" w:hAnsi="Arial"/>
                <w:b/>
                <w:sz w:val="40"/>
              </w:rPr>
            </w:pPr>
            <w:r>
              <w:rPr>
                <w:rFonts w:ascii="Arial" w:hAnsi="Arial"/>
                <w:b/>
                <w:w w:val="118"/>
                <w:sz w:val="40"/>
              </w:rPr>
              <w:t></w:t>
            </w:r>
          </w:p>
        </w:tc>
        <w:tc>
          <w:tcPr>
            <w:tcW w:w="9155" w:type="dxa"/>
            <w:gridSpan w:val="2"/>
            <w:tcBorders>
              <w:bottom w:val="single" w:sz="4" w:space="0" w:color="000000"/>
            </w:tcBorders>
          </w:tcPr>
          <w:p>
            <w:pPr>
              <w:pStyle w:val="TableParagraph"/>
              <w:spacing w:before="8"/>
              <w:ind w:left="0"/>
              <w:rPr>
                <w:rFonts w:ascii="Times New Roman"/>
                <w:sz w:val="21"/>
              </w:rPr>
            </w:pPr>
          </w:p>
          <w:p>
            <w:pPr>
              <w:pStyle w:val="TableParagraph"/>
              <w:spacing w:before="0"/>
              <w:ind w:left="276"/>
              <w:rPr>
                <w:b/>
                <w:sz w:val="24"/>
              </w:rPr>
            </w:pPr>
            <w:r>
              <w:rPr>
                <w:b/>
                <w:w w:val="95"/>
                <w:sz w:val="24"/>
              </w:rPr>
              <w:t>如何申请领取保险金</w:t>
            </w:r>
          </w:p>
        </w:tc>
      </w:tr>
      <w:tr>
        <w:trPr>
          <w:trHeight w:val="764" w:hRule="atLeast"/>
        </w:trPr>
        <w:tc>
          <w:tcPr>
            <w:tcW w:w="742" w:type="dxa"/>
            <w:tcBorders>
              <w:top w:val="single" w:sz="4" w:space="0" w:color="000000"/>
            </w:tcBorders>
          </w:tcPr>
          <w:p>
            <w:pPr>
              <w:pStyle w:val="TableParagraph"/>
              <w:spacing w:before="6"/>
              <w:ind w:left="0"/>
              <w:rPr>
                <w:rFonts w:ascii="Times New Roman"/>
                <w:sz w:val="24"/>
              </w:rPr>
            </w:pPr>
          </w:p>
          <w:p>
            <w:pPr>
              <w:pStyle w:val="TableParagraph"/>
              <w:spacing w:before="0"/>
              <w:ind w:left="110"/>
              <w:rPr>
                <w:b/>
                <w:sz w:val="21"/>
              </w:rPr>
            </w:pPr>
            <w:r>
              <w:rPr>
                <w:b/>
                <w:sz w:val="21"/>
              </w:rPr>
              <w:t>3.1</w:t>
            </w:r>
          </w:p>
        </w:tc>
        <w:tc>
          <w:tcPr>
            <w:tcW w:w="2065" w:type="dxa"/>
            <w:tcBorders>
              <w:top w:val="single" w:sz="4" w:space="0" w:color="000000"/>
            </w:tcBorders>
          </w:tcPr>
          <w:p>
            <w:pPr>
              <w:pStyle w:val="TableParagraph"/>
              <w:spacing w:before="6"/>
              <w:ind w:left="0"/>
              <w:rPr>
                <w:rFonts w:ascii="Times New Roman"/>
                <w:sz w:val="24"/>
              </w:rPr>
            </w:pPr>
          </w:p>
          <w:p>
            <w:pPr>
              <w:pStyle w:val="TableParagraph"/>
              <w:spacing w:before="0"/>
              <w:ind w:left="276"/>
              <w:rPr>
                <w:b/>
                <w:sz w:val="21"/>
              </w:rPr>
            </w:pPr>
            <w:r>
              <w:rPr>
                <w:b/>
                <w:sz w:val="21"/>
              </w:rPr>
              <w:t>保险金受益人</w:t>
            </w:r>
          </w:p>
        </w:tc>
        <w:tc>
          <w:tcPr>
            <w:tcW w:w="7090" w:type="dxa"/>
            <w:tcBorders>
              <w:top w:val="single" w:sz="4" w:space="0" w:color="000000"/>
            </w:tcBorders>
          </w:tcPr>
          <w:p>
            <w:pPr>
              <w:pStyle w:val="TableParagraph"/>
              <w:spacing w:before="0"/>
              <w:ind w:left="0"/>
              <w:rPr>
                <w:rFonts w:ascii="Times New Roman"/>
                <w:sz w:val="20"/>
              </w:rPr>
            </w:pPr>
          </w:p>
        </w:tc>
      </w:tr>
      <w:tr>
        <w:trPr>
          <w:trHeight w:val="1872" w:hRule="atLeast"/>
        </w:trPr>
        <w:tc>
          <w:tcPr>
            <w:tcW w:w="742" w:type="dxa"/>
          </w:tcPr>
          <w:p>
            <w:pPr>
              <w:pStyle w:val="TableParagraph"/>
              <w:spacing w:before="0"/>
              <w:ind w:left="0"/>
              <w:rPr>
                <w:rFonts w:ascii="Times New Roman"/>
                <w:sz w:val="20"/>
              </w:rPr>
            </w:pPr>
          </w:p>
        </w:tc>
        <w:tc>
          <w:tcPr>
            <w:tcW w:w="2065" w:type="dxa"/>
          </w:tcPr>
          <w:p>
            <w:pPr>
              <w:pStyle w:val="TableParagraph"/>
              <w:spacing w:line="273" w:lineRule="auto" w:before="143"/>
              <w:ind w:left="276" w:right="96"/>
              <w:rPr>
                <w:b/>
                <w:sz w:val="21"/>
              </w:rPr>
            </w:pPr>
            <w:r>
              <w:rPr>
                <w:b/>
                <w:sz w:val="21"/>
              </w:rPr>
              <w:t>轻症疾病保险金、重大疾病保险金 和少儿特定重大 疾病保险金受益 人</w:t>
            </w:r>
          </w:p>
        </w:tc>
        <w:tc>
          <w:tcPr>
            <w:tcW w:w="7090" w:type="dxa"/>
          </w:tcPr>
          <w:p>
            <w:pPr>
              <w:pStyle w:val="TableParagraph"/>
              <w:spacing w:line="273" w:lineRule="auto" w:before="143"/>
              <w:ind w:left="97" w:right="104"/>
              <w:rPr>
                <w:sz w:val="21"/>
              </w:rPr>
            </w:pPr>
            <w:r>
              <w:rPr>
                <w:spacing w:val="-7"/>
                <w:sz w:val="21"/>
              </w:rPr>
              <w:t>除另有约定，本主合同轻症疾病保险金、重大疾病保险金和少儿特定重大疾</w:t>
            </w:r>
            <w:r>
              <w:rPr>
                <w:spacing w:val="-6"/>
                <w:sz w:val="21"/>
              </w:rPr>
              <w:t>病保险金的受益人为被保险人本人。</w:t>
            </w:r>
          </w:p>
        </w:tc>
      </w:tr>
      <w:tr>
        <w:trPr>
          <w:trHeight w:val="5929" w:hRule="atLeast"/>
        </w:trPr>
        <w:tc>
          <w:tcPr>
            <w:tcW w:w="742" w:type="dxa"/>
          </w:tcPr>
          <w:p>
            <w:pPr>
              <w:pStyle w:val="TableParagraph"/>
              <w:spacing w:before="0"/>
              <w:ind w:left="0"/>
              <w:rPr>
                <w:rFonts w:ascii="Times New Roman"/>
                <w:sz w:val="20"/>
              </w:rPr>
            </w:pPr>
          </w:p>
        </w:tc>
        <w:tc>
          <w:tcPr>
            <w:tcW w:w="2065" w:type="dxa"/>
          </w:tcPr>
          <w:p>
            <w:pPr>
              <w:pStyle w:val="TableParagraph"/>
              <w:spacing w:line="273" w:lineRule="auto" w:before="143"/>
              <w:ind w:left="276" w:right="308"/>
              <w:rPr>
                <w:b/>
                <w:sz w:val="21"/>
              </w:rPr>
            </w:pPr>
            <w:r>
              <w:rPr>
                <w:b/>
                <w:sz w:val="21"/>
              </w:rPr>
              <w:t>身故保险金受益人</w:t>
            </w:r>
          </w:p>
        </w:tc>
        <w:tc>
          <w:tcPr>
            <w:tcW w:w="7090" w:type="dxa"/>
          </w:tcPr>
          <w:p>
            <w:pPr>
              <w:pStyle w:val="TableParagraph"/>
              <w:spacing w:before="143"/>
              <w:ind w:left="97"/>
              <w:rPr>
                <w:sz w:val="21"/>
              </w:rPr>
            </w:pPr>
            <w:r>
              <w:rPr>
                <w:sz w:val="21"/>
              </w:rPr>
              <w:t>您或被保险人可以指定一人或多人为身故保险金受益人。</w:t>
            </w:r>
          </w:p>
          <w:p>
            <w:pPr>
              <w:pStyle w:val="TableParagraph"/>
              <w:spacing w:line="273" w:lineRule="auto"/>
              <w:ind w:left="97" w:right="107"/>
              <w:rPr>
                <w:sz w:val="21"/>
              </w:rPr>
            </w:pPr>
            <w:r>
              <w:rPr>
                <w:spacing w:val="-7"/>
                <w:sz w:val="21"/>
              </w:rPr>
              <w:t>被保险人为无民事行为能力人或限制民事行为能力人的，可以由其监护人指定受益人。</w:t>
            </w:r>
          </w:p>
          <w:p>
            <w:pPr>
              <w:pStyle w:val="TableParagraph"/>
              <w:spacing w:line="273" w:lineRule="auto" w:before="7"/>
              <w:ind w:left="97" w:right="58"/>
              <w:rPr>
                <w:sz w:val="21"/>
              </w:rPr>
            </w:pPr>
            <w:r>
              <w:rPr>
                <w:sz w:val="21"/>
              </w:rPr>
              <w:t>身故保险金受益人为多人时，可以确定受益顺序和受益份额；如果没有确定份额，各身故保险金受益人按照相等份额享有受益权。</w:t>
            </w:r>
          </w:p>
          <w:p>
            <w:pPr>
              <w:pStyle w:val="TableParagraph"/>
              <w:spacing w:line="273" w:lineRule="auto" w:before="7"/>
              <w:ind w:left="97" w:right="107"/>
              <w:jc w:val="both"/>
              <w:rPr>
                <w:sz w:val="21"/>
              </w:rPr>
            </w:pPr>
            <w:r>
              <w:rPr>
                <w:spacing w:val="-7"/>
                <w:sz w:val="21"/>
              </w:rPr>
              <w:t>您或被保险人可以变更身故保险金受益人并书面通知本公司。本公司收到变</w:t>
            </w:r>
            <w:r>
              <w:rPr>
                <w:spacing w:val="-9"/>
                <w:sz w:val="21"/>
              </w:rPr>
              <w:t>更身故保险金受益人的书面通知后，将及时在保险单或者其他保险凭证上批</w:t>
            </w:r>
            <w:r>
              <w:rPr>
                <w:spacing w:val="-7"/>
                <w:sz w:val="21"/>
              </w:rPr>
              <w:t>注或者附贴批单。</w:t>
            </w:r>
          </w:p>
          <w:p>
            <w:pPr>
              <w:pStyle w:val="TableParagraph"/>
              <w:spacing w:before="7"/>
              <w:ind w:left="97"/>
              <w:rPr>
                <w:sz w:val="21"/>
              </w:rPr>
            </w:pPr>
            <w:r>
              <w:rPr>
                <w:sz w:val="21"/>
              </w:rPr>
              <w:t>您在指定和变更身故保险金受益人时，必须经被保险人同意。</w:t>
            </w:r>
          </w:p>
          <w:p>
            <w:pPr>
              <w:pStyle w:val="TableParagraph"/>
              <w:spacing w:line="273" w:lineRule="auto"/>
              <w:ind w:left="97" w:right="107"/>
              <w:rPr>
                <w:sz w:val="21"/>
              </w:rPr>
            </w:pPr>
            <w:r>
              <w:rPr>
                <w:spacing w:val="-7"/>
                <w:sz w:val="21"/>
              </w:rPr>
              <w:t>被保险人身故后，遇有下列情形之一的，保险金作为被保险人的遗产，由本</w:t>
            </w:r>
            <w:r>
              <w:rPr>
                <w:spacing w:val="-6"/>
                <w:sz w:val="21"/>
              </w:rPr>
              <w:t>公司依照《中华人民共和国继承法》的规定履行给付保险金的义务：</w:t>
            </w:r>
          </w:p>
          <w:p>
            <w:pPr>
              <w:pStyle w:val="TableParagraph"/>
              <w:spacing w:before="7"/>
              <w:ind w:left="97"/>
              <w:rPr>
                <w:sz w:val="21"/>
              </w:rPr>
            </w:pPr>
            <w:r>
              <w:rPr>
                <w:sz w:val="21"/>
              </w:rPr>
              <w:t>（1）没有指定受益人，或者受益人指定不明无法确定的；</w:t>
            </w:r>
          </w:p>
          <w:p>
            <w:pPr>
              <w:pStyle w:val="TableParagraph"/>
              <w:spacing w:before="36"/>
              <w:ind w:left="97"/>
              <w:rPr>
                <w:sz w:val="21"/>
              </w:rPr>
            </w:pPr>
            <w:r>
              <w:rPr>
                <w:sz w:val="21"/>
              </w:rPr>
              <w:t>（2）受益人先于被保险人身故，没有其他受益人的；</w:t>
            </w:r>
          </w:p>
          <w:p>
            <w:pPr>
              <w:pStyle w:val="TableParagraph"/>
              <w:spacing w:before="36"/>
              <w:ind w:left="97"/>
              <w:rPr>
                <w:sz w:val="21"/>
              </w:rPr>
            </w:pPr>
            <w:r>
              <w:rPr>
                <w:sz w:val="21"/>
              </w:rPr>
              <w:t>（3）受益人依法丧失受益权或者放弃受益权，没有其他受益人的。</w:t>
            </w:r>
          </w:p>
          <w:p>
            <w:pPr>
              <w:pStyle w:val="TableParagraph"/>
              <w:spacing w:line="273" w:lineRule="auto" w:before="36"/>
              <w:ind w:left="97" w:right="58"/>
              <w:rPr>
                <w:sz w:val="21"/>
              </w:rPr>
            </w:pPr>
            <w:r>
              <w:rPr>
                <w:sz w:val="21"/>
              </w:rPr>
              <w:t>受益人与被保险人在同一事件中身故，且不能确定身故先后顺序的，推定受益人身故在先。</w:t>
            </w:r>
          </w:p>
          <w:p>
            <w:pPr>
              <w:pStyle w:val="TableParagraph"/>
              <w:spacing w:line="273" w:lineRule="auto" w:before="7"/>
              <w:ind w:left="97" w:right="107"/>
              <w:rPr>
                <w:sz w:val="21"/>
              </w:rPr>
            </w:pPr>
            <w:r>
              <w:rPr>
                <w:spacing w:val="-7"/>
                <w:sz w:val="21"/>
              </w:rPr>
              <w:t>受益人故意造成被保险人身故、伤残、疾病的，或者故意杀害被保险人未遂</w:t>
            </w:r>
            <w:r>
              <w:rPr>
                <w:spacing w:val="-6"/>
                <w:sz w:val="21"/>
              </w:rPr>
              <w:t>的，该受益人丧失受益权。</w:t>
            </w:r>
          </w:p>
        </w:tc>
      </w:tr>
      <w:tr>
        <w:trPr>
          <w:trHeight w:val="931" w:hRule="atLeast"/>
        </w:trPr>
        <w:tc>
          <w:tcPr>
            <w:tcW w:w="742" w:type="dxa"/>
          </w:tcPr>
          <w:p>
            <w:pPr>
              <w:pStyle w:val="TableParagraph"/>
              <w:spacing w:before="0"/>
              <w:ind w:left="0"/>
              <w:rPr>
                <w:rFonts w:ascii="Times New Roman"/>
                <w:sz w:val="20"/>
              </w:rPr>
            </w:pPr>
          </w:p>
        </w:tc>
        <w:tc>
          <w:tcPr>
            <w:tcW w:w="2065" w:type="dxa"/>
          </w:tcPr>
          <w:p>
            <w:pPr>
              <w:pStyle w:val="TableParagraph"/>
              <w:spacing w:line="273" w:lineRule="auto" w:before="142"/>
              <w:ind w:left="276" w:right="308"/>
              <w:rPr>
                <w:b/>
                <w:sz w:val="21"/>
              </w:rPr>
            </w:pPr>
            <w:r>
              <w:rPr>
                <w:b/>
                <w:sz w:val="21"/>
              </w:rPr>
              <w:t>全残保险金受益人</w:t>
            </w:r>
          </w:p>
        </w:tc>
        <w:tc>
          <w:tcPr>
            <w:tcW w:w="7090" w:type="dxa"/>
          </w:tcPr>
          <w:p>
            <w:pPr>
              <w:pStyle w:val="TableParagraph"/>
              <w:spacing w:before="142"/>
              <w:ind w:left="97"/>
              <w:rPr>
                <w:sz w:val="21"/>
              </w:rPr>
            </w:pPr>
            <w:r>
              <w:rPr>
                <w:sz w:val="21"/>
              </w:rPr>
              <w:t>除本主合同另有约定外，本主合同全残保险金的受益人为被保险人本人。</w:t>
            </w:r>
          </w:p>
        </w:tc>
      </w:tr>
      <w:tr>
        <w:trPr>
          <w:trHeight w:val="1358" w:hRule="atLeast"/>
        </w:trPr>
        <w:tc>
          <w:tcPr>
            <w:tcW w:w="742" w:type="dxa"/>
          </w:tcPr>
          <w:p>
            <w:pPr>
              <w:pStyle w:val="TableParagraph"/>
              <w:spacing w:before="147"/>
              <w:ind w:left="110"/>
              <w:rPr>
                <w:b/>
                <w:sz w:val="21"/>
              </w:rPr>
            </w:pPr>
            <w:r>
              <w:rPr>
                <w:b/>
                <w:sz w:val="21"/>
              </w:rPr>
              <w:t>3.2</w:t>
            </w:r>
          </w:p>
        </w:tc>
        <w:tc>
          <w:tcPr>
            <w:tcW w:w="2065" w:type="dxa"/>
          </w:tcPr>
          <w:p>
            <w:pPr>
              <w:pStyle w:val="TableParagraph"/>
              <w:spacing w:before="147"/>
              <w:ind w:left="276"/>
              <w:rPr>
                <w:b/>
                <w:sz w:val="21"/>
              </w:rPr>
            </w:pPr>
            <w:r>
              <w:rPr>
                <w:b/>
                <w:sz w:val="21"/>
              </w:rPr>
              <w:t>保险事故通知</w:t>
            </w:r>
          </w:p>
        </w:tc>
        <w:tc>
          <w:tcPr>
            <w:tcW w:w="7090" w:type="dxa"/>
          </w:tcPr>
          <w:p>
            <w:pPr>
              <w:pStyle w:val="TableParagraph"/>
              <w:spacing w:before="136"/>
              <w:ind w:left="97"/>
              <w:rPr>
                <w:i/>
                <w:sz w:val="22"/>
              </w:rPr>
            </w:pPr>
            <w:r>
              <w:rPr>
                <w:sz w:val="21"/>
              </w:rPr>
              <w:t>您或受益人知道保险事故后应当在 10 日内通知本公司</w:t>
            </w:r>
            <w:r>
              <w:rPr>
                <w:i/>
                <w:sz w:val="22"/>
              </w:rPr>
              <w:t>。</w:t>
            </w:r>
          </w:p>
          <w:p>
            <w:pPr>
              <w:pStyle w:val="TableParagraph"/>
              <w:spacing w:line="273" w:lineRule="auto" w:before="36"/>
              <w:ind w:left="97" w:right="106"/>
              <w:rPr>
                <w:sz w:val="21"/>
              </w:rPr>
            </w:pPr>
            <w:r>
              <w:rPr>
                <w:spacing w:val="-7"/>
                <w:sz w:val="21"/>
              </w:rPr>
              <w:t>如果您或受益人故意或者因重大过失未及时通知，致使保险事故的性质、原</w:t>
            </w:r>
            <w:r>
              <w:rPr>
                <w:spacing w:val="-8"/>
                <w:sz w:val="21"/>
              </w:rPr>
              <w:t>因、损失程度等难以确定的，本公司对无法确定的部分，不承担给付保险金</w:t>
            </w:r>
          </w:p>
          <w:p>
            <w:pPr>
              <w:pStyle w:val="TableParagraph"/>
              <w:spacing w:line="255" w:lineRule="exact" w:before="8"/>
              <w:ind w:left="97"/>
              <w:rPr>
                <w:sz w:val="21"/>
              </w:rPr>
            </w:pPr>
            <w:r>
              <w:rPr>
                <w:sz w:val="21"/>
              </w:rPr>
              <w:t>的责任，但本公司通过其他途径已经及时知道或者应当及时知道保险事故发</w:t>
            </w:r>
          </w:p>
        </w:tc>
      </w:tr>
    </w:tbl>
    <w:p>
      <w:pPr>
        <w:spacing w:after="0" w:line="255" w:lineRule="exact"/>
        <w:rPr>
          <w:sz w:val="21"/>
        </w:rPr>
        <w:sectPr>
          <w:pgSz w:w="11910" w:h="16840"/>
          <w:pgMar w:header="496" w:footer="995" w:top="800" w:bottom="1180" w:left="860" w:right="940"/>
        </w:sectPr>
      </w:pPr>
    </w:p>
    <w:p>
      <w:pPr>
        <w:pStyle w:val="BodyText"/>
        <w:rPr>
          <w:rFonts w:ascii="Times New Roman"/>
          <w:sz w:val="20"/>
        </w:rPr>
      </w:pPr>
    </w:p>
    <w:p>
      <w:pPr>
        <w:pStyle w:val="BodyText"/>
        <w:spacing w:before="9" w:after="1"/>
        <w:rPr>
          <w:rFonts w:ascii="Times New Roman"/>
          <w:sz w:val="1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2"/>
        <w:gridCol w:w="2084"/>
        <w:gridCol w:w="7229"/>
      </w:tblGrid>
      <w:tr>
        <w:trPr>
          <w:trHeight w:val="729" w:hRule="atLeast"/>
        </w:trPr>
        <w:tc>
          <w:tcPr>
            <w:tcW w:w="812" w:type="dxa"/>
          </w:tcPr>
          <w:p>
            <w:pPr>
              <w:pStyle w:val="TableParagraph"/>
              <w:spacing w:before="0"/>
              <w:ind w:left="0"/>
              <w:rPr>
                <w:rFonts w:ascii="Times New Roman"/>
                <w:sz w:val="20"/>
              </w:rPr>
            </w:pPr>
          </w:p>
        </w:tc>
        <w:tc>
          <w:tcPr>
            <w:tcW w:w="2084" w:type="dxa"/>
          </w:tcPr>
          <w:p>
            <w:pPr>
              <w:pStyle w:val="TableParagraph"/>
              <w:spacing w:before="0"/>
              <w:ind w:left="0"/>
              <w:rPr>
                <w:rFonts w:ascii="Times New Roman"/>
                <w:sz w:val="20"/>
              </w:rPr>
            </w:pPr>
          </w:p>
        </w:tc>
        <w:tc>
          <w:tcPr>
            <w:tcW w:w="7229" w:type="dxa"/>
          </w:tcPr>
          <w:p>
            <w:pPr>
              <w:pStyle w:val="TableParagraph"/>
              <w:spacing w:line="211" w:lineRule="exact" w:before="0"/>
              <w:ind w:left="98"/>
              <w:rPr>
                <w:sz w:val="21"/>
              </w:rPr>
            </w:pPr>
            <w:r>
              <w:rPr>
                <w:sz w:val="21"/>
              </w:rPr>
              <w:t>生或者虽未及时通知但不影响本公司确定保险事故的性质、原因、损失程度</w:t>
            </w:r>
          </w:p>
          <w:p>
            <w:pPr>
              <w:pStyle w:val="TableParagraph"/>
              <w:ind w:left="98"/>
              <w:rPr>
                <w:sz w:val="21"/>
              </w:rPr>
            </w:pPr>
            <w:r>
              <w:rPr>
                <w:sz w:val="21"/>
              </w:rPr>
              <w:t>的除外。</w:t>
            </w:r>
          </w:p>
        </w:tc>
      </w:tr>
      <w:tr>
        <w:trPr>
          <w:trHeight w:val="612" w:hRule="atLeast"/>
        </w:trPr>
        <w:tc>
          <w:tcPr>
            <w:tcW w:w="812" w:type="dxa"/>
          </w:tcPr>
          <w:p>
            <w:pPr>
              <w:pStyle w:val="TableParagraph"/>
              <w:spacing w:before="142"/>
              <w:ind w:left="200"/>
              <w:rPr>
                <w:b/>
                <w:sz w:val="21"/>
              </w:rPr>
            </w:pPr>
            <w:r>
              <w:rPr>
                <w:b/>
                <w:sz w:val="21"/>
              </w:rPr>
              <w:t>3.3</w:t>
            </w:r>
          </w:p>
        </w:tc>
        <w:tc>
          <w:tcPr>
            <w:tcW w:w="2084" w:type="dxa"/>
          </w:tcPr>
          <w:p>
            <w:pPr>
              <w:pStyle w:val="TableParagraph"/>
              <w:spacing w:before="142"/>
              <w:ind w:left="295"/>
              <w:rPr>
                <w:b/>
                <w:sz w:val="21"/>
              </w:rPr>
            </w:pPr>
            <w:r>
              <w:rPr>
                <w:b/>
                <w:sz w:val="21"/>
              </w:rPr>
              <w:t>保险金申请</w:t>
            </w:r>
          </w:p>
        </w:tc>
        <w:tc>
          <w:tcPr>
            <w:tcW w:w="7229" w:type="dxa"/>
          </w:tcPr>
          <w:p>
            <w:pPr>
              <w:pStyle w:val="TableParagraph"/>
              <w:spacing w:before="142"/>
              <w:ind w:left="98"/>
              <w:rPr>
                <w:sz w:val="21"/>
              </w:rPr>
            </w:pPr>
            <w:r>
              <w:rPr>
                <w:sz w:val="21"/>
              </w:rPr>
              <w:t>在申请保险金时，请按照下列方式办理：</w:t>
            </w:r>
          </w:p>
        </w:tc>
      </w:tr>
      <w:tr>
        <w:trPr>
          <w:trHeight w:val="3133" w:hRule="atLeast"/>
        </w:trPr>
        <w:tc>
          <w:tcPr>
            <w:tcW w:w="812" w:type="dxa"/>
          </w:tcPr>
          <w:p>
            <w:pPr>
              <w:pStyle w:val="TableParagraph"/>
              <w:spacing w:before="0"/>
              <w:ind w:left="0"/>
              <w:rPr>
                <w:rFonts w:ascii="Times New Roman"/>
                <w:sz w:val="20"/>
              </w:rPr>
            </w:pPr>
          </w:p>
        </w:tc>
        <w:tc>
          <w:tcPr>
            <w:tcW w:w="2084" w:type="dxa"/>
          </w:tcPr>
          <w:p>
            <w:pPr>
              <w:pStyle w:val="TableParagraph"/>
              <w:spacing w:line="237" w:lineRule="auto" w:before="133"/>
              <w:ind w:left="295" w:right="96"/>
              <w:rPr>
                <w:rFonts w:ascii="黑体" w:eastAsia="黑体" w:hint="eastAsia"/>
                <w:b/>
                <w:sz w:val="21"/>
              </w:rPr>
            </w:pPr>
            <w:r>
              <w:rPr>
                <w:rFonts w:ascii="黑体" w:eastAsia="黑体" w:hint="eastAsia"/>
                <w:b/>
                <w:sz w:val="21"/>
              </w:rPr>
              <w:t>轻症疾病保险金、重大疾病保险金 少儿特定重大疾 病保险金的申请</w:t>
            </w:r>
          </w:p>
        </w:tc>
        <w:tc>
          <w:tcPr>
            <w:tcW w:w="7229" w:type="dxa"/>
          </w:tcPr>
          <w:p>
            <w:pPr>
              <w:pStyle w:val="TableParagraph"/>
              <w:spacing w:before="155"/>
              <w:ind w:left="98"/>
              <w:rPr>
                <w:sz w:val="21"/>
              </w:rPr>
            </w:pPr>
            <w:r>
              <w:rPr>
                <w:sz w:val="21"/>
              </w:rPr>
              <w:t>申请人须填写保险金给付申请书，并须提供下列证明和资料：</w:t>
            </w:r>
          </w:p>
          <w:p>
            <w:pPr>
              <w:pStyle w:val="TableParagraph"/>
              <w:ind w:left="98"/>
              <w:rPr>
                <w:sz w:val="21"/>
              </w:rPr>
            </w:pPr>
            <w:r>
              <w:rPr>
                <w:sz w:val="21"/>
              </w:rPr>
              <w:t>（1）保险合同；</w:t>
            </w:r>
          </w:p>
          <w:p>
            <w:pPr>
              <w:pStyle w:val="TableParagraph"/>
              <w:ind w:left="98"/>
              <w:rPr>
                <w:sz w:val="21"/>
              </w:rPr>
            </w:pPr>
            <w:r>
              <w:rPr>
                <w:sz w:val="21"/>
              </w:rPr>
              <w:t>（2）申请人的有效身份证件；</w:t>
            </w:r>
          </w:p>
          <w:p>
            <w:pPr>
              <w:pStyle w:val="TableParagraph"/>
              <w:spacing w:line="273" w:lineRule="auto"/>
              <w:ind w:left="588" w:right="243" w:hanging="491"/>
              <w:rPr>
                <w:sz w:val="21"/>
              </w:rPr>
            </w:pPr>
            <w:r>
              <w:rPr>
                <w:spacing w:val="-5"/>
                <w:sz w:val="21"/>
              </w:rPr>
              <w:t>（3）</w:t>
            </w:r>
            <w:r>
              <w:rPr>
                <w:spacing w:val="-7"/>
                <w:sz w:val="21"/>
              </w:rPr>
              <w:t>专科医生出具的诊断证明书(包括：完整病历、出院小结、病理组织检</w:t>
            </w:r>
            <w:r>
              <w:rPr>
                <w:spacing w:val="-6"/>
                <w:sz w:val="21"/>
              </w:rPr>
              <w:t>查报告、血液检查、其他科学方法检验报告的病史资料及疾病诊断报告书)；</w:t>
            </w:r>
          </w:p>
          <w:p>
            <w:pPr>
              <w:pStyle w:val="TableParagraph"/>
              <w:spacing w:line="273" w:lineRule="auto" w:before="7"/>
              <w:ind w:left="98" w:right="245"/>
              <w:jc w:val="both"/>
              <w:rPr>
                <w:sz w:val="21"/>
              </w:rPr>
            </w:pPr>
            <w:r>
              <w:rPr>
                <w:sz w:val="21"/>
              </w:rPr>
              <w:t>（4）</w:t>
            </w:r>
            <w:r>
              <w:rPr>
                <w:spacing w:val="-5"/>
                <w:sz w:val="21"/>
              </w:rPr>
              <w:t>所能提供的与确认保险事故的性质、原因等有关的其他证明和资料。</w:t>
            </w:r>
            <w:r>
              <w:rPr>
                <w:spacing w:val="-9"/>
                <w:sz w:val="21"/>
              </w:rPr>
              <w:t>以上证明和资料不完整的，我们将及时一次性通知申请人补充提供有关证明和资料。</w:t>
            </w:r>
          </w:p>
        </w:tc>
      </w:tr>
      <w:tr>
        <w:trPr>
          <w:trHeight w:val="3120" w:hRule="atLeast"/>
        </w:trPr>
        <w:tc>
          <w:tcPr>
            <w:tcW w:w="812" w:type="dxa"/>
          </w:tcPr>
          <w:p>
            <w:pPr>
              <w:pStyle w:val="TableParagraph"/>
              <w:spacing w:before="0"/>
              <w:ind w:left="0"/>
              <w:rPr>
                <w:rFonts w:ascii="Times New Roman"/>
                <w:sz w:val="20"/>
              </w:rPr>
            </w:pPr>
          </w:p>
        </w:tc>
        <w:tc>
          <w:tcPr>
            <w:tcW w:w="2084" w:type="dxa"/>
          </w:tcPr>
          <w:p>
            <w:pPr>
              <w:pStyle w:val="TableParagraph"/>
              <w:spacing w:before="143"/>
              <w:ind w:left="295"/>
              <w:rPr>
                <w:rFonts w:ascii="黑体" w:eastAsia="黑体" w:hint="eastAsia"/>
                <w:b/>
                <w:sz w:val="21"/>
              </w:rPr>
            </w:pPr>
            <w:r>
              <w:rPr>
                <w:rFonts w:ascii="黑体" w:eastAsia="黑体" w:hint="eastAsia"/>
                <w:b/>
                <w:sz w:val="21"/>
              </w:rPr>
              <w:t>身故保险金申请</w:t>
            </w:r>
          </w:p>
        </w:tc>
        <w:tc>
          <w:tcPr>
            <w:tcW w:w="7229" w:type="dxa"/>
          </w:tcPr>
          <w:p>
            <w:pPr>
              <w:pStyle w:val="TableParagraph"/>
              <w:spacing w:before="143"/>
              <w:ind w:left="98"/>
              <w:rPr>
                <w:sz w:val="21"/>
              </w:rPr>
            </w:pPr>
            <w:r>
              <w:rPr>
                <w:sz w:val="21"/>
              </w:rPr>
              <w:t>申请人须填写保险金给付申请书，并须提供下列证明和资料：</w:t>
            </w:r>
          </w:p>
          <w:p>
            <w:pPr>
              <w:pStyle w:val="TableParagraph"/>
              <w:ind w:left="98"/>
              <w:rPr>
                <w:sz w:val="21"/>
              </w:rPr>
            </w:pPr>
            <w:r>
              <w:rPr>
                <w:sz w:val="21"/>
              </w:rPr>
              <w:t>（1）保险合同；</w:t>
            </w:r>
          </w:p>
          <w:p>
            <w:pPr>
              <w:pStyle w:val="TableParagraph"/>
              <w:ind w:left="98"/>
              <w:rPr>
                <w:sz w:val="21"/>
              </w:rPr>
            </w:pPr>
            <w:r>
              <w:rPr>
                <w:sz w:val="21"/>
              </w:rPr>
              <w:t>（2）申请人的有效身份证件；</w:t>
            </w:r>
          </w:p>
          <w:p>
            <w:pPr>
              <w:pStyle w:val="TableParagraph"/>
              <w:spacing w:line="273" w:lineRule="auto"/>
              <w:ind w:left="588" w:right="301" w:hanging="491"/>
              <w:rPr>
                <w:sz w:val="21"/>
              </w:rPr>
            </w:pPr>
            <w:r>
              <w:rPr>
                <w:sz w:val="21"/>
              </w:rPr>
              <w:t>（3）国务院卫生行政部门认定的医疗机构、公安部门或其他相关机构出具的被保险人的死亡证明；</w:t>
            </w:r>
          </w:p>
          <w:p>
            <w:pPr>
              <w:pStyle w:val="TableParagraph"/>
              <w:spacing w:line="273" w:lineRule="auto" w:before="7"/>
              <w:ind w:left="98" w:right="197"/>
              <w:rPr>
                <w:sz w:val="21"/>
              </w:rPr>
            </w:pPr>
            <w:r>
              <w:rPr>
                <w:sz w:val="21"/>
              </w:rPr>
              <w:t>（4）</w:t>
            </w:r>
            <w:r>
              <w:rPr>
                <w:spacing w:val="-5"/>
                <w:sz w:val="21"/>
              </w:rPr>
              <w:t>所能提供的与确认保险事故的性质、原因等有关的其他证明和资料。保险金作为被保险人遗产时，必须提供可证明合法继承权的相关权利文件。</w:t>
            </w:r>
            <w:r>
              <w:rPr>
                <w:spacing w:val="-9"/>
                <w:sz w:val="21"/>
              </w:rPr>
              <w:t>以上证明和资料不完整的，本公司将及时一次性通知申请人补充提供有关证明和资料。</w:t>
            </w:r>
          </w:p>
        </w:tc>
      </w:tr>
      <w:tr>
        <w:trPr>
          <w:trHeight w:val="2496" w:hRule="atLeast"/>
        </w:trPr>
        <w:tc>
          <w:tcPr>
            <w:tcW w:w="812" w:type="dxa"/>
          </w:tcPr>
          <w:p>
            <w:pPr>
              <w:pStyle w:val="TableParagraph"/>
              <w:spacing w:before="0"/>
              <w:ind w:left="0"/>
              <w:rPr>
                <w:rFonts w:ascii="Times New Roman"/>
                <w:sz w:val="20"/>
              </w:rPr>
            </w:pPr>
          </w:p>
        </w:tc>
        <w:tc>
          <w:tcPr>
            <w:tcW w:w="2084" w:type="dxa"/>
          </w:tcPr>
          <w:p>
            <w:pPr>
              <w:pStyle w:val="TableParagraph"/>
              <w:spacing w:before="143"/>
              <w:ind w:left="295"/>
              <w:rPr>
                <w:rFonts w:ascii="黑体" w:eastAsia="黑体" w:hint="eastAsia"/>
                <w:b/>
                <w:sz w:val="21"/>
              </w:rPr>
            </w:pPr>
            <w:r>
              <w:rPr>
                <w:rFonts w:ascii="黑体" w:eastAsia="黑体" w:hint="eastAsia"/>
                <w:b/>
                <w:sz w:val="21"/>
              </w:rPr>
              <w:t>全残保险金申请</w:t>
            </w:r>
          </w:p>
        </w:tc>
        <w:tc>
          <w:tcPr>
            <w:tcW w:w="7229" w:type="dxa"/>
          </w:tcPr>
          <w:p>
            <w:pPr>
              <w:pStyle w:val="TableParagraph"/>
              <w:spacing w:before="143"/>
              <w:ind w:left="98"/>
              <w:rPr>
                <w:sz w:val="21"/>
              </w:rPr>
            </w:pPr>
            <w:r>
              <w:rPr>
                <w:sz w:val="21"/>
              </w:rPr>
              <w:t>申请人须填写保险金给付申请书，并须提供下列证明和资料：</w:t>
            </w:r>
          </w:p>
          <w:p>
            <w:pPr>
              <w:pStyle w:val="TableParagraph"/>
              <w:ind w:left="98"/>
              <w:rPr>
                <w:sz w:val="21"/>
              </w:rPr>
            </w:pPr>
            <w:r>
              <w:rPr>
                <w:sz w:val="21"/>
              </w:rPr>
              <w:t>（1）保险合同；</w:t>
            </w:r>
          </w:p>
          <w:p>
            <w:pPr>
              <w:pStyle w:val="TableParagraph"/>
              <w:ind w:left="98"/>
              <w:rPr>
                <w:sz w:val="21"/>
              </w:rPr>
            </w:pPr>
            <w:r>
              <w:rPr>
                <w:sz w:val="21"/>
              </w:rPr>
              <w:t>（2）申请人的有效身份证件；</w:t>
            </w:r>
          </w:p>
          <w:p>
            <w:pPr>
              <w:pStyle w:val="TableParagraph"/>
              <w:ind w:left="98"/>
              <w:rPr>
                <w:sz w:val="21"/>
              </w:rPr>
            </w:pPr>
            <w:r>
              <w:rPr>
                <w:sz w:val="21"/>
              </w:rPr>
              <w:t>（3）具有相应鉴定资格的专业鉴定机构出具的残疾程度鉴定书；</w:t>
            </w:r>
          </w:p>
          <w:p>
            <w:pPr>
              <w:pStyle w:val="TableParagraph"/>
              <w:spacing w:line="273" w:lineRule="auto"/>
              <w:ind w:left="98" w:right="245"/>
              <w:rPr>
                <w:sz w:val="21"/>
              </w:rPr>
            </w:pPr>
            <w:r>
              <w:rPr>
                <w:sz w:val="21"/>
              </w:rPr>
              <w:t>（4）</w:t>
            </w:r>
            <w:r>
              <w:rPr>
                <w:spacing w:val="-5"/>
                <w:sz w:val="21"/>
              </w:rPr>
              <w:t>所能提供的与确认保险事故的性质、原因等有关的其他证明和资料。</w:t>
            </w:r>
            <w:r>
              <w:rPr>
                <w:spacing w:val="-9"/>
                <w:sz w:val="21"/>
              </w:rPr>
              <w:t>以上证明和资料不完整的，我们将及时一次性通知申请人补充提供有关证明</w:t>
            </w:r>
          </w:p>
          <w:p>
            <w:pPr>
              <w:pStyle w:val="TableParagraph"/>
              <w:spacing w:before="8"/>
              <w:ind w:left="588"/>
              <w:rPr>
                <w:sz w:val="21"/>
              </w:rPr>
            </w:pPr>
            <w:r>
              <w:rPr>
                <w:sz w:val="21"/>
              </w:rPr>
              <w:t>和资料。</w:t>
            </w:r>
          </w:p>
        </w:tc>
      </w:tr>
      <w:tr>
        <w:trPr>
          <w:trHeight w:val="3745" w:hRule="atLeast"/>
        </w:trPr>
        <w:tc>
          <w:tcPr>
            <w:tcW w:w="812" w:type="dxa"/>
          </w:tcPr>
          <w:p>
            <w:pPr>
              <w:pStyle w:val="TableParagraph"/>
              <w:spacing w:before="142"/>
              <w:ind w:left="200"/>
              <w:rPr>
                <w:b/>
                <w:sz w:val="21"/>
              </w:rPr>
            </w:pPr>
            <w:r>
              <w:rPr>
                <w:b/>
                <w:sz w:val="21"/>
              </w:rPr>
              <w:t>3.4</w:t>
            </w:r>
          </w:p>
        </w:tc>
        <w:tc>
          <w:tcPr>
            <w:tcW w:w="2084" w:type="dxa"/>
          </w:tcPr>
          <w:p>
            <w:pPr>
              <w:pStyle w:val="TableParagraph"/>
              <w:spacing w:before="142"/>
              <w:ind w:left="295"/>
              <w:rPr>
                <w:b/>
                <w:sz w:val="21"/>
              </w:rPr>
            </w:pPr>
            <w:r>
              <w:rPr>
                <w:b/>
                <w:sz w:val="21"/>
              </w:rPr>
              <w:t>保险金的给付</w:t>
            </w:r>
          </w:p>
        </w:tc>
        <w:tc>
          <w:tcPr>
            <w:tcW w:w="7229" w:type="dxa"/>
          </w:tcPr>
          <w:p>
            <w:pPr>
              <w:pStyle w:val="TableParagraph"/>
              <w:spacing w:before="142"/>
              <w:ind w:left="98"/>
              <w:rPr>
                <w:sz w:val="21"/>
              </w:rPr>
            </w:pPr>
            <w:r>
              <w:rPr>
                <w:sz w:val="21"/>
              </w:rPr>
              <w:t>本公司在收到保险金给付申请书及合同约定的证明和资料后，将在 5 日内作</w:t>
            </w:r>
          </w:p>
          <w:p>
            <w:pPr>
              <w:pStyle w:val="TableParagraph"/>
              <w:spacing w:before="36"/>
              <w:ind w:left="98"/>
              <w:rPr>
                <w:sz w:val="21"/>
              </w:rPr>
            </w:pPr>
            <w:r>
              <w:rPr>
                <w:sz w:val="21"/>
              </w:rPr>
              <w:t>出核定；情形复杂的，在 30 日内作出核定。</w:t>
            </w:r>
          </w:p>
          <w:p>
            <w:pPr>
              <w:pStyle w:val="TableParagraph"/>
              <w:spacing w:line="273" w:lineRule="auto"/>
              <w:ind w:left="98" w:right="181"/>
              <w:rPr>
                <w:sz w:val="21"/>
              </w:rPr>
            </w:pPr>
            <w:r>
              <w:rPr>
                <w:sz w:val="21"/>
              </w:rPr>
              <w:t>对属于保险责任的，本公司在与受益人达成给付保险金的协议后 10 日内， 履行给付保险金义务。</w:t>
            </w:r>
          </w:p>
          <w:p>
            <w:pPr>
              <w:pStyle w:val="TableParagraph"/>
              <w:spacing w:line="273" w:lineRule="auto" w:before="7"/>
              <w:ind w:left="98" w:right="196"/>
              <w:rPr>
                <w:sz w:val="21"/>
              </w:rPr>
            </w:pPr>
            <w:r>
              <w:rPr>
                <w:sz w:val="21"/>
              </w:rPr>
              <w:t>本公司未及时履行前款规定义务的，除支付保险金外，应当赔偿受益人因此受到的损失。</w:t>
            </w:r>
          </w:p>
          <w:p>
            <w:pPr>
              <w:pStyle w:val="TableParagraph"/>
              <w:spacing w:line="273" w:lineRule="auto" w:before="7"/>
              <w:ind w:left="98" w:right="243"/>
              <w:rPr>
                <w:sz w:val="21"/>
              </w:rPr>
            </w:pPr>
            <w:r>
              <w:rPr>
                <w:spacing w:val="-9"/>
                <w:sz w:val="21"/>
              </w:rPr>
              <w:t>对不属于保险责任的，本公司自作出核定之日起 </w:t>
            </w:r>
            <w:r>
              <w:rPr>
                <w:sz w:val="21"/>
              </w:rPr>
              <w:t>3</w:t>
            </w:r>
            <w:r>
              <w:rPr>
                <w:spacing w:val="-7"/>
                <w:sz w:val="21"/>
              </w:rPr>
              <w:t> 日内向受益人发出拒绝给</w:t>
            </w:r>
            <w:r>
              <w:rPr>
                <w:spacing w:val="-6"/>
                <w:sz w:val="21"/>
              </w:rPr>
              <w:t>付保险金通知书并说明理由。</w:t>
            </w:r>
          </w:p>
          <w:p>
            <w:pPr>
              <w:pStyle w:val="TableParagraph"/>
              <w:spacing w:line="273" w:lineRule="auto" w:before="7"/>
              <w:ind w:left="98" w:right="197"/>
              <w:rPr>
                <w:sz w:val="21"/>
              </w:rPr>
            </w:pPr>
            <w:r>
              <w:rPr>
                <w:spacing w:val="-7"/>
                <w:sz w:val="21"/>
              </w:rPr>
              <w:t>本公司在收到保险金给付申请书及有关证明和资料之日起 </w:t>
            </w:r>
            <w:r>
              <w:rPr>
                <w:sz w:val="21"/>
              </w:rPr>
              <w:t>60</w:t>
            </w:r>
            <w:r>
              <w:rPr>
                <w:spacing w:val="-9"/>
                <w:sz w:val="21"/>
              </w:rPr>
              <w:t> 日内，对给付</w:t>
            </w:r>
            <w:r>
              <w:rPr>
                <w:spacing w:val="-7"/>
                <w:sz w:val="21"/>
              </w:rPr>
              <w:t>保险金的数额不能确定的，根据已有证明和资料可以确定的数额先予支付； </w:t>
            </w:r>
            <w:r>
              <w:rPr>
                <w:spacing w:val="-6"/>
                <w:sz w:val="21"/>
              </w:rPr>
              <w:t>本公司最终确定给付保险金的数额后，将支付相应的差额。</w:t>
            </w:r>
          </w:p>
        </w:tc>
      </w:tr>
      <w:tr>
        <w:trPr>
          <w:trHeight w:val="417" w:hRule="atLeast"/>
        </w:trPr>
        <w:tc>
          <w:tcPr>
            <w:tcW w:w="812" w:type="dxa"/>
          </w:tcPr>
          <w:p>
            <w:pPr>
              <w:pStyle w:val="TableParagraph"/>
              <w:spacing w:line="255" w:lineRule="exact" w:before="143"/>
              <w:ind w:left="200"/>
              <w:rPr>
                <w:b/>
                <w:sz w:val="21"/>
              </w:rPr>
            </w:pPr>
            <w:r>
              <w:rPr>
                <w:b/>
                <w:sz w:val="21"/>
              </w:rPr>
              <w:t>3.5</w:t>
            </w:r>
          </w:p>
        </w:tc>
        <w:tc>
          <w:tcPr>
            <w:tcW w:w="2084" w:type="dxa"/>
          </w:tcPr>
          <w:p>
            <w:pPr>
              <w:pStyle w:val="TableParagraph"/>
              <w:spacing w:line="255" w:lineRule="exact" w:before="143"/>
              <w:ind w:left="295"/>
              <w:rPr>
                <w:b/>
                <w:sz w:val="21"/>
              </w:rPr>
            </w:pPr>
            <w:r>
              <w:rPr>
                <w:b/>
                <w:sz w:val="21"/>
              </w:rPr>
              <w:t>失踪处理</w:t>
            </w:r>
          </w:p>
        </w:tc>
        <w:tc>
          <w:tcPr>
            <w:tcW w:w="7229" w:type="dxa"/>
          </w:tcPr>
          <w:p>
            <w:pPr>
              <w:pStyle w:val="TableParagraph"/>
              <w:spacing w:line="255" w:lineRule="exact" w:before="143"/>
              <w:ind w:left="98"/>
              <w:rPr>
                <w:sz w:val="21"/>
              </w:rPr>
            </w:pPr>
            <w:r>
              <w:rPr>
                <w:sz w:val="21"/>
              </w:rPr>
              <w:t>如果被保险人在本主合同有效期内失踪且被法院宣告死亡，我们以法院判决</w:t>
            </w:r>
          </w:p>
        </w:tc>
      </w:tr>
    </w:tbl>
    <w:p>
      <w:pPr>
        <w:spacing w:after="0" w:line="255" w:lineRule="exact"/>
        <w:rPr>
          <w:sz w:val="21"/>
        </w:rPr>
        <w:sectPr>
          <w:pgSz w:w="11910" w:h="16840"/>
          <w:pgMar w:header="496" w:footer="995" w:top="800" w:bottom="1180" w:left="760" w:right="800"/>
        </w:sectPr>
      </w:pPr>
    </w:p>
    <w:p>
      <w:pPr>
        <w:pStyle w:val="BodyText"/>
        <w:rPr>
          <w:rFonts w:ascii="Times New Roman"/>
          <w:sz w:val="20"/>
        </w:rPr>
      </w:pPr>
    </w:p>
    <w:p>
      <w:pPr>
        <w:pStyle w:val="BodyText"/>
        <w:spacing w:before="9" w:after="1"/>
        <w:rPr>
          <w:rFonts w:ascii="Times New Roman"/>
          <w:sz w:val="12"/>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1959"/>
        <w:gridCol w:w="7201"/>
      </w:tblGrid>
      <w:tr>
        <w:trPr>
          <w:trHeight w:val="1353" w:hRule="atLeast"/>
        </w:trPr>
        <w:tc>
          <w:tcPr>
            <w:tcW w:w="742" w:type="dxa"/>
          </w:tcPr>
          <w:p>
            <w:pPr>
              <w:pStyle w:val="TableParagraph"/>
              <w:spacing w:before="0"/>
              <w:ind w:left="0"/>
              <w:rPr>
                <w:rFonts w:ascii="Times New Roman"/>
                <w:sz w:val="20"/>
              </w:rPr>
            </w:pPr>
          </w:p>
        </w:tc>
        <w:tc>
          <w:tcPr>
            <w:tcW w:w="1959" w:type="dxa"/>
          </w:tcPr>
          <w:p>
            <w:pPr>
              <w:pStyle w:val="TableParagraph"/>
              <w:spacing w:before="0"/>
              <w:ind w:left="0"/>
              <w:rPr>
                <w:rFonts w:ascii="Times New Roman"/>
                <w:sz w:val="20"/>
              </w:rPr>
            </w:pPr>
          </w:p>
        </w:tc>
        <w:tc>
          <w:tcPr>
            <w:tcW w:w="7201" w:type="dxa"/>
          </w:tcPr>
          <w:p>
            <w:pPr>
              <w:pStyle w:val="TableParagraph"/>
              <w:spacing w:line="211" w:lineRule="exact" w:before="0"/>
              <w:ind w:left="203"/>
              <w:rPr>
                <w:sz w:val="21"/>
              </w:rPr>
            </w:pPr>
            <w:r>
              <w:rPr>
                <w:sz w:val="21"/>
              </w:rPr>
              <w:t>宣告死亡之日作为被保险人的死亡时间，按本主合同的约定给付身故保险</w:t>
            </w:r>
          </w:p>
          <w:p>
            <w:pPr>
              <w:pStyle w:val="TableParagraph"/>
              <w:ind w:left="203"/>
              <w:rPr>
                <w:sz w:val="21"/>
              </w:rPr>
            </w:pPr>
            <w:r>
              <w:rPr>
                <w:sz w:val="21"/>
              </w:rPr>
              <w:t>金，本主合同终止。</w:t>
            </w:r>
          </w:p>
          <w:p>
            <w:pPr>
              <w:pStyle w:val="TableParagraph"/>
              <w:ind w:left="203"/>
              <w:rPr>
                <w:sz w:val="21"/>
              </w:rPr>
            </w:pPr>
            <w:r>
              <w:rPr>
                <w:sz w:val="21"/>
              </w:rPr>
              <w:t>如果被保险人在宣告死亡后重新出现或确知其没有死亡，受益人应于知道后</w:t>
            </w:r>
          </w:p>
          <w:p>
            <w:pPr>
              <w:pStyle w:val="TableParagraph"/>
              <w:ind w:left="203"/>
              <w:rPr>
                <w:sz w:val="21"/>
              </w:rPr>
            </w:pPr>
            <w:r>
              <w:rPr>
                <w:sz w:val="21"/>
              </w:rPr>
              <w:t>30 天内向我们退还已给付的保险金，本主合同的效力依法确定。</w:t>
            </w:r>
          </w:p>
        </w:tc>
      </w:tr>
      <w:tr>
        <w:trPr>
          <w:trHeight w:val="1586" w:hRule="atLeast"/>
        </w:trPr>
        <w:tc>
          <w:tcPr>
            <w:tcW w:w="742" w:type="dxa"/>
          </w:tcPr>
          <w:p>
            <w:pPr>
              <w:pStyle w:val="TableParagraph"/>
              <w:spacing w:before="143"/>
              <w:ind w:left="110"/>
              <w:rPr>
                <w:b/>
                <w:sz w:val="21"/>
              </w:rPr>
            </w:pPr>
            <w:r>
              <w:rPr>
                <w:b/>
                <w:sz w:val="21"/>
              </w:rPr>
              <w:t>3.6</w:t>
            </w:r>
          </w:p>
        </w:tc>
        <w:tc>
          <w:tcPr>
            <w:tcW w:w="1959" w:type="dxa"/>
          </w:tcPr>
          <w:p>
            <w:pPr>
              <w:pStyle w:val="TableParagraph"/>
              <w:spacing w:before="143"/>
              <w:ind w:left="276"/>
              <w:rPr>
                <w:b/>
                <w:sz w:val="21"/>
              </w:rPr>
            </w:pPr>
            <w:r>
              <w:rPr>
                <w:b/>
                <w:sz w:val="21"/>
              </w:rPr>
              <w:t>诉讼时效</w:t>
            </w:r>
          </w:p>
        </w:tc>
        <w:tc>
          <w:tcPr>
            <w:tcW w:w="7201" w:type="dxa"/>
          </w:tcPr>
          <w:p>
            <w:pPr>
              <w:pStyle w:val="TableParagraph"/>
              <w:spacing w:line="273" w:lineRule="auto" w:before="143"/>
              <w:ind w:left="203"/>
              <w:rPr>
                <w:sz w:val="21"/>
              </w:rPr>
            </w:pPr>
            <w:r>
              <w:rPr>
                <w:spacing w:val="-7"/>
                <w:sz w:val="21"/>
              </w:rPr>
              <w:t>受益人向我们请求给付轻症疾病保险金、重大疾病保险金和少儿特定重大疾</w:t>
            </w:r>
            <w:r>
              <w:rPr>
                <w:spacing w:val="-3"/>
                <w:sz w:val="21"/>
              </w:rPr>
              <w:t>病保险金的诉讼时效为</w:t>
            </w:r>
            <w:r>
              <w:rPr>
                <w:sz w:val="21"/>
              </w:rPr>
              <w:t>2</w:t>
            </w:r>
            <w:r>
              <w:rPr>
                <w:spacing w:val="-14"/>
                <w:sz w:val="21"/>
              </w:rPr>
              <w:t> 年，自其知道或应当知道保险事故发生之日起计算。</w:t>
            </w:r>
          </w:p>
          <w:p>
            <w:pPr>
              <w:pStyle w:val="TableParagraph"/>
              <w:spacing w:line="273" w:lineRule="auto" w:before="8"/>
              <w:ind w:left="203" w:right="109"/>
              <w:rPr>
                <w:sz w:val="21"/>
              </w:rPr>
            </w:pPr>
            <w:r>
              <w:rPr>
                <w:spacing w:val="-6"/>
                <w:sz w:val="21"/>
              </w:rPr>
              <w:t>受益人向我们请求给付身故保险金和全残保险金的诉讼时效为 </w:t>
            </w:r>
            <w:r>
              <w:rPr>
                <w:sz w:val="21"/>
              </w:rPr>
              <w:t>5</w:t>
            </w:r>
            <w:r>
              <w:rPr>
                <w:spacing w:val="-17"/>
                <w:sz w:val="21"/>
              </w:rPr>
              <w:t> 年，自其知</w:t>
            </w:r>
            <w:r>
              <w:rPr>
                <w:spacing w:val="-10"/>
                <w:sz w:val="21"/>
              </w:rPr>
              <w:t>道或应当知道保险事故发生之日起计算。</w:t>
            </w:r>
          </w:p>
        </w:tc>
      </w:tr>
      <w:tr>
        <w:trPr>
          <w:trHeight w:val="755" w:hRule="atLeast"/>
        </w:trPr>
        <w:tc>
          <w:tcPr>
            <w:tcW w:w="742" w:type="dxa"/>
            <w:tcBorders>
              <w:bottom w:val="single" w:sz="4" w:space="0" w:color="000000"/>
            </w:tcBorders>
          </w:tcPr>
          <w:p>
            <w:pPr>
              <w:pStyle w:val="TableParagraph"/>
              <w:spacing w:before="193"/>
              <w:ind w:left="110"/>
              <w:rPr>
                <w:rFonts w:ascii="Arial" w:hAnsi="Arial"/>
                <w:b/>
                <w:sz w:val="40"/>
              </w:rPr>
            </w:pPr>
            <w:r>
              <w:rPr>
                <w:rFonts w:ascii="Arial" w:hAnsi="Arial"/>
                <w:b/>
                <w:w w:val="118"/>
                <w:sz w:val="40"/>
              </w:rPr>
              <w:t></w:t>
            </w:r>
          </w:p>
        </w:tc>
        <w:tc>
          <w:tcPr>
            <w:tcW w:w="9160" w:type="dxa"/>
            <w:gridSpan w:val="2"/>
            <w:tcBorders>
              <w:bottom w:val="single" w:sz="4" w:space="0" w:color="000000"/>
            </w:tcBorders>
          </w:tcPr>
          <w:p>
            <w:pPr>
              <w:pStyle w:val="TableParagraph"/>
              <w:spacing w:before="8"/>
              <w:ind w:left="0"/>
              <w:rPr>
                <w:rFonts w:ascii="Times New Roman"/>
                <w:sz w:val="21"/>
              </w:rPr>
            </w:pPr>
          </w:p>
          <w:p>
            <w:pPr>
              <w:pStyle w:val="TableParagraph"/>
              <w:spacing w:before="0"/>
              <w:ind w:left="285"/>
              <w:rPr>
                <w:b/>
                <w:sz w:val="24"/>
              </w:rPr>
            </w:pPr>
            <w:r>
              <w:rPr>
                <w:b/>
                <w:w w:val="95"/>
                <w:sz w:val="24"/>
              </w:rPr>
              <w:t>保险费的支付和现金价值权益</w:t>
            </w:r>
          </w:p>
        </w:tc>
      </w:tr>
      <w:tr>
        <w:trPr>
          <w:trHeight w:val="1402" w:hRule="atLeast"/>
        </w:trPr>
        <w:tc>
          <w:tcPr>
            <w:tcW w:w="742" w:type="dxa"/>
            <w:tcBorders>
              <w:top w:val="single" w:sz="4" w:space="0" w:color="000000"/>
            </w:tcBorders>
          </w:tcPr>
          <w:p>
            <w:pPr>
              <w:pStyle w:val="TableParagraph"/>
              <w:spacing w:before="9"/>
              <w:ind w:left="0"/>
              <w:rPr>
                <w:rFonts w:ascii="Times New Roman"/>
                <w:sz w:val="25"/>
              </w:rPr>
            </w:pPr>
          </w:p>
          <w:p>
            <w:pPr>
              <w:pStyle w:val="TableParagraph"/>
              <w:spacing w:before="0"/>
              <w:ind w:left="110"/>
              <w:rPr>
                <w:b/>
                <w:sz w:val="21"/>
              </w:rPr>
            </w:pPr>
            <w:r>
              <w:rPr>
                <w:b/>
                <w:sz w:val="21"/>
              </w:rPr>
              <w:t>4.1</w:t>
            </w:r>
          </w:p>
        </w:tc>
        <w:tc>
          <w:tcPr>
            <w:tcW w:w="1959" w:type="dxa"/>
            <w:tcBorders>
              <w:top w:val="single" w:sz="4" w:space="0" w:color="000000"/>
            </w:tcBorders>
          </w:tcPr>
          <w:p>
            <w:pPr>
              <w:pStyle w:val="TableParagraph"/>
              <w:spacing w:before="9"/>
              <w:ind w:left="0"/>
              <w:rPr>
                <w:rFonts w:ascii="Times New Roman"/>
                <w:sz w:val="25"/>
              </w:rPr>
            </w:pPr>
          </w:p>
          <w:p>
            <w:pPr>
              <w:pStyle w:val="TableParagraph"/>
              <w:spacing w:before="0"/>
              <w:ind w:left="276"/>
              <w:rPr>
                <w:b/>
                <w:sz w:val="21"/>
              </w:rPr>
            </w:pPr>
            <w:r>
              <w:rPr>
                <w:b/>
                <w:sz w:val="21"/>
              </w:rPr>
              <w:t>保险费的支付</w:t>
            </w:r>
          </w:p>
        </w:tc>
        <w:tc>
          <w:tcPr>
            <w:tcW w:w="7201" w:type="dxa"/>
            <w:tcBorders>
              <w:top w:val="single" w:sz="4" w:space="0" w:color="000000"/>
            </w:tcBorders>
          </w:tcPr>
          <w:p>
            <w:pPr>
              <w:pStyle w:val="TableParagraph"/>
              <w:spacing w:before="9"/>
              <w:ind w:left="0"/>
              <w:rPr>
                <w:rFonts w:ascii="Times New Roman"/>
                <w:sz w:val="25"/>
              </w:rPr>
            </w:pPr>
          </w:p>
          <w:p>
            <w:pPr>
              <w:pStyle w:val="TableParagraph"/>
              <w:spacing w:line="273" w:lineRule="auto" w:before="0"/>
              <w:ind w:left="203" w:right="110"/>
              <w:jc w:val="both"/>
              <w:rPr>
                <w:sz w:val="21"/>
              </w:rPr>
            </w:pPr>
            <w:r>
              <w:rPr>
                <w:spacing w:val="-6"/>
                <w:sz w:val="21"/>
              </w:rPr>
              <w:t>本主合同的交费期限在保险单上载明。交费期限一经确定，在保险期间内不</w:t>
            </w:r>
            <w:r>
              <w:rPr>
                <w:spacing w:val="-8"/>
                <w:sz w:val="21"/>
              </w:rPr>
              <w:t>得变更。如果您选择分期支付保险费，在支付首期保险费后，您应当按约定</w:t>
            </w:r>
            <w:r>
              <w:rPr>
                <w:spacing w:val="-6"/>
                <w:sz w:val="21"/>
              </w:rPr>
              <w:t>的交费日期支付其余各期的保险费。</w:t>
            </w:r>
          </w:p>
        </w:tc>
      </w:tr>
      <w:tr>
        <w:trPr>
          <w:trHeight w:val="1248" w:hRule="atLeast"/>
        </w:trPr>
        <w:tc>
          <w:tcPr>
            <w:tcW w:w="742" w:type="dxa"/>
          </w:tcPr>
          <w:p>
            <w:pPr>
              <w:pStyle w:val="TableParagraph"/>
              <w:spacing w:before="142"/>
              <w:ind w:left="110"/>
              <w:rPr>
                <w:b/>
                <w:sz w:val="21"/>
              </w:rPr>
            </w:pPr>
            <w:r>
              <w:rPr>
                <w:b/>
                <w:sz w:val="21"/>
              </w:rPr>
              <w:t>4.2</w:t>
            </w:r>
          </w:p>
        </w:tc>
        <w:tc>
          <w:tcPr>
            <w:tcW w:w="1959" w:type="dxa"/>
          </w:tcPr>
          <w:p>
            <w:pPr>
              <w:pStyle w:val="TableParagraph"/>
              <w:spacing w:line="273" w:lineRule="auto" w:before="142"/>
              <w:ind w:left="276" w:right="202"/>
              <w:rPr>
                <w:b/>
                <w:sz w:val="21"/>
              </w:rPr>
            </w:pPr>
            <w:r>
              <w:rPr>
                <w:b/>
                <w:sz w:val="21"/>
              </w:rPr>
              <w:t>保险单的现金价值</w:t>
            </w:r>
          </w:p>
        </w:tc>
        <w:tc>
          <w:tcPr>
            <w:tcW w:w="7201" w:type="dxa"/>
          </w:tcPr>
          <w:p>
            <w:pPr>
              <w:pStyle w:val="TableParagraph"/>
              <w:spacing w:line="273" w:lineRule="auto" w:before="142"/>
              <w:ind w:left="203" w:right="110"/>
              <w:rPr>
                <w:sz w:val="21"/>
              </w:rPr>
            </w:pPr>
            <w:r>
              <w:rPr>
                <w:spacing w:val="-5"/>
                <w:sz w:val="21"/>
              </w:rPr>
              <w:t>本主合同保单年度末的现金价值会在保险单上载明。保单年度内的现金价</w:t>
            </w:r>
            <w:r>
              <w:rPr>
                <w:spacing w:val="-8"/>
                <w:sz w:val="21"/>
              </w:rPr>
              <w:t>值，您可以向我们咨询。在本主合同有效期内，如保险费率发生调整，则现</w:t>
            </w:r>
            <w:r>
              <w:rPr>
                <w:spacing w:val="-6"/>
                <w:sz w:val="21"/>
              </w:rPr>
              <w:t>金价值金额也会发生相应调整。</w:t>
            </w:r>
          </w:p>
        </w:tc>
      </w:tr>
      <w:tr>
        <w:trPr>
          <w:trHeight w:val="2184" w:hRule="atLeast"/>
        </w:trPr>
        <w:tc>
          <w:tcPr>
            <w:tcW w:w="742" w:type="dxa"/>
          </w:tcPr>
          <w:p>
            <w:pPr>
              <w:pStyle w:val="TableParagraph"/>
              <w:spacing w:before="142"/>
              <w:ind w:left="110"/>
              <w:rPr>
                <w:b/>
                <w:sz w:val="21"/>
              </w:rPr>
            </w:pPr>
            <w:r>
              <w:rPr>
                <w:b/>
                <w:sz w:val="21"/>
              </w:rPr>
              <w:t>4.3</w:t>
            </w:r>
          </w:p>
        </w:tc>
        <w:tc>
          <w:tcPr>
            <w:tcW w:w="1959" w:type="dxa"/>
          </w:tcPr>
          <w:p>
            <w:pPr>
              <w:pStyle w:val="TableParagraph"/>
              <w:spacing w:before="142"/>
              <w:ind w:left="276"/>
              <w:rPr>
                <w:b/>
                <w:sz w:val="21"/>
              </w:rPr>
            </w:pPr>
            <w:r>
              <w:rPr>
                <w:b/>
                <w:sz w:val="21"/>
              </w:rPr>
              <w:t>宽限期</w:t>
            </w:r>
          </w:p>
        </w:tc>
        <w:tc>
          <w:tcPr>
            <w:tcW w:w="7201" w:type="dxa"/>
          </w:tcPr>
          <w:p>
            <w:pPr>
              <w:pStyle w:val="TableParagraph"/>
              <w:spacing w:line="273" w:lineRule="auto" w:before="142"/>
              <w:ind w:left="203" w:right="112"/>
              <w:jc w:val="both"/>
              <w:rPr>
                <w:sz w:val="21"/>
              </w:rPr>
            </w:pPr>
            <w:r>
              <w:rPr>
                <w:spacing w:val="-7"/>
                <w:sz w:val="21"/>
              </w:rPr>
              <w:t>分期支付保险费的，您支付首期保险费后，除本合同另有约定外，如果您到</w:t>
            </w:r>
            <w:r>
              <w:rPr>
                <w:spacing w:val="-8"/>
                <w:sz w:val="21"/>
              </w:rPr>
              <w:t>期未支付保险费，自保险费约定支付日的次日零时起 </w:t>
            </w:r>
            <w:r>
              <w:rPr>
                <w:sz w:val="21"/>
              </w:rPr>
              <w:t>60</w:t>
            </w:r>
            <w:r>
              <w:rPr>
                <w:spacing w:val="-7"/>
                <w:sz w:val="21"/>
              </w:rPr>
              <w:t> 日为宽限期。宽限</w:t>
            </w:r>
            <w:r>
              <w:rPr>
                <w:spacing w:val="-9"/>
                <w:sz w:val="21"/>
              </w:rPr>
              <w:t>期内发生的保险事故，本公司仍会承担保险责任，但在给付保险金时会扣减</w:t>
            </w:r>
            <w:r>
              <w:rPr>
                <w:spacing w:val="-7"/>
                <w:sz w:val="21"/>
              </w:rPr>
              <w:t>您欠交的保险费。</w:t>
            </w:r>
          </w:p>
          <w:p>
            <w:pPr>
              <w:pStyle w:val="TableParagraph"/>
              <w:spacing w:line="273" w:lineRule="auto" w:before="7"/>
              <w:ind w:left="203" w:right="109"/>
              <w:jc w:val="both"/>
              <w:rPr>
                <w:sz w:val="21"/>
              </w:rPr>
            </w:pPr>
            <w:r>
              <w:rPr>
                <w:spacing w:val="-7"/>
                <w:sz w:val="21"/>
              </w:rPr>
              <w:t>如果您宽限期结束之后仍未支付保险费，则本主合同自宽限期满的次日零时</w:t>
            </w:r>
            <w:r>
              <w:rPr>
                <w:spacing w:val="-6"/>
                <w:sz w:val="21"/>
              </w:rPr>
              <w:t>起效力中止。</w:t>
            </w:r>
          </w:p>
        </w:tc>
      </w:tr>
      <w:tr>
        <w:trPr>
          <w:trHeight w:val="2496" w:hRule="atLeast"/>
        </w:trPr>
        <w:tc>
          <w:tcPr>
            <w:tcW w:w="742" w:type="dxa"/>
          </w:tcPr>
          <w:p>
            <w:pPr>
              <w:pStyle w:val="TableParagraph"/>
              <w:spacing w:before="142"/>
              <w:ind w:left="110"/>
              <w:rPr>
                <w:b/>
                <w:sz w:val="21"/>
              </w:rPr>
            </w:pPr>
            <w:r>
              <w:rPr>
                <w:b/>
                <w:sz w:val="21"/>
              </w:rPr>
              <w:t>4.4</w:t>
            </w:r>
          </w:p>
        </w:tc>
        <w:tc>
          <w:tcPr>
            <w:tcW w:w="1959" w:type="dxa"/>
          </w:tcPr>
          <w:p>
            <w:pPr>
              <w:pStyle w:val="TableParagraph"/>
              <w:spacing w:before="142"/>
              <w:ind w:left="276"/>
              <w:rPr>
                <w:b/>
                <w:sz w:val="21"/>
              </w:rPr>
            </w:pPr>
            <w:r>
              <w:rPr>
                <w:b/>
                <w:sz w:val="21"/>
              </w:rPr>
              <w:t>保单贷款</w:t>
            </w:r>
          </w:p>
        </w:tc>
        <w:tc>
          <w:tcPr>
            <w:tcW w:w="7201" w:type="dxa"/>
          </w:tcPr>
          <w:p>
            <w:pPr>
              <w:pStyle w:val="TableParagraph"/>
              <w:spacing w:line="273" w:lineRule="auto" w:before="142"/>
              <w:ind w:left="203" w:right="111"/>
              <w:jc w:val="both"/>
              <w:rPr>
                <w:sz w:val="21"/>
              </w:rPr>
            </w:pPr>
            <w:r>
              <w:rPr>
                <w:spacing w:val="-6"/>
                <w:sz w:val="21"/>
              </w:rPr>
              <w:t>在本主合同有效期内，您可以申请并经我们审核同意后办理保单贷款。贷款金额不得超过本主合同现金价值扣除各项欠款后余额的 </w:t>
            </w:r>
            <w:r>
              <w:rPr>
                <w:sz w:val="21"/>
              </w:rPr>
              <w:t>80%，</w:t>
            </w:r>
            <w:r>
              <w:rPr>
                <w:spacing w:val="-3"/>
                <w:sz w:val="21"/>
              </w:rPr>
              <w:t>每次贷款期限</w:t>
            </w:r>
            <w:r>
              <w:rPr>
                <w:spacing w:val="-10"/>
                <w:sz w:val="21"/>
              </w:rPr>
              <w:t>最长不超过 </w:t>
            </w:r>
            <w:r>
              <w:rPr>
                <w:sz w:val="21"/>
              </w:rPr>
              <w:t>6</w:t>
            </w:r>
            <w:r>
              <w:rPr>
                <w:spacing w:val="-10"/>
                <w:sz w:val="21"/>
              </w:rPr>
              <w:t> 个月，贷款利率和还款方式按保单贷款申请书约定执行，计息</w:t>
            </w:r>
            <w:r>
              <w:rPr>
                <w:spacing w:val="-6"/>
                <w:sz w:val="21"/>
              </w:rPr>
              <w:t>方式为日复利。贷款本息在贷款到期时一并归还。若您到期未能足额偿还贷</w:t>
            </w:r>
            <w:r>
              <w:rPr>
                <w:spacing w:val="-5"/>
                <w:sz w:val="21"/>
              </w:rPr>
              <w:t>款本息，则您所欠的贷款本金及利息将作为新的贷款本金计息。</w:t>
            </w:r>
          </w:p>
          <w:p>
            <w:pPr>
              <w:pStyle w:val="TableParagraph"/>
              <w:spacing w:line="273" w:lineRule="auto" w:before="7"/>
              <w:ind w:left="203" w:right="112"/>
              <w:jc w:val="both"/>
              <w:rPr>
                <w:sz w:val="21"/>
              </w:rPr>
            </w:pPr>
            <w:r>
              <w:rPr>
                <w:spacing w:val="-7"/>
                <w:sz w:val="21"/>
              </w:rPr>
              <w:t>当未还贷款本金及利息加上其他各项欠款达到本主合同现金价值时，本主合</w:t>
            </w:r>
            <w:r>
              <w:rPr>
                <w:spacing w:val="-6"/>
                <w:sz w:val="21"/>
              </w:rPr>
              <w:t>同的效力即行中止。</w:t>
            </w:r>
          </w:p>
        </w:tc>
      </w:tr>
      <w:tr>
        <w:trPr>
          <w:trHeight w:val="936" w:hRule="atLeast"/>
        </w:trPr>
        <w:tc>
          <w:tcPr>
            <w:tcW w:w="742" w:type="dxa"/>
          </w:tcPr>
          <w:p>
            <w:pPr>
              <w:pStyle w:val="TableParagraph"/>
              <w:spacing w:before="143"/>
              <w:ind w:left="110"/>
              <w:rPr>
                <w:b/>
                <w:sz w:val="21"/>
              </w:rPr>
            </w:pPr>
            <w:r>
              <w:rPr>
                <w:b/>
                <w:sz w:val="21"/>
              </w:rPr>
              <w:t>4.5</w:t>
            </w:r>
          </w:p>
        </w:tc>
        <w:tc>
          <w:tcPr>
            <w:tcW w:w="1959" w:type="dxa"/>
          </w:tcPr>
          <w:p>
            <w:pPr>
              <w:pStyle w:val="TableParagraph"/>
              <w:spacing w:before="143"/>
              <w:ind w:left="276"/>
              <w:rPr>
                <w:b/>
                <w:sz w:val="21"/>
              </w:rPr>
            </w:pPr>
            <w:r>
              <w:rPr>
                <w:b/>
                <w:sz w:val="21"/>
              </w:rPr>
              <w:t>合同效力中止</w:t>
            </w:r>
          </w:p>
        </w:tc>
        <w:tc>
          <w:tcPr>
            <w:tcW w:w="7201" w:type="dxa"/>
          </w:tcPr>
          <w:p>
            <w:pPr>
              <w:pStyle w:val="TableParagraph"/>
              <w:spacing w:line="273" w:lineRule="auto" w:before="143"/>
              <w:ind w:left="203" w:right="109"/>
              <w:rPr>
                <w:sz w:val="21"/>
              </w:rPr>
            </w:pPr>
            <w:r>
              <w:rPr>
                <w:spacing w:val="-7"/>
                <w:sz w:val="21"/>
              </w:rPr>
              <w:t>当出现主合同或本主合同约定的合同效力中止情形时，本主合同效力即行中</w:t>
            </w:r>
            <w:r>
              <w:rPr>
                <w:spacing w:val="-6"/>
                <w:sz w:val="21"/>
              </w:rPr>
              <w:t>止。我们对本主合同效力中止期间所发生的保险事故，不承担保险责任。</w:t>
            </w:r>
          </w:p>
        </w:tc>
      </w:tr>
      <w:tr>
        <w:trPr>
          <w:trHeight w:val="1978" w:hRule="atLeast"/>
        </w:trPr>
        <w:tc>
          <w:tcPr>
            <w:tcW w:w="742" w:type="dxa"/>
          </w:tcPr>
          <w:p>
            <w:pPr>
              <w:pStyle w:val="TableParagraph"/>
              <w:spacing w:before="142"/>
              <w:ind w:left="110"/>
              <w:rPr>
                <w:b/>
                <w:sz w:val="21"/>
              </w:rPr>
            </w:pPr>
            <w:r>
              <w:rPr>
                <w:b/>
                <w:sz w:val="21"/>
              </w:rPr>
              <w:t>4.6</w:t>
            </w:r>
          </w:p>
        </w:tc>
        <w:tc>
          <w:tcPr>
            <w:tcW w:w="1959" w:type="dxa"/>
          </w:tcPr>
          <w:p>
            <w:pPr>
              <w:pStyle w:val="TableParagraph"/>
              <w:spacing w:before="142"/>
              <w:ind w:left="276"/>
              <w:rPr>
                <w:b/>
                <w:sz w:val="21"/>
              </w:rPr>
            </w:pPr>
            <w:r>
              <w:rPr>
                <w:b/>
                <w:sz w:val="21"/>
              </w:rPr>
              <w:t>合同效力恢复</w:t>
            </w:r>
          </w:p>
        </w:tc>
        <w:tc>
          <w:tcPr>
            <w:tcW w:w="7201" w:type="dxa"/>
          </w:tcPr>
          <w:p>
            <w:pPr>
              <w:pStyle w:val="TableParagraph"/>
              <w:spacing w:line="273" w:lineRule="auto" w:before="142"/>
              <w:ind w:left="203" w:right="109"/>
              <w:jc w:val="both"/>
              <w:rPr>
                <w:sz w:val="21"/>
              </w:rPr>
            </w:pPr>
            <w:r>
              <w:rPr>
                <w:spacing w:val="-5"/>
                <w:sz w:val="21"/>
              </w:rPr>
              <w:t>本主合同效力中止后 </w:t>
            </w:r>
            <w:r>
              <w:rPr>
                <w:sz w:val="21"/>
              </w:rPr>
              <w:t>2</w:t>
            </w:r>
            <w:r>
              <w:rPr>
                <w:spacing w:val="-10"/>
                <w:sz w:val="21"/>
              </w:rPr>
              <w:t> 年内，您可以申请恢复合同效力。经本公司与您协商并达成协议，在您补交保险费及其利息、贷款及其利息之日起，合同效力恢</w:t>
            </w:r>
            <w:r>
              <w:rPr>
                <w:spacing w:val="-9"/>
                <w:sz w:val="21"/>
              </w:rPr>
              <w:t>复。利息按</w:t>
            </w:r>
            <w:r>
              <w:rPr>
                <w:b/>
                <w:sz w:val="21"/>
              </w:rPr>
              <w:t>本合同约定利率</w:t>
            </w:r>
            <w:r>
              <w:rPr>
                <w:sz w:val="21"/>
              </w:rPr>
              <w:t>（</w:t>
            </w:r>
            <w:r>
              <w:rPr>
                <w:spacing w:val="-10"/>
                <w:sz w:val="21"/>
              </w:rPr>
              <w:t>见释义 </w:t>
            </w:r>
            <w:r>
              <w:rPr>
                <w:sz w:val="21"/>
              </w:rPr>
              <w:t>6.20）</w:t>
            </w:r>
            <w:r>
              <w:rPr>
                <w:spacing w:val="-3"/>
                <w:sz w:val="21"/>
              </w:rPr>
              <w:t>按日复利计算。</w:t>
            </w:r>
          </w:p>
          <w:p>
            <w:pPr>
              <w:pStyle w:val="TableParagraph"/>
              <w:spacing w:line="312" w:lineRule="exact" w:before="3"/>
              <w:ind w:left="203" w:right="109"/>
              <w:jc w:val="both"/>
              <w:rPr>
                <w:sz w:val="21"/>
              </w:rPr>
            </w:pPr>
            <w:r>
              <w:rPr>
                <w:spacing w:val="-5"/>
                <w:sz w:val="21"/>
              </w:rPr>
              <w:t>自本主合同效力中止之日起满 </w:t>
            </w:r>
            <w:r>
              <w:rPr>
                <w:sz w:val="21"/>
              </w:rPr>
              <w:t>2</w:t>
            </w:r>
            <w:r>
              <w:rPr>
                <w:spacing w:val="-10"/>
                <w:sz w:val="21"/>
              </w:rPr>
              <w:t> 年您和本公司未达成协议的，本公司有权解</w:t>
            </w:r>
            <w:r>
              <w:rPr>
                <w:spacing w:val="-11"/>
                <w:sz w:val="21"/>
              </w:rPr>
              <w:t>除合同。本公司解除合同的，向投保人退还合同效力中止时保险单的现金价值。</w:t>
            </w:r>
          </w:p>
        </w:tc>
      </w:tr>
    </w:tbl>
    <w:p>
      <w:pPr>
        <w:spacing w:after="0" w:line="312" w:lineRule="exact"/>
        <w:jc w:val="both"/>
        <w:rPr>
          <w:sz w:val="21"/>
        </w:rPr>
        <w:sectPr>
          <w:pgSz w:w="11910" w:h="16840"/>
          <w:pgMar w:header="496" w:footer="995" w:top="800" w:bottom="1180" w:left="860" w:right="920"/>
        </w:sectPr>
      </w:pPr>
    </w:p>
    <w:p>
      <w:pPr>
        <w:pStyle w:val="BodyText"/>
        <w:rPr>
          <w:rFonts w:ascii="Times New Roman"/>
          <w:sz w:val="20"/>
        </w:rPr>
      </w:pPr>
    </w:p>
    <w:p>
      <w:pPr>
        <w:pStyle w:val="BodyText"/>
        <w:spacing w:before="4"/>
        <w:rPr>
          <w:rFonts w:ascii="Times New Roman"/>
          <w:sz w:val="17"/>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2079"/>
        <w:gridCol w:w="7073"/>
      </w:tblGrid>
      <w:tr>
        <w:trPr>
          <w:trHeight w:val="522" w:hRule="atLeast"/>
        </w:trPr>
        <w:tc>
          <w:tcPr>
            <w:tcW w:w="747" w:type="dxa"/>
            <w:tcBorders>
              <w:bottom w:val="single" w:sz="4" w:space="0" w:color="000000"/>
            </w:tcBorders>
          </w:tcPr>
          <w:p>
            <w:pPr>
              <w:pStyle w:val="TableParagraph"/>
              <w:spacing w:line="421" w:lineRule="exact" w:before="0"/>
              <w:ind w:left="110"/>
              <w:rPr>
                <w:rFonts w:ascii="Arial" w:hAnsi="Arial"/>
                <w:b/>
                <w:sz w:val="40"/>
              </w:rPr>
            </w:pPr>
            <w:r>
              <w:rPr>
                <w:rFonts w:ascii="Arial" w:hAnsi="Arial"/>
                <w:b/>
                <w:w w:val="118"/>
                <w:sz w:val="40"/>
              </w:rPr>
              <w:t></w:t>
            </w:r>
          </w:p>
        </w:tc>
        <w:tc>
          <w:tcPr>
            <w:tcW w:w="2079" w:type="dxa"/>
            <w:tcBorders>
              <w:bottom w:val="single" w:sz="4" w:space="0" w:color="000000"/>
            </w:tcBorders>
          </w:tcPr>
          <w:p>
            <w:pPr>
              <w:pStyle w:val="TableParagraph"/>
              <w:spacing w:before="17"/>
              <w:ind w:left="280"/>
              <w:rPr>
                <w:b/>
                <w:sz w:val="24"/>
              </w:rPr>
            </w:pPr>
            <w:r>
              <w:rPr>
                <w:b/>
                <w:w w:val="95"/>
                <w:sz w:val="24"/>
              </w:rPr>
              <w:t>其他事项</w:t>
            </w:r>
          </w:p>
        </w:tc>
        <w:tc>
          <w:tcPr>
            <w:tcW w:w="7073" w:type="dxa"/>
            <w:tcBorders>
              <w:bottom w:val="single" w:sz="4" w:space="0" w:color="000000"/>
            </w:tcBorders>
          </w:tcPr>
          <w:p>
            <w:pPr>
              <w:pStyle w:val="TableParagraph"/>
              <w:spacing w:before="0"/>
              <w:ind w:left="0"/>
              <w:rPr>
                <w:rFonts w:ascii="Times New Roman"/>
                <w:sz w:val="20"/>
              </w:rPr>
            </w:pPr>
          </w:p>
        </w:tc>
      </w:tr>
      <w:tr>
        <w:trPr>
          <w:trHeight w:val="5148" w:hRule="atLeast"/>
        </w:trPr>
        <w:tc>
          <w:tcPr>
            <w:tcW w:w="747" w:type="dxa"/>
            <w:tcBorders>
              <w:top w:val="single" w:sz="4" w:space="0" w:color="000000"/>
            </w:tcBorders>
          </w:tcPr>
          <w:p>
            <w:pPr>
              <w:pStyle w:val="TableParagraph"/>
              <w:spacing w:before="9"/>
              <w:ind w:left="0"/>
              <w:rPr>
                <w:rFonts w:ascii="Times New Roman"/>
                <w:sz w:val="25"/>
              </w:rPr>
            </w:pPr>
          </w:p>
          <w:p>
            <w:pPr>
              <w:pStyle w:val="TableParagraph"/>
              <w:spacing w:before="0"/>
              <w:ind w:left="110"/>
              <w:rPr>
                <w:b/>
                <w:sz w:val="21"/>
              </w:rPr>
            </w:pPr>
            <w:r>
              <w:rPr>
                <w:b/>
                <w:sz w:val="21"/>
              </w:rPr>
              <w:t>5.1</w:t>
            </w:r>
          </w:p>
        </w:tc>
        <w:tc>
          <w:tcPr>
            <w:tcW w:w="2079" w:type="dxa"/>
            <w:tcBorders>
              <w:top w:val="single" w:sz="4" w:space="0" w:color="000000"/>
            </w:tcBorders>
          </w:tcPr>
          <w:p>
            <w:pPr>
              <w:pStyle w:val="TableParagraph"/>
              <w:spacing w:before="9"/>
              <w:ind w:left="0"/>
              <w:rPr>
                <w:rFonts w:ascii="Times New Roman"/>
                <w:sz w:val="25"/>
              </w:rPr>
            </w:pPr>
          </w:p>
          <w:p>
            <w:pPr>
              <w:pStyle w:val="TableParagraph"/>
              <w:spacing w:line="273" w:lineRule="auto" w:before="0"/>
              <w:ind w:left="280" w:right="106"/>
              <w:rPr>
                <w:b/>
                <w:sz w:val="21"/>
              </w:rPr>
            </w:pPr>
            <w:r>
              <w:rPr>
                <w:b/>
                <w:sz w:val="21"/>
              </w:rPr>
              <w:t>明确说明与如实告知</w:t>
            </w:r>
          </w:p>
        </w:tc>
        <w:tc>
          <w:tcPr>
            <w:tcW w:w="7073" w:type="dxa"/>
            <w:tcBorders>
              <w:top w:val="single" w:sz="4" w:space="0" w:color="000000"/>
            </w:tcBorders>
          </w:tcPr>
          <w:p>
            <w:pPr>
              <w:pStyle w:val="TableParagraph"/>
              <w:spacing w:before="9"/>
              <w:ind w:left="0"/>
              <w:rPr>
                <w:rFonts w:ascii="Times New Roman"/>
                <w:sz w:val="25"/>
              </w:rPr>
            </w:pPr>
          </w:p>
          <w:p>
            <w:pPr>
              <w:pStyle w:val="TableParagraph"/>
              <w:spacing w:before="0"/>
              <w:ind w:left="107"/>
              <w:rPr>
                <w:sz w:val="21"/>
              </w:rPr>
            </w:pPr>
            <w:r>
              <w:rPr>
                <w:sz w:val="21"/>
              </w:rPr>
              <w:t>订立本合同时，本公司应向投保人说明本合同的内容。</w:t>
            </w:r>
          </w:p>
          <w:p>
            <w:pPr>
              <w:pStyle w:val="TableParagraph"/>
              <w:spacing w:line="273" w:lineRule="auto"/>
              <w:ind w:left="107" w:right="30"/>
              <w:rPr>
                <w:sz w:val="21"/>
              </w:rPr>
            </w:pPr>
            <w:r>
              <w:rPr>
                <w:spacing w:val="-5"/>
                <w:sz w:val="21"/>
              </w:rPr>
              <w:t>对保险条款中免除本公司责任的条款，本公司在订立合同时应当在投保单、</w:t>
            </w:r>
            <w:r>
              <w:rPr>
                <w:spacing w:val="-8"/>
                <w:sz w:val="21"/>
              </w:rPr>
              <w:t>保险单或者其他保险凭证上作出足以引起投保人注意的提示，并对该条款的</w:t>
            </w:r>
            <w:r>
              <w:rPr>
                <w:spacing w:val="-6"/>
                <w:sz w:val="21"/>
              </w:rPr>
              <w:t>内容以书面或者口头形式向投保人作出明确说明，未作提示或者明确说明 </w:t>
            </w:r>
            <w:r>
              <w:rPr>
                <w:spacing w:val="-5"/>
                <w:sz w:val="21"/>
              </w:rPr>
              <w:t>的，该条款不产生效力。</w:t>
            </w:r>
          </w:p>
          <w:p>
            <w:pPr>
              <w:pStyle w:val="TableParagraph"/>
              <w:spacing w:line="273" w:lineRule="auto" w:before="7"/>
              <w:ind w:left="107" w:right="32"/>
              <w:rPr>
                <w:sz w:val="21"/>
              </w:rPr>
            </w:pPr>
            <w:r>
              <w:rPr>
                <w:spacing w:val="-5"/>
                <w:sz w:val="21"/>
              </w:rPr>
              <w:t>本公司就投保人和被保险人的有关情况提出询问，投保人应当如实告知。 </w:t>
            </w:r>
            <w:r>
              <w:rPr>
                <w:spacing w:val="-8"/>
                <w:sz w:val="21"/>
              </w:rPr>
              <w:t>如果投保人故意或者因重大过失未履行前款规定的如实告知义务，足以影响</w:t>
            </w:r>
            <w:r>
              <w:rPr>
                <w:spacing w:val="-6"/>
                <w:sz w:val="21"/>
              </w:rPr>
              <w:t>本公司决定是否同意承保或者提高保险费率的，本公司有权解除本合同。 </w:t>
            </w:r>
            <w:r>
              <w:rPr>
                <w:spacing w:val="-5"/>
                <w:sz w:val="21"/>
              </w:rPr>
              <w:t>如果投保人故意不履行如实告知义务，对于本合同解除前发生的保险事故， 本公司不承担给付保险金的责任，并不退还保险费。</w:t>
            </w:r>
          </w:p>
          <w:p>
            <w:pPr>
              <w:pStyle w:val="TableParagraph"/>
              <w:spacing w:line="273" w:lineRule="auto" w:before="7"/>
              <w:ind w:left="107" w:right="32"/>
              <w:rPr>
                <w:sz w:val="21"/>
              </w:rPr>
            </w:pPr>
            <w:r>
              <w:rPr>
                <w:spacing w:val="-8"/>
                <w:sz w:val="21"/>
              </w:rPr>
              <w:t>如果投保人因重大过失未履行如实告知义务，对保险事故的发生有严重影响</w:t>
            </w:r>
            <w:r>
              <w:rPr>
                <w:spacing w:val="-6"/>
                <w:sz w:val="21"/>
              </w:rPr>
              <w:t>的，对于本合同解除前发生的保险事故，本公司不承担给付保险金的责任， </w:t>
            </w:r>
            <w:r>
              <w:rPr>
                <w:spacing w:val="-5"/>
                <w:sz w:val="21"/>
              </w:rPr>
              <w:t>但应当退还保险费。</w:t>
            </w:r>
          </w:p>
          <w:p>
            <w:pPr>
              <w:pStyle w:val="TableParagraph"/>
              <w:spacing w:line="273" w:lineRule="auto" w:before="7"/>
              <w:ind w:left="107" w:right="109"/>
              <w:rPr>
                <w:sz w:val="21"/>
              </w:rPr>
            </w:pPr>
            <w:r>
              <w:rPr>
                <w:spacing w:val="-8"/>
                <w:sz w:val="21"/>
              </w:rPr>
              <w:t>本公司在合同订立时已经知道投保人未如实告知的情况的，本公司不得解除</w:t>
            </w:r>
            <w:r>
              <w:rPr>
                <w:spacing w:val="-6"/>
                <w:sz w:val="21"/>
              </w:rPr>
              <w:t>合同；发生保险事故的，本公司承担给付保险金的责任。</w:t>
            </w:r>
          </w:p>
        </w:tc>
      </w:tr>
      <w:tr>
        <w:trPr>
          <w:trHeight w:val="1248" w:hRule="atLeast"/>
        </w:trPr>
        <w:tc>
          <w:tcPr>
            <w:tcW w:w="747" w:type="dxa"/>
          </w:tcPr>
          <w:p>
            <w:pPr>
              <w:pStyle w:val="TableParagraph"/>
              <w:spacing w:before="143"/>
              <w:ind w:left="110"/>
              <w:rPr>
                <w:b/>
                <w:sz w:val="21"/>
              </w:rPr>
            </w:pPr>
            <w:r>
              <w:rPr>
                <w:b/>
                <w:sz w:val="21"/>
              </w:rPr>
              <w:t>5.2</w:t>
            </w:r>
          </w:p>
        </w:tc>
        <w:tc>
          <w:tcPr>
            <w:tcW w:w="2079" w:type="dxa"/>
          </w:tcPr>
          <w:p>
            <w:pPr>
              <w:pStyle w:val="TableParagraph"/>
              <w:spacing w:line="273" w:lineRule="auto" w:before="143"/>
              <w:ind w:left="280" w:right="106"/>
              <w:rPr>
                <w:b/>
                <w:sz w:val="21"/>
              </w:rPr>
            </w:pPr>
            <w:r>
              <w:rPr>
                <w:b/>
                <w:sz w:val="21"/>
              </w:rPr>
              <w:t>本公司合同解除权的限制</w:t>
            </w:r>
          </w:p>
        </w:tc>
        <w:tc>
          <w:tcPr>
            <w:tcW w:w="7073" w:type="dxa"/>
          </w:tcPr>
          <w:p>
            <w:pPr>
              <w:pStyle w:val="TableParagraph"/>
              <w:spacing w:before="143"/>
              <w:ind w:left="107"/>
              <w:rPr>
                <w:sz w:val="21"/>
              </w:rPr>
            </w:pPr>
            <w:r>
              <w:rPr>
                <w:sz w:val="21"/>
              </w:rPr>
              <w:t>前款规定的合同解除权，自本公司知道有解除事由之日起，超过 30 日不行</w:t>
            </w:r>
          </w:p>
          <w:p>
            <w:pPr>
              <w:pStyle w:val="TableParagraph"/>
              <w:spacing w:line="273" w:lineRule="auto"/>
              <w:ind w:left="107" w:right="107"/>
              <w:rPr>
                <w:sz w:val="21"/>
              </w:rPr>
            </w:pPr>
            <w:r>
              <w:rPr>
                <w:spacing w:val="-8"/>
                <w:sz w:val="21"/>
              </w:rPr>
              <w:t>使而消灭。自本主合同成立之日起超过 </w:t>
            </w:r>
            <w:r>
              <w:rPr>
                <w:sz w:val="21"/>
              </w:rPr>
              <w:t>2</w:t>
            </w:r>
            <w:r>
              <w:rPr>
                <w:spacing w:val="-11"/>
                <w:sz w:val="21"/>
              </w:rPr>
              <w:t> 年的，本公司不得解除合同；发生</w:t>
            </w:r>
            <w:r>
              <w:rPr>
                <w:spacing w:val="-7"/>
                <w:sz w:val="21"/>
              </w:rPr>
              <w:t>保险事故的，本公司承担给付保险金的责任。</w:t>
            </w:r>
          </w:p>
        </w:tc>
      </w:tr>
      <w:tr>
        <w:trPr>
          <w:trHeight w:val="3121" w:hRule="atLeast"/>
        </w:trPr>
        <w:tc>
          <w:tcPr>
            <w:tcW w:w="747" w:type="dxa"/>
          </w:tcPr>
          <w:p>
            <w:pPr>
              <w:pStyle w:val="TableParagraph"/>
              <w:spacing w:before="142"/>
              <w:ind w:left="110"/>
              <w:rPr>
                <w:b/>
                <w:sz w:val="21"/>
              </w:rPr>
            </w:pPr>
            <w:r>
              <w:rPr>
                <w:b/>
                <w:sz w:val="21"/>
              </w:rPr>
              <w:t>5.3</w:t>
            </w:r>
          </w:p>
        </w:tc>
        <w:tc>
          <w:tcPr>
            <w:tcW w:w="2079" w:type="dxa"/>
          </w:tcPr>
          <w:p>
            <w:pPr>
              <w:pStyle w:val="TableParagraph"/>
              <w:spacing w:before="142"/>
              <w:ind w:left="280"/>
              <w:rPr>
                <w:b/>
                <w:sz w:val="21"/>
              </w:rPr>
            </w:pPr>
            <w:r>
              <w:rPr>
                <w:b/>
                <w:sz w:val="21"/>
              </w:rPr>
              <w:t>年龄性别错误</w:t>
            </w:r>
          </w:p>
        </w:tc>
        <w:tc>
          <w:tcPr>
            <w:tcW w:w="7073" w:type="dxa"/>
          </w:tcPr>
          <w:p>
            <w:pPr>
              <w:pStyle w:val="TableParagraph"/>
              <w:spacing w:line="273" w:lineRule="auto" w:before="142"/>
              <w:ind w:left="107" w:right="111"/>
              <w:rPr>
                <w:sz w:val="21"/>
              </w:rPr>
            </w:pPr>
            <w:r>
              <w:rPr>
                <w:spacing w:val="-10"/>
                <w:sz w:val="21"/>
              </w:rPr>
              <w:t>您在申请投保时，应将与有效身份证件相符的被保险人出生日期和性别在投</w:t>
            </w:r>
            <w:r>
              <w:rPr>
                <w:spacing w:val="-4"/>
                <w:sz w:val="21"/>
              </w:rPr>
              <w:t>保单上填明，如果发生错误按照下列方式办理：</w:t>
            </w:r>
          </w:p>
          <w:p>
            <w:pPr>
              <w:pStyle w:val="TableParagraph"/>
              <w:spacing w:line="273" w:lineRule="auto" w:before="7"/>
              <w:ind w:left="612" w:right="140" w:hanging="505"/>
              <w:jc w:val="both"/>
              <w:rPr>
                <w:sz w:val="21"/>
              </w:rPr>
            </w:pPr>
            <w:r>
              <w:rPr>
                <w:sz w:val="21"/>
              </w:rPr>
              <w:t>（1）您申报的被保险人年龄不真实，并且其真实年龄不符合本主合同约定投保年龄限制的，在保险事故发生之前我们有权解除合同，并向您退还保险单的现金价值。我们行使合同解除权适用“本公司合同解除权的限制”的规定。</w:t>
            </w:r>
          </w:p>
          <w:p>
            <w:pPr>
              <w:pStyle w:val="TableParagraph"/>
              <w:spacing w:line="273" w:lineRule="auto" w:before="7"/>
              <w:ind w:left="597" w:right="136" w:hanging="491"/>
              <w:jc w:val="both"/>
              <w:rPr>
                <w:sz w:val="21"/>
              </w:rPr>
            </w:pPr>
            <w:r>
              <w:rPr>
                <w:sz w:val="21"/>
              </w:rPr>
              <w:t>（2）您申报的被保险人年龄性别不真实，我们有权按照被保险人的真实年龄性别重新核算基本保险金额。若已经发生保险事故，在给付保险金时按重新核算后的基本保险金额给付。</w:t>
            </w:r>
          </w:p>
        </w:tc>
      </w:tr>
      <w:tr>
        <w:trPr>
          <w:trHeight w:val="1248" w:hRule="atLeast"/>
        </w:trPr>
        <w:tc>
          <w:tcPr>
            <w:tcW w:w="747" w:type="dxa"/>
          </w:tcPr>
          <w:p>
            <w:pPr>
              <w:pStyle w:val="TableParagraph"/>
              <w:spacing w:before="142"/>
              <w:ind w:left="110"/>
              <w:rPr>
                <w:b/>
                <w:sz w:val="21"/>
              </w:rPr>
            </w:pPr>
            <w:r>
              <w:rPr>
                <w:b/>
                <w:sz w:val="21"/>
              </w:rPr>
              <w:t>5.4</w:t>
            </w:r>
          </w:p>
        </w:tc>
        <w:tc>
          <w:tcPr>
            <w:tcW w:w="2079" w:type="dxa"/>
          </w:tcPr>
          <w:p>
            <w:pPr>
              <w:pStyle w:val="TableParagraph"/>
              <w:spacing w:before="142"/>
              <w:ind w:left="280"/>
              <w:rPr>
                <w:b/>
                <w:sz w:val="21"/>
              </w:rPr>
            </w:pPr>
            <w:r>
              <w:rPr>
                <w:b/>
                <w:sz w:val="21"/>
              </w:rPr>
              <w:t>未还款项</w:t>
            </w:r>
          </w:p>
        </w:tc>
        <w:tc>
          <w:tcPr>
            <w:tcW w:w="7073" w:type="dxa"/>
          </w:tcPr>
          <w:p>
            <w:pPr>
              <w:pStyle w:val="TableParagraph"/>
              <w:spacing w:line="273" w:lineRule="auto" w:before="142"/>
              <w:ind w:left="107" w:right="108"/>
              <w:jc w:val="both"/>
              <w:rPr>
                <w:sz w:val="21"/>
              </w:rPr>
            </w:pPr>
            <w:r>
              <w:rPr>
                <w:spacing w:val="-8"/>
                <w:sz w:val="21"/>
              </w:rPr>
              <w:t>我们在给付各项保险金、退还现金价值或返还保险费时，如果您有欠交的保</w:t>
            </w:r>
            <w:r>
              <w:rPr>
                <w:spacing w:val="-10"/>
                <w:sz w:val="21"/>
              </w:rPr>
              <w:t>险费或其他未还清款项，我们会在扣除上述欠款及应付利息后给付。应付利</w:t>
            </w:r>
            <w:r>
              <w:rPr>
                <w:spacing w:val="-7"/>
                <w:sz w:val="21"/>
              </w:rPr>
              <w:t>息按本合同约定利率按日复利计算，但本主合同另有约定的除外。</w:t>
            </w:r>
          </w:p>
        </w:tc>
      </w:tr>
      <w:tr>
        <w:trPr>
          <w:trHeight w:val="1872" w:hRule="atLeast"/>
        </w:trPr>
        <w:tc>
          <w:tcPr>
            <w:tcW w:w="747" w:type="dxa"/>
          </w:tcPr>
          <w:p>
            <w:pPr>
              <w:pStyle w:val="TableParagraph"/>
              <w:spacing w:before="142"/>
              <w:ind w:left="110"/>
              <w:rPr>
                <w:b/>
                <w:sz w:val="21"/>
              </w:rPr>
            </w:pPr>
            <w:r>
              <w:rPr>
                <w:b/>
                <w:sz w:val="21"/>
              </w:rPr>
              <w:t>5.5</w:t>
            </w:r>
          </w:p>
        </w:tc>
        <w:tc>
          <w:tcPr>
            <w:tcW w:w="2079" w:type="dxa"/>
          </w:tcPr>
          <w:p>
            <w:pPr>
              <w:pStyle w:val="TableParagraph"/>
              <w:spacing w:before="142"/>
              <w:ind w:left="280"/>
              <w:rPr>
                <w:b/>
                <w:sz w:val="21"/>
              </w:rPr>
            </w:pPr>
            <w:r>
              <w:rPr>
                <w:b/>
                <w:sz w:val="21"/>
              </w:rPr>
              <w:t>事故鉴定</w:t>
            </w:r>
          </w:p>
        </w:tc>
        <w:tc>
          <w:tcPr>
            <w:tcW w:w="7073" w:type="dxa"/>
          </w:tcPr>
          <w:p>
            <w:pPr>
              <w:pStyle w:val="TableParagraph"/>
              <w:spacing w:before="142"/>
              <w:ind w:left="107"/>
              <w:rPr>
                <w:b/>
                <w:sz w:val="21"/>
              </w:rPr>
            </w:pPr>
            <w:r>
              <w:rPr>
                <w:sz w:val="21"/>
              </w:rPr>
              <w:t>如果您申请保险金的给付，我们有权要求被保险人在</w:t>
            </w:r>
            <w:r>
              <w:rPr>
                <w:b/>
                <w:sz w:val="21"/>
              </w:rPr>
              <w:t>本公司认可的医疗机构</w:t>
            </w:r>
          </w:p>
          <w:p>
            <w:pPr>
              <w:pStyle w:val="TableParagraph"/>
              <w:spacing w:line="273" w:lineRule="auto" w:before="36"/>
              <w:ind w:left="107" w:right="122"/>
              <w:rPr>
                <w:sz w:val="21"/>
              </w:rPr>
            </w:pPr>
            <w:r>
              <w:rPr>
                <w:sz w:val="21"/>
              </w:rPr>
              <w:t>（见释义 6.21）进行身体检查或到具有相应鉴定资格的专业鉴定机构进行残疾鉴定。</w:t>
            </w:r>
          </w:p>
          <w:p>
            <w:pPr>
              <w:pStyle w:val="TableParagraph"/>
              <w:spacing w:line="273" w:lineRule="auto" w:before="8"/>
              <w:ind w:left="107" w:right="109"/>
              <w:rPr>
                <w:sz w:val="21"/>
              </w:rPr>
            </w:pPr>
            <w:r>
              <w:rPr>
                <w:spacing w:val="-8"/>
                <w:sz w:val="21"/>
              </w:rPr>
              <w:t>如果被保险人身故且身故原因不明，除法律所不允许的情形外，我们可以要</w:t>
            </w:r>
            <w:r>
              <w:rPr>
                <w:spacing w:val="-6"/>
                <w:sz w:val="21"/>
              </w:rPr>
              <w:t>求解剖检验或要求司法鉴定机构对保险事故进行鉴定。</w:t>
            </w:r>
          </w:p>
        </w:tc>
      </w:tr>
      <w:tr>
        <w:trPr>
          <w:trHeight w:val="1042" w:hRule="atLeast"/>
        </w:trPr>
        <w:tc>
          <w:tcPr>
            <w:tcW w:w="747" w:type="dxa"/>
          </w:tcPr>
          <w:p>
            <w:pPr>
              <w:pStyle w:val="TableParagraph"/>
              <w:spacing w:before="142"/>
              <w:ind w:left="110"/>
              <w:rPr>
                <w:b/>
                <w:sz w:val="21"/>
              </w:rPr>
            </w:pPr>
            <w:r>
              <w:rPr>
                <w:b/>
                <w:sz w:val="21"/>
              </w:rPr>
              <w:t>5.6</w:t>
            </w:r>
          </w:p>
        </w:tc>
        <w:tc>
          <w:tcPr>
            <w:tcW w:w="2079" w:type="dxa"/>
          </w:tcPr>
          <w:p>
            <w:pPr>
              <w:pStyle w:val="TableParagraph"/>
              <w:spacing w:before="142"/>
              <w:ind w:left="280"/>
              <w:rPr>
                <w:b/>
                <w:sz w:val="21"/>
              </w:rPr>
            </w:pPr>
            <w:r>
              <w:rPr>
                <w:b/>
                <w:sz w:val="21"/>
              </w:rPr>
              <w:t>争议处理</w:t>
            </w:r>
          </w:p>
        </w:tc>
        <w:tc>
          <w:tcPr>
            <w:tcW w:w="7073" w:type="dxa"/>
          </w:tcPr>
          <w:p>
            <w:pPr>
              <w:pStyle w:val="TableParagraph"/>
              <w:spacing w:before="142"/>
              <w:ind w:left="107"/>
              <w:rPr>
                <w:sz w:val="21"/>
              </w:rPr>
            </w:pPr>
            <w:r>
              <w:rPr>
                <w:sz w:val="21"/>
              </w:rPr>
              <w:t>您和我们发生争议时，您可以从以下两种争议处理方式中选择一种：</w:t>
            </w:r>
          </w:p>
          <w:p>
            <w:pPr>
              <w:pStyle w:val="TableParagraph"/>
              <w:spacing w:before="36"/>
              <w:ind w:left="107"/>
              <w:rPr>
                <w:sz w:val="21"/>
              </w:rPr>
            </w:pPr>
            <w:r>
              <w:rPr>
                <w:spacing w:val="-26"/>
                <w:sz w:val="21"/>
              </w:rPr>
              <w:t>（1）</w:t>
            </w:r>
            <w:r>
              <w:rPr>
                <w:spacing w:val="-5"/>
                <w:sz w:val="21"/>
              </w:rPr>
              <w:t>提交仲裁委员会按提交仲裁时该仲裁委员会现行有效的仲裁规则仲裁；</w:t>
            </w:r>
          </w:p>
          <w:p>
            <w:pPr>
              <w:pStyle w:val="TableParagraph"/>
              <w:spacing w:line="255" w:lineRule="exact"/>
              <w:ind w:left="107"/>
              <w:rPr>
                <w:sz w:val="21"/>
              </w:rPr>
            </w:pPr>
            <w:r>
              <w:rPr>
                <w:sz w:val="21"/>
              </w:rPr>
              <w:t>（2）向有管辖权的人民法院提起诉讼。</w:t>
            </w:r>
          </w:p>
        </w:tc>
      </w:tr>
    </w:tbl>
    <w:p>
      <w:pPr>
        <w:spacing w:after="0" w:line="255" w:lineRule="exact"/>
        <w:rPr>
          <w:sz w:val="21"/>
        </w:rPr>
        <w:sectPr>
          <w:pgSz w:w="11910" w:h="16840"/>
          <w:pgMar w:header="496" w:footer="995" w:top="800" w:bottom="1180" w:left="860" w:right="940"/>
        </w:sectPr>
      </w:pPr>
    </w:p>
    <w:p>
      <w:pPr>
        <w:pStyle w:val="BodyText"/>
        <w:rPr>
          <w:rFonts w:ascii="Times New Roman"/>
          <w:sz w:val="20"/>
        </w:rPr>
      </w:pPr>
    </w:p>
    <w:p>
      <w:pPr>
        <w:pStyle w:val="BodyText"/>
        <w:spacing w:before="9" w:after="1"/>
        <w:rPr>
          <w:rFonts w:ascii="Times New Roman"/>
          <w:sz w:val="12"/>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2077"/>
        <w:gridCol w:w="7074"/>
      </w:tblGrid>
      <w:tr>
        <w:trPr>
          <w:trHeight w:val="1379" w:hRule="atLeast"/>
        </w:trPr>
        <w:tc>
          <w:tcPr>
            <w:tcW w:w="747" w:type="dxa"/>
          </w:tcPr>
          <w:p>
            <w:pPr>
              <w:pStyle w:val="TableParagraph"/>
              <w:spacing w:before="0"/>
              <w:ind w:left="0"/>
              <w:rPr>
                <w:rFonts w:ascii="Times New Roman"/>
                <w:sz w:val="20"/>
              </w:rPr>
            </w:pPr>
          </w:p>
        </w:tc>
        <w:tc>
          <w:tcPr>
            <w:tcW w:w="2077" w:type="dxa"/>
          </w:tcPr>
          <w:p>
            <w:pPr>
              <w:pStyle w:val="TableParagraph"/>
              <w:spacing w:before="0"/>
              <w:ind w:left="0"/>
              <w:rPr>
                <w:rFonts w:ascii="Times New Roman"/>
                <w:sz w:val="20"/>
              </w:rPr>
            </w:pPr>
          </w:p>
        </w:tc>
        <w:tc>
          <w:tcPr>
            <w:tcW w:w="7074" w:type="dxa"/>
          </w:tcPr>
          <w:p>
            <w:pPr>
              <w:pStyle w:val="TableParagraph"/>
              <w:spacing w:line="211" w:lineRule="exact" w:before="0"/>
              <w:ind w:left="109"/>
              <w:rPr>
                <w:sz w:val="21"/>
              </w:rPr>
            </w:pPr>
            <w:r>
              <w:rPr>
                <w:sz w:val="21"/>
              </w:rPr>
              <w:t>如果您选择以仲裁方式作为合同签署或履行过程中争议处理的方式，需与我</w:t>
            </w:r>
          </w:p>
          <w:p>
            <w:pPr>
              <w:pStyle w:val="TableParagraph"/>
              <w:spacing w:line="273" w:lineRule="auto"/>
              <w:ind w:left="109" w:right="105"/>
              <w:jc w:val="both"/>
              <w:rPr>
                <w:sz w:val="21"/>
              </w:rPr>
            </w:pPr>
            <w:r>
              <w:rPr>
                <w:spacing w:val="-8"/>
                <w:sz w:val="21"/>
              </w:rPr>
              <w:t>们协议选定仲裁委员会。如果没有选择争议处理的方式、选择仲裁但仲裁委员会约定不明或者约定的仲裁委员会不存在，则以本条上述第</w:t>
            </w:r>
            <w:r>
              <w:rPr>
                <w:sz w:val="21"/>
              </w:rPr>
              <w:t>（2）种方式处理争议。</w:t>
            </w:r>
          </w:p>
        </w:tc>
      </w:tr>
      <w:tr>
        <w:trPr>
          <w:trHeight w:val="755" w:hRule="atLeast"/>
        </w:trPr>
        <w:tc>
          <w:tcPr>
            <w:tcW w:w="747" w:type="dxa"/>
            <w:tcBorders>
              <w:bottom w:val="single" w:sz="4" w:space="0" w:color="000000"/>
            </w:tcBorders>
          </w:tcPr>
          <w:p>
            <w:pPr>
              <w:pStyle w:val="TableParagraph"/>
              <w:spacing w:before="193"/>
              <w:ind w:left="110"/>
              <w:rPr>
                <w:rFonts w:ascii="Arial" w:hAnsi="Arial"/>
                <w:b/>
                <w:sz w:val="40"/>
              </w:rPr>
            </w:pPr>
            <w:r>
              <w:rPr>
                <w:rFonts w:ascii="Arial" w:hAnsi="Arial"/>
                <w:b/>
                <w:w w:val="118"/>
                <w:sz w:val="40"/>
              </w:rPr>
              <w:t></w:t>
            </w:r>
          </w:p>
        </w:tc>
        <w:tc>
          <w:tcPr>
            <w:tcW w:w="2077" w:type="dxa"/>
            <w:tcBorders>
              <w:bottom w:val="single" w:sz="4" w:space="0" w:color="000000"/>
            </w:tcBorders>
          </w:tcPr>
          <w:p>
            <w:pPr>
              <w:pStyle w:val="TableParagraph"/>
              <w:spacing w:before="8"/>
              <w:ind w:left="0"/>
              <w:rPr>
                <w:rFonts w:ascii="Times New Roman"/>
                <w:sz w:val="21"/>
              </w:rPr>
            </w:pPr>
          </w:p>
          <w:p>
            <w:pPr>
              <w:pStyle w:val="TableParagraph"/>
              <w:spacing w:before="0"/>
              <w:ind w:left="280"/>
              <w:rPr>
                <w:b/>
                <w:sz w:val="24"/>
              </w:rPr>
            </w:pPr>
            <w:r>
              <w:rPr>
                <w:b/>
                <w:w w:val="95"/>
                <w:sz w:val="24"/>
              </w:rPr>
              <w:t>释义</w:t>
            </w:r>
          </w:p>
        </w:tc>
        <w:tc>
          <w:tcPr>
            <w:tcW w:w="7074" w:type="dxa"/>
            <w:tcBorders>
              <w:bottom w:val="single" w:sz="4" w:space="0" w:color="000000"/>
            </w:tcBorders>
          </w:tcPr>
          <w:p>
            <w:pPr>
              <w:pStyle w:val="TableParagraph"/>
              <w:spacing w:before="0"/>
              <w:ind w:left="0"/>
              <w:rPr>
                <w:rFonts w:ascii="Times New Roman"/>
                <w:sz w:val="20"/>
              </w:rPr>
            </w:pPr>
          </w:p>
        </w:tc>
      </w:tr>
      <w:tr>
        <w:trPr>
          <w:trHeight w:val="1090" w:hRule="atLeast"/>
        </w:trPr>
        <w:tc>
          <w:tcPr>
            <w:tcW w:w="747" w:type="dxa"/>
            <w:tcBorders>
              <w:top w:val="single" w:sz="4" w:space="0" w:color="000000"/>
            </w:tcBorders>
          </w:tcPr>
          <w:p>
            <w:pPr>
              <w:pStyle w:val="TableParagraph"/>
              <w:spacing w:before="9"/>
              <w:ind w:left="0"/>
              <w:rPr>
                <w:rFonts w:ascii="Times New Roman"/>
                <w:sz w:val="25"/>
              </w:rPr>
            </w:pPr>
          </w:p>
          <w:p>
            <w:pPr>
              <w:pStyle w:val="TableParagraph"/>
              <w:spacing w:before="0"/>
              <w:ind w:left="110"/>
              <w:rPr>
                <w:b/>
                <w:sz w:val="21"/>
              </w:rPr>
            </w:pPr>
            <w:r>
              <w:rPr>
                <w:b/>
                <w:sz w:val="21"/>
              </w:rPr>
              <w:t>6.1</w:t>
            </w:r>
          </w:p>
        </w:tc>
        <w:tc>
          <w:tcPr>
            <w:tcW w:w="2077" w:type="dxa"/>
            <w:tcBorders>
              <w:top w:val="single" w:sz="4" w:space="0" w:color="000000"/>
            </w:tcBorders>
          </w:tcPr>
          <w:p>
            <w:pPr>
              <w:pStyle w:val="TableParagraph"/>
              <w:spacing w:before="9"/>
              <w:ind w:left="0"/>
              <w:rPr>
                <w:rFonts w:ascii="Times New Roman"/>
                <w:sz w:val="25"/>
              </w:rPr>
            </w:pPr>
          </w:p>
          <w:p>
            <w:pPr>
              <w:pStyle w:val="TableParagraph"/>
              <w:spacing w:before="0"/>
              <w:ind w:left="280"/>
              <w:rPr>
                <w:b/>
                <w:sz w:val="21"/>
              </w:rPr>
            </w:pPr>
            <w:r>
              <w:rPr>
                <w:b/>
                <w:sz w:val="21"/>
              </w:rPr>
              <w:t>周岁</w:t>
            </w:r>
          </w:p>
        </w:tc>
        <w:tc>
          <w:tcPr>
            <w:tcW w:w="7074" w:type="dxa"/>
            <w:tcBorders>
              <w:top w:val="single" w:sz="4" w:space="0" w:color="000000"/>
            </w:tcBorders>
          </w:tcPr>
          <w:p>
            <w:pPr>
              <w:pStyle w:val="TableParagraph"/>
              <w:spacing w:before="9"/>
              <w:ind w:left="0"/>
              <w:rPr>
                <w:rFonts w:ascii="Times New Roman"/>
                <w:sz w:val="25"/>
              </w:rPr>
            </w:pPr>
          </w:p>
          <w:p>
            <w:pPr>
              <w:pStyle w:val="TableParagraph"/>
              <w:spacing w:line="273" w:lineRule="auto" w:before="0"/>
              <w:ind w:left="109" w:right="108"/>
              <w:rPr>
                <w:sz w:val="21"/>
              </w:rPr>
            </w:pPr>
            <w:r>
              <w:rPr>
                <w:spacing w:val="-8"/>
                <w:sz w:val="21"/>
              </w:rPr>
              <w:t>周岁年龄是指按法定有效身份证件文件中记载的出生日期计算的年龄，自出</w:t>
            </w:r>
            <w:r>
              <w:rPr>
                <w:spacing w:val="-6"/>
                <w:sz w:val="21"/>
              </w:rPr>
              <w:t>生之日起为零周岁，每经过一年增加一岁，不足一年的不计。</w:t>
            </w:r>
          </w:p>
        </w:tc>
      </w:tr>
      <w:tr>
        <w:trPr>
          <w:trHeight w:val="936" w:hRule="atLeast"/>
        </w:trPr>
        <w:tc>
          <w:tcPr>
            <w:tcW w:w="747" w:type="dxa"/>
          </w:tcPr>
          <w:p>
            <w:pPr>
              <w:pStyle w:val="TableParagraph"/>
              <w:spacing w:before="142"/>
              <w:ind w:left="110"/>
              <w:rPr>
                <w:b/>
                <w:sz w:val="21"/>
              </w:rPr>
            </w:pPr>
            <w:r>
              <w:rPr>
                <w:b/>
                <w:sz w:val="21"/>
              </w:rPr>
              <w:t>6.2</w:t>
            </w:r>
          </w:p>
        </w:tc>
        <w:tc>
          <w:tcPr>
            <w:tcW w:w="2077" w:type="dxa"/>
          </w:tcPr>
          <w:p>
            <w:pPr>
              <w:pStyle w:val="TableParagraph"/>
              <w:spacing w:before="142"/>
              <w:ind w:left="280"/>
              <w:rPr>
                <w:b/>
                <w:sz w:val="21"/>
              </w:rPr>
            </w:pPr>
            <w:r>
              <w:rPr>
                <w:b/>
                <w:sz w:val="21"/>
              </w:rPr>
              <w:t>有效身份证件</w:t>
            </w:r>
          </w:p>
        </w:tc>
        <w:tc>
          <w:tcPr>
            <w:tcW w:w="7074" w:type="dxa"/>
          </w:tcPr>
          <w:p>
            <w:pPr>
              <w:pStyle w:val="TableParagraph"/>
              <w:spacing w:line="273" w:lineRule="auto" w:before="142"/>
              <w:ind w:left="109" w:right="108"/>
              <w:rPr>
                <w:sz w:val="21"/>
              </w:rPr>
            </w:pPr>
            <w:r>
              <w:rPr>
                <w:spacing w:val="-9"/>
                <w:sz w:val="21"/>
              </w:rPr>
              <w:t>指由政府主管部门规定的证明其身份的证件，如：居民身份证、按规定可使</w:t>
            </w:r>
            <w:r>
              <w:rPr>
                <w:spacing w:val="-7"/>
                <w:sz w:val="21"/>
              </w:rPr>
              <w:t>用的有效护照、军官证、警官证、士兵证等证件。</w:t>
            </w:r>
          </w:p>
        </w:tc>
      </w:tr>
      <w:tr>
        <w:trPr>
          <w:trHeight w:val="936" w:hRule="atLeast"/>
        </w:trPr>
        <w:tc>
          <w:tcPr>
            <w:tcW w:w="747" w:type="dxa"/>
          </w:tcPr>
          <w:p>
            <w:pPr>
              <w:pStyle w:val="TableParagraph"/>
              <w:spacing w:before="143"/>
              <w:ind w:left="110"/>
              <w:rPr>
                <w:b/>
                <w:sz w:val="21"/>
              </w:rPr>
            </w:pPr>
            <w:r>
              <w:rPr>
                <w:b/>
                <w:sz w:val="21"/>
              </w:rPr>
              <w:t>6.3</w:t>
            </w:r>
          </w:p>
        </w:tc>
        <w:tc>
          <w:tcPr>
            <w:tcW w:w="2077" w:type="dxa"/>
          </w:tcPr>
          <w:p>
            <w:pPr>
              <w:pStyle w:val="TableParagraph"/>
              <w:spacing w:before="143"/>
              <w:ind w:left="280"/>
              <w:rPr>
                <w:b/>
                <w:sz w:val="21"/>
              </w:rPr>
            </w:pPr>
            <w:r>
              <w:rPr>
                <w:b/>
                <w:sz w:val="21"/>
              </w:rPr>
              <w:t>现金价值</w:t>
            </w:r>
          </w:p>
        </w:tc>
        <w:tc>
          <w:tcPr>
            <w:tcW w:w="7074" w:type="dxa"/>
          </w:tcPr>
          <w:p>
            <w:pPr>
              <w:pStyle w:val="TableParagraph"/>
              <w:spacing w:line="273" w:lineRule="auto" w:before="143"/>
              <w:ind w:left="109" w:right="107"/>
              <w:rPr>
                <w:sz w:val="21"/>
              </w:rPr>
            </w:pPr>
            <w:r>
              <w:rPr>
                <w:spacing w:val="-8"/>
                <w:sz w:val="21"/>
              </w:rPr>
              <w:t>指保险单所具有的价值，通常体现为解除合同时，根据精算原理计算的，由</w:t>
            </w:r>
            <w:r>
              <w:rPr>
                <w:spacing w:val="-6"/>
                <w:sz w:val="21"/>
              </w:rPr>
              <w:t>本公司退还的那部分金额。</w:t>
            </w:r>
          </w:p>
        </w:tc>
      </w:tr>
      <w:tr>
        <w:trPr>
          <w:trHeight w:val="936" w:hRule="atLeast"/>
        </w:trPr>
        <w:tc>
          <w:tcPr>
            <w:tcW w:w="747" w:type="dxa"/>
          </w:tcPr>
          <w:p>
            <w:pPr>
              <w:pStyle w:val="TableParagraph"/>
              <w:spacing w:before="142"/>
              <w:ind w:left="110"/>
              <w:rPr>
                <w:b/>
                <w:sz w:val="21"/>
              </w:rPr>
            </w:pPr>
            <w:r>
              <w:rPr>
                <w:b/>
                <w:sz w:val="21"/>
              </w:rPr>
              <w:t>6.4</w:t>
            </w:r>
          </w:p>
        </w:tc>
        <w:tc>
          <w:tcPr>
            <w:tcW w:w="2077" w:type="dxa"/>
          </w:tcPr>
          <w:p>
            <w:pPr>
              <w:pStyle w:val="TableParagraph"/>
              <w:spacing w:before="142"/>
              <w:ind w:left="280"/>
              <w:rPr>
                <w:b/>
                <w:sz w:val="21"/>
              </w:rPr>
            </w:pPr>
            <w:r>
              <w:rPr>
                <w:b/>
                <w:sz w:val="21"/>
              </w:rPr>
              <w:t>轻症疾病</w:t>
            </w:r>
          </w:p>
        </w:tc>
        <w:tc>
          <w:tcPr>
            <w:tcW w:w="7074" w:type="dxa"/>
          </w:tcPr>
          <w:p>
            <w:pPr>
              <w:pStyle w:val="TableParagraph"/>
              <w:spacing w:line="273" w:lineRule="auto" w:before="142"/>
              <w:ind w:left="109" w:right="108"/>
              <w:rPr>
                <w:sz w:val="21"/>
              </w:rPr>
            </w:pPr>
            <w:r>
              <w:rPr>
                <w:spacing w:val="-8"/>
                <w:sz w:val="21"/>
              </w:rPr>
              <w:t>指保险责任生效后，经专科医生明确诊断，被保险人初次发生符合以下疾病</w:t>
            </w:r>
            <w:r>
              <w:rPr>
                <w:spacing w:val="-6"/>
                <w:sz w:val="21"/>
              </w:rPr>
              <w:t>定义所述条件的疾病：</w:t>
            </w:r>
          </w:p>
        </w:tc>
      </w:tr>
      <w:tr>
        <w:trPr>
          <w:trHeight w:val="2442" w:hRule="atLeast"/>
        </w:trPr>
        <w:tc>
          <w:tcPr>
            <w:tcW w:w="747" w:type="dxa"/>
          </w:tcPr>
          <w:p>
            <w:pPr>
              <w:pStyle w:val="TableParagraph"/>
              <w:spacing w:before="0"/>
              <w:ind w:left="0"/>
              <w:rPr>
                <w:rFonts w:ascii="Times New Roman"/>
                <w:sz w:val="20"/>
              </w:rPr>
            </w:pPr>
          </w:p>
        </w:tc>
        <w:tc>
          <w:tcPr>
            <w:tcW w:w="2077" w:type="dxa"/>
          </w:tcPr>
          <w:p>
            <w:pPr>
              <w:pStyle w:val="TableParagraph"/>
              <w:spacing w:line="273" w:lineRule="auto" w:before="143"/>
              <w:ind w:left="280" w:right="109"/>
              <w:jc w:val="both"/>
              <w:rPr>
                <w:sz w:val="21"/>
              </w:rPr>
            </w:pPr>
            <w:r>
              <w:rPr>
                <w:sz w:val="21"/>
              </w:rPr>
              <w:t>（一）非危及生命的（极早期的）恶性病变</w:t>
            </w:r>
          </w:p>
        </w:tc>
        <w:tc>
          <w:tcPr>
            <w:tcW w:w="7074" w:type="dxa"/>
          </w:tcPr>
          <w:p>
            <w:pPr>
              <w:pStyle w:val="TableParagraph"/>
              <w:spacing w:line="273" w:lineRule="auto" w:before="143"/>
              <w:ind w:left="109" w:right="108"/>
              <w:rPr>
                <w:sz w:val="21"/>
              </w:rPr>
            </w:pPr>
            <w:r>
              <w:rPr>
                <w:spacing w:val="-8"/>
                <w:sz w:val="21"/>
              </w:rPr>
              <w:t>指被保险人生前经组织病理学检查被明确诊断为下列恶性病变，并且接受了</w:t>
            </w:r>
            <w:r>
              <w:rPr>
                <w:spacing w:val="-7"/>
                <w:sz w:val="21"/>
              </w:rPr>
              <w:t>相应的治疗。</w:t>
            </w:r>
          </w:p>
          <w:p>
            <w:pPr>
              <w:pStyle w:val="TableParagraph"/>
              <w:spacing w:before="8"/>
              <w:ind w:left="109"/>
              <w:rPr>
                <w:sz w:val="21"/>
              </w:rPr>
            </w:pPr>
            <w:r>
              <w:rPr>
                <w:sz w:val="21"/>
              </w:rPr>
              <w:t>（1）相当于 Binet 分期方案 A 期程度的慢性淋巴细胞白血病；</w:t>
            </w:r>
          </w:p>
          <w:p>
            <w:pPr>
              <w:pStyle w:val="TableParagraph"/>
              <w:ind w:left="109"/>
              <w:rPr>
                <w:sz w:val="21"/>
              </w:rPr>
            </w:pPr>
            <w:r>
              <w:rPr>
                <w:sz w:val="21"/>
              </w:rPr>
              <w:t>（2）相当于 Ann Arbor 分期方案 I 期程度的何杰金氏病；</w:t>
            </w:r>
          </w:p>
          <w:p>
            <w:pPr>
              <w:pStyle w:val="TableParagraph"/>
              <w:ind w:left="109"/>
              <w:rPr>
                <w:sz w:val="21"/>
              </w:rPr>
            </w:pPr>
            <w:r>
              <w:rPr>
                <w:w w:val="100"/>
                <w:sz w:val="21"/>
              </w:rPr>
              <w:t>（3）</w:t>
            </w:r>
            <w:r>
              <w:rPr>
                <w:spacing w:val="-2"/>
                <w:w w:val="100"/>
                <w:sz w:val="21"/>
              </w:rPr>
              <w:t>皮肤癌</w:t>
            </w:r>
            <w:r>
              <w:rPr>
                <w:w w:val="100"/>
                <w:sz w:val="21"/>
              </w:rPr>
              <w:t>（</w:t>
            </w:r>
            <w:r>
              <w:rPr>
                <w:spacing w:val="-5"/>
                <w:w w:val="100"/>
                <w:sz w:val="21"/>
              </w:rPr>
              <w:t>不包括恶性黑色素瘤及已发生转移的皮肤癌</w:t>
            </w:r>
            <w:r>
              <w:rPr>
                <w:spacing w:val="-106"/>
                <w:w w:val="100"/>
                <w:sz w:val="21"/>
              </w:rPr>
              <w:t>）</w:t>
            </w:r>
            <w:r>
              <w:rPr>
                <w:w w:val="100"/>
                <w:sz w:val="21"/>
              </w:rPr>
              <w:t>；</w:t>
            </w:r>
          </w:p>
          <w:p>
            <w:pPr>
              <w:pStyle w:val="TableParagraph"/>
              <w:spacing w:line="268" w:lineRule="exact" w:before="137"/>
              <w:ind w:left="109"/>
              <w:rPr>
                <w:sz w:val="21"/>
              </w:rPr>
            </w:pPr>
            <w:r>
              <w:rPr>
                <w:sz w:val="21"/>
              </w:rPr>
              <w:t>（4）TNM</w:t>
            </w:r>
            <w:r>
              <w:rPr>
                <w:spacing w:val="-10"/>
                <w:sz w:val="21"/>
              </w:rPr>
              <w:t> 分期为 </w:t>
            </w:r>
            <w:r>
              <w:rPr>
                <w:sz w:val="24"/>
              </w:rPr>
              <w:t>T</w:t>
            </w:r>
            <w:r>
              <w:rPr>
                <w:spacing w:val="-60"/>
                <w:sz w:val="24"/>
              </w:rPr>
              <w:t> </w:t>
            </w:r>
            <w:r>
              <w:rPr>
                <w:sz w:val="24"/>
              </w:rPr>
              <w:t>N</w:t>
            </w:r>
            <w:r>
              <w:rPr>
                <w:spacing w:val="-55"/>
                <w:sz w:val="24"/>
              </w:rPr>
              <w:t> </w:t>
            </w:r>
            <w:r>
              <w:rPr>
                <w:sz w:val="24"/>
              </w:rPr>
              <w:t>M </w:t>
            </w:r>
            <w:r>
              <w:rPr>
                <w:spacing w:val="-3"/>
                <w:sz w:val="21"/>
              </w:rPr>
              <w:t>期或更轻分期的前列腺癌。</w:t>
            </w:r>
          </w:p>
          <w:p>
            <w:pPr>
              <w:pStyle w:val="TableParagraph"/>
              <w:spacing w:line="111" w:lineRule="exact" w:before="0"/>
              <w:ind w:left="1862"/>
              <w:rPr>
                <w:sz w:val="12"/>
              </w:rPr>
            </w:pPr>
            <w:r>
              <w:rPr>
                <w:sz w:val="12"/>
              </w:rPr>
              <w:t>1  0</w:t>
            </w:r>
            <w:r>
              <w:rPr>
                <w:spacing w:val="58"/>
                <w:sz w:val="12"/>
              </w:rPr>
              <w:t> </w:t>
            </w:r>
            <w:r>
              <w:rPr>
                <w:sz w:val="12"/>
              </w:rPr>
              <w:t>0</w:t>
            </w:r>
          </w:p>
        </w:tc>
      </w:tr>
      <w:tr>
        <w:trPr>
          <w:trHeight w:val="990" w:hRule="atLeast"/>
        </w:trPr>
        <w:tc>
          <w:tcPr>
            <w:tcW w:w="747" w:type="dxa"/>
          </w:tcPr>
          <w:p>
            <w:pPr>
              <w:pStyle w:val="TableParagraph"/>
              <w:spacing w:before="0"/>
              <w:ind w:left="0"/>
              <w:rPr>
                <w:rFonts w:ascii="Times New Roman"/>
                <w:sz w:val="20"/>
              </w:rPr>
            </w:pPr>
          </w:p>
        </w:tc>
        <w:tc>
          <w:tcPr>
            <w:tcW w:w="2077" w:type="dxa"/>
          </w:tcPr>
          <w:p>
            <w:pPr>
              <w:pStyle w:val="TableParagraph"/>
              <w:spacing w:before="1"/>
              <w:ind w:left="0"/>
              <w:rPr>
                <w:rFonts w:ascii="Times New Roman"/>
                <w:sz w:val="17"/>
              </w:rPr>
            </w:pPr>
          </w:p>
          <w:p>
            <w:pPr>
              <w:pStyle w:val="TableParagraph"/>
              <w:spacing w:line="273" w:lineRule="auto" w:before="0"/>
              <w:ind w:left="280" w:right="109"/>
              <w:rPr>
                <w:sz w:val="21"/>
              </w:rPr>
            </w:pPr>
            <w:r>
              <w:rPr>
                <w:sz w:val="21"/>
              </w:rPr>
              <w:t>（二）心脏瓣膜介入手术</w:t>
            </w:r>
          </w:p>
        </w:tc>
        <w:tc>
          <w:tcPr>
            <w:tcW w:w="7074" w:type="dxa"/>
          </w:tcPr>
          <w:p>
            <w:pPr>
              <w:pStyle w:val="TableParagraph"/>
              <w:spacing w:before="1"/>
              <w:ind w:left="0"/>
              <w:rPr>
                <w:rFonts w:ascii="Times New Roman"/>
                <w:sz w:val="17"/>
              </w:rPr>
            </w:pPr>
          </w:p>
          <w:p>
            <w:pPr>
              <w:pStyle w:val="TableParagraph"/>
              <w:spacing w:line="273" w:lineRule="auto" w:before="0"/>
              <w:ind w:left="109" w:right="108"/>
              <w:rPr>
                <w:sz w:val="21"/>
              </w:rPr>
            </w:pPr>
            <w:r>
              <w:rPr>
                <w:spacing w:val="-9"/>
                <w:sz w:val="21"/>
              </w:rPr>
              <w:t>为了治疗心脏瓣膜疾病，被保险人实际接受了非开胸的经胸壁打孔内镜手术</w:t>
            </w:r>
            <w:r>
              <w:rPr>
                <w:spacing w:val="-7"/>
                <w:sz w:val="21"/>
              </w:rPr>
              <w:t>或经皮经导管介入手术进行的心脏瓣膜置换或修复手术。</w:t>
            </w:r>
          </w:p>
        </w:tc>
      </w:tr>
      <w:tr>
        <w:trPr>
          <w:trHeight w:val="1872" w:hRule="atLeast"/>
        </w:trPr>
        <w:tc>
          <w:tcPr>
            <w:tcW w:w="747" w:type="dxa"/>
          </w:tcPr>
          <w:p>
            <w:pPr>
              <w:pStyle w:val="TableParagraph"/>
              <w:spacing w:before="0"/>
              <w:ind w:left="0"/>
              <w:rPr>
                <w:rFonts w:ascii="Times New Roman"/>
                <w:sz w:val="20"/>
              </w:rPr>
            </w:pPr>
          </w:p>
        </w:tc>
        <w:tc>
          <w:tcPr>
            <w:tcW w:w="2077" w:type="dxa"/>
          </w:tcPr>
          <w:p>
            <w:pPr>
              <w:pStyle w:val="TableParagraph"/>
              <w:spacing w:line="273" w:lineRule="auto" w:before="143"/>
              <w:ind w:left="280" w:right="109"/>
              <w:jc w:val="both"/>
              <w:rPr>
                <w:sz w:val="21"/>
              </w:rPr>
            </w:pPr>
            <w:r>
              <w:rPr>
                <w:sz w:val="21"/>
              </w:rPr>
              <w:t>（三）脑垂体瘤、脑囊肿、脑动脉瘤及脑血管瘤</w:t>
            </w:r>
          </w:p>
        </w:tc>
        <w:tc>
          <w:tcPr>
            <w:tcW w:w="7074" w:type="dxa"/>
          </w:tcPr>
          <w:p>
            <w:pPr>
              <w:pStyle w:val="TableParagraph"/>
              <w:spacing w:line="273" w:lineRule="auto" w:before="143"/>
              <w:ind w:left="109" w:right="106"/>
              <w:rPr>
                <w:sz w:val="21"/>
              </w:rPr>
            </w:pPr>
            <w:r>
              <w:rPr>
                <w:spacing w:val="-4"/>
                <w:w w:val="100"/>
                <w:sz w:val="21"/>
              </w:rPr>
              <w:t>指被保险人经头颅断层扫描（</w:t>
            </w:r>
            <w:r>
              <w:rPr>
                <w:w w:val="100"/>
                <w:sz w:val="21"/>
              </w:rPr>
              <w:t>CT</w:t>
            </w:r>
            <w:r>
              <w:rPr>
                <w:spacing w:val="-106"/>
                <w:w w:val="100"/>
                <w:sz w:val="21"/>
              </w:rPr>
              <w:t>）</w:t>
            </w:r>
            <w:r>
              <w:rPr>
                <w:spacing w:val="-10"/>
                <w:w w:val="100"/>
                <w:sz w:val="21"/>
              </w:rPr>
              <w:t>、核磁共振</w:t>
            </w:r>
            <w:r>
              <w:rPr>
                <w:spacing w:val="-5"/>
                <w:w w:val="100"/>
                <w:sz w:val="21"/>
              </w:rPr>
              <w:t>（</w:t>
            </w:r>
            <w:r>
              <w:rPr>
                <w:w w:val="100"/>
                <w:sz w:val="21"/>
              </w:rPr>
              <w:t>MRI</w:t>
            </w:r>
            <w:r>
              <w:rPr>
                <w:spacing w:val="-25"/>
                <w:w w:val="100"/>
                <w:sz w:val="21"/>
              </w:rPr>
              <w:t>）</w:t>
            </w:r>
            <w:r>
              <w:rPr>
                <w:spacing w:val="-2"/>
                <w:w w:val="100"/>
                <w:sz w:val="21"/>
              </w:rPr>
              <w:t>或其他影像学检查被确</w:t>
            </w:r>
            <w:r>
              <w:rPr>
                <w:spacing w:val="-5"/>
                <w:sz w:val="21"/>
              </w:rPr>
              <w:t>诊为下列病变，并实际接受了手术或放射治疗。</w:t>
            </w:r>
          </w:p>
          <w:p>
            <w:pPr>
              <w:pStyle w:val="TableParagraph"/>
              <w:spacing w:before="8"/>
              <w:ind w:left="109"/>
              <w:rPr>
                <w:sz w:val="21"/>
              </w:rPr>
            </w:pPr>
            <w:r>
              <w:rPr>
                <w:sz w:val="21"/>
              </w:rPr>
              <w:t>（1）脑垂体瘤；</w:t>
            </w:r>
          </w:p>
          <w:p>
            <w:pPr>
              <w:pStyle w:val="TableParagraph"/>
              <w:ind w:left="109"/>
              <w:rPr>
                <w:sz w:val="21"/>
              </w:rPr>
            </w:pPr>
            <w:r>
              <w:rPr>
                <w:sz w:val="21"/>
              </w:rPr>
              <w:t>（2）脑囊肿；</w:t>
            </w:r>
          </w:p>
          <w:p>
            <w:pPr>
              <w:pStyle w:val="TableParagraph"/>
              <w:ind w:left="109"/>
              <w:rPr>
                <w:sz w:val="21"/>
              </w:rPr>
            </w:pPr>
            <w:r>
              <w:rPr>
                <w:sz w:val="21"/>
              </w:rPr>
              <w:t>（3）脑动脉瘤、脑血管瘤。</w:t>
            </w:r>
          </w:p>
        </w:tc>
      </w:tr>
      <w:tr>
        <w:trPr>
          <w:trHeight w:val="936" w:hRule="atLeast"/>
        </w:trPr>
        <w:tc>
          <w:tcPr>
            <w:tcW w:w="747" w:type="dxa"/>
          </w:tcPr>
          <w:p>
            <w:pPr>
              <w:pStyle w:val="TableParagraph"/>
              <w:spacing w:before="0"/>
              <w:ind w:left="0"/>
              <w:rPr>
                <w:rFonts w:ascii="Times New Roman"/>
                <w:sz w:val="20"/>
              </w:rPr>
            </w:pPr>
          </w:p>
        </w:tc>
        <w:tc>
          <w:tcPr>
            <w:tcW w:w="2077" w:type="dxa"/>
          </w:tcPr>
          <w:p>
            <w:pPr>
              <w:pStyle w:val="TableParagraph"/>
              <w:spacing w:line="273" w:lineRule="auto" w:before="142"/>
              <w:ind w:left="280" w:right="109"/>
              <w:rPr>
                <w:sz w:val="21"/>
              </w:rPr>
            </w:pPr>
            <w:r>
              <w:rPr>
                <w:sz w:val="21"/>
              </w:rPr>
              <w:t>（四）主动脉内介入手术</w:t>
            </w:r>
          </w:p>
        </w:tc>
        <w:tc>
          <w:tcPr>
            <w:tcW w:w="7074" w:type="dxa"/>
          </w:tcPr>
          <w:p>
            <w:pPr>
              <w:pStyle w:val="TableParagraph"/>
              <w:spacing w:line="273" w:lineRule="auto" w:before="142"/>
              <w:ind w:left="109" w:right="29"/>
              <w:rPr>
                <w:sz w:val="21"/>
              </w:rPr>
            </w:pPr>
            <w:r>
              <w:rPr>
                <w:sz w:val="21"/>
              </w:rPr>
              <w:t>指被保险人为了治疗主动脉疾病实际实施了经皮经导管进行的动脉内手术。主动脉指胸主动脉和腹主动脉，不包括胸主动脉和腹主动脉的分支血管。</w:t>
            </w:r>
          </w:p>
        </w:tc>
      </w:tr>
      <w:tr>
        <w:trPr>
          <w:trHeight w:val="936" w:hRule="atLeast"/>
        </w:trPr>
        <w:tc>
          <w:tcPr>
            <w:tcW w:w="747" w:type="dxa"/>
          </w:tcPr>
          <w:p>
            <w:pPr>
              <w:pStyle w:val="TableParagraph"/>
              <w:spacing w:before="0"/>
              <w:ind w:left="0"/>
              <w:rPr>
                <w:rFonts w:ascii="Times New Roman"/>
                <w:sz w:val="20"/>
              </w:rPr>
            </w:pPr>
          </w:p>
        </w:tc>
        <w:tc>
          <w:tcPr>
            <w:tcW w:w="2077" w:type="dxa"/>
          </w:tcPr>
          <w:p>
            <w:pPr>
              <w:pStyle w:val="TableParagraph"/>
              <w:spacing w:line="273" w:lineRule="auto" w:before="143"/>
              <w:ind w:left="280" w:right="109"/>
              <w:rPr>
                <w:sz w:val="21"/>
              </w:rPr>
            </w:pPr>
            <w:r>
              <w:rPr>
                <w:sz w:val="21"/>
              </w:rPr>
              <w:t>（五）较小面积Ⅲ 度烧伤（10%）</w:t>
            </w:r>
          </w:p>
        </w:tc>
        <w:tc>
          <w:tcPr>
            <w:tcW w:w="7074" w:type="dxa"/>
          </w:tcPr>
          <w:p>
            <w:pPr>
              <w:pStyle w:val="TableParagraph"/>
              <w:spacing w:line="273" w:lineRule="auto" w:before="143"/>
              <w:ind w:left="109" w:right="29"/>
              <w:rPr>
                <w:sz w:val="21"/>
              </w:rPr>
            </w:pPr>
            <w:r>
              <w:rPr>
                <w:sz w:val="21"/>
              </w:rPr>
              <w:t>指被保险人的烧伤程度为Ⅲ度，且Ⅲ度烧伤的面积大于全身体表面积的 10% 但小于 20%。体表面积根据《中国新九分法》计算。</w:t>
            </w:r>
          </w:p>
        </w:tc>
      </w:tr>
      <w:tr>
        <w:trPr>
          <w:trHeight w:val="1042" w:hRule="atLeast"/>
        </w:trPr>
        <w:tc>
          <w:tcPr>
            <w:tcW w:w="747" w:type="dxa"/>
          </w:tcPr>
          <w:p>
            <w:pPr>
              <w:pStyle w:val="TableParagraph"/>
              <w:spacing w:before="0"/>
              <w:ind w:left="0"/>
              <w:rPr>
                <w:rFonts w:ascii="Times New Roman"/>
                <w:sz w:val="20"/>
              </w:rPr>
            </w:pPr>
          </w:p>
        </w:tc>
        <w:tc>
          <w:tcPr>
            <w:tcW w:w="2077" w:type="dxa"/>
          </w:tcPr>
          <w:p>
            <w:pPr>
              <w:pStyle w:val="TableParagraph"/>
              <w:spacing w:line="273" w:lineRule="auto" w:before="142"/>
              <w:ind w:left="280" w:right="109"/>
              <w:rPr>
                <w:sz w:val="21"/>
              </w:rPr>
            </w:pPr>
            <w:r>
              <w:rPr>
                <w:sz w:val="21"/>
              </w:rPr>
              <w:t>（六）重症头部外伤</w:t>
            </w:r>
          </w:p>
        </w:tc>
        <w:tc>
          <w:tcPr>
            <w:tcW w:w="7074" w:type="dxa"/>
          </w:tcPr>
          <w:p>
            <w:pPr>
              <w:pStyle w:val="TableParagraph"/>
              <w:spacing w:before="142"/>
              <w:ind w:left="109"/>
              <w:rPr>
                <w:sz w:val="21"/>
              </w:rPr>
            </w:pPr>
            <w:r>
              <w:rPr>
                <w:sz w:val="21"/>
              </w:rPr>
              <w:t>指因头部遭受机械性外力伤害，引起脑重要部位损伤，并且由头颅断层扫描</w:t>
            </w:r>
          </w:p>
          <w:p>
            <w:pPr>
              <w:pStyle w:val="TableParagraph"/>
              <w:spacing w:line="312" w:lineRule="exact" w:before="32"/>
              <w:ind w:left="109" w:right="105"/>
              <w:rPr>
                <w:sz w:val="21"/>
              </w:rPr>
            </w:pPr>
            <w:r>
              <w:rPr>
                <w:w w:val="100"/>
                <w:sz w:val="21"/>
              </w:rPr>
              <w:t>（CT</w:t>
            </w:r>
            <w:r>
              <w:rPr>
                <w:spacing w:val="-106"/>
                <w:w w:val="100"/>
                <w:sz w:val="21"/>
              </w:rPr>
              <w:t>）</w:t>
            </w:r>
            <w:r>
              <w:rPr>
                <w:w w:val="100"/>
                <w:sz w:val="21"/>
              </w:rPr>
              <w:t>、</w:t>
            </w:r>
            <w:r>
              <w:rPr>
                <w:sz w:val="21"/>
              </w:rPr>
              <w:t> </w:t>
            </w:r>
            <w:r>
              <w:rPr>
                <w:spacing w:val="-5"/>
                <w:w w:val="100"/>
                <w:sz w:val="21"/>
              </w:rPr>
              <w:t>核磁共振检查</w:t>
            </w:r>
            <w:r>
              <w:rPr>
                <w:w w:val="100"/>
                <w:sz w:val="21"/>
              </w:rPr>
              <w:t>（</w:t>
            </w:r>
            <w:r>
              <w:rPr>
                <w:spacing w:val="-5"/>
                <w:w w:val="100"/>
                <w:sz w:val="21"/>
              </w:rPr>
              <w:t>M</w:t>
            </w:r>
            <w:r>
              <w:rPr>
                <w:w w:val="100"/>
                <w:sz w:val="21"/>
              </w:rPr>
              <w:t>RI</w:t>
            </w:r>
            <w:r>
              <w:rPr>
                <w:spacing w:val="-15"/>
                <w:w w:val="100"/>
                <w:sz w:val="21"/>
              </w:rPr>
              <w:t>）</w:t>
            </w:r>
            <w:r>
              <w:rPr>
                <w:spacing w:val="-6"/>
                <w:w w:val="100"/>
                <w:sz w:val="21"/>
              </w:rPr>
              <w:t>或正电子发射断层扫描</w:t>
            </w:r>
            <w:r>
              <w:rPr>
                <w:spacing w:val="0"/>
                <w:w w:val="100"/>
                <w:sz w:val="21"/>
              </w:rPr>
              <w:t>（</w:t>
            </w:r>
            <w:r>
              <w:rPr>
                <w:w w:val="100"/>
                <w:sz w:val="21"/>
              </w:rPr>
              <w:t>PET</w:t>
            </w:r>
            <w:r>
              <w:rPr>
                <w:spacing w:val="-20"/>
                <w:w w:val="100"/>
                <w:sz w:val="21"/>
              </w:rPr>
              <w:t>）</w:t>
            </w:r>
            <w:r>
              <w:rPr>
                <w:spacing w:val="-2"/>
                <w:w w:val="100"/>
                <w:sz w:val="21"/>
              </w:rPr>
              <w:t>等影像学检查</w:t>
            </w:r>
            <w:r>
              <w:rPr>
                <w:spacing w:val="-11"/>
                <w:sz w:val="21"/>
              </w:rPr>
              <w:t>证实。在头部外伤 </w:t>
            </w:r>
            <w:r>
              <w:rPr>
                <w:sz w:val="21"/>
              </w:rPr>
              <w:t>180</w:t>
            </w:r>
            <w:r>
              <w:rPr>
                <w:spacing w:val="-10"/>
                <w:sz w:val="21"/>
              </w:rPr>
              <w:t> 天后仍存留神经系统功能障碍，虽然未达到重大疾病</w:t>
            </w:r>
          </w:p>
        </w:tc>
      </w:tr>
    </w:tbl>
    <w:p>
      <w:pPr>
        <w:spacing w:after="0" w:line="312" w:lineRule="exact"/>
        <w:rPr>
          <w:sz w:val="21"/>
        </w:rPr>
        <w:sectPr>
          <w:pgSz w:w="11910" w:h="16840"/>
          <w:pgMar w:header="496" w:footer="995" w:top="800" w:bottom="1180" w:left="860" w:right="940"/>
        </w:sectPr>
      </w:pPr>
    </w:p>
    <w:p>
      <w:pPr>
        <w:pStyle w:val="BodyText"/>
        <w:rPr>
          <w:rFonts w:ascii="Times New Roman"/>
          <w:sz w:val="20"/>
        </w:rPr>
      </w:pPr>
    </w:p>
    <w:p>
      <w:pPr>
        <w:pStyle w:val="BodyText"/>
        <w:spacing w:before="9" w:after="1"/>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77"/>
      </w:tblGrid>
      <w:tr>
        <w:trPr>
          <w:trHeight w:val="1353" w:hRule="atLeast"/>
        </w:trPr>
        <w:tc>
          <w:tcPr>
            <w:tcW w:w="1995" w:type="dxa"/>
          </w:tcPr>
          <w:p>
            <w:pPr>
              <w:pStyle w:val="TableParagraph"/>
              <w:spacing w:before="0"/>
              <w:ind w:left="0"/>
              <w:rPr>
                <w:rFonts w:ascii="Times New Roman"/>
                <w:sz w:val="20"/>
              </w:rPr>
            </w:pPr>
          </w:p>
        </w:tc>
        <w:tc>
          <w:tcPr>
            <w:tcW w:w="7277" w:type="dxa"/>
          </w:tcPr>
          <w:p>
            <w:pPr>
              <w:pStyle w:val="TableParagraph"/>
              <w:spacing w:line="211" w:lineRule="exact" w:before="0"/>
              <w:rPr>
                <w:sz w:val="21"/>
              </w:rPr>
            </w:pPr>
            <w:r>
              <w:rPr>
                <w:sz w:val="21"/>
              </w:rPr>
              <w:t>“严重脑损伤”的给付标准，但是符合以下条件之一：</w:t>
            </w:r>
          </w:p>
          <w:p>
            <w:pPr>
              <w:pStyle w:val="TableParagraph"/>
              <w:rPr>
                <w:sz w:val="21"/>
              </w:rPr>
            </w:pPr>
            <w:r>
              <w:rPr>
                <w:sz w:val="21"/>
              </w:rPr>
              <w:t>（1）一侧肢体（上肢和下肢）肌力 2 级或 2 级以下；</w:t>
            </w:r>
          </w:p>
          <w:p>
            <w:pPr>
              <w:pStyle w:val="TableParagraph"/>
              <w:rPr>
                <w:sz w:val="21"/>
              </w:rPr>
            </w:pPr>
            <w:r>
              <w:rPr>
                <w:sz w:val="21"/>
              </w:rPr>
              <w:t>（2）自主生活能力丧失，无法独立完成</w:t>
            </w:r>
            <w:r>
              <w:rPr>
                <w:b/>
                <w:sz w:val="21"/>
              </w:rPr>
              <w:t>六项基本日常生活活动</w:t>
            </w:r>
            <w:r>
              <w:rPr>
                <w:sz w:val="21"/>
              </w:rPr>
              <w:t>（见释义</w:t>
            </w:r>
          </w:p>
          <w:p>
            <w:pPr>
              <w:pStyle w:val="TableParagraph"/>
              <w:rPr>
                <w:sz w:val="21"/>
              </w:rPr>
            </w:pPr>
            <w:r>
              <w:rPr>
                <w:sz w:val="21"/>
              </w:rPr>
              <w:t>6.22）中的二项。</w:t>
            </w:r>
          </w:p>
        </w:tc>
      </w:tr>
      <w:tr>
        <w:trPr>
          <w:trHeight w:val="962" w:hRule="atLeast"/>
        </w:trPr>
        <w:tc>
          <w:tcPr>
            <w:tcW w:w="1995" w:type="dxa"/>
          </w:tcPr>
          <w:p>
            <w:pPr>
              <w:pStyle w:val="TableParagraph"/>
              <w:spacing w:line="273" w:lineRule="auto" w:before="143"/>
              <w:ind w:left="200" w:right="108"/>
              <w:rPr>
                <w:sz w:val="21"/>
              </w:rPr>
            </w:pPr>
            <w:r>
              <w:rPr>
                <w:sz w:val="21"/>
              </w:rPr>
              <w:t>（七）单个肢体缺失</w:t>
            </w:r>
          </w:p>
        </w:tc>
        <w:tc>
          <w:tcPr>
            <w:tcW w:w="7277" w:type="dxa"/>
          </w:tcPr>
          <w:p>
            <w:pPr>
              <w:pStyle w:val="TableParagraph"/>
              <w:spacing w:line="273" w:lineRule="auto" w:before="143"/>
              <w:ind w:right="310"/>
              <w:rPr>
                <w:sz w:val="21"/>
              </w:rPr>
            </w:pPr>
            <w:r>
              <w:rPr>
                <w:spacing w:val="-7"/>
                <w:sz w:val="21"/>
              </w:rPr>
              <w:t>指因疾病或意外伤害导致一个肢体自腕关节或踝关节近端</w:t>
            </w:r>
            <w:r>
              <w:rPr>
                <w:sz w:val="21"/>
              </w:rPr>
              <w:t>（</w:t>
            </w:r>
            <w:r>
              <w:rPr>
                <w:spacing w:val="-3"/>
                <w:sz w:val="21"/>
              </w:rPr>
              <w:t>靠近躯干端</w:t>
            </w:r>
            <w:r>
              <w:rPr>
                <w:spacing w:val="-39"/>
                <w:sz w:val="21"/>
              </w:rPr>
              <w:t>）</w:t>
            </w:r>
            <w:r>
              <w:rPr>
                <w:sz w:val="21"/>
              </w:rPr>
              <w:t>以</w:t>
            </w:r>
            <w:r>
              <w:rPr>
                <w:spacing w:val="-1"/>
                <w:sz w:val="21"/>
              </w:rPr>
              <w:t>上完全性断离。</w:t>
            </w:r>
          </w:p>
        </w:tc>
      </w:tr>
      <w:tr>
        <w:trPr>
          <w:trHeight w:val="2576" w:hRule="atLeast"/>
        </w:trPr>
        <w:tc>
          <w:tcPr>
            <w:tcW w:w="1995" w:type="dxa"/>
          </w:tcPr>
          <w:p>
            <w:pPr>
              <w:pStyle w:val="TableParagraph"/>
              <w:spacing w:line="273" w:lineRule="auto" w:before="169"/>
              <w:ind w:left="200" w:right="108"/>
              <w:rPr>
                <w:sz w:val="21"/>
              </w:rPr>
            </w:pPr>
            <w:r>
              <w:rPr>
                <w:sz w:val="21"/>
              </w:rPr>
              <w:t>（八）微创冠状动脉搭桥手术</w:t>
            </w:r>
          </w:p>
        </w:tc>
        <w:tc>
          <w:tcPr>
            <w:tcW w:w="7277" w:type="dxa"/>
          </w:tcPr>
          <w:p>
            <w:pPr>
              <w:pStyle w:val="TableParagraph"/>
              <w:spacing w:line="273" w:lineRule="auto" w:before="169"/>
              <w:ind w:right="201"/>
              <w:rPr>
                <w:sz w:val="21"/>
              </w:rPr>
            </w:pPr>
            <w:r>
              <w:rPr>
                <w:spacing w:val="-5"/>
                <w:sz w:val="21"/>
              </w:rPr>
              <w:t>指为纠正冠状动脉的狭窄或堵塞，而实际实施的微创冠状动脉旁路移植手 </w:t>
            </w:r>
            <w:r>
              <w:rPr>
                <w:spacing w:val="-8"/>
                <w:sz w:val="21"/>
              </w:rPr>
              <w:t>术。手术通过微创开胸术</w:t>
            </w:r>
            <w:r>
              <w:rPr>
                <w:sz w:val="21"/>
              </w:rPr>
              <w:t>（</w:t>
            </w:r>
            <w:r>
              <w:rPr>
                <w:spacing w:val="-3"/>
                <w:sz w:val="21"/>
              </w:rPr>
              <w:t>肋骨间小切口</w:t>
            </w:r>
            <w:r>
              <w:rPr>
                <w:spacing w:val="-20"/>
                <w:sz w:val="21"/>
              </w:rPr>
              <w:t>）</w:t>
            </w:r>
            <w:r>
              <w:rPr>
                <w:spacing w:val="-6"/>
                <w:sz w:val="21"/>
              </w:rPr>
              <w:t>进行，且诊断须由冠状动脉血管</w:t>
            </w:r>
            <w:r>
              <w:rPr>
                <w:spacing w:val="-15"/>
                <w:sz w:val="21"/>
              </w:rPr>
              <w:t>造影检查确诊狭窄或堵塞。微创冠状动脉绕道也包括“锁孔”冠脉搭桥手术。</w:t>
            </w:r>
            <w:r>
              <w:rPr>
                <w:spacing w:val="-9"/>
                <w:sz w:val="21"/>
              </w:rPr>
              <w:t>必须满足下列全部条件：</w:t>
            </w:r>
          </w:p>
          <w:p>
            <w:pPr>
              <w:pStyle w:val="TableParagraph"/>
              <w:spacing w:line="273" w:lineRule="auto" w:before="7"/>
              <w:ind w:right="322"/>
              <w:rPr>
                <w:sz w:val="21"/>
              </w:rPr>
            </w:pPr>
            <w:r>
              <w:rPr>
                <w:sz w:val="21"/>
              </w:rPr>
              <w:t>（1）血管造影显示至少两支冠状动脉狭窄超过 50%或一支冠状动脉狭窄超过 70%；</w:t>
            </w:r>
          </w:p>
          <w:p>
            <w:pPr>
              <w:pStyle w:val="TableParagraph"/>
              <w:spacing w:before="7"/>
              <w:rPr>
                <w:sz w:val="21"/>
              </w:rPr>
            </w:pPr>
            <w:r>
              <w:rPr>
                <w:sz w:val="21"/>
              </w:rPr>
              <w:t>（2）手术须由心脏专科医师进行，并确认该手术的必要性。</w:t>
            </w:r>
          </w:p>
        </w:tc>
      </w:tr>
      <w:tr>
        <w:trPr>
          <w:trHeight w:val="1300" w:hRule="atLeast"/>
        </w:trPr>
        <w:tc>
          <w:tcPr>
            <w:tcW w:w="1995" w:type="dxa"/>
          </w:tcPr>
          <w:p>
            <w:pPr>
              <w:pStyle w:val="TableParagraph"/>
              <w:spacing w:before="11"/>
              <w:ind w:left="0"/>
              <w:rPr>
                <w:rFonts w:ascii="Times New Roman"/>
                <w:sz w:val="16"/>
              </w:rPr>
            </w:pPr>
          </w:p>
          <w:p>
            <w:pPr>
              <w:pStyle w:val="TableParagraph"/>
              <w:spacing w:before="0"/>
              <w:ind w:left="200"/>
              <w:rPr>
                <w:sz w:val="21"/>
              </w:rPr>
            </w:pPr>
            <w:r>
              <w:rPr>
                <w:sz w:val="21"/>
              </w:rPr>
              <w:t>（九）原位癌</w:t>
            </w:r>
          </w:p>
        </w:tc>
        <w:tc>
          <w:tcPr>
            <w:tcW w:w="7277" w:type="dxa"/>
          </w:tcPr>
          <w:p>
            <w:pPr>
              <w:pStyle w:val="TableParagraph"/>
              <w:spacing w:before="11"/>
              <w:ind w:left="0"/>
              <w:rPr>
                <w:rFonts w:ascii="Times New Roman"/>
                <w:sz w:val="16"/>
              </w:rPr>
            </w:pPr>
          </w:p>
          <w:p>
            <w:pPr>
              <w:pStyle w:val="TableParagraph"/>
              <w:spacing w:line="273" w:lineRule="auto" w:before="0"/>
              <w:ind w:right="310"/>
              <w:rPr>
                <w:sz w:val="21"/>
              </w:rPr>
            </w:pPr>
            <w:r>
              <w:rPr>
                <w:spacing w:val="-5"/>
                <w:sz w:val="21"/>
              </w:rPr>
              <w:t>指恶性细胞局限于上皮内尚未穿破基底膜浸润周围正常组织的癌细胞新生</w:t>
            </w:r>
            <w:r>
              <w:rPr>
                <w:spacing w:val="-10"/>
                <w:sz w:val="21"/>
              </w:rPr>
              <w:t>物。原位癌必须经对固定活组织的组织病理学检查明确诊断。被保险人必须</w:t>
            </w:r>
            <w:r>
              <w:rPr>
                <w:spacing w:val="-7"/>
                <w:sz w:val="21"/>
              </w:rPr>
              <w:t>己经接受了针对原位癌病灶的积极治疗。</w:t>
            </w:r>
          </w:p>
        </w:tc>
      </w:tr>
      <w:tr>
        <w:trPr>
          <w:trHeight w:val="1872" w:hRule="atLeast"/>
        </w:trPr>
        <w:tc>
          <w:tcPr>
            <w:tcW w:w="1995" w:type="dxa"/>
          </w:tcPr>
          <w:p>
            <w:pPr>
              <w:pStyle w:val="TableParagraph"/>
              <w:spacing w:line="273" w:lineRule="auto" w:before="143"/>
              <w:ind w:left="200" w:right="108"/>
              <w:rPr>
                <w:sz w:val="21"/>
              </w:rPr>
            </w:pPr>
            <w:r>
              <w:rPr>
                <w:sz w:val="21"/>
              </w:rPr>
              <w:t>（十）听力严重受损</w:t>
            </w:r>
          </w:p>
        </w:tc>
        <w:tc>
          <w:tcPr>
            <w:tcW w:w="7277" w:type="dxa"/>
          </w:tcPr>
          <w:p>
            <w:pPr>
              <w:pStyle w:val="TableParagraph"/>
              <w:spacing w:before="143"/>
              <w:rPr>
                <w:sz w:val="21"/>
              </w:rPr>
            </w:pPr>
            <w:r>
              <w:rPr>
                <w:sz w:val="21"/>
              </w:rPr>
              <w:t>指因疾病或意外伤害导致单耳或双耳听力永久不可逆性丧失。在 500 赫兹，</w:t>
            </w:r>
          </w:p>
          <w:p>
            <w:pPr>
              <w:pStyle w:val="TableParagraph"/>
              <w:spacing w:line="273" w:lineRule="auto"/>
              <w:ind w:right="201"/>
              <w:rPr>
                <w:sz w:val="21"/>
              </w:rPr>
            </w:pPr>
            <w:r>
              <w:rPr>
                <w:sz w:val="21"/>
              </w:rPr>
              <w:t>1000</w:t>
            </w:r>
            <w:r>
              <w:rPr>
                <w:spacing w:val="-22"/>
                <w:sz w:val="21"/>
              </w:rPr>
              <w:t> 赫兹和 </w:t>
            </w:r>
            <w:r>
              <w:rPr>
                <w:sz w:val="21"/>
              </w:rPr>
              <w:t>2000</w:t>
            </w:r>
            <w:r>
              <w:rPr>
                <w:spacing w:val="-18"/>
                <w:sz w:val="21"/>
              </w:rPr>
              <w:t> 赫兹语音频率下，平均听阈大于 </w:t>
            </w:r>
            <w:r>
              <w:rPr>
                <w:sz w:val="21"/>
              </w:rPr>
              <w:t>80</w:t>
            </w:r>
            <w:r>
              <w:rPr>
                <w:spacing w:val="-15"/>
                <w:sz w:val="21"/>
              </w:rPr>
              <w:t> 分贝但未达到 </w:t>
            </w:r>
            <w:r>
              <w:rPr>
                <w:sz w:val="21"/>
              </w:rPr>
              <w:t>90</w:t>
            </w:r>
            <w:r>
              <w:rPr>
                <w:spacing w:val="-15"/>
                <w:sz w:val="21"/>
              </w:rPr>
              <w:t> 分贝。</w:t>
            </w:r>
            <w:r>
              <w:rPr>
                <w:spacing w:val="-9"/>
                <w:sz w:val="21"/>
              </w:rPr>
              <w:t>需有纯音听力测试、声导抗检测或听觉诱发电位检测等证实。</w:t>
            </w:r>
          </w:p>
          <w:p>
            <w:pPr>
              <w:pStyle w:val="TableParagraph"/>
              <w:spacing w:line="273" w:lineRule="auto" w:before="7"/>
              <w:ind w:right="308"/>
              <w:rPr>
                <w:sz w:val="21"/>
              </w:rPr>
            </w:pPr>
            <w:r>
              <w:rPr>
                <w:spacing w:val="-9"/>
                <w:sz w:val="21"/>
              </w:rPr>
              <w:t>申请理赔时，被保险人年龄必须在 </w:t>
            </w:r>
            <w:r>
              <w:rPr>
                <w:sz w:val="21"/>
              </w:rPr>
              <w:t>3</w:t>
            </w:r>
            <w:r>
              <w:rPr>
                <w:spacing w:val="-10"/>
                <w:sz w:val="21"/>
              </w:rPr>
              <w:t> 周岁以上，并且须提供理赔当时的听力</w:t>
            </w:r>
            <w:r>
              <w:rPr>
                <w:spacing w:val="-7"/>
                <w:sz w:val="21"/>
              </w:rPr>
              <w:t>丧失诊断及检查证据。</w:t>
            </w:r>
          </w:p>
        </w:tc>
      </w:tr>
      <w:tr>
        <w:trPr>
          <w:trHeight w:val="1560" w:hRule="atLeast"/>
        </w:trPr>
        <w:tc>
          <w:tcPr>
            <w:tcW w:w="1995" w:type="dxa"/>
          </w:tcPr>
          <w:p>
            <w:pPr>
              <w:pStyle w:val="TableParagraph"/>
              <w:spacing w:before="142"/>
              <w:ind w:left="200"/>
              <w:rPr>
                <w:sz w:val="21"/>
              </w:rPr>
            </w:pPr>
            <w:r>
              <w:rPr>
                <w:sz w:val="21"/>
              </w:rPr>
              <w:t>（十一）深度昏迷</w:t>
            </w:r>
          </w:p>
          <w:p>
            <w:pPr>
              <w:pStyle w:val="TableParagraph"/>
              <w:spacing w:before="36"/>
              <w:ind w:left="200"/>
              <w:rPr>
                <w:sz w:val="21"/>
              </w:rPr>
            </w:pPr>
            <w:r>
              <w:rPr>
                <w:sz w:val="21"/>
              </w:rPr>
              <w:t>72 小时</w:t>
            </w:r>
          </w:p>
        </w:tc>
        <w:tc>
          <w:tcPr>
            <w:tcW w:w="7277" w:type="dxa"/>
          </w:tcPr>
          <w:p>
            <w:pPr>
              <w:pStyle w:val="TableParagraph"/>
              <w:spacing w:line="273" w:lineRule="auto" w:before="142"/>
              <w:ind w:right="196"/>
              <w:rPr>
                <w:sz w:val="21"/>
              </w:rPr>
            </w:pPr>
            <w:r>
              <w:rPr>
                <w:spacing w:val="-5"/>
                <w:sz w:val="21"/>
              </w:rPr>
              <w:t>指因疾病或意外伤害导致意识丧失,对外界刺激和体内需求均无反应,昏迷 </w:t>
            </w:r>
            <w:r>
              <w:rPr>
                <w:spacing w:val="-8"/>
                <w:sz w:val="21"/>
              </w:rPr>
              <w:t>程度按照格拉斯哥昏迷分级</w:t>
            </w:r>
            <w:r>
              <w:rPr>
                <w:sz w:val="21"/>
              </w:rPr>
              <w:t>（Glasgow</w:t>
            </w:r>
            <w:r>
              <w:rPr>
                <w:spacing w:val="-53"/>
                <w:sz w:val="21"/>
              </w:rPr>
              <w:t> </w:t>
            </w:r>
            <w:r>
              <w:rPr>
                <w:sz w:val="21"/>
              </w:rPr>
              <w:t>coma</w:t>
            </w:r>
            <w:r>
              <w:rPr>
                <w:spacing w:val="-47"/>
                <w:sz w:val="21"/>
              </w:rPr>
              <w:t> </w:t>
            </w:r>
            <w:r>
              <w:rPr>
                <w:spacing w:val="-8"/>
                <w:sz w:val="21"/>
              </w:rPr>
              <w:t>scale）</w:t>
            </w:r>
            <w:r>
              <w:rPr>
                <w:spacing w:val="-13"/>
                <w:sz w:val="21"/>
              </w:rPr>
              <w:t>结果为 </w:t>
            </w:r>
            <w:r>
              <w:rPr>
                <w:sz w:val="21"/>
              </w:rPr>
              <w:t>5</w:t>
            </w:r>
            <w:r>
              <w:rPr>
                <w:spacing w:val="-25"/>
                <w:sz w:val="21"/>
              </w:rPr>
              <w:t> 分或 </w:t>
            </w:r>
            <w:r>
              <w:rPr>
                <w:sz w:val="21"/>
              </w:rPr>
              <w:t>5</w:t>
            </w:r>
            <w:r>
              <w:rPr>
                <w:spacing w:val="-10"/>
                <w:sz w:val="21"/>
              </w:rPr>
              <w:t> 分以下， </w:t>
            </w:r>
            <w:r>
              <w:rPr>
                <w:spacing w:val="-9"/>
                <w:sz w:val="21"/>
              </w:rPr>
              <w:t>且已经持续使用呼吸机及其它生命维持系统达到 </w:t>
            </w:r>
            <w:r>
              <w:rPr>
                <w:sz w:val="21"/>
              </w:rPr>
              <w:t>72</w:t>
            </w:r>
            <w:r>
              <w:rPr>
                <w:spacing w:val="-12"/>
                <w:sz w:val="21"/>
              </w:rPr>
              <w:t> 小时。</w:t>
            </w:r>
          </w:p>
          <w:p>
            <w:pPr>
              <w:pStyle w:val="TableParagraph"/>
              <w:spacing w:before="7"/>
              <w:rPr>
                <w:sz w:val="21"/>
              </w:rPr>
            </w:pPr>
            <w:r>
              <w:rPr>
                <w:sz w:val="21"/>
              </w:rPr>
              <w:t>因酗酒或药物滥用导致的深度昏迷不在保障范围内。</w:t>
            </w:r>
          </w:p>
        </w:tc>
      </w:tr>
      <w:tr>
        <w:trPr>
          <w:trHeight w:val="1560" w:hRule="atLeast"/>
        </w:trPr>
        <w:tc>
          <w:tcPr>
            <w:tcW w:w="1995" w:type="dxa"/>
          </w:tcPr>
          <w:p>
            <w:pPr>
              <w:pStyle w:val="TableParagraph"/>
              <w:spacing w:line="273" w:lineRule="auto" w:before="142"/>
              <w:ind w:left="200" w:right="108"/>
              <w:rPr>
                <w:sz w:val="21"/>
              </w:rPr>
            </w:pPr>
            <w:r>
              <w:rPr>
                <w:sz w:val="21"/>
              </w:rPr>
              <w:t>（十二）人工耳蜗植入术</w:t>
            </w:r>
          </w:p>
        </w:tc>
        <w:tc>
          <w:tcPr>
            <w:tcW w:w="7277" w:type="dxa"/>
          </w:tcPr>
          <w:p>
            <w:pPr>
              <w:pStyle w:val="TableParagraph"/>
              <w:spacing w:line="273" w:lineRule="auto" w:before="142"/>
              <w:ind w:right="310"/>
              <w:rPr>
                <w:sz w:val="21"/>
              </w:rPr>
            </w:pPr>
            <w:r>
              <w:rPr>
                <w:spacing w:val="-8"/>
                <w:sz w:val="21"/>
              </w:rPr>
              <w:t>指由于耳蜗的永久损害而实际实施了人工耳蜗植入手术。诊断须经专科医师</w:t>
            </w:r>
            <w:r>
              <w:rPr>
                <w:spacing w:val="-6"/>
                <w:sz w:val="21"/>
              </w:rPr>
              <w:t>确认在医学上是必要的，且在植入手术之前已经符合下列全部条件：</w:t>
            </w:r>
          </w:p>
          <w:p>
            <w:pPr>
              <w:pStyle w:val="TableParagraph"/>
              <w:spacing w:before="7"/>
              <w:rPr>
                <w:sz w:val="21"/>
              </w:rPr>
            </w:pPr>
            <w:r>
              <w:rPr>
                <w:sz w:val="21"/>
              </w:rPr>
              <w:t>（1）双耳持续 12 个月以上重度感音神经性耳聋；</w:t>
            </w:r>
          </w:p>
          <w:p>
            <w:pPr>
              <w:pStyle w:val="TableParagraph"/>
              <w:rPr>
                <w:sz w:val="21"/>
              </w:rPr>
            </w:pPr>
            <w:r>
              <w:rPr>
                <w:sz w:val="21"/>
              </w:rPr>
              <w:t>（2）使用相应的听力辅助设备效果不佳。</w:t>
            </w:r>
          </w:p>
        </w:tc>
      </w:tr>
      <w:tr>
        <w:trPr>
          <w:trHeight w:val="1560" w:hRule="atLeast"/>
        </w:trPr>
        <w:tc>
          <w:tcPr>
            <w:tcW w:w="1995" w:type="dxa"/>
          </w:tcPr>
          <w:p>
            <w:pPr>
              <w:pStyle w:val="TableParagraph"/>
              <w:spacing w:line="273" w:lineRule="auto" w:before="142"/>
              <w:ind w:left="200" w:right="108"/>
              <w:rPr>
                <w:sz w:val="21"/>
              </w:rPr>
            </w:pPr>
            <w:r>
              <w:rPr>
                <w:sz w:val="21"/>
              </w:rPr>
              <w:t>（十三）早期进行性延髓麻痹症</w:t>
            </w:r>
          </w:p>
        </w:tc>
        <w:tc>
          <w:tcPr>
            <w:tcW w:w="7277" w:type="dxa"/>
          </w:tcPr>
          <w:p>
            <w:pPr>
              <w:pStyle w:val="TableParagraph"/>
              <w:spacing w:line="273" w:lineRule="auto" w:before="142"/>
              <w:ind w:right="199"/>
              <w:rPr>
                <w:sz w:val="21"/>
              </w:rPr>
            </w:pPr>
            <w:r>
              <w:rPr>
                <w:spacing w:val="-9"/>
                <w:sz w:val="21"/>
              </w:rPr>
              <w:t>指由颅神经和皮质延髓束所支配的肌肉发生进行性退化，导致咀嚼、吞咽与</w:t>
            </w:r>
            <w:r>
              <w:rPr>
                <w:spacing w:val="-17"/>
                <w:sz w:val="21"/>
              </w:rPr>
              <w:t>谈话困难。必须由专科医生明确诊断为进行性病变，并有肌电图等检查证实， </w:t>
            </w:r>
            <w:r>
              <w:rPr>
                <w:spacing w:val="-10"/>
                <w:sz w:val="21"/>
              </w:rPr>
              <w:t>必须造成神经系统永久性功能损害并且已导致被保险人自主生活能力完全 </w:t>
            </w:r>
            <w:r>
              <w:rPr>
                <w:spacing w:val="-8"/>
                <w:sz w:val="21"/>
              </w:rPr>
              <w:t>丧失，无法独立完成六项基本日常生活活动中的两项持续达 </w:t>
            </w:r>
            <w:r>
              <w:rPr>
                <w:sz w:val="21"/>
              </w:rPr>
              <w:t>180</w:t>
            </w:r>
            <w:r>
              <w:rPr>
                <w:spacing w:val="-9"/>
                <w:sz w:val="21"/>
              </w:rPr>
              <w:t> 天以上。</w:t>
            </w:r>
          </w:p>
        </w:tc>
      </w:tr>
      <w:tr>
        <w:trPr>
          <w:trHeight w:val="1353" w:hRule="atLeast"/>
        </w:trPr>
        <w:tc>
          <w:tcPr>
            <w:tcW w:w="1995" w:type="dxa"/>
          </w:tcPr>
          <w:p>
            <w:pPr>
              <w:pStyle w:val="TableParagraph"/>
              <w:spacing w:line="273" w:lineRule="auto" w:before="143"/>
              <w:ind w:left="200" w:right="108"/>
              <w:rPr>
                <w:sz w:val="21"/>
              </w:rPr>
            </w:pPr>
            <w:r>
              <w:rPr>
                <w:sz w:val="21"/>
              </w:rPr>
              <w:t>（十四）早期肌萎缩性侧索硬化症</w:t>
            </w:r>
          </w:p>
        </w:tc>
        <w:tc>
          <w:tcPr>
            <w:tcW w:w="7277" w:type="dxa"/>
          </w:tcPr>
          <w:p>
            <w:pPr>
              <w:pStyle w:val="TableParagraph"/>
              <w:spacing w:line="310" w:lineRule="atLeast" w:before="107"/>
              <w:ind w:right="233"/>
              <w:rPr>
                <w:sz w:val="21"/>
              </w:rPr>
            </w:pPr>
            <w:r>
              <w:rPr>
                <w:spacing w:val="-5"/>
                <w:sz w:val="21"/>
              </w:rPr>
              <w:t>以肌无力及萎缩为特征，并有以下情况作为证明：脊髓前角细胞功能失调、</w:t>
            </w:r>
            <w:r>
              <w:rPr>
                <w:spacing w:val="-11"/>
                <w:sz w:val="21"/>
              </w:rPr>
              <w:t>可见的肌肉颤动、痉挛、过度活跃之深层肌腱反射和外部足底反射、影响皮</w:t>
            </w:r>
            <w:r>
              <w:rPr>
                <w:spacing w:val="-7"/>
                <w:sz w:val="21"/>
              </w:rPr>
              <w:t>质脊髓束、构音障碍及吞咽困难。必须由专科医生明确诊断为进行性病变， </w:t>
            </w:r>
            <w:r>
              <w:rPr>
                <w:spacing w:val="-12"/>
                <w:sz w:val="21"/>
              </w:rPr>
              <w:t>并有肌电图等检查证实，必须造成神经系统永久性功能损害并且已导致被保</w:t>
            </w:r>
          </w:p>
        </w:tc>
      </w:tr>
    </w:tbl>
    <w:p>
      <w:pPr>
        <w:spacing w:after="0" w:line="310" w:lineRule="atLeast"/>
        <w:rPr>
          <w:sz w:val="21"/>
        </w:rPr>
        <w:sectPr>
          <w:pgSz w:w="11910" w:h="16840"/>
          <w:pgMar w:header="496" w:footer="995" w:top="800" w:bottom="1180" w:left="960" w:right="720"/>
        </w:sectPr>
      </w:pPr>
    </w:p>
    <w:p>
      <w:pPr>
        <w:pStyle w:val="BodyText"/>
        <w:rPr>
          <w:rFonts w:ascii="Times New Roman"/>
          <w:sz w:val="20"/>
        </w:rPr>
      </w:pPr>
    </w:p>
    <w:p>
      <w:pPr>
        <w:pStyle w:val="BodyText"/>
        <w:spacing w:before="9" w:after="1"/>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41"/>
      </w:tblGrid>
      <w:tr>
        <w:trPr>
          <w:trHeight w:val="729" w:hRule="atLeast"/>
        </w:trPr>
        <w:tc>
          <w:tcPr>
            <w:tcW w:w="1995" w:type="dxa"/>
          </w:tcPr>
          <w:p>
            <w:pPr>
              <w:pStyle w:val="TableParagraph"/>
              <w:spacing w:before="0"/>
              <w:ind w:left="0"/>
              <w:rPr>
                <w:rFonts w:ascii="Times New Roman"/>
                <w:sz w:val="20"/>
              </w:rPr>
            </w:pPr>
          </w:p>
        </w:tc>
        <w:tc>
          <w:tcPr>
            <w:tcW w:w="7241" w:type="dxa"/>
          </w:tcPr>
          <w:p>
            <w:pPr>
              <w:pStyle w:val="TableParagraph"/>
              <w:spacing w:line="211" w:lineRule="exact" w:before="0"/>
              <w:rPr>
                <w:sz w:val="21"/>
              </w:rPr>
            </w:pPr>
            <w:r>
              <w:rPr>
                <w:sz w:val="21"/>
              </w:rPr>
              <w:t>险人自主生活能力完全丧失，无法独立完成六项基本日常生活活动中的两项</w:t>
            </w:r>
          </w:p>
          <w:p>
            <w:pPr>
              <w:pStyle w:val="TableParagraph"/>
              <w:rPr>
                <w:sz w:val="21"/>
              </w:rPr>
            </w:pPr>
            <w:r>
              <w:rPr>
                <w:sz w:val="21"/>
              </w:rPr>
              <w:t>持续达 180 天以上。</w:t>
            </w:r>
          </w:p>
        </w:tc>
      </w:tr>
      <w:tr>
        <w:trPr>
          <w:trHeight w:val="1872" w:hRule="atLeast"/>
        </w:trPr>
        <w:tc>
          <w:tcPr>
            <w:tcW w:w="1995" w:type="dxa"/>
          </w:tcPr>
          <w:p>
            <w:pPr>
              <w:pStyle w:val="TableParagraph"/>
              <w:spacing w:line="273" w:lineRule="auto" w:before="142"/>
              <w:ind w:left="200" w:right="108"/>
              <w:rPr>
                <w:sz w:val="21"/>
              </w:rPr>
            </w:pPr>
            <w:r>
              <w:rPr>
                <w:sz w:val="21"/>
              </w:rPr>
              <w:t>（十五）早期进行性脊髓性肌萎缩</w:t>
            </w:r>
          </w:p>
        </w:tc>
        <w:tc>
          <w:tcPr>
            <w:tcW w:w="7241" w:type="dxa"/>
          </w:tcPr>
          <w:p>
            <w:pPr>
              <w:pStyle w:val="TableParagraph"/>
              <w:spacing w:line="273" w:lineRule="auto" w:before="142"/>
              <w:ind w:right="271"/>
              <w:rPr>
                <w:sz w:val="21"/>
              </w:rPr>
            </w:pPr>
            <w:r>
              <w:rPr>
                <w:spacing w:val="-8"/>
                <w:sz w:val="21"/>
              </w:rPr>
              <w:t>脊髓前角细胞及脑干运动细胞核的退化病变，以近侧的肌肉无力和萎缩为主</w:t>
            </w:r>
            <w:r>
              <w:rPr>
                <w:spacing w:val="-11"/>
                <w:sz w:val="21"/>
              </w:rPr>
              <w:t>要特征，由腿部为最先开始并逐步扩散至远侧的肌肉。诊断必须由本公司认可的神经科专科医生确诊，并有适当的神经肌肉检验如肌电图证明，并且必</w:t>
            </w:r>
            <w:r>
              <w:rPr>
                <w:spacing w:val="-7"/>
                <w:sz w:val="21"/>
              </w:rPr>
              <w:t>须造成神经系统永久性功能损害并且已导致被保险人自主生活能力完全丧失，无法独立完成六项基本日常生活活动中的两项持续达 </w:t>
            </w:r>
            <w:r>
              <w:rPr>
                <w:sz w:val="21"/>
              </w:rPr>
              <w:t>180</w:t>
            </w:r>
            <w:r>
              <w:rPr>
                <w:spacing w:val="-9"/>
                <w:sz w:val="21"/>
              </w:rPr>
              <w:t> 天以上。</w:t>
            </w:r>
          </w:p>
        </w:tc>
      </w:tr>
      <w:tr>
        <w:trPr>
          <w:trHeight w:val="1872" w:hRule="atLeast"/>
        </w:trPr>
        <w:tc>
          <w:tcPr>
            <w:tcW w:w="1995" w:type="dxa"/>
          </w:tcPr>
          <w:p>
            <w:pPr>
              <w:pStyle w:val="TableParagraph"/>
              <w:spacing w:line="273" w:lineRule="auto" w:before="143"/>
              <w:ind w:left="200" w:right="108"/>
              <w:rPr>
                <w:sz w:val="21"/>
              </w:rPr>
            </w:pPr>
            <w:r>
              <w:rPr>
                <w:sz w:val="21"/>
              </w:rPr>
              <w:t>（十六）可逆性再生障碍性贫血</w:t>
            </w:r>
          </w:p>
        </w:tc>
        <w:tc>
          <w:tcPr>
            <w:tcW w:w="7241" w:type="dxa"/>
          </w:tcPr>
          <w:p>
            <w:pPr>
              <w:pStyle w:val="TableParagraph"/>
              <w:spacing w:line="273" w:lineRule="auto" w:before="143"/>
              <w:ind w:right="274"/>
              <w:rPr>
                <w:sz w:val="21"/>
              </w:rPr>
            </w:pPr>
            <w:r>
              <w:rPr>
                <w:spacing w:val="-9"/>
                <w:sz w:val="21"/>
              </w:rPr>
              <w:t>指因急性可逆性的骨髓造血功能衰竭而导致贫血、中性粒细胞减少和血小板</w:t>
            </w:r>
            <w:r>
              <w:rPr>
                <w:spacing w:val="-7"/>
                <w:sz w:val="21"/>
              </w:rPr>
              <w:t>减少，必须由血液科医生的诊断，且病历资料显示接受了下列任一治疗：</w:t>
            </w:r>
          </w:p>
          <w:p>
            <w:pPr>
              <w:pStyle w:val="TableParagraph"/>
              <w:spacing w:before="8"/>
              <w:rPr>
                <w:sz w:val="21"/>
              </w:rPr>
            </w:pPr>
            <w:r>
              <w:rPr>
                <w:sz w:val="21"/>
              </w:rPr>
              <w:t>（1）骨髓刺激疗法至少 1 个月；</w:t>
            </w:r>
          </w:p>
          <w:p>
            <w:pPr>
              <w:pStyle w:val="TableParagraph"/>
              <w:rPr>
                <w:sz w:val="21"/>
              </w:rPr>
            </w:pPr>
            <w:r>
              <w:rPr>
                <w:sz w:val="21"/>
              </w:rPr>
              <w:t>（2）免疫抑制剂治疗至少 1 个月；</w:t>
            </w:r>
          </w:p>
          <w:p>
            <w:pPr>
              <w:pStyle w:val="TableParagraph"/>
              <w:rPr>
                <w:sz w:val="21"/>
              </w:rPr>
            </w:pPr>
            <w:r>
              <w:rPr>
                <w:sz w:val="21"/>
              </w:rPr>
              <w:t>（3）接受了骨髓移植。</w:t>
            </w:r>
          </w:p>
        </w:tc>
      </w:tr>
      <w:tr>
        <w:trPr>
          <w:trHeight w:val="1248" w:hRule="atLeast"/>
        </w:trPr>
        <w:tc>
          <w:tcPr>
            <w:tcW w:w="1995" w:type="dxa"/>
          </w:tcPr>
          <w:p>
            <w:pPr>
              <w:pStyle w:val="TableParagraph"/>
              <w:spacing w:line="273" w:lineRule="auto" w:before="143"/>
              <w:ind w:left="200" w:right="108"/>
              <w:rPr>
                <w:sz w:val="21"/>
              </w:rPr>
            </w:pPr>
            <w:r>
              <w:rPr>
                <w:sz w:val="21"/>
              </w:rPr>
              <w:t>（十七）中度原发性肺动脉高压</w:t>
            </w:r>
          </w:p>
        </w:tc>
        <w:tc>
          <w:tcPr>
            <w:tcW w:w="7241" w:type="dxa"/>
          </w:tcPr>
          <w:p>
            <w:pPr>
              <w:pStyle w:val="TableParagraph"/>
              <w:spacing w:line="273" w:lineRule="auto" w:before="143"/>
              <w:ind w:right="274"/>
              <w:jc w:val="both"/>
              <w:rPr>
                <w:sz w:val="21"/>
              </w:rPr>
            </w:pPr>
            <w:r>
              <w:rPr>
                <w:spacing w:val="-8"/>
                <w:sz w:val="21"/>
              </w:rPr>
              <w:t>指不明原因的肺动脉压力持续性增高，进行性发展而导致的慢性疾病，已经</w:t>
            </w:r>
            <w:r>
              <w:rPr>
                <w:spacing w:val="-10"/>
                <w:sz w:val="21"/>
              </w:rPr>
              <w:t>造成永久不可逆性的体力活动能力受限，达到美国纽约心脏病学会心功能状</w:t>
            </w:r>
            <w:r>
              <w:rPr>
                <w:spacing w:val="-19"/>
                <w:sz w:val="21"/>
              </w:rPr>
              <w:t>态分级 </w:t>
            </w:r>
            <w:r>
              <w:rPr>
                <w:sz w:val="21"/>
              </w:rPr>
              <w:t>III</w:t>
            </w:r>
            <w:r>
              <w:rPr>
                <w:spacing w:val="-11"/>
                <w:sz w:val="21"/>
              </w:rPr>
              <w:t> 级，且静息状态下肺动脉平均压超过 </w:t>
            </w:r>
            <w:r>
              <w:rPr>
                <w:sz w:val="21"/>
              </w:rPr>
              <w:t>25mmHg。</w:t>
            </w:r>
          </w:p>
        </w:tc>
      </w:tr>
      <w:tr>
        <w:trPr>
          <w:trHeight w:val="936" w:hRule="atLeast"/>
        </w:trPr>
        <w:tc>
          <w:tcPr>
            <w:tcW w:w="1995" w:type="dxa"/>
          </w:tcPr>
          <w:p>
            <w:pPr>
              <w:pStyle w:val="TableParagraph"/>
              <w:spacing w:before="143"/>
              <w:ind w:left="0" w:right="108"/>
              <w:jc w:val="right"/>
              <w:rPr>
                <w:sz w:val="21"/>
              </w:rPr>
            </w:pPr>
            <w:r>
              <w:rPr>
                <w:sz w:val="21"/>
              </w:rPr>
              <w:t>（十八）角膜移植</w:t>
            </w:r>
          </w:p>
        </w:tc>
        <w:tc>
          <w:tcPr>
            <w:tcW w:w="7241" w:type="dxa"/>
          </w:tcPr>
          <w:p>
            <w:pPr>
              <w:pStyle w:val="TableParagraph"/>
              <w:spacing w:line="273" w:lineRule="auto" w:before="143"/>
              <w:ind w:right="274"/>
              <w:rPr>
                <w:sz w:val="21"/>
              </w:rPr>
            </w:pPr>
            <w:r>
              <w:rPr>
                <w:spacing w:val="-8"/>
                <w:sz w:val="21"/>
              </w:rPr>
              <w:t>指为增进视力或治疗某些角膜疾患，已经实施了异体的角膜移植手术。此手</w:t>
            </w:r>
            <w:r>
              <w:rPr>
                <w:spacing w:val="-6"/>
                <w:sz w:val="21"/>
              </w:rPr>
              <w:t>术必须由专科医生认为是医学上必需的情况下进行。</w:t>
            </w:r>
          </w:p>
        </w:tc>
      </w:tr>
      <w:tr>
        <w:trPr>
          <w:trHeight w:val="1872" w:hRule="atLeast"/>
        </w:trPr>
        <w:tc>
          <w:tcPr>
            <w:tcW w:w="1995" w:type="dxa"/>
          </w:tcPr>
          <w:p>
            <w:pPr>
              <w:pStyle w:val="TableParagraph"/>
              <w:spacing w:line="273" w:lineRule="auto" w:before="142"/>
              <w:ind w:left="200" w:right="108"/>
              <w:rPr>
                <w:sz w:val="21"/>
              </w:rPr>
            </w:pPr>
            <w:r>
              <w:rPr>
                <w:sz w:val="21"/>
              </w:rPr>
              <w:t>（十九）中度严重脊髓灰质炎</w:t>
            </w:r>
          </w:p>
        </w:tc>
        <w:tc>
          <w:tcPr>
            <w:tcW w:w="7241" w:type="dxa"/>
          </w:tcPr>
          <w:p>
            <w:pPr>
              <w:pStyle w:val="TableParagraph"/>
              <w:spacing w:line="273" w:lineRule="auto" w:before="142"/>
              <w:ind w:right="273"/>
              <w:rPr>
                <w:sz w:val="21"/>
              </w:rPr>
            </w:pPr>
            <w:r>
              <w:rPr>
                <w:spacing w:val="-8"/>
                <w:sz w:val="21"/>
              </w:rPr>
              <w:t>脊髓灰质炎是由于脊髓灰质炎病毒感染所致的瘫痪性疾病，临床表现为运动</w:t>
            </w:r>
            <w:r>
              <w:rPr>
                <w:spacing w:val="-12"/>
                <w:sz w:val="21"/>
              </w:rPr>
              <w:t>功能损害或呼吸无力。脊髓灰质炎必须明确诊断。本合同仅对脊髓灰质炎造</w:t>
            </w:r>
            <w:r>
              <w:rPr>
                <w:spacing w:val="-8"/>
                <w:sz w:val="21"/>
              </w:rPr>
              <w:t>成的神经系统功能损害导致被保险人一肢或一肢以上肢体机能永久完全丧失的情况予以理赔。肢体机能永久完全丧失，指疾病确诊 </w:t>
            </w:r>
            <w:r>
              <w:rPr>
                <w:sz w:val="21"/>
              </w:rPr>
              <w:t>180 天后，每肢</w:t>
            </w:r>
            <w:r>
              <w:rPr>
                <w:spacing w:val="-5"/>
                <w:sz w:val="21"/>
              </w:rPr>
              <w:t>三大关节中的至少一个大关节仍然完全僵硬，或不能随意识活动。</w:t>
            </w:r>
          </w:p>
        </w:tc>
      </w:tr>
      <w:tr>
        <w:trPr>
          <w:trHeight w:val="2496" w:hRule="atLeast"/>
        </w:trPr>
        <w:tc>
          <w:tcPr>
            <w:tcW w:w="1995" w:type="dxa"/>
          </w:tcPr>
          <w:p>
            <w:pPr>
              <w:pStyle w:val="TableParagraph"/>
              <w:spacing w:line="273" w:lineRule="auto" w:before="142"/>
              <w:ind w:left="200" w:right="108"/>
              <w:rPr>
                <w:sz w:val="21"/>
              </w:rPr>
            </w:pPr>
            <w:r>
              <w:rPr>
                <w:sz w:val="21"/>
              </w:rPr>
              <w:t>（二十）中度严重溃疡性结肠炎</w:t>
            </w:r>
          </w:p>
        </w:tc>
        <w:tc>
          <w:tcPr>
            <w:tcW w:w="7241" w:type="dxa"/>
          </w:tcPr>
          <w:p>
            <w:pPr>
              <w:pStyle w:val="TableParagraph"/>
              <w:spacing w:line="273" w:lineRule="auto" w:before="142"/>
              <w:ind w:right="403"/>
              <w:rPr>
                <w:sz w:val="21"/>
              </w:rPr>
            </w:pPr>
            <w:r>
              <w:rPr>
                <w:sz w:val="21"/>
              </w:rPr>
              <w:t>溃疡性结肠炎是指伴有致命性电解质紊乱及肠道肿胀及有肠破裂的风险的大肠（结肠及直肠）粘膜炎症。须满足下列所有条件：</w:t>
            </w:r>
          </w:p>
          <w:p>
            <w:pPr>
              <w:pStyle w:val="TableParagraph"/>
              <w:spacing w:line="273" w:lineRule="auto" w:before="7"/>
              <w:ind w:right="274"/>
              <w:rPr>
                <w:sz w:val="21"/>
              </w:rPr>
            </w:pPr>
            <w:r>
              <w:rPr>
                <w:sz w:val="21"/>
              </w:rPr>
              <w:t>1.</w:t>
            </w:r>
            <w:r>
              <w:rPr>
                <w:spacing w:val="-9"/>
                <w:sz w:val="21"/>
              </w:rPr>
              <w:t>须经由内窥镜检查证实该疾病侵犯全部结肠及直肠，并经病理学组织切片</w:t>
            </w:r>
            <w:r>
              <w:rPr>
                <w:spacing w:val="-7"/>
                <w:sz w:val="21"/>
              </w:rPr>
              <w:t>检查证实为溃疡性结肠炎；</w:t>
            </w:r>
          </w:p>
          <w:p>
            <w:pPr>
              <w:pStyle w:val="TableParagraph"/>
              <w:spacing w:before="7"/>
              <w:rPr>
                <w:sz w:val="21"/>
              </w:rPr>
            </w:pPr>
            <w:r>
              <w:rPr>
                <w:sz w:val="21"/>
              </w:rPr>
              <w:t>2.经专科医生以类固醇或免疫抑制剂连续治疗 6 个月。</w:t>
            </w:r>
          </w:p>
          <w:p>
            <w:pPr>
              <w:pStyle w:val="TableParagraph"/>
              <w:spacing w:line="273" w:lineRule="auto"/>
              <w:ind w:right="403"/>
              <w:rPr>
                <w:sz w:val="21"/>
              </w:rPr>
            </w:pPr>
            <w:r>
              <w:rPr>
                <w:sz w:val="21"/>
              </w:rPr>
              <w:t>诊断及治疗均须在本公司认可的医院内由专科医师认为是医疗必须的情况下进行。</w:t>
            </w:r>
          </w:p>
        </w:tc>
      </w:tr>
      <w:tr>
        <w:trPr>
          <w:trHeight w:val="1872" w:hRule="atLeast"/>
        </w:trPr>
        <w:tc>
          <w:tcPr>
            <w:tcW w:w="1995" w:type="dxa"/>
          </w:tcPr>
          <w:p>
            <w:pPr>
              <w:pStyle w:val="TableParagraph"/>
              <w:spacing w:line="273" w:lineRule="auto" w:before="143"/>
              <w:ind w:left="200" w:right="108"/>
              <w:rPr>
                <w:sz w:val="21"/>
              </w:rPr>
            </w:pPr>
            <w:r>
              <w:rPr>
                <w:sz w:val="21"/>
              </w:rPr>
              <w:t>（二十一）严重阻塞性睡眠窒息症</w:t>
            </w:r>
          </w:p>
        </w:tc>
        <w:tc>
          <w:tcPr>
            <w:tcW w:w="7241" w:type="dxa"/>
          </w:tcPr>
          <w:p>
            <w:pPr>
              <w:pStyle w:val="TableParagraph"/>
              <w:spacing w:line="273" w:lineRule="auto" w:before="143"/>
              <w:ind w:right="403"/>
              <w:rPr>
                <w:sz w:val="21"/>
              </w:rPr>
            </w:pPr>
            <w:r>
              <w:rPr>
                <w:sz w:val="21"/>
              </w:rPr>
              <w:t>须经本公司认可的呼吸科专科医生经多导睡眠监测仪检查明确诊断为严重阻塞性睡眠呼吸暂停综合征(OSA)，并必须符合以下两项条件：</w:t>
            </w:r>
          </w:p>
          <w:p>
            <w:pPr>
              <w:pStyle w:val="TableParagraph"/>
              <w:spacing w:before="8"/>
              <w:rPr>
                <w:sz w:val="21"/>
              </w:rPr>
            </w:pPr>
            <w:r>
              <w:rPr>
                <w:sz w:val="21"/>
              </w:rPr>
              <w:t>(a)被保险人必须现正接受持续气道正压呼吸器(CPAP)之夜间治疗；及</w:t>
            </w:r>
          </w:p>
          <w:p>
            <w:pPr>
              <w:pStyle w:val="TableParagraph"/>
              <w:rPr>
                <w:sz w:val="21"/>
              </w:rPr>
            </w:pPr>
            <w:r>
              <w:rPr>
                <w:sz w:val="21"/>
              </w:rPr>
              <w:t>(b)必须提供睡眠测试的文件证明，显示呼吸暂停低通气指数（AHI） &gt; 30</w:t>
            </w:r>
          </w:p>
          <w:p>
            <w:pPr>
              <w:pStyle w:val="TableParagraph"/>
              <w:rPr>
                <w:sz w:val="21"/>
              </w:rPr>
            </w:pPr>
            <w:r>
              <w:rPr>
                <w:sz w:val="21"/>
              </w:rPr>
              <w:t>及夜间血氧饱和度平均值持续&lt; 85% 。</w:t>
            </w:r>
          </w:p>
        </w:tc>
      </w:tr>
      <w:tr>
        <w:trPr>
          <w:trHeight w:val="936" w:hRule="atLeast"/>
        </w:trPr>
        <w:tc>
          <w:tcPr>
            <w:tcW w:w="1995" w:type="dxa"/>
          </w:tcPr>
          <w:p>
            <w:pPr>
              <w:pStyle w:val="TableParagraph"/>
              <w:spacing w:line="273" w:lineRule="auto" w:before="142"/>
              <w:ind w:left="200" w:right="108"/>
              <w:rPr>
                <w:sz w:val="21"/>
              </w:rPr>
            </w:pPr>
            <w:r>
              <w:rPr>
                <w:sz w:val="21"/>
              </w:rPr>
              <w:t>（二十二）硬脑膜下血肿清除手术</w:t>
            </w:r>
          </w:p>
        </w:tc>
        <w:tc>
          <w:tcPr>
            <w:tcW w:w="7241" w:type="dxa"/>
          </w:tcPr>
          <w:p>
            <w:pPr>
              <w:pStyle w:val="TableParagraph"/>
              <w:spacing w:line="273" w:lineRule="auto" w:before="142"/>
              <w:ind w:right="197"/>
              <w:rPr>
                <w:sz w:val="21"/>
              </w:rPr>
            </w:pPr>
            <w:r>
              <w:rPr>
                <w:spacing w:val="-5"/>
                <w:sz w:val="21"/>
              </w:rPr>
              <w:t>为清除或引流因意外导致的硬脑膜下血肿，实际实施了开颅或颅骨钻孔手 术。开颅或颅骨钻孔手术必须由专科医生认为是医学上必需的情况下进行。</w:t>
            </w:r>
          </w:p>
        </w:tc>
      </w:tr>
      <w:tr>
        <w:trPr>
          <w:trHeight w:val="417" w:hRule="atLeast"/>
        </w:trPr>
        <w:tc>
          <w:tcPr>
            <w:tcW w:w="1995" w:type="dxa"/>
          </w:tcPr>
          <w:p>
            <w:pPr>
              <w:pStyle w:val="TableParagraph"/>
              <w:spacing w:line="255" w:lineRule="exact" w:before="143"/>
              <w:ind w:left="0" w:right="108"/>
              <w:jc w:val="right"/>
              <w:rPr>
                <w:sz w:val="21"/>
              </w:rPr>
            </w:pPr>
            <w:r>
              <w:rPr>
                <w:sz w:val="21"/>
              </w:rPr>
              <w:t>（二十三）颈动脉</w:t>
            </w:r>
          </w:p>
        </w:tc>
        <w:tc>
          <w:tcPr>
            <w:tcW w:w="7241" w:type="dxa"/>
          </w:tcPr>
          <w:p>
            <w:pPr>
              <w:pStyle w:val="TableParagraph"/>
              <w:spacing w:line="255" w:lineRule="exact" w:before="143"/>
              <w:rPr>
                <w:sz w:val="21"/>
              </w:rPr>
            </w:pPr>
            <w:r>
              <w:rPr>
                <w:sz w:val="21"/>
              </w:rPr>
              <w:t>指为治疗颈动脉狭窄性疾病，已经实施了颈动脉血管成形术或内膜切除术。</w:t>
            </w:r>
          </w:p>
        </w:tc>
      </w:tr>
    </w:tbl>
    <w:p>
      <w:pPr>
        <w:spacing w:after="0" w:line="255" w:lineRule="exact"/>
        <w:rPr>
          <w:sz w:val="21"/>
        </w:rPr>
        <w:sectPr>
          <w:pgSz w:w="11910" w:h="16840"/>
          <w:pgMar w:header="496" w:footer="995" w:top="800" w:bottom="1180" w:left="960" w:right="760"/>
        </w:sectPr>
      </w:pPr>
    </w:p>
    <w:p>
      <w:pPr>
        <w:pStyle w:val="BodyText"/>
        <w:rPr>
          <w:rFonts w:ascii="Times New Roman"/>
          <w:sz w:val="20"/>
        </w:rPr>
      </w:pPr>
    </w:p>
    <w:p>
      <w:pPr>
        <w:pStyle w:val="BodyText"/>
        <w:spacing w:before="9" w:after="1"/>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6"/>
        <w:gridCol w:w="7270"/>
      </w:tblGrid>
      <w:tr>
        <w:trPr>
          <w:trHeight w:val="1666" w:hRule="atLeast"/>
        </w:trPr>
        <w:tc>
          <w:tcPr>
            <w:tcW w:w="1996" w:type="dxa"/>
          </w:tcPr>
          <w:p>
            <w:pPr>
              <w:pStyle w:val="TableParagraph"/>
              <w:spacing w:line="211" w:lineRule="exact" w:before="0"/>
              <w:ind w:left="200"/>
              <w:rPr>
                <w:sz w:val="21"/>
              </w:rPr>
            </w:pPr>
            <w:r>
              <w:rPr>
                <w:sz w:val="21"/>
              </w:rPr>
              <w:t>血管成形术或内膜</w:t>
            </w:r>
          </w:p>
          <w:p>
            <w:pPr>
              <w:pStyle w:val="TableParagraph"/>
              <w:ind w:left="200"/>
              <w:rPr>
                <w:sz w:val="21"/>
              </w:rPr>
            </w:pPr>
            <w:r>
              <w:rPr>
                <w:sz w:val="21"/>
              </w:rPr>
              <w:t>切除术</w:t>
            </w:r>
          </w:p>
        </w:tc>
        <w:tc>
          <w:tcPr>
            <w:tcW w:w="7270" w:type="dxa"/>
          </w:tcPr>
          <w:p>
            <w:pPr>
              <w:pStyle w:val="TableParagraph"/>
              <w:spacing w:line="211" w:lineRule="exact" w:before="0"/>
              <w:ind w:left="110"/>
              <w:rPr>
                <w:sz w:val="21"/>
              </w:rPr>
            </w:pPr>
            <w:r>
              <w:rPr>
                <w:sz w:val="21"/>
              </w:rPr>
              <w:t>须由颈动脉造影检查证实一条或以上颈动脉超过管径 50%或以上的狭窄。此</w:t>
            </w:r>
          </w:p>
          <w:p>
            <w:pPr>
              <w:pStyle w:val="TableParagraph"/>
              <w:ind w:left="110"/>
              <w:rPr>
                <w:sz w:val="21"/>
              </w:rPr>
            </w:pPr>
            <w:r>
              <w:rPr>
                <w:sz w:val="21"/>
              </w:rPr>
              <w:t>病症须由专科医生明确诊断，同时必须已经实施了以下手术之一：</w:t>
            </w:r>
          </w:p>
          <w:p>
            <w:pPr>
              <w:pStyle w:val="TableParagraph"/>
              <w:ind w:left="110"/>
              <w:rPr>
                <w:sz w:val="21"/>
              </w:rPr>
            </w:pPr>
            <w:r>
              <w:rPr>
                <w:sz w:val="21"/>
              </w:rPr>
              <w:t>（1）颈动脉内膜切除术；</w:t>
            </w:r>
          </w:p>
          <w:p>
            <w:pPr>
              <w:pStyle w:val="TableParagraph"/>
              <w:spacing w:line="273" w:lineRule="auto"/>
              <w:ind w:left="110" w:right="332"/>
              <w:rPr>
                <w:sz w:val="21"/>
              </w:rPr>
            </w:pPr>
            <w:r>
              <w:rPr>
                <w:sz w:val="21"/>
              </w:rPr>
              <w:t>（2）血管介入手术，例如血管成形术及／或进行植入支架或动脉粥样瘤清除手术。</w:t>
            </w:r>
          </w:p>
        </w:tc>
      </w:tr>
      <w:tr>
        <w:trPr>
          <w:trHeight w:val="2496" w:hRule="atLeast"/>
        </w:trPr>
        <w:tc>
          <w:tcPr>
            <w:tcW w:w="1996" w:type="dxa"/>
          </w:tcPr>
          <w:p>
            <w:pPr>
              <w:pStyle w:val="TableParagraph"/>
              <w:spacing w:line="273" w:lineRule="auto" w:before="142"/>
              <w:ind w:left="200" w:right="108"/>
              <w:rPr>
                <w:sz w:val="21"/>
              </w:rPr>
            </w:pPr>
            <w:r>
              <w:rPr>
                <w:sz w:val="21"/>
              </w:rPr>
              <w:t>（二十四）中度瘫痪</w:t>
            </w:r>
          </w:p>
        </w:tc>
        <w:tc>
          <w:tcPr>
            <w:tcW w:w="7270" w:type="dxa"/>
          </w:tcPr>
          <w:p>
            <w:pPr>
              <w:pStyle w:val="TableParagraph"/>
              <w:spacing w:line="273" w:lineRule="auto" w:before="142"/>
              <w:ind w:left="110" w:right="300"/>
              <w:rPr>
                <w:sz w:val="21"/>
              </w:rPr>
            </w:pPr>
            <w:r>
              <w:rPr>
                <w:spacing w:val="-8"/>
                <w:sz w:val="21"/>
              </w:rPr>
              <w:t>指因疾病或意外伤害导致一肢肢体机能永久完全丧失，但未达到本附加险合</w:t>
            </w:r>
            <w:r>
              <w:rPr>
                <w:spacing w:val="-9"/>
                <w:sz w:val="21"/>
              </w:rPr>
              <w:t>同所指重大疾病“瘫痪”的标准。肢体机能永久完全丧失，指疾病确诊 </w:t>
            </w:r>
            <w:r>
              <w:rPr>
                <w:sz w:val="21"/>
              </w:rPr>
              <w:t>180</w:t>
            </w:r>
          </w:p>
          <w:p>
            <w:pPr>
              <w:pStyle w:val="TableParagraph"/>
              <w:spacing w:line="273" w:lineRule="auto" w:before="7"/>
              <w:ind w:left="110" w:right="226"/>
              <w:rPr>
                <w:sz w:val="21"/>
              </w:rPr>
            </w:pPr>
            <w:r>
              <w:rPr>
                <w:spacing w:val="-5"/>
                <w:sz w:val="21"/>
              </w:rPr>
              <w:t>天后或意外伤害发生 </w:t>
            </w:r>
            <w:r>
              <w:rPr>
                <w:sz w:val="21"/>
              </w:rPr>
              <w:t>180</w:t>
            </w:r>
            <w:r>
              <w:rPr>
                <w:spacing w:val="-7"/>
                <w:sz w:val="21"/>
              </w:rPr>
              <w:t> 天后，每肢三大关节中的两大关节仍然完全僵硬， </w:t>
            </w:r>
            <w:r>
              <w:rPr>
                <w:spacing w:val="-6"/>
                <w:sz w:val="21"/>
              </w:rPr>
              <w:t>或不能随意识活动。</w:t>
            </w:r>
          </w:p>
          <w:p>
            <w:pPr>
              <w:pStyle w:val="TableParagraph"/>
              <w:spacing w:before="7"/>
              <w:ind w:left="110"/>
              <w:rPr>
                <w:sz w:val="21"/>
              </w:rPr>
            </w:pPr>
            <w:r>
              <w:rPr>
                <w:sz w:val="21"/>
              </w:rPr>
              <w:t>肢体是指包括肩关节的整个上肢或包括髋关节的整个下肢。</w:t>
            </w:r>
          </w:p>
          <w:p>
            <w:pPr>
              <w:pStyle w:val="TableParagraph"/>
              <w:spacing w:line="273" w:lineRule="auto" w:before="36"/>
              <w:ind w:left="110" w:right="304"/>
              <w:rPr>
                <w:sz w:val="21"/>
              </w:rPr>
            </w:pPr>
            <w:r>
              <w:rPr>
                <w:spacing w:val="-10"/>
                <w:sz w:val="21"/>
              </w:rPr>
              <w:t>自我伤害，局部瘫痪，病毒感染后的临时瘫痪，或由于心理疾病造成的机能</w:t>
            </w:r>
            <w:r>
              <w:rPr>
                <w:spacing w:val="-7"/>
                <w:sz w:val="21"/>
              </w:rPr>
              <w:t>丧失不在保障范围内。</w:t>
            </w:r>
          </w:p>
        </w:tc>
      </w:tr>
      <w:tr>
        <w:trPr>
          <w:trHeight w:val="2184" w:hRule="atLeast"/>
        </w:trPr>
        <w:tc>
          <w:tcPr>
            <w:tcW w:w="1996" w:type="dxa"/>
          </w:tcPr>
          <w:p>
            <w:pPr>
              <w:pStyle w:val="TableParagraph"/>
              <w:spacing w:line="273" w:lineRule="auto" w:before="143"/>
              <w:ind w:left="200" w:right="109"/>
              <w:rPr>
                <w:sz w:val="21"/>
              </w:rPr>
            </w:pPr>
            <w:r>
              <w:rPr>
                <w:sz w:val="21"/>
              </w:rPr>
              <w:t>（二十五）中度严重克雅氏症</w:t>
            </w:r>
          </w:p>
        </w:tc>
        <w:tc>
          <w:tcPr>
            <w:tcW w:w="7270" w:type="dxa"/>
          </w:tcPr>
          <w:p>
            <w:pPr>
              <w:pStyle w:val="TableParagraph"/>
              <w:spacing w:line="273" w:lineRule="auto" w:before="143"/>
              <w:ind w:left="110" w:right="302"/>
              <w:jc w:val="both"/>
              <w:rPr>
                <w:sz w:val="21"/>
              </w:rPr>
            </w:pPr>
            <w:r>
              <w:rPr>
                <w:spacing w:val="-8"/>
                <w:sz w:val="21"/>
              </w:rPr>
              <w:t>指一种罕见的主要发生在老年人之间的可传播的脑病。受感染的人可以有睡</w:t>
            </w:r>
            <w:r>
              <w:rPr>
                <w:spacing w:val="-10"/>
                <w:sz w:val="21"/>
              </w:rPr>
              <w:t>眠紊乱，个性改变，共济失调，失语症，视觉丧失，物理，肌肉萎缩，肌阵</w:t>
            </w:r>
            <w:r>
              <w:rPr>
                <w:spacing w:val="-7"/>
                <w:sz w:val="21"/>
              </w:rPr>
              <w:t>挛，进行性痴呆等症状。</w:t>
            </w:r>
          </w:p>
          <w:p>
            <w:pPr>
              <w:pStyle w:val="TableParagraph"/>
              <w:spacing w:line="273" w:lineRule="auto" w:before="8"/>
              <w:ind w:left="110" w:right="304"/>
              <w:jc w:val="both"/>
              <w:rPr>
                <w:sz w:val="21"/>
              </w:rPr>
            </w:pPr>
            <w:r>
              <w:rPr>
                <w:spacing w:val="-9"/>
                <w:sz w:val="21"/>
              </w:rPr>
              <w:t>须满足自主生活能力严重丧失，即无法独立完成六项基本日常生活活动中的两项。</w:t>
            </w:r>
          </w:p>
          <w:p>
            <w:pPr>
              <w:pStyle w:val="TableParagraph"/>
              <w:spacing w:before="8"/>
              <w:ind w:left="110"/>
              <w:jc w:val="both"/>
              <w:rPr>
                <w:sz w:val="21"/>
              </w:rPr>
            </w:pPr>
            <w:r>
              <w:rPr>
                <w:sz w:val="21"/>
              </w:rPr>
              <w:t>因人类生长激素治疗所致疾病不在保障范围内。</w:t>
            </w:r>
          </w:p>
        </w:tc>
      </w:tr>
      <w:tr>
        <w:trPr>
          <w:trHeight w:val="2496" w:hRule="atLeast"/>
        </w:trPr>
        <w:tc>
          <w:tcPr>
            <w:tcW w:w="1996" w:type="dxa"/>
          </w:tcPr>
          <w:p>
            <w:pPr>
              <w:pStyle w:val="TableParagraph"/>
              <w:spacing w:line="273" w:lineRule="auto" w:before="142"/>
              <w:ind w:left="200" w:right="109"/>
              <w:rPr>
                <w:sz w:val="21"/>
              </w:rPr>
            </w:pPr>
            <w:r>
              <w:rPr>
                <w:sz w:val="21"/>
              </w:rPr>
              <w:t>（二十六）中度重症肌无力</w:t>
            </w:r>
          </w:p>
        </w:tc>
        <w:tc>
          <w:tcPr>
            <w:tcW w:w="7270" w:type="dxa"/>
          </w:tcPr>
          <w:p>
            <w:pPr>
              <w:pStyle w:val="TableParagraph"/>
              <w:spacing w:line="273" w:lineRule="auto" w:before="142"/>
              <w:ind w:left="110" w:right="304"/>
              <w:jc w:val="both"/>
              <w:rPr>
                <w:sz w:val="21"/>
              </w:rPr>
            </w:pPr>
            <w:r>
              <w:rPr>
                <w:spacing w:val="-8"/>
                <w:sz w:val="21"/>
              </w:rPr>
              <w:t>指一种神经与肌肉接头部位传递障碍的自身免疫性疾病，临床特征是局部或</w:t>
            </w:r>
            <w:r>
              <w:rPr>
                <w:spacing w:val="-11"/>
                <w:sz w:val="21"/>
              </w:rPr>
              <w:t>全身肌肉于活动时易于疲劳无力，须经专科医生明确诊断，并同时满足下列全部条件：</w:t>
            </w:r>
          </w:p>
          <w:p>
            <w:pPr>
              <w:pStyle w:val="TableParagraph"/>
              <w:spacing w:line="273" w:lineRule="auto" w:before="7"/>
              <w:ind w:left="110" w:right="332"/>
              <w:jc w:val="both"/>
              <w:rPr>
                <w:sz w:val="21"/>
              </w:rPr>
            </w:pPr>
            <w:r>
              <w:rPr>
                <w:sz w:val="21"/>
              </w:rPr>
              <w:t>(1)经药物治疗或胸腺手术治疗一年以上无法控制病情，症状缓解、复发及恶化交替出现；</w:t>
            </w:r>
          </w:p>
          <w:p>
            <w:pPr>
              <w:pStyle w:val="TableParagraph"/>
              <w:spacing w:line="273" w:lineRule="auto" w:before="7"/>
              <w:ind w:left="110" w:right="332"/>
              <w:jc w:val="both"/>
              <w:rPr>
                <w:sz w:val="21"/>
              </w:rPr>
            </w:pPr>
            <w:r>
              <w:rPr>
                <w:sz w:val="21"/>
              </w:rPr>
              <w:t>(2)自主生活能力严重丧失，即无法独立完成六项基本日常生活活动中的二项。</w:t>
            </w:r>
          </w:p>
        </w:tc>
      </w:tr>
      <w:tr>
        <w:trPr>
          <w:trHeight w:val="2497" w:hRule="atLeast"/>
        </w:trPr>
        <w:tc>
          <w:tcPr>
            <w:tcW w:w="1996" w:type="dxa"/>
          </w:tcPr>
          <w:p>
            <w:pPr>
              <w:pStyle w:val="TableParagraph"/>
              <w:spacing w:line="273" w:lineRule="auto" w:before="142"/>
              <w:ind w:left="200" w:right="109"/>
              <w:rPr>
                <w:sz w:val="21"/>
              </w:rPr>
            </w:pPr>
            <w:r>
              <w:rPr>
                <w:sz w:val="21"/>
              </w:rPr>
              <w:t>（二十七）中度肌营养不良症</w:t>
            </w:r>
          </w:p>
        </w:tc>
        <w:tc>
          <w:tcPr>
            <w:tcW w:w="7270" w:type="dxa"/>
          </w:tcPr>
          <w:p>
            <w:pPr>
              <w:pStyle w:val="TableParagraph"/>
              <w:spacing w:line="273" w:lineRule="auto" w:before="142"/>
              <w:ind w:left="110" w:right="304"/>
              <w:rPr>
                <w:sz w:val="21"/>
              </w:rPr>
            </w:pPr>
            <w:r>
              <w:rPr>
                <w:spacing w:val="-8"/>
                <w:sz w:val="21"/>
              </w:rPr>
              <w:t>指一组原发于肌肉的遗传性疾病，临床表现为与神经系统无关的肌肉无力和</w:t>
            </w:r>
            <w:r>
              <w:rPr>
                <w:spacing w:val="-6"/>
                <w:sz w:val="21"/>
              </w:rPr>
              <w:t>肌肉萎缩。须满足下列全部条件：</w:t>
            </w:r>
          </w:p>
          <w:p>
            <w:pPr>
              <w:pStyle w:val="TableParagraph"/>
              <w:spacing w:before="7"/>
              <w:ind w:left="110"/>
              <w:rPr>
                <w:sz w:val="21"/>
              </w:rPr>
            </w:pPr>
            <w:r>
              <w:rPr>
                <w:sz w:val="21"/>
              </w:rPr>
              <w:t>1.肌肉组织活检结果满足肌营养不良症的肌肉细胞变性、坏死等阳性改变；</w:t>
            </w:r>
          </w:p>
          <w:p>
            <w:pPr>
              <w:pStyle w:val="TableParagraph"/>
              <w:spacing w:line="273" w:lineRule="auto"/>
              <w:ind w:left="110" w:right="303"/>
              <w:rPr>
                <w:sz w:val="21"/>
              </w:rPr>
            </w:pPr>
            <w:r>
              <w:rPr>
                <w:sz w:val="21"/>
              </w:rPr>
              <w:t>2.</w:t>
            </w:r>
            <w:r>
              <w:rPr>
                <w:spacing w:val="-11"/>
                <w:sz w:val="21"/>
              </w:rPr>
              <w:t>自主生活能力严重丧失，无法独立完成六项基本日常生活活动中的两项或两项以上。</w:t>
            </w:r>
          </w:p>
          <w:p>
            <w:pPr>
              <w:pStyle w:val="TableParagraph"/>
              <w:spacing w:line="273" w:lineRule="auto" w:before="7"/>
              <w:ind w:left="110" w:right="198"/>
              <w:rPr>
                <w:sz w:val="21"/>
              </w:rPr>
            </w:pPr>
            <w:r>
              <w:rPr>
                <w:spacing w:val="-13"/>
                <w:sz w:val="21"/>
              </w:rPr>
              <w:t>本公司承担本项疾病责任不受本合同责任免除中“遗传性疾病，先天性畸形、</w:t>
            </w:r>
            <w:r>
              <w:rPr>
                <w:spacing w:val="-8"/>
                <w:sz w:val="21"/>
              </w:rPr>
              <w:t>变形或染色体异常”的限制。</w:t>
            </w:r>
          </w:p>
        </w:tc>
      </w:tr>
      <w:tr>
        <w:trPr>
          <w:trHeight w:val="936" w:hRule="atLeast"/>
        </w:trPr>
        <w:tc>
          <w:tcPr>
            <w:tcW w:w="1996" w:type="dxa"/>
          </w:tcPr>
          <w:p>
            <w:pPr>
              <w:pStyle w:val="TableParagraph"/>
              <w:spacing w:line="273" w:lineRule="auto" w:before="142"/>
              <w:ind w:left="200" w:right="109"/>
              <w:rPr>
                <w:sz w:val="21"/>
              </w:rPr>
            </w:pPr>
            <w:r>
              <w:rPr>
                <w:sz w:val="21"/>
              </w:rPr>
              <w:t>（二十八）单侧肺脏切除</w:t>
            </w:r>
          </w:p>
        </w:tc>
        <w:tc>
          <w:tcPr>
            <w:tcW w:w="7270" w:type="dxa"/>
          </w:tcPr>
          <w:p>
            <w:pPr>
              <w:pStyle w:val="TableParagraph"/>
              <w:spacing w:line="273" w:lineRule="auto" w:before="142"/>
              <w:ind w:left="110" w:right="304"/>
              <w:rPr>
                <w:sz w:val="21"/>
              </w:rPr>
            </w:pPr>
            <w:r>
              <w:rPr>
                <w:spacing w:val="-8"/>
                <w:sz w:val="21"/>
              </w:rPr>
              <w:t>指因疾病或意外事故导致实际实施的一侧肺脏完整切除术，肺脏部分切除手</w:t>
            </w:r>
            <w:r>
              <w:rPr>
                <w:spacing w:val="-6"/>
                <w:sz w:val="21"/>
              </w:rPr>
              <w:t>术和肺脏捐献引起的手术不在保障范围内。</w:t>
            </w:r>
          </w:p>
        </w:tc>
      </w:tr>
      <w:tr>
        <w:trPr>
          <w:trHeight w:val="1560" w:hRule="atLeast"/>
        </w:trPr>
        <w:tc>
          <w:tcPr>
            <w:tcW w:w="1996" w:type="dxa"/>
          </w:tcPr>
          <w:p>
            <w:pPr>
              <w:pStyle w:val="TableParagraph"/>
              <w:spacing w:line="273" w:lineRule="auto" w:before="143"/>
              <w:ind w:left="200" w:right="109"/>
              <w:jc w:val="both"/>
              <w:rPr>
                <w:sz w:val="21"/>
              </w:rPr>
            </w:pPr>
            <w:r>
              <w:rPr>
                <w:sz w:val="21"/>
              </w:rPr>
              <w:t>（二十九）因肾上腺皮质腺瘤切除肾上腺</w:t>
            </w:r>
          </w:p>
        </w:tc>
        <w:tc>
          <w:tcPr>
            <w:tcW w:w="7270" w:type="dxa"/>
          </w:tcPr>
          <w:p>
            <w:pPr>
              <w:pStyle w:val="TableParagraph"/>
              <w:spacing w:line="273" w:lineRule="auto" w:before="143"/>
              <w:ind w:left="110" w:right="433"/>
              <w:rPr>
                <w:sz w:val="21"/>
              </w:rPr>
            </w:pPr>
            <w:r>
              <w:rPr>
                <w:sz w:val="21"/>
              </w:rPr>
              <w:t>因肾上腺皮质腺瘤所导致的醛固酮分泌过多而产生的继发性恶性高血压而实际接受了肾上腺切除术治疗。</w:t>
            </w:r>
          </w:p>
          <w:p>
            <w:pPr>
              <w:pStyle w:val="TableParagraph"/>
              <w:spacing w:line="273" w:lineRule="auto" w:before="8"/>
              <w:ind w:left="110" w:right="433"/>
              <w:rPr>
                <w:sz w:val="21"/>
              </w:rPr>
            </w:pPr>
            <w:r>
              <w:rPr>
                <w:sz w:val="21"/>
              </w:rPr>
              <w:t>此诊断及治疗均须在本公司认可医院内由专科医生认为是医疗必须的情况下进行。</w:t>
            </w:r>
          </w:p>
        </w:tc>
      </w:tr>
      <w:tr>
        <w:trPr>
          <w:trHeight w:val="417" w:hRule="atLeast"/>
        </w:trPr>
        <w:tc>
          <w:tcPr>
            <w:tcW w:w="1996" w:type="dxa"/>
          </w:tcPr>
          <w:p>
            <w:pPr>
              <w:pStyle w:val="TableParagraph"/>
              <w:spacing w:line="255" w:lineRule="exact" w:before="143"/>
              <w:ind w:left="200"/>
              <w:rPr>
                <w:sz w:val="21"/>
              </w:rPr>
            </w:pPr>
            <w:r>
              <w:rPr>
                <w:sz w:val="21"/>
              </w:rPr>
              <w:t>（三十）微创颅脑</w:t>
            </w:r>
          </w:p>
        </w:tc>
        <w:tc>
          <w:tcPr>
            <w:tcW w:w="7270" w:type="dxa"/>
          </w:tcPr>
          <w:p>
            <w:pPr>
              <w:pStyle w:val="TableParagraph"/>
              <w:spacing w:line="255" w:lineRule="exact" w:before="143"/>
              <w:ind w:left="110"/>
              <w:rPr>
                <w:sz w:val="21"/>
              </w:rPr>
            </w:pPr>
            <w:r>
              <w:rPr>
                <w:sz w:val="21"/>
              </w:rPr>
              <w:t>因疾病被保险人确已实施全麻下的颅骨钻孔手术或者经鼻蝶窦入颅手术。</w:t>
            </w:r>
          </w:p>
        </w:tc>
      </w:tr>
    </w:tbl>
    <w:p>
      <w:pPr>
        <w:spacing w:after="0" w:line="255" w:lineRule="exact"/>
        <w:rPr>
          <w:sz w:val="21"/>
        </w:rPr>
        <w:sectPr>
          <w:pgSz w:w="11910" w:h="16840"/>
          <w:pgMar w:header="496" w:footer="995" w:top="800" w:bottom="1180" w:left="960" w:right="740"/>
        </w:sectPr>
      </w:pPr>
    </w:p>
    <w:p>
      <w:pPr>
        <w:pStyle w:val="BodyText"/>
        <w:rPr>
          <w:rFonts w:ascii="Times New Roman"/>
          <w:sz w:val="20"/>
        </w:rPr>
      </w:pPr>
    </w:p>
    <w:p>
      <w:pPr>
        <w:pStyle w:val="BodyText"/>
        <w:spacing w:before="9" w:after="1"/>
        <w:rPr>
          <w:rFonts w:ascii="Times New Roman"/>
          <w:sz w:val="1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7"/>
        <w:gridCol w:w="2096"/>
        <w:gridCol w:w="7168"/>
      </w:tblGrid>
      <w:tr>
        <w:trPr>
          <w:trHeight w:val="417" w:hRule="atLeast"/>
        </w:trPr>
        <w:tc>
          <w:tcPr>
            <w:tcW w:w="817" w:type="dxa"/>
          </w:tcPr>
          <w:p>
            <w:pPr>
              <w:pStyle w:val="TableParagraph"/>
              <w:spacing w:before="0"/>
              <w:ind w:left="0"/>
              <w:rPr>
                <w:rFonts w:ascii="Times New Roman"/>
                <w:sz w:val="20"/>
              </w:rPr>
            </w:pPr>
          </w:p>
        </w:tc>
        <w:tc>
          <w:tcPr>
            <w:tcW w:w="2096" w:type="dxa"/>
          </w:tcPr>
          <w:p>
            <w:pPr>
              <w:pStyle w:val="TableParagraph"/>
              <w:spacing w:line="211" w:lineRule="exact" w:before="0"/>
              <w:ind w:left="300"/>
              <w:rPr>
                <w:sz w:val="21"/>
              </w:rPr>
            </w:pPr>
            <w:r>
              <w:rPr>
                <w:sz w:val="21"/>
              </w:rPr>
              <w:t>手术</w:t>
            </w:r>
          </w:p>
        </w:tc>
        <w:tc>
          <w:tcPr>
            <w:tcW w:w="7168" w:type="dxa"/>
          </w:tcPr>
          <w:p>
            <w:pPr>
              <w:pStyle w:val="TableParagraph"/>
              <w:spacing w:line="211" w:lineRule="exact" w:before="0"/>
              <w:ind w:left="110"/>
              <w:rPr>
                <w:sz w:val="21"/>
              </w:rPr>
            </w:pPr>
            <w:r>
              <w:rPr>
                <w:sz w:val="21"/>
              </w:rPr>
              <w:t>因外伤而实施的脑外科手术不在保障范围内。</w:t>
            </w:r>
          </w:p>
        </w:tc>
      </w:tr>
      <w:tr>
        <w:trPr>
          <w:trHeight w:val="936" w:hRule="atLeast"/>
        </w:trPr>
        <w:tc>
          <w:tcPr>
            <w:tcW w:w="817" w:type="dxa"/>
          </w:tcPr>
          <w:p>
            <w:pPr>
              <w:pStyle w:val="TableParagraph"/>
              <w:spacing w:before="142"/>
              <w:ind w:left="200"/>
              <w:rPr>
                <w:b/>
                <w:sz w:val="21"/>
              </w:rPr>
            </w:pPr>
            <w:r>
              <w:rPr>
                <w:b/>
                <w:sz w:val="21"/>
              </w:rPr>
              <w:t>6.5</w:t>
            </w:r>
          </w:p>
        </w:tc>
        <w:tc>
          <w:tcPr>
            <w:tcW w:w="2096" w:type="dxa"/>
          </w:tcPr>
          <w:p>
            <w:pPr>
              <w:pStyle w:val="TableParagraph"/>
              <w:spacing w:before="142"/>
              <w:ind w:left="300"/>
              <w:rPr>
                <w:b/>
                <w:sz w:val="21"/>
              </w:rPr>
            </w:pPr>
            <w:r>
              <w:rPr>
                <w:b/>
                <w:sz w:val="21"/>
              </w:rPr>
              <w:t>重大疾病</w:t>
            </w:r>
          </w:p>
        </w:tc>
        <w:tc>
          <w:tcPr>
            <w:tcW w:w="7168" w:type="dxa"/>
          </w:tcPr>
          <w:p>
            <w:pPr>
              <w:pStyle w:val="TableParagraph"/>
              <w:spacing w:line="273" w:lineRule="auto" w:before="142"/>
              <w:ind w:left="110" w:right="201"/>
              <w:rPr>
                <w:sz w:val="21"/>
              </w:rPr>
            </w:pPr>
            <w:r>
              <w:rPr>
                <w:spacing w:val="-8"/>
                <w:sz w:val="21"/>
              </w:rPr>
              <w:t>指保险责任生效后，经专科医生明确诊断，被保险人初次发生符合以下疾病</w:t>
            </w:r>
            <w:r>
              <w:rPr>
                <w:spacing w:val="-6"/>
                <w:sz w:val="21"/>
              </w:rPr>
              <w:t>定义所述条件的疾病：</w:t>
            </w:r>
          </w:p>
        </w:tc>
      </w:tr>
      <w:tr>
        <w:trPr>
          <w:trHeight w:val="3722" w:hRule="atLeast"/>
        </w:trPr>
        <w:tc>
          <w:tcPr>
            <w:tcW w:w="817" w:type="dxa"/>
          </w:tcPr>
          <w:p>
            <w:pPr>
              <w:pStyle w:val="TableParagraph"/>
              <w:spacing w:before="0"/>
              <w:ind w:left="0"/>
              <w:rPr>
                <w:rFonts w:ascii="Times New Roman"/>
                <w:sz w:val="20"/>
              </w:rPr>
            </w:pPr>
          </w:p>
        </w:tc>
        <w:tc>
          <w:tcPr>
            <w:tcW w:w="2096" w:type="dxa"/>
          </w:tcPr>
          <w:p>
            <w:pPr>
              <w:pStyle w:val="TableParagraph"/>
              <w:spacing w:before="143"/>
              <w:ind w:left="300"/>
              <w:rPr>
                <w:sz w:val="21"/>
              </w:rPr>
            </w:pPr>
            <w:r>
              <w:rPr>
                <w:sz w:val="21"/>
              </w:rPr>
              <w:t>(一) 恶性肿瘤</w:t>
            </w:r>
          </w:p>
        </w:tc>
        <w:tc>
          <w:tcPr>
            <w:tcW w:w="7168" w:type="dxa"/>
          </w:tcPr>
          <w:p>
            <w:pPr>
              <w:pStyle w:val="TableParagraph"/>
              <w:spacing w:line="273" w:lineRule="auto" w:before="143"/>
              <w:ind w:left="110" w:right="201"/>
              <w:jc w:val="both"/>
              <w:rPr>
                <w:sz w:val="21"/>
              </w:rPr>
            </w:pPr>
            <w:r>
              <w:rPr>
                <w:spacing w:val="-8"/>
                <w:sz w:val="21"/>
              </w:rPr>
              <w:t>指恶性细胞不受控制的进行性增长和扩散，浸润和破坏周围正常组织，可以</w:t>
            </w:r>
            <w:r>
              <w:rPr>
                <w:spacing w:val="-11"/>
                <w:sz w:val="21"/>
              </w:rPr>
              <w:t>经血管、淋巴管和体腔扩散转移到身体其它部位的疾病。经病理学检查结果</w:t>
            </w:r>
            <w:r>
              <w:rPr>
                <w:spacing w:val="-12"/>
                <w:sz w:val="21"/>
              </w:rPr>
              <w:t>明确诊断，临床诊断属于世界卫生组织《疾病和有关健康问题的国际统计分</w:t>
            </w:r>
            <w:r>
              <w:rPr>
                <w:spacing w:val="-1"/>
                <w:sz w:val="21"/>
              </w:rPr>
              <w:t>类》（ICD-10）</w:t>
            </w:r>
            <w:r>
              <w:rPr>
                <w:spacing w:val="-5"/>
                <w:sz w:val="21"/>
              </w:rPr>
              <w:t>的恶性肿瘤范畴。下列疾病不在保障范围内：</w:t>
            </w:r>
          </w:p>
          <w:p>
            <w:pPr>
              <w:pStyle w:val="TableParagraph"/>
              <w:spacing w:before="8"/>
              <w:ind w:left="110"/>
              <w:jc w:val="both"/>
              <w:rPr>
                <w:sz w:val="21"/>
              </w:rPr>
            </w:pPr>
            <w:r>
              <w:rPr>
                <w:sz w:val="21"/>
              </w:rPr>
              <w:t>（1）原位癌；</w:t>
            </w:r>
          </w:p>
          <w:p>
            <w:pPr>
              <w:pStyle w:val="TableParagraph"/>
              <w:ind w:left="110"/>
              <w:jc w:val="both"/>
              <w:rPr>
                <w:sz w:val="21"/>
              </w:rPr>
            </w:pPr>
            <w:r>
              <w:rPr>
                <w:sz w:val="21"/>
              </w:rPr>
              <w:t>（2）相当于Binet 分期方案A 期程度的慢性淋巴细胞白血病；</w:t>
            </w:r>
          </w:p>
          <w:p>
            <w:pPr>
              <w:pStyle w:val="TableParagraph"/>
              <w:ind w:left="110"/>
              <w:jc w:val="both"/>
              <w:rPr>
                <w:sz w:val="21"/>
              </w:rPr>
            </w:pPr>
            <w:r>
              <w:rPr>
                <w:sz w:val="21"/>
              </w:rPr>
              <w:t>（3）相当于Ann Arbor 分期方案Ⅰ期程度的何杰金氏病；</w:t>
            </w:r>
          </w:p>
          <w:p>
            <w:pPr>
              <w:pStyle w:val="TableParagraph"/>
              <w:ind w:left="110"/>
              <w:jc w:val="both"/>
              <w:rPr>
                <w:sz w:val="21"/>
              </w:rPr>
            </w:pPr>
            <w:r>
              <w:rPr>
                <w:sz w:val="21"/>
              </w:rPr>
              <w:t>（4）皮肤癌（不包括恶性黑色素瘤及已发生转移的皮肤癌）；</w:t>
            </w:r>
          </w:p>
          <w:p>
            <w:pPr>
              <w:pStyle w:val="TableParagraph"/>
              <w:spacing w:line="268" w:lineRule="exact" w:before="136"/>
              <w:ind w:left="110"/>
              <w:jc w:val="both"/>
              <w:rPr>
                <w:sz w:val="21"/>
              </w:rPr>
            </w:pPr>
            <w:r>
              <w:rPr>
                <w:sz w:val="21"/>
              </w:rPr>
              <w:t>（5）TNM 分期为</w:t>
            </w:r>
            <w:r>
              <w:rPr>
                <w:sz w:val="24"/>
              </w:rPr>
              <w:t>T</w:t>
            </w:r>
            <w:r>
              <w:rPr>
                <w:spacing w:val="-53"/>
                <w:sz w:val="24"/>
              </w:rPr>
              <w:t> </w:t>
            </w:r>
            <w:r>
              <w:rPr>
                <w:sz w:val="24"/>
              </w:rPr>
              <w:t>N</w:t>
            </w:r>
            <w:r>
              <w:rPr>
                <w:spacing w:val="-59"/>
                <w:sz w:val="24"/>
              </w:rPr>
              <w:t> </w:t>
            </w:r>
            <w:r>
              <w:rPr>
                <w:sz w:val="24"/>
              </w:rPr>
              <w:t>M</w:t>
            </w:r>
            <w:r>
              <w:rPr>
                <w:spacing w:val="-59"/>
                <w:sz w:val="24"/>
              </w:rPr>
              <w:t> </w:t>
            </w:r>
            <w:r>
              <w:rPr>
                <w:spacing w:val="-4"/>
                <w:sz w:val="21"/>
              </w:rPr>
              <w:t>期或更轻分期的前列腺癌；</w:t>
            </w:r>
          </w:p>
          <w:p>
            <w:pPr>
              <w:pStyle w:val="TableParagraph"/>
              <w:spacing w:line="111" w:lineRule="exact" w:before="0"/>
              <w:ind w:left="1810"/>
              <w:rPr>
                <w:sz w:val="12"/>
              </w:rPr>
            </w:pPr>
            <w:r>
              <w:rPr>
                <w:sz w:val="12"/>
              </w:rPr>
              <w:t>1  0</w:t>
            </w:r>
            <w:r>
              <w:rPr>
                <w:spacing w:val="58"/>
                <w:sz w:val="12"/>
              </w:rPr>
              <w:t> </w:t>
            </w:r>
            <w:r>
              <w:rPr>
                <w:sz w:val="12"/>
              </w:rPr>
              <w:t>0</w:t>
            </w:r>
          </w:p>
          <w:p>
            <w:pPr>
              <w:pStyle w:val="TableParagraph"/>
              <w:spacing w:before="8"/>
              <w:ind w:left="0"/>
              <w:rPr>
                <w:rFonts w:ascii="Times New Roman"/>
                <w:sz w:val="10"/>
              </w:rPr>
            </w:pPr>
          </w:p>
          <w:p>
            <w:pPr>
              <w:pStyle w:val="TableParagraph"/>
              <w:spacing w:before="0"/>
              <w:ind w:left="110"/>
              <w:jc w:val="both"/>
              <w:rPr>
                <w:sz w:val="21"/>
              </w:rPr>
            </w:pPr>
            <w:r>
              <w:rPr>
                <w:sz w:val="21"/>
              </w:rPr>
              <w:t>（</w:t>
            </w:r>
            <w:r>
              <w:rPr>
                <w:rFonts w:ascii="Times New Roman" w:eastAsia="Times New Roman"/>
                <w:sz w:val="21"/>
              </w:rPr>
              <w:t>6</w:t>
            </w:r>
            <w:r>
              <w:rPr>
                <w:sz w:val="21"/>
              </w:rPr>
              <w:t>）感染艾滋病病毒或患艾滋病期间所患恶性肿瘤。</w:t>
            </w:r>
          </w:p>
        </w:tc>
      </w:tr>
      <w:tr>
        <w:trPr>
          <w:trHeight w:val="2801" w:hRule="atLeast"/>
        </w:trPr>
        <w:tc>
          <w:tcPr>
            <w:tcW w:w="817" w:type="dxa"/>
          </w:tcPr>
          <w:p>
            <w:pPr>
              <w:pStyle w:val="TableParagraph"/>
              <w:spacing w:before="0"/>
              <w:ind w:left="0"/>
              <w:rPr>
                <w:rFonts w:ascii="Times New Roman"/>
                <w:sz w:val="20"/>
              </w:rPr>
            </w:pPr>
          </w:p>
        </w:tc>
        <w:tc>
          <w:tcPr>
            <w:tcW w:w="2096" w:type="dxa"/>
          </w:tcPr>
          <w:p>
            <w:pPr>
              <w:pStyle w:val="TableParagraph"/>
              <w:spacing w:line="273" w:lineRule="auto" w:before="127"/>
              <w:ind w:left="300" w:right="214"/>
              <w:rPr>
                <w:sz w:val="21"/>
              </w:rPr>
            </w:pPr>
            <w:r>
              <w:rPr>
                <w:sz w:val="21"/>
              </w:rPr>
              <w:t>(二) 急性心肌梗塞</w:t>
            </w:r>
          </w:p>
        </w:tc>
        <w:tc>
          <w:tcPr>
            <w:tcW w:w="7168" w:type="dxa"/>
          </w:tcPr>
          <w:p>
            <w:pPr>
              <w:pStyle w:val="TableParagraph"/>
              <w:spacing w:line="273" w:lineRule="auto" w:before="127"/>
              <w:ind w:left="110" w:right="201"/>
              <w:rPr>
                <w:sz w:val="21"/>
              </w:rPr>
            </w:pPr>
            <w:r>
              <w:rPr>
                <w:spacing w:val="-8"/>
                <w:sz w:val="21"/>
              </w:rPr>
              <w:t>指因冠状动脉阻塞导致的相应区域供血不足造成部分心肌坏死。须满足下列</w:t>
            </w:r>
            <w:r>
              <w:rPr>
                <w:spacing w:val="-6"/>
                <w:sz w:val="21"/>
              </w:rPr>
              <w:t>至少三项条件：</w:t>
            </w:r>
          </w:p>
          <w:p>
            <w:pPr>
              <w:pStyle w:val="TableParagraph"/>
              <w:spacing w:before="7"/>
              <w:ind w:left="110"/>
              <w:rPr>
                <w:sz w:val="21"/>
              </w:rPr>
            </w:pPr>
            <w:r>
              <w:rPr>
                <w:sz w:val="21"/>
              </w:rPr>
              <w:t>（1）典型临床表现，例如急性胸痛等；</w:t>
            </w:r>
          </w:p>
          <w:p>
            <w:pPr>
              <w:pStyle w:val="TableParagraph"/>
              <w:ind w:left="110"/>
              <w:rPr>
                <w:sz w:val="21"/>
              </w:rPr>
            </w:pPr>
            <w:r>
              <w:rPr>
                <w:sz w:val="21"/>
              </w:rPr>
              <w:t>（2）新近的心电图改变提示急性心肌梗塞；</w:t>
            </w:r>
          </w:p>
          <w:p>
            <w:pPr>
              <w:pStyle w:val="TableParagraph"/>
              <w:spacing w:line="273" w:lineRule="auto"/>
              <w:ind w:left="110" w:right="230"/>
              <w:rPr>
                <w:sz w:val="21"/>
              </w:rPr>
            </w:pPr>
            <w:r>
              <w:rPr>
                <w:sz w:val="21"/>
              </w:rPr>
              <w:t>（3）心肌酶或肌钙蛋白有诊断意义的升高，或呈符合急性心肌梗塞的动态性变化；</w:t>
            </w:r>
          </w:p>
          <w:p>
            <w:pPr>
              <w:pStyle w:val="TableParagraph"/>
              <w:spacing w:before="8"/>
              <w:ind w:left="110"/>
              <w:rPr>
                <w:sz w:val="21"/>
              </w:rPr>
            </w:pPr>
            <w:r>
              <w:rPr>
                <w:sz w:val="21"/>
              </w:rPr>
              <w:t>（</w:t>
            </w:r>
            <w:r>
              <w:rPr>
                <w:rFonts w:ascii="Times New Roman" w:eastAsia="Times New Roman"/>
                <w:sz w:val="21"/>
              </w:rPr>
              <w:t>4</w:t>
            </w:r>
            <w:r>
              <w:rPr>
                <w:sz w:val="21"/>
              </w:rPr>
              <w:t>）发病</w:t>
            </w:r>
            <w:r>
              <w:rPr>
                <w:rFonts w:ascii="Times New Roman" w:eastAsia="Times New Roman"/>
                <w:sz w:val="21"/>
              </w:rPr>
              <w:t>90  </w:t>
            </w:r>
            <w:r>
              <w:rPr>
                <w:sz w:val="21"/>
              </w:rPr>
              <w:t>天后，经检查证实左心室功能降低的，如左心室射血分数低于</w:t>
            </w:r>
          </w:p>
          <w:p>
            <w:pPr>
              <w:pStyle w:val="TableParagraph"/>
              <w:spacing w:before="21"/>
              <w:ind w:left="110"/>
              <w:rPr>
                <w:sz w:val="21"/>
              </w:rPr>
            </w:pPr>
            <w:r>
              <w:rPr>
                <w:rFonts w:ascii="Times New Roman" w:eastAsia="Times New Roman"/>
                <w:sz w:val="21"/>
              </w:rPr>
              <w:t>50%</w:t>
            </w:r>
            <w:r>
              <w:rPr>
                <w:sz w:val="21"/>
              </w:rPr>
              <w:t>。</w:t>
            </w:r>
          </w:p>
        </w:tc>
      </w:tr>
      <w:tr>
        <w:trPr>
          <w:trHeight w:val="2488" w:hRule="atLeast"/>
        </w:trPr>
        <w:tc>
          <w:tcPr>
            <w:tcW w:w="817" w:type="dxa"/>
          </w:tcPr>
          <w:p>
            <w:pPr>
              <w:pStyle w:val="TableParagraph"/>
              <w:spacing w:before="0"/>
              <w:ind w:left="0"/>
              <w:rPr>
                <w:rFonts w:ascii="Times New Roman"/>
                <w:sz w:val="20"/>
              </w:rPr>
            </w:pPr>
          </w:p>
        </w:tc>
        <w:tc>
          <w:tcPr>
            <w:tcW w:w="2096" w:type="dxa"/>
          </w:tcPr>
          <w:p>
            <w:pPr>
              <w:pStyle w:val="TableParagraph"/>
              <w:spacing w:line="273" w:lineRule="auto" w:before="135"/>
              <w:ind w:left="300" w:right="214"/>
              <w:rPr>
                <w:sz w:val="21"/>
              </w:rPr>
            </w:pPr>
            <w:r>
              <w:rPr>
                <w:sz w:val="21"/>
              </w:rPr>
              <w:t>(三) 脑中风后遗症</w:t>
            </w:r>
          </w:p>
        </w:tc>
        <w:tc>
          <w:tcPr>
            <w:tcW w:w="7168" w:type="dxa"/>
          </w:tcPr>
          <w:p>
            <w:pPr>
              <w:pStyle w:val="TableParagraph"/>
              <w:spacing w:line="273" w:lineRule="auto" w:before="135"/>
              <w:ind w:left="110" w:right="198"/>
              <w:jc w:val="both"/>
              <w:rPr>
                <w:sz w:val="21"/>
              </w:rPr>
            </w:pPr>
            <w:r>
              <w:rPr>
                <w:spacing w:val="-8"/>
                <w:sz w:val="21"/>
              </w:rPr>
              <w:t>指因脑血管的突发病变引起脑血管出血、栓塞或梗塞，并导致神经系统永久性的功能障碍。神经系统永久性的功能障碍，指疾病确诊</w:t>
            </w:r>
            <w:r>
              <w:rPr>
                <w:sz w:val="21"/>
              </w:rPr>
              <w:t>180天后，仍遗留</w:t>
            </w:r>
            <w:r>
              <w:rPr>
                <w:spacing w:val="-2"/>
                <w:sz w:val="21"/>
              </w:rPr>
              <w:t>下列一种或一种以上障碍：</w:t>
            </w:r>
          </w:p>
          <w:p>
            <w:pPr>
              <w:pStyle w:val="TableParagraph"/>
              <w:spacing w:before="8"/>
              <w:ind w:left="191"/>
              <w:rPr>
                <w:sz w:val="21"/>
              </w:rPr>
            </w:pPr>
            <w:r>
              <w:rPr>
                <w:sz w:val="21"/>
              </w:rPr>
              <w:t>（1）一肢或一肢以上</w:t>
            </w:r>
            <w:r>
              <w:rPr>
                <w:b/>
                <w:sz w:val="21"/>
              </w:rPr>
              <w:t>肢体机能完全丧失</w:t>
            </w:r>
            <w:r>
              <w:rPr>
                <w:sz w:val="21"/>
              </w:rPr>
              <w:t>（见释义6.23）；</w:t>
            </w:r>
          </w:p>
          <w:p>
            <w:pPr>
              <w:pStyle w:val="TableParagraph"/>
              <w:spacing w:before="38"/>
              <w:ind w:left="191"/>
              <w:rPr>
                <w:sz w:val="21"/>
              </w:rPr>
            </w:pPr>
            <w:r>
              <w:rPr>
                <w:sz w:val="21"/>
              </w:rPr>
              <w:t>（2）</w:t>
            </w:r>
            <w:r>
              <w:rPr>
                <w:b/>
                <w:sz w:val="21"/>
              </w:rPr>
              <w:t>语言能力或咀嚼吞咽能力完全丧失</w:t>
            </w:r>
            <w:r>
              <w:rPr>
                <w:sz w:val="21"/>
              </w:rPr>
              <w:t>（见释义6.24）；</w:t>
            </w:r>
          </w:p>
          <w:p>
            <w:pPr>
              <w:pStyle w:val="TableParagraph"/>
              <w:spacing w:line="273" w:lineRule="auto"/>
              <w:ind w:left="110" w:right="227"/>
              <w:rPr>
                <w:sz w:val="21"/>
              </w:rPr>
            </w:pPr>
            <w:r>
              <w:rPr>
                <w:sz w:val="21"/>
              </w:rPr>
              <w:t>（3）自主生活能力完全丧失，无法独立完成六项基本日常生活活动中的三项或三项以上。</w:t>
            </w:r>
          </w:p>
        </w:tc>
      </w:tr>
      <w:tr>
        <w:trPr>
          <w:trHeight w:val="1872" w:hRule="atLeast"/>
        </w:trPr>
        <w:tc>
          <w:tcPr>
            <w:tcW w:w="817" w:type="dxa"/>
          </w:tcPr>
          <w:p>
            <w:pPr>
              <w:pStyle w:val="TableParagraph"/>
              <w:spacing w:before="0"/>
              <w:ind w:left="0"/>
              <w:rPr>
                <w:rFonts w:ascii="Times New Roman"/>
                <w:sz w:val="20"/>
              </w:rPr>
            </w:pPr>
          </w:p>
        </w:tc>
        <w:tc>
          <w:tcPr>
            <w:tcW w:w="2096" w:type="dxa"/>
          </w:tcPr>
          <w:p>
            <w:pPr>
              <w:pStyle w:val="TableParagraph"/>
              <w:spacing w:line="273" w:lineRule="auto" w:before="142"/>
              <w:ind w:left="300" w:right="108"/>
              <w:rPr>
                <w:sz w:val="21"/>
              </w:rPr>
            </w:pPr>
            <w:r>
              <w:rPr>
                <w:sz w:val="21"/>
              </w:rPr>
              <w:t>(四) 重大器官移植术或造血干细胞移植术</w:t>
            </w:r>
          </w:p>
        </w:tc>
        <w:tc>
          <w:tcPr>
            <w:tcW w:w="7168" w:type="dxa"/>
          </w:tcPr>
          <w:p>
            <w:pPr>
              <w:pStyle w:val="TableParagraph"/>
              <w:spacing w:line="273" w:lineRule="auto" w:before="142"/>
              <w:ind w:left="110" w:right="201"/>
              <w:jc w:val="both"/>
              <w:rPr>
                <w:sz w:val="21"/>
              </w:rPr>
            </w:pPr>
            <w:r>
              <w:rPr>
                <w:spacing w:val="-8"/>
                <w:sz w:val="21"/>
              </w:rPr>
              <w:t>重大器官移植术，指因相应器官功能衰竭，已经实施了肾脏、肝脏、心脏或</w:t>
            </w:r>
            <w:r>
              <w:rPr>
                <w:spacing w:val="-6"/>
                <w:sz w:val="21"/>
              </w:rPr>
              <w:t>肺脏的异体移植手术。</w:t>
            </w:r>
          </w:p>
          <w:p>
            <w:pPr>
              <w:pStyle w:val="TableParagraph"/>
              <w:spacing w:line="273" w:lineRule="auto" w:before="7"/>
              <w:ind w:left="110" w:right="198"/>
              <w:jc w:val="both"/>
              <w:rPr>
                <w:sz w:val="21"/>
              </w:rPr>
            </w:pPr>
            <w:r>
              <w:rPr>
                <w:spacing w:val="-8"/>
                <w:sz w:val="21"/>
              </w:rPr>
              <w:t>造血干细胞移植术，指因造血功能损害或造血系统恶性肿瘤，已经实施了造</w:t>
            </w:r>
            <w:r>
              <w:rPr>
                <w:spacing w:val="-14"/>
                <w:sz w:val="21"/>
              </w:rPr>
              <w:t>血干细胞</w:t>
            </w:r>
            <w:r>
              <w:rPr>
                <w:sz w:val="21"/>
              </w:rPr>
              <w:t>（</w:t>
            </w:r>
            <w:r>
              <w:rPr>
                <w:spacing w:val="-7"/>
                <w:sz w:val="21"/>
              </w:rPr>
              <w:t>包括骨髓造血干细胞、外周血造血干细胞和脐血造血干细胞</w:t>
            </w:r>
            <w:r>
              <w:rPr>
                <w:spacing w:val="-25"/>
                <w:sz w:val="21"/>
              </w:rPr>
              <w:t>）</w:t>
            </w:r>
            <w:r>
              <w:rPr>
                <w:sz w:val="21"/>
              </w:rPr>
              <w:t>的</w:t>
            </w:r>
            <w:r>
              <w:rPr>
                <w:spacing w:val="-1"/>
                <w:sz w:val="21"/>
              </w:rPr>
              <w:t>异体移植手术。</w:t>
            </w:r>
          </w:p>
        </w:tc>
      </w:tr>
      <w:tr>
        <w:trPr>
          <w:trHeight w:val="1557" w:hRule="atLeast"/>
        </w:trPr>
        <w:tc>
          <w:tcPr>
            <w:tcW w:w="817" w:type="dxa"/>
          </w:tcPr>
          <w:p>
            <w:pPr>
              <w:pStyle w:val="TableParagraph"/>
              <w:spacing w:before="0"/>
              <w:ind w:left="0"/>
              <w:rPr>
                <w:rFonts w:ascii="Times New Roman"/>
                <w:sz w:val="20"/>
              </w:rPr>
            </w:pPr>
          </w:p>
        </w:tc>
        <w:tc>
          <w:tcPr>
            <w:tcW w:w="2096" w:type="dxa"/>
          </w:tcPr>
          <w:p>
            <w:pPr>
              <w:pStyle w:val="TableParagraph"/>
              <w:spacing w:line="273" w:lineRule="auto" w:before="143"/>
              <w:ind w:left="300" w:right="108"/>
              <w:rPr>
                <w:sz w:val="21"/>
              </w:rPr>
            </w:pPr>
            <w:r>
              <w:rPr>
                <w:sz w:val="21"/>
              </w:rPr>
              <w:t>(五) 冠状动脉搭桥术（或称冠状动脉旁路移植术）</w:t>
            </w:r>
          </w:p>
        </w:tc>
        <w:tc>
          <w:tcPr>
            <w:tcW w:w="7168" w:type="dxa"/>
          </w:tcPr>
          <w:p>
            <w:pPr>
              <w:pStyle w:val="TableParagraph"/>
              <w:spacing w:line="273" w:lineRule="auto" w:before="143"/>
              <w:ind w:left="110" w:right="201"/>
              <w:rPr>
                <w:sz w:val="21"/>
              </w:rPr>
            </w:pPr>
            <w:r>
              <w:rPr>
                <w:spacing w:val="-9"/>
                <w:sz w:val="21"/>
              </w:rPr>
              <w:t>指为治疗严重的冠心病，实际实施了开胸进行的冠状动脉血管旁路移植的手术。</w:t>
            </w:r>
          </w:p>
          <w:p>
            <w:pPr>
              <w:pStyle w:val="TableParagraph"/>
              <w:spacing w:line="273" w:lineRule="auto" w:before="8"/>
              <w:ind w:left="110" w:right="201"/>
              <w:rPr>
                <w:sz w:val="21"/>
              </w:rPr>
            </w:pPr>
            <w:r>
              <w:rPr>
                <w:spacing w:val="-8"/>
                <w:sz w:val="21"/>
              </w:rPr>
              <w:t>冠状动脉支架植入术、心导管球囊扩张术、激光射频技术及其他非开胸的介</w:t>
            </w:r>
            <w:r>
              <w:rPr>
                <w:spacing w:val="-6"/>
                <w:sz w:val="21"/>
              </w:rPr>
              <w:t>入手术、腔镜手术不在保障范围内。</w:t>
            </w:r>
          </w:p>
        </w:tc>
      </w:tr>
      <w:tr>
        <w:trPr>
          <w:trHeight w:val="437" w:hRule="atLeast"/>
        </w:trPr>
        <w:tc>
          <w:tcPr>
            <w:tcW w:w="817" w:type="dxa"/>
          </w:tcPr>
          <w:p>
            <w:pPr>
              <w:pStyle w:val="TableParagraph"/>
              <w:spacing w:before="0"/>
              <w:ind w:left="0"/>
              <w:rPr>
                <w:rFonts w:ascii="Times New Roman"/>
                <w:sz w:val="20"/>
              </w:rPr>
            </w:pPr>
          </w:p>
        </w:tc>
        <w:tc>
          <w:tcPr>
            <w:tcW w:w="2096" w:type="dxa"/>
          </w:tcPr>
          <w:p>
            <w:pPr>
              <w:pStyle w:val="TableParagraph"/>
              <w:spacing w:line="271" w:lineRule="exact" w:before="146"/>
              <w:ind w:left="300"/>
              <w:rPr>
                <w:sz w:val="21"/>
              </w:rPr>
            </w:pPr>
            <w:r>
              <w:rPr>
                <w:sz w:val="21"/>
              </w:rPr>
              <w:t>(六) 终末期肾病</w:t>
            </w:r>
          </w:p>
        </w:tc>
        <w:tc>
          <w:tcPr>
            <w:tcW w:w="7168" w:type="dxa"/>
          </w:tcPr>
          <w:p>
            <w:pPr>
              <w:pStyle w:val="TableParagraph"/>
              <w:spacing w:line="271" w:lineRule="exact" w:before="146"/>
              <w:ind w:left="110"/>
              <w:rPr>
                <w:rFonts w:ascii="Times New Roman" w:eastAsia="Times New Roman"/>
                <w:sz w:val="21"/>
              </w:rPr>
            </w:pPr>
            <w:r>
              <w:rPr>
                <w:sz w:val="21"/>
              </w:rPr>
              <w:t>指双肾功能慢性不可逆性衰竭，达到尿毒症期，经诊断后已经进行了至少</w:t>
            </w:r>
            <w:r>
              <w:rPr>
                <w:rFonts w:ascii="Times New Roman" w:eastAsia="Times New Roman"/>
                <w:sz w:val="21"/>
              </w:rPr>
              <w:t>90</w:t>
            </w:r>
          </w:p>
        </w:tc>
      </w:tr>
    </w:tbl>
    <w:p>
      <w:pPr>
        <w:spacing w:after="0" w:line="271" w:lineRule="exact"/>
        <w:rPr>
          <w:rFonts w:ascii="Times New Roman" w:eastAsia="Times New Roman"/>
          <w:sz w:val="21"/>
        </w:rPr>
        <w:sectPr>
          <w:pgSz w:w="11910" w:h="16840"/>
          <w:pgMar w:header="496" w:footer="995" w:top="800" w:bottom="1180" w:left="760" w:right="840"/>
        </w:sectPr>
      </w:pPr>
    </w:p>
    <w:p>
      <w:pPr>
        <w:pStyle w:val="BodyText"/>
        <w:rPr>
          <w:rFonts w:ascii="Times New Roman"/>
          <w:sz w:val="20"/>
        </w:rPr>
      </w:pPr>
    </w:p>
    <w:p>
      <w:pPr>
        <w:pStyle w:val="BodyText"/>
        <w:spacing w:before="9" w:after="1"/>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44"/>
      </w:tblGrid>
      <w:tr>
        <w:trPr>
          <w:trHeight w:val="729" w:hRule="atLeast"/>
        </w:trPr>
        <w:tc>
          <w:tcPr>
            <w:tcW w:w="1995" w:type="dxa"/>
          </w:tcPr>
          <w:p>
            <w:pPr>
              <w:pStyle w:val="TableParagraph"/>
              <w:spacing w:line="211" w:lineRule="exact" w:before="0"/>
              <w:ind w:left="200"/>
              <w:rPr>
                <w:sz w:val="21"/>
              </w:rPr>
            </w:pPr>
            <w:r>
              <w:rPr>
                <w:sz w:val="21"/>
              </w:rPr>
              <w:t>（或称慢性肾功能</w:t>
            </w:r>
          </w:p>
          <w:p>
            <w:pPr>
              <w:pStyle w:val="TableParagraph"/>
              <w:ind w:left="200"/>
              <w:rPr>
                <w:sz w:val="21"/>
              </w:rPr>
            </w:pPr>
            <w:r>
              <w:rPr>
                <w:sz w:val="21"/>
              </w:rPr>
              <w:t>衰竭尿毒症期）</w:t>
            </w:r>
          </w:p>
        </w:tc>
        <w:tc>
          <w:tcPr>
            <w:tcW w:w="7244" w:type="dxa"/>
          </w:tcPr>
          <w:p>
            <w:pPr>
              <w:pStyle w:val="TableParagraph"/>
              <w:spacing w:line="211" w:lineRule="exact" w:before="0"/>
              <w:rPr>
                <w:sz w:val="21"/>
              </w:rPr>
            </w:pPr>
            <w:r>
              <w:rPr>
                <w:sz w:val="21"/>
              </w:rPr>
              <w:t>天的规律性透析治疗或实施了肾脏移植手术。</w:t>
            </w:r>
          </w:p>
        </w:tc>
      </w:tr>
      <w:tr>
        <w:trPr>
          <w:trHeight w:val="936" w:hRule="atLeast"/>
        </w:trPr>
        <w:tc>
          <w:tcPr>
            <w:tcW w:w="1995" w:type="dxa"/>
          </w:tcPr>
          <w:p>
            <w:pPr>
              <w:pStyle w:val="TableParagraph"/>
              <w:spacing w:line="273" w:lineRule="auto" w:before="142"/>
              <w:ind w:left="200" w:right="213"/>
              <w:rPr>
                <w:sz w:val="21"/>
              </w:rPr>
            </w:pPr>
            <w:r>
              <w:rPr>
                <w:sz w:val="21"/>
              </w:rPr>
              <w:t>(七) 多个肢体缺失</w:t>
            </w:r>
          </w:p>
        </w:tc>
        <w:tc>
          <w:tcPr>
            <w:tcW w:w="7244" w:type="dxa"/>
          </w:tcPr>
          <w:p>
            <w:pPr>
              <w:pStyle w:val="TableParagraph"/>
              <w:spacing w:line="273" w:lineRule="auto" w:before="142"/>
              <w:ind w:right="277"/>
              <w:rPr>
                <w:sz w:val="21"/>
              </w:rPr>
            </w:pPr>
            <w:r>
              <w:rPr>
                <w:spacing w:val="-8"/>
                <w:sz w:val="21"/>
              </w:rPr>
              <w:t>指因疾病或意外伤害导致两个或两个以上肢体自腕关节或踝关节近端</w:t>
            </w:r>
            <w:r>
              <w:rPr>
                <w:spacing w:val="-5"/>
                <w:sz w:val="21"/>
              </w:rPr>
              <w:t>（</w:t>
            </w:r>
            <w:r>
              <w:rPr>
                <w:sz w:val="21"/>
              </w:rPr>
              <w:t>靠近躯干端）</w:t>
            </w:r>
            <w:r>
              <w:rPr>
                <w:spacing w:val="-3"/>
                <w:sz w:val="21"/>
              </w:rPr>
              <w:t>以上完全性断离。</w:t>
            </w:r>
          </w:p>
        </w:tc>
      </w:tr>
      <w:tr>
        <w:trPr>
          <w:trHeight w:val="2192" w:hRule="atLeast"/>
        </w:trPr>
        <w:tc>
          <w:tcPr>
            <w:tcW w:w="1995" w:type="dxa"/>
          </w:tcPr>
          <w:p>
            <w:pPr>
              <w:pStyle w:val="TableParagraph"/>
              <w:spacing w:line="273" w:lineRule="auto" w:before="142"/>
              <w:ind w:left="200" w:right="213"/>
              <w:rPr>
                <w:sz w:val="21"/>
              </w:rPr>
            </w:pPr>
            <w:r>
              <w:rPr>
                <w:sz w:val="21"/>
              </w:rPr>
              <w:t>(八) 急性或亚急性重症肝炎</w:t>
            </w:r>
          </w:p>
        </w:tc>
        <w:tc>
          <w:tcPr>
            <w:tcW w:w="7244" w:type="dxa"/>
          </w:tcPr>
          <w:p>
            <w:pPr>
              <w:pStyle w:val="TableParagraph"/>
              <w:spacing w:line="273" w:lineRule="auto" w:before="142"/>
              <w:ind w:right="277"/>
              <w:rPr>
                <w:sz w:val="21"/>
              </w:rPr>
            </w:pPr>
            <w:r>
              <w:rPr>
                <w:spacing w:val="-8"/>
                <w:sz w:val="21"/>
              </w:rPr>
              <w:t>指因肝炎病毒感染引起肝脏组织弥漫性坏死，导致急性肝功能衰竭，且经血</w:t>
            </w:r>
            <w:r>
              <w:rPr>
                <w:spacing w:val="-6"/>
                <w:sz w:val="21"/>
              </w:rPr>
              <w:t>清学或病毒学检查证实，并须满足下列全部条件：</w:t>
            </w:r>
          </w:p>
          <w:p>
            <w:pPr>
              <w:pStyle w:val="TableParagraph"/>
              <w:spacing w:before="7"/>
              <w:rPr>
                <w:sz w:val="21"/>
              </w:rPr>
            </w:pPr>
            <w:r>
              <w:rPr>
                <w:sz w:val="21"/>
              </w:rPr>
              <w:t>（1）重度黄疸或黄疸迅速加重；</w:t>
            </w:r>
          </w:p>
          <w:p>
            <w:pPr>
              <w:pStyle w:val="TableParagraph"/>
              <w:rPr>
                <w:sz w:val="21"/>
              </w:rPr>
            </w:pPr>
            <w:r>
              <w:rPr>
                <w:sz w:val="21"/>
              </w:rPr>
              <w:t>（2）肝性脑病；</w:t>
            </w:r>
          </w:p>
          <w:p>
            <w:pPr>
              <w:pStyle w:val="TableParagraph"/>
              <w:spacing w:before="36"/>
              <w:rPr>
                <w:sz w:val="21"/>
              </w:rPr>
            </w:pPr>
            <w:r>
              <w:rPr>
                <w:sz w:val="21"/>
              </w:rPr>
              <w:t>（3）B 超或其他影像学检查显示肝脏体积急速萎缩；</w:t>
            </w:r>
          </w:p>
          <w:p>
            <w:pPr>
              <w:pStyle w:val="TableParagraph"/>
              <w:spacing w:before="36"/>
              <w:rPr>
                <w:sz w:val="21"/>
              </w:rPr>
            </w:pPr>
            <w:r>
              <w:rPr>
                <w:sz w:val="21"/>
              </w:rPr>
              <w:t>（</w:t>
            </w:r>
            <w:r>
              <w:rPr>
                <w:rFonts w:ascii="Times New Roman" w:eastAsia="Times New Roman"/>
                <w:sz w:val="21"/>
              </w:rPr>
              <w:t>4</w:t>
            </w:r>
            <w:r>
              <w:rPr>
                <w:sz w:val="21"/>
              </w:rPr>
              <w:t>）肝功能指标进行性恶化。</w:t>
            </w:r>
          </w:p>
        </w:tc>
      </w:tr>
      <w:tr>
        <w:trPr>
          <w:trHeight w:val="2489" w:hRule="atLeast"/>
        </w:trPr>
        <w:tc>
          <w:tcPr>
            <w:tcW w:w="1995" w:type="dxa"/>
          </w:tcPr>
          <w:p>
            <w:pPr>
              <w:pStyle w:val="TableParagraph"/>
              <w:spacing w:before="134"/>
              <w:ind w:left="0" w:right="213"/>
              <w:jc w:val="right"/>
              <w:rPr>
                <w:sz w:val="21"/>
              </w:rPr>
            </w:pPr>
            <w:r>
              <w:rPr>
                <w:sz w:val="21"/>
              </w:rPr>
              <w:t>(九) 良性脑肿瘤</w:t>
            </w:r>
          </w:p>
        </w:tc>
        <w:tc>
          <w:tcPr>
            <w:tcW w:w="7244" w:type="dxa"/>
          </w:tcPr>
          <w:p>
            <w:pPr>
              <w:pStyle w:val="TableParagraph"/>
              <w:spacing w:line="273" w:lineRule="auto" w:before="134"/>
              <w:ind w:right="274"/>
              <w:jc w:val="both"/>
              <w:rPr>
                <w:sz w:val="21"/>
              </w:rPr>
            </w:pPr>
            <w:r>
              <w:rPr>
                <w:spacing w:val="-8"/>
                <w:sz w:val="21"/>
              </w:rPr>
              <w:t>指脑的良性肿瘤，已经引起颅内压增高，临床表现为视神经乳头水肿、精神</w:t>
            </w:r>
            <w:r>
              <w:rPr>
                <w:spacing w:val="-10"/>
                <w:sz w:val="21"/>
              </w:rPr>
              <w:t>症状、癫痫及运动感觉障碍等，并危及生命。须由头颅断层扫描</w:t>
            </w:r>
            <w:r>
              <w:rPr>
                <w:spacing w:val="-5"/>
                <w:sz w:val="21"/>
              </w:rPr>
              <w:t>（CT）</w:t>
            </w:r>
            <w:r>
              <w:rPr>
                <w:spacing w:val="-15"/>
                <w:sz w:val="21"/>
              </w:rPr>
              <w:t>、核</w:t>
            </w:r>
            <w:r>
              <w:rPr>
                <w:spacing w:val="-4"/>
                <w:sz w:val="21"/>
              </w:rPr>
              <w:t>磁共振检查（MRI）</w:t>
            </w:r>
            <w:r>
              <w:rPr>
                <w:spacing w:val="-5"/>
                <w:sz w:val="21"/>
              </w:rPr>
              <w:t>或正电子发射断层扫描</w:t>
            </w:r>
            <w:r>
              <w:rPr>
                <w:spacing w:val="-4"/>
                <w:sz w:val="21"/>
              </w:rPr>
              <w:t>（PET）</w:t>
            </w:r>
            <w:r>
              <w:rPr>
                <w:spacing w:val="-5"/>
                <w:sz w:val="21"/>
              </w:rPr>
              <w:t>等影像学检查证实，并须满足下列至少一项条件：</w:t>
            </w:r>
          </w:p>
          <w:p>
            <w:pPr>
              <w:pStyle w:val="TableParagraph"/>
              <w:spacing w:before="7"/>
              <w:jc w:val="both"/>
              <w:rPr>
                <w:sz w:val="21"/>
              </w:rPr>
            </w:pPr>
            <w:r>
              <w:rPr>
                <w:sz w:val="21"/>
              </w:rPr>
              <w:t>（1）实际实施了开颅进行的脑肿瘤完全切除或部分切除的手术；</w:t>
            </w:r>
          </w:p>
          <w:p>
            <w:pPr>
              <w:pStyle w:val="TableParagraph"/>
              <w:jc w:val="both"/>
              <w:rPr>
                <w:sz w:val="21"/>
              </w:rPr>
            </w:pPr>
            <w:r>
              <w:rPr>
                <w:sz w:val="21"/>
              </w:rPr>
              <w:t>（2）实际实施了对脑肿瘤进行的放射治疗。</w:t>
            </w:r>
          </w:p>
          <w:p>
            <w:pPr>
              <w:pStyle w:val="TableParagraph"/>
              <w:jc w:val="both"/>
              <w:rPr>
                <w:sz w:val="21"/>
              </w:rPr>
            </w:pPr>
            <w:r>
              <w:rPr>
                <w:sz w:val="21"/>
              </w:rPr>
              <w:t>脑垂体瘤、脑囊肿、脑血管性疾病不在保障范围内。</w:t>
            </w:r>
          </w:p>
        </w:tc>
      </w:tr>
      <w:tr>
        <w:trPr>
          <w:trHeight w:val="2184" w:hRule="atLeast"/>
        </w:trPr>
        <w:tc>
          <w:tcPr>
            <w:tcW w:w="1995" w:type="dxa"/>
          </w:tcPr>
          <w:p>
            <w:pPr>
              <w:pStyle w:val="TableParagraph"/>
              <w:spacing w:line="273" w:lineRule="auto" w:before="142"/>
              <w:ind w:left="200" w:right="213"/>
              <w:rPr>
                <w:sz w:val="21"/>
              </w:rPr>
            </w:pPr>
            <w:r>
              <w:rPr>
                <w:sz w:val="21"/>
              </w:rPr>
              <w:t>(十) 慢性肝功能衰竭失代偿期</w:t>
            </w:r>
          </w:p>
        </w:tc>
        <w:tc>
          <w:tcPr>
            <w:tcW w:w="7244" w:type="dxa"/>
          </w:tcPr>
          <w:p>
            <w:pPr>
              <w:pStyle w:val="TableParagraph"/>
              <w:spacing w:before="142"/>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line="273" w:lineRule="auto"/>
              <w:ind w:right="1985"/>
              <w:rPr>
                <w:sz w:val="21"/>
              </w:rPr>
            </w:pPr>
            <w:r>
              <w:rPr>
                <w:sz w:val="21"/>
              </w:rPr>
              <w:t>（4）充血性脾肿大伴脾功能亢进或食管胃底静脉曲张。因酗酒或药物滥用导致的肝功能衰竭不在保障范围内。</w:t>
            </w:r>
          </w:p>
        </w:tc>
      </w:tr>
      <w:tr>
        <w:trPr>
          <w:trHeight w:val="2184" w:hRule="atLeast"/>
        </w:trPr>
        <w:tc>
          <w:tcPr>
            <w:tcW w:w="1995" w:type="dxa"/>
          </w:tcPr>
          <w:p>
            <w:pPr>
              <w:pStyle w:val="TableParagraph"/>
              <w:spacing w:line="273" w:lineRule="auto" w:before="142"/>
              <w:ind w:left="200" w:right="108"/>
              <w:rPr>
                <w:sz w:val="21"/>
              </w:rPr>
            </w:pPr>
            <w:r>
              <w:rPr>
                <w:sz w:val="21"/>
              </w:rPr>
              <w:t>(十一) 脑炎后遗症或脑膜炎后遗症</w:t>
            </w:r>
          </w:p>
        </w:tc>
        <w:tc>
          <w:tcPr>
            <w:tcW w:w="7244" w:type="dxa"/>
          </w:tcPr>
          <w:p>
            <w:pPr>
              <w:pStyle w:val="TableParagraph"/>
              <w:spacing w:line="273" w:lineRule="auto" w:before="142"/>
              <w:ind w:right="277"/>
              <w:rPr>
                <w:sz w:val="21"/>
              </w:rPr>
            </w:pPr>
            <w:r>
              <w:rPr>
                <w:spacing w:val="-8"/>
                <w:sz w:val="21"/>
              </w:rPr>
              <w:t>指因患脑炎或脑膜炎导致的神经系统永久性的功能障碍。神经系统永久性的</w:t>
            </w:r>
            <w:r>
              <w:rPr>
                <w:spacing w:val="-6"/>
                <w:sz w:val="21"/>
              </w:rPr>
              <w:t>功能障碍，指疾病确诊</w:t>
            </w:r>
            <w:r>
              <w:rPr>
                <w:sz w:val="21"/>
              </w:rPr>
              <w:t>180</w:t>
            </w:r>
            <w:r>
              <w:rPr>
                <w:spacing w:val="-3"/>
                <w:sz w:val="21"/>
              </w:rPr>
              <w:t> 天后，仍残留下列一种或一种以上障碍：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56" w:lineRule="auto" w:before="36"/>
              <w:ind w:right="305"/>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557" w:hRule="atLeast"/>
        </w:trPr>
        <w:tc>
          <w:tcPr>
            <w:tcW w:w="1995" w:type="dxa"/>
          </w:tcPr>
          <w:p>
            <w:pPr>
              <w:pStyle w:val="TableParagraph"/>
              <w:spacing w:before="143"/>
              <w:ind w:left="0" w:right="213"/>
              <w:jc w:val="right"/>
              <w:rPr>
                <w:sz w:val="21"/>
              </w:rPr>
            </w:pPr>
            <w:r>
              <w:rPr>
                <w:sz w:val="21"/>
              </w:rPr>
              <w:t>(十二) 深度昏迷</w:t>
            </w:r>
          </w:p>
        </w:tc>
        <w:tc>
          <w:tcPr>
            <w:tcW w:w="7244" w:type="dxa"/>
          </w:tcPr>
          <w:p>
            <w:pPr>
              <w:pStyle w:val="TableParagraph"/>
              <w:spacing w:line="273" w:lineRule="auto" w:before="143"/>
              <w:ind w:right="197"/>
              <w:rPr>
                <w:sz w:val="21"/>
              </w:rPr>
            </w:pPr>
            <w:r>
              <w:rPr>
                <w:spacing w:val="-5"/>
                <w:sz w:val="21"/>
              </w:rPr>
              <w:t>指因疾病或意外伤害导致意识丧失,对外界刺激和体内需求均无反应,昏迷 程度按照格拉斯哥昏迷分级</w:t>
            </w:r>
            <w:r>
              <w:rPr>
                <w:sz w:val="21"/>
              </w:rPr>
              <w:t>（Glasgow</w:t>
            </w:r>
            <w:r>
              <w:rPr>
                <w:spacing w:val="8"/>
                <w:sz w:val="21"/>
              </w:rPr>
              <w:t> </w:t>
            </w:r>
            <w:r>
              <w:rPr>
                <w:sz w:val="21"/>
              </w:rPr>
              <w:t>coma</w:t>
            </w:r>
            <w:r>
              <w:rPr>
                <w:spacing w:val="8"/>
                <w:sz w:val="21"/>
              </w:rPr>
              <w:t> </w:t>
            </w:r>
            <w:r>
              <w:rPr>
                <w:sz w:val="21"/>
              </w:rPr>
              <w:t>scale）结果为5</w:t>
            </w:r>
            <w:r>
              <w:rPr>
                <w:spacing w:val="-3"/>
                <w:sz w:val="21"/>
              </w:rPr>
              <w:t>分或</w:t>
            </w:r>
            <w:r>
              <w:rPr>
                <w:sz w:val="21"/>
              </w:rPr>
              <w:t>5</w:t>
            </w:r>
            <w:r>
              <w:rPr>
                <w:spacing w:val="-2"/>
                <w:sz w:val="21"/>
              </w:rPr>
              <w:t>分以下， </w:t>
            </w:r>
            <w:r>
              <w:rPr>
                <w:spacing w:val="-5"/>
                <w:sz w:val="21"/>
              </w:rPr>
              <w:t>且已经持续使用呼吸机及其它生命维持系统</w:t>
            </w:r>
            <w:r>
              <w:rPr>
                <w:sz w:val="21"/>
              </w:rPr>
              <w:t>96</w:t>
            </w:r>
            <w:r>
              <w:rPr>
                <w:spacing w:val="-3"/>
                <w:sz w:val="21"/>
              </w:rPr>
              <w:t>小时以上。</w:t>
            </w:r>
          </w:p>
          <w:p>
            <w:pPr>
              <w:pStyle w:val="TableParagraph"/>
              <w:spacing w:before="8"/>
              <w:rPr>
                <w:sz w:val="21"/>
              </w:rPr>
            </w:pPr>
            <w:r>
              <w:rPr>
                <w:sz w:val="21"/>
              </w:rPr>
              <w:t>因酗酒或药物滥用导致的深度昏迷不在保障范围内。</w:t>
            </w:r>
          </w:p>
        </w:tc>
      </w:tr>
      <w:tr>
        <w:trPr>
          <w:trHeight w:val="1669" w:hRule="atLeast"/>
        </w:trPr>
        <w:tc>
          <w:tcPr>
            <w:tcW w:w="1995" w:type="dxa"/>
          </w:tcPr>
          <w:p>
            <w:pPr>
              <w:pStyle w:val="TableParagraph"/>
              <w:spacing w:before="146"/>
              <w:ind w:left="200"/>
              <w:rPr>
                <w:sz w:val="21"/>
              </w:rPr>
            </w:pPr>
            <w:r>
              <w:rPr>
                <w:sz w:val="21"/>
              </w:rPr>
              <w:t>(十三) 双耳失聪</w:t>
            </w:r>
          </w:p>
          <w:p>
            <w:pPr>
              <w:pStyle w:val="TableParagraph"/>
              <w:ind w:left="200"/>
              <w:rPr>
                <w:sz w:val="21"/>
              </w:rPr>
            </w:pPr>
            <w:r>
              <w:rPr>
                <w:sz w:val="21"/>
              </w:rPr>
              <w:t>－三周岁始理赔</w:t>
            </w:r>
          </w:p>
        </w:tc>
        <w:tc>
          <w:tcPr>
            <w:tcW w:w="7244" w:type="dxa"/>
          </w:tcPr>
          <w:p>
            <w:pPr>
              <w:pStyle w:val="TableParagraph"/>
              <w:spacing w:line="256" w:lineRule="auto" w:before="146"/>
              <w:ind w:right="268"/>
              <w:jc w:val="both"/>
              <w:rPr>
                <w:sz w:val="21"/>
              </w:rPr>
            </w:pPr>
            <w:r>
              <w:rPr>
                <w:spacing w:val="-4"/>
                <w:sz w:val="21"/>
              </w:rPr>
              <w:t>指因疾病或意外伤害导致双耳听力</w:t>
            </w:r>
            <w:r>
              <w:rPr>
                <w:b/>
                <w:spacing w:val="-9"/>
                <w:sz w:val="21"/>
              </w:rPr>
              <w:t>永久不可逆</w:t>
            </w:r>
            <w:r>
              <w:rPr>
                <w:sz w:val="21"/>
              </w:rPr>
              <w:t>（</w:t>
            </w:r>
            <w:r>
              <w:rPr>
                <w:spacing w:val="-2"/>
                <w:sz w:val="21"/>
              </w:rPr>
              <w:t>见释义</w:t>
            </w:r>
            <w:r>
              <w:rPr>
                <w:rFonts w:ascii="Times New Roman" w:eastAsia="Times New Roman"/>
                <w:spacing w:val="-10"/>
                <w:sz w:val="21"/>
              </w:rPr>
              <w:t>6.25</w:t>
            </w:r>
            <w:r>
              <w:rPr>
                <w:spacing w:val="-10"/>
                <w:sz w:val="21"/>
              </w:rPr>
              <w:t>）</w:t>
            </w:r>
            <w:r>
              <w:rPr>
                <w:spacing w:val="-11"/>
                <w:sz w:val="21"/>
              </w:rPr>
              <w:t>性丧失，在</w:t>
            </w:r>
            <w:r>
              <w:rPr>
                <w:rFonts w:ascii="Times New Roman" w:eastAsia="Times New Roman"/>
                <w:sz w:val="21"/>
              </w:rPr>
              <w:t>500 </w:t>
            </w:r>
            <w:r>
              <w:rPr>
                <w:spacing w:val="-8"/>
                <w:sz w:val="21"/>
              </w:rPr>
              <w:t>赫兹、</w:t>
            </w:r>
            <w:r>
              <w:rPr>
                <w:rFonts w:ascii="Times New Roman" w:eastAsia="Times New Roman"/>
                <w:sz w:val="21"/>
              </w:rPr>
              <w:t>1000</w:t>
            </w:r>
            <w:r>
              <w:rPr>
                <w:spacing w:val="-2"/>
                <w:sz w:val="21"/>
              </w:rPr>
              <w:t>赫兹和</w:t>
            </w:r>
            <w:r>
              <w:rPr>
                <w:rFonts w:ascii="Times New Roman" w:eastAsia="Times New Roman"/>
                <w:sz w:val="21"/>
              </w:rPr>
              <w:t>2000</w:t>
            </w:r>
            <w:r>
              <w:rPr>
                <w:spacing w:val="-7"/>
                <w:sz w:val="21"/>
              </w:rPr>
              <w:t>赫兹语音频率下，平均听阈大于</w:t>
            </w:r>
            <w:r>
              <w:rPr>
                <w:rFonts w:ascii="Times New Roman" w:eastAsia="Times New Roman"/>
                <w:sz w:val="21"/>
              </w:rPr>
              <w:t>90</w:t>
            </w:r>
            <w:r>
              <w:rPr>
                <w:spacing w:val="-7"/>
                <w:sz w:val="21"/>
              </w:rPr>
              <w:t>分贝，且经纯音听</w:t>
            </w:r>
            <w:r>
              <w:rPr>
                <w:spacing w:val="-6"/>
                <w:sz w:val="21"/>
              </w:rPr>
              <w:t>力测试、声导抗检测或听觉诱发电位检测等证实。</w:t>
            </w:r>
          </w:p>
          <w:p>
            <w:pPr>
              <w:pStyle w:val="TableParagraph"/>
              <w:spacing w:line="312" w:lineRule="exact" w:before="18"/>
              <w:ind w:right="276"/>
              <w:jc w:val="both"/>
              <w:rPr>
                <w:sz w:val="21"/>
              </w:rPr>
            </w:pPr>
            <w:r>
              <w:rPr>
                <w:spacing w:val="-8"/>
                <w:sz w:val="21"/>
              </w:rPr>
              <w:t>被保险人申请理赔时年龄必须在三周岁以上，并且提供理赔当时的听力丧失</w:t>
            </w:r>
            <w:r>
              <w:rPr>
                <w:spacing w:val="-6"/>
                <w:sz w:val="21"/>
              </w:rPr>
              <w:t>诊断及检查证据。</w:t>
            </w:r>
          </w:p>
        </w:tc>
      </w:tr>
    </w:tbl>
    <w:p>
      <w:pPr>
        <w:spacing w:after="0" w:line="312" w:lineRule="exact"/>
        <w:jc w:val="both"/>
        <w:rPr>
          <w:sz w:val="21"/>
        </w:rPr>
        <w:sectPr>
          <w:pgSz w:w="11910" w:h="16840"/>
          <w:pgMar w:header="496" w:footer="995" w:top="800" w:bottom="1180" w:left="960" w:right="760"/>
        </w:sectPr>
      </w:pPr>
    </w:p>
    <w:p>
      <w:pPr>
        <w:pStyle w:val="BodyText"/>
        <w:rPr>
          <w:rFonts w:ascii="Times New Roman"/>
          <w:sz w:val="20"/>
        </w:rPr>
      </w:pPr>
    </w:p>
    <w:p>
      <w:pPr>
        <w:pStyle w:val="BodyText"/>
        <w:spacing w:before="9" w:after="1"/>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3"/>
        <w:gridCol w:w="7164"/>
      </w:tblGrid>
      <w:tr>
        <w:trPr>
          <w:trHeight w:val="2602" w:hRule="atLeast"/>
        </w:trPr>
        <w:tc>
          <w:tcPr>
            <w:tcW w:w="2003" w:type="dxa"/>
          </w:tcPr>
          <w:p>
            <w:pPr>
              <w:pStyle w:val="TableParagraph"/>
              <w:spacing w:line="211" w:lineRule="exact" w:before="0"/>
              <w:ind w:left="200"/>
              <w:rPr>
                <w:sz w:val="21"/>
              </w:rPr>
            </w:pPr>
            <w:r>
              <w:rPr>
                <w:sz w:val="21"/>
              </w:rPr>
              <w:t>(十四) 双目失明</w:t>
            </w:r>
          </w:p>
          <w:p>
            <w:pPr>
              <w:pStyle w:val="TableParagraph"/>
              <w:ind w:left="200"/>
              <w:rPr>
                <w:sz w:val="21"/>
              </w:rPr>
            </w:pPr>
            <w:r>
              <w:rPr>
                <w:sz w:val="21"/>
              </w:rPr>
              <w:t>－三周岁始理赔</w:t>
            </w:r>
          </w:p>
        </w:tc>
        <w:tc>
          <w:tcPr>
            <w:tcW w:w="7164" w:type="dxa"/>
          </w:tcPr>
          <w:p>
            <w:pPr>
              <w:pStyle w:val="TableParagraph"/>
              <w:spacing w:line="211" w:lineRule="exact" w:before="0"/>
              <w:ind w:left="103"/>
              <w:rPr>
                <w:sz w:val="21"/>
              </w:rPr>
            </w:pPr>
            <w:r>
              <w:rPr>
                <w:sz w:val="21"/>
              </w:rPr>
              <w:t>指因疾病或意外伤害导致双眼视力永久不可逆性丧失，双眼中较好眼须满足</w:t>
            </w:r>
          </w:p>
          <w:p>
            <w:pPr>
              <w:pStyle w:val="TableParagraph"/>
              <w:ind w:left="103"/>
              <w:rPr>
                <w:sz w:val="21"/>
              </w:rPr>
            </w:pPr>
            <w:r>
              <w:rPr>
                <w:sz w:val="21"/>
              </w:rPr>
              <w:t>下列至少一项条件：</w:t>
            </w:r>
          </w:p>
          <w:p>
            <w:pPr>
              <w:pStyle w:val="TableParagraph"/>
              <w:ind w:left="184"/>
              <w:rPr>
                <w:sz w:val="21"/>
              </w:rPr>
            </w:pPr>
            <w:r>
              <w:rPr>
                <w:sz w:val="21"/>
              </w:rPr>
              <w:t>（1）眼球缺失或摘除；</w:t>
            </w:r>
          </w:p>
          <w:p>
            <w:pPr>
              <w:pStyle w:val="TableParagraph"/>
              <w:spacing w:line="273" w:lineRule="auto"/>
              <w:ind w:left="727" w:right="136" w:hanging="543"/>
              <w:rPr>
                <w:sz w:val="21"/>
              </w:rPr>
            </w:pPr>
            <w:r>
              <w:rPr>
                <w:sz w:val="21"/>
              </w:rPr>
              <w:t>（2）矫正视力低于0.02（采用国际标准视力表，如果使用其他视力表应进行换算）；</w:t>
            </w:r>
          </w:p>
          <w:p>
            <w:pPr>
              <w:pStyle w:val="TableParagraph"/>
              <w:spacing w:before="7"/>
              <w:ind w:left="103"/>
              <w:rPr>
                <w:sz w:val="21"/>
              </w:rPr>
            </w:pPr>
            <w:r>
              <w:rPr>
                <w:sz w:val="21"/>
              </w:rPr>
              <w:t>（</w:t>
            </w:r>
            <w:r>
              <w:rPr>
                <w:rFonts w:ascii="Times New Roman" w:eastAsia="Times New Roman"/>
                <w:sz w:val="21"/>
              </w:rPr>
              <w:t>3</w:t>
            </w:r>
            <w:r>
              <w:rPr>
                <w:sz w:val="21"/>
              </w:rPr>
              <w:t>）视野半径小于</w:t>
            </w:r>
            <w:r>
              <w:rPr>
                <w:rFonts w:ascii="Times New Roman" w:eastAsia="Times New Roman"/>
                <w:sz w:val="21"/>
              </w:rPr>
              <w:t>5</w:t>
            </w:r>
            <w:r>
              <w:rPr>
                <w:sz w:val="21"/>
              </w:rPr>
              <w:t>度。</w:t>
            </w:r>
          </w:p>
          <w:p>
            <w:pPr>
              <w:pStyle w:val="TableParagraph"/>
              <w:spacing w:line="273" w:lineRule="auto" w:before="20"/>
              <w:ind w:left="103" w:right="204"/>
              <w:rPr>
                <w:sz w:val="21"/>
              </w:rPr>
            </w:pPr>
            <w:r>
              <w:rPr>
                <w:spacing w:val="-8"/>
                <w:sz w:val="21"/>
              </w:rPr>
              <w:t>被保险人申请理赔时年龄必须在三周岁以上，并且提供理赔当时的视力丧失</w:t>
            </w:r>
            <w:r>
              <w:rPr>
                <w:spacing w:val="-6"/>
                <w:sz w:val="21"/>
              </w:rPr>
              <w:t>诊断及检查证据。</w:t>
            </w:r>
          </w:p>
        </w:tc>
      </w:tr>
      <w:tr>
        <w:trPr>
          <w:trHeight w:val="1248" w:hRule="atLeast"/>
        </w:trPr>
        <w:tc>
          <w:tcPr>
            <w:tcW w:w="2003" w:type="dxa"/>
          </w:tcPr>
          <w:p>
            <w:pPr>
              <w:pStyle w:val="TableParagraph"/>
              <w:spacing w:before="143"/>
              <w:ind w:left="200"/>
              <w:rPr>
                <w:sz w:val="21"/>
              </w:rPr>
            </w:pPr>
            <w:r>
              <w:rPr>
                <w:sz w:val="21"/>
              </w:rPr>
              <w:t>(十五) 瘫痪</w:t>
            </w:r>
          </w:p>
        </w:tc>
        <w:tc>
          <w:tcPr>
            <w:tcW w:w="7164" w:type="dxa"/>
          </w:tcPr>
          <w:p>
            <w:pPr>
              <w:pStyle w:val="TableParagraph"/>
              <w:spacing w:line="264" w:lineRule="auto" w:before="143"/>
              <w:ind w:left="103" w:right="202"/>
              <w:jc w:val="both"/>
              <w:rPr>
                <w:sz w:val="21"/>
              </w:rPr>
            </w:pPr>
            <w:r>
              <w:rPr>
                <w:spacing w:val="-8"/>
                <w:sz w:val="21"/>
              </w:rPr>
              <w:t>指因疾病或意外伤害导致两肢或两肢以上肢体机能永久完全丧失。肢体机能</w:t>
            </w:r>
            <w:r>
              <w:rPr>
                <w:spacing w:val="-7"/>
                <w:sz w:val="21"/>
              </w:rPr>
              <w:t>永久完全丧失，指疾病确诊</w:t>
            </w:r>
            <w:r>
              <w:rPr>
                <w:rFonts w:ascii="Times New Roman" w:eastAsia="Times New Roman"/>
                <w:sz w:val="21"/>
              </w:rPr>
              <w:t>180</w:t>
            </w:r>
            <w:r>
              <w:rPr>
                <w:spacing w:val="-3"/>
                <w:sz w:val="21"/>
              </w:rPr>
              <w:t>天后或意外伤害发生</w:t>
            </w:r>
            <w:r>
              <w:rPr>
                <w:rFonts w:ascii="Times New Roman" w:eastAsia="Times New Roman"/>
                <w:sz w:val="21"/>
              </w:rPr>
              <w:t>180</w:t>
            </w:r>
            <w:r>
              <w:rPr>
                <w:spacing w:val="-7"/>
                <w:sz w:val="21"/>
              </w:rPr>
              <w:t>天后，每肢三大关节</w:t>
            </w:r>
            <w:r>
              <w:rPr>
                <w:spacing w:val="-6"/>
                <w:sz w:val="21"/>
              </w:rPr>
              <w:t>中的两大关节仍然完全僵硬，或不能随意识活动。</w:t>
            </w:r>
          </w:p>
        </w:tc>
      </w:tr>
      <w:tr>
        <w:trPr>
          <w:trHeight w:val="936" w:hRule="atLeast"/>
        </w:trPr>
        <w:tc>
          <w:tcPr>
            <w:tcW w:w="2003" w:type="dxa"/>
          </w:tcPr>
          <w:p>
            <w:pPr>
              <w:pStyle w:val="TableParagraph"/>
              <w:spacing w:line="273" w:lineRule="auto" w:before="142"/>
              <w:ind w:left="200" w:right="221"/>
              <w:rPr>
                <w:sz w:val="21"/>
              </w:rPr>
            </w:pPr>
            <w:r>
              <w:rPr>
                <w:sz w:val="21"/>
              </w:rPr>
              <w:t>(十六) 心脏瓣膜手术</w:t>
            </w:r>
          </w:p>
        </w:tc>
        <w:tc>
          <w:tcPr>
            <w:tcW w:w="7164" w:type="dxa"/>
          </w:tcPr>
          <w:p>
            <w:pPr>
              <w:pStyle w:val="TableParagraph"/>
              <w:spacing w:line="273" w:lineRule="auto" w:before="142"/>
              <w:ind w:left="103" w:right="334"/>
              <w:rPr>
                <w:sz w:val="21"/>
              </w:rPr>
            </w:pPr>
            <w:r>
              <w:rPr>
                <w:sz w:val="21"/>
              </w:rPr>
              <w:t>指为治疗心脏瓣膜疾病，实际实施了开胸进行的心脏瓣膜置换或修复的手术。</w:t>
            </w:r>
          </w:p>
        </w:tc>
      </w:tr>
      <w:tr>
        <w:trPr>
          <w:trHeight w:val="2153" w:hRule="atLeast"/>
        </w:trPr>
        <w:tc>
          <w:tcPr>
            <w:tcW w:w="2003" w:type="dxa"/>
          </w:tcPr>
          <w:p>
            <w:pPr>
              <w:pStyle w:val="TableParagraph"/>
              <w:spacing w:line="273" w:lineRule="auto" w:before="142"/>
              <w:ind w:left="200" w:right="221"/>
              <w:rPr>
                <w:sz w:val="21"/>
              </w:rPr>
            </w:pPr>
            <w:r>
              <w:rPr>
                <w:sz w:val="21"/>
              </w:rPr>
              <w:t>(十七) 严重阿尔茨海默病</w:t>
            </w:r>
          </w:p>
        </w:tc>
        <w:tc>
          <w:tcPr>
            <w:tcW w:w="7164" w:type="dxa"/>
          </w:tcPr>
          <w:p>
            <w:pPr>
              <w:pStyle w:val="TableParagraph"/>
              <w:spacing w:line="273" w:lineRule="auto" w:before="142"/>
              <w:ind w:left="103" w:right="205"/>
              <w:jc w:val="both"/>
              <w:rPr>
                <w:sz w:val="21"/>
              </w:rPr>
            </w:pPr>
            <w:r>
              <w:rPr>
                <w:spacing w:val="-8"/>
                <w:sz w:val="21"/>
              </w:rPr>
              <w:t>指因大脑进行性、不可逆性改变导致智能严重衰退或丧失，临床表现为明显</w:t>
            </w:r>
            <w:r>
              <w:rPr>
                <w:spacing w:val="-12"/>
                <w:sz w:val="21"/>
              </w:rPr>
              <w:t>的认知能力障碍、行为异常和社交能力减退，其日常生活必须持续受到他人</w:t>
            </w:r>
            <w:r>
              <w:rPr>
                <w:spacing w:val="-8"/>
                <w:sz w:val="21"/>
              </w:rPr>
              <w:t>监护。须由头颅断层扫描</w:t>
            </w:r>
            <w:r>
              <w:rPr>
                <w:sz w:val="21"/>
              </w:rPr>
              <w:t>（CT）</w:t>
            </w:r>
            <w:r>
              <w:rPr>
                <w:spacing w:val="-3"/>
                <w:sz w:val="21"/>
              </w:rPr>
              <w:t>、核磁共振检查</w:t>
            </w:r>
            <w:r>
              <w:rPr>
                <w:sz w:val="21"/>
              </w:rPr>
              <w:t>（MRI）</w:t>
            </w:r>
            <w:r>
              <w:rPr>
                <w:spacing w:val="-2"/>
                <w:sz w:val="21"/>
              </w:rPr>
              <w:t>或正电子发射断层扫描（PET）</w:t>
            </w:r>
            <w:r>
              <w:rPr>
                <w:spacing w:val="-5"/>
                <w:sz w:val="21"/>
              </w:rPr>
              <w:t>等影像学检查证实，且自主生活能力完全丧失，无法独立完成六项基本日常生活活动中的三项或三项以上。</w:t>
            </w:r>
          </w:p>
          <w:p>
            <w:pPr>
              <w:pStyle w:val="TableParagraph"/>
              <w:spacing w:line="259" w:lineRule="exact" w:before="0"/>
              <w:ind w:left="103"/>
              <w:jc w:val="both"/>
              <w:rPr>
                <w:sz w:val="21"/>
              </w:rPr>
            </w:pPr>
            <w:r>
              <w:rPr>
                <w:sz w:val="21"/>
              </w:rPr>
              <w:t>神经官能症和精神疾病不在保障范围内。</w:t>
            </w:r>
          </w:p>
        </w:tc>
      </w:tr>
      <w:tr>
        <w:trPr>
          <w:trHeight w:val="2801" w:hRule="atLeast"/>
        </w:trPr>
        <w:tc>
          <w:tcPr>
            <w:tcW w:w="2003" w:type="dxa"/>
          </w:tcPr>
          <w:p>
            <w:pPr>
              <w:pStyle w:val="TableParagraph"/>
              <w:spacing w:line="273" w:lineRule="auto" w:before="135"/>
              <w:ind w:left="200" w:right="101"/>
              <w:rPr>
                <w:sz w:val="21"/>
              </w:rPr>
            </w:pPr>
            <w:r>
              <w:rPr>
                <w:sz w:val="21"/>
              </w:rPr>
              <w:t>(十八) 严重脑损伤</w:t>
            </w:r>
          </w:p>
        </w:tc>
        <w:tc>
          <w:tcPr>
            <w:tcW w:w="7164" w:type="dxa"/>
          </w:tcPr>
          <w:p>
            <w:pPr>
              <w:pStyle w:val="TableParagraph"/>
              <w:spacing w:line="273" w:lineRule="auto" w:before="135"/>
              <w:ind w:left="103" w:right="205"/>
              <w:jc w:val="both"/>
              <w:rPr>
                <w:sz w:val="21"/>
              </w:rPr>
            </w:pPr>
            <w:r>
              <w:rPr>
                <w:spacing w:val="-8"/>
                <w:sz w:val="21"/>
              </w:rPr>
              <w:t>指因头部遭受机械性外力，引起脑重要部位损伤，导致神经系统永久性的功</w:t>
            </w:r>
            <w:r>
              <w:rPr>
                <w:spacing w:val="-6"/>
                <w:sz w:val="21"/>
              </w:rPr>
              <w:t>能障碍。须由头颅断层扫描</w:t>
            </w:r>
            <w:r>
              <w:rPr>
                <w:sz w:val="21"/>
              </w:rPr>
              <w:t>（CT）</w:t>
            </w:r>
            <w:r>
              <w:rPr>
                <w:spacing w:val="-3"/>
                <w:sz w:val="21"/>
              </w:rPr>
              <w:t>、核磁共振检查</w:t>
            </w:r>
            <w:r>
              <w:rPr>
                <w:sz w:val="21"/>
              </w:rPr>
              <w:t>（MRI）</w:t>
            </w:r>
            <w:r>
              <w:rPr>
                <w:spacing w:val="-2"/>
                <w:sz w:val="21"/>
              </w:rPr>
              <w:t>或正电子发射断</w:t>
            </w:r>
            <w:r>
              <w:rPr>
                <w:spacing w:val="-1"/>
                <w:sz w:val="21"/>
              </w:rPr>
              <w:t>层扫描（PET）</w:t>
            </w:r>
            <w:r>
              <w:rPr>
                <w:spacing w:val="-5"/>
                <w:sz w:val="21"/>
              </w:rPr>
              <w:t>等影像学检查证实。神经系统永久性的功能障碍，指脑损伤</w:t>
            </w:r>
          </w:p>
          <w:p>
            <w:pPr>
              <w:pStyle w:val="TableParagraph"/>
              <w:spacing w:before="7"/>
              <w:ind w:left="103"/>
              <w:rPr>
                <w:sz w:val="21"/>
              </w:rPr>
            </w:pPr>
            <w:r>
              <w:rPr>
                <w:sz w:val="21"/>
              </w:rPr>
              <w:t>180 天后，仍遗留下列一种或一种以上障碍：</w:t>
            </w:r>
          </w:p>
          <w:p>
            <w:pPr>
              <w:pStyle w:val="TableParagraph"/>
              <w:ind w:left="103"/>
              <w:rPr>
                <w:sz w:val="21"/>
              </w:rPr>
            </w:pPr>
            <w:r>
              <w:rPr>
                <w:sz w:val="21"/>
              </w:rPr>
              <w:t>（1）一肢或一肢以上肢体机能完全丧失；</w:t>
            </w:r>
          </w:p>
          <w:p>
            <w:pPr>
              <w:pStyle w:val="TableParagraph"/>
              <w:ind w:left="103"/>
              <w:rPr>
                <w:sz w:val="21"/>
              </w:rPr>
            </w:pPr>
            <w:r>
              <w:rPr>
                <w:sz w:val="21"/>
              </w:rPr>
              <w:t>（2）语言能力或咀嚼吞咽能力完全丧失；</w:t>
            </w:r>
          </w:p>
          <w:p>
            <w:pPr>
              <w:pStyle w:val="TableParagraph"/>
              <w:spacing w:line="273" w:lineRule="auto"/>
              <w:ind w:left="103" w:right="204"/>
              <w:rPr>
                <w:sz w:val="21"/>
              </w:rPr>
            </w:pPr>
            <w:r>
              <w:rPr>
                <w:sz w:val="21"/>
              </w:rPr>
              <w:t>（3）自主生活能力完全丧失，无法独立完成六项基本日常生活活动中的三项或三项以上。</w:t>
            </w:r>
          </w:p>
        </w:tc>
      </w:tr>
      <w:tr>
        <w:trPr>
          <w:trHeight w:val="2187" w:hRule="atLeast"/>
        </w:trPr>
        <w:tc>
          <w:tcPr>
            <w:tcW w:w="2003" w:type="dxa"/>
          </w:tcPr>
          <w:p>
            <w:pPr>
              <w:pStyle w:val="TableParagraph"/>
              <w:spacing w:line="273" w:lineRule="auto" w:before="142"/>
              <w:ind w:left="200" w:right="221"/>
              <w:rPr>
                <w:sz w:val="21"/>
              </w:rPr>
            </w:pPr>
            <w:r>
              <w:rPr>
                <w:sz w:val="21"/>
              </w:rPr>
              <w:t>(十九) 严重帕金森病</w:t>
            </w:r>
          </w:p>
        </w:tc>
        <w:tc>
          <w:tcPr>
            <w:tcW w:w="7164" w:type="dxa"/>
          </w:tcPr>
          <w:p>
            <w:pPr>
              <w:pStyle w:val="TableParagraph"/>
              <w:spacing w:line="273" w:lineRule="auto" w:before="142"/>
              <w:ind w:left="103" w:right="199"/>
              <w:rPr>
                <w:sz w:val="21"/>
              </w:rPr>
            </w:pPr>
            <w:r>
              <w:rPr>
                <w:spacing w:val="-8"/>
                <w:sz w:val="21"/>
              </w:rPr>
              <w:t>指一种中枢神经系统的退行性疾病，临床表现为震颤麻痹、共济失调等。须</w:t>
            </w:r>
            <w:r>
              <w:rPr>
                <w:spacing w:val="-6"/>
                <w:sz w:val="21"/>
              </w:rPr>
              <w:t>满足下列全部条件：</w:t>
            </w:r>
          </w:p>
          <w:p>
            <w:pPr>
              <w:pStyle w:val="TableParagraph"/>
              <w:spacing w:before="7"/>
              <w:ind w:left="103"/>
              <w:rPr>
                <w:sz w:val="21"/>
              </w:rPr>
            </w:pPr>
            <w:r>
              <w:rPr>
                <w:sz w:val="21"/>
              </w:rPr>
              <w:t>（1）药物治疗无法控制病情；</w:t>
            </w:r>
          </w:p>
          <w:p>
            <w:pPr>
              <w:pStyle w:val="TableParagraph"/>
              <w:spacing w:line="273" w:lineRule="auto"/>
              <w:ind w:left="103" w:right="233"/>
              <w:rPr>
                <w:sz w:val="21"/>
              </w:rPr>
            </w:pPr>
            <w:r>
              <w:rPr>
                <w:sz w:val="21"/>
              </w:rPr>
              <w:t>（2）自主生活能力完全丧失，无法独立完成六项基本日常生活活动中的三项或三项以上。</w:t>
            </w:r>
          </w:p>
          <w:p>
            <w:pPr>
              <w:pStyle w:val="TableParagraph"/>
              <w:spacing w:line="296" w:lineRule="exact" w:before="0"/>
              <w:ind w:left="103"/>
              <w:rPr>
                <w:sz w:val="24"/>
              </w:rPr>
            </w:pPr>
            <w:r>
              <w:rPr>
                <w:sz w:val="21"/>
              </w:rPr>
              <w:t>继发性帕金森综合征不在保障范围内</w:t>
            </w:r>
            <w:r>
              <w:rPr>
                <w:sz w:val="24"/>
              </w:rPr>
              <w:t>。</w:t>
            </w:r>
          </w:p>
        </w:tc>
      </w:tr>
      <w:tr>
        <w:trPr>
          <w:trHeight w:val="928" w:hRule="atLeast"/>
        </w:trPr>
        <w:tc>
          <w:tcPr>
            <w:tcW w:w="2003" w:type="dxa"/>
          </w:tcPr>
          <w:p>
            <w:pPr>
              <w:pStyle w:val="TableParagraph"/>
              <w:spacing w:line="259" w:lineRule="auto" w:before="139"/>
              <w:ind w:left="200" w:right="293"/>
              <w:rPr>
                <w:sz w:val="21"/>
              </w:rPr>
            </w:pPr>
            <w:r>
              <w:rPr>
                <w:rFonts w:ascii="Times New Roman" w:hAnsi="Times New Roman" w:eastAsia="Times New Roman"/>
                <w:sz w:val="21"/>
              </w:rPr>
              <w:t>(</w:t>
            </w:r>
            <w:r>
              <w:rPr>
                <w:sz w:val="21"/>
              </w:rPr>
              <w:t>二十</w:t>
            </w:r>
            <w:r>
              <w:rPr>
                <w:rFonts w:ascii="Times New Roman" w:hAnsi="Times New Roman" w:eastAsia="Times New Roman"/>
                <w:sz w:val="21"/>
              </w:rPr>
              <w:t>) </w:t>
            </w:r>
            <w:r>
              <w:rPr>
                <w:sz w:val="21"/>
              </w:rPr>
              <w:t>严重Ⅲ度烧伤</w:t>
            </w:r>
          </w:p>
        </w:tc>
        <w:tc>
          <w:tcPr>
            <w:tcW w:w="7164" w:type="dxa"/>
          </w:tcPr>
          <w:p>
            <w:pPr>
              <w:pStyle w:val="TableParagraph"/>
              <w:spacing w:line="259" w:lineRule="auto" w:before="139"/>
              <w:ind w:left="103" w:right="403"/>
              <w:rPr>
                <w:sz w:val="21"/>
              </w:rPr>
            </w:pPr>
            <w:r>
              <w:rPr>
                <w:sz w:val="21"/>
              </w:rPr>
              <w:t>指烧伤程度为Ⅲ度，且Ⅲ度烧伤的面积达到全身体表面积的</w:t>
            </w:r>
            <w:r>
              <w:rPr>
                <w:rFonts w:ascii="Times New Roman" w:hAnsi="Times New Roman" w:eastAsia="Times New Roman"/>
                <w:sz w:val="21"/>
              </w:rPr>
              <w:t>20%</w:t>
            </w:r>
            <w:r>
              <w:rPr>
                <w:sz w:val="21"/>
              </w:rPr>
              <w:t>或</w:t>
            </w:r>
            <w:r>
              <w:rPr>
                <w:rFonts w:ascii="Times New Roman" w:hAnsi="Times New Roman" w:eastAsia="Times New Roman"/>
                <w:sz w:val="21"/>
              </w:rPr>
              <w:t>20%</w:t>
            </w:r>
            <w:r>
              <w:rPr>
                <w:sz w:val="21"/>
              </w:rPr>
              <w:t>以上。体表面积根据《中国新九分法》计算。</w:t>
            </w:r>
          </w:p>
        </w:tc>
      </w:tr>
      <w:tr>
        <w:trPr>
          <w:trHeight w:val="1046" w:hRule="atLeast"/>
        </w:trPr>
        <w:tc>
          <w:tcPr>
            <w:tcW w:w="2003" w:type="dxa"/>
          </w:tcPr>
          <w:p>
            <w:pPr>
              <w:pStyle w:val="TableParagraph"/>
              <w:spacing w:line="259" w:lineRule="auto" w:before="147"/>
              <w:ind w:left="200" w:right="293"/>
              <w:rPr>
                <w:sz w:val="21"/>
              </w:rPr>
            </w:pPr>
            <w:r>
              <w:rPr>
                <w:rFonts w:ascii="Arial" w:eastAsia="Arial"/>
                <w:sz w:val="21"/>
              </w:rPr>
              <w:t>(</w:t>
            </w:r>
            <w:r>
              <w:rPr>
                <w:sz w:val="21"/>
              </w:rPr>
              <w:t>二十一</w:t>
            </w:r>
            <w:r>
              <w:rPr>
                <w:rFonts w:ascii="Arial" w:eastAsia="Arial"/>
                <w:sz w:val="21"/>
              </w:rPr>
              <w:t>) </w:t>
            </w:r>
            <w:r>
              <w:rPr>
                <w:sz w:val="21"/>
              </w:rPr>
              <w:t>严重原发性肺动脉高压</w:t>
            </w:r>
          </w:p>
        </w:tc>
        <w:tc>
          <w:tcPr>
            <w:tcW w:w="7164" w:type="dxa"/>
          </w:tcPr>
          <w:p>
            <w:pPr>
              <w:pStyle w:val="TableParagraph"/>
              <w:spacing w:line="310" w:lineRule="atLeast" w:before="112"/>
              <w:ind w:left="103" w:right="202"/>
              <w:jc w:val="both"/>
              <w:rPr>
                <w:sz w:val="21"/>
              </w:rPr>
            </w:pPr>
            <w:r>
              <w:rPr>
                <w:spacing w:val="-8"/>
                <w:sz w:val="21"/>
              </w:rPr>
              <w:t>指不明原因的肺动脉压力持续性增高，进行性发展而导致的慢性疾病，已经</w:t>
            </w:r>
            <w:r>
              <w:rPr>
                <w:spacing w:val="-10"/>
                <w:sz w:val="21"/>
              </w:rPr>
              <w:t>造成永久不可逆性的体力活动能力受限，达到美国纽约心脏病学会心功能状</w:t>
            </w:r>
            <w:r>
              <w:rPr>
                <w:spacing w:val="-9"/>
                <w:sz w:val="21"/>
              </w:rPr>
              <w:t>态分级Ⅳ级，且静息状态下肺动脉平均压超过 </w:t>
            </w:r>
            <w:r>
              <w:rPr>
                <w:sz w:val="21"/>
              </w:rPr>
              <w:t>30mmHg。</w:t>
            </w:r>
          </w:p>
        </w:tc>
      </w:tr>
    </w:tbl>
    <w:p>
      <w:pPr>
        <w:spacing w:after="0" w:line="310" w:lineRule="atLeast"/>
        <w:jc w:val="both"/>
        <w:rPr>
          <w:sz w:val="21"/>
        </w:rPr>
        <w:sectPr>
          <w:pgSz w:w="11910" w:h="16840"/>
          <w:pgMar w:header="496" w:footer="995" w:top="800" w:bottom="1180" w:left="960" w:right="840"/>
        </w:sectPr>
      </w:pPr>
    </w:p>
    <w:p>
      <w:pPr>
        <w:pStyle w:val="BodyText"/>
        <w:rPr>
          <w:rFonts w:ascii="Times New Roman"/>
          <w:sz w:val="20"/>
        </w:rPr>
      </w:pPr>
    </w:p>
    <w:p>
      <w:pPr>
        <w:pStyle w:val="BodyText"/>
        <w:spacing w:before="9" w:after="1"/>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0"/>
        <w:gridCol w:w="7164"/>
      </w:tblGrid>
      <w:tr>
        <w:trPr>
          <w:trHeight w:val="1666" w:hRule="atLeast"/>
        </w:trPr>
        <w:tc>
          <w:tcPr>
            <w:tcW w:w="2000" w:type="dxa"/>
          </w:tcPr>
          <w:p>
            <w:pPr>
              <w:pStyle w:val="TableParagraph"/>
              <w:spacing w:line="211" w:lineRule="exact" w:before="0"/>
              <w:ind w:left="200"/>
              <w:rPr>
                <w:sz w:val="21"/>
              </w:rPr>
            </w:pPr>
            <w:r>
              <w:rPr>
                <w:sz w:val="21"/>
              </w:rPr>
              <w:t>（二十二）语言能</w:t>
            </w:r>
          </w:p>
          <w:p>
            <w:pPr>
              <w:pStyle w:val="TableParagraph"/>
              <w:spacing w:line="273" w:lineRule="auto"/>
              <w:ind w:left="200" w:right="113"/>
              <w:rPr>
                <w:sz w:val="21"/>
              </w:rPr>
            </w:pPr>
            <w:r>
              <w:rPr>
                <w:sz w:val="21"/>
              </w:rPr>
              <w:t>力丧失－三岁始理赔</w:t>
            </w:r>
          </w:p>
        </w:tc>
        <w:tc>
          <w:tcPr>
            <w:tcW w:w="7164" w:type="dxa"/>
          </w:tcPr>
          <w:p>
            <w:pPr>
              <w:pStyle w:val="TableParagraph"/>
              <w:spacing w:line="211" w:lineRule="exact" w:before="0"/>
              <w:ind w:left="106"/>
              <w:rPr>
                <w:sz w:val="21"/>
              </w:rPr>
            </w:pPr>
            <w:r>
              <w:rPr>
                <w:sz w:val="21"/>
              </w:rPr>
              <w:t>指因疾病或意外伤害导致完全丧失语言能力，经过积极治疗至少12 个月（声</w:t>
            </w:r>
          </w:p>
          <w:p>
            <w:pPr>
              <w:pStyle w:val="TableParagraph"/>
              <w:spacing w:line="273" w:lineRule="auto"/>
              <w:ind w:left="106" w:right="1277"/>
              <w:rPr>
                <w:sz w:val="21"/>
              </w:rPr>
            </w:pPr>
            <w:r>
              <w:rPr>
                <w:spacing w:val="-2"/>
                <w:w w:val="100"/>
                <w:sz w:val="21"/>
              </w:rPr>
              <w:t>带完全切除不受此时间限制</w:t>
            </w:r>
            <w:r>
              <w:rPr>
                <w:spacing w:val="-106"/>
                <w:w w:val="100"/>
                <w:sz w:val="21"/>
              </w:rPr>
              <w:t>）</w:t>
            </w:r>
            <w:r>
              <w:rPr>
                <w:spacing w:val="-5"/>
                <w:w w:val="100"/>
                <w:sz w:val="21"/>
              </w:rPr>
              <w:t>，仍无法通过现有医疗手段恢复。</w:t>
            </w:r>
            <w:r>
              <w:rPr>
                <w:spacing w:val="-5"/>
                <w:sz w:val="21"/>
              </w:rPr>
              <w:t>精神心理因素所致的语言能力丧失不在保障范围内。</w:t>
            </w:r>
          </w:p>
          <w:p>
            <w:pPr>
              <w:pStyle w:val="TableParagraph"/>
              <w:spacing w:line="273" w:lineRule="auto" w:before="7"/>
              <w:ind w:left="106" w:right="201"/>
              <w:rPr>
                <w:sz w:val="21"/>
              </w:rPr>
            </w:pPr>
            <w:r>
              <w:rPr>
                <w:spacing w:val="-8"/>
                <w:sz w:val="21"/>
              </w:rPr>
              <w:t>被保险人申请理赔时年龄必须在三周岁以上，并且提供理赔当时的语言能力</w:t>
            </w:r>
            <w:r>
              <w:rPr>
                <w:spacing w:val="-6"/>
                <w:sz w:val="21"/>
              </w:rPr>
              <w:t>丧失诊断及检查证据。</w:t>
            </w:r>
          </w:p>
        </w:tc>
      </w:tr>
      <w:tr>
        <w:trPr>
          <w:trHeight w:val="2496" w:hRule="atLeast"/>
        </w:trPr>
        <w:tc>
          <w:tcPr>
            <w:tcW w:w="2000" w:type="dxa"/>
          </w:tcPr>
          <w:p>
            <w:pPr>
              <w:pStyle w:val="TableParagraph"/>
              <w:spacing w:line="273" w:lineRule="auto" w:before="142"/>
              <w:ind w:left="200" w:right="113"/>
              <w:rPr>
                <w:sz w:val="21"/>
              </w:rPr>
            </w:pPr>
            <w:r>
              <w:rPr>
                <w:sz w:val="21"/>
              </w:rPr>
              <w:t>（二十三）重型再生障碍性贫血</w:t>
            </w:r>
          </w:p>
        </w:tc>
        <w:tc>
          <w:tcPr>
            <w:tcW w:w="7164" w:type="dxa"/>
          </w:tcPr>
          <w:p>
            <w:pPr>
              <w:pStyle w:val="TableParagraph"/>
              <w:spacing w:line="273" w:lineRule="auto" w:before="142"/>
              <w:ind w:left="106" w:right="202"/>
              <w:rPr>
                <w:sz w:val="21"/>
              </w:rPr>
            </w:pPr>
            <w:r>
              <w:rPr>
                <w:spacing w:val="-9"/>
                <w:sz w:val="21"/>
              </w:rPr>
              <w:t>指因骨髓造血功能慢性持续性衰竭导致的贫血、中性粒细胞减少及血小板减</w:t>
            </w:r>
            <w:r>
              <w:rPr>
                <w:spacing w:val="-7"/>
                <w:sz w:val="21"/>
              </w:rPr>
              <w:t>少，须满足下列全部条件：</w:t>
            </w:r>
          </w:p>
          <w:p>
            <w:pPr>
              <w:pStyle w:val="TableParagraph"/>
              <w:spacing w:before="7"/>
              <w:ind w:left="106"/>
              <w:rPr>
                <w:sz w:val="21"/>
              </w:rPr>
            </w:pPr>
            <w:r>
              <w:rPr>
                <w:sz w:val="21"/>
              </w:rPr>
              <w:t>（1）骨髓穿刺检查或骨髓活检结果支持诊断；</w:t>
            </w:r>
          </w:p>
          <w:p>
            <w:pPr>
              <w:pStyle w:val="TableParagraph"/>
              <w:ind w:left="106"/>
              <w:rPr>
                <w:sz w:val="21"/>
              </w:rPr>
            </w:pPr>
            <w:r>
              <w:rPr>
                <w:sz w:val="21"/>
              </w:rPr>
              <w:t>（2）外周血象必须具备以下三项条件：</w:t>
            </w:r>
          </w:p>
          <w:p>
            <w:pPr>
              <w:pStyle w:val="TableParagraph"/>
              <w:spacing w:before="36"/>
              <w:ind w:left="106"/>
              <w:rPr>
                <w:sz w:val="21"/>
              </w:rPr>
            </w:pPr>
            <w:r>
              <w:rPr>
                <w:sz w:val="21"/>
              </w:rPr>
              <w:t>①中性粒细胞绝对值≤0.5×10^9/L；</w:t>
            </w:r>
          </w:p>
          <w:p>
            <w:pPr>
              <w:pStyle w:val="TableParagraph"/>
              <w:spacing w:before="36"/>
              <w:ind w:left="106"/>
              <w:rPr>
                <w:sz w:val="21"/>
              </w:rPr>
            </w:pPr>
            <w:r>
              <w:rPr>
                <w:sz w:val="21"/>
              </w:rPr>
              <w:t>②网织红细胞＜1%；</w:t>
            </w:r>
          </w:p>
          <w:p>
            <w:pPr>
              <w:pStyle w:val="TableParagraph"/>
              <w:spacing w:before="36"/>
              <w:ind w:left="106"/>
              <w:rPr>
                <w:sz w:val="21"/>
              </w:rPr>
            </w:pPr>
            <w:r>
              <w:rPr>
                <w:sz w:val="21"/>
              </w:rPr>
              <w:t>③血小板绝对值≤20×10^9/L。</w:t>
            </w:r>
          </w:p>
        </w:tc>
      </w:tr>
      <w:tr>
        <w:trPr>
          <w:trHeight w:val="1552" w:hRule="atLeast"/>
        </w:trPr>
        <w:tc>
          <w:tcPr>
            <w:tcW w:w="2000" w:type="dxa"/>
          </w:tcPr>
          <w:p>
            <w:pPr>
              <w:pStyle w:val="TableParagraph"/>
              <w:spacing w:line="273" w:lineRule="auto" w:before="143"/>
              <w:ind w:left="200" w:right="113"/>
              <w:rPr>
                <w:sz w:val="21"/>
              </w:rPr>
            </w:pPr>
            <w:r>
              <w:rPr>
                <w:sz w:val="21"/>
              </w:rPr>
              <w:t>（二十四）主动脉手术</w:t>
            </w:r>
          </w:p>
        </w:tc>
        <w:tc>
          <w:tcPr>
            <w:tcW w:w="7164" w:type="dxa"/>
          </w:tcPr>
          <w:p>
            <w:pPr>
              <w:pStyle w:val="TableParagraph"/>
              <w:spacing w:line="273" w:lineRule="auto" w:before="143"/>
              <w:ind w:left="106" w:right="197"/>
              <w:jc w:val="both"/>
              <w:rPr>
                <w:sz w:val="21"/>
              </w:rPr>
            </w:pPr>
            <w:r>
              <w:rPr>
                <w:spacing w:val="-7"/>
                <w:sz w:val="21"/>
              </w:rPr>
              <w:t>指为治疗主动脉疾病，实际实施了开胸或开腹进行的切除、置换、修补病损</w:t>
            </w:r>
            <w:r>
              <w:rPr>
                <w:spacing w:val="-12"/>
                <w:sz w:val="21"/>
              </w:rPr>
              <w:t>主动脉血管的手术。主动脉指胸主动脉和腹主动脉，不包括胸主动脉和腹主</w:t>
            </w:r>
            <w:r>
              <w:rPr>
                <w:spacing w:val="-8"/>
                <w:sz w:val="21"/>
              </w:rPr>
              <w:t>动脉的分支血管。</w:t>
            </w:r>
          </w:p>
          <w:p>
            <w:pPr>
              <w:pStyle w:val="TableParagraph"/>
              <w:spacing w:before="8"/>
              <w:ind w:left="106"/>
              <w:jc w:val="both"/>
              <w:rPr>
                <w:sz w:val="21"/>
              </w:rPr>
            </w:pPr>
            <w:r>
              <w:rPr>
                <w:sz w:val="21"/>
              </w:rPr>
              <w:t>动脉内血管成形术不在保障范围内。</w:t>
            </w:r>
          </w:p>
        </w:tc>
      </w:tr>
      <w:tr>
        <w:trPr>
          <w:trHeight w:val="2512" w:hRule="atLeast"/>
        </w:trPr>
        <w:tc>
          <w:tcPr>
            <w:tcW w:w="2000" w:type="dxa"/>
          </w:tcPr>
          <w:p>
            <w:pPr>
              <w:pStyle w:val="TableParagraph"/>
              <w:spacing w:line="256" w:lineRule="auto" w:before="151"/>
              <w:ind w:left="200" w:right="103"/>
              <w:rPr>
                <w:sz w:val="21"/>
              </w:rPr>
            </w:pPr>
            <w:r>
              <w:rPr>
                <w:sz w:val="21"/>
              </w:rPr>
              <w:t>（二十五</w:t>
            </w:r>
            <w:r>
              <w:rPr>
                <w:spacing w:val="-101"/>
                <w:sz w:val="21"/>
              </w:rPr>
              <w:t>）</w:t>
            </w:r>
            <w:r>
              <w:rPr>
                <w:sz w:val="21"/>
              </w:rPr>
              <w:t>严重的</w:t>
            </w:r>
            <w:r>
              <w:rPr>
                <w:rFonts w:ascii="Times New Roman" w:eastAsia="Times New Roman"/>
                <w:sz w:val="21"/>
              </w:rPr>
              <w:t>1 </w:t>
            </w:r>
            <w:r>
              <w:rPr>
                <w:sz w:val="21"/>
              </w:rPr>
              <w:t>型糖尿病</w:t>
            </w:r>
          </w:p>
        </w:tc>
        <w:tc>
          <w:tcPr>
            <w:tcW w:w="7164" w:type="dxa"/>
          </w:tcPr>
          <w:p>
            <w:pPr>
              <w:pStyle w:val="TableParagraph"/>
              <w:spacing w:line="264" w:lineRule="auto" w:before="151"/>
              <w:ind w:left="106" w:right="202"/>
              <w:rPr>
                <w:sz w:val="21"/>
              </w:rPr>
            </w:pPr>
            <w:r>
              <w:rPr>
                <w:rFonts w:ascii="Arial" w:eastAsia="Arial"/>
                <w:sz w:val="21"/>
              </w:rPr>
              <w:t>1</w:t>
            </w:r>
            <w:r>
              <w:rPr>
                <w:spacing w:val="-5"/>
                <w:sz w:val="21"/>
              </w:rPr>
              <w:t>型糖尿病是由于胰岛素分泌绝对不足而引起以血浆葡萄糖水平增高为特征</w:t>
            </w:r>
            <w:r>
              <w:rPr>
                <w:spacing w:val="-11"/>
                <w:sz w:val="21"/>
              </w:rPr>
              <w:t>的代谢内分泌疾病，需持续利用外源性胰岛素治疗。必须经本公司认可的专</w:t>
            </w:r>
            <w:r>
              <w:rPr>
                <w:spacing w:val="-7"/>
                <w:sz w:val="21"/>
              </w:rPr>
              <w:t>科医生明确诊断为</w:t>
            </w:r>
            <w:r>
              <w:rPr>
                <w:rFonts w:ascii="Arial" w:eastAsia="Arial"/>
                <w:sz w:val="21"/>
              </w:rPr>
              <w:t>1 </w:t>
            </w:r>
            <w:r>
              <w:rPr>
                <w:spacing w:val="-5"/>
                <w:sz w:val="21"/>
              </w:rPr>
              <w:t>型糖尿病，而且有血胰岛素测定及血</w:t>
            </w:r>
            <w:r>
              <w:rPr>
                <w:rFonts w:ascii="Arial" w:eastAsia="Arial"/>
                <w:sz w:val="21"/>
              </w:rPr>
              <w:t>C</w:t>
            </w:r>
            <w:r>
              <w:rPr>
                <w:spacing w:val="-2"/>
                <w:sz w:val="21"/>
              </w:rPr>
              <w:t>肽或尿</w:t>
            </w:r>
            <w:r>
              <w:rPr>
                <w:rFonts w:ascii="Arial" w:eastAsia="Arial"/>
                <w:sz w:val="21"/>
              </w:rPr>
              <w:t>C</w:t>
            </w:r>
            <w:r>
              <w:rPr>
                <w:sz w:val="21"/>
              </w:rPr>
              <w:t>肽测定</w:t>
            </w:r>
            <w:r>
              <w:rPr>
                <w:spacing w:val="-4"/>
                <w:sz w:val="21"/>
              </w:rPr>
              <w:t>结果支持诊断，并满足下列至少一个条件：</w:t>
            </w:r>
          </w:p>
          <w:p>
            <w:pPr>
              <w:pStyle w:val="TableParagraph"/>
              <w:spacing w:before="16"/>
              <w:ind w:left="106"/>
              <w:rPr>
                <w:sz w:val="21"/>
              </w:rPr>
            </w:pPr>
            <w:r>
              <w:rPr>
                <w:w w:val="95"/>
                <w:sz w:val="21"/>
              </w:rPr>
              <w:t>（</w:t>
            </w:r>
            <w:r>
              <w:rPr>
                <w:rFonts w:ascii="Arial" w:eastAsia="Arial"/>
                <w:w w:val="95"/>
                <w:sz w:val="21"/>
              </w:rPr>
              <w:t>1</w:t>
            </w:r>
            <w:r>
              <w:rPr>
                <w:w w:val="95"/>
                <w:sz w:val="21"/>
              </w:rPr>
              <w:t>）出现增殖性糖尿病视网膜病变；</w:t>
            </w:r>
          </w:p>
          <w:p>
            <w:pPr>
              <w:pStyle w:val="TableParagraph"/>
              <w:spacing w:before="22"/>
              <w:ind w:left="106"/>
              <w:rPr>
                <w:sz w:val="21"/>
              </w:rPr>
            </w:pPr>
            <w:r>
              <w:rPr>
                <w:w w:val="95"/>
                <w:sz w:val="21"/>
              </w:rPr>
              <w:t>（</w:t>
            </w:r>
            <w:r>
              <w:rPr>
                <w:rFonts w:ascii="Arial" w:eastAsia="Arial"/>
                <w:w w:val="95"/>
                <w:sz w:val="21"/>
              </w:rPr>
              <w:t>2</w:t>
            </w:r>
            <w:r>
              <w:rPr>
                <w:w w:val="95"/>
                <w:sz w:val="21"/>
              </w:rPr>
              <w:t>）糖尿病肾病，且尿蛋白</w:t>
            </w:r>
            <w:r>
              <w:rPr>
                <w:rFonts w:ascii="Arial" w:eastAsia="Arial"/>
                <w:w w:val="95"/>
                <w:sz w:val="21"/>
              </w:rPr>
              <w:t>&gt;0.5g/24h</w:t>
            </w:r>
            <w:r>
              <w:rPr>
                <w:w w:val="95"/>
                <w:sz w:val="21"/>
              </w:rPr>
              <w:t>；</w:t>
            </w:r>
          </w:p>
          <w:p>
            <w:pPr>
              <w:pStyle w:val="TableParagraph"/>
              <w:spacing w:before="22"/>
              <w:ind w:left="106"/>
              <w:rPr>
                <w:sz w:val="21"/>
              </w:rPr>
            </w:pPr>
            <w:r>
              <w:rPr>
                <w:sz w:val="21"/>
              </w:rPr>
              <w:t>（</w:t>
            </w:r>
            <w:r>
              <w:rPr>
                <w:rFonts w:ascii="Arial" w:eastAsia="Arial"/>
                <w:sz w:val="21"/>
              </w:rPr>
              <w:t>3</w:t>
            </w:r>
            <w:r>
              <w:rPr>
                <w:sz w:val="21"/>
              </w:rPr>
              <w:t>）因糖尿病足趾坏疽进行足趾或下肢截断术。</w:t>
            </w:r>
          </w:p>
        </w:tc>
      </w:tr>
      <w:tr>
        <w:trPr>
          <w:trHeight w:val="2181" w:hRule="atLeast"/>
        </w:trPr>
        <w:tc>
          <w:tcPr>
            <w:tcW w:w="2000" w:type="dxa"/>
          </w:tcPr>
          <w:p>
            <w:pPr>
              <w:pStyle w:val="TableParagraph"/>
              <w:spacing w:line="273" w:lineRule="auto" w:before="135"/>
              <w:ind w:left="200" w:right="113"/>
              <w:rPr>
                <w:sz w:val="21"/>
              </w:rPr>
            </w:pPr>
            <w:r>
              <w:rPr>
                <w:sz w:val="21"/>
              </w:rPr>
              <w:t>（二十六）坏死性筋膜炎</w:t>
            </w:r>
          </w:p>
        </w:tc>
        <w:tc>
          <w:tcPr>
            <w:tcW w:w="7164" w:type="dxa"/>
          </w:tcPr>
          <w:p>
            <w:pPr>
              <w:pStyle w:val="TableParagraph"/>
              <w:spacing w:line="273" w:lineRule="auto" w:before="135"/>
              <w:ind w:left="106" w:right="200"/>
              <w:jc w:val="both"/>
              <w:rPr>
                <w:sz w:val="21"/>
              </w:rPr>
            </w:pPr>
            <w:r>
              <w:rPr>
                <w:spacing w:val="-8"/>
                <w:sz w:val="21"/>
              </w:rPr>
              <w:t>是一种由细菌侵入皮下组织和筋膜引起的急性坏死性软组织感染，可伴有毒</w:t>
            </w:r>
            <w:r>
              <w:rPr>
                <w:spacing w:val="-11"/>
                <w:sz w:val="21"/>
              </w:rPr>
              <w:t>血症、败血症、中毒性休克、弥漫性血管内凝血及多器官衰竭。必须满足以</w:t>
            </w:r>
            <w:r>
              <w:rPr>
                <w:spacing w:val="-9"/>
                <w:sz w:val="21"/>
              </w:rPr>
              <w:t>下所有条件：</w:t>
            </w:r>
          </w:p>
          <w:p>
            <w:pPr>
              <w:pStyle w:val="TableParagraph"/>
              <w:spacing w:before="8"/>
              <w:ind w:left="106"/>
              <w:jc w:val="both"/>
              <w:rPr>
                <w:sz w:val="21"/>
              </w:rPr>
            </w:pPr>
            <w:r>
              <w:rPr>
                <w:sz w:val="21"/>
              </w:rPr>
              <w:t>（1）细菌培养和临床表现符合坏死性筋膜炎诊断标准；</w:t>
            </w:r>
          </w:p>
          <w:p>
            <w:pPr>
              <w:pStyle w:val="TableParagraph"/>
              <w:ind w:left="106"/>
              <w:jc w:val="both"/>
              <w:rPr>
                <w:sz w:val="21"/>
              </w:rPr>
            </w:pPr>
            <w:r>
              <w:rPr>
                <w:sz w:val="21"/>
              </w:rPr>
              <w:t>（2）病情迅速恶化，有脓毒血症表现；</w:t>
            </w:r>
          </w:p>
          <w:p>
            <w:pPr>
              <w:pStyle w:val="TableParagraph"/>
              <w:ind w:left="106"/>
              <w:jc w:val="both"/>
              <w:rPr>
                <w:sz w:val="21"/>
              </w:rPr>
            </w:pPr>
            <w:r>
              <w:rPr>
                <w:sz w:val="21"/>
              </w:rPr>
              <w:t>（</w:t>
            </w:r>
            <w:r>
              <w:rPr>
                <w:rFonts w:ascii="Times New Roman" w:eastAsia="Times New Roman"/>
                <w:sz w:val="21"/>
              </w:rPr>
              <w:t>3</w:t>
            </w:r>
            <w:r>
              <w:rPr>
                <w:sz w:val="21"/>
              </w:rPr>
              <w:t>）</w:t>
            </w:r>
            <w:r>
              <w:rPr>
                <w:spacing w:val="-3"/>
                <w:sz w:val="21"/>
              </w:rPr>
              <w:t>受感染肢体被截肢</w:t>
            </w:r>
            <w:r>
              <w:rPr>
                <w:sz w:val="21"/>
              </w:rPr>
              <w:t>（</w:t>
            </w:r>
            <w:r>
              <w:rPr>
                <w:spacing w:val="-4"/>
                <w:sz w:val="21"/>
              </w:rPr>
              <w:t>自腕关节或踝关节近端</w:t>
            </w:r>
            <w:r>
              <w:rPr>
                <w:spacing w:val="-106"/>
                <w:sz w:val="21"/>
              </w:rPr>
              <w:t>）</w:t>
            </w:r>
            <w:r>
              <w:rPr>
                <w:sz w:val="21"/>
              </w:rPr>
              <w:t>。</w:t>
            </w:r>
          </w:p>
        </w:tc>
      </w:tr>
      <w:tr>
        <w:trPr>
          <w:trHeight w:val="2184" w:hRule="atLeast"/>
        </w:trPr>
        <w:tc>
          <w:tcPr>
            <w:tcW w:w="2000" w:type="dxa"/>
          </w:tcPr>
          <w:p>
            <w:pPr>
              <w:pStyle w:val="TableParagraph"/>
              <w:spacing w:line="256" w:lineRule="auto" w:before="138"/>
              <w:ind w:left="200" w:right="185"/>
              <w:rPr>
                <w:sz w:val="21"/>
              </w:rPr>
            </w:pPr>
            <w:r>
              <w:rPr>
                <w:rFonts w:ascii="Times New Roman" w:eastAsia="Times New Roman"/>
                <w:sz w:val="21"/>
              </w:rPr>
              <w:t>(</w:t>
            </w:r>
            <w:r>
              <w:rPr>
                <w:sz w:val="21"/>
              </w:rPr>
              <w:t>二十七</w:t>
            </w:r>
            <w:r>
              <w:rPr>
                <w:rFonts w:ascii="Times New Roman" w:eastAsia="Times New Roman"/>
                <w:sz w:val="21"/>
              </w:rPr>
              <w:t>)</w:t>
            </w:r>
            <w:r>
              <w:rPr>
                <w:sz w:val="21"/>
              </w:rPr>
              <w:t>严重多发性硬化</w:t>
            </w:r>
          </w:p>
        </w:tc>
        <w:tc>
          <w:tcPr>
            <w:tcW w:w="7164" w:type="dxa"/>
          </w:tcPr>
          <w:p>
            <w:pPr>
              <w:pStyle w:val="TableParagraph"/>
              <w:spacing w:line="273" w:lineRule="auto" w:before="138"/>
              <w:ind w:left="106" w:right="202"/>
              <w:rPr>
                <w:sz w:val="21"/>
              </w:rPr>
            </w:pPr>
            <w:r>
              <w:rPr>
                <w:spacing w:val="-9"/>
                <w:sz w:val="21"/>
              </w:rPr>
              <w:t>多发性硬化为中枢神经系统白质多灶性脱髓鞘病变，病变有时累及灰质。多</w:t>
            </w:r>
            <w:r>
              <w:rPr>
                <w:spacing w:val="-12"/>
                <w:sz w:val="21"/>
              </w:rPr>
              <w:t>发性硬化必须明确诊断，并且已经造成永久不可逆的神经系统功能损害。永</w:t>
            </w:r>
            <w:r>
              <w:rPr>
                <w:spacing w:val="-8"/>
                <w:sz w:val="21"/>
              </w:rPr>
              <w:t>久不可逆的神经系统损害指被保险人持续</w:t>
            </w:r>
            <w:r>
              <w:rPr>
                <w:sz w:val="21"/>
              </w:rPr>
              <w:t>180</w:t>
            </w:r>
            <w:r>
              <w:rPr>
                <w:spacing w:val="-1"/>
                <w:sz w:val="21"/>
              </w:rPr>
              <w:t> 天无法独立完成下列基本日</w:t>
            </w:r>
            <w:r>
              <w:rPr>
                <w:spacing w:val="-2"/>
                <w:sz w:val="21"/>
              </w:rPr>
              <w:t>常生活活动：</w:t>
            </w:r>
          </w:p>
          <w:p>
            <w:pPr>
              <w:pStyle w:val="TableParagraph"/>
              <w:spacing w:before="8"/>
              <w:ind w:left="106"/>
              <w:rPr>
                <w:sz w:val="21"/>
              </w:rPr>
            </w:pPr>
            <w:r>
              <w:rPr>
                <w:sz w:val="21"/>
              </w:rPr>
              <w:t>（1）移动：自己从一个房间移动到另一个房间；或者</w:t>
            </w:r>
          </w:p>
          <w:p>
            <w:pPr>
              <w:pStyle w:val="TableParagraph"/>
              <w:ind w:left="106"/>
              <w:rPr>
                <w:sz w:val="21"/>
              </w:rPr>
            </w:pPr>
            <w:r>
              <w:rPr>
                <w:sz w:val="21"/>
              </w:rPr>
              <w:t>（</w:t>
            </w:r>
            <w:r>
              <w:rPr>
                <w:rFonts w:ascii="Times New Roman" w:eastAsia="Times New Roman"/>
                <w:sz w:val="21"/>
              </w:rPr>
              <w:t>2</w:t>
            </w:r>
            <w:r>
              <w:rPr>
                <w:sz w:val="21"/>
              </w:rPr>
              <w:t>）进食：自己从已准备好的碗或碟中取食物放入口中。</w:t>
            </w:r>
          </w:p>
        </w:tc>
      </w:tr>
      <w:tr>
        <w:trPr>
          <w:trHeight w:val="1661" w:hRule="atLeast"/>
        </w:trPr>
        <w:tc>
          <w:tcPr>
            <w:tcW w:w="2000" w:type="dxa"/>
          </w:tcPr>
          <w:p>
            <w:pPr>
              <w:pStyle w:val="TableParagraph"/>
              <w:spacing w:line="256" w:lineRule="auto" w:before="138"/>
              <w:ind w:left="200" w:right="290"/>
              <w:rPr>
                <w:sz w:val="21"/>
              </w:rPr>
            </w:pPr>
            <w:r>
              <w:rPr>
                <w:rFonts w:ascii="Times New Roman" w:eastAsia="Times New Roman"/>
                <w:sz w:val="21"/>
              </w:rPr>
              <w:t>(</w:t>
            </w:r>
            <w:r>
              <w:rPr>
                <w:sz w:val="21"/>
              </w:rPr>
              <w:t>二十八</w:t>
            </w:r>
            <w:r>
              <w:rPr>
                <w:rFonts w:ascii="Times New Roman" w:eastAsia="Times New Roman"/>
                <w:sz w:val="21"/>
              </w:rPr>
              <w:t>) </w:t>
            </w:r>
            <w:r>
              <w:rPr>
                <w:sz w:val="21"/>
              </w:rPr>
              <w:t>脊髓灰质炎</w:t>
            </w:r>
          </w:p>
        </w:tc>
        <w:tc>
          <w:tcPr>
            <w:tcW w:w="7164" w:type="dxa"/>
          </w:tcPr>
          <w:p>
            <w:pPr>
              <w:pStyle w:val="TableParagraph"/>
              <w:spacing w:line="273" w:lineRule="auto" w:before="138"/>
              <w:ind w:left="106" w:right="202"/>
              <w:rPr>
                <w:sz w:val="21"/>
              </w:rPr>
            </w:pPr>
            <w:r>
              <w:rPr>
                <w:spacing w:val="-8"/>
                <w:sz w:val="21"/>
              </w:rPr>
              <w:t>脊髓灰质炎是由于脊髓灰质炎病毒感染所致的瘫痪性疾病，临床表现为运动</w:t>
            </w:r>
            <w:r>
              <w:rPr>
                <w:spacing w:val="-6"/>
                <w:sz w:val="21"/>
              </w:rPr>
              <w:t>功能损害或呼吸无力。脊髓灰质炎必须明确诊断。</w:t>
            </w:r>
          </w:p>
          <w:p>
            <w:pPr>
              <w:pStyle w:val="TableParagraph"/>
              <w:spacing w:line="273" w:lineRule="auto" w:before="7"/>
              <w:ind w:left="106" w:right="124"/>
              <w:rPr>
                <w:sz w:val="21"/>
              </w:rPr>
            </w:pPr>
            <w:r>
              <w:rPr>
                <w:sz w:val="21"/>
              </w:rPr>
              <w:t>本保单仅对脊髓灰质炎造成的神经系统功能损害导致被保险人一肢或一肢以上肢体机能永久完全丧失的情况予以理赔。肢体机能永久完全丧失，指疾</w:t>
            </w:r>
          </w:p>
          <w:p>
            <w:pPr>
              <w:pStyle w:val="TableParagraph"/>
              <w:spacing w:line="255" w:lineRule="exact" w:before="7"/>
              <w:ind w:left="106"/>
              <w:rPr>
                <w:sz w:val="21"/>
              </w:rPr>
            </w:pPr>
            <w:r>
              <w:rPr>
                <w:sz w:val="21"/>
              </w:rPr>
              <w:t>病确诊180 天后，每肢三大关节中的两大关节仍然完全僵硬，或不能随意识</w:t>
            </w:r>
          </w:p>
        </w:tc>
      </w:tr>
    </w:tbl>
    <w:p>
      <w:pPr>
        <w:spacing w:after="0" w:line="255" w:lineRule="exact"/>
        <w:rPr>
          <w:sz w:val="21"/>
        </w:rPr>
        <w:sectPr>
          <w:pgSz w:w="11910" w:h="16840"/>
          <w:pgMar w:header="496" w:footer="995" w:top="800" w:bottom="1180" w:left="960" w:right="840"/>
        </w:sectPr>
      </w:pPr>
    </w:p>
    <w:p>
      <w:pPr>
        <w:pStyle w:val="BodyText"/>
        <w:rPr>
          <w:rFonts w:ascii="Times New Roman"/>
          <w:sz w:val="20"/>
        </w:rPr>
      </w:pPr>
    </w:p>
    <w:p>
      <w:pPr>
        <w:pStyle w:val="BodyText"/>
        <w:spacing w:before="9" w:after="1"/>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73"/>
      </w:tblGrid>
      <w:tr>
        <w:trPr>
          <w:trHeight w:val="414" w:hRule="atLeast"/>
        </w:trPr>
        <w:tc>
          <w:tcPr>
            <w:tcW w:w="1995" w:type="dxa"/>
          </w:tcPr>
          <w:p>
            <w:pPr>
              <w:pStyle w:val="TableParagraph"/>
              <w:spacing w:before="0"/>
              <w:ind w:left="0"/>
              <w:rPr>
                <w:rFonts w:ascii="Times New Roman"/>
                <w:sz w:val="20"/>
              </w:rPr>
            </w:pPr>
          </w:p>
        </w:tc>
        <w:tc>
          <w:tcPr>
            <w:tcW w:w="7273" w:type="dxa"/>
          </w:tcPr>
          <w:p>
            <w:pPr>
              <w:pStyle w:val="TableParagraph"/>
              <w:spacing w:line="211" w:lineRule="exact" w:before="0"/>
              <w:rPr>
                <w:sz w:val="21"/>
              </w:rPr>
            </w:pPr>
            <w:r>
              <w:rPr>
                <w:sz w:val="21"/>
              </w:rPr>
              <w:t>活动。</w:t>
            </w:r>
          </w:p>
        </w:tc>
      </w:tr>
      <w:tr>
        <w:trPr>
          <w:trHeight w:val="2184"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二十九</w:t>
            </w:r>
            <w:r>
              <w:rPr>
                <w:rFonts w:ascii="Times New Roman" w:eastAsia="Times New Roman"/>
                <w:sz w:val="21"/>
              </w:rPr>
              <w:t>) </w:t>
            </w:r>
            <w:r>
              <w:rPr>
                <w:sz w:val="21"/>
              </w:rPr>
              <w:t>全身性重症肌无力</w:t>
            </w:r>
          </w:p>
        </w:tc>
        <w:tc>
          <w:tcPr>
            <w:tcW w:w="7273" w:type="dxa"/>
          </w:tcPr>
          <w:p>
            <w:pPr>
              <w:pStyle w:val="TableParagraph"/>
              <w:spacing w:line="273" w:lineRule="auto" w:before="146"/>
              <w:ind w:right="304"/>
              <w:jc w:val="both"/>
              <w:rPr>
                <w:sz w:val="21"/>
              </w:rPr>
            </w:pPr>
            <w:r>
              <w:rPr>
                <w:spacing w:val="-8"/>
                <w:sz w:val="21"/>
              </w:rPr>
              <w:t>重症肌无力是一种神经肌肉接头传递障碍所致的疾病，表现为局部或全身骨</w:t>
            </w:r>
            <w:r>
              <w:rPr>
                <w:spacing w:val="-14"/>
                <w:sz w:val="21"/>
              </w:rPr>
              <w:t>骼肌</w:t>
            </w:r>
            <w:r>
              <w:rPr>
                <w:sz w:val="21"/>
              </w:rPr>
              <w:t>（</w:t>
            </w:r>
            <w:r>
              <w:rPr>
                <w:spacing w:val="-3"/>
                <w:sz w:val="21"/>
              </w:rPr>
              <w:t>特别是眼外肌</w:t>
            </w:r>
            <w:r>
              <w:rPr>
                <w:spacing w:val="-20"/>
                <w:sz w:val="21"/>
              </w:rPr>
              <w:t>）</w:t>
            </w:r>
            <w:r>
              <w:rPr>
                <w:spacing w:val="-7"/>
                <w:sz w:val="21"/>
              </w:rPr>
              <w:t>极易疲劳。疾病可以累及呼吸肌、上肢或下肢的近端</w:t>
            </w:r>
            <w:r>
              <w:rPr>
                <w:spacing w:val="-6"/>
                <w:sz w:val="21"/>
              </w:rPr>
              <w:t>肌群或全身肌肉，必须满足下列全部条件：</w:t>
            </w:r>
          </w:p>
          <w:p>
            <w:pPr>
              <w:pStyle w:val="TableParagraph"/>
              <w:spacing w:before="8"/>
              <w:rPr>
                <w:sz w:val="21"/>
              </w:rPr>
            </w:pPr>
            <w:r>
              <w:rPr>
                <w:sz w:val="21"/>
              </w:rPr>
              <w:t>（1）经药物治疗和胸腺切除治疗一年以上仍无法控制病情；</w:t>
            </w:r>
          </w:p>
          <w:p>
            <w:pPr>
              <w:pStyle w:val="TableParagraph"/>
              <w:spacing w:line="273" w:lineRule="auto"/>
              <w:ind w:right="334"/>
              <w:jc w:val="both"/>
              <w:rPr>
                <w:sz w:val="21"/>
              </w:rPr>
            </w:pPr>
            <w:r>
              <w:rPr>
                <w:sz w:val="21"/>
              </w:rPr>
              <w:t>（2）自主生活能力完全丧失，无法独立完成六项基本日常生活活动中的三项或三项以上。</w:t>
            </w:r>
          </w:p>
        </w:tc>
      </w:tr>
      <w:tr>
        <w:trPr>
          <w:trHeight w:val="2808"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三十</w:t>
            </w:r>
            <w:r>
              <w:rPr>
                <w:rFonts w:ascii="Times New Roman" w:eastAsia="Times New Roman"/>
                <w:sz w:val="21"/>
              </w:rPr>
              <w:t>) </w:t>
            </w:r>
            <w:r>
              <w:rPr>
                <w:sz w:val="21"/>
              </w:rPr>
              <w:t>严重心肌病</w:t>
            </w:r>
          </w:p>
        </w:tc>
        <w:tc>
          <w:tcPr>
            <w:tcW w:w="7273" w:type="dxa"/>
          </w:tcPr>
          <w:p>
            <w:pPr>
              <w:pStyle w:val="TableParagraph"/>
              <w:spacing w:line="273" w:lineRule="auto" w:before="146"/>
              <w:ind w:right="303"/>
              <w:jc w:val="both"/>
              <w:rPr>
                <w:sz w:val="21"/>
              </w:rPr>
            </w:pPr>
            <w:r>
              <w:rPr>
                <w:spacing w:val="-8"/>
                <w:sz w:val="21"/>
              </w:rPr>
              <w:t>指不明原因引起的一类心肌病变，包括原发性扩张型心肌病、原发性肥厚型</w:t>
            </w:r>
            <w:r>
              <w:rPr>
                <w:spacing w:val="-11"/>
                <w:sz w:val="21"/>
              </w:rPr>
              <w:t>心肌病及原发性限制型心肌病三种，病变必须已造成事实上心室功能障碍而</w:t>
            </w:r>
            <w:r>
              <w:rPr>
                <w:spacing w:val="-14"/>
                <w:sz w:val="21"/>
              </w:rPr>
              <w:t>出现明显的心功能衰竭</w:t>
            </w:r>
            <w:r>
              <w:rPr>
                <w:sz w:val="21"/>
              </w:rPr>
              <w:t>（</w:t>
            </w:r>
            <w:r>
              <w:rPr>
                <w:spacing w:val="-5"/>
                <w:sz w:val="21"/>
              </w:rPr>
              <w:t>指按照美国纽约心脏病学会提出的心功能状态分级</w:t>
            </w:r>
            <w:r>
              <w:rPr>
                <w:spacing w:val="-12"/>
                <w:sz w:val="21"/>
              </w:rPr>
              <w:t>的标准判定，心功能状态已达Ⅳ级，表现为永久不可逆性的体力活动能力受</w:t>
            </w:r>
            <w:r>
              <w:rPr>
                <w:spacing w:val="-9"/>
                <w:sz w:val="21"/>
              </w:rPr>
              <w:t>限，不能从事任何体力活动。</w:t>
            </w:r>
            <w:r>
              <w:rPr>
                <w:spacing w:val="-20"/>
                <w:sz w:val="21"/>
              </w:rPr>
              <w:t>），</w:t>
            </w:r>
            <w:r>
              <w:rPr>
                <w:spacing w:val="-5"/>
                <w:sz w:val="21"/>
              </w:rPr>
              <w:t>且有相关住院医疗记录显示Ⅳ级心功能衰竭状态已持续至少</w:t>
            </w:r>
            <w:r>
              <w:rPr>
                <w:sz w:val="21"/>
              </w:rPr>
              <w:t>3</w:t>
            </w:r>
            <w:r>
              <w:rPr>
                <w:spacing w:val="0"/>
                <w:sz w:val="21"/>
              </w:rPr>
              <w:t> 个月。</w:t>
            </w:r>
          </w:p>
          <w:p>
            <w:pPr>
              <w:pStyle w:val="TableParagraph"/>
              <w:spacing w:line="273" w:lineRule="auto" w:before="7"/>
              <w:ind w:right="306"/>
              <w:jc w:val="both"/>
              <w:rPr>
                <w:sz w:val="21"/>
              </w:rPr>
            </w:pPr>
            <w:r>
              <w:rPr>
                <w:spacing w:val="-9"/>
                <w:sz w:val="21"/>
              </w:rPr>
              <w:t>本病须经专科医生明确诊断。继发于全身性疾病或其它器官系统疾病造成的</w:t>
            </w:r>
            <w:r>
              <w:rPr>
                <w:spacing w:val="-7"/>
                <w:sz w:val="21"/>
              </w:rPr>
              <w:t>心肌病变不在保障范围内。</w:t>
            </w:r>
          </w:p>
        </w:tc>
      </w:tr>
      <w:tr>
        <w:trPr>
          <w:trHeight w:val="4681" w:hRule="atLeast"/>
        </w:trPr>
        <w:tc>
          <w:tcPr>
            <w:tcW w:w="1995" w:type="dxa"/>
          </w:tcPr>
          <w:p>
            <w:pPr>
              <w:pStyle w:val="TableParagraph"/>
              <w:spacing w:line="256" w:lineRule="auto" w:before="146"/>
              <w:ind w:left="200" w:right="247"/>
              <w:jc w:val="both"/>
              <w:rPr>
                <w:sz w:val="21"/>
              </w:rPr>
            </w:pPr>
            <w:r>
              <w:rPr>
                <w:rFonts w:ascii="Times New Roman" w:hAnsi="Times New Roman" w:eastAsia="Times New Roman"/>
                <w:sz w:val="21"/>
              </w:rPr>
              <w:t>(</w:t>
            </w:r>
            <w:r>
              <w:rPr>
                <w:sz w:val="21"/>
              </w:rPr>
              <w:t>三十一</w:t>
            </w:r>
            <w:r>
              <w:rPr>
                <w:rFonts w:ascii="Times New Roman" w:hAnsi="Times New Roman" w:eastAsia="Times New Roman"/>
                <w:sz w:val="21"/>
              </w:rPr>
              <w:t>) </w:t>
            </w:r>
            <w:r>
              <w:rPr>
                <w:sz w:val="21"/>
              </w:rPr>
              <w:t>系统性红斑狼疮</w:t>
            </w:r>
            <w:r>
              <w:rPr>
                <w:rFonts w:ascii="Times New Roman" w:hAnsi="Times New Roman" w:eastAsia="Times New Roman"/>
                <w:sz w:val="21"/>
              </w:rPr>
              <w:t>-</w:t>
            </w:r>
            <w:r>
              <w:rPr>
                <w:sz w:val="21"/>
              </w:rPr>
              <w:t>Ⅲ型或以上狼疮性肾炎</w:t>
            </w:r>
          </w:p>
        </w:tc>
        <w:tc>
          <w:tcPr>
            <w:tcW w:w="7273" w:type="dxa"/>
          </w:tcPr>
          <w:p>
            <w:pPr>
              <w:pStyle w:val="TableParagraph"/>
              <w:spacing w:line="273" w:lineRule="auto" w:before="146"/>
              <w:ind w:right="196"/>
              <w:rPr>
                <w:sz w:val="21"/>
              </w:rPr>
            </w:pPr>
            <w:r>
              <w:rPr>
                <w:spacing w:val="-5"/>
                <w:sz w:val="21"/>
              </w:rPr>
              <w:t>系统性红斑狼疮是指由于自身抗体和免疫复合物的沉积破坏了血管和细胞 </w:t>
            </w:r>
            <w:r>
              <w:rPr>
                <w:spacing w:val="-9"/>
                <w:sz w:val="21"/>
              </w:rPr>
              <w:t>而导致的累及多系统损害的一种自体免疫性疾病。本保障仅限于被保险人因</w:t>
            </w:r>
            <w:r>
              <w:rPr>
                <w:spacing w:val="-11"/>
                <w:sz w:val="21"/>
              </w:rPr>
              <w:t>系统性红斑狼疮并发狼疮性肾炎并引起肾功能损害，且肾脏病理诊断符合以</w:t>
            </w:r>
            <w:r>
              <w:rPr>
                <w:spacing w:val="-14"/>
                <w:sz w:val="21"/>
              </w:rPr>
              <w:t>下列明的世界卫生组织</w:t>
            </w:r>
            <w:r>
              <w:rPr>
                <w:spacing w:val="-17"/>
                <w:sz w:val="21"/>
              </w:rPr>
              <w:t>（WHO）</w:t>
            </w:r>
            <w:r>
              <w:rPr>
                <w:spacing w:val="-5"/>
                <w:sz w:val="21"/>
              </w:rPr>
              <w:t>对狼疮性肾炎所分类中的第</w:t>
            </w:r>
            <w:r>
              <w:rPr>
                <w:sz w:val="21"/>
              </w:rPr>
              <w:t>III</w:t>
            </w:r>
            <w:r>
              <w:rPr>
                <w:spacing w:val="-77"/>
                <w:sz w:val="21"/>
              </w:rPr>
              <w:t>、</w:t>
            </w:r>
            <w:r>
              <w:rPr>
                <w:sz w:val="21"/>
              </w:rPr>
              <w:t>IV</w:t>
            </w:r>
            <w:r>
              <w:rPr>
                <w:spacing w:val="-82"/>
                <w:sz w:val="21"/>
              </w:rPr>
              <w:t>、</w:t>
            </w:r>
            <w:r>
              <w:rPr>
                <w:sz w:val="21"/>
              </w:rPr>
              <w:t>V</w:t>
            </w:r>
            <w:r>
              <w:rPr>
                <w:spacing w:val="-77"/>
                <w:sz w:val="21"/>
              </w:rPr>
              <w:t>、</w:t>
            </w:r>
            <w:r>
              <w:rPr>
                <w:sz w:val="21"/>
              </w:rPr>
              <w:t>VI</w:t>
            </w:r>
            <w:r>
              <w:rPr>
                <w:spacing w:val="10"/>
                <w:sz w:val="21"/>
              </w:rPr>
              <w:t> 型。</w:t>
            </w:r>
            <w:r>
              <w:rPr>
                <w:spacing w:val="-2"/>
                <w:sz w:val="21"/>
              </w:rPr>
              <w:t>诊断须由有资格的风湿和免疫病专科医生确认。</w:t>
            </w:r>
          </w:p>
          <w:p>
            <w:pPr>
              <w:pStyle w:val="TableParagraph"/>
              <w:spacing w:before="8"/>
              <w:rPr>
                <w:sz w:val="21"/>
              </w:rPr>
            </w:pPr>
            <w:r>
              <w:rPr>
                <w:sz w:val="21"/>
              </w:rPr>
              <w:t>世界卫生组织（WHO）对狼疮性肾炎的分类标准：</w:t>
            </w:r>
          </w:p>
          <w:p>
            <w:pPr>
              <w:pStyle w:val="TableParagraph"/>
              <w:numPr>
                <w:ilvl w:val="0"/>
                <w:numId w:val="7"/>
              </w:numPr>
              <w:tabs>
                <w:tab w:pos="323" w:val="left" w:leader="none"/>
              </w:tabs>
              <w:spacing w:line="240" w:lineRule="auto" w:before="37" w:after="0"/>
              <w:ind w:left="322" w:right="0" w:hanging="211"/>
              <w:jc w:val="left"/>
              <w:rPr>
                <w:sz w:val="21"/>
              </w:rPr>
            </w:pPr>
            <w:r>
              <w:rPr>
                <w:spacing w:val="-3"/>
                <w:sz w:val="21"/>
              </w:rPr>
              <w:t>型–正常肾小球型；</w:t>
            </w:r>
          </w:p>
          <w:p>
            <w:pPr>
              <w:pStyle w:val="TableParagraph"/>
              <w:numPr>
                <w:ilvl w:val="0"/>
                <w:numId w:val="7"/>
              </w:numPr>
              <w:tabs>
                <w:tab w:pos="428" w:val="left" w:leader="none"/>
              </w:tabs>
              <w:spacing w:line="240" w:lineRule="auto" w:before="37" w:after="0"/>
              <w:ind w:left="427" w:right="0" w:hanging="316"/>
              <w:jc w:val="left"/>
              <w:rPr>
                <w:sz w:val="21"/>
              </w:rPr>
            </w:pPr>
            <w:r>
              <w:rPr>
                <w:spacing w:val="-2"/>
                <w:sz w:val="21"/>
              </w:rPr>
              <w:t>型–系膜增生型；</w:t>
            </w:r>
          </w:p>
          <w:p>
            <w:pPr>
              <w:pStyle w:val="TableParagraph"/>
              <w:numPr>
                <w:ilvl w:val="0"/>
                <w:numId w:val="7"/>
              </w:numPr>
              <w:tabs>
                <w:tab w:pos="535" w:val="left" w:leader="none"/>
              </w:tabs>
              <w:spacing w:line="240" w:lineRule="auto" w:before="37" w:after="0"/>
              <w:ind w:left="534" w:right="0" w:hanging="423"/>
              <w:jc w:val="left"/>
              <w:rPr>
                <w:sz w:val="21"/>
              </w:rPr>
            </w:pPr>
            <w:r>
              <w:rPr>
                <w:spacing w:val="-3"/>
                <w:sz w:val="21"/>
              </w:rPr>
              <w:t>型–局灶及节段增生型；</w:t>
            </w:r>
          </w:p>
          <w:p>
            <w:pPr>
              <w:pStyle w:val="TableParagraph"/>
              <w:numPr>
                <w:ilvl w:val="0"/>
                <w:numId w:val="7"/>
              </w:numPr>
              <w:tabs>
                <w:tab w:pos="428" w:val="left" w:leader="none"/>
              </w:tabs>
              <w:spacing w:line="240" w:lineRule="auto" w:before="37" w:after="0"/>
              <w:ind w:left="427" w:right="0" w:hanging="316"/>
              <w:jc w:val="left"/>
              <w:rPr>
                <w:sz w:val="21"/>
              </w:rPr>
            </w:pPr>
            <w:r>
              <w:rPr>
                <w:spacing w:val="-2"/>
                <w:sz w:val="21"/>
              </w:rPr>
              <w:t>型–弥漫增生型；</w:t>
            </w:r>
          </w:p>
          <w:p>
            <w:pPr>
              <w:pStyle w:val="TableParagraph"/>
              <w:numPr>
                <w:ilvl w:val="0"/>
                <w:numId w:val="7"/>
              </w:numPr>
              <w:tabs>
                <w:tab w:pos="323" w:val="left" w:leader="none"/>
              </w:tabs>
              <w:spacing w:line="240" w:lineRule="auto" w:before="37" w:after="0"/>
              <w:ind w:left="322" w:right="0" w:hanging="211"/>
              <w:jc w:val="left"/>
              <w:rPr>
                <w:sz w:val="21"/>
              </w:rPr>
            </w:pPr>
            <w:r>
              <w:rPr>
                <w:spacing w:val="-2"/>
                <w:sz w:val="21"/>
              </w:rPr>
              <w:t>型–膜型；</w:t>
            </w:r>
          </w:p>
          <w:p>
            <w:pPr>
              <w:pStyle w:val="TableParagraph"/>
              <w:numPr>
                <w:ilvl w:val="0"/>
                <w:numId w:val="7"/>
              </w:numPr>
              <w:tabs>
                <w:tab w:pos="428" w:val="left" w:leader="none"/>
              </w:tabs>
              <w:spacing w:line="240" w:lineRule="auto" w:before="37" w:after="0"/>
              <w:ind w:left="427" w:right="0" w:hanging="316"/>
              <w:jc w:val="left"/>
              <w:rPr>
                <w:sz w:val="21"/>
              </w:rPr>
            </w:pPr>
            <w:r>
              <w:rPr>
                <w:spacing w:val="-3"/>
                <w:sz w:val="21"/>
              </w:rPr>
              <w:t>型–肾小球硬化型。</w:t>
            </w:r>
          </w:p>
          <w:p>
            <w:pPr>
              <w:pStyle w:val="TableParagraph"/>
              <w:spacing w:line="273" w:lineRule="auto"/>
              <w:ind w:right="306"/>
              <w:rPr>
                <w:sz w:val="21"/>
              </w:rPr>
            </w:pPr>
            <w:r>
              <w:rPr>
                <w:spacing w:val="-8"/>
                <w:sz w:val="21"/>
              </w:rPr>
              <w:t>其他类型的红斑性狼疮，如盘状狼疮、仅累及血液及关节的狼疮不在本保单</w:t>
            </w:r>
            <w:r>
              <w:rPr>
                <w:spacing w:val="-7"/>
                <w:sz w:val="21"/>
              </w:rPr>
              <w:t>保障范围內。</w:t>
            </w:r>
          </w:p>
        </w:tc>
      </w:tr>
      <w:tr>
        <w:trPr>
          <w:trHeight w:val="4166" w:hRule="atLeast"/>
        </w:trPr>
        <w:tc>
          <w:tcPr>
            <w:tcW w:w="1995" w:type="dxa"/>
          </w:tcPr>
          <w:p>
            <w:pPr>
              <w:pStyle w:val="TableParagraph"/>
              <w:spacing w:line="261" w:lineRule="auto" w:before="146"/>
              <w:ind w:left="200" w:right="108"/>
              <w:rPr>
                <w:sz w:val="21"/>
              </w:rPr>
            </w:pPr>
            <w:r>
              <w:rPr>
                <w:rFonts w:ascii="Times New Roman" w:eastAsia="Times New Roman"/>
                <w:sz w:val="21"/>
              </w:rPr>
              <w:t>(</w:t>
            </w:r>
            <w:r>
              <w:rPr>
                <w:sz w:val="21"/>
              </w:rPr>
              <w:t>三十二</w:t>
            </w:r>
            <w:r>
              <w:rPr>
                <w:rFonts w:ascii="Times New Roman" w:eastAsia="Times New Roman"/>
                <w:sz w:val="21"/>
              </w:rPr>
              <w:t>)</w:t>
            </w:r>
            <w:r>
              <w:rPr>
                <w:sz w:val="21"/>
              </w:rPr>
              <w:t>因职业关系导致的人类免疫缺陷病毒（</w:t>
            </w:r>
            <w:r>
              <w:rPr>
                <w:rFonts w:ascii="Times New Roman" w:eastAsia="Times New Roman"/>
                <w:sz w:val="21"/>
              </w:rPr>
              <w:t>HIV</w:t>
            </w:r>
            <w:r>
              <w:rPr>
                <w:sz w:val="21"/>
              </w:rPr>
              <w:t>） 感染</w:t>
            </w:r>
          </w:p>
        </w:tc>
        <w:tc>
          <w:tcPr>
            <w:tcW w:w="7273" w:type="dxa"/>
          </w:tcPr>
          <w:p>
            <w:pPr>
              <w:pStyle w:val="TableParagraph"/>
              <w:spacing w:line="273" w:lineRule="auto" w:before="146"/>
              <w:ind w:right="305"/>
              <w:rPr>
                <w:sz w:val="21"/>
              </w:rPr>
            </w:pPr>
            <w:r>
              <w:rPr>
                <w:spacing w:val="-8"/>
                <w:sz w:val="21"/>
              </w:rPr>
              <w:t>被保险人在其常规职业工作过程中遭遇外伤，或者职业需要处理血液或者其</w:t>
            </w:r>
            <w:r>
              <w:rPr>
                <w:spacing w:val="-4"/>
                <w:sz w:val="21"/>
              </w:rPr>
              <w:t>他体液时感染上人类免疫缺陷病毒</w:t>
            </w:r>
            <w:r>
              <w:rPr>
                <w:sz w:val="21"/>
              </w:rPr>
              <w:t>（HIV）。</w:t>
            </w:r>
          </w:p>
          <w:p>
            <w:pPr>
              <w:pStyle w:val="TableParagraph"/>
              <w:spacing w:before="8"/>
              <w:rPr>
                <w:sz w:val="21"/>
              </w:rPr>
            </w:pPr>
            <w:r>
              <w:rPr>
                <w:sz w:val="21"/>
              </w:rPr>
              <w:t>必须满足下列全部条件：</w:t>
            </w:r>
          </w:p>
          <w:p>
            <w:pPr>
              <w:pStyle w:val="TableParagraph"/>
              <w:spacing w:line="273" w:lineRule="auto"/>
              <w:ind w:right="334"/>
              <w:rPr>
                <w:sz w:val="21"/>
              </w:rPr>
            </w:pPr>
            <w:r>
              <w:rPr>
                <w:sz w:val="21"/>
              </w:rPr>
              <w:t>（1）感染必须是在被保险人正在从事其职业工作中发生，该职业必须属于以下列表内的职业；</w:t>
            </w:r>
          </w:p>
          <w:p>
            <w:pPr>
              <w:pStyle w:val="TableParagraph"/>
              <w:spacing w:before="8"/>
              <w:rPr>
                <w:sz w:val="21"/>
              </w:rPr>
            </w:pPr>
            <w:r>
              <w:rPr>
                <w:sz w:val="21"/>
              </w:rPr>
              <w:t>（2）血清转化必须出现在事故发生后的6 个月以内；</w:t>
            </w:r>
          </w:p>
          <w:p>
            <w:pPr>
              <w:pStyle w:val="TableParagraph"/>
              <w:spacing w:line="273" w:lineRule="auto"/>
              <w:ind w:right="332"/>
              <w:rPr>
                <w:sz w:val="21"/>
              </w:rPr>
            </w:pPr>
            <w:r>
              <w:rPr>
                <w:sz w:val="21"/>
              </w:rPr>
              <w:t>（3）必须提供被保险人在所报事故发生后的5 天以内进行的检查报告，该报告必须显示被保险人血液HIV 病毒阴性和/或HIV 抗体阴性；</w:t>
            </w:r>
          </w:p>
          <w:p>
            <w:pPr>
              <w:pStyle w:val="TableParagraph"/>
              <w:spacing w:before="7"/>
              <w:rPr>
                <w:sz w:val="21"/>
              </w:rPr>
            </w:pPr>
            <w:r>
              <w:rPr>
                <w:sz w:val="21"/>
              </w:rPr>
              <w:t>（4）必须在事故发生后的12 个月内证实被保险人体内存在HIV 病毒或者</w:t>
            </w:r>
          </w:p>
          <w:p>
            <w:pPr>
              <w:pStyle w:val="TableParagraph"/>
              <w:spacing w:before="36"/>
              <w:rPr>
                <w:sz w:val="21"/>
              </w:rPr>
            </w:pPr>
            <w:r>
              <w:rPr>
                <w:sz w:val="21"/>
              </w:rPr>
              <w:t>HIV 抗体。</w:t>
            </w:r>
          </w:p>
          <w:p>
            <w:pPr>
              <w:pStyle w:val="TableParagraph"/>
              <w:spacing w:line="273" w:lineRule="auto" w:before="36"/>
              <w:ind w:right="5157"/>
              <w:rPr>
                <w:sz w:val="21"/>
              </w:rPr>
            </w:pPr>
            <w:r>
              <w:rPr>
                <w:spacing w:val="-1"/>
                <w:sz w:val="21"/>
              </w:rPr>
              <w:t>职业限制如下所示: 医生和牙科医生 护士</w:t>
            </w:r>
          </w:p>
          <w:p>
            <w:pPr>
              <w:pStyle w:val="TableParagraph"/>
              <w:spacing w:line="255" w:lineRule="exact" w:before="8"/>
              <w:rPr>
                <w:sz w:val="21"/>
              </w:rPr>
            </w:pPr>
            <w:r>
              <w:rPr>
                <w:sz w:val="21"/>
              </w:rPr>
              <w:t>医院化验室工作人员 医院护工</w:t>
            </w:r>
          </w:p>
        </w:tc>
      </w:tr>
    </w:tbl>
    <w:p>
      <w:pPr>
        <w:spacing w:after="0" w:line="255" w:lineRule="exact"/>
        <w:rPr>
          <w:sz w:val="21"/>
        </w:rPr>
        <w:sectPr>
          <w:pgSz w:w="11910" w:h="16840"/>
          <w:pgMar w:header="496" w:footer="995" w:top="800" w:bottom="1180" w:left="960" w:right="740"/>
        </w:sectPr>
      </w:pPr>
    </w:p>
    <w:p>
      <w:pPr>
        <w:pStyle w:val="BodyText"/>
        <w:rPr>
          <w:rFonts w:ascii="Times New Roman"/>
          <w:sz w:val="20"/>
        </w:rPr>
      </w:pPr>
    </w:p>
    <w:p>
      <w:pPr>
        <w:pStyle w:val="BodyText"/>
        <w:spacing w:before="9" w:after="1"/>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75"/>
      </w:tblGrid>
      <w:tr>
        <w:trPr>
          <w:trHeight w:val="1038" w:hRule="atLeast"/>
        </w:trPr>
        <w:tc>
          <w:tcPr>
            <w:tcW w:w="1995" w:type="dxa"/>
          </w:tcPr>
          <w:p>
            <w:pPr>
              <w:pStyle w:val="TableParagraph"/>
              <w:spacing w:before="0"/>
              <w:ind w:left="0"/>
              <w:rPr>
                <w:rFonts w:ascii="Times New Roman"/>
                <w:sz w:val="20"/>
              </w:rPr>
            </w:pPr>
          </w:p>
        </w:tc>
        <w:tc>
          <w:tcPr>
            <w:tcW w:w="7275" w:type="dxa"/>
          </w:tcPr>
          <w:p>
            <w:pPr>
              <w:pStyle w:val="TableParagraph"/>
              <w:spacing w:line="211" w:lineRule="exact" w:before="0"/>
              <w:rPr>
                <w:sz w:val="21"/>
              </w:rPr>
            </w:pPr>
            <w:r>
              <w:rPr>
                <w:sz w:val="21"/>
              </w:rPr>
              <w:t>医生助理和牙医助理 救护车工作人员</w:t>
            </w:r>
          </w:p>
          <w:p>
            <w:pPr>
              <w:pStyle w:val="TableParagraph"/>
              <w:spacing w:line="273" w:lineRule="auto"/>
              <w:ind w:right="5582"/>
              <w:rPr>
                <w:sz w:val="21"/>
              </w:rPr>
            </w:pPr>
            <w:r>
              <w:rPr>
                <w:sz w:val="21"/>
              </w:rPr>
              <w:t>助产士 消防队员警察 狱警</w:t>
            </w:r>
          </w:p>
        </w:tc>
      </w:tr>
      <w:tr>
        <w:trPr>
          <w:trHeight w:val="3432" w:hRule="atLeast"/>
        </w:trPr>
        <w:tc>
          <w:tcPr>
            <w:tcW w:w="1995" w:type="dxa"/>
          </w:tcPr>
          <w:p>
            <w:pPr>
              <w:pStyle w:val="TableParagraph"/>
              <w:spacing w:line="261" w:lineRule="auto" w:before="146"/>
              <w:ind w:left="200" w:right="108"/>
              <w:rPr>
                <w:sz w:val="21"/>
              </w:rPr>
            </w:pPr>
            <w:r>
              <w:rPr>
                <w:rFonts w:ascii="Times New Roman" w:eastAsia="Times New Roman"/>
                <w:sz w:val="21"/>
              </w:rPr>
              <w:t>(</w:t>
            </w:r>
            <w:r>
              <w:rPr>
                <w:sz w:val="21"/>
              </w:rPr>
              <w:t>三十三</w:t>
            </w:r>
            <w:r>
              <w:rPr>
                <w:rFonts w:ascii="Times New Roman" w:eastAsia="Times New Roman"/>
                <w:sz w:val="21"/>
              </w:rPr>
              <w:t>)  </w:t>
            </w:r>
            <w:r>
              <w:rPr>
                <w:sz w:val="21"/>
              </w:rPr>
              <w:t>经输血导致的人类免疫缺陷病毒（</w:t>
            </w:r>
            <w:r>
              <w:rPr>
                <w:rFonts w:ascii="Times New Roman" w:eastAsia="Times New Roman"/>
                <w:sz w:val="21"/>
              </w:rPr>
              <w:t>HIV</w:t>
            </w:r>
            <w:r>
              <w:rPr>
                <w:sz w:val="21"/>
              </w:rPr>
              <w:t>）感染</w:t>
            </w:r>
          </w:p>
        </w:tc>
        <w:tc>
          <w:tcPr>
            <w:tcW w:w="7275" w:type="dxa"/>
          </w:tcPr>
          <w:p>
            <w:pPr>
              <w:pStyle w:val="TableParagraph"/>
              <w:spacing w:before="146"/>
              <w:rPr>
                <w:sz w:val="21"/>
              </w:rPr>
            </w:pPr>
            <w:r>
              <w:rPr>
                <w:sz w:val="21"/>
              </w:rPr>
              <w:t>被保险人感染上人类免疫缺陷病毒（HIV）并且满足下列全部条件：</w:t>
            </w:r>
          </w:p>
          <w:p>
            <w:pPr>
              <w:pStyle w:val="TableParagraph"/>
              <w:rPr>
                <w:sz w:val="21"/>
              </w:rPr>
            </w:pPr>
            <w:r>
              <w:rPr>
                <w:sz w:val="21"/>
              </w:rPr>
              <w:t>（1）在保障起始日或复效日之后，被保险人因输血而感染HIV；</w:t>
            </w:r>
          </w:p>
          <w:p>
            <w:pPr>
              <w:pStyle w:val="TableParagraph"/>
              <w:spacing w:line="273" w:lineRule="auto"/>
              <w:ind w:right="336"/>
              <w:rPr>
                <w:sz w:val="21"/>
              </w:rPr>
            </w:pPr>
            <w:r>
              <w:rPr>
                <w:sz w:val="21"/>
              </w:rPr>
              <w:t>（2）提供输血治疗的输血中心或医院出具该项输血感染属医疗责任事故的报告，或者法院终审裁定为医疗责任并且不准上诉；</w:t>
            </w:r>
          </w:p>
          <w:p>
            <w:pPr>
              <w:pStyle w:val="TableParagraph"/>
              <w:spacing w:before="7"/>
              <w:rPr>
                <w:sz w:val="21"/>
              </w:rPr>
            </w:pPr>
            <w:r>
              <w:rPr>
                <w:sz w:val="21"/>
              </w:rPr>
              <w:t>（3）受感染的被保险人不是血友病患者。</w:t>
            </w:r>
          </w:p>
          <w:p>
            <w:pPr>
              <w:pStyle w:val="TableParagraph"/>
              <w:spacing w:line="273" w:lineRule="auto"/>
              <w:ind w:right="229"/>
              <w:rPr>
                <w:sz w:val="21"/>
              </w:rPr>
            </w:pPr>
            <w:r>
              <w:rPr>
                <w:sz w:val="21"/>
              </w:rPr>
              <w:t>在任何治愈艾滋病（AIDS）或阻止HIV 病毒作用的疗法被发现以后，或能防止AIDS发生的医疗方法被研究出来以后，本保障将不再予以赔付。</w:t>
            </w:r>
          </w:p>
          <w:p>
            <w:pPr>
              <w:pStyle w:val="TableParagraph"/>
              <w:spacing w:line="273" w:lineRule="auto" w:before="7"/>
              <w:ind w:right="305"/>
              <w:jc w:val="both"/>
              <w:rPr>
                <w:sz w:val="21"/>
              </w:rPr>
            </w:pPr>
            <w:r>
              <w:rPr>
                <w:spacing w:val="-5"/>
                <w:sz w:val="21"/>
              </w:rPr>
              <w:t>任何因其他传播方式</w:t>
            </w:r>
            <w:r>
              <w:rPr>
                <w:sz w:val="21"/>
              </w:rPr>
              <w:t>（</w:t>
            </w:r>
            <w:r>
              <w:rPr>
                <w:spacing w:val="-6"/>
                <w:sz w:val="21"/>
              </w:rPr>
              <w:t>包括：性传播或静脉注射毒品</w:t>
            </w:r>
            <w:r>
              <w:rPr>
                <w:spacing w:val="-25"/>
                <w:sz w:val="21"/>
              </w:rPr>
              <w:t>）</w:t>
            </w:r>
            <w:r>
              <w:rPr>
                <w:spacing w:val="-1"/>
                <w:sz w:val="21"/>
              </w:rPr>
              <w:t>导致的</w:t>
            </w:r>
            <w:r>
              <w:rPr>
                <w:sz w:val="21"/>
              </w:rPr>
              <w:t>HIV</w:t>
            </w:r>
            <w:r>
              <w:rPr>
                <w:spacing w:val="5"/>
                <w:sz w:val="21"/>
              </w:rPr>
              <w:t> 感染不在</w:t>
            </w:r>
            <w:r>
              <w:rPr>
                <w:spacing w:val="-9"/>
                <w:sz w:val="21"/>
              </w:rPr>
              <w:t>本保单保障范围内。保险公司必须拥有获得使用被保险人的所有血液样本的</w:t>
            </w:r>
            <w:r>
              <w:rPr>
                <w:spacing w:val="-7"/>
                <w:sz w:val="21"/>
              </w:rPr>
              <w:t>权利和能够对这些样本进行独立检验的权利。</w:t>
            </w:r>
          </w:p>
        </w:tc>
      </w:tr>
      <w:tr>
        <w:trPr>
          <w:trHeight w:val="1248"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三十四</w:t>
            </w:r>
            <w:r>
              <w:rPr>
                <w:rFonts w:ascii="Times New Roman" w:eastAsia="Times New Roman"/>
                <w:sz w:val="21"/>
              </w:rPr>
              <w:t>) </w:t>
            </w:r>
            <w:r>
              <w:rPr>
                <w:sz w:val="21"/>
              </w:rPr>
              <w:t>严重克隆病</w:t>
            </w:r>
          </w:p>
        </w:tc>
        <w:tc>
          <w:tcPr>
            <w:tcW w:w="7275" w:type="dxa"/>
          </w:tcPr>
          <w:p>
            <w:pPr>
              <w:pStyle w:val="TableParagraph"/>
              <w:spacing w:line="273" w:lineRule="auto" w:before="146"/>
              <w:ind w:right="308"/>
              <w:rPr>
                <w:sz w:val="21"/>
              </w:rPr>
            </w:pPr>
            <w:r>
              <w:rPr>
                <w:spacing w:val="-8"/>
                <w:sz w:val="21"/>
              </w:rPr>
              <w:t>克隆病是一种慢性肉芽肿性肠炎，具有特征性的克隆病病理组织学变化。诊</w:t>
            </w:r>
            <w:r>
              <w:rPr>
                <w:spacing w:val="-6"/>
                <w:sz w:val="21"/>
              </w:rPr>
              <w:t>断必须由病理检查结果证实。</w:t>
            </w:r>
          </w:p>
          <w:p>
            <w:pPr>
              <w:pStyle w:val="TableParagraph"/>
              <w:spacing w:before="7"/>
              <w:rPr>
                <w:sz w:val="21"/>
              </w:rPr>
            </w:pPr>
            <w:r>
              <w:rPr>
                <w:sz w:val="21"/>
              </w:rPr>
              <w:t>被保险人所患的克隆病必须已经造成瘘管形成并伴有肠梗阻或肠穿孔。</w:t>
            </w:r>
          </w:p>
        </w:tc>
      </w:tr>
      <w:tr>
        <w:trPr>
          <w:trHeight w:val="1872"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三十五</w:t>
            </w:r>
            <w:r>
              <w:rPr>
                <w:rFonts w:ascii="Times New Roman" w:eastAsia="Times New Roman"/>
                <w:sz w:val="21"/>
              </w:rPr>
              <w:t>) </w:t>
            </w:r>
            <w:r>
              <w:rPr>
                <w:sz w:val="21"/>
              </w:rPr>
              <w:t>严重溃疡性结肠炎</w:t>
            </w:r>
          </w:p>
        </w:tc>
        <w:tc>
          <w:tcPr>
            <w:tcW w:w="7275" w:type="dxa"/>
          </w:tcPr>
          <w:p>
            <w:pPr>
              <w:pStyle w:val="TableParagraph"/>
              <w:spacing w:line="273" w:lineRule="auto" w:before="146"/>
              <w:ind w:right="305"/>
              <w:rPr>
                <w:sz w:val="21"/>
              </w:rPr>
            </w:pPr>
            <w:r>
              <w:rPr>
                <w:spacing w:val="-5"/>
                <w:sz w:val="21"/>
              </w:rPr>
              <w:t>本保障所指的严重溃疡性结肠炎是指伴有致命性电解质紊乱的急性暴发性</w:t>
            </w:r>
            <w:r>
              <w:rPr>
                <w:spacing w:val="-11"/>
                <w:sz w:val="21"/>
              </w:rPr>
              <w:t>溃疡性结肠炎，病变累及全结肠，表现为严重的血便和系统性症状体征，治</w:t>
            </w:r>
            <w:r>
              <w:rPr>
                <w:spacing w:val="-7"/>
                <w:sz w:val="21"/>
              </w:rPr>
              <w:t>疗通常采取全结肠切除和回肠造瘘术。</w:t>
            </w:r>
          </w:p>
          <w:p>
            <w:pPr>
              <w:pStyle w:val="TableParagraph"/>
              <w:spacing w:line="273" w:lineRule="auto" w:before="7"/>
              <w:ind w:right="307"/>
              <w:rPr>
                <w:sz w:val="21"/>
              </w:rPr>
            </w:pPr>
            <w:r>
              <w:rPr>
                <w:spacing w:val="-8"/>
                <w:sz w:val="21"/>
              </w:rPr>
              <w:t>溃疡性结肠炎必须根据组织病理学特点诊断，并且被保险人已经接受了结肠切除和/</w:t>
            </w:r>
            <w:r>
              <w:rPr>
                <w:spacing w:val="-5"/>
                <w:sz w:val="21"/>
              </w:rPr>
              <w:t>或回肠造瘘术。</w:t>
            </w:r>
          </w:p>
        </w:tc>
      </w:tr>
      <w:tr>
        <w:trPr>
          <w:trHeight w:val="1248"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三十六</w:t>
            </w:r>
            <w:r>
              <w:rPr>
                <w:rFonts w:ascii="Times New Roman" w:eastAsia="Times New Roman"/>
                <w:sz w:val="21"/>
              </w:rPr>
              <w:t>) </w:t>
            </w:r>
            <w:r>
              <w:rPr>
                <w:sz w:val="21"/>
              </w:rPr>
              <w:t>肺源性心脏病</w:t>
            </w:r>
          </w:p>
        </w:tc>
        <w:tc>
          <w:tcPr>
            <w:tcW w:w="7275" w:type="dxa"/>
          </w:tcPr>
          <w:p>
            <w:pPr>
              <w:pStyle w:val="TableParagraph"/>
              <w:spacing w:line="273" w:lineRule="auto" w:before="146"/>
              <w:ind w:right="231"/>
              <w:rPr>
                <w:sz w:val="21"/>
              </w:rPr>
            </w:pPr>
            <w:r>
              <w:rPr>
                <w:spacing w:val="-5"/>
                <w:sz w:val="21"/>
              </w:rPr>
              <w:t>指被保人因慢性肺部疾病导致慢性心功能损害造成永久不可逆性的心功能 衰竭。心功能衰竭程度达到纽约心脏病学会的心功能分级标准之心功能Ⅳ 级。被保险人永久不可逆性的体力活动能力受限，不能从事任何体力活动。</w:t>
            </w:r>
          </w:p>
        </w:tc>
      </w:tr>
      <w:tr>
        <w:trPr>
          <w:trHeight w:val="1872" w:hRule="atLeast"/>
        </w:trPr>
        <w:tc>
          <w:tcPr>
            <w:tcW w:w="1995" w:type="dxa"/>
          </w:tcPr>
          <w:p>
            <w:pPr>
              <w:pStyle w:val="TableParagraph"/>
              <w:spacing w:line="259" w:lineRule="auto" w:before="146"/>
              <w:ind w:left="200" w:right="285"/>
              <w:rPr>
                <w:sz w:val="21"/>
              </w:rPr>
            </w:pPr>
            <w:r>
              <w:rPr>
                <w:rFonts w:ascii="Times New Roman" w:eastAsia="Times New Roman"/>
                <w:sz w:val="21"/>
              </w:rPr>
              <w:t>(</w:t>
            </w:r>
            <w:r>
              <w:rPr>
                <w:sz w:val="21"/>
              </w:rPr>
              <w:t>三十七</w:t>
            </w:r>
            <w:r>
              <w:rPr>
                <w:rFonts w:ascii="Times New Roman" w:eastAsia="Times New Roman"/>
                <w:sz w:val="21"/>
              </w:rPr>
              <w:t>) </w:t>
            </w:r>
            <w:r>
              <w:rPr>
                <w:sz w:val="21"/>
              </w:rPr>
              <w:t>植物人状态</w:t>
            </w:r>
          </w:p>
        </w:tc>
        <w:tc>
          <w:tcPr>
            <w:tcW w:w="7275" w:type="dxa"/>
          </w:tcPr>
          <w:p>
            <w:pPr>
              <w:pStyle w:val="TableParagraph"/>
              <w:spacing w:line="273" w:lineRule="auto" w:before="146"/>
              <w:ind w:right="306"/>
              <w:jc w:val="both"/>
              <w:rPr>
                <w:sz w:val="21"/>
              </w:rPr>
            </w:pPr>
            <w:r>
              <w:rPr>
                <w:spacing w:val="-4"/>
                <w:sz w:val="21"/>
              </w:rPr>
              <w:t>植物人状态系指由于严重颅脑外伤造成大脑和</w:t>
            </w:r>
            <w:r>
              <w:rPr>
                <w:spacing w:val="-5"/>
                <w:sz w:val="21"/>
              </w:rPr>
              <w:t>/</w:t>
            </w:r>
            <w:r>
              <w:rPr>
                <w:spacing w:val="-4"/>
                <w:sz w:val="21"/>
              </w:rPr>
              <w:t>或脑干严重损害导致完全永</w:t>
            </w:r>
            <w:r>
              <w:rPr>
                <w:spacing w:val="-8"/>
                <w:sz w:val="21"/>
              </w:rPr>
              <w:t>久性的对自身和环境的意识丧失和中枢神经系统功能丧失，仅残存植物神经</w:t>
            </w:r>
            <w:r>
              <w:rPr>
                <w:spacing w:val="-6"/>
                <w:sz w:val="21"/>
              </w:rPr>
              <w:t>功能的疾病状态。</w:t>
            </w:r>
          </w:p>
          <w:p>
            <w:pPr>
              <w:pStyle w:val="TableParagraph"/>
              <w:spacing w:line="273" w:lineRule="auto" w:before="8"/>
              <w:ind w:right="1071"/>
              <w:rPr>
                <w:sz w:val="21"/>
              </w:rPr>
            </w:pPr>
            <w:r>
              <w:rPr>
                <w:sz w:val="21"/>
              </w:rPr>
              <w:t>植物人状态必须明确诊断并且具有严重颅脑外伤和脑损害的证据。植物人状态必须持续30 天以上方可申请理赔。</w:t>
            </w:r>
          </w:p>
        </w:tc>
      </w:tr>
      <w:tr>
        <w:trPr>
          <w:trHeight w:val="2184" w:hRule="atLeast"/>
        </w:trPr>
        <w:tc>
          <w:tcPr>
            <w:tcW w:w="1995" w:type="dxa"/>
          </w:tcPr>
          <w:p>
            <w:pPr>
              <w:pStyle w:val="TableParagraph"/>
              <w:spacing w:line="264" w:lineRule="auto" w:before="146"/>
              <w:ind w:left="200" w:right="108"/>
              <w:rPr>
                <w:sz w:val="21"/>
              </w:rPr>
            </w:pPr>
            <w:r>
              <w:rPr>
                <w:rFonts w:ascii="Times New Roman" w:eastAsia="Times New Roman"/>
                <w:sz w:val="21"/>
              </w:rPr>
              <w:t>(</w:t>
            </w:r>
            <w:r>
              <w:rPr>
                <w:sz w:val="21"/>
              </w:rPr>
              <w:t>三十八</w:t>
            </w:r>
            <w:r>
              <w:rPr>
                <w:rFonts w:ascii="Times New Roman" w:eastAsia="Times New Roman"/>
                <w:sz w:val="21"/>
              </w:rPr>
              <w:t>)</w:t>
            </w:r>
            <w:r>
              <w:rPr>
                <w:sz w:val="21"/>
              </w:rPr>
              <w:t>非阿尔茨海默病所致严重痴呆</w:t>
            </w:r>
          </w:p>
        </w:tc>
        <w:tc>
          <w:tcPr>
            <w:tcW w:w="7275" w:type="dxa"/>
          </w:tcPr>
          <w:p>
            <w:pPr>
              <w:pStyle w:val="TableParagraph"/>
              <w:spacing w:line="273" w:lineRule="auto" w:before="146"/>
              <w:ind w:right="197"/>
              <w:rPr>
                <w:sz w:val="21"/>
              </w:rPr>
            </w:pPr>
            <w:r>
              <w:rPr>
                <w:spacing w:val="-5"/>
                <w:sz w:val="21"/>
              </w:rPr>
              <w:t>指因阿尔茨海默病以外的脑的器质性疾病造成脑功能衰竭导致永久不可逆 </w:t>
            </w:r>
            <w:r>
              <w:rPr>
                <w:spacing w:val="-16"/>
                <w:sz w:val="21"/>
              </w:rPr>
              <w:t>性的严重痴呆，临床表现为明显的认知能力障碍、行为异常和社交能力减退。</w:t>
            </w:r>
            <w:r>
              <w:rPr>
                <w:spacing w:val="-14"/>
                <w:sz w:val="21"/>
              </w:rPr>
              <w:t>被保险人自主生活能力完全丧失，无法独立完成六项基本日常生活活动中的</w:t>
            </w:r>
            <w:r>
              <w:rPr>
                <w:spacing w:val="-13"/>
                <w:sz w:val="21"/>
              </w:rPr>
              <w:t>三项或三项以上，日常生活必须持续受到他人监护。导致痴呆的疾病必须明</w:t>
            </w:r>
            <w:r>
              <w:rPr>
                <w:spacing w:val="-8"/>
                <w:sz w:val="21"/>
              </w:rPr>
              <w:t>确诊断，并且由完整的临床、实验室和影像学检查结果证实。</w:t>
            </w:r>
          </w:p>
          <w:p>
            <w:pPr>
              <w:pStyle w:val="TableParagraph"/>
              <w:spacing w:before="8"/>
              <w:rPr>
                <w:sz w:val="21"/>
              </w:rPr>
            </w:pPr>
            <w:r>
              <w:rPr>
                <w:sz w:val="21"/>
              </w:rPr>
              <w:t>神经官能症和精神疾病不在保障范围内。</w:t>
            </w:r>
          </w:p>
        </w:tc>
      </w:tr>
      <w:tr>
        <w:trPr>
          <w:trHeight w:val="1357" w:hRule="atLeast"/>
        </w:trPr>
        <w:tc>
          <w:tcPr>
            <w:tcW w:w="1995" w:type="dxa"/>
          </w:tcPr>
          <w:p>
            <w:pPr>
              <w:pStyle w:val="TableParagraph"/>
              <w:spacing w:line="256" w:lineRule="auto" w:before="146"/>
              <w:ind w:left="200" w:right="180"/>
              <w:rPr>
                <w:sz w:val="21"/>
              </w:rPr>
            </w:pPr>
            <w:r>
              <w:rPr>
                <w:rFonts w:ascii="Times New Roman" w:eastAsia="Times New Roman"/>
                <w:sz w:val="21"/>
              </w:rPr>
              <w:t>(</w:t>
            </w:r>
            <w:r>
              <w:rPr>
                <w:sz w:val="21"/>
              </w:rPr>
              <w:t>三十九</w:t>
            </w:r>
            <w:r>
              <w:rPr>
                <w:rFonts w:ascii="Times New Roman" w:eastAsia="Times New Roman"/>
                <w:sz w:val="21"/>
              </w:rPr>
              <w:t>)</w:t>
            </w:r>
            <w:r>
              <w:rPr>
                <w:sz w:val="21"/>
              </w:rPr>
              <w:t>终末期疾病</w:t>
            </w:r>
          </w:p>
        </w:tc>
        <w:tc>
          <w:tcPr>
            <w:tcW w:w="7275" w:type="dxa"/>
          </w:tcPr>
          <w:p>
            <w:pPr>
              <w:pStyle w:val="TableParagraph"/>
              <w:spacing w:line="273" w:lineRule="auto" w:before="146"/>
              <w:ind w:right="308"/>
              <w:jc w:val="both"/>
              <w:rPr>
                <w:sz w:val="21"/>
              </w:rPr>
            </w:pPr>
            <w:r>
              <w:rPr>
                <w:spacing w:val="-9"/>
                <w:sz w:val="21"/>
              </w:rPr>
              <w:t>被保险人被确诊为疾病的终末期状态。疾病已经无法以现有的医疗技术医治</w:t>
            </w:r>
            <w:r>
              <w:rPr>
                <w:spacing w:val="-10"/>
                <w:sz w:val="21"/>
              </w:rPr>
              <w:t>缓解，并且根据临床医学经验判断被保险人将于未来六个月内死亡。在家属</w:t>
            </w:r>
            <w:r>
              <w:rPr>
                <w:spacing w:val="-11"/>
                <w:sz w:val="21"/>
              </w:rPr>
              <w:t>及患者的要求和医师的同意下积极治疗已被放弃，所有治疗措施仅以减轻患</w:t>
            </w:r>
          </w:p>
          <w:p>
            <w:pPr>
              <w:pStyle w:val="TableParagraph"/>
              <w:spacing w:line="255" w:lineRule="exact" w:before="8"/>
              <w:jc w:val="both"/>
              <w:rPr>
                <w:sz w:val="21"/>
              </w:rPr>
            </w:pPr>
            <w:r>
              <w:rPr>
                <w:sz w:val="21"/>
              </w:rPr>
              <w:t>者痛苦为目的。</w:t>
            </w:r>
          </w:p>
        </w:tc>
      </w:tr>
    </w:tbl>
    <w:p>
      <w:pPr>
        <w:spacing w:after="0" w:line="255" w:lineRule="exact"/>
        <w:jc w:val="both"/>
        <w:rPr>
          <w:sz w:val="21"/>
        </w:rPr>
        <w:sectPr>
          <w:pgSz w:w="11910" w:h="16840"/>
          <w:pgMar w:header="496" w:footer="995" w:top="800" w:bottom="1180" w:left="960" w:right="740"/>
        </w:sectPr>
      </w:pPr>
    </w:p>
    <w:p>
      <w:pPr>
        <w:pStyle w:val="BodyText"/>
        <w:rPr>
          <w:rFonts w:ascii="Times New Roman"/>
          <w:sz w:val="20"/>
        </w:rPr>
      </w:pPr>
    </w:p>
    <w:p>
      <w:pPr>
        <w:pStyle w:val="BodyText"/>
        <w:spacing w:before="9" w:after="1"/>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7262"/>
      </w:tblGrid>
      <w:tr>
        <w:trPr>
          <w:trHeight w:val="726" w:hRule="atLeast"/>
        </w:trPr>
        <w:tc>
          <w:tcPr>
            <w:tcW w:w="2007" w:type="dxa"/>
          </w:tcPr>
          <w:p>
            <w:pPr>
              <w:pStyle w:val="TableParagraph"/>
              <w:spacing w:before="0"/>
              <w:ind w:left="0"/>
              <w:rPr>
                <w:rFonts w:ascii="Times New Roman"/>
                <w:sz w:val="20"/>
              </w:rPr>
            </w:pPr>
          </w:p>
        </w:tc>
        <w:tc>
          <w:tcPr>
            <w:tcW w:w="7262" w:type="dxa"/>
          </w:tcPr>
          <w:p>
            <w:pPr>
              <w:pStyle w:val="TableParagraph"/>
              <w:spacing w:line="211" w:lineRule="exact" w:before="0"/>
              <w:ind w:left="99"/>
              <w:rPr>
                <w:sz w:val="21"/>
              </w:rPr>
            </w:pPr>
            <w:r>
              <w:rPr>
                <w:sz w:val="21"/>
              </w:rPr>
              <w:t>此疾病状态必须在被保险人生前已经确诊并且具有医疗证明文件和临床检</w:t>
            </w:r>
          </w:p>
          <w:p>
            <w:pPr>
              <w:pStyle w:val="TableParagraph"/>
              <w:ind w:left="99"/>
              <w:rPr>
                <w:sz w:val="21"/>
              </w:rPr>
            </w:pPr>
            <w:r>
              <w:rPr>
                <w:sz w:val="21"/>
              </w:rPr>
              <w:t>查依据。</w:t>
            </w:r>
          </w:p>
        </w:tc>
      </w:tr>
      <w:tr>
        <w:trPr>
          <w:trHeight w:val="1248" w:hRule="atLeast"/>
        </w:trPr>
        <w:tc>
          <w:tcPr>
            <w:tcW w:w="2007" w:type="dxa"/>
          </w:tcPr>
          <w:p>
            <w:pPr>
              <w:pStyle w:val="TableParagraph"/>
              <w:spacing w:line="259" w:lineRule="auto" w:before="146"/>
              <w:ind w:left="200" w:right="96"/>
              <w:rPr>
                <w:sz w:val="21"/>
              </w:rPr>
            </w:pPr>
            <w:r>
              <w:rPr>
                <w:rFonts w:ascii="Times New Roman" w:eastAsia="Times New Roman"/>
                <w:sz w:val="21"/>
              </w:rPr>
              <w:t>( </w:t>
            </w:r>
            <w:r>
              <w:rPr>
                <w:sz w:val="21"/>
              </w:rPr>
              <w:t>四十</w:t>
            </w:r>
            <w:r>
              <w:rPr>
                <w:rFonts w:ascii="Times New Roman" w:eastAsia="Times New Roman"/>
                <w:sz w:val="21"/>
              </w:rPr>
              <w:t>) </w:t>
            </w:r>
            <w:r>
              <w:rPr>
                <w:sz w:val="21"/>
              </w:rPr>
              <w:t>多处臂丛神经根性撕脱</w:t>
            </w:r>
          </w:p>
        </w:tc>
        <w:tc>
          <w:tcPr>
            <w:tcW w:w="7262" w:type="dxa"/>
          </w:tcPr>
          <w:p>
            <w:pPr>
              <w:pStyle w:val="TableParagraph"/>
              <w:spacing w:line="273" w:lineRule="auto" w:before="146"/>
              <w:ind w:left="99" w:right="305"/>
              <w:jc w:val="both"/>
              <w:rPr>
                <w:sz w:val="21"/>
              </w:rPr>
            </w:pPr>
            <w:r>
              <w:rPr>
                <w:spacing w:val="-9"/>
                <w:sz w:val="21"/>
              </w:rPr>
              <w:t>指由于疾病或意外导致至少两根臂丛神经根性撕脱，所造成的手臂感觉功能</w:t>
            </w:r>
            <w:r>
              <w:rPr>
                <w:spacing w:val="-12"/>
                <w:sz w:val="21"/>
              </w:rPr>
              <w:t>与运动功能完全永久性丧失。该病须由医院专科医生明确诊断，并且有电生</w:t>
            </w:r>
            <w:r>
              <w:rPr>
                <w:spacing w:val="-8"/>
                <w:sz w:val="21"/>
              </w:rPr>
              <w:t>理检查结果证实。</w:t>
            </w:r>
          </w:p>
        </w:tc>
      </w:tr>
      <w:tr>
        <w:trPr>
          <w:trHeight w:val="1872" w:hRule="atLeast"/>
        </w:trPr>
        <w:tc>
          <w:tcPr>
            <w:tcW w:w="2007" w:type="dxa"/>
          </w:tcPr>
          <w:p>
            <w:pPr>
              <w:pStyle w:val="TableParagraph"/>
              <w:spacing w:line="264" w:lineRule="auto" w:before="146"/>
              <w:ind w:left="200" w:right="120"/>
              <w:rPr>
                <w:sz w:val="21"/>
              </w:rPr>
            </w:pPr>
            <w:r>
              <w:rPr>
                <w:rFonts w:ascii="Times New Roman" w:eastAsia="Times New Roman"/>
                <w:sz w:val="21"/>
              </w:rPr>
              <w:t>(</w:t>
            </w:r>
            <w:r>
              <w:rPr>
                <w:sz w:val="21"/>
              </w:rPr>
              <w:t>四十一</w:t>
            </w:r>
            <w:r>
              <w:rPr>
                <w:rFonts w:ascii="Times New Roman" w:eastAsia="Times New Roman"/>
                <w:sz w:val="21"/>
              </w:rPr>
              <w:t>)  </w:t>
            </w:r>
            <w:r>
              <w:rPr>
                <w:sz w:val="21"/>
              </w:rPr>
              <w:t>川崎病并发冠状动脉瘤等心血管异常</w:t>
            </w:r>
          </w:p>
        </w:tc>
        <w:tc>
          <w:tcPr>
            <w:tcW w:w="7262" w:type="dxa"/>
          </w:tcPr>
          <w:p>
            <w:pPr>
              <w:pStyle w:val="TableParagraph"/>
              <w:spacing w:line="273" w:lineRule="auto" w:before="146"/>
              <w:ind w:left="99" w:right="307"/>
              <w:rPr>
                <w:sz w:val="21"/>
              </w:rPr>
            </w:pPr>
            <w:r>
              <w:rPr>
                <w:spacing w:val="-8"/>
                <w:sz w:val="21"/>
              </w:rPr>
              <w:t>是指原因不明的系统性血管炎，本病须经专科医师明确诊断，并须满足下列全部条件：</w:t>
            </w:r>
          </w:p>
          <w:p>
            <w:pPr>
              <w:pStyle w:val="TableParagraph"/>
              <w:spacing w:before="8"/>
              <w:ind w:left="99"/>
              <w:rPr>
                <w:sz w:val="21"/>
              </w:rPr>
            </w:pPr>
            <w:r>
              <w:rPr>
                <w:sz w:val="21"/>
              </w:rPr>
              <w:t>（1）超声心动图显示川崎病并发冠状动脉瘤或其他心血管异常；</w:t>
            </w:r>
          </w:p>
          <w:p>
            <w:pPr>
              <w:pStyle w:val="TableParagraph"/>
              <w:spacing w:line="273" w:lineRule="auto"/>
              <w:ind w:left="99" w:right="335"/>
              <w:rPr>
                <w:sz w:val="21"/>
              </w:rPr>
            </w:pPr>
            <w:r>
              <w:rPr>
                <w:sz w:val="21"/>
              </w:rPr>
              <w:t>（2）已接受了针对川崎病并发冠状动脉瘤或其他心血管异常所进行的手术治疗。</w:t>
            </w:r>
          </w:p>
        </w:tc>
      </w:tr>
      <w:tr>
        <w:trPr>
          <w:trHeight w:val="2184" w:hRule="atLeast"/>
        </w:trPr>
        <w:tc>
          <w:tcPr>
            <w:tcW w:w="2007" w:type="dxa"/>
          </w:tcPr>
          <w:p>
            <w:pPr>
              <w:pStyle w:val="TableParagraph"/>
              <w:spacing w:line="259" w:lineRule="auto" w:before="146"/>
              <w:ind w:left="200" w:right="192"/>
              <w:rPr>
                <w:sz w:val="21"/>
              </w:rPr>
            </w:pPr>
            <w:r>
              <w:rPr>
                <w:rFonts w:ascii="Times New Roman" w:eastAsia="Times New Roman"/>
                <w:sz w:val="21"/>
              </w:rPr>
              <w:t>(</w:t>
            </w:r>
            <w:r>
              <w:rPr>
                <w:sz w:val="21"/>
              </w:rPr>
              <w:t>四十二</w:t>
            </w:r>
            <w:r>
              <w:rPr>
                <w:rFonts w:ascii="Times New Roman" w:eastAsia="Times New Roman"/>
                <w:sz w:val="21"/>
              </w:rPr>
              <w:t>)</w:t>
            </w:r>
            <w:r>
              <w:rPr>
                <w:sz w:val="21"/>
              </w:rPr>
              <w:t>严重的系统性硬皮病</w:t>
            </w:r>
          </w:p>
        </w:tc>
        <w:tc>
          <w:tcPr>
            <w:tcW w:w="7262" w:type="dxa"/>
          </w:tcPr>
          <w:p>
            <w:pPr>
              <w:pStyle w:val="TableParagraph"/>
              <w:spacing w:line="273" w:lineRule="auto" w:before="146"/>
              <w:ind w:left="99" w:right="196"/>
              <w:rPr>
                <w:sz w:val="21"/>
              </w:rPr>
            </w:pPr>
            <w:r>
              <w:rPr>
                <w:spacing w:val="-8"/>
                <w:sz w:val="21"/>
              </w:rPr>
              <w:t>指一种以局限性或弥漫性皮肤增厚和皮肤、血管、内脏器官异常纤维化为特</w:t>
            </w:r>
            <w:r>
              <w:rPr>
                <w:spacing w:val="-17"/>
                <w:sz w:val="21"/>
              </w:rPr>
              <w:t>征的结缔组织病。本病须经专科医师明确诊断，并须满足下列至少一项条件：</w:t>
            </w:r>
          </w:p>
          <w:p>
            <w:pPr>
              <w:pStyle w:val="TableParagraph"/>
              <w:spacing w:before="8"/>
              <w:ind w:left="99"/>
              <w:rPr>
                <w:sz w:val="21"/>
              </w:rPr>
            </w:pPr>
            <w:r>
              <w:rPr>
                <w:sz w:val="21"/>
              </w:rPr>
              <w:t>（1）肺脏：肺部病变进而发展为肺间质纤维化和肺动脉高压；</w:t>
            </w:r>
          </w:p>
          <w:p>
            <w:pPr>
              <w:pStyle w:val="TableParagraph"/>
              <w:spacing w:line="273" w:lineRule="auto"/>
              <w:ind w:left="99" w:right="335"/>
              <w:rPr>
                <w:sz w:val="21"/>
              </w:rPr>
            </w:pPr>
            <w:r>
              <w:rPr>
                <w:sz w:val="21"/>
              </w:rPr>
              <w:t>（2）心脏：心功能受损达到纽约心脏病学会的心功能分级标准之心功能Ⅳ 级；</w:t>
            </w:r>
          </w:p>
          <w:p>
            <w:pPr>
              <w:pStyle w:val="TableParagraph"/>
              <w:spacing w:before="7"/>
              <w:ind w:left="99"/>
              <w:rPr>
                <w:sz w:val="21"/>
              </w:rPr>
            </w:pPr>
            <w:r>
              <w:rPr>
                <w:sz w:val="21"/>
              </w:rPr>
              <w:t>（3）肾脏：肾脏受损导致双肾功能慢性不可逆衰竭，达到尿毒症期。</w:t>
            </w:r>
          </w:p>
        </w:tc>
      </w:tr>
      <w:tr>
        <w:trPr>
          <w:trHeight w:val="1248" w:hRule="atLeast"/>
        </w:trPr>
        <w:tc>
          <w:tcPr>
            <w:tcW w:w="2007" w:type="dxa"/>
          </w:tcPr>
          <w:p>
            <w:pPr>
              <w:pStyle w:val="TableParagraph"/>
              <w:spacing w:line="256" w:lineRule="auto" w:before="146"/>
              <w:ind w:left="200" w:right="297"/>
              <w:rPr>
                <w:sz w:val="21"/>
              </w:rPr>
            </w:pPr>
            <w:r>
              <w:rPr>
                <w:rFonts w:ascii="Times New Roman" w:eastAsia="Times New Roman"/>
                <w:sz w:val="21"/>
              </w:rPr>
              <w:t>(</w:t>
            </w:r>
            <w:r>
              <w:rPr>
                <w:sz w:val="21"/>
              </w:rPr>
              <w:t>四十三</w:t>
            </w:r>
            <w:r>
              <w:rPr>
                <w:rFonts w:ascii="Times New Roman" w:eastAsia="Times New Roman"/>
                <w:sz w:val="21"/>
              </w:rPr>
              <w:t>) </w:t>
            </w:r>
            <w:r>
              <w:rPr>
                <w:sz w:val="21"/>
              </w:rPr>
              <w:t>丝虫病所致象皮肿</w:t>
            </w:r>
          </w:p>
        </w:tc>
        <w:tc>
          <w:tcPr>
            <w:tcW w:w="7262" w:type="dxa"/>
          </w:tcPr>
          <w:p>
            <w:pPr>
              <w:pStyle w:val="TableParagraph"/>
              <w:spacing w:line="273" w:lineRule="auto" w:before="146"/>
              <w:ind w:left="99" w:right="307"/>
              <w:jc w:val="both"/>
              <w:rPr>
                <w:sz w:val="21"/>
              </w:rPr>
            </w:pPr>
            <w:r>
              <w:rPr>
                <w:spacing w:val="-9"/>
                <w:sz w:val="21"/>
              </w:rPr>
              <w:t>指因丝虫感染导致淋巴阻塞性出现严重淋巴水肿，达到国际淋巴学会淋巴肿</w:t>
            </w:r>
            <w:r>
              <w:rPr>
                <w:spacing w:val="-7"/>
                <w:sz w:val="21"/>
              </w:rPr>
              <w:t>分期第Ⅲ期，临床表现为肢体象皮肿，患肢较健肢增粗</w:t>
            </w:r>
            <w:r>
              <w:rPr>
                <w:sz w:val="21"/>
              </w:rPr>
              <w:t>30%</w:t>
            </w:r>
            <w:r>
              <w:rPr>
                <w:spacing w:val="-2"/>
                <w:sz w:val="21"/>
              </w:rPr>
              <w:t>以上，日常生活</w:t>
            </w:r>
            <w:r>
              <w:rPr>
                <w:spacing w:val="-5"/>
                <w:sz w:val="21"/>
              </w:rPr>
              <w:t>不能自理。此病症须经专科医生根据临床表现和微丝蚴的化验结果确诊。</w:t>
            </w:r>
          </w:p>
        </w:tc>
      </w:tr>
      <w:tr>
        <w:trPr>
          <w:trHeight w:val="1248" w:hRule="atLeast"/>
        </w:trPr>
        <w:tc>
          <w:tcPr>
            <w:tcW w:w="2007" w:type="dxa"/>
          </w:tcPr>
          <w:p>
            <w:pPr>
              <w:pStyle w:val="TableParagraph"/>
              <w:spacing w:line="256" w:lineRule="auto" w:before="146"/>
              <w:ind w:left="200" w:right="297"/>
              <w:rPr>
                <w:sz w:val="21"/>
              </w:rPr>
            </w:pPr>
            <w:r>
              <w:rPr>
                <w:rFonts w:ascii="Times New Roman" w:eastAsia="Times New Roman"/>
                <w:sz w:val="21"/>
              </w:rPr>
              <w:t>(</w:t>
            </w:r>
            <w:r>
              <w:rPr>
                <w:sz w:val="21"/>
              </w:rPr>
              <w:t>四十四</w:t>
            </w:r>
            <w:r>
              <w:rPr>
                <w:rFonts w:ascii="Times New Roman" w:eastAsia="Times New Roman"/>
                <w:sz w:val="21"/>
              </w:rPr>
              <w:t>) </w:t>
            </w:r>
            <w:r>
              <w:rPr>
                <w:sz w:val="21"/>
              </w:rPr>
              <w:t>胰腺移植</w:t>
            </w:r>
          </w:p>
        </w:tc>
        <w:tc>
          <w:tcPr>
            <w:tcW w:w="7262" w:type="dxa"/>
          </w:tcPr>
          <w:p>
            <w:pPr>
              <w:pStyle w:val="TableParagraph"/>
              <w:spacing w:line="273" w:lineRule="auto" w:before="146"/>
              <w:ind w:left="99" w:right="304"/>
              <w:rPr>
                <w:sz w:val="21"/>
              </w:rPr>
            </w:pPr>
            <w:r>
              <w:rPr>
                <w:spacing w:val="-10"/>
                <w:sz w:val="21"/>
              </w:rPr>
              <w:t>指因胰腺功能衰竭，已经实施了在全身麻醉下进行的胰腺的异体器官移植手术。</w:t>
            </w:r>
          </w:p>
          <w:p>
            <w:pPr>
              <w:pStyle w:val="TableParagraph"/>
              <w:spacing w:before="8"/>
              <w:ind w:left="99"/>
              <w:rPr>
                <w:sz w:val="21"/>
              </w:rPr>
            </w:pPr>
            <w:r>
              <w:rPr>
                <w:sz w:val="21"/>
              </w:rPr>
              <w:t>单纯胰岛移植、部分胰腺组织或细胞的移植不在本保障范围之内。</w:t>
            </w:r>
          </w:p>
        </w:tc>
      </w:tr>
      <w:tr>
        <w:trPr>
          <w:trHeight w:val="1560" w:hRule="atLeast"/>
        </w:trPr>
        <w:tc>
          <w:tcPr>
            <w:tcW w:w="2007" w:type="dxa"/>
          </w:tcPr>
          <w:p>
            <w:pPr>
              <w:pStyle w:val="TableParagraph"/>
              <w:spacing w:line="256" w:lineRule="auto" w:before="146"/>
              <w:ind w:left="200" w:right="120"/>
              <w:rPr>
                <w:sz w:val="21"/>
              </w:rPr>
            </w:pPr>
            <w:r>
              <w:rPr>
                <w:rFonts w:ascii="Times New Roman" w:eastAsia="Times New Roman"/>
                <w:sz w:val="21"/>
              </w:rPr>
              <w:t>(</w:t>
            </w:r>
            <w:r>
              <w:rPr>
                <w:sz w:val="21"/>
              </w:rPr>
              <w:t>四十五</w:t>
            </w:r>
            <w:r>
              <w:rPr>
                <w:rFonts w:ascii="Times New Roman" w:eastAsia="Times New Roman"/>
                <w:sz w:val="21"/>
              </w:rPr>
              <w:t>)  </w:t>
            </w:r>
            <w:r>
              <w:rPr>
                <w:sz w:val="21"/>
              </w:rPr>
              <w:t>急性坏死胰腺炎开腹手术</w:t>
            </w:r>
          </w:p>
        </w:tc>
        <w:tc>
          <w:tcPr>
            <w:tcW w:w="7262" w:type="dxa"/>
          </w:tcPr>
          <w:p>
            <w:pPr>
              <w:pStyle w:val="TableParagraph"/>
              <w:spacing w:line="273" w:lineRule="auto" w:before="146"/>
              <w:ind w:left="99" w:right="306"/>
              <w:rPr>
                <w:sz w:val="21"/>
              </w:rPr>
            </w:pPr>
            <w:r>
              <w:rPr>
                <w:spacing w:val="-8"/>
                <w:sz w:val="21"/>
              </w:rPr>
              <w:t>指由专科医生确诊为急性出血坏死性胰腺炎，并已经接受了外科开腹手术治</w:t>
            </w:r>
            <w:r>
              <w:rPr>
                <w:spacing w:val="-6"/>
                <w:sz w:val="21"/>
              </w:rPr>
              <w:t>疗，以进行坏死组织清除、坏死病灶切除或胰腺切除。</w:t>
            </w:r>
          </w:p>
          <w:p>
            <w:pPr>
              <w:pStyle w:val="TableParagraph"/>
              <w:spacing w:line="273" w:lineRule="auto" w:before="8"/>
              <w:ind w:left="99" w:right="436"/>
              <w:rPr>
                <w:sz w:val="21"/>
              </w:rPr>
            </w:pPr>
            <w:r>
              <w:rPr>
                <w:sz w:val="21"/>
              </w:rPr>
              <w:t>因饮酒所致的急性出血坏死性胰腺炎或经腹腔镜手术进行的治疗不在保障范围内。</w:t>
            </w:r>
          </w:p>
        </w:tc>
      </w:tr>
      <w:tr>
        <w:trPr>
          <w:trHeight w:val="2809" w:hRule="atLeast"/>
        </w:trPr>
        <w:tc>
          <w:tcPr>
            <w:tcW w:w="2007" w:type="dxa"/>
          </w:tcPr>
          <w:p>
            <w:pPr>
              <w:pStyle w:val="TableParagraph"/>
              <w:spacing w:line="256" w:lineRule="auto" w:before="146"/>
              <w:ind w:left="200" w:right="192"/>
              <w:rPr>
                <w:sz w:val="21"/>
              </w:rPr>
            </w:pPr>
            <w:r>
              <w:rPr>
                <w:rFonts w:ascii="Times New Roman" w:eastAsia="Times New Roman"/>
                <w:sz w:val="21"/>
              </w:rPr>
              <w:t>(</w:t>
            </w:r>
            <w:r>
              <w:rPr>
                <w:sz w:val="21"/>
              </w:rPr>
              <w:t>四十六</w:t>
            </w:r>
            <w:r>
              <w:rPr>
                <w:rFonts w:ascii="Times New Roman" w:eastAsia="Times New Roman"/>
                <w:sz w:val="21"/>
              </w:rPr>
              <w:t>)</w:t>
            </w:r>
            <w:r>
              <w:rPr>
                <w:sz w:val="21"/>
              </w:rPr>
              <w:t>慢性复发性胰腺炎</w:t>
            </w:r>
          </w:p>
        </w:tc>
        <w:tc>
          <w:tcPr>
            <w:tcW w:w="7262" w:type="dxa"/>
          </w:tcPr>
          <w:p>
            <w:pPr>
              <w:pStyle w:val="TableParagraph"/>
              <w:spacing w:line="273" w:lineRule="auto" w:before="146"/>
              <w:ind w:left="99" w:right="307"/>
              <w:rPr>
                <w:sz w:val="21"/>
              </w:rPr>
            </w:pPr>
            <w:r>
              <w:rPr>
                <w:spacing w:val="-8"/>
                <w:sz w:val="21"/>
              </w:rPr>
              <w:t>有腹痛等典型症状的胰腺炎反复发作，导致胰腺进行性破坏，明确诊断严重</w:t>
            </w:r>
            <w:r>
              <w:rPr>
                <w:spacing w:val="-6"/>
                <w:sz w:val="21"/>
              </w:rPr>
              <w:t>慢性胰腺炎，并须满足下列全部条件：</w:t>
            </w:r>
          </w:p>
          <w:p>
            <w:pPr>
              <w:pStyle w:val="TableParagraph"/>
              <w:spacing w:before="8"/>
              <w:ind w:left="99"/>
              <w:rPr>
                <w:sz w:val="21"/>
              </w:rPr>
            </w:pPr>
            <w:r>
              <w:rPr>
                <w:sz w:val="21"/>
              </w:rPr>
              <w:t>（1）胰腺外分泌功能不全导致体重降低和脂肪泻；</w:t>
            </w:r>
          </w:p>
          <w:p>
            <w:pPr>
              <w:pStyle w:val="TableParagraph"/>
              <w:ind w:left="99"/>
              <w:rPr>
                <w:sz w:val="21"/>
              </w:rPr>
            </w:pPr>
            <w:r>
              <w:rPr>
                <w:sz w:val="21"/>
              </w:rPr>
              <w:t>（2）胰腺内分泌功能不全导致糖尿病；</w:t>
            </w:r>
          </w:p>
          <w:p>
            <w:pPr>
              <w:pStyle w:val="TableParagraph"/>
              <w:ind w:left="99"/>
              <w:rPr>
                <w:sz w:val="21"/>
              </w:rPr>
            </w:pPr>
            <w:r>
              <w:rPr>
                <w:sz w:val="21"/>
              </w:rPr>
              <w:t>（3）需要口服胰酶或胰岛素替代治疗。</w:t>
            </w:r>
          </w:p>
          <w:p>
            <w:pPr>
              <w:pStyle w:val="TableParagraph"/>
              <w:spacing w:line="273" w:lineRule="auto"/>
              <w:ind w:left="99" w:right="228"/>
              <w:rPr>
                <w:sz w:val="21"/>
              </w:rPr>
            </w:pPr>
            <w:r>
              <w:rPr>
                <w:sz w:val="21"/>
              </w:rPr>
              <w:t>以上情况需至少持续6 个月。必须由消化科专科医生确诊，并通过影像学和实验室检查结果证实。</w:t>
            </w:r>
          </w:p>
          <w:p>
            <w:pPr>
              <w:pStyle w:val="TableParagraph"/>
              <w:spacing w:before="8"/>
              <w:ind w:left="99"/>
              <w:rPr>
                <w:sz w:val="21"/>
              </w:rPr>
            </w:pPr>
            <w:r>
              <w:rPr>
                <w:sz w:val="21"/>
              </w:rPr>
              <w:t>以下情况不在保障范围内：酒精或药物导致的慢性胰腺炎。</w:t>
            </w:r>
          </w:p>
        </w:tc>
      </w:tr>
      <w:tr>
        <w:trPr>
          <w:trHeight w:val="1357" w:hRule="atLeast"/>
        </w:trPr>
        <w:tc>
          <w:tcPr>
            <w:tcW w:w="2007" w:type="dxa"/>
          </w:tcPr>
          <w:p>
            <w:pPr>
              <w:pStyle w:val="TableParagraph"/>
              <w:spacing w:before="146"/>
              <w:ind w:left="200"/>
              <w:rPr>
                <w:sz w:val="21"/>
              </w:rPr>
            </w:pPr>
            <w:r>
              <w:rPr>
                <w:rFonts w:ascii="Times New Roman" w:eastAsia="Times New Roman"/>
                <w:sz w:val="21"/>
              </w:rPr>
              <w:t>(</w:t>
            </w:r>
            <w:r>
              <w:rPr>
                <w:sz w:val="21"/>
              </w:rPr>
              <w:t>四十七</w:t>
            </w:r>
            <w:r>
              <w:rPr>
                <w:rFonts w:ascii="Times New Roman" w:eastAsia="Times New Roman"/>
                <w:sz w:val="21"/>
              </w:rPr>
              <w:t>)  </w:t>
            </w:r>
            <w:r>
              <w:rPr>
                <w:sz w:val="21"/>
              </w:rPr>
              <w:t>疯牛病</w:t>
            </w:r>
          </w:p>
        </w:tc>
        <w:tc>
          <w:tcPr>
            <w:tcW w:w="7262" w:type="dxa"/>
          </w:tcPr>
          <w:p>
            <w:pPr>
              <w:pStyle w:val="TableParagraph"/>
              <w:spacing w:line="273" w:lineRule="auto" w:before="146"/>
              <w:ind w:left="99" w:right="307"/>
              <w:rPr>
                <w:sz w:val="21"/>
              </w:rPr>
            </w:pPr>
            <w:r>
              <w:rPr>
                <w:spacing w:val="-8"/>
                <w:sz w:val="21"/>
              </w:rPr>
              <w:t>是一种传染性海绵状脑病，临床表现为快速进行性痴呆、肌阵挛和特征性脑电图变化。</w:t>
            </w:r>
          </w:p>
          <w:p>
            <w:pPr>
              <w:pStyle w:val="TableParagraph"/>
              <w:spacing w:line="312" w:lineRule="exact" w:before="3"/>
              <w:ind w:left="99" w:right="228"/>
              <w:rPr>
                <w:sz w:val="21"/>
              </w:rPr>
            </w:pPr>
            <w:r>
              <w:rPr>
                <w:sz w:val="21"/>
              </w:rPr>
              <w:t>本病须经三级医院的专科医生根据WHO 诊断标准明确诊断，并且被保险人自主生活能力完全丧失，无法独立完成六项基本日常生活活动中的三项或三项</w:t>
            </w:r>
          </w:p>
        </w:tc>
      </w:tr>
    </w:tbl>
    <w:p>
      <w:pPr>
        <w:spacing w:after="0" w:line="312" w:lineRule="exact"/>
        <w:rPr>
          <w:sz w:val="21"/>
        </w:rPr>
        <w:sectPr>
          <w:pgSz w:w="11910" w:h="16840"/>
          <w:pgMar w:header="496" w:footer="995" w:top="800" w:bottom="1180" w:left="960" w:right="740"/>
        </w:sectPr>
      </w:pPr>
    </w:p>
    <w:p>
      <w:pPr>
        <w:pStyle w:val="BodyText"/>
        <w:rPr>
          <w:rFonts w:ascii="Times New Roman"/>
          <w:sz w:val="20"/>
        </w:rPr>
      </w:pPr>
    </w:p>
    <w:p>
      <w:pPr>
        <w:pStyle w:val="BodyText"/>
        <w:spacing w:before="9" w:after="1"/>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78"/>
      </w:tblGrid>
      <w:tr>
        <w:trPr>
          <w:trHeight w:val="726" w:hRule="atLeast"/>
        </w:trPr>
        <w:tc>
          <w:tcPr>
            <w:tcW w:w="1995" w:type="dxa"/>
          </w:tcPr>
          <w:p>
            <w:pPr>
              <w:pStyle w:val="TableParagraph"/>
              <w:spacing w:before="0"/>
              <w:ind w:left="0"/>
              <w:rPr>
                <w:rFonts w:ascii="Times New Roman"/>
                <w:sz w:val="20"/>
              </w:rPr>
            </w:pPr>
          </w:p>
        </w:tc>
        <w:tc>
          <w:tcPr>
            <w:tcW w:w="7278" w:type="dxa"/>
          </w:tcPr>
          <w:p>
            <w:pPr>
              <w:pStyle w:val="TableParagraph"/>
              <w:spacing w:line="211" w:lineRule="exact" w:before="0"/>
              <w:rPr>
                <w:sz w:val="21"/>
              </w:rPr>
            </w:pPr>
            <w:r>
              <w:rPr>
                <w:sz w:val="21"/>
              </w:rPr>
              <w:t>以上。</w:t>
            </w:r>
          </w:p>
          <w:p>
            <w:pPr>
              <w:pStyle w:val="TableParagraph"/>
              <w:rPr>
                <w:sz w:val="21"/>
              </w:rPr>
            </w:pPr>
            <w:r>
              <w:rPr>
                <w:sz w:val="21"/>
              </w:rPr>
              <w:t>疑似病例不在本保障范围内。</w:t>
            </w:r>
          </w:p>
        </w:tc>
      </w:tr>
      <w:tr>
        <w:trPr>
          <w:trHeight w:val="3121" w:hRule="atLeast"/>
        </w:trPr>
        <w:tc>
          <w:tcPr>
            <w:tcW w:w="1995" w:type="dxa"/>
          </w:tcPr>
          <w:p>
            <w:pPr>
              <w:pStyle w:val="TableParagraph"/>
              <w:spacing w:line="259" w:lineRule="auto" w:before="146"/>
              <w:ind w:left="200" w:right="180"/>
              <w:rPr>
                <w:sz w:val="21"/>
              </w:rPr>
            </w:pPr>
            <w:r>
              <w:rPr>
                <w:rFonts w:ascii="Times New Roman" w:eastAsia="Times New Roman"/>
                <w:sz w:val="21"/>
              </w:rPr>
              <w:t>(</w:t>
            </w:r>
            <w:r>
              <w:rPr>
                <w:sz w:val="21"/>
              </w:rPr>
              <w:t>四十八</w:t>
            </w:r>
            <w:r>
              <w:rPr>
                <w:rFonts w:ascii="Times New Roman" w:eastAsia="Times New Roman"/>
                <w:sz w:val="21"/>
              </w:rPr>
              <w:t>)</w:t>
            </w:r>
            <w:r>
              <w:rPr>
                <w:sz w:val="21"/>
              </w:rPr>
              <w:t>严重肾髓质囊性病</w:t>
            </w:r>
          </w:p>
        </w:tc>
        <w:tc>
          <w:tcPr>
            <w:tcW w:w="7278" w:type="dxa"/>
          </w:tcPr>
          <w:p>
            <w:pPr>
              <w:pStyle w:val="TableParagraph"/>
              <w:spacing w:before="146"/>
              <w:rPr>
                <w:sz w:val="21"/>
              </w:rPr>
            </w:pPr>
            <w:r>
              <w:rPr>
                <w:sz w:val="21"/>
              </w:rPr>
              <w:t>由肾脏科专科医生明确诊断肾髓质囊性病，并须满足下列全部条件：</w:t>
            </w:r>
          </w:p>
          <w:p>
            <w:pPr>
              <w:pStyle w:val="TableParagraph"/>
              <w:spacing w:before="38"/>
              <w:rPr>
                <w:sz w:val="21"/>
              </w:rPr>
            </w:pPr>
            <w:r>
              <w:rPr>
                <w:sz w:val="21"/>
              </w:rPr>
              <w:t>（1）超声、MRI 或CT 发现双肾髓质或皮髓质多发囊肿；</w:t>
            </w:r>
          </w:p>
          <w:p>
            <w:pPr>
              <w:pStyle w:val="TableParagraph"/>
              <w:spacing w:line="273" w:lineRule="auto"/>
              <w:ind w:right="546"/>
              <w:rPr>
                <w:sz w:val="21"/>
              </w:rPr>
            </w:pPr>
            <w:r>
              <w:rPr>
                <w:sz w:val="21"/>
              </w:rPr>
              <w:t>（2）典型的病理改变如肾小管萎缩、基底膜增厚、皮髓质交界处囊腔形成；</w:t>
            </w:r>
          </w:p>
          <w:p>
            <w:pPr>
              <w:pStyle w:val="TableParagraph"/>
              <w:spacing w:line="273" w:lineRule="auto" w:before="7"/>
              <w:ind w:right="1071"/>
              <w:rPr>
                <w:sz w:val="21"/>
              </w:rPr>
            </w:pPr>
            <w:r>
              <w:rPr>
                <w:sz w:val="21"/>
              </w:rPr>
              <w:t>（3）肾功能衰竭，且肾小球滤过率小于40ml/min（MDRD 公式）。以下情况不在本保障范围内：</w:t>
            </w:r>
          </w:p>
          <w:p>
            <w:pPr>
              <w:pStyle w:val="TableParagraph"/>
              <w:spacing w:before="7"/>
              <w:rPr>
                <w:sz w:val="21"/>
              </w:rPr>
            </w:pPr>
            <w:r>
              <w:rPr>
                <w:sz w:val="21"/>
              </w:rPr>
              <w:t>（1）多囊肾；</w:t>
            </w:r>
          </w:p>
          <w:p>
            <w:pPr>
              <w:pStyle w:val="TableParagraph"/>
              <w:spacing w:before="36"/>
              <w:rPr>
                <w:sz w:val="21"/>
              </w:rPr>
            </w:pPr>
            <w:r>
              <w:rPr>
                <w:sz w:val="21"/>
              </w:rPr>
              <w:t>（2）多囊性肾发育不良和髓质海绵肾；</w:t>
            </w:r>
          </w:p>
          <w:p>
            <w:pPr>
              <w:pStyle w:val="TableParagraph"/>
              <w:spacing w:before="36"/>
              <w:rPr>
                <w:sz w:val="21"/>
              </w:rPr>
            </w:pPr>
            <w:r>
              <w:rPr>
                <w:sz w:val="21"/>
              </w:rPr>
              <w:t>（3）其他囊性肾脏疾病。</w:t>
            </w:r>
          </w:p>
        </w:tc>
      </w:tr>
      <w:tr>
        <w:trPr>
          <w:trHeight w:val="2808" w:hRule="atLeast"/>
        </w:trPr>
        <w:tc>
          <w:tcPr>
            <w:tcW w:w="1995" w:type="dxa"/>
          </w:tcPr>
          <w:p>
            <w:pPr>
              <w:pStyle w:val="TableParagraph"/>
              <w:spacing w:line="259" w:lineRule="auto" w:before="146"/>
              <w:ind w:left="200" w:right="108"/>
              <w:rPr>
                <w:sz w:val="21"/>
              </w:rPr>
            </w:pPr>
            <w:r>
              <w:rPr>
                <w:rFonts w:ascii="Times New Roman" w:eastAsia="Times New Roman"/>
                <w:sz w:val="21"/>
              </w:rPr>
              <w:t>(</w:t>
            </w:r>
            <w:r>
              <w:rPr>
                <w:sz w:val="21"/>
              </w:rPr>
              <w:t>四十九</w:t>
            </w:r>
            <w:r>
              <w:rPr>
                <w:rFonts w:ascii="Times New Roman" w:eastAsia="Times New Roman"/>
                <w:sz w:val="21"/>
              </w:rPr>
              <w:t>)</w:t>
            </w:r>
            <w:r>
              <w:rPr>
                <w:sz w:val="21"/>
              </w:rPr>
              <w:t>严重的原发性硬化性胆管炎</w:t>
            </w:r>
          </w:p>
        </w:tc>
        <w:tc>
          <w:tcPr>
            <w:tcW w:w="7278" w:type="dxa"/>
          </w:tcPr>
          <w:p>
            <w:pPr>
              <w:pStyle w:val="TableParagraph"/>
              <w:spacing w:line="273" w:lineRule="auto" w:before="146"/>
              <w:ind w:right="308"/>
              <w:jc w:val="both"/>
              <w:rPr>
                <w:sz w:val="21"/>
              </w:rPr>
            </w:pPr>
            <w:r>
              <w:rPr>
                <w:spacing w:val="-8"/>
                <w:sz w:val="21"/>
              </w:rPr>
              <w:t>原发性硬化性胆管炎指一种胆汁淤积综合征，其特征是肝内、肝外胆道因非</w:t>
            </w:r>
            <w:r>
              <w:rPr>
                <w:spacing w:val="-13"/>
                <w:sz w:val="21"/>
              </w:rPr>
              <w:t>细菌性炎症、慢性纤维化逐渐狭窄，并最终导致完全阻塞而发展为胆汁於积</w:t>
            </w:r>
            <w:r>
              <w:rPr>
                <w:spacing w:val="-8"/>
                <w:sz w:val="21"/>
              </w:rPr>
              <w:t>性肝硬化。须满足下列全部条件：</w:t>
            </w:r>
          </w:p>
          <w:p>
            <w:pPr>
              <w:pStyle w:val="TableParagraph"/>
              <w:spacing w:before="8"/>
              <w:jc w:val="both"/>
              <w:rPr>
                <w:sz w:val="21"/>
              </w:rPr>
            </w:pPr>
            <w:r>
              <w:rPr>
                <w:sz w:val="21"/>
              </w:rPr>
              <w:t>（1）持续性黄疸病史；</w:t>
            </w:r>
          </w:p>
          <w:p>
            <w:pPr>
              <w:pStyle w:val="TableParagraph"/>
              <w:jc w:val="both"/>
              <w:rPr>
                <w:sz w:val="21"/>
              </w:rPr>
            </w:pPr>
            <w:r>
              <w:rPr>
                <w:sz w:val="21"/>
              </w:rPr>
              <w:t>（2）总胆红素和直接胆红素同时升高，血清ALP&gt;200U/L；</w:t>
            </w:r>
          </w:p>
          <w:p>
            <w:pPr>
              <w:pStyle w:val="TableParagraph"/>
              <w:jc w:val="both"/>
              <w:rPr>
                <w:sz w:val="21"/>
              </w:rPr>
            </w:pPr>
            <w:r>
              <w:rPr>
                <w:sz w:val="21"/>
              </w:rPr>
              <w:t>（3）经内镜逆行胰胆管造影（ERCP）影像学检查确诊；</w:t>
            </w:r>
          </w:p>
          <w:p>
            <w:pPr>
              <w:pStyle w:val="TableParagraph"/>
              <w:jc w:val="both"/>
              <w:rPr>
                <w:sz w:val="21"/>
              </w:rPr>
            </w:pPr>
            <w:r>
              <w:rPr>
                <w:sz w:val="21"/>
              </w:rPr>
              <w:t>（4）出现胆汁於积性肝硬化或门脉高压。</w:t>
            </w:r>
          </w:p>
          <w:p>
            <w:pPr>
              <w:pStyle w:val="TableParagraph"/>
              <w:spacing w:before="36"/>
              <w:jc w:val="both"/>
              <w:rPr>
                <w:sz w:val="21"/>
              </w:rPr>
            </w:pPr>
            <w:r>
              <w:rPr>
                <w:sz w:val="21"/>
              </w:rPr>
              <w:t>因肿瘤或胆管损伤等继发性的硬化性胆管炎不在保障范围内。</w:t>
            </w:r>
          </w:p>
        </w:tc>
      </w:tr>
      <w:tr>
        <w:trPr>
          <w:trHeight w:val="3432" w:hRule="atLeast"/>
        </w:trPr>
        <w:tc>
          <w:tcPr>
            <w:tcW w:w="1995" w:type="dxa"/>
          </w:tcPr>
          <w:p>
            <w:pPr>
              <w:pStyle w:val="TableParagraph"/>
              <w:spacing w:line="264" w:lineRule="auto" w:before="146"/>
              <w:ind w:left="200" w:right="108"/>
              <w:rPr>
                <w:sz w:val="21"/>
              </w:rPr>
            </w:pPr>
            <w:r>
              <w:rPr>
                <w:rFonts w:ascii="Times New Roman" w:eastAsia="Times New Roman"/>
                <w:sz w:val="21"/>
              </w:rPr>
              <w:t>(</w:t>
            </w:r>
            <w:r>
              <w:rPr>
                <w:sz w:val="21"/>
              </w:rPr>
              <w:t>五十</w:t>
            </w:r>
            <w:r>
              <w:rPr>
                <w:rFonts w:ascii="Times New Roman" w:eastAsia="Times New Roman"/>
                <w:sz w:val="21"/>
              </w:rPr>
              <w:t>)  </w:t>
            </w:r>
            <w:r>
              <w:rPr>
                <w:sz w:val="21"/>
              </w:rPr>
              <w:t>特发性慢性肾上腺皮质功能减退</w:t>
            </w:r>
          </w:p>
        </w:tc>
        <w:tc>
          <w:tcPr>
            <w:tcW w:w="7278" w:type="dxa"/>
          </w:tcPr>
          <w:p>
            <w:pPr>
              <w:pStyle w:val="TableParagraph"/>
              <w:spacing w:line="273" w:lineRule="auto" w:before="146"/>
              <w:ind w:right="233"/>
              <w:rPr>
                <w:sz w:val="21"/>
              </w:rPr>
            </w:pPr>
            <w:r>
              <w:rPr>
                <w:sz w:val="21"/>
              </w:rPr>
              <w:t>指自身免疫性肾上腺炎（既往称：特发性肾上腺皮质萎缩）导致肾上腺萎缩和慢性肾上腺皮质功能减退。必须满足所有以下条件：</w:t>
            </w:r>
          </w:p>
          <w:p>
            <w:pPr>
              <w:pStyle w:val="TableParagraph"/>
              <w:spacing w:before="8"/>
              <w:rPr>
                <w:sz w:val="21"/>
              </w:rPr>
            </w:pPr>
            <w:r>
              <w:rPr>
                <w:sz w:val="21"/>
              </w:rPr>
              <w:t>（1）必须由专科医生明确诊断，符合所有以下诊断标准：</w:t>
            </w:r>
          </w:p>
          <w:p>
            <w:pPr>
              <w:pStyle w:val="TableParagraph"/>
              <w:rPr>
                <w:sz w:val="21"/>
              </w:rPr>
            </w:pPr>
            <w:r>
              <w:rPr>
                <w:sz w:val="21"/>
              </w:rPr>
              <w:t>①血浆促肾上腺皮质激素（ACTH）水平测定，&gt;100pg/ml；</w:t>
            </w:r>
          </w:p>
          <w:p>
            <w:pPr>
              <w:pStyle w:val="TableParagraph"/>
              <w:spacing w:line="273" w:lineRule="auto" w:before="36"/>
              <w:ind w:right="199"/>
              <w:rPr>
                <w:sz w:val="21"/>
              </w:rPr>
            </w:pPr>
            <w:r>
              <w:rPr>
                <w:spacing w:val="-2"/>
                <w:sz w:val="21"/>
              </w:rPr>
              <w:t>②血浆和尿游离皮质醇及尿</w:t>
            </w:r>
            <w:r>
              <w:rPr>
                <w:spacing w:val="-3"/>
                <w:sz w:val="21"/>
              </w:rPr>
              <w:t>17</w:t>
            </w:r>
            <w:r>
              <w:rPr>
                <w:spacing w:val="-8"/>
                <w:sz w:val="21"/>
              </w:rPr>
              <w:t>羟皮质类固醇、</w:t>
            </w:r>
            <w:r>
              <w:rPr>
                <w:spacing w:val="-3"/>
                <w:sz w:val="21"/>
              </w:rPr>
              <w:t>17</w:t>
            </w:r>
            <w:r>
              <w:rPr>
                <w:spacing w:val="-7"/>
                <w:sz w:val="21"/>
              </w:rPr>
              <w:t>酮皮质类固醇测定、血浆肾</w:t>
            </w:r>
            <w:r>
              <w:rPr>
                <w:spacing w:val="-15"/>
                <w:sz w:val="21"/>
              </w:rPr>
              <w:t>素活性、血管紧张素</w:t>
            </w:r>
            <w:r>
              <w:rPr>
                <w:spacing w:val="-3"/>
                <w:sz w:val="21"/>
              </w:rPr>
              <w:t>II</w:t>
            </w:r>
            <w:r>
              <w:rPr>
                <w:spacing w:val="-11"/>
                <w:sz w:val="21"/>
              </w:rPr>
              <w:t>和醛固酮测定，显示为原发性肾上腺皮质功能减退症；</w:t>
            </w:r>
          </w:p>
          <w:p>
            <w:pPr>
              <w:pStyle w:val="TableParagraph"/>
              <w:spacing w:before="7"/>
              <w:rPr>
                <w:sz w:val="21"/>
              </w:rPr>
            </w:pPr>
            <w:r>
              <w:rPr>
                <w:spacing w:val="-12"/>
                <w:w w:val="100"/>
                <w:sz w:val="21"/>
              </w:rPr>
              <w:t>③促肾上腺皮质激素</w:t>
            </w:r>
            <w:r>
              <w:rPr>
                <w:spacing w:val="0"/>
                <w:w w:val="100"/>
                <w:sz w:val="21"/>
              </w:rPr>
              <w:t>（</w:t>
            </w:r>
            <w:r>
              <w:rPr>
                <w:w w:val="100"/>
                <w:sz w:val="21"/>
              </w:rPr>
              <w:t>ACTH</w:t>
            </w:r>
            <w:r>
              <w:rPr>
                <w:spacing w:val="-97"/>
                <w:w w:val="100"/>
                <w:sz w:val="21"/>
              </w:rPr>
              <w:t>）</w:t>
            </w:r>
            <w:r>
              <w:rPr>
                <w:spacing w:val="-5"/>
                <w:w w:val="100"/>
                <w:sz w:val="21"/>
              </w:rPr>
              <w:t>刺激试验显示为原发性肾上腺皮质功能减退症。</w:t>
            </w:r>
          </w:p>
          <w:p>
            <w:pPr>
              <w:pStyle w:val="TableParagraph"/>
              <w:rPr>
                <w:sz w:val="21"/>
              </w:rPr>
            </w:pPr>
            <w:r>
              <w:rPr>
                <w:sz w:val="21"/>
              </w:rPr>
              <w:t>（2）已经采用皮质类固醇替代治疗180 天以上。</w:t>
            </w:r>
          </w:p>
          <w:p>
            <w:pPr>
              <w:pStyle w:val="TableParagraph"/>
              <w:spacing w:line="273" w:lineRule="auto" w:before="38"/>
              <w:ind w:right="339"/>
              <w:rPr>
                <w:sz w:val="21"/>
              </w:rPr>
            </w:pPr>
            <w:r>
              <w:rPr>
                <w:sz w:val="21"/>
              </w:rPr>
              <w:t>肾上腺结核、HIV感染或艾滋病、感染、肿瘤所致的原发性肾上腺皮质功能减退和继发性肾上腺皮质功能减退不在本保障范围内。</w:t>
            </w:r>
          </w:p>
        </w:tc>
      </w:tr>
      <w:tr>
        <w:trPr>
          <w:trHeight w:val="1248" w:hRule="atLeast"/>
        </w:trPr>
        <w:tc>
          <w:tcPr>
            <w:tcW w:w="1995" w:type="dxa"/>
          </w:tcPr>
          <w:p>
            <w:pPr>
              <w:pStyle w:val="TableParagraph"/>
              <w:spacing w:line="256" w:lineRule="auto" w:before="146"/>
              <w:ind w:left="200" w:right="180"/>
              <w:rPr>
                <w:sz w:val="21"/>
              </w:rPr>
            </w:pPr>
            <w:r>
              <w:rPr>
                <w:rFonts w:ascii="Times New Roman" w:eastAsia="Times New Roman"/>
                <w:sz w:val="21"/>
              </w:rPr>
              <w:t>(</w:t>
            </w:r>
            <w:r>
              <w:rPr>
                <w:sz w:val="21"/>
              </w:rPr>
              <w:t>五十一</w:t>
            </w:r>
            <w:r>
              <w:rPr>
                <w:rFonts w:ascii="Times New Roman" w:eastAsia="Times New Roman"/>
                <w:sz w:val="21"/>
              </w:rPr>
              <w:t>)</w:t>
            </w:r>
            <w:r>
              <w:rPr>
                <w:sz w:val="21"/>
              </w:rPr>
              <w:t>溶血性链球菌引起的坏疽</w:t>
            </w:r>
          </w:p>
        </w:tc>
        <w:tc>
          <w:tcPr>
            <w:tcW w:w="7278" w:type="dxa"/>
          </w:tcPr>
          <w:p>
            <w:pPr>
              <w:pStyle w:val="TableParagraph"/>
              <w:spacing w:line="273" w:lineRule="auto" w:before="146"/>
              <w:ind w:right="311"/>
              <w:jc w:val="both"/>
              <w:rPr>
                <w:sz w:val="21"/>
              </w:rPr>
            </w:pPr>
            <w:r>
              <w:rPr>
                <w:spacing w:val="-2"/>
                <w:sz w:val="21"/>
              </w:rPr>
              <w:t>包围肢体或躯干的浅筋膜和</w:t>
            </w:r>
            <w:r>
              <w:rPr>
                <w:sz w:val="21"/>
              </w:rPr>
              <w:t>/</w:t>
            </w:r>
            <w:r>
              <w:rPr>
                <w:spacing w:val="-5"/>
                <w:sz w:val="21"/>
              </w:rPr>
              <w:t>或深筋膜受到溶血性链球菌的感染，病情在短</w:t>
            </w:r>
            <w:r>
              <w:rPr>
                <w:spacing w:val="-11"/>
                <w:sz w:val="21"/>
              </w:rPr>
              <w:t>时间内急剧恶化，必须立刻进行手术及清创术。最后的诊断必须由微生物或</w:t>
            </w:r>
            <w:r>
              <w:rPr>
                <w:spacing w:val="-7"/>
                <w:sz w:val="21"/>
              </w:rPr>
              <w:t>病理学专家进行相关检查后证实。</w:t>
            </w:r>
          </w:p>
        </w:tc>
      </w:tr>
      <w:tr>
        <w:trPr>
          <w:trHeight w:val="1560"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五十二</w:t>
            </w:r>
            <w:r>
              <w:rPr>
                <w:rFonts w:ascii="Times New Roman" w:eastAsia="Times New Roman"/>
                <w:sz w:val="21"/>
              </w:rPr>
              <w:t>) </w:t>
            </w:r>
            <w:r>
              <w:rPr>
                <w:sz w:val="21"/>
              </w:rPr>
              <w:t>颅脑手术</w:t>
            </w:r>
          </w:p>
        </w:tc>
        <w:tc>
          <w:tcPr>
            <w:tcW w:w="7278" w:type="dxa"/>
          </w:tcPr>
          <w:p>
            <w:pPr>
              <w:pStyle w:val="TableParagraph"/>
              <w:spacing w:line="273" w:lineRule="auto" w:before="146"/>
              <w:ind w:right="311"/>
              <w:rPr>
                <w:sz w:val="21"/>
              </w:rPr>
            </w:pPr>
            <w:r>
              <w:rPr>
                <w:spacing w:val="-8"/>
                <w:sz w:val="21"/>
              </w:rPr>
              <w:t>被保险人因疾病确已实施全麻下的开颅手术</w:t>
            </w:r>
            <w:r>
              <w:rPr>
                <w:spacing w:val="-5"/>
                <w:sz w:val="21"/>
              </w:rPr>
              <w:t>（</w:t>
            </w:r>
            <w:r>
              <w:rPr>
                <w:spacing w:val="-4"/>
                <w:sz w:val="21"/>
              </w:rPr>
              <w:t>不包括颅骨钻孔手术和经鼻蝶</w:t>
            </w:r>
            <w:r>
              <w:rPr>
                <w:spacing w:val="-5"/>
                <w:sz w:val="21"/>
              </w:rPr>
              <w:t>窦入颅手术</w:t>
            </w:r>
            <w:r>
              <w:rPr>
                <w:sz w:val="21"/>
              </w:rPr>
              <w:t>）。</w:t>
            </w:r>
          </w:p>
          <w:p>
            <w:pPr>
              <w:pStyle w:val="TableParagraph"/>
              <w:spacing w:before="8"/>
              <w:rPr>
                <w:sz w:val="21"/>
              </w:rPr>
            </w:pPr>
            <w:r>
              <w:rPr>
                <w:sz w:val="21"/>
              </w:rPr>
              <w:t>因外伤而实施的脑外科手术不在保障范围之内。</w:t>
            </w:r>
          </w:p>
          <w:p>
            <w:pPr>
              <w:pStyle w:val="TableParagraph"/>
              <w:spacing w:before="38"/>
              <w:rPr>
                <w:sz w:val="21"/>
              </w:rPr>
            </w:pPr>
            <w:r>
              <w:rPr>
                <w:sz w:val="21"/>
              </w:rPr>
              <w:t>理赔时必须提供由神经外科医生出具的诊断书及手术报告。</w:t>
            </w:r>
          </w:p>
        </w:tc>
      </w:tr>
      <w:tr>
        <w:trPr>
          <w:trHeight w:val="1357"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五十三</w:t>
            </w:r>
            <w:r>
              <w:rPr>
                <w:rFonts w:ascii="Times New Roman" w:eastAsia="Times New Roman"/>
                <w:sz w:val="21"/>
              </w:rPr>
              <w:t>) </w:t>
            </w:r>
            <w:r>
              <w:rPr>
                <w:sz w:val="21"/>
              </w:rPr>
              <w:t>严重心肌炎</w:t>
            </w:r>
          </w:p>
        </w:tc>
        <w:tc>
          <w:tcPr>
            <w:tcW w:w="7278" w:type="dxa"/>
          </w:tcPr>
          <w:p>
            <w:pPr>
              <w:pStyle w:val="TableParagraph"/>
              <w:spacing w:line="273" w:lineRule="auto" w:before="146"/>
              <w:ind w:right="438"/>
              <w:rPr>
                <w:sz w:val="21"/>
              </w:rPr>
            </w:pPr>
            <w:r>
              <w:rPr>
                <w:sz w:val="21"/>
              </w:rPr>
              <w:t>指被保险人因严重心肌炎性病变导致心功能损害造成持续的永久不可逆性的心功能衰竭。必须满足所有以下条件：</w:t>
            </w:r>
          </w:p>
          <w:p>
            <w:pPr>
              <w:pStyle w:val="TableParagraph"/>
              <w:spacing w:line="312" w:lineRule="exact" w:before="3"/>
              <w:ind w:right="197"/>
              <w:rPr>
                <w:sz w:val="21"/>
              </w:rPr>
            </w:pPr>
            <w:r>
              <w:rPr>
                <w:spacing w:val="-26"/>
                <w:sz w:val="21"/>
              </w:rPr>
              <w:t>（1）</w:t>
            </w:r>
            <w:r>
              <w:rPr>
                <w:spacing w:val="-5"/>
                <w:sz w:val="21"/>
              </w:rPr>
              <w:t>心功能衰竭程度达到纽约心脏病学会的心功能分级标准之心功能</w:t>
            </w:r>
            <w:r>
              <w:rPr>
                <w:sz w:val="21"/>
              </w:rPr>
              <w:t>IV级， </w:t>
            </w:r>
            <w:r>
              <w:rPr>
                <w:spacing w:val="-2"/>
                <w:sz w:val="21"/>
              </w:rPr>
              <w:t>或左室射血分数低于</w:t>
            </w:r>
            <w:r>
              <w:rPr>
                <w:sz w:val="21"/>
              </w:rPr>
              <w:t>30%；</w:t>
            </w:r>
          </w:p>
        </w:tc>
      </w:tr>
    </w:tbl>
    <w:p>
      <w:pPr>
        <w:spacing w:after="0" w:line="312" w:lineRule="exact"/>
        <w:rPr>
          <w:sz w:val="21"/>
        </w:rPr>
        <w:sectPr>
          <w:pgSz w:w="11910" w:h="16840"/>
          <w:pgMar w:header="496" w:footer="995" w:top="800" w:bottom="1180" w:left="960" w:right="720"/>
        </w:sectPr>
      </w:pPr>
    </w:p>
    <w:p>
      <w:pPr>
        <w:pStyle w:val="BodyText"/>
        <w:rPr>
          <w:rFonts w:ascii="Times New Roman"/>
          <w:sz w:val="20"/>
        </w:rPr>
      </w:pPr>
    </w:p>
    <w:p>
      <w:pPr>
        <w:pStyle w:val="BodyText"/>
        <w:spacing w:before="9" w:after="1"/>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8"/>
        <w:gridCol w:w="7263"/>
      </w:tblGrid>
      <w:tr>
        <w:trPr>
          <w:trHeight w:val="726" w:hRule="atLeast"/>
        </w:trPr>
        <w:tc>
          <w:tcPr>
            <w:tcW w:w="2008" w:type="dxa"/>
          </w:tcPr>
          <w:p>
            <w:pPr>
              <w:pStyle w:val="TableParagraph"/>
              <w:spacing w:before="0"/>
              <w:ind w:left="0"/>
              <w:rPr>
                <w:rFonts w:ascii="Times New Roman"/>
                <w:sz w:val="20"/>
              </w:rPr>
            </w:pPr>
          </w:p>
        </w:tc>
        <w:tc>
          <w:tcPr>
            <w:tcW w:w="7263" w:type="dxa"/>
          </w:tcPr>
          <w:p>
            <w:pPr>
              <w:pStyle w:val="TableParagraph"/>
              <w:spacing w:line="211" w:lineRule="exact" w:before="0"/>
              <w:ind w:left="98"/>
              <w:rPr>
                <w:sz w:val="21"/>
              </w:rPr>
            </w:pPr>
            <w:r>
              <w:rPr>
                <w:sz w:val="21"/>
              </w:rPr>
              <w:t>（2）持续不间断180天以上；</w:t>
            </w:r>
          </w:p>
          <w:p>
            <w:pPr>
              <w:pStyle w:val="TableParagraph"/>
              <w:ind w:left="98"/>
              <w:rPr>
                <w:sz w:val="21"/>
              </w:rPr>
            </w:pPr>
            <w:r>
              <w:rPr>
                <w:sz w:val="21"/>
              </w:rPr>
              <w:t>（3）被保险人永久不可逆性的体力活动能力受限，不能从事任何体力活动。</w:t>
            </w:r>
          </w:p>
        </w:tc>
      </w:tr>
      <w:tr>
        <w:trPr>
          <w:trHeight w:val="1248" w:hRule="atLeast"/>
        </w:trPr>
        <w:tc>
          <w:tcPr>
            <w:tcW w:w="2008" w:type="dxa"/>
          </w:tcPr>
          <w:p>
            <w:pPr>
              <w:pStyle w:val="TableParagraph"/>
              <w:spacing w:line="264" w:lineRule="auto" w:before="146"/>
              <w:ind w:left="200" w:right="121"/>
              <w:rPr>
                <w:sz w:val="21"/>
              </w:rPr>
            </w:pPr>
            <w:r>
              <w:rPr>
                <w:rFonts w:ascii="Times New Roman" w:eastAsia="Times New Roman"/>
                <w:sz w:val="21"/>
              </w:rPr>
              <w:t>(</w:t>
            </w:r>
            <w:r>
              <w:rPr>
                <w:sz w:val="21"/>
              </w:rPr>
              <w:t>五十四</w:t>
            </w:r>
            <w:r>
              <w:rPr>
                <w:rFonts w:ascii="Times New Roman" w:eastAsia="Times New Roman"/>
                <w:sz w:val="21"/>
              </w:rPr>
              <w:t>)  </w:t>
            </w:r>
            <w:r>
              <w:rPr>
                <w:sz w:val="21"/>
              </w:rPr>
              <w:t>侵蚀性葡萄胎（或称恶性葡萄胎）</w:t>
            </w:r>
          </w:p>
        </w:tc>
        <w:tc>
          <w:tcPr>
            <w:tcW w:w="7263" w:type="dxa"/>
          </w:tcPr>
          <w:p>
            <w:pPr>
              <w:pStyle w:val="TableParagraph"/>
              <w:spacing w:line="273" w:lineRule="auto" w:before="146"/>
              <w:ind w:left="98" w:right="438"/>
              <w:rPr>
                <w:sz w:val="21"/>
              </w:rPr>
            </w:pPr>
            <w:r>
              <w:rPr>
                <w:sz w:val="21"/>
              </w:rPr>
              <w:t>该类疾病是指异常增生的绒毛组织浸润性生长侵入子宫肌层或转移至其他器官或组织的葡萄胎，并已经进行化疗或手术治疗的。</w:t>
            </w:r>
          </w:p>
        </w:tc>
      </w:tr>
      <w:tr>
        <w:trPr>
          <w:trHeight w:val="1560" w:hRule="atLeast"/>
        </w:trPr>
        <w:tc>
          <w:tcPr>
            <w:tcW w:w="2008" w:type="dxa"/>
          </w:tcPr>
          <w:p>
            <w:pPr>
              <w:pStyle w:val="TableParagraph"/>
              <w:spacing w:line="256" w:lineRule="auto" w:before="146"/>
              <w:ind w:left="200" w:right="298"/>
              <w:rPr>
                <w:sz w:val="21"/>
              </w:rPr>
            </w:pPr>
            <w:r>
              <w:rPr>
                <w:rFonts w:ascii="Times New Roman" w:eastAsia="Times New Roman"/>
                <w:sz w:val="21"/>
              </w:rPr>
              <w:t>(</w:t>
            </w:r>
            <w:r>
              <w:rPr>
                <w:sz w:val="21"/>
              </w:rPr>
              <w:t>五十五</w:t>
            </w:r>
            <w:r>
              <w:rPr>
                <w:rFonts w:ascii="Times New Roman" w:eastAsia="Times New Roman"/>
                <w:sz w:val="21"/>
              </w:rPr>
              <w:t>) </w:t>
            </w:r>
            <w:r>
              <w:rPr>
                <w:sz w:val="21"/>
              </w:rPr>
              <w:t>破裂脑动脉瘤夹闭手术</w:t>
            </w:r>
          </w:p>
        </w:tc>
        <w:tc>
          <w:tcPr>
            <w:tcW w:w="7263" w:type="dxa"/>
          </w:tcPr>
          <w:p>
            <w:pPr>
              <w:pStyle w:val="TableParagraph"/>
              <w:spacing w:line="273" w:lineRule="auto" w:before="146"/>
              <w:ind w:left="98" w:right="306"/>
              <w:rPr>
                <w:sz w:val="21"/>
              </w:rPr>
            </w:pPr>
            <w:r>
              <w:rPr>
                <w:spacing w:val="-9"/>
                <w:sz w:val="21"/>
              </w:rPr>
              <w:t>指因脑动脉瘤破裂造成蛛网膜下腔出血，被保险人实际接受了在全麻下进行</w:t>
            </w:r>
            <w:r>
              <w:rPr>
                <w:spacing w:val="-7"/>
                <w:sz w:val="21"/>
              </w:rPr>
              <w:t>的开颅动脉瘤夹闭手术。</w:t>
            </w:r>
          </w:p>
          <w:p>
            <w:pPr>
              <w:pStyle w:val="TableParagraph"/>
              <w:spacing w:line="273" w:lineRule="auto" w:before="8"/>
              <w:ind w:left="98" w:right="308"/>
              <w:rPr>
                <w:sz w:val="21"/>
              </w:rPr>
            </w:pPr>
            <w:r>
              <w:rPr>
                <w:spacing w:val="-5"/>
                <w:sz w:val="21"/>
              </w:rPr>
              <w:t>脑动脉瘤</w:t>
            </w:r>
            <w:r>
              <w:rPr>
                <w:sz w:val="21"/>
              </w:rPr>
              <w:t>（</w:t>
            </w:r>
            <w:r>
              <w:rPr>
                <w:spacing w:val="-2"/>
                <w:sz w:val="21"/>
              </w:rPr>
              <w:t>未破裂</w:t>
            </w:r>
            <w:r>
              <w:rPr>
                <w:spacing w:val="-15"/>
                <w:sz w:val="21"/>
              </w:rPr>
              <w:t>）</w:t>
            </w:r>
            <w:r>
              <w:rPr>
                <w:spacing w:val="-7"/>
                <w:sz w:val="21"/>
              </w:rPr>
              <w:t>预防性手术、颅骨打孔手术、动脉瘤栓塞手术、血管内</w:t>
            </w:r>
            <w:r>
              <w:rPr>
                <w:spacing w:val="-6"/>
                <w:sz w:val="21"/>
              </w:rPr>
              <w:t>手术及其他颅脑手术不在本保障范围内。</w:t>
            </w:r>
          </w:p>
        </w:tc>
      </w:tr>
      <w:tr>
        <w:trPr>
          <w:trHeight w:val="1248" w:hRule="atLeast"/>
        </w:trPr>
        <w:tc>
          <w:tcPr>
            <w:tcW w:w="2008" w:type="dxa"/>
          </w:tcPr>
          <w:p>
            <w:pPr>
              <w:pStyle w:val="TableParagraph"/>
              <w:spacing w:line="256" w:lineRule="auto" w:before="146"/>
              <w:ind w:left="200" w:right="101"/>
              <w:rPr>
                <w:sz w:val="21"/>
              </w:rPr>
            </w:pPr>
            <w:r>
              <w:rPr>
                <w:rFonts w:ascii="Times New Roman" w:eastAsia="Times New Roman"/>
                <w:sz w:val="21"/>
              </w:rPr>
              <w:t>(</w:t>
            </w:r>
            <w:r>
              <w:rPr>
                <w:sz w:val="21"/>
              </w:rPr>
              <w:t>五十六</w:t>
            </w:r>
            <w:r>
              <w:rPr>
                <w:rFonts w:ascii="Times New Roman" w:eastAsia="Times New Roman"/>
                <w:sz w:val="21"/>
              </w:rPr>
              <w:t>)</w:t>
            </w:r>
            <w:r>
              <w:rPr>
                <w:sz w:val="21"/>
              </w:rPr>
              <w:t>需手术切除的嗜铬细胞瘤</w:t>
            </w:r>
          </w:p>
        </w:tc>
        <w:tc>
          <w:tcPr>
            <w:tcW w:w="7263" w:type="dxa"/>
          </w:tcPr>
          <w:p>
            <w:pPr>
              <w:pStyle w:val="TableParagraph"/>
              <w:spacing w:line="273" w:lineRule="auto" w:before="146"/>
              <w:ind w:left="98" w:right="309"/>
              <w:jc w:val="both"/>
              <w:rPr>
                <w:sz w:val="21"/>
              </w:rPr>
            </w:pPr>
            <w:r>
              <w:rPr>
                <w:spacing w:val="-8"/>
                <w:sz w:val="21"/>
              </w:rPr>
              <w:t>是指肾上腺或肾上腺外嗜铬组织出现神经内分泌肿瘤，并分泌过多的儿茶酚</w:t>
            </w:r>
            <w:r>
              <w:rPr>
                <w:spacing w:val="-11"/>
                <w:sz w:val="21"/>
              </w:rPr>
              <w:t>胺类，需要并实际进行了手术切除肿瘤。嗜铬细胞瘤的诊断必须由内分泌专</w:t>
            </w:r>
            <w:r>
              <w:rPr>
                <w:spacing w:val="-9"/>
                <w:sz w:val="21"/>
              </w:rPr>
              <w:t>科医生确定。</w:t>
            </w:r>
          </w:p>
        </w:tc>
      </w:tr>
      <w:tr>
        <w:trPr>
          <w:trHeight w:val="1872" w:hRule="atLeast"/>
        </w:trPr>
        <w:tc>
          <w:tcPr>
            <w:tcW w:w="2008" w:type="dxa"/>
          </w:tcPr>
          <w:p>
            <w:pPr>
              <w:pStyle w:val="TableParagraph"/>
              <w:spacing w:line="256" w:lineRule="auto" w:before="146"/>
              <w:ind w:left="200" w:right="97"/>
              <w:rPr>
                <w:sz w:val="21"/>
              </w:rPr>
            </w:pPr>
            <w:r>
              <w:rPr>
                <w:rFonts w:ascii="Times New Roman" w:eastAsia="Times New Roman"/>
                <w:sz w:val="21"/>
              </w:rPr>
              <w:t>( </w:t>
            </w:r>
            <w:r>
              <w:rPr>
                <w:sz w:val="21"/>
              </w:rPr>
              <w:t>五十七</w:t>
            </w:r>
            <w:r>
              <w:rPr>
                <w:rFonts w:ascii="Times New Roman" w:eastAsia="Times New Roman"/>
                <w:sz w:val="21"/>
              </w:rPr>
              <w:t>) </w:t>
            </w:r>
            <w:r>
              <w:rPr>
                <w:sz w:val="21"/>
              </w:rPr>
              <w:t>进行性核 上 性 麻 痹</w:t>
            </w:r>
          </w:p>
          <w:p>
            <w:pPr>
              <w:pStyle w:val="TableParagraph"/>
              <w:spacing w:before="22"/>
              <w:ind w:left="200"/>
              <w:rPr>
                <w:rFonts w:ascii="Times New Roman" w:eastAsia="Times New Roman"/>
                <w:sz w:val="21"/>
              </w:rPr>
            </w:pPr>
            <w:r>
              <w:rPr>
                <w:sz w:val="21"/>
              </w:rPr>
              <w:t>（</w:t>
            </w:r>
            <w:r>
              <w:rPr>
                <w:rFonts w:ascii="Times New Roman" w:eastAsia="Times New Roman"/>
                <w:sz w:val="21"/>
              </w:rPr>
              <w:t>Steele-Rchardson</w:t>
            </w:r>
          </w:p>
          <w:p>
            <w:pPr>
              <w:pStyle w:val="TableParagraph"/>
              <w:spacing w:line="256" w:lineRule="auto" w:before="21"/>
              <w:ind w:left="200" w:right="96"/>
              <w:rPr>
                <w:sz w:val="21"/>
              </w:rPr>
            </w:pPr>
            <w:r>
              <w:rPr>
                <w:sz w:val="21"/>
              </w:rPr>
              <w:t>— </w:t>
            </w:r>
            <w:r>
              <w:rPr>
                <w:rFonts w:ascii="Times New Roman" w:hAnsi="Times New Roman" w:eastAsia="Times New Roman"/>
                <w:sz w:val="21"/>
              </w:rPr>
              <w:t>Olszewski </w:t>
            </w:r>
            <w:r>
              <w:rPr>
                <w:sz w:val="21"/>
              </w:rPr>
              <w:t>综合征）</w:t>
            </w:r>
          </w:p>
        </w:tc>
        <w:tc>
          <w:tcPr>
            <w:tcW w:w="7263" w:type="dxa"/>
          </w:tcPr>
          <w:p>
            <w:pPr>
              <w:pStyle w:val="TableParagraph"/>
              <w:spacing w:line="273" w:lineRule="auto" w:before="146"/>
              <w:ind w:left="98" w:right="309"/>
              <w:jc w:val="both"/>
              <w:rPr>
                <w:sz w:val="21"/>
              </w:rPr>
            </w:pPr>
            <w:r>
              <w:rPr>
                <w:spacing w:val="-1"/>
                <w:sz w:val="21"/>
              </w:rPr>
              <w:t>进行性核上性麻痹</w:t>
            </w:r>
            <w:r>
              <w:rPr>
                <w:sz w:val="21"/>
              </w:rPr>
              <w:t>（PSP）</w:t>
            </w:r>
            <w:r>
              <w:rPr>
                <w:spacing w:val="-3"/>
                <w:sz w:val="21"/>
              </w:rPr>
              <w:t>又称</w:t>
            </w:r>
            <w:r>
              <w:rPr>
                <w:sz w:val="21"/>
              </w:rPr>
              <w:t>Steele-Rchardson—Olszewski 综合征，是</w:t>
            </w:r>
            <w:r>
              <w:rPr>
                <w:spacing w:val="-7"/>
                <w:sz w:val="21"/>
              </w:rPr>
              <w:t>一种少见的神经系统变性疾病，以假球麻痹、垂直性核上性眼肌麻痹、锥体</w:t>
            </w:r>
            <w:r>
              <w:rPr>
                <w:spacing w:val="-6"/>
                <w:sz w:val="21"/>
              </w:rPr>
              <w:t>外系肌僵直、步态共济失调和轻度痴呆为主要临床特征。</w:t>
            </w:r>
            <w:r>
              <w:rPr>
                <w:sz w:val="21"/>
              </w:rPr>
              <w:t>PSP</w:t>
            </w:r>
            <w:r>
              <w:rPr>
                <w:spacing w:val="-2"/>
                <w:sz w:val="21"/>
              </w:rPr>
              <w:t>必须由三级甲</w:t>
            </w:r>
            <w:r>
              <w:rPr>
                <w:spacing w:val="-10"/>
                <w:sz w:val="21"/>
              </w:rPr>
              <w:t>等医院的神经内科专科医生确诊，并且被保险人自主生活能力完全丧失，无</w:t>
            </w:r>
            <w:r>
              <w:rPr>
                <w:spacing w:val="-7"/>
                <w:sz w:val="21"/>
              </w:rPr>
              <w:t>法独立完成六项基本日常生活活动中的三项或三项以上。</w:t>
            </w:r>
          </w:p>
        </w:tc>
      </w:tr>
      <w:tr>
        <w:trPr>
          <w:trHeight w:val="3432" w:hRule="atLeast"/>
        </w:trPr>
        <w:tc>
          <w:tcPr>
            <w:tcW w:w="2008" w:type="dxa"/>
          </w:tcPr>
          <w:p>
            <w:pPr>
              <w:pStyle w:val="TableParagraph"/>
              <w:spacing w:line="256" w:lineRule="auto" w:before="146"/>
              <w:ind w:left="200" w:right="116"/>
              <w:rPr>
                <w:sz w:val="21"/>
              </w:rPr>
            </w:pPr>
            <w:r>
              <w:rPr>
                <w:rFonts w:ascii="Times New Roman" w:eastAsia="Times New Roman"/>
                <w:sz w:val="21"/>
              </w:rPr>
              <w:t>( </w:t>
            </w:r>
            <w:r>
              <w:rPr>
                <w:sz w:val="21"/>
              </w:rPr>
              <w:t>五十八</w:t>
            </w:r>
            <w:r>
              <w:rPr>
                <w:rFonts w:ascii="Times New Roman" w:eastAsia="Times New Roman"/>
                <w:sz w:val="21"/>
              </w:rPr>
              <w:t>) </w:t>
            </w:r>
            <w:r>
              <w:rPr>
                <w:sz w:val="21"/>
              </w:rPr>
              <w:t>严重肝豆 状 核 变 性</w:t>
            </w:r>
          </w:p>
          <w:p>
            <w:pPr>
              <w:pStyle w:val="TableParagraph"/>
              <w:spacing w:before="22"/>
              <w:ind w:left="200"/>
              <w:rPr>
                <w:sz w:val="21"/>
              </w:rPr>
            </w:pPr>
            <w:r>
              <w:rPr>
                <w:sz w:val="21"/>
              </w:rPr>
              <w:t>（</w:t>
            </w:r>
            <w:r>
              <w:rPr>
                <w:rFonts w:ascii="Times New Roman" w:eastAsia="Times New Roman"/>
                <w:sz w:val="21"/>
              </w:rPr>
              <w:t>Wilson </w:t>
            </w:r>
            <w:r>
              <w:rPr>
                <w:sz w:val="21"/>
              </w:rPr>
              <w:t>病）</w:t>
            </w:r>
          </w:p>
        </w:tc>
        <w:tc>
          <w:tcPr>
            <w:tcW w:w="7263" w:type="dxa"/>
          </w:tcPr>
          <w:p>
            <w:pPr>
              <w:pStyle w:val="TableParagraph"/>
              <w:spacing w:line="273" w:lineRule="auto" w:before="146"/>
              <w:ind w:left="98" w:right="309"/>
              <w:rPr>
                <w:sz w:val="21"/>
              </w:rPr>
            </w:pPr>
            <w:r>
              <w:rPr>
                <w:spacing w:val="-9"/>
                <w:sz w:val="21"/>
              </w:rPr>
              <w:t>指由于铜代谢障碍所引起的一种疾病，其特点为肝硬化与双侧脑基底神经节</w:t>
            </w:r>
            <w:r>
              <w:rPr>
                <w:spacing w:val="-7"/>
                <w:sz w:val="21"/>
              </w:rPr>
              <w:t>变性同时存在，且须经专科医生明确诊断，并同时必须具备下列情况：</w:t>
            </w:r>
          </w:p>
          <w:p>
            <w:pPr>
              <w:pStyle w:val="TableParagraph"/>
              <w:spacing w:line="256" w:lineRule="auto" w:before="8"/>
              <w:ind w:left="98" w:right="306"/>
              <w:rPr>
                <w:sz w:val="21"/>
              </w:rPr>
            </w:pPr>
            <w:r>
              <w:rPr>
                <w:sz w:val="21"/>
              </w:rPr>
              <w:t>（</w:t>
            </w:r>
            <w:r>
              <w:rPr>
                <w:rFonts w:ascii="Times New Roman" w:eastAsia="Times New Roman"/>
                <w:sz w:val="21"/>
              </w:rPr>
              <w:t>1</w:t>
            </w:r>
            <w:r>
              <w:rPr>
                <w:sz w:val="21"/>
              </w:rPr>
              <w:t>）临床表现包括：进行性加剧的肢体震颤，肌强直，吞咽及发音困难， 精神异常；</w:t>
            </w:r>
          </w:p>
          <w:p>
            <w:pPr>
              <w:pStyle w:val="TableParagraph"/>
              <w:spacing w:before="22"/>
              <w:ind w:left="98"/>
              <w:rPr>
                <w:sz w:val="21"/>
              </w:rPr>
            </w:pPr>
            <w:r>
              <w:rPr>
                <w:w w:val="100"/>
                <w:sz w:val="21"/>
              </w:rPr>
              <w:t>（</w:t>
            </w:r>
            <w:r>
              <w:rPr>
                <w:rFonts w:ascii="Times New Roman" w:eastAsia="Times New Roman"/>
                <w:w w:val="100"/>
                <w:sz w:val="21"/>
              </w:rPr>
              <w:t>2</w:t>
            </w:r>
            <w:r>
              <w:rPr>
                <w:w w:val="100"/>
                <w:sz w:val="21"/>
              </w:rPr>
              <w:t>）</w:t>
            </w:r>
            <w:r>
              <w:rPr>
                <w:spacing w:val="-2"/>
                <w:w w:val="100"/>
                <w:sz w:val="21"/>
              </w:rPr>
              <w:t>角膜色素环</w:t>
            </w:r>
            <w:r>
              <w:rPr>
                <w:spacing w:val="-4"/>
                <w:w w:val="100"/>
                <w:sz w:val="21"/>
              </w:rPr>
              <w:t>（</w:t>
            </w:r>
            <w:r>
              <w:rPr>
                <w:rFonts w:ascii="Times New Roman" w:eastAsia="Times New Roman"/>
                <w:spacing w:val="0"/>
                <w:w w:val="100"/>
                <w:sz w:val="21"/>
              </w:rPr>
              <w:t>K</w:t>
            </w:r>
            <w:r>
              <w:rPr>
                <w:rFonts w:ascii="Times New Roman" w:eastAsia="Times New Roman"/>
                <w:spacing w:val="0"/>
                <w:w w:val="100"/>
                <w:sz w:val="21"/>
              </w:rPr>
              <w:t>-</w:t>
            </w:r>
            <w:r>
              <w:rPr>
                <w:rFonts w:ascii="Times New Roman" w:eastAsia="Times New Roman"/>
                <w:w w:val="100"/>
                <w:sz w:val="21"/>
              </w:rPr>
              <w:t>F</w:t>
            </w:r>
            <w:r>
              <w:rPr>
                <w:rFonts w:ascii="Times New Roman" w:eastAsia="Times New Roman"/>
                <w:spacing w:val="-2"/>
                <w:sz w:val="21"/>
              </w:rPr>
              <w:t> </w:t>
            </w:r>
            <w:r>
              <w:rPr>
                <w:w w:val="100"/>
                <w:sz w:val="21"/>
              </w:rPr>
              <w:t>环</w:t>
            </w:r>
            <w:r>
              <w:rPr>
                <w:spacing w:val="-106"/>
                <w:w w:val="100"/>
                <w:sz w:val="21"/>
              </w:rPr>
              <w:t>）</w:t>
            </w:r>
            <w:r>
              <w:rPr>
                <w:w w:val="100"/>
                <w:sz w:val="21"/>
              </w:rPr>
              <w:t>；</w:t>
            </w:r>
          </w:p>
          <w:p>
            <w:pPr>
              <w:pStyle w:val="TableParagraph"/>
              <w:spacing w:before="20"/>
              <w:ind w:left="98"/>
              <w:rPr>
                <w:sz w:val="21"/>
              </w:rPr>
            </w:pPr>
            <w:r>
              <w:rPr>
                <w:sz w:val="21"/>
              </w:rPr>
              <w:t>（</w:t>
            </w:r>
            <w:r>
              <w:rPr>
                <w:rFonts w:ascii="Times New Roman" w:eastAsia="Times New Roman"/>
                <w:sz w:val="21"/>
              </w:rPr>
              <w:t>3</w:t>
            </w:r>
            <w:r>
              <w:rPr>
                <w:sz w:val="21"/>
              </w:rPr>
              <w:t>）血清铜和血清铜蓝蛋白降低，尿铜增加；</w:t>
            </w:r>
          </w:p>
          <w:p>
            <w:pPr>
              <w:pStyle w:val="TableParagraph"/>
              <w:spacing w:before="20"/>
              <w:ind w:left="98"/>
              <w:rPr>
                <w:sz w:val="21"/>
              </w:rPr>
            </w:pPr>
            <w:r>
              <w:rPr>
                <w:sz w:val="21"/>
              </w:rPr>
              <w:t>（</w:t>
            </w:r>
            <w:r>
              <w:rPr>
                <w:rFonts w:ascii="Times New Roman" w:eastAsia="Times New Roman"/>
                <w:sz w:val="21"/>
              </w:rPr>
              <w:t>4</w:t>
            </w:r>
            <w:r>
              <w:rPr>
                <w:sz w:val="21"/>
              </w:rPr>
              <w:t>）食管静脉曲张；</w:t>
            </w:r>
          </w:p>
          <w:p>
            <w:pPr>
              <w:pStyle w:val="TableParagraph"/>
              <w:spacing w:before="20"/>
              <w:ind w:left="98"/>
              <w:rPr>
                <w:sz w:val="21"/>
              </w:rPr>
            </w:pPr>
            <w:r>
              <w:rPr>
                <w:sz w:val="21"/>
              </w:rPr>
              <w:t>（</w:t>
            </w:r>
            <w:r>
              <w:rPr>
                <w:rFonts w:ascii="Times New Roman" w:eastAsia="Times New Roman"/>
                <w:sz w:val="21"/>
              </w:rPr>
              <w:t>5</w:t>
            </w:r>
            <w:r>
              <w:rPr>
                <w:sz w:val="21"/>
              </w:rPr>
              <w:t>）腹水。</w:t>
            </w:r>
          </w:p>
          <w:p>
            <w:pPr>
              <w:pStyle w:val="TableParagraph"/>
              <w:spacing w:line="273" w:lineRule="auto" w:before="21"/>
              <w:ind w:left="98" w:right="203"/>
              <w:rPr>
                <w:sz w:val="21"/>
              </w:rPr>
            </w:pPr>
            <w:r>
              <w:rPr>
                <w:spacing w:val="-13"/>
                <w:sz w:val="21"/>
              </w:rPr>
              <w:t>本公司承担本项疾病责任不受本合同责任免除中“遗传性疾病，先天性畸形、</w:t>
            </w:r>
            <w:r>
              <w:rPr>
                <w:spacing w:val="-8"/>
                <w:sz w:val="21"/>
              </w:rPr>
              <w:t>变形或染色体异常”的限制。</w:t>
            </w:r>
          </w:p>
        </w:tc>
      </w:tr>
      <w:tr>
        <w:trPr>
          <w:trHeight w:val="2496" w:hRule="atLeast"/>
        </w:trPr>
        <w:tc>
          <w:tcPr>
            <w:tcW w:w="2008" w:type="dxa"/>
          </w:tcPr>
          <w:p>
            <w:pPr>
              <w:pStyle w:val="TableParagraph"/>
              <w:spacing w:line="256" w:lineRule="auto" w:before="146"/>
              <w:ind w:left="200" w:right="101"/>
              <w:rPr>
                <w:sz w:val="21"/>
              </w:rPr>
            </w:pPr>
            <w:r>
              <w:rPr>
                <w:rFonts w:ascii="Times New Roman" w:eastAsia="Times New Roman"/>
                <w:sz w:val="21"/>
              </w:rPr>
              <w:t>(</w:t>
            </w:r>
            <w:r>
              <w:rPr>
                <w:sz w:val="21"/>
              </w:rPr>
              <w:t>五十九</w:t>
            </w:r>
            <w:r>
              <w:rPr>
                <w:rFonts w:ascii="Times New Roman" w:eastAsia="Times New Roman"/>
                <w:sz w:val="21"/>
              </w:rPr>
              <w:t>)</w:t>
            </w:r>
            <w:r>
              <w:rPr>
                <w:sz w:val="21"/>
              </w:rPr>
              <w:t>艾森门格综合征</w:t>
            </w:r>
          </w:p>
        </w:tc>
        <w:tc>
          <w:tcPr>
            <w:tcW w:w="7263" w:type="dxa"/>
          </w:tcPr>
          <w:p>
            <w:pPr>
              <w:pStyle w:val="TableParagraph"/>
              <w:spacing w:line="273" w:lineRule="auto" w:before="146"/>
              <w:ind w:left="98" w:right="308"/>
              <w:rPr>
                <w:sz w:val="21"/>
              </w:rPr>
            </w:pPr>
            <w:r>
              <w:rPr>
                <w:spacing w:val="-9"/>
                <w:sz w:val="21"/>
              </w:rPr>
              <w:t>指因心脏病导致的严重肺动脉高血压及右向左分流。诊断必须由专科医生经</w:t>
            </w:r>
            <w:r>
              <w:rPr>
                <w:spacing w:val="-7"/>
                <w:sz w:val="21"/>
              </w:rPr>
              <w:t>超声心动图和心导管检查证实及需符合以下所有标准：</w:t>
            </w:r>
          </w:p>
          <w:p>
            <w:pPr>
              <w:pStyle w:val="TableParagraph"/>
              <w:spacing w:before="8"/>
              <w:ind w:left="98"/>
              <w:rPr>
                <w:sz w:val="21"/>
              </w:rPr>
            </w:pPr>
            <w:r>
              <w:rPr>
                <w:sz w:val="21"/>
              </w:rPr>
              <w:t>（</w:t>
            </w:r>
            <w:r>
              <w:rPr>
                <w:rFonts w:ascii="Times New Roman" w:eastAsia="Times New Roman"/>
                <w:sz w:val="21"/>
              </w:rPr>
              <w:t>1</w:t>
            </w:r>
            <w:r>
              <w:rPr>
                <w:sz w:val="21"/>
              </w:rPr>
              <w:t>）平均肺动脉压高于 </w:t>
            </w:r>
            <w:r>
              <w:rPr>
                <w:rFonts w:ascii="Times New Roman" w:eastAsia="Times New Roman"/>
                <w:sz w:val="21"/>
              </w:rPr>
              <w:t>40</w:t>
            </w:r>
            <w:r>
              <w:rPr>
                <w:sz w:val="21"/>
              </w:rPr>
              <w:t>mmHg；</w:t>
            </w:r>
          </w:p>
          <w:p>
            <w:pPr>
              <w:pStyle w:val="TableParagraph"/>
              <w:spacing w:before="21"/>
              <w:ind w:left="98"/>
              <w:rPr>
                <w:sz w:val="21"/>
              </w:rPr>
            </w:pPr>
            <w:r>
              <w:rPr>
                <w:w w:val="100"/>
                <w:sz w:val="21"/>
              </w:rPr>
              <w:t>（2）</w:t>
            </w:r>
            <w:r>
              <w:rPr>
                <w:spacing w:val="-3"/>
                <w:w w:val="100"/>
                <w:sz w:val="21"/>
              </w:rPr>
              <w:t>肺血管阻力高于</w:t>
            </w:r>
            <w:r>
              <w:rPr>
                <w:spacing w:val="-52"/>
                <w:sz w:val="21"/>
              </w:rPr>
              <w:t> </w:t>
            </w:r>
            <w:r>
              <w:rPr>
                <w:w w:val="100"/>
                <w:sz w:val="21"/>
              </w:rPr>
              <w:t>3mm/L/</w:t>
            </w:r>
            <w:r>
              <w:rPr>
                <w:spacing w:val="-5"/>
                <w:w w:val="100"/>
                <w:sz w:val="21"/>
              </w:rPr>
              <w:t>m</w:t>
            </w:r>
            <w:r>
              <w:rPr>
                <w:w w:val="100"/>
                <w:sz w:val="21"/>
              </w:rPr>
              <w:t>in（Wood</w:t>
            </w:r>
            <w:r>
              <w:rPr>
                <w:spacing w:val="-57"/>
                <w:sz w:val="21"/>
              </w:rPr>
              <w:t> </w:t>
            </w:r>
            <w:r>
              <w:rPr>
                <w:w w:val="100"/>
                <w:sz w:val="21"/>
              </w:rPr>
              <w:t>单位</w:t>
            </w:r>
            <w:r>
              <w:rPr>
                <w:spacing w:val="-106"/>
                <w:w w:val="100"/>
                <w:sz w:val="21"/>
              </w:rPr>
              <w:t>）</w:t>
            </w:r>
            <w:r>
              <w:rPr>
                <w:w w:val="100"/>
                <w:sz w:val="21"/>
              </w:rPr>
              <w:t>；</w:t>
            </w:r>
          </w:p>
          <w:p>
            <w:pPr>
              <w:pStyle w:val="TableParagraph"/>
              <w:ind w:left="98"/>
              <w:rPr>
                <w:sz w:val="21"/>
              </w:rPr>
            </w:pPr>
            <w:r>
              <w:rPr>
                <w:sz w:val="21"/>
              </w:rPr>
              <w:t>（3）正常肺微血管楔压低于 15mmHg。</w:t>
            </w:r>
          </w:p>
          <w:p>
            <w:pPr>
              <w:pStyle w:val="TableParagraph"/>
              <w:spacing w:line="273" w:lineRule="auto"/>
              <w:ind w:left="98" w:right="203"/>
              <w:rPr>
                <w:sz w:val="21"/>
              </w:rPr>
            </w:pPr>
            <w:r>
              <w:rPr>
                <w:spacing w:val="-13"/>
                <w:sz w:val="21"/>
              </w:rPr>
              <w:t>本公司承担本项疾病责任不受本合同责任免除中“遗传性疾病，先天性畸形、</w:t>
            </w:r>
            <w:r>
              <w:rPr>
                <w:spacing w:val="-8"/>
                <w:sz w:val="21"/>
              </w:rPr>
              <w:t>变形或染色体异常”的限制。</w:t>
            </w:r>
          </w:p>
        </w:tc>
      </w:tr>
      <w:tr>
        <w:trPr>
          <w:trHeight w:val="1669" w:hRule="atLeast"/>
        </w:trPr>
        <w:tc>
          <w:tcPr>
            <w:tcW w:w="2008" w:type="dxa"/>
          </w:tcPr>
          <w:p>
            <w:pPr>
              <w:pStyle w:val="TableParagraph"/>
              <w:spacing w:line="261" w:lineRule="auto" w:before="146"/>
              <w:ind w:left="200" w:right="110"/>
              <w:rPr>
                <w:sz w:val="21"/>
              </w:rPr>
            </w:pPr>
            <w:r>
              <w:rPr>
                <w:rFonts w:ascii="Times New Roman" w:eastAsia="Times New Roman"/>
                <w:sz w:val="21"/>
              </w:rPr>
              <w:t>(</w:t>
            </w:r>
            <w:r>
              <w:rPr>
                <w:sz w:val="21"/>
              </w:rPr>
              <w:t>六十</w:t>
            </w:r>
            <w:r>
              <w:rPr>
                <w:rFonts w:ascii="Times New Roman" w:eastAsia="Times New Roman"/>
                <w:sz w:val="21"/>
              </w:rPr>
              <w:t>)  </w:t>
            </w:r>
            <w:r>
              <w:rPr>
                <w:sz w:val="21"/>
              </w:rPr>
              <w:t>严重瑞氏综合症（</w:t>
            </w:r>
            <w:r>
              <w:rPr>
                <w:rFonts w:ascii="Times New Roman" w:eastAsia="Times New Roman"/>
                <w:sz w:val="21"/>
              </w:rPr>
              <w:t>Reye</w:t>
            </w:r>
            <w:r>
              <w:rPr>
                <w:sz w:val="21"/>
              </w:rPr>
              <w:t>综合征，赖氏综合征、雷氏综合征）</w:t>
            </w:r>
          </w:p>
        </w:tc>
        <w:tc>
          <w:tcPr>
            <w:tcW w:w="7263" w:type="dxa"/>
          </w:tcPr>
          <w:p>
            <w:pPr>
              <w:pStyle w:val="TableParagraph"/>
              <w:spacing w:line="273" w:lineRule="auto" w:before="146"/>
              <w:ind w:left="98" w:right="232"/>
              <w:rPr>
                <w:sz w:val="21"/>
              </w:rPr>
            </w:pPr>
            <w:r>
              <w:rPr>
                <w:spacing w:val="-8"/>
                <w:sz w:val="21"/>
              </w:rPr>
              <w:t>瑞氏综合征是线粒体功能障碍性疾病。导致脂肪代谢，引起短链酸、血氨升</w:t>
            </w:r>
            <w:r>
              <w:rPr>
                <w:spacing w:val="-6"/>
                <w:sz w:val="21"/>
              </w:rPr>
              <w:t>高，造成脑水肿。主要临床表现为急性发热、反复呕吐惊厥及意识障碍等。</w:t>
            </w:r>
            <w:r>
              <w:rPr>
                <w:spacing w:val="-5"/>
                <w:sz w:val="21"/>
              </w:rPr>
              <w:t>瑞氏综合征需由三级医院的儿科专科医生确诊，并符下列所有条件：</w:t>
            </w:r>
          </w:p>
          <w:p>
            <w:pPr>
              <w:pStyle w:val="TableParagraph"/>
              <w:spacing w:before="7"/>
              <w:ind w:left="98"/>
              <w:rPr>
                <w:sz w:val="21"/>
              </w:rPr>
            </w:pPr>
            <w:r>
              <w:rPr>
                <w:sz w:val="21"/>
              </w:rPr>
              <w:t>（1）有脑水肿和颅内压升高的脊液检查影像学证据；</w:t>
            </w:r>
          </w:p>
          <w:p>
            <w:pPr>
              <w:pStyle w:val="TableParagraph"/>
              <w:spacing w:line="255" w:lineRule="exact"/>
              <w:ind w:left="98"/>
              <w:rPr>
                <w:sz w:val="21"/>
              </w:rPr>
            </w:pPr>
            <w:r>
              <w:rPr>
                <w:sz w:val="21"/>
              </w:rPr>
              <w:t>（2）血氨超过正常值的3倍；</w:t>
            </w:r>
          </w:p>
        </w:tc>
      </w:tr>
    </w:tbl>
    <w:p>
      <w:pPr>
        <w:spacing w:after="0" w:line="255" w:lineRule="exact"/>
        <w:rPr>
          <w:sz w:val="21"/>
        </w:rPr>
        <w:sectPr>
          <w:pgSz w:w="11910" w:h="16840"/>
          <w:pgMar w:header="496" w:footer="995" w:top="800" w:bottom="1180" w:left="960" w:right="740"/>
        </w:sectPr>
      </w:pPr>
    </w:p>
    <w:p>
      <w:pPr>
        <w:pStyle w:val="BodyText"/>
        <w:rPr>
          <w:rFonts w:ascii="Times New Roman"/>
          <w:sz w:val="20"/>
        </w:rPr>
      </w:pPr>
    </w:p>
    <w:p>
      <w:pPr>
        <w:pStyle w:val="BodyText"/>
        <w:spacing w:before="9" w:after="1"/>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70"/>
      </w:tblGrid>
      <w:tr>
        <w:trPr>
          <w:trHeight w:val="414" w:hRule="atLeast"/>
        </w:trPr>
        <w:tc>
          <w:tcPr>
            <w:tcW w:w="1995" w:type="dxa"/>
          </w:tcPr>
          <w:p>
            <w:pPr>
              <w:pStyle w:val="TableParagraph"/>
              <w:spacing w:before="0"/>
              <w:ind w:left="0"/>
              <w:rPr>
                <w:rFonts w:ascii="Times New Roman"/>
                <w:sz w:val="20"/>
              </w:rPr>
            </w:pPr>
          </w:p>
        </w:tc>
        <w:tc>
          <w:tcPr>
            <w:tcW w:w="7270" w:type="dxa"/>
          </w:tcPr>
          <w:p>
            <w:pPr>
              <w:pStyle w:val="TableParagraph"/>
              <w:spacing w:line="211" w:lineRule="exact" w:before="0"/>
              <w:rPr>
                <w:sz w:val="21"/>
              </w:rPr>
            </w:pPr>
            <w:r>
              <w:rPr>
                <w:sz w:val="21"/>
              </w:rPr>
              <w:t>（3）临床出现昏迷，病程至少达到疾病分期第3期</w:t>
            </w:r>
          </w:p>
        </w:tc>
      </w:tr>
      <w:tr>
        <w:trPr>
          <w:trHeight w:val="2809"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六十一</w:t>
            </w:r>
            <w:r>
              <w:rPr>
                <w:rFonts w:ascii="Times New Roman" w:eastAsia="Times New Roman"/>
                <w:sz w:val="21"/>
              </w:rPr>
              <w:t>) </w:t>
            </w:r>
            <w:r>
              <w:rPr>
                <w:sz w:val="21"/>
              </w:rPr>
              <w:t>严重自身免疫性肝炎</w:t>
            </w:r>
          </w:p>
        </w:tc>
        <w:tc>
          <w:tcPr>
            <w:tcW w:w="7270" w:type="dxa"/>
          </w:tcPr>
          <w:p>
            <w:pPr>
              <w:pStyle w:val="TableParagraph"/>
              <w:spacing w:line="273" w:lineRule="auto" w:before="146"/>
              <w:ind w:right="303"/>
              <w:jc w:val="both"/>
              <w:rPr>
                <w:sz w:val="21"/>
              </w:rPr>
            </w:pPr>
            <w:r>
              <w:rPr>
                <w:spacing w:val="-8"/>
                <w:sz w:val="21"/>
              </w:rPr>
              <w:t>自身免疫性肝炎是一种原因不明的慢性肝脏的坏死性炎性疾病，机体免疫机</w:t>
            </w:r>
            <w:r>
              <w:rPr>
                <w:spacing w:val="-12"/>
                <w:sz w:val="21"/>
              </w:rPr>
              <w:t>制被破坏，产生针对肝脏自身抗原的抗体导致自身免疫反应，从而破坏肝细</w:t>
            </w:r>
            <w:r>
              <w:rPr>
                <w:spacing w:val="-8"/>
                <w:sz w:val="21"/>
              </w:rPr>
              <w:t>胞造成肝脏炎症坏死，进而发展为肝硬化。必须满足所有以下条件：</w:t>
            </w:r>
          </w:p>
          <w:p>
            <w:pPr>
              <w:pStyle w:val="TableParagraph"/>
              <w:spacing w:before="8"/>
              <w:rPr>
                <w:sz w:val="21"/>
              </w:rPr>
            </w:pPr>
            <w:r>
              <w:rPr>
                <w:sz w:val="21"/>
              </w:rPr>
              <w:t>（1）高γ球蛋白血症；</w:t>
            </w:r>
          </w:p>
          <w:p>
            <w:pPr>
              <w:pStyle w:val="TableParagraph"/>
              <w:spacing w:line="273" w:lineRule="auto"/>
              <w:ind w:right="324"/>
              <w:rPr>
                <w:sz w:val="21"/>
              </w:rPr>
            </w:pPr>
            <w:r>
              <w:rPr>
                <w:sz w:val="21"/>
              </w:rPr>
              <w:t>（2）血液中存在高水平的自身免疫抗体，如ANA（抗核抗体）、SMA（抗平滑肌抗体）、抗LKM1抗体或抗-SLA/LP抗体；</w:t>
            </w:r>
          </w:p>
          <w:p>
            <w:pPr>
              <w:pStyle w:val="TableParagraph"/>
              <w:spacing w:before="7"/>
              <w:jc w:val="both"/>
              <w:rPr>
                <w:sz w:val="21"/>
              </w:rPr>
            </w:pPr>
            <w:r>
              <w:rPr>
                <w:sz w:val="21"/>
              </w:rPr>
              <w:t>（3）肝脏活检证实免疫性肝炎；</w:t>
            </w:r>
          </w:p>
          <w:p>
            <w:pPr>
              <w:pStyle w:val="TableParagraph"/>
              <w:jc w:val="both"/>
              <w:rPr>
                <w:sz w:val="21"/>
              </w:rPr>
            </w:pPr>
            <w:r>
              <w:rPr>
                <w:sz w:val="21"/>
              </w:rPr>
              <w:t>（4）临床已经出现腹水、食道静脉曲张和脾肿大等肝硬化表现。</w:t>
            </w:r>
          </w:p>
        </w:tc>
      </w:tr>
      <w:tr>
        <w:trPr>
          <w:trHeight w:val="2496" w:hRule="atLeast"/>
        </w:trPr>
        <w:tc>
          <w:tcPr>
            <w:tcW w:w="1995" w:type="dxa"/>
          </w:tcPr>
          <w:p>
            <w:pPr>
              <w:pStyle w:val="TableParagraph"/>
              <w:spacing w:before="146"/>
              <w:ind w:left="200"/>
              <w:rPr>
                <w:sz w:val="21"/>
              </w:rPr>
            </w:pPr>
            <w:r>
              <w:rPr>
                <w:rFonts w:ascii="Times New Roman" w:eastAsia="Times New Roman"/>
                <w:sz w:val="21"/>
              </w:rPr>
              <w:t>(</w:t>
            </w:r>
            <w:r>
              <w:rPr>
                <w:sz w:val="21"/>
              </w:rPr>
              <w:t>六十二</w:t>
            </w:r>
            <w:r>
              <w:rPr>
                <w:rFonts w:ascii="Times New Roman" w:eastAsia="Times New Roman"/>
                <w:sz w:val="21"/>
              </w:rPr>
              <w:t>)  </w:t>
            </w:r>
            <w:r>
              <w:rPr>
                <w:sz w:val="21"/>
              </w:rPr>
              <w:t>严重的</w:t>
            </w:r>
          </w:p>
          <w:p>
            <w:pPr>
              <w:pStyle w:val="TableParagraph"/>
              <w:spacing w:before="21"/>
              <w:ind w:left="200"/>
              <w:rPr>
                <w:sz w:val="21"/>
              </w:rPr>
            </w:pPr>
            <w:r>
              <w:rPr>
                <w:sz w:val="21"/>
              </w:rPr>
              <w:t>Ⅲ度房室传导阻滞</w:t>
            </w:r>
          </w:p>
        </w:tc>
        <w:tc>
          <w:tcPr>
            <w:tcW w:w="7270" w:type="dxa"/>
          </w:tcPr>
          <w:p>
            <w:pPr>
              <w:pStyle w:val="TableParagraph"/>
              <w:spacing w:line="273" w:lineRule="auto" w:before="146"/>
              <w:ind w:right="303"/>
              <w:rPr>
                <w:sz w:val="21"/>
              </w:rPr>
            </w:pPr>
            <w:r>
              <w:rPr>
                <w:spacing w:val="-8"/>
                <w:sz w:val="21"/>
              </w:rPr>
              <w:t>指心房激动在房室交界区、房室束及其分支内发生阻滞，不能正常地传到心</w:t>
            </w:r>
            <w:r>
              <w:rPr>
                <w:spacing w:val="-6"/>
                <w:sz w:val="21"/>
              </w:rPr>
              <w:t>室的心脏传导性疾病，须满足下列所有条件：</w:t>
            </w:r>
          </w:p>
          <w:p>
            <w:pPr>
              <w:pStyle w:val="TableParagraph"/>
              <w:spacing w:before="8"/>
              <w:rPr>
                <w:sz w:val="21"/>
              </w:rPr>
            </w:pPr>
            <w:r>
              <w:rPr>
                <w:sz w:val="21"/>
              </w:rPr>
              <w:t>（1）心电图显示房室搏动彼此独立，心室率&lt;40次/分钟；</w:t>
            </w:r>
          </w:p>
          <w:p>
            <w:pPr>
              <w:pStyle w:val="TableParagraph"/>
              <w:spacing w:before="38"/>
              <w:rPr>
                <w:sz w:val="21"/>
              </w:rPr>
            </w:pPr>
            <w:r>
              <w:rPr>
                <w:sz w:val="21"/>
              </w:rPr>
              <w:t>（2）动态心电图显示至少3秒的RR间期；</w:t>
            </w:r>
          </w:p>
          <w:p>
            <w:pPr>
              <w:pStyle w:val="TableParagraph"/>
              <w:rPr>
                <w:sz w:val="21"/>
              </w:rPr>
            </w:pPr>
            <w:r>
              <w:rPr>
                <w:sz w:val="21"/>
              </w:rPr>
              <w:t>（3）出现阿-斯综合征或心力衰竭的表现；</w:t>
            </w:r>
          </w:p>
          <w:p>
            <w:pPr>
              <w:pStyle w:val="TableParagraph"/>
              <w:spacing w:line="273" w:lineRule="auto"/>
              <w:ind w:right="331"/>
              <w:rPr>
                <w:sz w:val="21"/>
              </w:rPr>
            </w:pPr>
            <w:r>
              <w:rPr>
                <w:sz w:val="21"/>
              </w:rPr>
              <w:t>（4）必须持续性依赖心脏起搏器维持心脏正常功能，且已经放置永久性心脏起搏器。</w:t>
            </w:r>
          </w:p>
        </w:tc>
      </w:tr>
      <w:tr>
        <w:trPr>
          <w:trHeight w:val="1872"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六十三</w:t>
            </w:r>
            <w:r>
              <w:rPr>
                <w:rFonts w:ascii="Times New Roman" w:eastAsia="Times New Roman"/>
                <w:sz w:val="21"/>
              </w:rPr>
              <w:t>) </w:t>
            </w:r>
            <w:r>
              <w:rPr>
                <w:sz w:val="21"/>
              </w:rPr>
              <w:t>细菌性脑脊髓膜炎</w:t>
            </w:r>
          </w:p>
        </w:tc>
        <w:tc>
          <w:tcPr>
            <w:tcW w:w="7270" w:type="dxa"/>
          </w:tcPr>
          <w:p>
            <w:pPr>
              <w:pStyle w:val="TableParagraph"/>
              <w:spacing w:line="273" w:lineRule="auto" w:before="146"/>
              <w:ind w:right="226"/>
              <w:rPr>
                <w:sz w:val="21"/>
              </w:rPr>
            </w:pPr>
            <w:r>
              <w:rPr>
                <w:sz w:val="21"/>
              </w:rPr>
              <w:t>指因脑膜炎双球菌感染引起脑脊髓膜化脓性病变，且导致永久性神经损害， 持续90天以上，并且脑脊液检查显示脑膜炎双球菌阳性。</w:t>
            </w:r>
          </w:p>
          <w:p>
            <w:pPr>
              <w:pStyle w:val="TableParagraph"/>
              <w:spacing w:line="273" w:lineRule="auto" w:before="7"/>
              <w:ind w:right="197"/>
              <w:rPr>
                <w:sz w:val="21"/>
              </w:rPr>
            </w:pPr>
            <w:r>
              <w:rPr>
                <w:spacing w:val="-13"/>
                <w:sz w:val="21"/>
              </w:rPr>
              <w:t>永久性神经损害是指由细菌性脑脊髓膜炎引起的耳聋、失明、动眼神经麻痹、</w:t>
            </w:r>
            <w:r>
              <w:rPr>
                <w:spacing w:val="-8"/>
                <w:sz w:val="21"/>
              </w:rPr>
              <w:t>瘫痪、脑积水、智力或性情中度以上的损害，且上述症状持续</w:t>
            </w:r>
            <w:r>
              <w:rPr>
                <w:sz w:val="21"/>
              </w:rPr>
              <w:t>90</w:t>
            </w:r>
            <w:r>
              <w:rPr>
                <w:spacing w:val="0"/>
                <w:sz w:val="21"/>
              </w:rPr>
              <w:t> 天以上仍</w:t>
            </w:r>
            <w:r>
              <w:rPr>
                <w:spacing w:val="-1"/>
                <w:sz w:val="21"/>
              </w:rPr>
              <w:t>无改善迹象。</w:t>
            </w:r>
          </w:p>
        </w:tc>
      </w:tr>
      <w:tr>
        <w:trPr>
          <w:trHeight w:val="3432" w:hRule="atLeast"/>
        </w:trPr>
        <w:tc>
          <w:tcPr>
            <w:tcW w:w="1995" w:type="dxa"/>
          </w:tcPr>
          <w:p>
            <w:pPr>
              <w:pStyle w:val="TableParagraph"/>
              <w:spacing w:line="256" w:lineRule="auto" w:before="146"/>
              <w:ind w:left="200" w:right="108"/>
              <w:rPr>
                <w:sz w:val="21"/>
              </w:rPr>
            </w:pPr>
            <w:r>
              <w:rPr>
                <w:rFonts w:ascii="Times New Roman" w:eastAsia="Times New Roman"/>
                <w:sz w:val="21"/>
              </w:rPr>
              <w:t>(</w:t>
            </w:r>
            <w:r>
              <w:rPr>
                <w:sz w:val="21"/>
              </w:rPr>
              <w:t>六十四</w:t>
            </w:r>
            <w:r>
              <w:rPr>
                <w:rFonts w:ascii="Times New Roman" w:eastAsia="Times New Roman"/>
                <w:sz w:val="21"/>
              </w:rPr>
              <w:t>)</w:t>
            </w:r>
            <w:r>
              <w:rPr>
                <w:sz w:val="21"/>
              </w:rPr>
              <w:t>严重的骨髓增生异常综合征</w:t>
            </w:r>
          </w:p>
        </w:tc>
        <w:tc>
          <w:tcPr>
            <w:tcW w:w="7270" w:type="dxa"/>
          </w:tcPr>
          <w:p>
            <w:pPr>
              <w:pStyle w:val="TableParagraph"/>
              <w:spacing w:line="273" w:lineRule="auto" w:before="146"/>
              <w:ind w:right="300"/>
              <w:jc w:val="both"/>
              <w:rPr>
                <w:sz w:val="21"/>
              </w:rPr>
            </w:pPr>
            <w:r>
              <w:rPr>
                <w:spacing w:val="-2"/>
                <w:sz w:val="21"/>
              </w:rPr>
              <w:t>骨髓增生异常综合征</w:t>
            </w:r>
            <w:r>
              <w:rPr>
                <w:sz w:val="21"/>
              </w:rPr>
              <w:t>（myelodysplastic </w:t>
            </w:r>
            <w:r>
              <w:rPr>
                <w:spacing w:val="-3"/>
                <w:sz w:val="21"/>
              </w:rPr>
              <w:t>syndromes，MDS）</w:t>
            </w:r>
            <w:r>
              <w:rPr>
                <w:spacing w:val="-2"/>
                <w:sz w:val="21"/>
              </w:rPr>
              <w:t>是起源于造血干</w:t>
            </w:r>
            <w:r>
              <w:rPr>
                <w:spacing w:val="-10"/>
                <w:sz w:val="21"/>
              </w:rPr>
              <w:t>细胞的一组异质性髓系克隆性疾病，特点是髓系细胞发育异常，表现为无效</w:t>
            </w:r>
            <w:r>
              <w:rPr>
                <w:spacing w:val="-12"/>
                <w:sz w:val="21"/>
              </w:rPr>
              <w:t>造血、难治性血细胞减少，本附加合同所指的严重的骨髓异常增生综合征需</w:t>
            </w:r>
            <w:r>
              <w:rPr>
                <w:spacing w:val="-8"/>
                <w:sz w:val="21"/>
              </w:rPr>
              <w:t>满足下列所有条件：</w:t>
            </w:r>
          </w:p>
          <w:p>
            <w:pPr>
              <w:pStyle w:val="TableParagraph"/>
              <w:spacing w:line="273" w:lineRule="auto" w:before="7"/>
              <w:ind w:right="329"/>
              <w:rPr>
                <w:sz w:val="21"/>
              </w:rPr>
            </w:pPr>
            <w:r>
              <w:rPr>
                <w:sz w:val="21"/>
              </w:rPr>
              <w:t>（1）由设有专门血液病专科的公立三级甲等医院血液病专科的主治级别以上的医师确诊；</w:t>
            </w:r>
          </w:p>
          <w:p>
            <w:pPr>
              <w:pStyle w:val="TableParagraph"/>
              <w:spacing w:before="7"/>
              <w:rPr>
                <w:sz w:val="21"/>
              </w:rPr>
            </w:pPr>
            <w:r>
              <w:rPr>
                <w:sz w:val="21"/>
              </w:rPr>
              <w:t>（2）骨髓涂片检查同时符合发育异常细胞比例&gt;10%、原始细胞比例&gt;15%；</w:t>
            </w:r>
          </w:p>
          <w:p>
            <w:pPr>
              <w:pStyle w:val="TableParagraph"/>
              <w:rPr>
                <w:sz w:val="21"/>
              </w:rPr>
            </w:pPr>
            <w:r>
              <w:rPr>
                <w:sz w:val="21"/>
              </w:rPr>
              <w:t>（3）已接受至少累计三十日的化疗或已接受骨髓移植治疗。</w:t>
            </w:r>
          </w:p>
          <w:p>
            <w:pPr>
              <w:pStyle w:val="TableParagraph"/>
              <w:spacing w:line="273" w:lineRule="auto"/>
              <w:ind w:right="1066"/>
              <w:rPr>
                <w:sz w:val="21"/>
              </w:rPr>
            </w:pPr>
            <w:r>
              <w:rPr>
                <w:sz w:val="21"/>
              </w:rPr>
              <w:t>化疗日数的计算以被保险人实际服用、注射化疗药物的天数为准。疑似病例不在保障范围之内。</w:t>
            </w:r>
          </w:p>
        </w:tc>
      </w:tr>
      <w:tr>
        <w:trPr>
          <w:trHeight w:val="2184" w:hRule="atLeast"/>
        </w:trPr>
        <w:tc>
          <w:tcPr>
            <w:tcW w:w="1995" w:type="dxa"/>
          </w:tcPr>
          <w:p>
            <w:pPr>
              <w:pStyle w:val="TableParagraph"/>
              <w:spacing w:before="146"/>
              <w:ind w:left="200"/>
              <w:rPr>
                <w:sz w:val="21"/>
              </w:rPr>
            </w:pPr>
            <w:r>
              <w:rPr>
                <w:rFonts w:ascii="Times New Roman" w:eastAsia="Times New Roman"/>
                <w:sz w:val="21"/>
              </w:rPr>
              <w:t>(</w:t>
            </w:r>
            <w:r>
              <w:rPr>
                <w:sz w:val="21"/>
              </w:rPr>
              <w:t>六十五</w:t>
            </w:r>
            <w:r>
              <w:rPr>
                <w:rFonts w:ascii="Times New Roman" w:eastAsia="Times New Roman"/>
                <w:sz w:val="21"/>
              </w:rPr>
              <w:t>)</w:t>
            </w:r>
            <w:r>
              <w:rPr>
                <w:sz w:val="21"/>
              </w:rPr>
              <w:t>严重癫痫</w:t>
            </w:r>
          </w:p>
        </w:tc>
        <w:tc>
          <w:tcPr>
            <w:tcW w:w="7270" w:type="dxa"/>
          </w:tcPr>
          <w:p>
            <w:pPr>
              <w:pStyle w:val="TableParagraph"/>
              <w:spacing w:line="273" w:lineRule="auto" w:before="146"/>
              <w:ind w:right="301"/>
              <w:jc w:val="both"/>
              <w:rPr>
                <w:sz w:val="21"/>
              </w:rPr>
            </w:pPr>
            <w:r>
              <w:rPr>
                <w:spacing w:val="-5"/>
                <w:sz w:val="21"/>
              </w:rPr>
              <w:t>本病的诊断须由神经科医生根据典型临床症状和脑电图及</w:t>
            </w:r>
            <w:r>
              <w:rPr>
                <w:sz w:val="21"/>
              </w:rPr>
              <w:t>MRI、PET、CT</w:t>
            </w:r>
            <w:r>
              <w:rPr>
                <w:spacing w:val="13"/>
                <w:sz w:val="21"/>
              </w:rPr>
              <w:t> 等</w:t>
            </w:r>
            <w:r>
              <w:rPr>
                <w:spacing w:val="-6"/>
                <w:sz w:val="21"/>
              </w:rPr>
              <w:t>影相学检查做出。理赔时必须提供</w:t>
            </w:r>
            <w:r>
              <w:rPr>
                <w:sz w:val="21"/>
              </w:rPr>
              <w:t>6</w:t>
            </w:r>
            <w:r>
              <w:rPr>
                <w:spacing w:val="-2"/>
                <w:sz w:val="21"/>
              </w:rPr>
              <w:t> 个月以上的相关病历记录证明被保险人</w:t>
            </w:r>
            <w:r>
              <w:rPr>
                <w:spacing w:val="-8"/>
                <w:sz w:val="21"/>
              </w:rPr>
              <w:t>存在经抗癫痫药物治疗无效而反复发作的强直阵挛性发作或癫痫大发作，且</w:t>
            </w:r>
            <w:r>
              <w:rPr>
                <w:spacing w:val="-6"/>
                <w:sz w:val="21"/>
              </w:rPr>
              <w:t>已行神经外科手术以治疗反复发作的癫痫。</w:t>
            </w:r>
          </w:p>
          <w:p>
            <w:pPr>
              <w:pStyle w:val="TableParagraph"/>
              <w:spacing w:line="273" w:lineRule="auto" w:before="8"/>
              <w:ind w:right="303"/>
              <w:jc w:val="both"/>
              <w:rPr>
                <w:sz w:val="21"/>
              </w:rPr>
            </w:pPr>
            <w:r>
              <w:rPr>
                <w:spacing w:val="-6"/>
                <w:sz w:val="21"/>
              </w:rPr>
              <w:t>发热性惊厥以及没有全身性发作的失神发作</w:t>
            </w:r>
            <w:r>
              <w:rPr>
                <w:spacing w:val="-5"/>
                <w:sz w:val="21"/>
              </w:rPr>
              <w:t>（</w:t>
            </w:r>
            <w:r>
              <w:rPr>
                <w:spacing w:val="-2"/>
                <w:sz w:val="21"/>
              </w:rPr>
              <w:t>癫痫小发作</w:t>
            </w:r>
            <w:r>
              <w:rPr>
                <w:spacing w:val="-39"/>
                <w:sz w:val="21"/>
              </w:rPr>
              <w:t>）</w:t>
            </w:r>
            <w:r>
              <w:rPr>
                <w:spacing w:val="-3"/>
                <w:sz w:val="21"/>
              </w:rPr>
              <w:t>不在本保障范围内。</w:t>
            </w:r>
          </w:p>
        </w:tc>
      </w:tr>
      <w:tr>
        <w:trPr>
          <w:trHeight w:val="1045"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六十六</w:t>
            </w:r>
            <w:r>
              <w:rPr>
                <w:rFonts w:ascii="Times New Roman" w:eastAsia="Times New Roman"/>
                <w:sz w:val="21"/>
              </w:rPr>
              <w:t>) </w:t>
            </w:r>
            <w:r>
              <w:rPr>
                <w:sz w:val="21"/>
              </w:rPr>
              <w:t>自体造血干细胞移植</w:t>
            </w:r>
          </w:p>
        </w:tc>
        <w:tc>
          <w:tcPr>
            <w:tcW w:w="7270" w:type="dxa"/>
          </w:tcPr>
          <w:p>
            <w:pPr>
              <w:pStyle w:val="TableParagraph"/>
              <w:spacing w:line="273" w:lineRule="auto" w:before="146"/>
              <w:ind w:right="303"/>
              <w:rPr>
                <w:sz w:val="21"/>
              </w:rPr>
            </w:pPr>
            <w:r>
              <w:rPr>
                <w:spacing w:val="-8"/>
                <w:sz w:val="21"/>
              </w:rPr>
              <w:t>指由于患者自身骨髓造血功能异常或为了达到治疗肿瘤的目的，采集患者自</w:t>
            </w:r>
            <w:r>
              <w:rPr>
                <w:spacing w:val="-11"/>
                <w:sz w:val="21"/>
              </w:rPr>
              <w:t>己的一部分造血干细胞，分离并深低温保存，再回输给患者使患者的造血功</w:t>
            </w:r>
          </w:p>
          <w:p>
            <w:pPr>
              <w:pStyle w:val="TableParagraph"/>
              <w:spacing w:line="255" w:lineRule="exact" w:before="8"/>
              <w:rPr>
                <w:sz w:val="21"/>
              </w:rPr>
            </w:pPr>
            <w:r>
              <w:rPr>
                <w:sz w:val="21"/>
              </w:rPr>
              <w:t>能和免疫功能重新恢复的一种治疗方法。</w:t>
            </w:r>
          </w:p>
        </w:tc>
      </w:tr>
    </w:tbl>
    <w:p>
      <w:pPr>
        <w:spacing w:after="0" w:line="255" w:lineRule="exact"/>
        <w:rPr>
          <w:sz w:val="21"/>
        </w:rPr>
        <w:sectPr>
          <w:pgSz w:w="11910" w:h="16840"/>
          <w:pgMar w:header="496" w:footer="995" w:top="800" w:bottom="1180" w:left="960" w:right="740"/>
        </w:sectPr>
      </w:pPr>
    </w:p>
    <w:p>
      <w:pPr>
        <w:pStyle w:val="BodyText"/>
        <w:rPr>
          <w:rFonts w:ascii="Times New Roman"/>
          <w:sz w:val="20"/>
        </w:rPr>
      </w:pPr>
    </w:p>
    <w:p>
      <w:pPr>
        <w:pStyle w:val="BodyText"/>
        <w:spacing w:before="9" w:after="1"/>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7263"/>
      </w:tblGrid>
      <w:tr>
        <w:trPr>
          <w:trHeight w:val="414" w:hRule="atLeast"/>
        </w:trPr>
        <w:tc>
          <w:tcPr>
            <w:tcW w:w="2007" w:type="dxa"/>
          </w:tcPr>
          <w:p>
            <w:pPr>
              <w:pStyle w:val="TableParagraph"/>
              <w:spacing w:before="0"/>
              <w:ind w:left="0"/>
              <w:rPr>
                <w:rFonts w:ascii="Times New Roman"/>
                <w:sz w:val="20"/>
              </w:rPr>
            </w:pPr>
          </w:p>
        </w:tc>
        <w:tc>
          <w:tcPr>
            <w:tcW w:w="7263" w:type="dxa"/>
          </w:tcPr>
          <w:p>
            <w:pPr>
              <w:pStyle w:val="TableParagraph"/>
              <w:spacing w:line="211" w:lineRule="exact" w:before="0"/>
              <w:ind w:left="99"/>
              <w:rPr>
                <w:sz w:val="21"/>
              </w:rPr>
            </w:pPr>
            <w:r>
              <w:rPr>
                <w:sz w:val="21"/>
              </w:rPr>
              <w:t>该治疗须由专科医生认为在临床上是必需的。</w:t>
            </w:r>
          </w:p>
        </w:tc>
      </w:tr>
      <w:tr>
        <w:trPr>
          <w:trHeight w:val="1872" w:hRule="atLeast"/>
        </w:trPr>
        <w:tc>
          <w:tcPr>
            <w:tcW w:w="2007" w:type="dxa"/>
          </w:tcPr>
          <w:p>
            <w:pPr>
              <w:pStyle w:val="TableParagraph"/>
              <w:spacing w:line="256" w:lineRule="auto" w:before="146"/>
              <w:ind w:left="200" w:right="192"/>
              <w:rPr>
                <w:sz w:val="21"/>
              </w:rPr>
            </w:pPr>
            <w:r>
              <w:rPr>
                <w:rFonts w:ascii="Times New Roman" w:eastAsia="Times New Roman"/>
                <w:sz w:val="21"/>
              </w:rPr>
              <w:t>(</w:t>
            </w:r>
            <w:r>
              <w:rPr>
                <w:sz w:val="21"/>
              </w:rPr>
              <w:t>六十七</w:t>
            </w:r>
            <w:r>
              <w:rPr>
                <w:rFonts w:ascii="Times New Roman" w:eastAsia="Times New Roman"/>
                <w:sz w:val="21"/>
              </w:rPr>
              <w:t>)</w:t>
            </w:r>
            <w:r>
              <w:rPr>
                <w:sz w:val="21"/>
              </w:rPr>
              <w:t>肺淋巴管肌瘤病</w:t>
            </w:r>
          </w:p>
        </w:tc>
        <w:tc>
          <w:tcPr>
            <w:tcW w:w="7263" w:type="dxa"/>
          </w:tcPr>
          <w:p>
            <w:pPr>
              <w:pStyle w:val="TableParagraph"/>
              <w:spacing w:line="273" w:lineRule="auto" w:before="146"/>
              <w:ind w:left="99" w:right="231"/>
              <w:rPr>
                <w:sz w:val="21"/>
              </w:rPr>
            </w:pPr>
            <w:r>
              <w:rPr>
                <w:sz w:val="21"/>
              </w:rPr>
              <w:t>肺淋巴管肌瘤病是一种弥漫性肺部疾病，主要病理改变为肺间质、支气管、血管和淋巴管内出现未成熟的平滑肌异常增生，同时需满足下列条件：</w:t>
            </w:r>
          </w:p>
          <w:p>
            <w:pPr>
              <w:pStyle w:val="TableParagraph"/>
              <w:spacing w:before="8"/>
              <w:ind w:left="99"/>
              <w:rPr>
                <w:sz w:val="21"/>
              </w:rPr>
            </w:pPr>
            <w:r>
              <w:rPr>
                <w:sz w:val="21"/>
              </w:rPr>
              <w:t>（1）经组织病理学诊断；</w:t>
            </w:r>
          </w:p>
          <w:p>
            <w:pPr>
              <w:pStyle w:val="TableParagraph"/>
              <w:spacing w:before="36"/>
              <w:ind w:left="99"/>
              <w:rPr>
                <w:sz w:val="21"/>
              </w:rPr>
            </w:pPr>
            <w:r>
              <w:rPr>
                <w:sz w:val="21"/>
              </w:rPr>
              <w:t>（2）CT 显示双肺弥漫性囊性改变；</w:t>
            </w:r>
          </w:p>
          <w:p>
            <w:pPr>
              <w:pStyle w:val="TableParagraph"/>
              <w:spacing w:before="36"/>
              <w:ind w:left="99"/>
              <w:rPr>
                <w:sz w:val="21"/>
              </w:rPr>
            </w:pPr>
            <w:r>
              <w:rPr>
                <w:sz w:val="21"/>
              </w:rPr>
              <w:t>（3）血气提示低氧血症。</w:t>
            </w:r>
          </w:p>
        </w:tc>
      </w:tr>
      <w:tr>
        <w:trPr>
          <w:trHeight w:val="1248" w:hRule="atLeast"/>
        </w:trPr>
        <w:tc>
          <w:tcPr>
            <w:tcW w:w="2007" w:type="dxa"/>
          </w:tcPr>
          <w:p>
            <w:pPr>
              <w:pStyle w:val="TableParagraph"/>
              <w:spacing w:line="256" w:lineRule="auto" w:before="146"/>
              <w:ind w:left="200" w:right="192"/>
              <w:rPr>
                <w:sz w:val="21"/>
              </w:rPr>
            </w:pPr>
            <w:r>
              <w:rPr>
                <w:rFonts w:ascii="Times New Roman" w:eastAsia="Times New Roman"/>
                <w:sz w:val="21"/>
              </w:rPr>
              <w:t>(</w:t>
            </w:r>
            <w:r>
              <w:rPr>
                <w:sz w:val="21"/>
              </w:rPr>
              <w:t>六十八</w:t>
            </w:r>
            <w:r>
              <w:rPr>
                <w:rFonts w:ascii="Times New Roman" w:eastAsia="Times New Roman"/>
                <w:sz w:val="21"/>
              </w:rPr>
              <w:t>)</w:t>
            </w:r>
            <w:r>
              <w:rPr>
                <w:sz w:val="21"/>
              </w:rPr>
              <w:t>肺泡蛋白质沉积症</w:t>
            </w:r>
          </w:p>
        </w:tc>
        <w:tc>
          <w:tcPr>
            <w:tcW w:w="7263" w:type="dxa"/>
          </w:tcPr>
          <w:p>
            <w:pPr>
              <w:pStyle w:val="TableParagraph"/>
              <w:spacing w:line="273" w:lineRule="auto" w:before="146"/>
              <w:ind w:left="99" w:right="305"/>
              <w:jc w:val="both"/>
              <w:rPr>
                <w:sz w:val="21"/>
              </w:rPr>
            </w:pPr>
            <w:r>
              <w:rPr>
                <w:spacing w:val="-8"/>
                <w:sz w:val="21"/>
              </w:rPr>
              <w:t>指肺泡和细支气管腔内充满不可溶性富磷脂蛋白的疾病，胸部</w:t>
            </w:r>
            <w:r>
              <w:rPr>
                <w:sz w:val="21"/>
              </w:rPr>
              <w:t>X</w:t>
            </w:r>
            <w:r>
              <w:rPr>
                <w:spacing w:val="2"/>
                <w:sz w:val="21"/>
              </w:rPr>
              <w:t> 线呈双肺弥</w:t>
            </w:r>
            <w:r>
              <w:rPr>
                <w:spacing w:val="-5"/>
                <w:sz w:val="21"/>
              </w:rPr>
              <w:t>漫性肺部磨玻璃影，病理学检查肺泡内充满有过碘酸雪夫</w:t>
            </w:r>
            <w:r>
              <w:rPr>
                <w:sz w:val="21"/>
              </w:rPr>
              <w:t>（PAS）染色阳性</w:t>
            </w:r>
            <w:r>
              <w:rPr>
                <w:spacing w:val="-4"/>
                <w:sz w:val="21"/>
              </w:rPr>
              <w:t>的蛋白样物质，并且接受了肺灌洗治疗。</w:t>
            </w:r>
          </w:p>
        </w:tc>
      </w:tr>
      <w:tr>
        <w:trPr>
          <w:trHeight w:val="1248" w:hRule="atLeast"/>
        </w:trPr>
        <w:tc>
          <w:tcPr>
            <w:tcW w:w="2007" w:type="dxa"/>
          </w:tcPr>
          <w:p>
            <w:pPr>
              <w:pStyle w:val="TableParagraph"/>
              <w:spacing w:line="256" w:lineRule="auto" w:before="146"/>
              <w:ind w:left="200" w:right="297"/>
              <w:rPr>
                <w:sz w:val="21"/>
              </w:rPr>
            </w:pPr>
            <w:r>
              <w:rPr>
                <w:rFonts w:ascii="Times New Roman" w:eastAsia="Times New Roman"/>
                <w:sz w:val="21"/>
              </w:rPr>
              <w:t>(</w:t>
            </w:r>
            <w:r>
              <w:rPr>
                <w:sz w:val="21"/>
              </w:rPr>
              <w:t>六十九</w:t>
            </w:r>
            <w:r>
              <w:rPr>
                <w:rFonts w:ascii="Times New Roman" w:eastAsia="Times New Roman"/>
                <w:sz w:val="21"/>
              </w:rPr>
              <w:t>) </w:t>
            </w:r>
            <w:r>
              <w:rPr>
                <w:sz w:val="21"/>
              </w:rPr>
              <w:t>小肠移植</w:t>
            </w:r>
          </w:p>
        </w:tc>
        <w:tc>
          <w:tcPr>
            <w:tcW w:w="7263" w:type="dxa"/>
          </w:tcPr>
          <w:p>
            <w:pPr>
              <w:pStyle w:val="TableParagraph"/>
              <w:spacing w:line="273" w:lineRule="auto" w:before="146"/>
              <w:ind w:left="99" w:right="308"/>
              <w:rPr>
                <w:sz w:val="21"/>
              </w:rPr>
            </w:pPr>
            <w:r>
              <w:rPr>
                <w:spacing w:val="-10"/>
                <w:sz w:val="21"/>
              </w:rPr>
              <w:t>指因肠道疾病或外伤，已经实施了在全身麻醉下进行的小肠的异体器官移植手术。</w:t>
            </w:r>
          </w:p>
          <w:p>
            <w:pPr>
              <w:pStyle w:val="TableParagraph"/>
              <w:spacing w:before="8"/>
              <w:ind w:left="99"/>
              <w:rPr>
                <w:sz w:val="21"/>
              </w:rPr>
            </w:pPr>
            <w:r>
              <w:rPr>
                <w:sz w:val="21"/>
              </w:rPr>
              <w:t>此手术必须由专科医生认为是医学上必需的情况下进行。</w:t>
            </w:r>
          </w:p>
        </w:tc>
      </w:tr>
      <w:tr>
        <w:trPr>
          <w:trHeight w:val="4369" w:hRule="atLeast"/>
        </w:trPr>
        <w:tc>
          <w:tcPr>
            <w:tcW w:w="2007" w:type="dxa"/>
          </w:tcPr>
          <w:p>
            <w:pPr>
              <w:pStyle w:val="TableParagraph"/>
              <w:spacing w:line="256" w:lineRule="auto" w:before="146"/>
              <w:ind w:left="200" w:right="192"/>
              <w:rPr>
                <w:sz w:val="21"/>
              </w:rPr>
            </w:pPr>
            <w:r>
              <w:rPr>
                <w:rFonts w:ascii="Times New Roman" w:eastAsia="Times New Roman"/>
                <w:sz w:val="21"/>
              </w:rPr>
              <w:t>(</w:t>
            </w:r>
            <w:r>
              <w:rPr>
                <w:sz w:val="21"/>
              </w:rPr>
              <w:t>七十</w:t>
            </w:r>
            <w:r>
              <w:rPr>
                <w:rFonts w:ascii="Times New Roman" w:eastAsia="Times New Roman"/>
                <w:sz w:val="21"/>
              </w:rPr>
              <w:t>)</w:t>
            </w:r>
            <w:r>
              <w:rPr>
                <w:sz w:val="21"/>
              </w:rPr>
              <w:t>疾病或外伤所致智力障碍</w:t>
            </w:r>
          </w:p>
        </w:tc>
        <w:tc>
          <w:tcPr>
            <w:tcW w:w="7263" w:type="dxa"/>
          </w:tcPr>
          <w:p>
            <w:pPr>
              <w:pStyle w:val="TableParagraph"/>
              <w:spacing w:line="273" w:lineRule="auto" w:before="146"/>
              <w:ind w:left="99" w:right="196"/>
              <w:rPr>
                <w:sz w:val="21"/>
              </w:rPr>
            </w:pPr>
            <w:r>
              <w:rPr>
                <w:spacing w:val="-5"/>
                <w:sz w:val="21"/>
              </w:rPr>
              <w:t>因严重头部创伤或疾病造成被保险人智力低下或智力残疾。根据智商</w:t>
            </w:r>
            <w:r>
              <w:rPr>
                <w:sz w:val="21"/>
              </w:rPr>
              <w:t>（IQ） </w:t>
            </w:r>
            <w:r>
              <w:rPr>
                <w:spacing w:val="-3"/>
                <w:sz w:val="21"/>
              </w:rPr>
              <w:t>智力低下分为轻度</w:t>
            </w:r>
            <w:r>
              <w:rPr>
                <w:sz w:val="21"/>
              </w:rPr>
              <w:t>（IQ50-69)</w:t>
            </w:r>
            <w:r>
              <w:rPr>
                <w:spacing w:val="-6"/>
                <w:sz w:val="21"/>
              </w:rPr>
              <w:t>；中度</w:t>
            </w:r>
            <w:r>
              <w:rPr>
                <w:spacing w:val="-4"/>
                <w:sz w:val="21"/>
              </w:rPr>
              <w:t>（IQ35-49）</w:t>
            </w:r>
            <w:r>
              <w:rPr>
                <w:spacing w:val="-7"/>
                <w:sz w:val="21"/>
              </w:rPr>
              <w:t>；重度</w:t>
            </w:r>
            <w:r>
              <w:rPr>
                <w:spacing w:val="-3"/>
                <w:sz w:val="21"/>
              </w:rPr>
              <w:t>（IQ20-34）</w:t>
            </w:r>
            <w:r>
              <w:rPr>
                <w:sz w:val="21"/>
              </w:rPr>
              <w:t>和极重</w:t>
            </w:r>
            <w:r>
              <w:rPr>
                <w:spacing w:val="-24"/>
                <w:sz w:val="21"/>
              </w:rPr>
              <w:t>度</w:t>
            </w:r>
            <w:r>
              <w:rPr>
                <w:spacing w:val="-5"/>
                <w:sz w:val="21"/>
              </w:rPr>
              <w:t>（IQ&lt;20）</w:t>
            </w:r>
            <w:r>
              <w:rPr>
                <w:spacing w:val="-7"/>
                <w:sz w:val="21"/>
              </w:rPr>
              <w:t>。智商的检测须由本公司认可的医院的儿童或成人精神卫生科、</w:t>
            </w:r>
            <w:r>
              <w:rPr>
                <w:spacing w:val="-12"/>
                <w:sz w:val="21"/>
              </w:rPr>
              <w:t>心理科或神经科专科医生进行。根据被保险人年龄采用对应的智力量表如韦</w:t>
            </w:r>
            <w:r>
              <w:rPr>
                <w:spacing w:val="-9"/>
                <w:sz w:val="21"/>
              </w:rPr>
              <w:t>克斯勒智力量表</w:t>
            </w:r>
            <w:r>
              <w:rPr>
                <w:sz w:val="21"/>
              </w:rPr>
              <w:t>（</w:t>
            </w:r>
            <w:r>
              <w:rPr>
                <w:spacing w:val="-5"/>
                <w:sz w:val="21"/>
              </w:rPr>
              <w:t>儿童智力量表或成人智力量表</w:t>
            </w:r>
            <w:r>
              <w:rPr>
                <w:sz w:val="21"/>
              </w:rPr>
              <w:t>）。</w:t>
            </w:r>
          </w:p>
          <w:p>
            <w:pPr>
              <w:pStyle w:val="TableParagraph"/>
              <w:spacing w:before="8"/>
              <w:ind w:left="99"/>
              <w:rPr>
                <w:sz w:val="21"/>
              </w:rPr>
            </w:pPr>
            <w:r>
              <w:rPr>
                <w:sz w:val="21"/>
              </w:rPr>
              <w:t>理赔时必须满足下列全部条件：</w:t>
            </w:r>
          </w:p>
          <w:p>
            <w:pPr>
              <w:pStyle w:val="TableParagraph"/>
              <w:spacing w:line="273" w:lineRule="auto"/>
              <w:ind w:left="99" w:right="336"/>
              <w:rPr>
                <w:sz w:val="21"/>
              </w:rPr>
            </w:pPr>
            <w:r>
              <w:rPr>
                <w:sz w:val="21"/>
              </w:rPr>
              <w:t>（1）造成被保险人智力低下或智力残疾的严重头部创伤或疾病（以诊断日期为准）发生在被保险人六周岁以后；</w:t>
            </w:r>
          </w:p>
          <w:p>
            <w:pPr>
              <w:pStyle w:val="TableParagraph"/>
              <w:spacing w:line="273" w:lineRule="auto" w:before="7"/>
              <w:ind w:left="99" w:right="334"/>
              <w:rPr>
                <w:sz w:val="21"/>
              </w:rPr>
            </w:pPr>
            <w:r>
              <w:rPr>
                <w:sz w:val="21"/>
              </w:rPr>
              <w:t>（2）本公司认可医院的专科医生确诊被保险人由于严重头部创伤或疾病造成智力低下或智力残疾；</w:t>
            </w:r>
          </w:p>
          <w:p>
            <w:pPr>
              <w:pStyle w:val="TableParagraph"/>
              <w:spacing w:line="273" w:lineRule="auto" w:before="7"/>
              <w:ind w:left="99" w:right="125"/>
              <w:rPr>
                <w:sz w:val="21"/>
              </w:rPr>
            </w:pPr>
            <w:r>
              <w:rPr>
                <w:sz w:val="21"/>
              </w:rPr>
              <w:t>（3）本公司认可医院的儿童或成人精神卫生科、心理科或神经科专科医生做的检测证实被保险人智力低下或智力残疾（轻度、中度、重度或极重度）；</w:t>
            </w:r>
          </w:p>
          <w:p>
            <w:pPr>
              <w:pStyle w:val="TableParagraph"/>
              <w:spacing w:before="7"/>
              <w:ind w:left="99"/>
              <w:rPr>
                <w:sz w:val="21"/>
              </w:rPr>
            </w:pPr>
            <w:r>
              <w:rPr>
                <w:sz w:val="21"/>
              </w:rPr>
              <w:t>（4）被保险人的智力低下或智力残疾自确诊日起持续180天以上。</w:t>
            </w:r>
          </w:p>
        </w:tc>
      </w:tr>
      <w:tr>
        <w:trPr>
          <w:trHeight w:val="2808" w:hRule="atLeast"/>
        </w:trPr>
        <w:tc>
          <w:tcPr>
            <w:tcW w:w="2007" w:type="dxa"/>
          </w:tcPr>
          <w:p>
            <w:pPr>
              <w:pStyle w:val="TableParagraph"/>
              <w:spacing w:line="256" w:lineRule="auto" w:before="146"/>
              <w:ind w:left="200" w:right="96"/>
              <w:rPr>
                <w:sz w:val="21"/>
              </w:rPr>
            </w:pPr>
            <w:r>
              <w:rPr>
                <w:rFonts w:ascii="Times New Roman" w:eastAsia="Times New Roman"/>
                <w:sz w:val="21"/>
              </w:rPr>
              <w:t>( </w:t>
            </w:r>
            <w:r>
              <w:rPr>
                <w:sz w:val="21"/>
              </w:rPr>
              <w:t>七十一</w:t>
            </w:r>
            <w:r>
              <w:rPr>
                <w:rFonts w:ascii="Times New Roman" w:eastAsia="Times New Roman"/>
                <w:sz w:val="21"/>
              </w:rPr>
              <w:t>) </w:t>
            </w:r>
            <w:r>
              <w:rPr>
                <w:sz w:val="21"/>
              </w:rPr>
              <w:t>严重感染性心内膜炎</w:t>
            </w:r>
          </w:p>
        </w:tc>
        <w:tc>
          <w:tcPr>
            <w:tcW w:w="7263" w:type="dxa"/>
          </w:tcPr>
          <w:p>
            <w:pPr>
              <w:pStyle w:val="TableParagraph"/>
              <w:spacing w:line="273" w:lineRule="auto" w:before="146"/>
              <w:ind w:left="99" w:right="308"/>
              <w:rPr>
                <w:sz w:val="21"/>
              </w:rPr>
            </w:pPr>
            <w:r>
              <w:rPr>
                <w:spacing w:val="-8"/>
                <w:sz w:val="21"/>
              </w:rPr>
              <w:t>指因感染性微生物造成心脏内膜发炎，经由专科医生确诊，并符合下列所有条件：</w:t>
            </w:r>
          </w:p>
          <w:p>
            <w:pPr>
              <w:pStyle w:val="TableParagraph"/>
              <w:spacing w:before="7"/>
              <w:ind w:left="99"/>
              <w:rPr>
                <w:sz w:val="21"/>
              </w:rPr>
            </w:pPr>
            <w:r>
              <w:rPr>
                <w:sz w:val="21"/>
              </w:rPr>
              <w:t>（</w:t>
            </w:r>
            <w:r>
              <w:rPr>
                <w:rFonts w:ascii="Times New Roman" w:eastAsia="Times New Roman"/>
                <w:sz w:val="21"/>
              </w:rPr>
              <w:t>1</w:t>
            </w:r>
            <w:r>
              <w:rPr>
                <w:sz w:val="21"/>
              </w:rPr>
              <w:t>）以下方法之一血液培养测试结果为阳性，证实存在感染性微生物；</w:t>
            </w:r>
          </w:p>
          <w:p>
            <w:pPr>
              <w:pStyle w:val="TableParagraph"/>
              <w:numPr>
                <w:ilvl w:val="0"/>
                <w:numId w:val="8"/>
              </w:numPr>
              <w:tabs>
                <w:tab w:pos="312" w:val="left" w:leader="none"/>
              </w:tabs>
              <w:spacing w:line="240" w:lineRule="auto" w:before="20" w:after="0"/>
              <w:ind w:left="311" w:right="0" w:hanging="212"/>
              <w:jc w:val="left"/>
              <w:rPr>
                <w:sz w:val="21"/>
              </w:rPr>
            </w:pPr>
            <w:r>
              <w:rPr>
                <w:position w:val="2"/>
                <w:sz w:val="14"/>
              </w:rPr>
              <w:t>1</w:t>
            </w:r>
            <w:r>
              <w:rPr>
                <w:spacing w:val="0"/>
                <w:position w:val="2"/>
                <w:sz w:val="14"/>
              </w:rPr>
              <w:t>   </w:t>
            </w:r>
            <w:r>
              <w:rPr>
                <w:spacing w:val="-5"/>
                <w:sz w:val="21"/>
              </w:rPr>
              <w:t>微生物：在赘生物或心脏内脓疡经培养或组织检查证实有微生物；</w:t>
            </w:r>
          </w:p>
          <w:p>
            <w:pPr>
              <w:pStyle w:val="TableParagraph"/>
              <w:numPr>
                <w:ilvl w:val="0"/>
                <w:numId w:val="8"/>
              </w:numPr>
              <w:tabs>
                <w:tab w:pos="312" w:val="left" w:leader="none"/>
              </w:tabs>
              <w:spacing w:line="240" w:lineRule="auto" w:before="36" w:after="0"/>
              <w:ind w:left="311" w:right="0" w:hanging="212"/>
              <w:jc w:val="left"/>
              <w:rPr>
                <w:sz w:val="21"/>
              </w:rPr>
            </w:pPr>
            <w:r>
              <w:rPr>
                <w:position w:val="2"/>
                <w:sz w:val="14"/>
              </w:rPr>
              <w:t>2</w:t>
            </w:r>
            <w:r>
              <w:rPr>
                <w:spacing w:val="0"/>
                <w:position w:val="2"/>
                <w:sz w:val="14"/>
              </w:rPr>
              <w:t>   </w:t>
            </w:r>
            <w:r>
              <w:rPr>
                <w:spacing w:val="-5"/>
                <w:sz w:val="21"/>
              </w:rPr>
              <w:t>病理性病灶：组织检查证实赘生物或心脏内脓疡有活动性心内膜炎；</w:t>
            </w:r>
          </w:p>
          <w:p>
            <w:pPr>
              <w:pStyle w:val="TableParagraph"/>
              <w:numPr>
                <w:ilvl w:val="0"/>
                <w:numId w:val="8"/>
              </w:numPr>
              <w:tabs>
                <w:tab w:pos="312" w:val="left" w:leader="none"/>
              </w:tabs>
              <w:spacing w:line="240" w:lineRule="auto" w:before="37" w:after="0"/>
              <w:ind w:left="311" w:right="0" w:hanging="212"/>
              <w:jc w:val="left"/>
              <w:rPr>
                <w:sz w:val="21"/>
              </w:rPr>
            </w:pPr>
            <w:r>
              <w:rPr>
                <w:position w:val="2"/>
                <w:sz w:val="14"/>
              </w:rPr>
              <w:t>3</w:t>
            </w:r>
            <w:r>
              <w:rPr>
                <w:spacing w:val="32"/>
                <w:position w:val="2"/>
                <w:sz w:val="14"/>
              </w:rPr>
              <w:t>  </w:t>
            </w:r>
            <w:r>
              <w:rPr>
                <w:spacing w:val="-5"/>
                <w:sz w:val="21"/>
              </w:rPr>
              <w:t>分别两次血液培养证实有微生物，且与心内膜炎符合。</w:t>
            </w:r>
          </w:p>
          <w:p>
            <w:pPr>
              <w:pStyle w:val="TableParagraph"/>
              <w:spacing w:line="273" w:lineRule="auto"/>
              <w:ind w:left="99" w:right="307"/>
              <w:rPr>
                <w:sz w:val="21"/>
              </w:rPr>
            </w:pPr>
            <w:r>
              <w:rPr>
                <w:sz w:val="21"/>
              </w:rPr>
              <w:t>（2）出现明显的心功能衰竭（</w:t>
            </w:r>
            <w:r>
              <w:rPr>
                <w:spacing w:val="-2"/>
                <w:sz w:val="21"/>
              </w:rPr>
              <w:t>指按照美国纽约心脏病学会提出的心功能状</w:t>
            </w:r>
            <w:r>
              <w:rPr>
                <w:spacing w:val="-7"/>
                <w:sz w:val="21"/>
              </w:rPr>
              <w:t>态分级的标准判定，心功能状态已达 </w:t>
            </w:r>
            <w:r>
              <w:rPr>
                <w:sz w:val="21"/>
              </w:rPr>
              <w:t>IV</w:t>
            </w:r>
            <w:r>
              <w:rPr>
                <w:spacing w:val="-23"/>
                <w:sz w:val="21"/>
              </w:rPr>
              <w:t> 级</w:t>
            </w:r>
            <w:r>
              <w:rPr>
                <w:spacing w:val="-106"/>
                <w:sz w:val="21"/>
              </w:rPr>
              <w:t>）</w:t>
            </w:r>
            <w:r>
              <w:rPr>
                <w:sz w:val="21"/>
              </w:rPr>
              <w:t>。</w:t>
            </w:r>
          </w:p>
        </w:tc>
      </w:tr>
      <w:tr>
        <w:trPr>
          <w:trHeight w:val="2293" w:hRule="atLeast"/>
        </w:trPr>
        <w:tc>
          <w:tcPr>
            <w:tcW w:w="2007" w:type="dxa"/>
          </w:tcPr>
          <w:p>
            <w:pPr>
              <w:pStyle w:val="TableParagraph"/>
              <w:spacing w:line="259" w:lineRule="auto" w:before="146"/>
              <w:ind w:left="200" w:right="100"/>
              <w:rPr>
                <w:sz w:val="21"/>
              </w:rPr>
            </w:pPr>
            <w:r>
              <w:rPr>
                <w:rFonts w:ascii="Times New Roman" w:eastAsia="Times New Roman"/>
                <w:sz w:val="21"/>
              </w:rPr>
              <w:t>(</w:t>
            </w:r>
            <w:r>
              <w:rPr>
                <w:sz w:val="21"/>
              </w:rPr>
              <w:t>七十二</w:t>
            </w:r>
            <w:r>
              <w:rPr>
                <w:rFonts w:ascii="Times New Roman" w:eastAsia="Times New Roman"/>
                <w:sz w:val="21"/>
              </w:rPr>
              <w:t>)</w:t>
            </w:r>
            <w:r>
              <w:rPr>
                <w:sz w:val="21"/>
              </w:rPr>
              <w:t>严重慢性缩窄型心包炎</w:t>
            </w:r>
          </w:p>
        </w:tc>
        <w:tc>
          <w:tcPr>
            <w:tcW w:w="7263" w:type="dxa"/>
          </w:tcPr>
          <w:p>
            <w:pPr>
              <w:pStyle w:val="TableParagraph"/>
              <w:spacing w:line="273" w:lineRule="auto" w:before="146"/>
              <w:ind w:left="99" w:right="197"/>
              <w:rPr>
                <w:sz w:val="21"/>
              </w:rPr>
            </w:pPr>
            <w:r>
              <w:rPr>
                <w:spacing w:val="-9"/>
                <w:sz w:val="21"/>
              </w:rPr>
              <w:t>由于慢性心包炎症导致心包脏层和壁层广泛瘢痕粘连、增厚和钙化，心包腔</w:t>
            </w:r>
            <w:r>
              <w:rPr>
                <w:spacing w:val="-16"/>
                <w:sz w:val="21"/>
              </w:rPr>
              <w:t>闭塞，形成一个纤维瘢痕外壳，使心脏和大血管根部受压，阻碍心脏的舒张。</w:t>
            </w:r>
            <w:r>
              <w:rPr>
                <w:spacing w:val="-9"/>
                <w:sz w:val="21"/>
              </w:rPr>
              <w:t>被保险人被本公司认可的专科医生明确诊断为慢性缩窄性心包炎且必须满 </w:t>
            </w:r>
            <w:r>
              <w:rPr>
                <w:spacing w:val="-7"/>
                <w:sz w:val="21"/>
              </w:rPr>
              <w:t>足以下所有条件：</w:t>
            </w:r>
          </w:p>
          <w:p>
            <w:pPr>
              <w:pStyle w:val="TableParagraph"/>
              <w:spacing w:line="273" w:lineRule="auto" w:before="8"/>
              <w:ind w:left="99" w:right="230"/>
              <w:rPr>
                <w:sz w:val="21"/>
              </w:rPr>
            </w:pPr>
            <w:r>
              <w:rPr>
                <w:sz w:val="21"/>
              </w:rPr>
              <w:t>（1）心功能衰竭达到美国纽约心脏病学会心功能状态分级IV级，并持续180 天以上；</w:t>
            </w:r>
          </w:p>
          <w:p>
            <w:pPr>
              <w:pStyle w:val="TableParagraph"/>
              <w:spacing w:line="255" w:lineRule="exact" w:before="8"/>
              <w:ind w:left="99"/>
              <w:rPr>
                <w:sz w:val="21"/>
              </w:rPr>
            </w:pPr>
            <w:r>
              <w:rPr>
                <w:sz w:val="21"/>
              </w:rPr>
              <w:t>（2）实际接受了以下任何一种手术路径的心包剥脱或心包切除手术；</w:t>
            </w:r>
          </w:p>
        </w:tc>
      </w:tr>
    </w:tbl>
    <w:p>
      <w:pPr>
        <w:spacing w:after="0" w:line="255" w:lineRule="exact"/>
        <w:rPr>
          <w:sz w:val="21"/>
        </w:rPr>
        <w:sectPr>
          <w:pgSz w:w="11910" w:h="16840"/>
          <w:pgMar w:header="496" w:footer="995" w:top="800" w:bottom="1180" w:left="960" w:right="720"/>
        </w:sectPr>
      </w:pPr>
    </w:p>
    <w:p>
      <w:pPr>
        <w:pStyle w:val="BodyText"/>
        <w:rPr>
          <w:rFonts w:ascii="Times New Roman"/>
          <w:sz w:val="20"/>
        </w:rPr>
      </w:pPr>
    </w:p>
    <w:p>
      <w:pPr>
        <w:pStyle w:val="BodyText"/>
        <w:spacing w:before="9" w:after="1"/>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7158"/>
      </w:tblGrid>
      <w:tr>
        <w:trPr>
          <w:trHeight w:val="726" w:hRule="atLeast"/>
        </w:trPr>
        <w:tc>
          <w:tcPr>
            <w:tcW w:w="2005" w:type="dxa"/>
          </w:tcPr>
          <w:p>
            <w:pPr>
              <w:pStyle w:val="TableParagraph"/>
              <w:spacing w:before="0"/>
              <w:ind w:left="0"/>
              <w:rPr>
                <w:rFonts w:ascii="Times New Roman"/>
                <w:sz w:val="20"/>
              </w:rPr>
            </w:pPr>
          </w:p>
        </w:tc>
        <w:tc>
          <w:tcPr>
            <w:tcW w:w="7158" w:type="dxa"/>
          </w:tcPr>
          <w:p>
            <w:pPr>
              <w:pStyle w:val="TableParagraph"/>
              <w:spacing w:line="211" w:lineRule="exact" w:before="0"/>
              <w:ind w:left="101"/>
              <w:rPr>
                <w:sz w:val="21"/>
              </w:rPr>
            </w:pPr>
            <w:r>
              <w:rPr>
                <w:sz w:val="21"/>
              </w:rPr>
              <w:t>胸骨正中切口；双侧前胸切口；左前胸肋间切口。</w:t>
            </w:r>
          </w:p>
          <w:p>
            <w:pPr>
              <w:pStyle w:val="TableParagraph"/>
              <w:ind w:left="101"/>
              <w:rPr>
                <w:sz w:val="21"/>
              </w:rPr>
            </w:pPr>
            <w:r>
              <w:rPr>
                <w:sz w:val="21"/>
              </w:rPr>
              <w:t>经胸腔镜、胸壁打孔进行的手术、心包粘连松解手术不在保障范围内。</w:t>
            </w:r>
          </w:p>
        </w:tc>
      </w:tr>
      <w:tr>
        <w:trPr>
          <w:trHeight w:val="3433" w:hRule="atLeast"/>
        </w:trPr>
        <w:tc>
          <w:tcPr>
            <w:tcW w:w="2005" w:type="dxa"/>
          </w:tcPr>
          <w:p>
            <w:pPr>
              <w:pStyle w:val="TableParagraph"/>
              <w:spacing w:line="259" w:lineRule="auto" w:before="146"/>
              <w:ind w:left="200" w:right="190"/>
              <w:rPr>
                <w:sz w:val="21"/>
              </w:rPr>
            </w:pPr>
            <w:r>
              <w:rPr>
                <w:rFonts w:ascii="Times New Roman" w:eastAsia="Times New Roman"/>
                <w:sz w:val="21"/>
              </w:rPr>
              <w:t>(</w:t>
            </w:r>
            <w:r>
              <w:rPr>
                <w:sz w:val="21"/>
              </w:rPr>
              <w:t>七十三</w:t>
            </w:r>
            <w:r>
              <w:rPr>
                <w:rFonts w:ascii="Times New Roman" w:eastAsia="Times New Roman"/>
                <w:sz w:val="21"/>
              </w:rPr>
              <w:t>)</w:t>
            </w:r>
            <w:r>
              <w:rPr>
                <w:sz w:val="21"/>
              </w:rPr>
              <w:t>骨髓纤维化</w:t>
            </w:r>
          </w:p>
        </w:tc>
        <w:tc>
          <w:tcPr>
            <w:tcW w:w="7158" w:type="dxa"/>
          </w:tcPr>
          <w:p>
            <w:pPr>
              <w:pStyle w:val="TableParagraph"/>
              <w:spacing w:line="273" w:lineRule="auto" w:before="146"/>
              <w:ind w:left="101" w:right="198"/>
              <w:jc w:val="both"/>
              <w:rPr>
                <w:sz w:val="21"/>
              </w:rPr>
            </w:pPr>
            <w:r>
              <w:rPr>
                <w:spacing w:val="-8"/>
                <w:sz w:val="21"/>
              </w:rPr>
              <w:t>原发性骨髓纤维化为原因不明的骨髓中成纤维细胞增殖，伴有髓外造血，表</w:t>
            </w:r>
            <w:r>
              <w:rPr>
                <w:spacing w:val="-12"/>
                <w:sz w:val="21"/>
              </w:rPr>
              <w:t>现为进行性贫血、脾肿大等症状。本病必须根据骨髓的活组织检查和周围血象检查由本公司认可的血液科专科医生明确诊断，至少符合下列条件中的三</w:t>
            </w:r>
            <w:r>
              <w:rPr>
                <w:spacing w:val="-8"/>
                <w:sz w:val="21"/>
              </w:rPr>
              <w:t>项，且符合条件的状态持续</w:t>
            </w:r>
            <w:r>
              <w:rPr>
                <w:sz w:val="21"/>
              </w:rPr>
              <w:t>180</w:t>
            </w:r>
            <w:r>
              <w:rPr>
                <w:spacing w:val="-5"/>
                <w:sz w:val="21"/>
              </w:rPr>
              <w:t>天及以上，并已经实际接受了针对此症的治疗：</w:t>
            </w:r>
          </w:p>
          <w:p>
            <w:pPr>
              <w:pStyle w:val="TableParagraph"/>
              <w:spacing w:before="8"/>
              <w:ind w:left="101"/>
              <w:jc w:val="both"/>
              <w:rPr>
                <w:sz w:val="21"/>
              </w:rPr>
            </w:pPr>
            <w:r>
              <w:rPr>
                <w:sz w:val="21"/>
              </w:rPr>
              <w:t>（1）血红蛋白&lt;100g/L；</w:t>
            </w:r>
          </w:p>
          <w:p>
            <w:pPr>
              <w:pStyle w:val="TableParagraph"/>
              <w:ind w:left="101"/>
              <w:jc w:val="both"/>
              <w:rPr>
                <w:sz w:val="21"/>
              </w:rPr>
            </w:pPr>
            <w:r>
              <w:rPr>
                <w:sz w:val="21"/>
              </w:rPr>
              <w:t>（2）白细胞计数&gt;25 x 10^9/L；</w:t>
            </w:r>
          </w:p>
          <w:p>
            <w:pPr>
              <w:pStyle w:val="TableParagraph"/>
              <w:spacing w:before="36"/>
              <w:ind w:left="101"/>
              <w:jc w:val="both"/>
              <w:rPr>
                <w:sz w:val="21"/>
              </w:rPr>
            </w:pPr>
            <w:r>
              <w:rPr>
                <w:sz w:val="21"/>
              </w:rPr>
              <w:t>（3）外周血原始细胞 ≥ 1%；</w:t>
            </w:r>
          </w:p>
          <w:p>
            <w:pPr>
              <w:pStyle w:val="TableParagraph"/>
              <w:spacing w:before="36"/>
              <w:ind w:left="101"/>
              <w:jc w:val="both"/>
              <w:rPr>
                <w:sz w:val="21"/>
              </w:rPr>
            </w:pPr>
            <w:r>
              <w:rPr>
                <w:sz w:val="21"/>
              </w:rPr>
              <w:t>（4）血小板计数&lt;100 x 10^9/L。</w:t>
            </w:r>
          </w:p>
          <w:p>
            <w:pPr>
              <w:pStyle w:val="TableParagraph"/>
              <w:spacing w:before="36"/>
              <w:ind w:left="101"/>
              <w:jc w:val="both"/>
              <w:rPr>
                <w:sz w:val="21"/>
              </w:rPr>
            </w:pPr>
            <w:r>
              <w:rPr>
                <w:sz w:val="21"/>
              </w:rPr>
              <w:t>任何其它病因导致的继发性骨髓纤维化不在保障范围内。</w:t>
            </w:r>
          </w:p>
        </w:tc>
      </w:tr>
      <w:tr>
        <w:trPr>
          <w:trHeight w:val="2808" w:hRule="atLeast"/>
        </w:trPr>
        <w:tc>
          <w:tcPr>
            <w:tcW w:w="2005" w:type="dxa"/>
          </w:tcPr>
          <w:p>
            <w:pPr>
              <w:pStyle w:val="TableParagraph"/>
              <w:spacing w:line="256" w:lineRule="auto" w:before="146"/>
              <w:ind w:left="200" w:right="295"/>
              <w:rPr>
                <w:sz w:val="21"/>
              </w:rPr>
            </w:pPr>
            <w:r>
              <w:rPr>
                <w:rFonts w:ascii="Times New Roman" w:eastAsia="Times New Roman"/>
                <w:sz w:val="21"/>
              </w:rPr>
              <w:t>(</w:t>
            </w:r>
            <w:r>
              <w:rPr>
                <w:sz w:val="21"/>
              </w:rPr>
              <w:t>七十四</w:t>
            </w:r>
            <w:r>
              <w:rPr>
                <w:rFonts w:ascii="Times New Roman" w:eastAsia="Times New Roman"/>
                <w:sz w:val="21"/>
              </w:rPr>
              <w:t>) </w:t>
            </w:r>
            <w:r>
              <w:rPr>
                <w:sz w:val="21"/>
              </w:rPr>
              <w:t>重症手足口病</w:t>
            </w:r>
          </w:p>
        </w:tc>
        <w:tc>
          <w:tcPr>
            <w:tcW w:w="7158" w:type="dxa"/>
          </w:tcPr>
          <w:p>
            <w:pPr>
              <w:pStyle w:val="TableParagraph"/>
              <w:spacing w:line="273" w:lineRule="auto" w:before="146"/>
              <w:ind w:left="101" w:right="201"/>
              <w:rPr>
                <w:sz w:val="21"/>
              </w:rPr>
            </w:pPr>
            <w:r>
              <w:rPr>
                <w:spacing w:val="-8"/>
                <w:sz w:val="21"/>
              </w:rPr>
              <w:t>经本公司认可的医院的儿科专科医生确诊为患有手足口病，并伴有下列三项</w:t>
            </w:r>
            <w:r>
              <w:rPr>
                <w:spacing w:val="-6"/>
                <w:sz w:val="21"/>
              </w:rPr>
              <w:t>中任意一项并发症：</w:t>
            </w:r>
          </w:p>
          <w:p>
            <w:pPr>
              <w:pStyle w:val="TableParagraph"/>
              <w:spacing w:line="273" w:lineRule="auto" w:before="7"/>
              <w:ind w:left="101" w:right="229"/>
              <w:rPr>
                <w:sz w:val="21"/>
              </w:rPr>
            </w:pPr>
            <w:r>
              <w:rPr>
                <w:sz w:val="21"/>
              </w:rPr>
              <w:t>（1）有脑膜炎或脑炎并发症，且导致意识障碍或瘫痪的临床表现及实验室检查证据；</w:t>
            </w:r>
          </w:p>
          <w:p>
            <w:pPr>
              <w:pStyle w:val="TableParagraph"/>
              <w:spacing w:line="273" w:lineRule="auto" w:before="7"/>
              <w:ind w:left="101" w:right="229"/>
              <w:rPr>
                <w:sz w:val="21"/>
              </w:rPr>
            </w:pPr>
            <w:r>
              <w:rPr>
                <w:sz w:val="21"/>
              </w:rPr>
              <w:t>（2）有肺炎或肺水肿并发症，且导致呼吸衰竭的临床表现及实验室检查证据；</w:t>
            </w:r>
          </w:p>
          <w:p>
            <w:pPr>
              <w:pStyle w:val="TableParagraph"/>
              <w:spacing w:line="273" w:lineRule="auto" w:before="7"/>
              <w:ind w:left="101" w:right="229"/>
              <w:rPr>
                <w:sz w:val="21"/>
              </w:rPr>
            </w:pPr>
            <w:r>
              <w:rPr>
                <w:sz w:val="21"/>
              </w:rPr>
              <w:t>（3）有心肌炎并发症，且导致心脏扩大或心力衰竭的临床表现及实验室检查证据。</w:t>
            </w:r>
          </w:p>
        </w:tc>
      </w:tr>
      <w:tr>
        <w:trPr>
          <w:trHeight w:val="1248" w:hRule="atLeast"/>
        </w:trPr>
        <w:tc>
          <w:tcPr>
            <w:tcW w:w="2005" w:type="dxa"/>
          </w:tcPr>
          <w:p>
            <w:pPr>
              <w:pStyle w:val="TableParagraph"/>
              <w:spacing w:line="256" w:lineRule="auto" w:before="146"/>
              <w:ind w:left="200" w:right="295"/>
              <w:rPr>
                <w:sz w:val="21"/>
              </w:rPr>
            </w:pPr>
            <w:r>
              <w:rPr>
                <w:rFonts w:ascii="Times New Roman" w:eastAsia="Times New Roman"/>
                <w:sz w:val="21"/>
              </w:rPr>
              <w:t>(</w:t>
            </w:r>
            <w:r>
              <w:rPr>
                <w:sz w:val="21"/>
              </w:rPr>
              <w:t>七十五</w:t>
            </w:r>
            <w:r>
              <w:rPr>
                <w:rFonts w:ascii="Times New Roman" w:eastAsia="Times New Roman"/>
                <w:sz w:val="21"/>
              </w:rPr>
              <w:t>) </w:t>
            </w:r>
            <w:r>
              <w:rPr>
                <w:sz w:val="21"/>
              </w:rPr>
              <w:t>严重胃肠炎</w:t>
            </w:r>
          </w:p>
        </w:tc>
        <w:tc>
          <w:tcPr>
            <w:tcW w:w="7158" w:type="dxa"/>
          </w:tcPr>
          <w:p>
            <w:pPr>
              <w:pStyle w:val="TableParagraph"/>
              <w:spacing w:line="273" w:lineRule="auto" w:before="146"/>
              <w:ind w:left="101" w:right="201"/>
              <w:jc w:val="both"/>
              <w:rPr>
                <w:sz w:val="21"/>
              </w:rPr>
            </w:pPr>
            <w:r>
              <w:rPr>
                <w:spacing w:val="-10"/>
                <w:sz w:val="21"/>
              </w:rPr>
              <w:t>以严重的腹泻、便血和肠段坏死为特征的胃肠道严重感染导致大肠或小肠的一处或多处已经由本公司认可的普通外科专科医生实施了手术切除，且经病</w:t>
            </w:r>
            <w:r>
              <w:rPr>
                <w:spacing w:val="-7"/>
                <w:sz w:val="21"/>
              </w:rPr>
              <w:t>理检查证实存在严重感染和坏死。</w:t>
            </w:r>
          </w:p>
        </w:tc>
      </w:tr>
      <w:tr>
        <w:trPr>
          <w:trHeight w:val="1872" w:hRule="atLeast"/>
        </w:trPr>
        <w:tc>
          <w:tcPr>
            <w:tcW w:w="2005" w:type="dxa"/>
          </w:tcPr>
          <w:p>
            <w:pPr>
              <w:pStyle w:val="TableParagraph"/>
              <w:spacing w:line="256" w:lineRule="auto" w:before="146"/>
              <w:ind w:left="200" w:right="295"/>
              <w:rPr>
                <w:sz w:val="21"/>
              </w:rPr>
            </w:pPr>
            <w:r>
              <w:rPr>
                <w:rFonts w:ascii="Times New Roman" w:eastAsia="Times New Roman"/>
                <w:sz w:val="21"/>
              </w:rPr>
              <w:t>(</w:t>
            </w:r>
            <w:r>
              <w:rPr>
                <w:sz w:val="21"/>
              </w:rPr>
              <w:t>七十六</w:t>
            </w:r>
            <w:r>
              <w:rPr>
                <w:rFonts w:ascii="Times New Roman" w:eastAsia="Times New Roman"/>
                <w:sz w:val="21"/>
              </w:rPr>
              <w:t>) </w:t>
            </w:r>
            <w:r>
              <w:rPr>
                <w:sz w:val="21"/>
              </w:rPr>
              <w:t>主动脉夹层瘤</w:t>
            </w:r>
          </w:p>
        </w:tc>
        <w:tc>
          <w:tcPr>
            <w:tcW w:w="7158" w:type="dxa"/>
          </w:tcPr>
          <w:p>
            <w:pPr>
              <w:pStyle w:val="TableParagraph"/>
              <w:spacing w:line="273" w:lineRule="auto" w:before="146"/>
              <w:ind w:left="101" w:right="198"/>
              <w:jc w:val="both"/>
              <w:rPr>
                <w:sz w:val="21"/>
              </w:rPr>
            </w:pPr>
            <w:r>
              <w:rPr>
                <w:spacing w:val="-8"/>
                <w:sz w:val="21"/>
              </w:rPr>
              <w:t>是指主动脉壁在受到某些病理因素的破坏后，高速、高压的主动脉血流将其</w:t>
            </w:r>
            <w:r>
              <w:rPr>
                <w:spacing w:val="-12"/>
                <w:sz w:val="21"/>
              </w:rPr>
              <w:t>内膜撕裂，以致主动脉腔内的血流通过主动脉内膜的破裂口进入主动脉内壁</w:t>
            </w:r>
            <w:r>
              <w:rPr>
                <w:spacing w:val="-8"/>
                <w:sz w:val="21"/>
              </w:rPr>
              <w:t>而形成血肿。须通过电脑断层扫描</w:t>
            </w:r>
            <w:r>
              <w:rPr>
                <w:sz w:val="21"/>
              </w:rPr>
              <w:t>（CT）</w:t>
            </w:r>
            <w:r>
              <w:rPr>
                <w:spacing w:val="-3"/>
                <w:sz w:val="21"/>
              </w:rPr>
              <w:t>、磁共振扫描</w:t>
            </w:r>
            <w:r>
              <w:rPr>
                <w:sz w:val="21"/>
              </w:rPr>
              <w:t>（MRI）</w:t>
            </w:r>
            <w:r>
              <w:rPr>
                <w:spacing w:val="-2"/>
                <w:sz w:val="21"/>
              </w:rPr>
              <w:t>、磁共振血管检验法（MRA）</w:t>
            </w:r>
            <w:r>
              <w:rPr>
                <w:spacing w:val="-5"/>
                <w:sz w:val="21"/>
              </w:rPr>
              <w:t>或血管扫描等检查证实，并且已经实施了胸腹切开的直视主动脉手术。</w:t>
            </w:r>
          </w:p>
        </w:tc>
      </w:tr>
      <w:tr>
        <w:trPr>
          <w:trHeight w:val="3432" w:hRule="atLeast"/>
        </w:trPr>
        <w:tc>
          <w:tcPr>
            <w:tcW w:w="2005" w:type="dxa"/>
          </w:tcPr>
          <w:p>
            <w:pPr>
              <w:pStyle w:val="TableParagraph"/>
              <w:spacing w:line="256" w:lineRule="auto" w:before="146"/>
              <w:ind w:left="200" w:right="295"/>
              <w:rPr>
                <w:sz w:val="21"/>
              </w:rPr>
            </w:pPr>
            <w:r>
              <w:rPr>
                <w:rFonts w:ascii="Times New Roman" w:eastAsia="Times New Roman"/>
                <w:sz w:val="21"/>
              </w:rPr>
              <w:t>(</w:t>
            </w:r>
            <w:r>
              <w:rPr>
                <w:sz w:val="21"/>
              </w:rPr>
              <w:t>七十七</w:t>
            </w:r>
            <w:r>
              <w:rPr>
                <w:rFonts w:ascii="Times New Roman" w:eastAsia="Times New Roman"/>
                <w:sz w:val="21"/>
              </w:rPr>
              <w:t>) </w:t>
            </w:r>
            <w:r>
              <w:rPr>
                <w:sz w:val="21"/>
              </w:rPr>
              <w:t>失去一肢及一眼</w:t>
            </w:r>
          </w:p>
        </w:tc>
        <w:tc>
          <w:tcPr>
            <w:tcW w:w="7158" w:type="dxa"/>
          </w:tcPr>
          <w:p>
            <w:pPr>
              <w:pStyle w:val="TableParagraph"/>
              <w:spacing w:before="146"/>
              <w:ind w:left="101"/>
              <w:rPr>
                <w:sz w:val="21"/>
              </w:rPr>
            </w:pPr>
            <w:r>
              <w:rPr>
                <w:sz w:val="21"/>
              </w:rPr>
              <w:t>因疾病或意外伤害导致单眼视力丧失及单肢肢体机能丧失。</w:t>
            </w:r>
          </w:p>
          <w:p>
            <w:pPr>
              <w:pStyle w:val="TableParagraph"/>
              <w:spacing w:line="273" w:lineRule="auto"/>
              <w:ind w:left="101" w:right="330"/>
              <w:rPr>
                <w:sz w:val="21"/>
              </w:rPr>
            </w:pPr>
            <w:r>
              <w:rPr>
                <w:sz w:val="21"/>
              </w:rPr>
              <w:t>单眼视力丧失指单眼视力永久不可逆性丧失，患眼须满足下列至少一项条件：</w:t>
            </w:r>
          </w:p>
          <w:p>
            <w:pPr>
              <w:pStyle w:val="TableParagraph"/>
              <w:spacing w:before="7"/>
              <w:ind w:left="101"/>
              <w:rPr>
                <w:sz w:val="21"/>
              </w:rPr>
            </w:pPr>
            <w:r>
              <w:rPr>
                <w:sz w:val="21"/>
              </w:rPr>
              <w:t>（1）眼球缺失或摘除；</w:t>
            </w:r>
          </w:p>
          <w:p>
            <w:pPr>
              <w:pStyle w:val="TableParagraph"/>
              <w:spacing w:line="273" w:lineRule="auto" w:before="36"/>
              <w:ind w:left="101" w:right="228"/>
              <w:rPr>
                <w:sz w:val="21"/>
              </w:rPr>
            </w:pPr>
            <w:r>
              <w:rPr>
                <w:sz w:val="21"/>
              </w:rPr>
              <w:t>（2）矫正视力低于0.02（采用国际标准视力表，如果使用其它视力表应进行换算）；</w:t>
            </w:r>
          </w:p>
          <w:p>
            <w:pPr>
              <w:pStyle w:val="TableParagraph"/>
              <w:spacing w:before="7"/>
              <w:ind w:left="101"/>
              <w:rPr>
                <w:sz w:val="21"/>
              </w:rPr>
            </w:pPr>
            <w:r>
              <w:rPr>
                <w:sz w:val="21"/>
              </w:rPr>
              <w:t>（3）视野半径小于5度。</w:t>
            </w:r>
          </w:p>
          <w:p>
            <w:pPr>
              <w:pStyle w:val="TableParagraph"/>
              <w:ind w:left="101"/>
              <w:rPr>
                <w:sz w:val="21"/>
              </w:rPr>
            </w:pPr>
            <w:r>
              <w:rPr>
                <w:sz w:val="21"/>
              </w:rPr>
              <w:t>单肢肢体机能丧失，须满足下列至少一项条件：</w:t>
            </w:r>
          </w:p>
          <w:p>
            <w:pPr>
              <w:pStyle w:val="TableParagraph"/>
              <w:spacing w:before="36"/>
              <w:ind w:left="101"/>
              <w:rPr>
                <w:sz w:val="21"/>
              </w:rPr>
            </w:pPr>
            <w:r>
              <w:rPr>
                <w:sz w:val="21"/>
              </w:rPr>
              <w:t>（1）任何一肢自腕关节或踝关节近端（靠近躯干端）以上完全性断离；</w:t>
            </w:r>
          </w:p>
          <w:p>
            <w:pPr>
              <w:pStyle w:val="TableParagraph"/>
              <w:spacing w:before="36"/>
              <w:ind w:left="101"/>
              <w:rPr>
                <w:sz w:val="21"/>
              </w:rPr>
            </w:pPr>
            <w:r>
              <w:rPr>
                <w:sz w:val="21"/>
              </w:rPr>
              <w:t>（2）任何一肢肢体机能完全丧失。</w:t>
            </w:r>
          </w:p>
        </w:tc>
      </w:tr>
      <w:tr>
        <w:trPr>
          <w:trHeight w:val="749" w:hRule="atLeast"/>
        </w:trPr>
        <w:tc>
          <w:tcPr>
            <w:tcW w:w="2005" w:type="dxa"/>
          </w:tcPr>
          <w:p>
            <w:pPr>
              <w:pStyle w:val="TableParagraph"/>
              <w:spacing w:line="310" w:lineRule="atLeast" w:before="126"/>
              <w:ind w:left="200" w:right="98"/>
              <w:rPr>
                <w:sz w:val="21"/>
              </w:rPr>
            </w:pPr>
            <w:r>
              <w:rPr>
                <w:rFonts w:ascii="Times New Roman" w:eastAsia="Times New Roman"/>
                <w:sz w:val="21"/>
              </w:rPr>
              <w:t>(</w:t>
            </w:r>
            <w:r>
              <w:rPr>
                <w:sz w:val="21"/>
              </w:rPr>
              <w:t>七十八</w:t>
            </w:r>
            <w:r>
              <w:rPr>
                <w:rFonts w:ascii="Times New Roman" w:eastAsia="Times New Roman"/>
                <w:sz w:val="21"/>
              </w:rPr>
              <w:t>)</w:t>
            </w:r>
            <w:r>
              <w:rPr>
                <w:sz w:val="21"/>
              </w:rPr>
              <w:t>器官移植导致的 </w:t>
            </w:r>
            <w:r>
              <w:rPr>
                <w:rFonts w:ascii="Times New Roman" w:eastAsia="Times New Roman"/>
                <w:sz w:val="21"/>
              </w:rPr>
              <w:t>HIV </w:t>
            </w:r>
            <w:r>
              <w:rPr>
                <w:sz w:val="21"/>
              </w:rPr>
              <w:t>感染</w:t>
            </w:r>
          </w:p>
        </w:tc>
        <w:tc>
          <w:tcPr>
            <w:tcW w:w="7158" w:type="dxa"/>
          </w:tcPr>
          <w:p>
            <w:pPr>
              <w:pStyle w:val="TableParagraph"/>
              <w:spacing w:line="310" w:lineRule="atLeast" w:before="110"/>
              <w:ind w:left="101" w:right="227"/>
              <w:rPr>
                <w:sz w:val="21"/>
              </w:rPr>
            </w:pPr>
            <w:r>
              <w:rPr>
                <w:sz w:val="21"/>
              </w:rPr>
              <w:t>指因进行器官移植而感染上人类免疫缺陷病毒（HIV），且须满足下列全部条件：</w:t>
            </w:r>
          </w:p>
        </w:tc>
      </w:tr>
    </w:tbl>
    <w:p>
      <w:pPr>
        <w:spacing w:after="0" w:line="310" w:lineRule="atLeast"/>
        <w:rPr>
          <w:sz w:val="21"/>
        </w:rPr>
        <w:sectPr>
          <w:pgSz w:w="11910" w:h="16840"/>
          <w:pgMar w:header="496" w:footer="995" w:top="800" w:bottom="1180" w:left="960" w:right="840"/>
        </w:sectPr>
      </w:pPr>
    </w:p>
    <w:p>
      <w:pPr>
        <w:pStyle w:val="BodyText"/>
        <w:rPr>
          <w:rFonts w:ascii="Times New Roman"/>
          <w:sz w:val="20"/>
        </w:rPr>
      </w:pPr>
    </w:p>
    <w:p>
      <w:pPr>
        <w:pStyle w:val="BodyText"/>
        <w:spacing w:before="9" w:after="1"/>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9"/>
        <w:gridCol w:w="7311"/>
      </w:tblGrid>
      <w:tr>
        <w:trPr>
          <w:trHeight w:val="2599" w:hRule="atLeast"/>
        </w:trPr>
        <w:tc>
          <w:tcPr>
            <w:tcW w:w="1959" w:type="dxa"/>
          </w:tcPr>
          <w:p>
            <w:pPr>
              <w:pStyle w:val="TableParagraph"/>
              <w:spacing w:before="0"/>
              <w:ind w:left="0"/>
              <w:rPr>
                <w:rFonts w:ascii="Times New Roman"/>
                <w:sz w:val="20"/>
              </w:rPr>
            </w:pPr>
          </w:p>
        </w:tc>
        <w:tc>
          <w:tcPr>
            <w:tcW w:w="7311" w:type="dxa"/>
          </w:tcPr>
          <w:p>
            <w:pPr>
              <w:pStyle w:val="TableParagraph"/>
              <w:spacing w:line="211" w:lineRule="exact" w:before="0"/>
              <w:ind w:left="147"/>
              <w:rPr>
                <w:sz w:val="21"/>
              </w:rPr>
            </w:pPr>
            <w:r>
              <w:rPr>
                <w:sz w:val="21"/>
              </w:rPr>
              <w:t>（1）在合同生效日或复效日之后，被保险人因治疗必需而实施器官移植，</w:t>
            </w:r>
          </w:p>
          <w:p>
            <w:pPr>
              <w:pStyle w:val="TableParagraph"/>
              <w:ind w:left="147"/>
              <w:rPr>
                <w:sz w:val="21"/>
              </w:rPr>
            </w:pPr>
            <w:r>
              <w:rPr>
                <w:sz w:val="21"/>
              </w:rPr>
              <w:t>并且因器官移植而感染人类免疫缺陷病毒；</w:t>
            </w:r>
          </w:p>
          <w:p>
            <w:pPr>
              <w:pStyle w:val="TableParagraph"/>
              <w:spacing w:line="273" w:lineRule="auto"/>
              <w:ind w:left="147" w:right="308"/>
              <w:jc w:val="both"/>
              <w:rPr>
                <w:sz w:val="21"/>
              </w:rPr>
            </w:pPr>
            <w:r>
              <w:rPr>
                <w:sz w:val="21"/>
              </w:rPr>
              <w:t>（2）</w:t>
            </w:r>
            <w:r>
              <w:rPr>
                <w:spacing w:val="-5"/>
                <w:sz w:val="21"/>
              </w:rPr>
              <w:t>提供器官移植治疗的器官移植中心或医院出具的此次因器官移植感染</w:t>
            </w:r>
            <w:r>
              <w:rPr>
                <w:spacing w:val="-11"/>
                <w:sz w:val="21"/>
              </w:rPr>
              <w:t>人类免疫缺陷病毒，属于医疗事故的报告，或者法院终审裁定为医疗事故并</w:t>
            </w:r>
            <w:r>
              <w:rPr>
                <w:spacing w:val="-9"/>
                <w:sz w:val="21"/>
              </w:rPr>
              <w:t>且不准上诉；</w:t>
            </w:r>
          </w:p>
          <w:p>
            <w:pPr>
              <w:pStyle w:val="TableParagraph"/>
              <w:spacing w:line="273" w:lineRule="auto" w:before="7"/>
              <w:ind w:left="147" w:right="227"/>
              <w:rPr>
                <w:sz w:val="21"/>
              </w:rPr>
            </w:pPr>
            <w:r>
              <w:rPr>
                <w:sz w:val="21"/>
              </w:rPr>
              <w:t>（3）提供器官移植治疗的器官移植中心或医院必须拥有合法经营执照； 任何因其他传播方式（包括：性传播或静脉注射毒品）导致的 HIV感染不在保障 范围内。</w:t>
            </w:r>
          </w:p>
        </w:tc>
      </w:tr>
      <w:tr>
        <w:trPr>
          <w:trHeight w:val="936" w:hRule="atLeast"/>
        </w:trPr>
        <w:tc>
          <w:tcPr>
            <w:tcW w:w="1959" w:type="dxa"/>
          </w:tcPr>
          <w:p>
            <w:pPr>
              <w:pStyle w:val="TableParagraph"/>
              <w:spacing w:line="256" w:lineRule="auto" w:before="146"/>
              <w:ind w:left="200" w:right="144"/>
              <w:rPr>
                <w:sz w:val="21"/>
              </w:rPr>
            </w:pPr>
            <w:r>
              <w:rPr>
                <w:rFonts w:ascii="Times New Roman" w:eastAsia="Times New Roman"/>
                <w:sz w:val="21"/>
              </w:rPr>
              <w:t>(</w:t>
            </w:r>
            <w:r>
              <w:rPr>
                <w:sz w:val="21"/>
              </w:rPr>
              <w:t>七十九</w:t>
            </w:r>
            <w:r>
              <w:rPr>
                <w:rFonts w:ascii="Times New Roman" w:eastAsia="Times New Roman"/>
                <w:sz w:val="21"/>
              </w:rPr>
              <w:t>)</w:t>
            </w:r>
            <w:r>
              <w:rPr>
                <w:sz w:val="21"/>
              </w:rPr>
              <w:t>严重面部烧伤</w:t>
            </w:r>
          </w:p>
        </w:tc>
        <w:tc>
          <w:tcPr>
            <w:tcW w:w="7311" w:type="dxa"/>
          </w:tcPr>
          <w:p>
            <w:pPr>
              <w:pStyle w:val="TableParagraph"/>
              <w:spacing w:line="273" w:lineRule="auto" w:before="146"/>
              <w:ind w:left="147" w:right="304"/>
              <w:rPr>
                <w:sz w:val="21"/>
              </w:rPr>
            </w:pPr>
            <w:r>
              <w:rPr>
                <w:spacing w:val="-10"/>
                <w:sz w:val="21"/>
              </w:rPr>
              <w:t>指面部烧伤程度为Ⅲ度，且Ⅲ度烧伤的面积达到面部表面积的</w:t>
            </w:r>
            <w:r>
              <w:rPr>
                <w:sz w:val="21"/>
              </w:rPr>
              <w:t>80％或者80％ </w:t>
            </w:r>
            <w:r>
              <w:rPr>
                <w:spacing w:val="-4"/>
                <w:sz w:val="21"/>
              </w:rPr>
              <w:t>以上，体表面积根据《中国新九分法》计算。</w:t>
            </w:r>
          </w:p>
        </w:tc>
      </w:tr>
      <w:tr>
        <w:trPr>
          <w:trHeight w:val="2184" w:hRule="atLeast"/>
        </w:trPr>
        <w:tc>
          <w:tcPr>
            <w:tcW w:w="1959" w:type="dxa"/>
          </w:tcPr>
          <w:p>
            <w:pPr>
              <w:pStyle w:val="TableParagraph"/>
              <w:spacing w:line="256" w:lineRule="auto" w:before="146"/>
              <w:ind w:left="200" w:right="144"/>
              <w:rPr>
                <w:sz w:val="21"/>
              </w:rPr>
            </w:pPr>
            <w:r>
              <w:rPr>
                <w:rFonts w:ascii="Times New Roman" w:eastAsia="Times New Roman"/>
                <w:sz w:val="21"/>
              </w:rPr>
              <w:t>(</w:t>
            </w:r>
            <w:r>
              <w:rPr>
                <w:sz w:val="21"/>
              </w:rPr>
              <w:t>八十</w:t>
            </w:r>
            <w:r>
              <w:rPr>
                <w:rFonts w:ascii="Times New Roman" w:eastAsia="Times New Roman"/>
                <w:sz w:val="21"/>
              </w:rPr>
              <w:t>)</w:t>
            </w:r>
            <w:r>
              <w:rPr>
                <w:sz w:val="21"/>
              </w:rPr>
              <w:t>进行性脊髓性肌萎缩</w:t>
            </w:r>
          </w:p>
        </w:tc>
        <w:tc>
          <w:tcPr>
            <w:tcW w:w="7311" w:type="dxa"/>
          </w:tcPr>
          <w:p>
            <w:pPr>
              <w:pStyle w:val="TableParagraph"/>
              <w:spacing w:line="273" w:lineRule="auto" w:before="146"/>
              <w:ind w:left="147" w:right="305"/>
              <w:jc w:val="both"/>
              <w:rPr>
                <w:sz w:val="21"/>
              </w:rPr>
            </w:pPr>
            <w:r>
              <w:rPr>
                <w:spacing w:val="-8"/>
                <w:sz w:val="21"/>
              </w:rPr>
              <w:t>脊髓前角细胞及脑干运动细胞核的退化病变，以近侧的肌肉无力和萎缩为主</w:t>
            </w:r>
            <w:r>
              <w:rPr>
                <w:spacing w:val="-11"/>
                <w:sz w:val="21"/>
              </w:rPr>
              <w:t>要特征，由腿部为最先开始并逐步扩散至远侧的肌肉。此症必须由专科医生</w:t>
            </w:r>
            <w:r>
              <w:rPr>
                <w:spacing w:val="-12"/>
                <w:sz w:val="21"/>
              </w:rPr>
              <w:t>确诊，并有肌电图等检查证实。进行性脊髓性肌萎缩必须造成神经系统永久</w:t>
            </w:r>
            <w:r>
              <w:rPr>
                <w:spacing w:val="-11"/>
                <w:sz w:val="21"/>
              </w:rPr>
              <w:t>性功能损害并且已导致被保险人自主生活能力完全丧失，无法独立完成六项</w:t>
            </w:r>
            <w:r>
              <w:rPr>
                <w:spacing w:val="-9"/>
                <w:sz w:val="21"/>
              </w:rPr>
              <w:t>基本日常生活活动中的三项或三项以上持续达 </w:t>
            </w:r>
            <w:r>
              <w:rPr>
                <w:sz w:val="21"/>
              </w:rPr>
              <w:t>180</w:t>
            </w:r>
            <w:r>
              <w:rPr>
                <w:spacing w:val="-13"/>
                <w:sz w:val="21"/>
              </w:rPr>
              <w:t> 天以上。并且只有在被保</w:t>
            </w:r>
          </w:p>
          <w:p>
            <w:pPr>
              <w:pStyle w:val="TableParagraph"/>
              <w:spacing w:before="8"/>
              <w:ind w:left="147"/>
              <w:jc w:val="both"/>
              <w:rPr>
                <w:sz w:val="21"/>
              </w:rPr>
            </w:pPr>
            <w:r>
              <w:rPr>
                <w:sz w:val="21"/>
              </w:rPr>
              <w:t>险人年龄大于或等于 5 周岁后首次确诊此症才可获得理赔。</w:t>
            </w:r>
          </w:p>
        </w:tc>
      </w:tr>
      <w:tr>
        <w:trPr>
          <w:trHeight w:val="1872" w:hRule="atLeast"/>
        </w:trPr>
        <w:tc>
          <w:tcPr>
            <w:tcW w:w="1959" w:type="dxa"/>
          </w:tcPr>
          <w:p>
            <w:pPr>
              <w:pStyle w:val="TableParagraph"/>
              <w:spacing w:line="256" w:lineRule="auto" w:before="146"/>
              <w:ind w:left="200" w:right="144"/>
              <w:rPr>
                <w:sz w:val="21"/>
              </w:rPr>
            </w:pPr>
            <w:r>
              <w:rPr>
                <w:rFonts w:ascii="Times New Roman" w:eastAsia="Times New Roman"/>
                <w:sz w:val="21"/>
              </w:rPr>
              <w:t>(</w:t>
            </w:r>
            <w:r>
              <w:rPr>
                <w:sz w:val="21"/>
              </w:rPr>
              <w:t>八十一</w:t>
            </w:r>
            <w:r>
              <w:rPr>
                <w:rFonts w:ascii="Times New Roman" w:eastAsia="Times New Roman"/>
                <w:sz w:val="21"/>
              </w:rPr>
              <w:t>)</w:t>
            </w:r>
            <w:r>
              <w:rPr>
                <w:sz w:val="21"/>
              </w:rPr>
              <w:t>进行性延髓麻痹症</w:t>
            </w:r>
          </w:p>
        </w:tc>
        <w:tc>
          <w:tcPr>
            <w:tcW w:w="7311" w:type="dxa"/>
          </w:tcPr>
          <w:p>
            <w:pPr>
              <w:pStyle w:val="TableParagraph"/>
              <w:spacing w:line="273" w:lineRule="auto" w:before="146"/>
              <w:ind w:left="147" w:right="197"/>
              <w:rPr>
                <w:sz w:val="21"/>
              </w:rPr>
            </w:pPr>
            <w:r>
              <w:rPr>
                <w:spacing w:val="-9"/>
                <w:sz w:val="21"/>
              </w:rPr>
              <w:t>指由颅神经和皮质延髓束所支配的肌肉发生进行性退化，导致咀嚼、吞咽与</w:t>
            </w:r>
            <w:r>
              <w:rPr>
                <w:spacing w:val="-17"/>
                <w:sz w:val="21"/>
              </w:rPr>
              <w:t>谈话困难。必须由专科医生明确诊断为进行性病变，并有肌电图等检查证实， </w:t>
            </w:r>
            <w:r>
              <w:rPr>
                <w:spacing w:val="-10"/>
                <w:sz w:val="21"/>
              </w:rPr>
              <w:t>必须造成神经系统永久性功能损害并且已导致被保险人自主生活能力完全 </w:t>
            </w:r>
            <w:r>
              <w:rPr>
                <w:spacing w:val="-9"/>
                <w:sz w:val="21"/>
              </w:rPr>
              <w:t>丧失，无法独立完成六项基本日常生活活动中的三项或三项以上持续达 </w:t>
            </w:r>
            <w:r>
              <w:rPr>
                <w:sz w:val="21"/>
              </w:rPr>
              <w:t>180 天以上。</w:t>
            </w:r>
          </w:p>
        </w:tc>
      </w:tr>
      <w:tr>
        <w:trPr>
          <w:trHeight w:val="2184" w:hRule="atLeast"/>
        </w:trPr>
        <w:tc>
          <w:tcPr>
            <w:tcW w:w="1959" w:type="dxa"/>
          </w:tcPr>
          <w:p>
            <w:pPr>
              <w:pStyle w:val="TableParagraph"/>
              <w:spacing w:line="256" w:lineRule="auto" w:before="146"/>
              <w:ind w:left="200" w:right="144"/>
              <w:rPr>
                <w:sz w:val="21"/>
              </w:rPr>
            </w:pPr>
            <w:r>
              <w:rPr>
                <w:rFonts w:ascii="Times New Roman" w:eastAsia="Times New Roman"/>
                <w:sz w:val="21"/>
              </w:rPr>
              <w:t>(</w:t>
            </w:r>
            <w:r>
              <w:rPr>
                <w:sz w:val="21"/>
              </w:rPr>
              <w:t>八十二</w:t>
            </w:r>
            <w:r>
              <w:rPr>
                <w:rFonts w:ascii="Times New Roman" w:eastAsia="Times New Roman"/>
                <w:sz w:val="21"/>
              </w:rPr>
              <w:t>)</w:t>
            </w:r>
            <w:r>
              <w:rPr>
                <w:sz w:val="21"/>
              </w:rPr>
              <w:t>肌萎缩性侧索硬化症</w:t>
            </w:r>
          </w:p>
        </w:tc>
        <w:tc>
          <w:tcPr>
            <w:tcW w:w="7311" w:type="dxa"/>
          </w:tcPr>
          <w:p>
            <w:pPr>
              <w:pStyle w:val="TableParagraph"/>
              <w:spacing w:line="273" w:lineRule="auto" w:before="146"/>
              <w:ind w:left="147" w:right="197"/>
              <w:rPr>
                <w:sz w:val="21"/>
              </w:rPr>
            </w:pPr>
            <w:r>
              <w:rPr>
                <w:spacing w:val="-14"/>
                <w:sz w:val="21"/>
              </w:rPr>
              <w:t>以肌肉无力及萎缩为特征，并有以下情况作为证明：脊髓前角细胞功能失调、</w:t>
            </w:r>
            <w:r>
              <w:rPr>
                <w:spacing w:val="-13"/>
                <w:sz w:val="21"/>
              </w:rPr>
              <w:t>可见的肌肉颤动、痉挛、过度活跃之深层肌腱反射和外部足底反射、影响皮</w:t>
            </w:r>
            <w:r>
              <w:rPr>
                <w:spacing w:val="-8"/>
                <w:sz w:val="21"/>
              </w:rPr>
              <w:t>质脊髓束、构音障碍及吞咽困难。必须由专科医生明确诊断为进行性病变， </w:t>
            </w:r>
            <w:r>
              <w:rPr>
                <w:spacing w:val="-12"/>
                <w:sz w:val="21"/>
              </w:rPr>
              <w:t>并有肌电图等检查证实，必须造成神经系统永久性功能损害并且已导致被保</w:t>
            </w:r>
            <w:r>
              <w:rPr>
                <w:spacing w:val="-13"/>
                <w:sz w:val="21"/>
              </w:rPr>
              <w:t>险人自主生活能力完全丧失，无法独立完成六项基本日常生活活动中的三项或三项以上持续达 </w:t>
            </w:r>
            <w:r>
              <w:rPr>
                <w:sz w:val="21"/>
              </w:rPr>
              <w:t>180</w:t>
            </w:r>
            <w:r>
              <w:rPr>
                <w:spacing w:val="-12"/>
                <w:sz w:val="21"/>
              </w:rPr>
              <w:t> 天以上。</w:t>
            </w:r>
          </w:p>
        </w:tc>
      </w:tr>
      <w:tr>
        <w:trPr>
          <w:trHeight w:val="2184" w:hRule="atLeast"/>
        </w:trPr>
        <w:tc>
          <w:tcPr>
            <w:tcW w:w="1959" w:type="dxa"/>
          </w:tcPr>
          <w:p>
            <w:pPr>
              <w:pStyle w:val="TableParagraph"/>
              <w:spacing w:line="256" w:lineRule="auto" w:before="146"/>
              <w:ind w:left="200" w:right="144"/>
              <w:rPr>
                <w:sz w:val="21"/>
              </w:rPr>
            </w:pPr>
            <w:r>
              <w:rPr>
                <w:rFonts w:ascii="Times New Roman" w:eastAsia="Times New Roman"/>
                <w:sz w:val="21"/>
              </w:rPr>
              <w:t>(</w:t>
            </w:r>
            <w:r>
              <w:rPr>
                <w:sz w:val="21"/>
              </w:rPr>
              <w:t>八十三</w:t>
            </w:r>
            <w:r>
              <w:rPr>
                <w:rFonts w:ascii="Times New Roman" w:eastAsia="Times New Roman"/>
                <w:sz w:val="21"/>
              </w:rPr>
              <w:t>)</w:t>
            </w:r>
            <w:r>
              <w:rPr>
                <w:sz w:val="21"/>
              </w:rPr>
              <w:t>原发性侧索硬化症</w:t>
            </w:r>
          </w:p>
        </w:tc>
        <w:tc>
          <w:tcPr>
            <w:tcW w:w="7311" w:type="dxa"/>
          </w:tcPr>
          <w:p>
            <w:pPr>
              <w:pStyle w:val="TableParagraph"/>
              <w:spacing w:line="273" w:lineRule="auto" w:before="146"/>
              <w:ind w:left="147" w:right="306"/>
              <w:rPr>
                <w:sz w:val="21"/>
              </w:rPr>
            </w:pPr>
            <w:r>
              <w:rPr>
                <w:spacing w:val="-8"/>
                <w:sz w:val="21"/>
              </w:rPr>
              <w:t>脑皮质运动神经元进行性退化，表现为肌体无力的上运动神经元病。临床特</w:t>
            </w:r>
            <w:r>
              <w:rPr>
                <w:spacing w:val="-11"/>
                <w:sz w:val="21"/>
              </w:rPr>
              <w:t>点为进行性的肢体痉挛性肌无力，发展为构音障碍及吞咽困难，提示皮质脊</w:t>
            </w:r>
            <w:r>
              <w:rPr>
                <w:spacing w:val="-7"/>
                <w:sz w:val="21"/>
              </w:rPr>
              <w:t>髓束与皮质延髓束同时受损，须由本公司认可的神经内科专科医生明确诊</w:t>
            </w:r>
            <w:r>
              <w:rPr>
                <w:spacing w:val="-11"/>
                <w:sz w:val="21"/>
              </w:rPr>
              <w:t>断，并有肌电图等检查证实，必须造成神经系统永久性功能损害并且已导致</w:t>
            </w:r>
            <w:r>
              <w:rPr>
                <w:spacing w:val="-12"/>
                <w:sz w:val="21"/>
              </w:rPr>
              <w:t>被保险人自主生活能力完全丧失，无法独立完成六项基本日常生活活动中的</w:t>
            </w:r>
            <w:r>
              <w:rPr>
                <w:spacing w:val="-11"/>
                <w:sz w:val="21"/>
              </w:rPr>
              <w:t>三项及三项以上并持续达 </w:t>
            </w:r>
            <w:r>
              <w:rPr>
                <w:sz w:val="21"/>
              </w:rPr>
              <w:t>180</w:t>
            </w:r>
            <w:r>
              <w:rPr>
                <w:spacing w:val="-10"/>
                <w:sz w:val="21"/>
              </w:rPr>
              <w:t> 天以上。</w:t>
            </w:r>
          </w:p>
        </w:tc>
      </w:tr>
      <w:tr>
        <w:trPr>
          <w:trHeight w:val="1872" w:hRule="atLeast"/>
        </w:trPr>
        <w:tc>
          <w:tcPr>
            <w:tcW w:w="1959" w:type="dxa"/>
          </w:tcPr>
          <w:p>
            <w:pPr>
              <w:pStyle w:val="TableParagraph"/>
              <w:spacing w:line="259" w:lineRule="auto" w:before="146"/>
              <w:ind w:left="200" w:right="144"/>
              <w:rPr>
                <w:sz w:val="21"/>
              </w:rPr>
            </w:pPr>
            <w:r>
              <w:rPr>
                <w:rFonts w:ascii="Times New Roman" w:eastAsia="Times New Roman"/>
                <w:sz w:val="21"/>
              </w:rPr>
              <w:t>(</w:t>
            </w:r>
            <w:r>
              <w:rPr>
                <w:sz w:val="21"/>
              </w:rPr>
              <w:t>八十四</w:t>
            </w:r>
            <w:r>
              <w:rPr>
                <w:rFonts w:ascii="Times New Roman" w:eastAsia="Times New Roman"/>
                <w:sz w:val="21"/>
              </w:rPr>
              <w:t>)</w:t>
            </w:r>
            <w:r>
              <w:rPr>
                <w:sz w:val="21"/>
              </w:rPr>
              <w:t>糖尿病导致的双脚截除</w:t>
            </w:r>
          </w:p>
        </w:tc>
        <w:tc>
          <w:tcPr>
            <w:tcW w:w="7311" w:type="dxa"/>
          </w:tcPr>
          <w:p>
            <w:pPr>
              <w:pStyle w:val="TableParagraph"/>
              <w:spacing w:line="273" w:lineRule="auto" w:before="146"/>
              <w:ind w:left="147" w:right="308"/>
              <w:jc w:val="both"/>
              <w:rPr>
                <w:sz w:val="21"/>
              </w:rPr>
            </w:pPr>
            <w:r>
              <w:rPr>
                <w:spacing w:val="-8"/>
                <w:sz w:val="21"/>
              </w:rPr>
              <w:t>因糖尿病引起的外周神经及血管病变导致糖尿病足坏疽，并经本公司认可的专科医生实际已经实施了两个肢体自踝关节近端</w:t>
            </w:r>
            <w:r>
              <w:rPr>
                <w:sz w:val="21"/>
              </w:rPr>
              <w:t>（</w:t>
            </w:r>
            <w:r>
              <w:rPr>
                <w:spacing w:val="-2"/>
                <w:sz w:val="21"/>
              </w:rPr>
              <w:t>靠近躯干端</w:t>
            </w:r>
            <w:r>
              <w:rPr>
                <w:spacing w:val="-44"/>
                <w:sz w:val="21"/>
              </w:rPr>
              <w:t>）</w:t>
            </w:r>
            <w:r>
              <w:rPr>
                <w:spacing w:val="-2"/>
                <w:sz w:val="21"/>
              </w:rPr>
              <w:t>以上完全断</w:t>
            </w:r>
            <w:r>
              <w:rPr>
                <w:sz w:val="21"/>
              </w:rPr>
              <w:t>离 。</w:t>
            </w:r>
          </w:p>
          <w:p>
            <w:pPr>
              <w:pStyle w:val="TableParagraph"/>
              <w:spacing w:line="273" w:lineRule="auto" w:before="8"/>
              <w:ind w:left="147" w:right="434"/>
              <w:rPr>
                <w:sz w:val="21"/>
              </w:rPr>
            </w:pPr>
            <w:r>
              <w:rPr>
                <w:sz w:val="21"/>
              </w:rPr>
              <w:t>仅切除一个或者多个足趾的情况或者因意外导致的截肢均不在本保障范围內。</w:t>
            </w:r>
          </w:p>
        </w:tc>
      </w:tr>
      <w:tr>
        <w:trPr>
          <w:trHeight w:val="437" w:hRule="atLeast"/>
        </w:trPr>
        <w:tc>
          <w:tcPr>
            <w:tcW w:w="1959" w:type="dxa"/>
          </w:tcPr>
          <w:p>
            <w:pPr>
              <w:pStyle w:val="TableParagraph"/>
              <w:spacing w:line="271" w:lineRule="exact" w:before="146"/>
              <w:ind w:left="200"/>
              <w:rPr>
                <w:sz w:val="21"/>
              </w:rPr>
            </w:pPr>
            <w:r>
              <w:rPr>
                <w:rFonts w:ascii="Times New Roman" w:eastAsia="Times New Roman"/>
                <w:sz w:val="21"/>
              </w:rPr>
              <w:t>(</w:t>
            </w:r>
            <w:r>
              <w:rPr>
                <w:sz w:val="21"/>
              </w:rPr>
              <w:t>八十五</w:t>
            </w:r>
            <w:r>
              <w:rPr>
                <w:rFonts w:ascii="Times New Roman" w:eastAsia="Times New Roman"/>
                <w:sz w:val="21"/>
              </w:rPr>
              <w:t>)</w:t>
            </w:r>
            <w:r>
              <w:rPr>
                <w:sz w:val="21"/>
              </w:rPr>
              <w:t>风湿热导</w:t>
            </w:r>
          </w:p>
        </w:tc>
        <w:tc>
          <w:tcPr>
            <w:tcW w:w="7311" w:type="dxa"/>
          </w:tcPr>
          <w:p>
            <w:pPr>
              <w:pStyle w:val="TableParagraph"/>
              <w:spacing w:line="271" w:lineRule="exact" w:before="146"/>
              <w:ind w:left="147"/>
              <w:rPr>
                <w:sz w:val="21"/>
              </w:rPr>
            </w:pPr>
            <w:r>
              <w:rPr>
                <w:sz w:val="21"/>
              </w:rPr>
              <w:t>本保障须满足下列所有条件：</w:t>
            </w:r>
          </w:p>
        </w:tc>
      </w:tr>
    </w:tbl>
    <w:p>
      <w:pPr>
        <w:spacing w:after="0" w:line="271" w:lineRule="exact"/>
        <w:rPr>
          <w:sz w:val="21"/>
        </w:rPr>
        <w:sectPr>
          <w:pgSz w:w="11910" w:h="16840"/>
          <w:pgMar w:header="496" w:footer="995" w:top="800" w:bottom="1180" w:left="960" w:right="740"/>
        </w:sectPr>
      </w:pPr>
    </w:p>
    <w:p>
      <w:pPr>
        <w:pStyle w:val="BodyText"/>
        <w:rPr>
          <w:rFonts w:ascii="Times New Roman"/>
          <w:sz w:val="20"/>
        </w:rPr>
      </w:pPr>
    </w:p>
    <w:p>
      <w:pPr>
        <w:pStyle w:val="BodyText"/>
        <w:spacing w:before="9" w:after="1"/>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7263"/>
      </w:tblGrid>
      <w:tr>
        <w:trPr>
          <w:trHeight w:val="1974" w:hRule="atLeast"/>
        </w:trPr>
        <w:tc>
          <w:tcPr>
            <w:tcW w:w="2005" w:type="dxa"/>
          </w:tcPr>
          <w:p>
            <w:pPr>
              <w:pStyle w:val="TableParagraph"/>
              <w:spacing w:line="211" w:lineRule="exact" w:before="0"/>
              <w:ind w:left="200"/>
              <w:rPr>
                <w:sz w:val="21"/>
              </w:rPr>
            </w:pPr>
            <w:r>
              <w:rPr>
                <w:sz w:val="21"/>
              </w:rPr>
              <w:t>致的心脏瓣膜疾病</w:t>
            </w:r>
          </w:p>
        </w:tc>
        <w:tc>
          <w:tcPr>
            <w:tcW w:w="7263" w:type="dxa"/>
          </w:tcPr>
          <w:p>
            <w:pPr>
              <w:pStyle w:val="TableParagraph"/>
              <w:spacing w:line="211" w:lineRule="exact" w:before="0"/>
              <w:ind w:left="101"/>
              <w:rPr>
                <w:sz w:val="21"/>
              </w:rPr>
            </w:pPr>
            <w:r>
              <w:rPr>
                <w:sz w:val="21"/>
              </w:rPr>
              <w:t>1.经由本公司认可的儿科专科医生根据已修订的 Jones 标准诊断证实罹患</w:t>
            </w:r>
          </w:p>
          <w:p>
            <w:pPr>
              <w:pStyle w:val="TableParagraph"/>
              <w:ind w:left="101"/>
              <w:rPr>
                <w:sz w:val="21"/>
              </w:rPr>
            </w:pPr>
            <w:r>
              <w:rPr>
                <w:sz w:val="21"/>
              </w:rPr>
              <w:t>急性风湿热。</w:t>
            </w:r>
          </w:p>
          <w:p>
            <w:pPr>
              <w:pStyle w:val="TableParagraph"/>
              <w:spacing w:line="273" w:lineRule="auto"/>
              <w:ind w:left="101" w:right="197"/>
              <w:rPr>
                <w:sz w:val="21"/>
              </w:rPr>
            </w:pPr>
            <w:r>
              <w:rPr>
                <w:sz w:val="21"/>
              </w:rPr>
              <w:t>2.</w:t>
            </w:r>
            <w:r>
              <w:rPr>
                <w:spacing w:val="-11"/>
                <w:sz w:val="21"/>
              </w:rPr>
              <w:t>因风湿热导致一个或以上的心脏瓣膜关闭不全</w:t>
            </w:r>
            <w:r>
              <w:rPr>
                <w:sz w:val="21"/>
              </w:rPr>
              <w:t>（</w:t>
            </w:r>
            <w:r>
              <w:rPr>
                <w:spacing w:val="1"/>
                <w:sz w:val="21"/>
              </w:rPr>
              <w:t>即返流部份达</w:t>
            </w:r>
            <w:r>
              <w:rPr>
                <w:sz w:val="21"/>
              </w:rPr>
              <w:t>20%</w:t>
            </w:r>
            <w:r>
              <w:rPr>
                <w:spacing w:val="-2"/>
                <w:sz w:val="21"/>
              </w:rPr>
              <w:t>或以上</w:t>
            </w:r>
            <w:r>
              <w:rPr>
                <w:sz w:val="21"/>
              </w:rPr>
              <w:t>） </w:t>
            </w:r>
            <w:r>
              <w:rPr>
                <w:spacing w:val="-2"/>
                <w:sz w:val="21"/>
              </w:rPr>
              <w:t>或心脏瓣膜狭窄的损伤</w:t>
            </w:r>
            <w:r>
              <w:rPr>
                <w:sz w:val="21"/>
              </w:rPr>
              <w:t>（</w:t>
            </w:r>
            <w:r>
              <w:rPr>
                <w:spacing w:val="-7"/>
                <w:sz w:val="21"/>
              </w:rPr>
              <w:t>即心脏瓣膜瓣口面积为正常值的 </w:t>
            </w:r>
            <w:r>
              <w:rPr>
                <w:sz w:val="21"/>
              </w:rPr>
              <w:t>30%</w:t>
            </w:r>
            <w:r>
              <w:rPr>
                <w:spacing w:val="-2"/>
                <w:sz w:val="21"/>
              </w:rPr>
              <w:t>或以下</w:t>
            </w:r>
            <w:r>
              <w:rPr>
                <w:spacing w:val="-106"/>
                <w:sz w:val="21"/>
              </w:rPr>
              <w:t>）</w:t>
            </w:r>
            <w:r>
              <w:rPr>
                <w:sz w:val="21"/>
              </w:rPr>
              <w:t>。有</w:t>
            </w:r>
            <w:r>
              <w:rPr>
                <w:spacing w:val="-5"/>
                <w:sz w:val="21"/>
              </w:rPr>
              <w:t>关诊断必须由本公司认可医院的的心脏专科医生根据心脏瓣膜功能的定量 检查证实。</w:t>
            </w:r>
          </w:p>
        </w:tc>
      </w:tr>
      <w:tr>
        <w:trPr>
          <w:trHeight w:val="2184" w:hRule="atLeast"/>
        </w:trPr>
        <w:tc>
          <w:tcPr>
            <w:tcW w:w="2005" w:type="dxa"/>
          </w:tcPr>
          <w:p>
            <w:pPr>
              <w:pStyle w:val="TableParagraph"/>
              <w:spacing w:line="256" w:lineRule="auto" w:before="146"/>
              <w:ind w:left="200" w:right="98"/>
              <w:rPr>
                <w:sz w:val="21"/>
              </w:rPr>
            </w:pPr>
            <w:r>
              <w:rPr>
                <w:rFonts w:ascii="Times New Roman" w:eastAsia="Times New Roman"/>
                <w:sz w:val="21"/>
              </w:rPr>
              <w:t>(</w:t>
            </w:r>
            <w:r>
              <w:rPr>
                <w:sz w:val="21"/>
              </w:rPr>
              <w:t>八十六</w:t>
            </w:r>
            <w:r>
              <w:rPr>
                <w:rFonts w:ascii="Times New Roman" w:eastAsia="Times New Roman"/>
                <w:sz w:val="21"/>
              </w:rPr>
              <w:t>)</w:t>
            </w:r>
            <w:r>
              <w:rPr>
                <w:sz w:val="21"/>
              </w:rPr>
              <w:t>继发性肺动脉高压</w:t>
            </w:r>
          </w:p>
        </w:tc>
        <w:tc>
          <w:tcPr>
            <w:tcW w:w="7263" w:type="dxa"/>
          </w:tcPr>
          <w:p>
            <w:pPr>
              <w:pStyle w:val="TableParagraph"/>
              <w:spacing w:line="273" w:lineRule="auto" w:before="146"/>
              <w:ind w:left="101" w:right="306"/>
              <w:jc w:val="both"/>
              <w:rPr>
                <w:sz w:val="21"/>
              </w:rPr>
            </w:pPr>
            <w:r>
              <w:rPr>
                <w:spacing w:val="-8"/>
                <w:sz w:val="21"/>
              </w:rPr>
              <w:t>指因继发性肺动脉压力持续增高，导致右心室肥厚，已经造成永久不可逆性</w:t>
            </w:r>
            <w:r>
              <w:rPr>
                <w:spacing w:val="-7"/>
                <w:sz w:val="21"/>
              </w:rPr>
              <w:t>的体力活动能力受限，达到美国纽约心脏病学会心功能状态分级 </w:t>
            </w:r>
            <w:r>
              <w:rPr>
                <w:spacing w:val="-3"/>
                <w:sz w:val="21"/>
              </w:rPr>
              <w:t>IV</w:t>
            </w:r>
            <w:r>
              <w:rPr>
                <w:spacing w:val="-10"/>
                <w:sz w:val="21"/>
              </w:rPr>
              <w:t> 级，且</w:t>
            </w:r>
            <w:r>
              <w:rPr>
                <w:spacing w:val="-11"/>
                <w:sz w:val="21"/>
              </w:rPr>
              <w:t>满足以下全部条件：有医院的医疗记录显示病人不能进行任何活动，休息时</w:t>
            </w:r>
            <w:r>
              <w:rPr>
                <w:spacing w:val="-7"/>
                <w:sz w:val="21"/>
              </w:rPr>
              <w:t>仍有心悸、呼吸困难等心力衰竭表现。</w:t>
            </w:r>
          </w:p>
          <w:p>
            <w:pPr>
              <w:pStyle w:val="TableParagraph"/>
              <w:spacing w:before="9"/>
              <w:ind w:left="0"/>
              <w:rPr>
                <w:rFonts w:ascii="Times New Roman"/>
                <w:sz w:val="27"/>
              </w:rPr>
            </w:pPr>
          </w:p>
          <w:p>
            <w:pPr>
              <w:pStyle w:val="TableParagraph"/>
              <w:spacing w:before="0"/>
              <w:ind w:left="101"/>
              <w:jc w:val="both"/>
              <w:rPr>
                <w:sz w:val="21"/>
              </w:rPr>
            </w:pPr>
            <w:r>
              <w:rPr>
                <w:sz w:val="21"/>
              </w:rPr>
              <w:t>所有原发性肺动脉高压不在保障责任范围。</w:t>
            </w:r>
          </w:p>
        </w:tc>
      </w:tr>
      <w:tr>
        <w:trPr>
          <w:trHeight w:val="4993" w:hRule="atLeast"/>
        </w:trPr>
        <w:tc>
          <w:tcPr>
            <w:tcW w:w="2005" w:type="dxa"/>
          </w:tcPr>
          <w:p>
            <w:pPr>
              <w:pStyle w:val="TableParagraph"/>
              <w:spacing w:line="256" w:lineRule="auto" w:before="146"/>
              <w:ind w:left="200" w:right="190"/>
              <w:rPr>
                <w:sz w:val="21"/>
              </w:rPr>
            </w:pPr>
            <w:r>
              <w:rPr>
                <w:rFonts w:ascii="Times New Roman" w:eastAsia="Times New Roman"/>
                <w:sz w:val="21"/>
              </w:rPr>
              <w:t>(</w:t>
            </w:r>
            <w:r>
              <w:rPr>
                <w:sz w:val="21"/>
              </w:rPr>
              <w:t>八十七</w:t>
            </w:r>
            <w:r>
              <w:rPr>
                <w:rFonts w:ascii="Times New Roman" w:eastAsia="Times New Roman"/>
                <w:sz w:val="21"/>
              </w:rPr>
              <w:t>)</w:t>
            </w:r>
            <w:r>
              <w:rPr>
                <w:sz w:val="21"/>
              </w:rPr>
              <w:t>严重类风湿性关节炎</w:t>
            </w:r>
          </w:p>
        </w:tc>
        <w:tc>
          <w:tcPr>
            <w:tcW w:w="7263" w:type="dxa"/>
          </w:tcPr>
          <w:p>
            <w:pPr>
              <w:pStyle w:val="TableParagraph"/>
              <w:spacing w:line="273" w:lineRule="auto" w:before="146"/>
              <w:ind w:left="101" w:right="304"/>
              <w:jc w:val="both"/>
              <w:rPr>
                <w:sz w:val="21"/>
              </w:rPr>
            </w:pPr>
            <w:r>
              <w:rPr>
                <w:spacing w:val="-8"/>
                <w:sz w:val="21"/>
              </w:rPr>
              <w:t>指广泛分布的慢性进行性多关节病变，表现为关节严重变形，侵犯至少三个</w:t>
            </w:r>
            <w:r>
              <w:rPr>
                <w:spacing w:val="-7"/>
                <w:sz w:val="21"/>
              </w:rPr>
              <w:t>主要关节或关节组，[如:双手</w:t>
            </w:r>
            <w:r>
              <w:rPr>
                <w:sz w:val="21"/>
              </w:rPr>
              <w:t>（</w:t>
            </w:r>
            <w:r>
              <w:rPr>
                <w:spacing w:val="-4"/>
                <w:sz w:val="21"/>
              </w:rPr>
              <w:t>多手指</w:t>
            </w:r>
            <w:r>
              <w:rPr>
                <w:spacing w:val="-10"/>
                <w:sz w:val="21"/>
              </w:rPr>
              <w:t>）</w:t>
            </w:r>
            <w:r>
              <w:rPr>
                <w:spacing w:val="-7"/>
                <w:sz w:val="21"/>
              </w:rPr>
              <w:t>关节、双足</w:t>
            </w:r>
            <w:r>
              <w:rPr>
                <w:sz w:val="21"/>
              </w:rPr>
              <w:t>（</w:t>
            </w:r>
            <w:r>
              <w:rPr>
                <w:spacing w:val="-2"/>
                <w:sz w:val="21"/>
              </w:rPr>
              <w:t>多足趾</w:t>
            </w:r>
            <w:r>
              <w:rPr>
                <w:spacing w:val="-10"/>
                <w:sz w:val="21"/>
              </w:rPr>
              <w:t>）</w:t>
            </w:r>
            <w:r>
              <w:rPr>
                <w:spacing w:val="-5"/>
                <w:sz w:val="21"/>
              </w:rPr>
              <w:t>关节、双腕关节、双膝关节和双髋关节]。被保人所患的类风湿性关节炎必须明确诊断</w:t>
            </w:r>
            <w:r>
              <w:rPr>
                <w:spacing w:val="-7"/>
                <w:sz w:val="21"/>
              </w:rPr>
              <w:t>并且已经达到类风湿性关节炎功能分级 </w:t>
            </w:r>
            <w:r>
              <w:rPr>
                <w:sz w:val="21"/>
              </w:rPr>
              <w:t>IV</w:t>
            </w:r>
            <w:r>
              <w:rPr>
                <w:spacing w:val="-7"/>
                <w:sz w:val="21"/>
              </w:rPr>
              <w:t> 级的永久不可逆性关节功能障碍</w:t>
            </w:r>
          </w:p>
          <w:p>
            <w:pPr>
              <w:pStyle w:val="TableParagraph"/>
              <w:spacing w:before="7"/>
              <w:ind w:left="101"/>
              <w:jc w:val="both"/>
              <w:rPr>
                <w:sz w:val="21"/>
              </w:rPr>
            </w:pPr>
            <w:r>
              <w:rPr>
                <w:sz w:val="21"/>
              </w:rPr>
              <w:t>（生活不能自理，且丧失工作能力）并须满足下列全部条件：</w:t>
            </w:r>
          </w:p>
          <w:p>
            <w:pPr>
              <w:pStyle w:val="TableParagraph"/>
              <w:ind w:left="101"/>
              <w:jc w:val="both"/>
              <w:rPr>
                <w:sz w:val="21"/>
              </w:rPr>
            </w:pPr>
            <w:r>
              <w:rPr>
                <w:sz w:val="21"/>
              </w:rPr>
              <w:t>（1）晨僵；</w:t>
            </w:r>
          </w:p>
          <w:p>
            <w:pPr>
              <w:pStyle w:val="TableParagraph"/>
              <w:ind w:left="101"/>
              <w:jc w:val="both"/>
              <w:rPr>
                <w:sz w:val="21"/>
              </w:rPr>
            </w:pPr>
            <w:r>
              <w:rPr>
                <w:sz w:val="21"/>
              </w:rPr>
              <w:t>（2）对称性关节炎；</w:t>
            </w:r>
          </w:p>
          <w:p>
            <w:pPr>
              <w:pStyle w:val="TableParagraph"/>
              <w:ind w:left="101"/>
              <w:jc w:val="both"/>
              <w:rPr>
                <w:sz w:val="21"/>
              </w:rPr>
            </w:pPr>
            <w:r>
              <w:rPr>
                <w:sz w:val="21"/>
              </w:rPr>
              <w:t>（3）类风湿性皮下结节；</w:t>
            </w:r>
          </w:p>
          <w:p>
            <w:pPr>
              <w:pStyle w:val="TableParagraph"/>
              <w:ind w:left="101"/>
              <w:jc w:val="both"/>
              <w:rPr>
                <w:sz w:val="21"/>
              </w:rPr>
            </w:pPr>
            <w:r>
              <w:rPr>
                <w:sz w:val="21"/>
              </w:rPr>
              <w:t>（4）类风湿因子滴度升高；</w:t>
            </w:r>
          </w:p>
          <w:p>
            <w:pPr>
              <w:pStyle w:val="TableParagraph"/>
              <w:spacing w:line="273" w:lineRule="auto"/>
              <w:ind w:left="101" w:right="1790"/>
              <w:rPr>
                <w:sz w:val="21"/>
              </w:rPr>
            </w:pPr>
            <w:r>
              <w:rPr>
                <w:sz w:val="21"/>
              </w:rPr>
              <w:t>（5）X 线显示严重的关节（软骨和骨）破坏和关节畸形。类风湿性关节炎功能分级标准：</w:t>
            </w:r>
          </w:p>
          <w:p>
            <w:pPr>
              <w:pStyle w:val="TableParagraph"/>
              <w:spacing w:before="8"/>
              <w:ind w:left="101"/>
              <w:jc w:val="both"/>
              <w:rPr>
                <w:sz w:val="21"/>
              </w:rPr>
            </w:pPr>
            <w:r>
              <w:rPr>
                <w:w w:val="100"/>
                <w:sz w:val="21"/>
              </w:rPr>
              <w:t>Ⅰ级</w:t>
            </w:r>
            <w:r>
              <w:rPr>
                <w:spacing w:val="0"/>
                <w:sz w:val="21"/>
              </w:rPr>
              <w:t> </w:t>
            </w:r>
            <w:r>
              <w:rPr>
                <w:spacing w:val="-3"/>
                <w:w w:val="100"/>
                <w:sz w:val="21"/>
              </w:rPr>
              <w:t>胜任日常生活各项活动</w:t>
            </w:r>
            <w:r>
              <w:rPr>
                <w:spacing w:val="-5"/>
                <w:w w:val="100"/>
                <w:sz w:val="21"/>
              </w:rPr>
              <w:t>（包括生活自理，职业和非职业活动</w:t>
            </w:r>
            <w:r>
              <w:rPr>
                <w:spacing w:val="-106"/>
                <w:w w:val="100"/>
                <w:sz w:val="21"/>
              </w:rPr>
              <w:t>）</w:t>
            </w:r>
            <w:r>
              <w:rPr>
                <w:w w:val="100"/>
                <w:sz w:val="21"/>
              </w:rPr>
              <w:t>；</w:t>
            </w:r>
          </w:p>
          <w:p>
            <w:pPr>
              <w:pStyle w:val="TableParagraph"/>
              <w:ind w:left="101"/>
              <w:jc w:val="both"/>
              <w:rPr>
                <w:sz w:val="21"/>
              </w:rPr>
            </w:pPr>
            <w:r>
              <w:rPr>
                <w:sz w:val="21"/>
              </w:rPr>
              <w:t>Ⅱ级 生活自理和工作，非职业活动受限；</w:t>
            </w:r>
          </w:p>
          <w:p>
            <w:pPr>
              <w:pStyle w:val="TableParagraph"/>
              <w:ind w:left="101"/>
              <w:jc w:val="both"/>
              <w:rPr>
                <w:sz w:val="21"/>
              </w:rPr>
            </w:pPr>
            <w:r>
              <w:rPr>
                <w:sz w:val="21"/>
              </w:rPr>
              <w:t>Ⅲ级 生活自理和工作，职业和非职业活动受限；</w:t>
            </w:r>
          </w:p>
          <w:p>
            <w:pPr>
              <w:pStyle w:val="TableParagraph"/>
              <w:ind w:left="101"/>
              <w:jc w:val="both"/>
              <w:rPr>
                <w:sz w:val="21"/>
              </w:rPr>
            </w:pPr>
            <w:r>
              <w:rPr>
                <w:sz w:val="21"/>
              </w:rPr>
              <w:t>Ⅳ级 生活不能自理，且丧失工作能力。</w:t>
            </w:r>
          </w:p>
        </w:tc>
      </w:tr>
      <w:tr>
        <w:trPr>
          <w:trHeight w:val="3120" w:hRule="atLeast"/>
        </w:trPr>
        <w:tc>
          <w:tcPr>
            <w:tcW w:w="2005" w:type="dxa"/>
          </w:tcPr>
          <w:p>
            <w:pPr>
              <w:pStyle w:val="TableParagraph"/>
              <w:spacing w:line="256" w:lineRule="auto" w:before="146"/>
              <w:ind w:left="200" w:right="190"/>
              <w:rPr>
                <w:sz w:val="21"/>
              </w:rPr>
            </w:pPr>
            <w:r>
              <w:rPr>
                <w:rFonts w:ascii="Times New Roman" w:eastAsia="Times New Roman"/>
                <w:sz w:val="21"/>
              </w:rPr>
              <w:t>(</w:t>
            </w:r>
            <w:r>
              <w:rPr>
                <w:sz w:val="21"/>
              </w:rPr>
              <w:t>八十八</w:t>
            </w:r>
            <w:r>
              <w:rPr>
                <w:rFonts w:ascii="Times New Roman" w:eastAsia="Times New Roman"/>
                <w:sz w:val="21"/>
              </w:rPr>
              <w:t>)</w:t>
            </w:r>
            <w:r>
              <w:rPr>
                <w:sz w:val="21"/>
              </w:rPr>
              <w:t>严重骨质疏松伴发骨折</w:t>
            </w:r>
          </w:p>
        </w:tc>
        <w:tc>
          <w:tcPr>
            <w:tcW w:w="7263" w:type="dxa"/>
          </w:tcPr>
          <w:p>
            <w:pPr>
              <w:pStyle w:val="TableParagraph"/>
              <w:spacing w:before="146"/>
              <w:ind w:left="101"/>
              <w:rPr>
                <w:sz w:val="21"/>
              </w:rPr>
            </w:pPr>
            <w:r>
              <w:rPr>
                <w:sz w:val="21"/>
              </w:rPr>
              <w:t>必须经本公司认可的专科医生确诊为骨质疏松症，并且符合下列所有条件：</w:t>
            </w:r>
          </w:p>
          <w:p>
            <w:pPr>
              <w:pStyle w:val="TableParagraph"/>
              <w:spacing w:before="0"/>
              <w:ind w:left="0"/>
              <w:rPr>
                <w:rFonts w:ascii="Times New Roman"/>
                <w:sz w:val="20"/>
              </w:rPr>
            </w:pPr>
          </w:p>
          <w:p>
            <w:pPr>
              <w:pStyle w:val="TableParagraph"/>
              <w:spacing w:before="119"/>
              <w:ind w:left="101"/>
              <w:rPr>
                <w:sz w:val="21"/>
              </w:rPr>
            </w:pPr>
            <w:r>
              <w:rPr>
                <w:sz w:val="21"/>
              </w:rPr>
              <w:t>1.因骨质疏松症导致股骨颈骨折或者椎骨骨折；</w:t>
            </w:r>
          </w:p>
          <w:p>
            <w:pPr>
              <w:pStyle w:val="TableParagraph"/>
              <w:ind w:left="101"/>
              <w:rPr>
                <w:sz w:val="21"/>
              </w:rPr>
            </w:pPr>
            <w:r>
              <w:rPr>
                <w:sz w:val="21"/>
              </w:rPr>
              <w:t>2.已经针对股骨颈或椎体骨折实施了内固定或股骨头置换的手术治疗；</w:t>
            </w:r>
          </w:p>
          <w:p>
            <w:pPr>
              <w:pStyle w:val="TableParagraph"/>
              <w:spacing w:line="273" w:lineRule="auto"/>
              <w:ind w:left="101" w:right="432"/>
              <w:rPr>
                <w:sz w:val="21"/>
              </w:rPr>
            </w:pPr>
            <w:r>
              <w:rPr>
                <w:sz w:val="21"/>
              </w:rPr>
              <w:t>3.</w:t>
            </w:r>
            <w:r>
              <w:rPr>
                <w:spacing w:val="-11"/>
                <w:sz w:val="21"/>
              </w:rPr>
              <w:t>通过双能 </w:t>
            </w:r>
            <w:r>
              <w:rPr>
                <w:sz w:val="21"/>
              </w:rPr>
              <w:t>X</w:t>
            </w:r>
            <w:r>
              <w:rPr>
                <w:spacing w:val="-9"/>
                <w:sz w:val="21"/>
              </w:rPr>
              <w:t> 线吸收计量法</w:t>
            </w:r>
            <w:r>
              <w:rPr>
                <w:sz w:val="21"/>
              </w:rPr>
              <w:t>(DEXA)</w:t>
            </w:r>
            <w:r>
              <w:rPr>
                <w:spacing w:val="-3"/>
                <w:sz w:val="21"/>
              </w:rPr>
              <w:t>测定的骨密度</w:t>
            </w:r>
            <w:r>
              <w:rPr>
                <w:sz w:val="21"/>
              </w:rPr>
              <w:t>(BMD</w:t>
            </w:r>
            <w:r>
              <w:rPr>
                <w:spacing w:val="-16"/>
                <w:sz w:val="21"/>
              </w:rPr>
              <w:t>)的 </w:t>
            </w:r>
            <w:r>
              <w:rPr>
                <w:sz w:val="21"/>
              </w:rPr>
              <w:t>T</w:t>
            </w:r>
            <w:r>
              <w:rPr>
                <w:spacing w:val="-12"/>
                <w:sz w:val="21"/>
              </w:rPr>
              <w:t> 评分(</w:t>
            </w:r>
            <w:r>
              <w:rPr>
                <w:sz w:val="21"/>
              </w:rPr>
              <w:t>T-score) </w:t>
            </w:r>
            <w:r>
              <w:rPr>
                <w:spacing w:val="-6"/>
                <w:sz w:val="21"/>
              </w:rPr>
              <w:t>结果较正常健康成年人的 </w:t>
            </w:r>
            <w:r>
              <w:rPr>
                <w:sz w:val="21"/>
              </w:rPr>
              <w:t>BMD</w:t>
            </w:r>
            <w:r>
              <w:rPr>
                <w:spacing w:val="-21"/>
                <w:sz w:val="21"/>
              </w:rPr>
              <w:t> 值降低 </w:t>
            </w:r>
            <w:r>
              <w:rPr>
                <w:sz w:val="21"/>
              </w:rPr>
              <w:t>2.5</w:t>
            </w:r>
            <w:r>
              <w:rPr>
                <w:spacing w:val="-14"/>
                <w:sz w:val="21"/>
              </w:rPr>
              <w:t> 标准差</w:t>
            </w:r>
            <w:r>
              <w:rPr>
                <w:sz w:val="21"/>
              </w:rPr>
              <w:t>(SD)以上。</w:t>
            </w:r>
          </w:p>
          <w:p>
            <w:pPr>
              <w:pStyle w:val="TableParagraph"/>
              <w:spacing w:before="9"/>
              <w:ind w:left="0"/>
              <w:rPr>
                <w:rFonts w:ascii="Times New Roman"/>
                <w:sz w:val="27"/>
              </w:rPr>
            </w:pPr>
          </w:p>
          <w:p>
            <w:pPr>
              <w:pStyle w:val="TableParagraph"/>
              <w:spacing w:line="273" w:lineRule="auto" w:before="0"/>
              <w:ind w:left="101" w:right="303"/>
              <w:rPr>
                <w:sz w:val="21"/>
              </w:rPr>
            </w:pPr>
            <w:r>
              <w:rPr>
                <w:spacing w:val="-6"/>
                <w:sz w:val="21"/>
              </w:rPr>
              <w:t>本保障仅保障至被保险人年满 </w:t>
            </w:r>
            <w:r>
              <w:rPr>
                <w:sz w:val="21"/>
              </w:rPr>
              <w:t>70</w:t>
            </w:r>
            <w:r>
              <w:rPr>
                <w:spacing w:val="-15"/>
                <w:sz w:val="21"/>
              </w:rPr>
              <w:t> 周岁。被保险人年满 </w:t>
            </w:r>
            <w:r>
              <w:rPr>
                <w:sz w:val="21"/>
              </w:rPr>
              <w:t>70</w:t>
            </w:r>
            <w:r>
              <w:rPr>
                <w:spacing w:val="-13"/>
                <w:sz w:val="21"/>
              </w:rPr>
              <w:t> 周岁之后，本保障终止。</w:t>
            </w:r>
          </w:p>
        </w:tc>
      </w:tr>
      <w:tr>
        <w:trPr>
          <w:trHeight w:val="1248" w:hRule="atLeast"/>
        </w:trPr>
        <w:tc>
          <w:tcPr>
            <w:tcW w:w="2005" w:type="dxa"/>
          </w:tcPr>
          <w:p>
            <w:pPr>
              <w:pStyle w:val="TableParagraph"/>
              <w:spacing w:line="256" w:lineRule="auto" w:before="146"/>
              <w:ind w:left="200" w:right="118"/>
              <w:rPr>
                <w:sz w:val="21"/>
              </w:rPr>
            </w:pPr>
            <w:r>
              <w:rPr>
                <w:rFonts w:ascii="Times New Roman" w:eastAsia="Times New Roman"/>
                <w:sz w:val="21"/>
              </w:rPr>
              <w:t>(</w:t>
            </w:r>
            <w:r>
              <w:rPr>
                <w:sz w:val="21"/>
              </w:rPr>
              <w:t>八十九</w:t>
            </w:r>
            <w:r>
              <w:rPr>
                <w:rFonts w:ascii="Times New Roman" w:eastAsia="Times New Roman"/>
                <w:sz w:val="21"/>
              </w:rPr>
              <w:t>)  </w:t>
            </w:r>
            <w:r>
              <w:rPr>
                <w:sz w:val="21"/>
              </w:rPr>
              <w:t>糖尿病并发严重肾脏损害</w:t>
            </w:r>
          </w:p>
        </w:tc>
        <w:tc>
          <w:tcPr>
            <w:tcW w:w="7263" w:type="dxa"/>
          </w:tcPr>
          <w:p>
            <w:pPr>
              <w:pStyle w:val="TableParagraph"/>
              <w:spacing w:line="273" w:lineRule="auto" w:before="146"/>
              <w:ind w:left="101" w:right="306"/>
              <w:jc w:val="both"/>
              <w:rPr>
                <w:sz w:val="21"/>
              </w:rPr>
            </w:pPr>
            <w:r>
              <w:rPr>
                <w:spacing w:val="-8"/>
                <w:sz w:val="21"/>
              </w:rPr>
              <w:t>被保险人被本公司认可的内分泌专科医生确诊为糖尿病，并且因糖尿病导致</w:t>
            </w:r>
            <w:r>
              <w:rPr>
                <w:spacing w:val="-10"/>
                <w:sz w:val="21"/>
              </w:rPr>
              <w:t>糖尿病肾病，出现持续 </w:t>
            </w:r>
            <w:r>
              <w:rPr>
                <w:sz w:val="21"/>
              </w:rPr>
              <w:t>180</w:t>
            </w:r>
            <w:r>
              <w:rPr>
                <w:spacing w:val="-12"/>
                <w:sz w:val="21"/>
              </w:rPr>
              <w:t> 天以上的肌酐清除率小于 </w:t>
            </w:r>
            <w:r>
              <w:rPr>
                <w:sz w:val="21"/>
              </w:rPr>
              <w:t>15ml/min</w:t>
            </w:r>
            <w:r>
              <w:rPr>
                <w:spacing w:val="-10"/>
                <w:sz w:val="21"/>
              </w:rPr>
              <w:t> 或肾小球滤过率（GFR）</w:t>
            </w:r>
            <w:r>
              <w:rPr>
                <w:spacing w:val="-5"/>
                <w:sz w:val="21"/>
              </w:rPr>
              <w:t>&lt; </w:t>
            </w:r>
            <w:r>
              <w:rPr>
                <w:sz w:val="21"/>
              </w:rPr>
              <w:t>15ml/min 。</w:t>
            </w:r>
          </w:p>
        </w:tc>
      </w:tr>
      <w:tr>
        <w:trPr>
          <w:trHeight w:val="733" w:hRule="atLeast"/>
        </w:trPr>
        <w:tc>
          <w:tcPr>
            <w:tcW w:w="2005" w:type="dxa"/>
          </w:tcPr>
          <w:p>
            <w:pPr>
              <w:pStyle w:val="TableParagraph"/>
              <w:spacing w:line="290" w:lineRule="atLeast" w:before="146"/>
              <w:ind w:left="200" w:right="190"/>
              <w:rPr>
                <w:sz w:val="21"/>
              </w:rPr>
            </w:pPr>
            <w:r>
              <w:rPr>
                <w:rFonts w:ascii="Times New Roman" w:eastAsia="Times New Roman"/>
                <w:sz w:val="21"/>
              </w:rPr>
              <w:t>(</w:t>
            </w:r>
            <w:r>
              <w:rPr>
                <w:sz w:val="21"/>
              </w:rPr>
              <w:t>九十</w:t>
            </w:r>
            <w:r>
              <w:rPr>
                <w:rFonts w:ascii="Times New Roman" w:eastAsia="Times New Roman"/>
                <w:sz w:val="21"/>
              </w:rPr>
              <w:t>)</w:t>
            </w:r>
            <w:r>
              <w:rPr>
                <w:sz w:val="21"/>
              </w:rPr>
              <w:t>亚急性硬化性全脑炎</w:t>
            </w:r>
          </w:p>
        </w:tc>
        <w:tc>
          <w:tcPr>
            <w:tcW w:w="7263" w:type="dxa"/>
          </w:tcPr>
          <w:p>
            <w:pPr>
              <w:pStyle w:val="TableParagraph"/>
              <w:spacing w:line="310" w:lineRule="atLeast" w:before="110"/>
              <w:ind w:left="101" w:right="306"/>
              <w:rPr>
                <w:sz w:val="21"/>
              </w:rPr>
            </w:pPr>
            <w:r>
              <w:rPr>
                <w:spacing w:val="-8"/>
                <w:sz w:val="21"/>
              </w:rPr>
              <w:t>是麻疹或麻疹样病毒所致的一种中枢神经系统慢性感染。中枢神经系统呈现</w:t>
            </w:r>
            <w:r>
              <w:rPr>
                <w:spacing w:val="-9"/>
                <w:sz w:val="21"/>
              </w:rPr>
              <w:t>灰质和白质破坏为特征的慢性和急性混合存在的炎症。必须满足以下所有条</w:t>
            </w:r>
          </w:p>
        </w:tc>
      </w:tr>
    </w:tbl>
    <w:p>
      <w:pPr>
        <w:spacing w:after="0" w:line="310" w:lineRule="atLeast"/>
        <w:rPr>
          <w:sz w:val="21"/>
        </w:rPr>
        <w:sectPr>
          <w:pgSz w:w="11910" w:h="16840"/>
          <w:pgMar w:header="496" w:footer="995" w:top="800" w:bottom="1180" w:left="960" w:right="740"/>
        </w:sectPr>
      </w:pPr>
    </w:p>
    <w:p>
      <w:pPr>
        <w:pStyle w:val="BodyText"/>
        <w:rPr>
          <w:rFonts w:ascii="Times New Roman"/>
          <w:sz w:val="20"/>
        </w:rPr>
      </w:pPr>
    </w:p>
    <w:p>
      <w:pPr>
        <w:pStyle w:val="BodyText"/>
        <w:spacing w:before="9" w:after="1"/>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7160"/>
      </w:tblGrid>
      <w:tr>
        <w:trPr>
          <w:trHeight w:val="1662" w:hRule="atLeast"/>
        </w:trPr>
        <w:tc>
          <w:tcPr>
            <w:tcW w:w="2007" w:type="dxa"/>
          </w:tcPr>
          <w:p>
            <w:pPr>
              <w:pStyle w:val="TableParagraph"/>
              <w:spacing w:before="0"/>
              <w:ind w:left="0"/>
              <w:rPr>
                <w:rFonts w:ascii="Times New Roman"/>
                <w:sz w:val="20"/>
              </w:rPr>
            </w:pPr>
          </w:p>
        </w:tc>
        <w:tc>
          <w:tcPr>
            <w:tcW w:w="7160" w:type="dxa"/>
          </w:tcPr>
          <w:p>
            <w:pPr>
              <w:pStyle w:val="TableParagraph"/>
              <w:spacing w:line="211" w:lineRule="exact" w:before="0"/>
              <w:ind w:left="99"/>
              <w:rPr>
                <w:sz w:val="21"/>
              </w:rPr>
            </w:pPr>
            <w:r>
              <w:rPr>
                <w:sz w:val="21"/>
              </w:rPr>
              <w:t>件：</w:t>
            </w:r>
          </w:p>
          <w:p>
            <w:pPr>
              <w:pStyle w:val="TableParagraph"/>
              <w:spacing w:line="273" w:lineRule="auto"/>
              <w:ind w:left="99" w:right="124"/>
              <w:rPr>
                <w:sz w:val="21"/>
              </w:rPr>
            </w:pPr>
            <w:r>
              <w:rPr>
                <w:sz w:val="21"/>
              </w:rPr>
              <w:t>（1）脑电图存在周期性复合波、脑脊液 r-球蛋白升高、脑脊液和血清中麻疹抗体 滴定度升高</w:t>
            </w:r>
          </w:p>
          <w:p>
            <w:pPr>
              <w:pStyle w:val="TableParagraph"/>
              <w:spacing w:line="273" w:lineRule="auto" w:before="7"/>
              <w:ind w:left="99" w:right="233"/>
              <w:rPr>
                <w:sz w:val="21"/>
              </w:rPr>
            </w:pPr>
            <w:r>
              <w:rPr>
                <w:sz w:val="21"/>
              </w:rPr>
              <w:t>（2）被保险人出现运动障碍，自主生活能力完全丧失，无法独立完成六项基本日常生活活动中的三项或三项以上。</w:t>
            </w:r>
          </w:p>
        </w:tc>
      </w:tr>
      <w:tr>
        <w:trPr>
          <w:trHeight w:val="2808" w:hRule="atLeast"/>
        </w:trPr>
        <w:tc>
          <w:tcPr>
            <w:tcW w:w="2007" w:type="dxa"/>
          </w:tcPr>
          <w:p>
            <w:pPr>
              <w:pStyle w:val="TableParagraph"/>
              <w:spacing w:line="256" w:lineRule="auto" w:before="146"/>
              <w:ind w:left="200" w:right="192"/>
              <w:rPr>
                <w:sz w:val="21"/>
              </w:rPr>
            </w:pPr>
            <w:r>
              <w:rPr>
                <w:rFonts w:ascii="Times New Roman" w:eastAsia="Times New Roman"/>
                <w:sz w:val="21"/>
              </w:rPr>
              <w:t>(</w:t>
            </w:r>
            <w:r>
              <w:rPr>
                <w:sz w:val="21"/>
              </w:rPr>
              <w:t>九十一</w:t>
            </w:r>
            <w:r>
              <w:rPr>
                <w:rFonts w:ascii="Times New Roman" w:eastAsia="Times New Roman"/>
                <w:sz w:val="21"/>
              </w:rPr>
              <w:t>)</w:t>
            </w:r>
            <w:r>
              <w:rPr>
                <w:sz w:val="21"/>
              </w:rPr>
              <w:t>脊髓小脑变性症</w:t>
            </w:r>
          </w:p>
        </w:tc>
        <w:tc>
          <w:tcPr>
            <w:tcW w:w="7160" w:type="dxa"/>
          </w:tcPr>
          <w:p>
            <w:pPr>
              <w:pStyle w:val="TableParagraph"/>
              <w:spacing w:line="273" w:lineRule="auto" w:before="146"/>
              <w:ind w:left="99" w:right="202"/>
              <w:rPr>
                <w:sz w:val="21"/>
              </w:rPr>
            </w:pPr>
            <w:r>
              <w:rPr>
                <w:spacing w:val="-8"/>
                <w:sz w:val="21"/>
              </w:rPr>
              <w:t>指一组以小脑萎缩和共济失调为主要临床特点的疾病。必须符合所有以下条件：</w:t>
            </w:r>
          </w:p>
          <w:p>
            <w:pPr>
              <w:pStyle w:val="TableParagraph"/>
              <w:spacing w:line="273" w:lineRule="auto" w:before="8"/>
              <w:ind w:left="99" w:right="233"/>
              <w:rPr>
                <w:sz w:val="21"/>
              </w:rPr>
            </w:pPr>
            <w:r>
              <w:rPr>
                <w:sz w:val="21"/>
              </w:rPr>
              <w:t>（1）脊髓小脑变性症必须由本公司认可的神经内科专科医生确诊，并有以下全部证据支持：</w:t>
            </w:r>
          </w:p>
          <w:p>
            <w:pPr>
              <w:pStyle w:val="TableParagraph"/>
              <w:numPr>
                <w:ilvl w:val="0"/>
                <w:numId w:val="9"/>
              </w:numPr>
              <w:tabs>
                <w:tab w:pos="416" w:val="left" w:leader="none"/>
              </w:tabs>
              <w:spacing w:line="240" w:lineRule="auto" w:before="8" w:after="0"/>
              <w:ind w:left="415" w:right="0" w:hanging="316"/>
              <w:jc w:val="left"/>
              <w:rPr>
                <w:sz w:val="21"/>
              </w:rPr>
            </w:pPr>
            <w:r>
              <w:rPr>
                <w:spacing w:val="-4"/>
                <w:sz w:val="21"/>
              </w:rPr>
              <w:t>影像学检查证实存在小脑萎缩；</w:t>
            </w:r>
          </w:p>
          <w:p>
            <w:pPr>
              <w:pStyle w:val="TableParagraph"/>
              <w:numPr>
                <w:ilvl w:val="0"/>
                <w:numId w:val="9"/>
              </w:numPr>
              <w:tabs>
                <w:tab w:pos="416" w:val="left" w:leader="none"/>
              </w:tabs>
              <w:spacing w:line="240" w:lineRule="auto" w:before="37" w:after="0"/>
              <w:ind w:left="415" w:right="0" w:hanging="316"/>
              <w:jc w:val="left"/>
              <w:rPr>
                <w:sz w:val="21"/>
              </w:rPr>
            </w:pPr>
            <w:r>
              <w:rPr>
                <w:spacing w:val="-5"/>
                <w:sz w:val="21"/>
              </w:rPr>
              <w:t>临床表现存在共济失调、语言障碍和肌张力异常；</w:t>
            </w:r>
          </w:p>
          <w:p>
            <w:pPr>
              <w:pStyle w:val="TableParagraph"/>
              <w:spacing w:line="273" w:lineRule="auto"/>
              <w:ind w:left="99" w:right="233"/>
              <w:rPr>
                <w:sz w:val="21"/>
              </w:rPr>
            </w:pPr>
            <w:r>
              <w:rPr>
                <w:sz w:val="21"/>
              </w:rPr>
              <w:t>（2）被保险人运动功能严重障碍，自主生活能力完全丧失，无法独立完成六项基本日常生活活动中的三项或三项以上。</w:t>
            </w:r>
          </w:p>
        </w:tc>
      </w:tr>
      <w:tr>
        <w:trPr>
          <w:trHeight w:val="936" w:hRule="atLeast"/>
        </w:trPr>
        <w:tc>
          <w:tcPr>
            <w:tcW w:w="2007" w:type="dxa"/>
          </w:tcPr>
          <w:p>
            <w:pPr>
              <w:pStyle w:val="TableParagraph"/>
              <w:spacing w:line="256" w:lineRule="auto" w:before="146"/>
              <w:ind w:left="200" w:right="192"/>
              <w:rPr>
                <w:sz w:val="21"/>
              </w:rPr>
            </w:pPr>
            <w:r>
              <w:rPr>
                <w:rFonts w:ascii="Times New Roman" w:eastAsia="Times New Roman"/>
                <w:sz w:val="21"/>
              </w:rPr>
              <w:t>(</w:t>
            </w:r>
            <w:r>
              <w:rPr>
                <w:sz w:val="21"/>
              </w:rPr>
              <w:t>九十二</w:t>
            </w:r>
            <w:r>
              <w:rPr>
                <w:rFonts w:ascii="Times New Roman" w:eastAsia="Times New Roman"/>
                <w:sz w:val="21"/>
              </w:rPr>
              <w:t>)</w:t>
            </w:r>
            <w:r>
              <w:rPr>
                <w:sz w:val="21"/>
              </w:rPr>
              <w:t>进行性多灶性白质脑病</w:t>
            </w:r>
          </w:p>
        </w:tc>
        <w:tc>
          <w:tcPr>
            <w:tcW w:w="7160" w:type="dxa"/>
          </w:tcPr>
          <w:p>
            <w:pPr>
              <w:pStyle w:val="TableParagraph"/>
              <w:spacing w:line="273" w:lineRule="auto" w:before="146"/>
              <w:ind w:left="99" w:right="205"/>
              <w:rPr>
                <w:sz w:val="21"/>
              </w:rPr>
            </w:pPr>
            <w:r>
              <w:rPr>
                <w:spacing w:val="-8"/>
                <w:sz w:val="21"/>
              </w:rPr>
              <w:t>是一种亚急性脱髓鞘性脑病，常常发生于免疫缺陷的病人。此症必须由本公</w:t>
            </w:r>
            <w:r>
              <w:rPr>
                <w:spacing w:val="-6"/>
                <w:sz w:val="21"/>
              </w:rPr>
              <w:t>司认可的神经科专科医生根据脑组织活检确诊。</w:t>
            </w:r>
          </w:p>
        </w:tc>
      </w:tr>
      <w:tr>
        <w:trPr>
          <w:trHeight w:val="1560" w:hRule="atLeast"/>
        </w:trPr>
        <w:tc>
          <w:tcPr>
            <w:tcW w:w="2007" w:type="dxa"/>
          </w:tcPr>
          <w:p>
            <w:pPr>
              <w:pStyle w:val="TableParagraph"/>
              <w:spacing w:line="256" w:lineRule="auto" w:before="146"/>
              <w:ind w:left="200" w:right="192"/>
              <w:rPr>
                <w:sz w:val="21"/>
              </w:rPr>
            </w:pPr>
            <w:r>
              <w:rPr>
                <w:rFonts w:ascii="Times New Roman" w:eastAsia="Times New Roman"/>
                <w:sz w:val="21"/>
              </w:rPr>
              <w:t>(</w:t>
            </w:r>
            <w:r>
              <w:rPr>
                <w:sz w:val="21"/>
              </w:rPr>
              <w:t>九十三</w:t>
            </w:r>
            <w:r>
              <w:rPr>
                <w:rFonts w:ascii="Times New Roman" w:eastAsia="Times New Roman"/>
                <w:sz w:val="21"/>
              </w:rPr>
              <w:t>)</w:t>
            </w:r>
            <w:r>
              <w:rPr>
                <w:sz w:val="21"/>
              </w:rPr>
              <w:t>弥漫性血管内凝血</w:t>
            </w:r>
          </w:p>
        </w:tc>
        <w:tc>
          <w:tcPr>
            <w:tcW w:w="7160" w:type="dxa"/>
          </w:tcPr>
          <w:p>
            <w:pPr>
              <w:pStyle w:val="TableParagraph"/>
              <w:spacing w:line="273" w:lineRule="auto" w:before="146"/>
              <w:ind w:left="99" w:right="204"/>
              <w:jc w:val="both"/>
              <w:rPr>
                <w:sz w:val="21"/>
              </w:rPr>
            </w:pPr>
            <w:r>
              <w:rPr>
                <w:spacing w:val="-8"/>
                <w:sz w:val="21"/>
              </w:rPr>
              <w:t>指血液凝固系统和纤溶系统的过度活动导致微血管血栓形成、血小板及凝血</w:t>
            </w:r>
            <w:r>
              <w:rPr>
                <w:spacing w:val="-12"/>
                <w:sz w:val="21"/>
              </w:rPr>
              <w:t>因子耗竭和严重出血，此症必须由本公司认可的专科医生确诊，并且已经达</w:t>
            </w:r>
            <w:r>
              <w:rPr>
                <w:spacing w:val="-8"/>
                <w:w w:val="100"/>
                <w:sz w:val="21"/>
              </w:rPr>
              <w:t>到临床分期的中期</w:t>
            </w:r>
            <w:r>
              <w:rPr>
                <w:spacing w:val="-5"/>
                <w:w w:val="100"/>
                <w:sz w:val="21"/>
              </w:rPr>
              <w:t>（</w:t>
            </w:r>
            <w:r>
              <w:rPr>
                <w:spacing w:val="-2"/>
                <w:w w:val="100"/>
                <w:sz w:val="21"/>
              </w:rPr>
              <w:t>消耗性低凝期</w:t>
            </w:r>
            <w:r>
              <w:rPr>
                <w:w w:val="100"/>
                <w:sz w:val="21"/>
              </w:rPr>
              <w:t>）</w:t>
            </w:r>
            <w:r>
              <w:rPr>
                <w:spacing w:val="-2"/>
                <w:w w:val="100"/>
                <w:sz w:val="21"/>
              </w:rPr>
              <w:t>或后期</w:t>
            </w:r>
            <w:r>
              <w:rPr>
                <w:w w:val="100"/>
                <w:sz w:val="21"/>
              </w:rPr>
              <w:t>（</w:t>
            </w:r>
            <w:r>
              <w:rPr>
                <w:spacing w:val="-3"/>
                <w:w w:val="100"/>
                <w:sz w:val="21"/>
              </w:rPr>
              <w:t>继发性纤溶亢进期</w:t>
            </w:r>
            <w:r>
              <w:rPr>
                <w:spacing w:val="-111"/>
                <w:w w:val="100"/>
                <w:sz w:val="21"/>
              </w:rPr>
              <w:t>）</w:t>
            </w:r>
            <w:r>
              <w:rPr>
                <w:w w:val="100"/>
                <w:sz w:val="21"/>
              </w:rPr>
              <w:t>，需要输</w:t>
            </w:r>
            <w:r>
              <w:rPr>
                <w:spacing w:val="-3"/>
                <w:sz w:val="21"/>
              </w:rPr>
              <w:t>注血浆和浓缩血小板进行治疗。</w:t>
            </w:r>
          </w:p>
        </w:tc>
      </w:tr>
      <w:tr>
        <w:trPr>
          <w:trHeight w:val="2809" w:hRule="atLeast"/>
        </w:trPr>
        <w:tc>
          <w:tcPr>
            <w:tcW w:w="2007" w:type="dxa"/>
          </w:tcPr>
          <w:p>
            <w:pPr>
              <w:pStyle w:val="TableParagraph"/>
              <w:spacing w:line="256" w:lineRule="auto" w:before="146"/>
              <w:ind w:left="200" w:right="192"/>
              <w:rPr>
                <w:sz w:val="21"/>
              </w:rPr>
            </w:pPr>
            <w:r>
              <w:rPr>
                <w:rFonts w:ascii="Times New Roman" w:eastAsia="Times New Roman"/>
                <w:sz w:val="21"/>
              </w:rPr>
              <w:t>(</w:t>
            </w:r>
            <w:r>
              <w:rPr>
                <w:sz w:val="21"/>
              </w:rPr>
              <w:t>九十四</w:t>
            </w:r>
            <w:r>
              <w:rPr>
                <w:rFonts w:ascii="Times New Roman" w:eastAsia="Times New Roman"/>
                <w:sz w:val="21"/>
              </w:rPr>
              <w:t>)</w:t>
            </w:r>
            <w:r>
              <w:rPr>
                <w:sz w:val="21"/>
              </w:rPr>
              <w:t>结核性脑膜炎</w:t>
            </w:r>
          </w:p>
        </w:tc>
        <w:tc>
          <w:tcPr>
            <w:tcW w:w="7160" w:type="dxa"/>
          </w:tcPr>
          <w:p>
            <w:pPr>
              <w:pStyle w:val="TableParagraph"/>
              <w:spacing w:line="273" w:lineRule="auto" w:before="146"/>
              <w:ind w:left="99" w:right="205"/>
              <w:rPr>
                <w:sz w:val="21"/>
              </w:rPr>
            </w:pPr>
            <w:r>
              <w:rPr>
                <w:spacing w:val="-8"/>
                <w:sz w:val="21"/>
              </w:rPr>
              <w:t>指因结核杆菌感染的脑膜炎经本公司认可的神经内科专科医生确诊，并经脑</w:t>
            </w:r>
            <w:r>
              <w:rPr>
                <w:spacing w:val="-11"/>
                <w:sz w:val="21"/>
              </w:rPr>
              <w:t>脊液或者影像学检查证实，并导致了神经系统永久性的功能障碍。神经系统</w:t>
            </w:r>
            <w:r>
              <w:rPr>
                <w:spacing w:val="-10"/>
                <w:sz w:val="21"/>
              </w:rPr>
              <w:t>永久性的功能障碍，指疾病确诊 </w:t>
            </w:r>
            <w:r>
              <w:rPr>
                <w:sz w:val="21"/>
              </w:rPr>
              <w:t>180</w:t>
            </w:r>
            <w:r>
              <w:rPr>
                <w:spacing w:val="-3"/>
                <w:sz w:val="21"/>
              </w:rPr>
              <w:t> 天后，仍残留下列一种或一种以上障碍：</w:t>
            </w:r>
          </w:p>
          <w:p>
            <w:pPr>
              <w:pStyle w:val="TableParagraph"/>
              <w:spacing w:before="8"/>
              <w:ind w:left="99"/>
              <w:rPr>
                <w:sz w:val="21"/>
              </w:rPr>
            </w:pPr>
            <w:r>
              <w:rPr>
                <w:sz w:val="21"/>
              </w:rPr>
              <w:t>（1）一肢或一肢以上肢体机能完全丧失；</w:t>
            </w:r>
          </w:p>
          <w:p>
            <w:pPr>
              <w:pStyle w:val="TableParagraph"/>
              <w:ind w:left="99"/>
              <w:rPr>
                <w:sz w:val="21"/>
              </w:rPr>
            </w:pPr>
            <w:r>
              <w:rPr>
                <w:sz w:val="21"/>
              </w:rPr>
              <w:t>（2）语言能力或咀嚼吞咽能力完全丧失；</w:t>
            </w:r>
          </w:p>
          <w:p>
            <w:pPr>
              <w:pStyle w:val="TableParagraph"/>
              <w:spacing w:line="273" w:lineRule="auto"/>
              <w:ind w:left="99" w:right="233"/>
              <w:rPr>
                <w:sz w:val="21"/>
              </w:rPr>
            </w:pPr>
            <w:r>
              <w:rPr>
                <w:sz w:val="21"/>
              </w:rPr>
              <w:t>（3）自主生活能力完全丧失，无法独立完成六项基本日常生活活动中的三项或三项以上。</w:t>
            </w:r>
          </w:p>
        </w:tc>
      </w:tr>
      <w:tr>
        <w:trPr>
          <w:trHeight w:val="2496" w:hRule="atLeast"/>
        </w:trPr>
        <w:tc>
          <w:tcPr>
            <w:tcW w:w="2007" w:type="dxa"/>
          </w:tcPr>
          <w:p>
            <w:pPr>
              <w:pStyle w:val="TableParagraph"/>
              <w:spacing w:line="256" w:lineRule="auto" w:before="146"/>
              <w:ind w:left="200" w:right="96"/>
              <w:rPr>
                <w:sz w:val="21"/>
              </w:rPr>
            </w:pPr>
            <w:r>
              <w:rPr>
                <w:rFonts w:ascii="Times New Roman" w:eastAsia="Times New Roman"/>
                <w:sz w:val="21"/>
              </w:rPr>
              <w:t>( </w:t>
            </w:r>
            <w:r>
              <w:rPr>
                <w:sz w:val="21"/>
              </w:rPr>
              <w:t>九十五</w:t>
            </w:r>
            <w:r>
              <w:rPr>
                <w:rFonts w:ascii="Times New Roman" w:eastAsia="Times New Roman"/>
                <w:sz w:val="21"/>
              </w:rPr>
              <w:t>) </w:t>
            </w:r>
            <w:r>
              <w:rPr>
                <w:sz w:val="21"/>
              </w:rPr>
              <w:t>严重肌营养不良症</w:t>
            </w:r>
          </w:p>
        </w:tc>
        <w:tc>
          <w:tcPr>
            <w:tcW w:w="7160" w:type="dxa"/>
          </w:tcPr>
          <w:p>
            <w:pPr>
              <w:pStyle w:val="TableParagraph"/>
              <w:spacing w:line="273" w:lineRule="auto" w:before="146"/>
              <w:ind w:left="99" w:right="205"/>
              <w:rPr>
                <w:sz w:val="21"/>
              </w:rPr>
            </w:pPr>
            <w:r>
              <w:rPr>
                <w:spacing w:val="-9"/>
                <w:sz w:val="21"/>
              </w:rPr>
              <w:t>指一组遗传性肌肉变性病变，临床特征为与神经系统无关的骨骼肌肉对称地</w:t>
            </w:r>
            <w:r>
              <w:rPr>
                <w:spacing w:val="-7"/>
                <w:sz w:val="21"/>
              </w:rPr>
              <w:t>进行性无力和萎缩。其诊断需满足下列全部条件：</w:t>
            </w:r>
          </w:p>
          <w:p>
            <w:pPr>
              <w:pStyle w:val="TableParagraph"/>
              <w:spacing w:before="8"/>
              <w:ind w:left="99"/>
              <w:rPr>
                <w:sz w:val="21"/>
              </w:rPr>
            </w:pPr>
            <w:r>
              <w:rPr>
                <w:sz w:val="21"/>
              </w:rPr>
              <w:t>（1）肌电图显示典型肌营养不良症的阳性改变；</w:t>
            </w:r>
          </w:p>
          <w:p>
            <w:pPr>
              <w:pStyle w:val="TableParagraph"/>
              <w:spacing w:line="273" w:lineRule="auto"/>
              <w:ind w:left="99" w:right="197"/>
              <w:rPr>
                <w:sz w:val="21"/>
              </w:rPr>
            </w:pPr>
            <w:r>
              <w:rPr>
                <w:spacing w:val="-26"/>
                <w:sz w:val="21"/>
              </w:rPr>
              <w:t>（2）</w:t>
            </w:r>
            <w:r>
              <w:rPr>
                <w:spacing w:val="-5"/>
                <w:sz w:val="21"/>
              </w:rPr>
              <w:t>肌肉活检的病理学诊断符合肌营养不良症的肌肉细胞变性</w:t>
            </w:r>
            <w:r>
              <w:rPr>
                <w:sz w:val="21"/>
              </w:rPr>
              <w:t>\</w:t>
            </w:r>
            <w:r>
              <w:rPr>
                <w:spacing w:val="-2"/>
                <w:sz w:val="21"/>
              </w:rPr>
              <w:t>坏死等阳性改变；</w:t>
            </w:r>
          </w:p>
          <w:p>
            <w:pPr>
              <w:pStyle w:val="TableParagraph"/>
              <w:spacing w:line="256" w:lineRule="auto" w:before="7"/>
              <w:ind w:left="99" w:right="233"/>
              <w:rPr>
                <w:sz w:val="21"/>
              </w:rPr>
            </w:pPr>
            <w:r>
              <w:rPr>
                <w:sz w:val="21"/>
              </w:rPr>
              <w:t>（</w:t>
            </w:r>
            <w:r>
              <w:rPr>
                <w:rFonts w:ascii="Times New Roman" w:eastAsia="Times New Roman"/>
                <w:sz w:val="21"/>
              </w:rPr>
              <w:t>3</w:t>
            </w:r>
            <w:r>
              <w:rPr>
                <w:sz w:val="21"/>
              </w:rPr>
              <w:t>）已导致被保险人持续超过三个月无法独立完成六项基本日常生活活动中的三项或三项以上。</w:t>
            </w:r>
          </w:p>
        </w:tc>
      </w:tr>
      <w:tr>
        <w:trPr>
          <w:trHeight w:val="1685" w:hRule="atLeast"/>
        </w:trPr>
        <w:tc>
          <w:tcPr>
            <w:tcW w:w="2007" w:type="dxa"/>
          </w:tcPr>
          <w:p>
            <w:pPr>
              <w:pStyle w:val="TableParagraph"/>
              <w:spacing w:line="312" w:lineRule="exact" w:before="142"/>
              <w:ind w:left="200" w:right="100"/>
              <w:jc w:val="both"/>
              <w:rPr>
                <w:rFonts w:ascii="Times New Roman" w:eastAsia="Times New Roman"/>
                <w:sz w:val="21"/>
              </w:rPr>
            </w:pPr>
            <w:r>
              <w:rPr>
                <w:rFonts w:ascii="Times New Roman" w:eastAsia="Times New Roman"/>
                <w:sz w:val="21"/>
              </w:rPr>
              <w:t>( </w:t>
            </w:r>
            <w:r>
              <w:rPr>
                <w:sz w:val="21"/>
              </w:rPr>
              <w:t>九十六</w:t>
            </w:r>
            <w:r>
              <w:rPr>
                <w:rFonts w:ascii="Times New Roman" w:eastAsia="Times New Roman"/>
                <w:sz w:val="21"/>
              </w:rPr>
              <w:t>) </w:t>
            </w:r>
            <w:r>
              <w:rPr>
                <w:sz w:val="21"/>
              </w:rPr>
              <w:t>成骨不全症第三型</w:t>
            </w:r>
            <w:r>
              <w:rPr>
                <w:rFonts w:ascii="Times New Roman" w:eastAsia="Times New Roman"/>
                <w:sz w:val="21"/>
              </w:rPr>
              <w:t>( </w:t>
            </w:r>
            <w:r>
              <w:rPr>
                <w:sz w:val="21"/>
              </w:rPr>
              <w:t>本项保险责任仅在被保险人 </w:t>
            </w:r>
            <w:r>
              <w:rPr>
                <w:rFonts w:ascii="Times New Roman" w:eastAsia="Times New Roman"/>
                <w:sz w:val="21"/>
              </w:rPr>
              <w:t>18 </w:t>
            </w:r>
            <w:r>
              <w:rPr>
                <w:sz w:val="21"/>
              </w:rPr>
              <w:t>周岁以前提供保障 </w:t>
            </w:r>
            <w:r>
              <w:rPr>
                <w:rFonts w:ascii="Times New Roman" w:eastAsia="Times New Roman"/>
                <w:sz w:val="21"/>
              </w:rPr>
              <w:t>)</w:t>
            </w:r>
          </w:p>
        </w:tc>
        <w:tc>
          <w:tcPr>
            <w:tcW w:w="7160" w:type="dxa"/>
          </w:tcPr>
          <w:p>
            <w:pPr>
              <w:pStyle w:val="TableParagraph"/>
              <w:spacing w:before="146"/>
              <w:ind w:left="99"/>
              <w:rPr>
                <w:sz w:val="21"/>
              </w:rPr>
            </w:pPr>
            <w:r>
              <w:rPr>
                <w:sz w:val="21"/>
              </w:rPr>
              <w:t>成骨不全症第三型须有专科医生明确诊断，同时符合下列所有条件：</w:t>
            </w:r>
          </w:p>
          <w:p>
            <w:pPr>
              <w:pStyle w:val="TableParagraph"/>
              <w:ind w:left="99"/>
              <w:rPr>
                <w:sz w:val="21"/>
              </w:rPr>
            </w:pPr>
            <w:r>
              <w:rPr>
                <w:sz w:val="21"/>
              </w:rPr>
              <w:t>（</w:t>
            </w:r>
            <w:r>
              <w:rPr>
                <w:rFonts w:ascii="Times New Roman" w:eastAsia="Times New Roman"/>
                <w:sz w:val="21"/>
              </w:rPr>
              <w:t>1</w:t>
            </w:r>
            <w:r>
              <w:rPr>
                <w:sz w:val="21"/>
              </w:rPr>
              <w:t>）就成骨不全症第三型之诊断进行的皮肤切片的病理检查结果为阳性；</w:t>
            </w:r>
          </w:p>
          <w:p>
            <w:pPr>
              <w:pStyle w:val="TableParagraph"/>
              <w:spacing w:before="21"/>
              <w:ind w:left="99"/>
              <w:rPr>
                <w:sz w:val="21"/>
              </w:rPr>
            </w:pPr>
            <w:r>
              <w:rPr>
                <w:sz w:val="21"/>
              </w:rPr>
              <w:t>（</w:t>
            </w:r>
            <w:r>
              <w:rPr>
                <w:rFonts w:ascii="Times New Roman" w:eastAsia="Times New Roman"/>
                <w:sz w:val="21"/>
              </w:rPr>
              <w:t>2</w:t>
            </w:r>
            <w:r>
              <w:rPr>
                <w:sz w:val="21"/>
              </w:rPr>
              <w:t>）</w:t>
            </w:r>
            <w:r>
              <w:rPr>
                <w:rFonts w:ascii="Times New Roman" w:eastAsia="Times New Roman"/>
                <w:sz w:val="21"/>
              </w:rPr>
              <w:t>X </w:t>
            </w:r>
            <w:r>
              <w:rPr>
                <w:sz w:val="21"/>
              </w:rPr>
              <w:t>光片结果显示多处骨折及逐步脊柱后侧凸畸形；</w:t>
            </w:r>
          </w:p>
          <w:p>
            <w:pPr>
              <w:pStyle w:val="TableParagraph"/>
              <w:spacing w:before="21"/>
              <w:ind w:left="99"/>
              <w:rPr>
                <w:sz w:val="21"/>
              </w:rPr>
            </w:pPr>
            <w:r>
              <w:rPr>
                <w:sz w:val="21"/>
              </w:rPr>
              <w:t>（</w:t>
            </w:r>
            <w:r>
              <w:rPr>
                <w:rFonts w:ascii="Times New Roman" w:eastAsia="Times New Roman"/>
                <w:sz w:val="21"/>
              </w:rPr>
              <w:t>3</w:t>
            </w:r>
            <w:r>
              <w:rPr>
                <w:sz w:val="21"/>
              </w:rPr>
              <w:t>）有证明是因此疾病引致发育迟缓及听力损伤。</w:t>
            </w:r>
          </w:p>
        </w:tc>
      </w:tr>
    </w:tbl>
    <w:p>
      <w:pPr>
        <w:spacing w:after="0"/>
        <w:rPr>
          <w:sz w:val="21"/>
        </w:rPr>
        <w:sectPr>
          <w:pgSz w:w="11910" w:h="16840"/>
          <w:pgMar w:header="496" w:footer="995" w:top="800" w:bottom="1180" w:left="960" w:right="840"/>
        </w:sectPr>
      </w:pPr>
    </w:p>
    <w:p>
      <w:pPr>
        <w:pStyle w:val="BodyText"/>
        <w:rPr>
          <w:rFonts w:ascii="Times New Roman"/>
          <w:sz w:val="20"/>
        </w:rPr>
      </w:pPr>
    </w:p>
    <w:p>
      <w:pPr>
        <w:pStyle w:val="BodyText"/>
        <w:spacing w:before="3"/>
        <w:rPr>
          <w:rFonts w:ascii="Times New Roman"/>
          <w:sz w:val="1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7"/>
        <w:gridCol w:w="2064"/>
        <w:gridCol w:w="7309"/>
      </w:tblGrid>
      <w:tr>
        <w:trPr>
          <w:trHeight w:val="1989" w:hRule="atLeast"/>
        </w:trPr>
        <w:tc>
          <w:tcPr>
            <w:tcW w:w="817" w:type="dxa"/>
          </w:tcPr>
          <w:p>
            <w:pPr>
              <w:pStyle w:val="TableParagraph"/>
              <w:spacing w:before="0"/>
              <w:ind w:left="0"/>
              <w:rPr>
                <w:rFonts w:ascii="Times New Roman"/>
                <w:sz w:val="20"/>
              </w:rPr>
            </w:pPr>
          </w:p>
        </w:tc>
        <w:tc>
          <w:tcPr>
            <w:tcW w:w="2064" w:type="dxa"/>
          </w:tcPr>
          <w:p>
            <w:pPr>
              <w:pStyle w:val="TableParagraph"/>
              <w:spacing w:line="234" w:lineRule="exact" w:before="0"/>
              <w:ind w:left="300"/>
              <w:rPr>
                <w:sz w:val="21"/>
              </w:rPr>
            </w:pPr>
            <w:r>
              <w:rPr>
                <w:rFonts w:ascii="Times New Roman" w:eastAsia="Times New Roman"/>
                <w:sz w:val="21"/>
              </w:rPr>
              <w:t>(</w:t>
            </w:r>
            <w:r>
              <w:rPr>
                <w:sz w:val="21"/>
              </w:rPr>
              <w:t>九十七</w:t>
            </w:r>
            <w:r>
              <w:rPr>
                <w:rFonts w:ascii="Times New Roman" w:eastAsia="Times New Roman"/>
                <w:sz w:val="21"/>
              </w:rPr>
              <w:t>)  </w:t>
            </w:r>
            <w:r>
              <w:rPr>
                <w:sz w:val="21"/>
              </w:rPr>
              <w:t>严重幼</w:t>
            </w:r>
          </w:p>
          <w:p>
            <w:pPr>
              <w:pStyle w:val="TableParagraph"/>
              <w:spacing w:line="264" w:lineRule="auto" w:before="21"/>
              <w:ind w:left="300" w:right="76"/>
              <w:rPr>
                <w:rFonts w:ascii="Times New Roman" w:eastAsia="Times New Roman"/>
                <w:sz w:val="21"/>
              </w:rPr>
            </w:pPr>
            <w:r>
              <w:rPr>
                <w:spacing w:val="-1"/>
                <w:sz w:val="21"/>
              </w:rPr>
              <w:t>年型类风湿性关节炎</w:t>
            </w:r>
            <w:r>
              <w:rPr>
                <w:rFonts w:ascii="Times New Roman" w:eastAsia="Times New Roman"/>
                <w:spacing w:val="-1"/>
                <w:sz w:val="21"/>
              </w:rPr>
              <w:t>(</w:t>
            </w:r>
            <w:r>
              <w:rPr>
                <w:spacing w:val="-3"/>
                <w:sz w:val="21"/>
              </w:rPr>
              <w:t>本项保险责任</w:t>
            </w:r>
            <w:r>
              <w:rPr>
                <w:spacing w:val="-11"/>
                <w:sz w:val="21"/>
              </w:rPr>
              <w:t>仅在被保险人 </w:t>
            </w:r>
            <w:r>
              <w:rPr>
                <w:rFonts w:ascii="Times New Roman" w:eastAsia="Times New Roman"/>
                <w:sz w:val="21"/>
              </w:rPr>
              <w:t>18 </w:t>
            </w:r>
            <w:r>
              <w:rPr>
                <w:spacing w:val="-1"/>
                <w:sz w:val="21"/>
              </w:rPr>
              <w:t>周岁以前提供保 </w:t>
            </w:r>
            <w:r>
              <w:rPr>
                <w:sz w:val="21"/>
              </w:rPr>
              <w:t>障 </w:t>
            </w:r>
            <w:r>
              <w:rPr>
                <w:rFonts w:ascii="Times New Roman" w:eastAsia="Times New Roman"/>
                <w:sz w:val="21"/>
              </w:rPr>
              <w:t>)</w:t>
            </w:r>
          </w:p>
        </w:tc>
        <w:tc>
          <w:tcPr>
            <w:tcW w:w="7309" w:type="dxa"/>
          </w:tcPr>
          <w:p>
            <w:pPr>
              <w:pStyle w:val="TableParagraph"/>
              <w:spacing w:line="218" w:lineRule="exact" w:before="0"/>
              <w:ind w:left="142"/>
              <w:rPr>
                <w:sz w:val="21"/>
              </w:rPr>
            </w:pPr>
            <w:r>
              <w:rPr>
                <w:sz w:val="21"/>
              </w:rPr>
              <w:t>幼年型类风湿关节炎是一种儿童期发病的慢性 ，其特点为在高热和系统性</w:t>
            </w:r>
          </w:p>
          <w:p>
            <w:pPr>
              <w:pStyle w:val="TableParagraph"/>
              <w:ind w:left="142"/>
              <w:rPr>
                <w:sz w:val="21"/>
              </w:rPr>
            </w:pPr>
            <w:r>
              <w:rPr>
                <w:sz w:val="21"/>
              </w:rPr>
              <w:t>病征出现数月后发生关节炎。</w:t>
            </w:r>
          </w:p>
          <w:p>
            <w:pPr>
              <w:pStyle w:val="TableParagraph"/>
              <w:spacing w:line="273" w:lineRule="auto"/>
              <w:ind w:left="142" w:right="439"/>
              <w:rPr>
                <w:sz w:val="21"/>
              </w:rPr>
            </w:pPr>
            <w:r>
              <w:rPr>
                <w:sz w:val="21"/>
              </w:rPr>
              <w:t>本保单仅对实际接受了膝关节或髋置换手术治疗的严重幼年型类风湿关节炎予以理赔。</w:t>
            </w:r>
          </w:p>
        </w:tc>
      </w:tr>
      <w:tr>
        <w:trPr>
          <w:trHeight w:val="1872" w:hRule="atLeast"/>
        </w:trPr>
        <w:tc>
          <w:tcPr>
            <w:tcW w:w="817" w:type="dxa"/>
          </w:tcPr>
          <w:p>
            <w:pPr>
              <w:pStyle w:val="TableParagraph"/>
              <w:spacing w:before="0"/>
              <w:ind w:left="0"/>
              <w:rPr>
                <w:rFonts w:ascii="Times New Roman"/>
                <w:sz w:val="20"/>
              </w:rPr>
            </w:pPr>
          </w:p>
        </w:tc>
        <w:tc>
          <w:tcPr>
            <w:tcW w:w="2064" w:type="dxa"/>
          </w:tcPr>
          <w:p>
            <w:pPr>
              <w:pStyle w:val="TableParagraph"/>
              <w:spacing w:line="261" w:lineRule="auto" w:before="138"/>
              <w:ind w:left="300" w:right="76"/>
              <w:rPr>
                <w:rFonts w:ascii="Times New Roman" w:eastAsia="Times New Roman"/>
                <w:sz w:val="21"/>
              </w:rPr>
            </w:pPr>
            <w:r>
              <w:rPr>
                <w:rFonts w:ascii="Times New Roman" w:eastAsia="Times New Roman"/>
                <w:sz w:val="21"/>
              </w:rPr>
              <w:t>(</w:t>
            </w:r>
            <w:r>
              <w:rPr>
                <w:sz w:val="21"/>
              </w:rPr>
              <w:t>九十八</w:t>
            </w:r>
            <w:r>
              <w:rPr>
                <w:rFonts w:ascii="Times New Roman" w:eastAsia="Times New Roman"/>
                <w:sz w:val="21"/>
              </w:rPr>
              <w:t>)  </w:t>
            </w:r>
            <w:r>
              <w:rPr>
                <w:sz w:val="21"/>
              </w:rPr>
              <w:t>严重肠道疾病并发症 </w:t>
            </w:r>
            <w:r>
              <w:rPr>
                <w:rFonts w:ascii="Times New Roman" w:eastAsia="Times New Roman"/>
                <w:sz w:val="21"/>
              </w:rPr>
              <w:t>(</w:t>
            </w:r>
            <w:r>
              <w:rPr>
                <w:sz w:val="21"/>
              </w:rPr>
              <w:t>本项保险责任仅在被保险人 </w:t>
            </w:r>
            <w:r>
              <w:rPr>
                <w:rFonts w:ascii="Times New Roman" w:eastAsia="Times New Roman"/>
                <w:sz w:val="21"/>
              </w:rPr>
              <w:t>18 </w:t>
            </w:r>
            <w:r>
              <w:rPr>
                <w:sz w:val="21"/>
              </w:rPr>
              <w:t>周岁以前提供保障 </w:t>
            </w:r>
            <w:r>
              <w:rPr>
                <w:rFonts w:ascii="Times New Roman" w:eastAsia="Times New Roman"/>
                <w:sz w:val="21"/>
              </w:rPr>
              <w:t>)</w:t>
            </w:r>
          </w:p>
        </w:tc>
        <w:tc>
          <w:tcPr>
            <w:tcW w:w="7309" w:type="dxa"/>
          </w:tcPr>
          <w:p>
            <w:pPr>
              <w:pStyle w:val="TableParagraph"/>
              <w:spacing w:before="138"/>
              <w:ind w:left="142"/>
              <w:rPr>
                <w:sz w:val="21"/>
              </w:rPr>
            </w:pPr>
            <w:r>
              <w:rPr>
                <w:sz w:val="21"/>
              </w:rPr>
              <w:t>严重肠道疾病或外伤导致小肠损害并发症，必须满足以下所有条件：</w:t>
            </w:r>
          </w:p>
          <w:p>
            <w:pPr>
              <w:pStyle w:val="TableParagraph"/>
              <w:ind w:left="142"/>
              <w:rPr>
                <w:sz w:val="21"/>
              </w:rPr>
            </w:pPr>
            <w:r>
              <w:rPr>
                <w:sz w:val="21"/>
              </w:rPr>
              <w:t>（1）至少切除了三分之二小肠；</w:t>
            </w:r>
          </w:p>
          <w:p>
            <w:pPr>
              <w:pStyle w:val="TableParagraph"/>
              <w:ind w:left="142"/>
              <w:rPr>
                <w:sz w:val="21"/>
              </w:rPr>
            </w:pPr>
            <w:r>
              <w:rPr>
                <w:sz w:val="21"/>
              </w:rPr>
              <w:t>（2）完全肠外营养支持 3个月以上。</w:t>
            </w:r>
          </w:p>
        </w:tc>
      </w:tr>
      <w:tr>
        <w:trPr>
          <w:trHeight w:val="2492" w:hRule="atLeast"/>
        </w:trPr>
        <w:tc>
          <w:tcPr>
            <w:tcW w:w="817" w:type="dxa"/>
          </w:tcPr>
          <w:p>
            <w:pPr>
              <w:pStyle w:val="TableParagraph"/>
              <w:spacing w:before="0"/>
              <w:ind w:left="0"/>
              <w:rPr>
                <w:rFonts w:ascii="Times New Roman"/>
                <w:sz w:val="20"/>
              </w:rPr>
            </w:pPr>
          </w:p>
        </w:tc>
        <w:tc>
          <w:tcPr>
            <w:tcW w:w="2064" w:type="dxa"/>
          </w:tcPr>
          <w:p>
            <w:pPr>
              <w:pStyle w:val="TableParagraph"/>
              <w:spacing w:before="138"/>
              <w:ind w:left="300"/>
              <w:rPr>
                <w:sz w:val="21"/>
              </w:rPr>
            </w:pPr>
            <w:r>
              <w:rPr>
                <w:rFonts w:ascii="Times New Roman" w:eastAsia="Times New Roman"/>
                <w:sz w:val="21"/>
              </w:rPr>
              <w:t>(</w:t>
            </w:r>
            <w:r>
              <w:rPr>
                <w:sz w:val="21"/>
              </w:rPr>
              <w:t>九十九</w:t>
            </w:r>
            <w:r>
              <w:rPr>
                <w:rFonts w:ascii="Times New Roman" w:eastAsia="Times New Roman"/>
                <w:sz w:val="21"/>
              </w:rPr>
              <w:t>)</w:t>
            </w:r>
            <w:r>
              <w:rPr>
                <w:sz w:val="21"/>
              </w:rPr>
              <w:t>严重哮喘</w:t>
            </w:r>
          </w:p>
          <w:p>
            <w:pPr>
              <w:pStyle w:val="TableParagraph"/>
              <w:spacing w:line="256" w:lineRule="auto" w:before="22"/>
              <w:ind w:left="300" w:right="111"/>
              <w:jc w:val="both"/>
              <w:rPr>
                <w:rFonts w:ascii="Times New Roman" w:eastAsia="Times New Roman"/>
                <w:sz w:val="21"/>
              </w:rPr>
            </w:pPr>
            <w:r>
              <w:rPr>
                <w:rFonts w:ascii="Times New Roman" w:eastAsia="Times New Roman"/>
                <w:sz w:val="21"/>
              </w:rPr>
              <w:t>(</w:t>
            </w:r>
            <w:r>
              <w:rPr>
                <w:sz w:val="21"/>
              </w:rPr>
              <w:t>本项保险责任仅在被保险人 </w:t>
            </w:r>
            <w:r>
              <w:rPr>
                <w:rFonts w:ascii="Times New Roman" w:eastAsia="Times New Roman"/>
                <w:sz w:val="21"/>
              </w:rPr>
              <w:t>18 </w:t>
            </w:r>
            <w:r>
              <w:rPr>
                <w:sz w:val="21"/>
              </w:rPr>
              <w:t>周岁以前提供保障 </w:t>
            </w:r>
            <w:r>
              <w:rPr>
                <w:rFonts w:ascii="Times New Roman" w:eastAsia="Times New Roman"/>
                <w:sz w:val="21"/>
              </w:rPr>
              <w:t>)</w:t>
            </w:r>
          </w:p>
        </w:tc>
        <w:tc>
          <w:tcPr>
            <w:tcW w:w="7309" w:type="dxa"/>
          </w:tcPr>
          <w:p>
            <w:pPr>
              <w:pStyle w:val="TableParagraph"/>
              <w:spacing w:line="273" w:lineRule="auto" w:before="138"/>
              <w:ind w:left="142" w:right="310"/>
              <w:rPr>
                <w:sz w:val="21"/>
              </w:rPr>
            </w:pPr>
            <w:r>
              <w:rPr>
                <w:spacing w:val="-8"/>
                <w:sz w:val="21"/>
              </w:rPr>
              <w:t>指一种反复发作的严重支气管阻塞性疾病，经我们认可专科医生确诊，且必</w:t>
            </w:r>
            <w:r>
              <w:rPr>
                <w:spacing w:val="-6"/>
                <w:sz w:val="21"/>
              </w:rPr>
              <w:t>须同时符合下列标准：</w:t>
            </w:r>
          </w:p>
          <w:p>
            <w:pPr>
              <w:pStyle w:val="TableParagraph"/>
              <w:spacing w:before="8"/>
              <w:ind w:left="142"/>
              <w:rPr>
                <w:sz w:val="21"/>
              </w:rPr>
            </w:pPr>
            <w:r>
              <w:rPr>
                <w:sz w:val="21"/>
              </w:rPr>
              <w:t>（1）过去两年中曾因哮喘持续状态住院治疗，并提供完整记录；</w:t>
            </w:r>
          </w:p>
          <w:p>
            <w:pPr>
              <w:pStyle w:val="TableParagraph"/>
              <w:ind w:left="142"/>
              <w:rPr>
                <w:sz w:val="21"/>
              </w:rPr>
            </w:pPr>
            <w:r>
              <w:rPr>
                <w:sz w:val="21"/>
              </w:rPr>
              <w:t>（2）因慢性过度换气导致胸廓畸形；</w:t>
            </w:r>
          </w:p>
          <w:p>
            <w:pPr>
              <w:pStyle w:val="TableParagraph"/>
              <w:ind w:left="142"/>
              <w:rPr>
                <w:sz w:val="21"/>
              </w:rPr>
            </w:pPr>
            <w:r>
              <w:rPr>
                <w:sz w:val="21"/>
              </w:rPr>
              <w:t>（3）在家中需要医生处方的氧气治疗法；</w:t>
            </w:r>
          </w:p>
          <w:p>
            <w:pPr>
              <w:pStyle w:val="TableParagraph"/>
              <w:spacing w:line="273" w:lineRule="auto"/>
              <w:ind w:left="142" w:right="2436"/>
              <w:rPr>
                <w:sz w:val="21"/>
              </w:rPr>
            </w:pPr>
            <w:r>
              <w:rPr>
                <w:sz w:val="21"/>
              </w:rPr>
              <w:t>（4）持续日常服用口类固醇激素治疗至少六个月。被保险人申请理赔时年龄必须在满十八周岁之前。</w:t>
            </w:r>
          </w:p>
        </w:tc>
      </w:tr>
      <w:tr>
        <w:trPr>
          <w:trHeight w:val="932" w:hRule="atLeast"/>
        </w:trPr>
        <w:tc>
          <w:tcPr>
            <w:tcW w:w="817" w:type="dxa"/>
          </w:tcPr>
          <w:p>
            <w:pPr>
              <w:pStyle w:val="TableParagraph"/>
              <w:spacing w:before="142"/>
              <w:ind w:left="200"/>
              <w:rPr>
                <w:b/>
                <w:sz w:val="21"/>
              </w:rPr>
            </w:pPr>
            <w:r>
              <w:rPr>
                <w:b/>
                <w:sz w:val="21"/>
              </w:rPr>
              <w:t>6.6</w:t>
            </w:r>
          </w:p>
        </w:tc>
        <w:tc>
          <w:tcPr>
            <w:tcW w:w="2064" w:type="dxa"/>
          </w:tcPr>
          <w:p>
            <w:pPr>
              <w:pStyle w:val="TableParagraph"/>
              <w:spacing w:before="142"/>
              <w:ind w:left="300"/>
              <w:rPr>
                <w:b/>
                <w:sz w:val="21"/>
              </w:rPr>
            </w:pPr>
            <w:r>
              <w:rPr>
                <w:b/>
                <w:sz w:val="21"/>
              </w:rPr>
              <w:t>少儿特定重大疾病</w:t>
            </w:r>
          </w:p>
        </w:tc>
        <w:tc>
          <w:tcPr>
            <w:tcW w:w="7309" w:type="dxa"/>
          </w:tcPr>
          <w:p>
            <w:pPr>
              <w:pStyle w:val="TableParagraph"/>
              <w:spacing w:line="273" w:lineRule="auto" w:before="142"/>
              <w:ind w:left="142" w:right="310"/>
              <w:rPr>
                <w:sz w:val="21"/>
              </w:rPr>
            </w:pPr>
            <w:r>
              <w:rPr>
                <w:spacing w:val="-8"/>
                <w:sz w:val="21"/>
              </w:rPr>
              <w:t>指保险责任生效后，经专科医生明确诊断，被保险人初次发生符合以下疾病</w:t>
            </w:r>
            <w:r>
              <w:rPr>
                <w:spacing w:val="-6"/>
                <w:sz w:val="21"/>
              </w:rPr>
              <w:t>定义所述条件的疾病：</w:t>
            </w:r>
          </w:p>
        </w:tc>
      </w:tr>
      <w:tr>
        <w:trPr>
          <w:trHeight w:val="936" w:hRule="atLeast"/>
        </w:trPr>
        <w:tc>
          <w:tcPr>
            <w:tcW w:w="817" w:type="dxa"/>
          </w:tcPr>
          <w:p>
            <w:pPr>
              <w:pStyle w:val="TableParagraph"/>
              <w:spacing w:before="0"/>
              <w:ind w:left="0"/>
              <w:rPr>
                <w:rFonts w:ascii="Times New Roman"/>
                <w:sz w:val="20"/>
              </w:rPr>
            </w:pPr>
          </w:p>
        </w:tc>
        <w:tc>
          <w:tcPr>
            <w:tcW w:w="2064" w:type="dxa"/>
          </w:tcPr>
          <w:p>
            <w:pPr>
              <w:pStyle w:val="TableParagraph"/>
              <w:spacing w:line="256" w:lineRule="auto" w:before="146"/>
              <w:ind w:left="300" w:right="148"/>
              <w:rPr>
                <w:sz w:val="21"/>
              </w:rPr>
            </w:pPr>
            <w:r>
              <w:rPr>
                <w:rFonts w:ascii="Times New Roman" w:eastAsia="Times New Roman"/>
                <w:sz w:val="21"/>
              </w:rPr>
              <w:t>(</w:t>
            </w:r>
            <w:r>
              <w:rPr>
                <w:sz w:val="21"/>
              </w:rPr>
              <w:t>一</w:t>
            </w:r>
            <w:r>
              <w:rPr>
                <w:rFonts w:ascii="Times New Roman" w:eastAsia="Times New Roman"/>
                <w:sz w:val="21"/>
              </w:rPr>
              <w:t>)</w:t>
            </w:r>
            <w:r>
              <w:rPr>
                <w:sz w:val="21"/>
              </w:rPr>
              <w:t>骨和关节软骨恶性肿瘤</w:t>
            </w:r>
          </w:p>
        </w:tc>
        <w:tc>
          <w:tcPr>
            <w:tcW w:w="7309" w:type="dxa"/>
          </w:tcPr>
          <w:p>
            <w:pPr>
              <w:pStyle w:val="TableParagraph"/>
              <w:spacing w:line="273" w:lineRule="auto" w:before="146"/>
              <w:ind w:left="142" w:right="310"/>
              <w:rPr>
                <w:sz w:val="21"/>
              </w:rPr>
            </w:pPr>
            <w:r>
              <w:rPr>
                <w:spacing w:val="-9"/>
                <w:sz w:val="21"/>
              </w:rPr>
              <w:t>指原发于发生于骨骼或其附属组织的恶性肿瘤，需符合恶性肿瘤定义，并且</w:t>
            </w:r>
            <w:r>
              <w:rPr>
                <w:spacing w:val="-2"/>
                <w:sz w:val="21"/>
              </w:rPr>
              <w:t>国际疾病分类</w:t>
            </w:r>
            <w:r>
              <w:rPr>
                <w:spacing w:val="-1"/>
                <w:sz w:val="21"/>
              </w:rPr>
              <w:t>（ICD-10）</w:t>
            </w:r>
            <w:r>
              <w:rPr>
                <w:spacing w:val="-2"/>
                <w:sz w:val="21"/>
              </w:rPr>
              <w:t>编码主码在</w:t>
            </w:r>
            <w:r>
              <w:rPr>
                <w:sz w:val="21"/>
              </w:rPr>
              <w:t>C40-41</w:t>
            </w:r>
            <w:r>
              <w:rPr>
                <w:spacing w:val="-2"/>
                <w:sz w:val="21"/>
              </w:rPr>
              <w:t>范围内。</w:t>
            </w:r>
          </w:p>
        </w:tc>
      </w:tr>
      <w:tr>
        <w:trPr>
          <w:trHeight w:val="936" w:hRule="atLeast"/>
        </w:trPr>
        <w:tc>
          <w:tcPr>
            <w:tcW w:w="817" w:type="dxa"/>
          </w:tcPr>
          <w:p>
            <w:pPr>
              <w:pStyle w:val="TableParagraph"/>
              <w:spacing w:before="0"/>
              <w:ind w:left="0"/>
              <w:rPr>
                <w:rFonts w:ascii="Times New Roman"/>
                <w:sz w:val="20"/>
              </w:rPr>
            </w:pPr>
          </w:p>
        </w:tc>
        <w:tc>
          <w:tcPr>
            <w:tcW w:w="2064" w:type="dxa"/>
          </w:tcPr>
          <w:p>
            <w:pPr>
              <w:pStyle w:val="TableParagraph"/>
              <w:spacing w:line="256" w:lineRule="auto" w:before="146"/>
              <w:ind w:left="300" w:right="148"/>
              <w:rPr>
                <w:sz w:val="21"/>
              </w:rPr>
            </w:pPr>
            <w:r>
              <w:rPr>
                <w:rFonts w:ascii="Times New Roman" w:eastAsia="Times New Roman"/>
                <w:sz w:val="21"/>
              </w:rPr>
              <w:t>(</w:t>
            </w:r>
            <w:r>
              <w:rPr>
                <w:sz w:val="21"/>
              </w:rPr>
              <w:t>二</w:t>
            </w:r>
            <w:r>
              <w:rPr>
                <w:rFonts w:ascii="Times New Roman" w:eastAsia="Times New Roman"/>
                <w:sz w:val="21"/>
              </w:rPr>
              <w:t>)</w:t>
            </w:r>
            <w:r>
              <w:rPr>
                <w:sz w:val="21"/>
              </w:rPr>
              <w:t>脑脊膜和脑恶性肿瘤</w:t>
            </w:r>
          </w:p>
        </w:tc>
        <w:tc>
          <w:tcPr>
            <w:tcW w:w="7309" w:type="dxa"/>
          </w:tcPr>
          <w:p>
            <w:pPr>
              <w:pStyle w:val="TableParagraph"/>
              <w:spacing w:before="146"/>
              <w:ind w:left="142"/>
              <w:rPr>
                <w:sz w:val="21"/>
              </w:rPr>
            </w:pPr>
            <w:r>
              <w:rPr>
                <w:sz w:val="21"/>
              </w:rPr>
              <w:t>指原发于脑部的恶性肿瘤，需符合恶性肿瘤定义，并且国际疾病分类</w:t>
            </w:r>
          </w:p>
          <w:p>
            <w:pPr>
              <w:pStyle w:val="TableParagraph"/>
              <w:ind w:left="142"/>
              <w:rPr>
                <w:sz w:val="21"/>
              </w:rPr>
            </w:pPr>
            <w:r>
              <w:rPr>
                <w:sz w:val="21"/>
              </w:rPr>
              <w:t>（ICD-10）编码主码在C70-71范围内。</w:t>
            </w:r>
          </w:p>
        </w:tc>
      </w:tr>
      <w:tr>
        <w:trPr>
          <w:trHeight w:val="2443" w:hRule="atLeast"/>
        </w:trPr>
        <w:tc>
          <w:tcPr>
            <w:tcW w:w="817" w:type="dxa"/>
          </w:tcPr>
          <w:p>
            <w:pPr>
              <w:pStyle w:val="TableParagraph"/>
              <w:spacing w:before="0"/>
              <w:ind w:left="0"/>
              <w:rPr>
                <w:rFonts w:ascii="Times New Roman"/>
                <w:sz w:val="20"/>
              </w:rPr>
            </w:pPr>
          </w:p>
        </w:tc>
        <w:tc>
          <w:tcPr>
            <w:tcW w:w="2064" w:type="dxa"/>
          </w:tcPr>
          <w:p>
            <w:pPr>
              <w:pStyle w:val="TableParagraph"/>
              <w:spacing w:before="146"/>
              <w:ind w:left="300"/>
              <w:rPr>
                <w:sz w:val="21"/>
              </w:rPr>
            </w:pPr>
            <w:r>
              <w:rPr>
                <w:rFonts w:ascii="Times New Roman" w:eastAsia="Times New Roman"/>
                <w:sz w:val="21"/>
              </w:rPr>
              <w:t>(</w:t>
            </w:r>
            <w:r>
              <w:rPr>
                <w:sz w:val="21"/>
              </w:rPr>
              <w:t>三</w:t>
            </w:r>
            <w:r>
              <w:rPr>
                <w:rFonts w:ascii="Times New Roman" w:eastAsia="Times New Roman"/>
                <w:sz w:val="21"/>
              </w:rPr>
              <w:t>)</w:t>
            </w:r>
            <w:r>
              <w:rPr>
                <w:sz w:val="21"/>
              </w:rPr>
              <w:t>白血病</w:t>
            </w:r>
          </w:p>
        </w:tc>
        <w:tc>
          <w:tcPr>
            <w:tcW w:w="7309" w:type="dxa"/>
          </w:tcPr>
          <w:p>
            <w:pPr>
              <w:pStyle w:val="TableParagraph"/>
              <w:spacing w:line="314" w:lineRule="auto" w:before="170"/>
              <w:ind w:left="75" w:right="310"/>
              <w:jc w:val="both"/>
              <w:rPr>
                <w:sz w:val="21"/>
              </w:rPr>
            </w:pPr>
            <w:r>
              <w:rPr>
                <w:spacing w:val="-5"/>
                <w:sz w:val="21"/>
              </w:rPr>
              <w:t>是一种造血系统的恶性肿瘤，其主要表现为白血病细胞在骨髓或其他造血组</w:t>
            </w:r>
            <w:r>
              <w:rPr>
                <w:spacing w:val="-6"/>
                <w:sz w:val="21"/>
              </w:rPr>
              <w:t>织中进行性、失控制的异常增生，并浸润至其他组织与器官，使正常血细胞</w:t>
            </w:r>
            <w:r>
              <w:rPr>
                <w:spacing w:val="-7"/>
                <w:sz w:val="21"/>
              </w:rPr>
              <w:t>生成减少，周围白细胞有质和量的变化，产生相应临床表现。被保险人所患白血病必须根据骨髓的活组织检查和周围血象由专科</w:t>
            </w:r>
            <w:r>
              <w:rPr>
                <w:sz w:val="21"/>
              </w:rPr>
              <w:t>（</w:t>
            </w:r>
            <w:r>
              <w:rPr>
                <w:spacing w:val="-4"/>
                <w:sz w:val="21"/>
              </w:rPr>
              <w:t>儿科、血液科或肿瘤科）</w:t>
            </w:r>
            <w:r>
              <w:rPr>
                <w:spacing w:val="-5"/>
                <w:sz w:val="21"/>
              </w:rPr>
              <w:t>医生确诊，国际疾病分类</w:t>
            </w:r>
            <w:r>
              <w:rPr>
                <w:sz w:val="21"/>
              </w:rPr>
              <w:t>（ICD-10）</w:t>
            </w:r>
            <w:r>
              <w:rPr>
                <w:spacing w:val="-9"/>
                <w:sz w:val="21"/>
              </w:rPr>
              <w:t>编码主码在 </w:t>
            </w:r>
            <w:r>
              <w:rPr>
                <w:sz w:val="21"/>
              </w:rPr>
              <w:t>C90-95</w:t>
            </w:r>
            <w:r>
              <w:rPr>
                <w:spacing w:val="-9"/>
                <w:sz w:val="21"/>
              </w:rPr>
              <w:t> 范围内。</w:t>
            </w:r>
          </w:p>
          <w:p>
            <w:pPr>
              <w:pStyle w:val="TableParagraph"/>
              <w:spacing w:line="271" w:lineRule="exact" w:before="0"/>
              <w:ind w:left="142"/>
              <w:jc w:val="both"/>
              <w:rPr>
                <w:b/>
                <w:sz w:val="21"/>
              </w:rPr>
            </w:pPr>
            <w:r>
              <w:rPr>
                <w:b/>
                <w:sz w:val="21"/>
              </w:rPr>
              <w:t>下列白血病除外：相当于Binet分期方案A期程度的慢性淋巴细胞白血病。</w:t>
            </w:r>
          </w:p>
        </w:tc>
      </w:tr>
      <w:tr>
        <w:trPr>
          <w:trHeight w:val="2250" w:hRule="atLeast"/>
        </w:trPr>
        <w:tc>
          <w:tcPr>
            <w:tcW w:w="817" w:type="dxa"/>
          </w:tcPr>
          <w:p>
            <w:pPr>
              <w:pStyle w:val="TableParagraph"/>
              <w:spacing w:before="0"/>
              <w:ind w:left="0"/>
              <w:rPr>
                <w:rFonts w:ascii="Times New Roman"/>
                <w:sz w:val="20"/>
              </w:rPr>
            </w:pPr>
          </w:p>
        </w:tc>
        <w:tc>
          <w:tcPr>
            <w:tcW w:w="2064" w:type="dxa"/>
          </w:tcPr>
          <w:p>
            <w:pPr>
              <w:pStyle w:val="TableParagraph"/>
              <w:spacing w:before="170"/>
              <w:ind w:left="300"/>
              <w:rPr>
                <w:sz w:val="21"/>
              </w:rPr>
            </w:pPr>
            <w:r>
              <w:rPr>
                <w:rFonts w:ascii="Times New Roman" w:eastAsia="Times New Roman"/>
                <w:sz w:val="21"/>
              </w:rPr>
              <w:t>(</w:t>
            </w:r>
            <w:r>
              <w:rPr>
                <w:sz w:val="21"/>
              </w:rPr>
              <w:t>四</w:t>
            </w:r>
            <w:r>
              <w:rPr>
                <w:rFonts w:ascii="Times New Roman" w:eastAsia="Times New Roman"/>
                <w:sz w:val="21"/>
              </w:rPr>
              <w:t>)  </w:t>
            </w:r>
            <w:r>
              <w:rPr>
                <w:sz w:val="21"/>
              </w:rPr>
              <w:t>严重心肌炎</w:t>
            </w:r>
          </w:p>
        </w:tc>
        <w:tc>
          <w:tcPr>
            <w:tcW w:w="7309" w:type="dxa"/>
          </w:tcPr>
          <w:p>
            <w:pPr>
              <w:pStyle w:val="TableParagraph"/>
              <w:spacing w:line="273" w:lineRule="auto" w:before="170"/>
              <w:ind w:left="142" w:right="440"/>
              <w:rPr>
                <w:sz w:val="21"/>
              </w:rPr>
            </w:pPr>
            <w:r>
              <w:rPr>
                <w:sz w:val="21"/>
              </w:rPr>
              <w:t>指被保险人因严重心肌炎性病变导致心功能损害造成持续的永久不可逆性的心功能衰竭。必须满足所有以下条件：</w:t>
            </w:r>
          </w:p>
          <w:p>
            <w:pPr>
              <w:pStyle w:val="TableParagraph"/>
              <w:spacing w:line="273" w:lineRule="auto" w:before="8"/>
              <w:ind w:left="142" w:right="196"/>
              <w:rPr>
                <w:sz w:val="21"/>
              </w:rPr>
            </w:pPr>
            <w:r>
              <w:rPr>
                <w:spacing w:val="-26"/>
                <w:sz w:val="21"/>
              </w:rPr>
              <w:t>（1）</w:t>
            </w:r>
            <w:r>
              <w:rPr>
                <w:spacing w:val="-5"/>
                <w:sz w:val="21"/>
              </w:rPr>
              <w:t>心功能衰竭程度达到纽约心脏病学会的心功能分级标准之心功能</w:t>
            </w:r>
            <w:r>
              <w:rPr>
                <w:sz w:val="21"/>
              </w:rPr>
              <w:t>IV级， </w:t>
            </w:r>
            <w:r>
              <w:rPr>
                <w:spacing w:val="-2"/>
                <w:sz w:val="21"/>
              </w:rPr>
              <w:t>或左室射血分数低于</w:t>
            </w:r>
            <w:r>
              <w:rPr>
                <w:sz w:val="21"/>
              </w:rPr>
              <w:t>30%；</w:t>
            </w:r>
          </w:p>
          <w:p>
            <w:pPr>
              <w:pStyle w:val="TableParagraph"/>
              <w:spacing w:before="7"/>
              <w:ind w:left="142"/>
              <w:rPr>
                <w:sz w:val="21"/>
              </w:rPr>
            </w:pPr>
            <w:r>
              <w:rPr>
                <w:sz w:val="21"/>
              </w:rPr>
              <w:t>（2）持续不间断180天以上；</w:t>
            </w:r>
          </w:p>
          <w:p>
            <w:pPr>
              <w:pStyle w:val="TableParagraph"/>
              <w:spacing w:before="61"/>
              <w:ind w:left="75"/>
              <w:rPr>
                <w:sz w:val="21"/>
              </w:rPr>
            </w:pPr>
            <w:r>
              <w:rPr>
                <w:sz w:val="21"/>
              </w:rPr>
              <w:t>（</w:t>
            </w:r>
            <w:r>
              <w:rPr>
                <w:rFonts w:ascii="Times New Roman" w:eastAsia="Times New Roman"/>
                <w:sz w:val="21"/>
              </w:rPr>
              <w:t>3</w:t>
            </w:r>
            <w:r>
              <w:rPr>
                <w:sz w:val="21"/>
              </w:rPr>
              <w:t>）被保险人永久不可逆性的体力活动能力受限，不能从事任何体力活动。</w:t>
            </w:r>
          </w:p>
        </w:tc>
      </w:tr>
      <w:tr>
        <w:trPr>
          <w:trHeight w:val="438" w:hRule="atLeast"/>
        </w:trPr>
        <w:tc>
          <w:tcPr>
            <w:tcW w:w="817" w:type="dxa"/>
          </w:tcPr>
          <w:p>
            <w:pPr>
              <w:pStyle w:val="TableParagraph"/>
              <w:spacing w:before="0"/>
              <w:ind w:left="0"/>
              <w:rPr>
                <w:rFonts w:ascii="Times New Roman"/>
                <w:sz w:val="20"/>
              </w:rPr>
            </w:pPr>
          </w:p>
        </w:tc>
        <w:tc>
          <w:tcPr>
            <w:tcW w:w="2064" w:type="dxa"/>
          </w:tcPr>
          <w:p>
            <w:pPr>
              <w:pStyle w:val="TableParagraph"/>
              <w:spacing w:line="271" w:lineRule="exact" w:before="147"/>
              <w:ind w:left="300"/>
              <w:rPr>
                <w:sz w:val="21"/>
              </w:rPr>
            </w:pPr>
            <w:r>
              <w:rPr>
                <w:rFonts w:ascii="Times New Roman" w:eastAsia="Times New Roman"/>
                <w:sz w:val="21"/>
              </w:rPr>
              <w:t>(</w:t>
            </w:r>
            <w:r>
              <w:rPr>
                <w:sz w:val="21"/>
              </w:rPr>
              <w:t>五</w:t>
            </w:r>
            <w:r>
              <w:rPr>
                <w:rFonts w:ascii="Times New Roman" w:eastAsia="Times New Roman"/>
                <w:sz w:val="21"/>
              </w:rPr>
              <w:t>)</w:t>
            </w:r>
            <w:r>
              <w:rPr>
                <w:sz w:val="21"/>
              </w:rPr>
              <w:t>严重慢性缩窄</w:t>
            </w:r>
          </w:p>
        </w:tc>
        <w:tc>
          <w:tcPr>
            <w:tcW w:w="7309" w:type="dxa"/>
          </w:tcPr>
          <w:p>
            <w:pPr>
              <w:pStyle w:val="TableParagraph"/>
              <w:spacing w:line="271" w:lineRule="exact" w:before="147"/>
              <w:ind w:left="142"/>
              <w:rPr>
                <w:sz w:val="21"/>
              </w:rPr>
            </w:pPr>
            <w:r>
              <w:rPr>
                <w:sz w:val="21"/>
              </w:rPr>
              <w:t>由于慢性心包炎症导致心包脏层和壁层广泛瘢痕粘连、增厚和钙化，心包腔</w:t>
            </w:r>
          </w:p>
        </w:tc>
      </w:tr>
    </w:tbl>
    <w:p>
      <w:pPr>
        <w:spacing w:after="0" w:line="271" w:lineRule="exact"/>
        <w:rPr>
          <w:sz w:val="21"/>
        </w:rPr>
        <w:sectPr>
          <w:pgSz w:w="11910" w:h="16840"/>
          <w:pgMar w:header="496" w:footer="995" w:top="800" w:bottom="1180" w:left="760" w:right="720"/>
        </w:sectPr>
      </w:pPr>
    </w:p>
    <w:p>
      <w:pPr>
        <w:pStyle w:val="BodyText"/>
        <w:rPr>
          <w:rFonts w:ascii="Times New Roman"/>
          <w:sz w:val="20"/>
        </w:rPr>
      </w:pPr>
    </w:p>
    <w:p>
      <w:pPr>
        <w:pStyle w:val="BodyText"/>
        <w:spacing w:before="9" w:after="1"/>
        <w:rPr>
          <w:rFonts w:ascii="Times New Roman"/>
          <w:sz w:val="12"/>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5"/>
        <w:gridCol w:w="7276"/>
      </w:tblGrid>
      <w:tr>
        <w:trPr>
          <w:trHeight w:val="2599" w:hRule="atLeast"/>
        </w:trPr>
        <w:tc>
          <w:tcPr>
            <w:tcW w:w="1995" w:type="dxa"/>
          </w:tcPr>
          <w:p>
            <w:pPr>
              <w:pStyle w:val="TableParagraph"/>
              <w:spacing w:line="211" w:lineRule="exact" w:before="0"/>
              <w:ind w:left="200"/>
              <w:rPr>
                <w:sz w:val="21"/>
              </w:rPr>
            </w:pPr>
            <w:r>
              <w:rPr>
                <w:sz w:val="21"/>
              </w:rPr>
              <w:t>型心包炎</w:t>
            </w:r>
          </w:p>
        </w:tc>
        <w:tc>
          <w:tcPr>
            <w:tcW w:w="7276" w:type="dxa"/>
          </w:tcPr>
          <w:p>
            <w:pPr>
              <w:pStyle w:val="TableParagraph"/>
              <w:spacing w:line="211" w:lineRule="exact" w:before="0"/>
              <w:rPr>
                <w:sz w:val="21"/>
              </w:rPr>
            </w:pPr>
            <w:r>
              <w:rPr>
                <w:sz w:val="21"/>
              </w:rPr>
              <w:t>闭塞，形成一个纤维瘢痕外壳，使心脏和大血管根部受压，阻碍心脏的舒张。</w:t>
            </w:r>
          </w:p>
          <w:p>
            <w:pPr>
              <w:pStyle w:val="TableParagraph"/>
              <w:spacing w:line="273" w:lineRule="auto"/>
              <w:ind w:right="438"/>
              <w:rPr>
                <w:sz w:val="21"/>
              </w:rPr>
            </w:pPr>
            <w:r>
              <w:rPr>
                <w:sz w:val="21"/>
              </w:rPr>
              <w:t>被保险人被本公司认可的专科医生明确诊断为慢性缩窄性心包炎且必须满足以下所有条件：</w:t>
            </w:r>
          </w:p>
          <w:p>
            <w:pPr>
              <w:pStyle w:val="TableParagraph"/>
              <w:spacing w:line="273" w:lineRule="auto" w:before="7"/>
              <w:ind w:right="231"/>
              <w:rPr>
                <w:sz w:val="21"/>
              </w:rPr>
            </w:pPr>
            <w:r>
              <w:rPr>
                <w:sz w:val="21"/>
              </w:rPr>
              <w:t>（1）心功能衰竭达到美国纽约心脏病学会心功能状态分级IV级，并持续180 天以上；</w:t>
            </w:r>
          </w:p>
          <w:p>
            <w:pPr>
              <w:pStyle w:val="TableParagraph"/>
              <w:spacing w:line="273" w:lineRule="auto" w:before="7"/>
              <w:ind w:right="755"/>
              <w:rPr>
                <w:sz w:val="21"/>
              </w:rPr>
            </w:pPr>
            <w:r>
              <w:rPr>
                <w:sz w:val="21"/>
              </w:rPr>
              <w:t>（2）实际接受了以下任何一种手术路径的心包剥脱或心包切除手术； 胸骨正中切口；双侧前胸切口；左前胸肋间切口。</w:t>
            </w:r>
          </w:p>
          <w:p>
            <w:pPr>
              <w:pStyle w:val="TableParagraph"/>
              <w:spacing w:before="7"/>
              <w:rPr>
                <w:sz w:val="21"/>
              </w:rPr>
            </w:pPr>
            <w:r>
              <w:rPr>
                <w:sz w:val="21"/>
              </w:rPr>
              <w:t>经胸腔镜、胸壁打孔进行的手术、心包粘连松解手术不在保障范围内。</w:t>
            </w:r>
          </w:p>
        </w:tc>
      </w:tr>
      <w:tr>
        <w:trPr>
          <w:trHeight w:val="2184" w:hRule="atLeast"/>
        </w:trPr>
        <w:tc>
          <w:tcPr>
            <w:tcW w:w="1995" w:type="dxa"/>
          </w:tcPr>
          <w:p>
            <w:pPr>
              <w:pStyle w:val="TableParagraph"/>
              <w:spacing w:line="256" w:lineRule="auto" w:before="146"/>
              <w:ind w:left="200" w:right="285"/>
              <w:rPr>
                <w:sz w:val="21"/>
              </w:rPr>
            </w:pPr>
            <w:r>
              <w:rPr>
                <w:rFonts w:ascii="Times New Roman" w:eastAsia="Times New Roman"/>
                <w:sz w:val="21"/>
              </w:rPr>
              <w:t>(</w:t>
            </w:r>
            <w:r>
              <w:rPr>
                <w:sz w:val="21"/>
              </w:rPr>
              <w:t>六</w:t>
            </w:r>
            <w:r>
              <w:rPr>
                <w:rFonts w:ascii="Times New Roman" w:eastAsia="Times New Roman"/>
                <w:sz w:val="21"/>
              </w:rPr>
              <w:t>) </w:t>
            </w:r>
            <w:r>
              <w:rPr>
                <w:sz w:val="21"/>
              </w:rPr>
              <w:t>全身性重症肌无力</w:t>
            </w:r>
          </w:p>
        </w:tc>
        <w:tc>
          <w:tcPr>
            <w:tcW w:w="7276" w:type="dxa"/>
          </w:tcPr>
          <w:p>
            <w:pPr>
              <w:pStyle w:val="TableParagraph"/>
              <w:spacing w:line="273" w:lineRule="auto" w:before="146"/>
              <w:ind w:right="307"/>
              <w:jc w:val="both"/>
              <w:rPr>
                <w:sz w:val="21"/>
              </w:rPr>
            </w:pPr>
            <w:r>
              <w:rPr>
                <w:spacing w:val="-8"/>
                <w:sz w:val="21"/>
              </w:rPr>
              <w:t>重症肌无力是一种神经肌肉接头传递障碍所致的疾病，表现为局部或全身骨</w:t>
            </w:r>
            <w:r>
              <w:rPr>
                <w:spacing w:val="-14"/>
                <w:sz w:val="21"/>
              </w:rPr>
              <w:t>骼肌</w:t>
            </w:r>
            <w:r>
              <w:rPr>
                <w:sz w:val="21"/>
              </w:rPr>
              <w:t>（</w:t>
            </w:r>
            <w:r>
              <w:rPr>
                <w:spacing w:val="-3"/>
                <w:sz w:val="21"/>
              </w:rPr>
              <w:t>特别是眼外肌</w:t>
            </w:r>
            <w:r>
              <w:rPr>
                <w:spacing w:val="-20"/>
                <w:sz w:val="21"/>
              </w:rPr>
              <w:t>）</w:t>
            </w:r>
            <w:r>
              <w:rPr>
                <w:spacing w:val="-7"/>
                <w:sz w:val="21"/>
              </w:rPr>
              <w:t>极易疲劳。疾病可以累及呼吸肌、上肢或下肢的近端</w:t>
            </w:r>
            <w:r>
              <w:rPr>
                <w:spacing w:val="-6"/>
                <w:sz w:val="21"/>
              </w:rPr>
              <w:t>肌群或全身肌肉，必须满足下列全部条件：</w:t>
            </w:r>
          </w:p>
          <w:p>
            <w:pPr>
              <w:pStyle w:val="TableParagraph"/>
              <w:spacing w:before="7"/>
              <w:rPr>
                <w:sz w:val="21"/>
              </w:rPr>
            </w:pPr>
            <w:r>
              <w:rPr>
                <w:sz w:val="21"/>
              </w:rPr>
              <w:t>（1）经药物治疗和胸腺切除治疗一年以上仍无法控制病情；</w:t>
            </w:r>
          </w:p>
          <w:p>
            <w:pPr>
              <w:pStyle w:val="TableParagraph"/>
              <w:spacing w:line="259" w:lineRule="auto" w:before="36"/>
              <w:ind w:right="337"/>
              <w:jc w:val="both"/>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tc>
      </w:tr>
      <w:tr>
        <w:trPr>
          <w:trHeight w:val="2184" w:hRule="atLeast"/>
        </w:trPr>
        <w:tc>
          <w:tcPr>
            <w:tcW w:w="1995" w:type="dxa"/>
          </w:tcPr>
          <w:p>
            <w:pPr>
              <w:pStyle w:val="TableParagraph"/>
              <w:spacing w:before="146"/>
              <w:ind w:left="200"/>
              <w:rPr>
                <w:sz w:val="21"/>
              </w:rPr>
            </w:pPr>
            <w:r>
              <w:rPr>
                <w:rFonts w:ascii="Times New Roman" w:eastAsia="Times New Roman"/>
                <w:sz w:val="21"/>
              </w:rPr>
              <w:t>(</w:t>
            </w:r>
            <w:r>
              <w:rPr>
                <w:sz w:val="21"/>
              </w:rPr>
              <w:t>七</w:t>
            </w:r>
            <w:r>
              <w:rPr>
                <w:rFonts w:ascii="Times New Roman" w:eastAsia="Times New Roman"/>
                <w:sz w:val="21"/>
              </w:rPr>
              <w:t>)  </w:t>
            </w:r>
            <w:r>
              <w:rPr>
                <w:sz w:val="21"/>
              </w:rPr>
              <w:t>脊髓灰质炎</w:t>
            </w:r>
          </w:p>
        </w:tc>
        <w:tc>
          <w:tcPr>
            <w:tcW w:w="7276" w:type="dxa"/>
          </w:tcPr>
          <w:p>
            <w:pPr>
              <w:pStyle w:val="TableParagraph"/>
              <w:spacing w:line="273" w:lineRule="auto" w:before="146"/>
              <w:ind w:right="309"/>
              <w:rPr>
                <w:sz w:val="21"/>
              </w:rPr>
            </w:pPr>
            <w:r>
              <w:rPr>
                <w:spacing w:val="-8"/>
                <w:sz w:val="21"/>
              </w:rPr>
              <w:t>脊髓灰质炎是由于脊髓灰质炎病毒感染所致的瘫痪性疾病，临床表现为运动</w:t>
            </w:r>
            <w:r>
              <w:rPr>
                <w:spacing w:val="-6"/>
                <w:sz w:val="21"/>
              </w:rPr>
              <w:t>功能损害或呼吸无力。脊髓灰质炎必须明确诊断。</w:t>
            </w:r>
          </w:p>
          <w:p>
            <w:pPr>
              <w:pStyle w:val="TableParagraph"/>
              <w:spacing w:line="273" w:lineRule="auto" w:before="8"/>
              <w:ind w:right="307"/>
              <w:rPr>
                <w:sz w:val="21"/>
              </w:rPr>
            </w:pPr>
            <w:r>
              <w:rPr>
                <w:spacing w:val="-5"/>
                <w:sz w:val="21"/>
              </w:rPr>
              <w:t>本保单仅对脊髓灰质炎造成的神经系统功能损害导致被保险人一肢或一肢</w:t>
            </w:r>
            <w:r>
              <w:rPr>
                <w:spacing w:val="-9"/>
                <w:sz w:val="21"/>
              </w:rPr>
              <w:t>以上肢体机能永久完全丧失的情况予以理赔。肢体机能永久完全丧失，指疾病确诊180</w:t>
            </w:r>
            <w:r>
              <w:rPr>
                <w:spacing w:val="-7"/>
                <w:sz w:val="21"/>
              </w:rPr>
              <w:t> 天后，每肢三大关节中的两大关节仍然完全僵硬，或不能随意识活动。</w:t>
            </w:r>
          </w:p>
        </w:tc>
      </w:tr>
      <w:tr>
        <w:trPr>
          <w:trHeight w:val="4369" w:hRule="atLeast"/>
        </w:trPr>
        <w:tc>
          <w:tcPr>
            <w:tcW w:w="1995" w:type="dxa"/>
          </w:tcPr>
          <w:p>
            <w:pPr>
              <w:pStyle w:val="TableParagraph"/>
              <w:spacing w:line="256" w:lineRule="auto" w:before="146"/>
              <w:ind w:left="200" w:right="180"/>
              <w:rPr>
                <w:sz w:val="21"/>
              </w:rPr>
            </w:pPr>
            <w:r>
              <w:rPr>
                <w:rFonts w:ascii="Times New Roman" w:eastAsia="Times New Roman"/>
                <w:sz w:val="21"/>
              </w:rPr>
              <w:t>(</w:t>
            </w:r>
            <w:r>
              <w:rPr>
                <w:sz w:val="21"/>
              </w:rPr>
              <w:t>八</w:t>
            </w:r>
            <w:r>
              <w:rPr>
                <w:rFonts w:ascii="Times New Roman" w:eastAsia="Times New Roman"/>
                <w:sz w:val="21"/>
              </w:rPr>
              <w:t>)</w:t>
            </w:r>
            <w:r>
              <w:rPr>
                <w:sz w:val="21"/>
              </w:rPr>
              <w:t>疾病或外伤所致智力障碍</w:t>
            </w:r>
          </w:p>
        </w:tc>
        <w:tc>
          <w:tcPr>
            <w:tcW w:w="7276" w:type="dxa"/>
          </w:tcPr>
          <w:p>
            <w:pPr>
              <w:pStyle w:val="TableParagraph"/>
              <w:spacing w:line="273" w:lineRule="auto" w:before="146"/>
              <w:ind w:right="197"/>
              <w:rPr>
                <w:sz w:val="21"/>
              </w:rPr>
            </w:pPr>
            <w:r>
              <w:rPr>
                <w:spacing w:val="-5"/>
                <w:sz w:val="21"/>
              </w:rPr>
              <w:t>因严重头部创伤或疾病造成被保险人智力低下或智力残疾。根据智商</w:t>
            </w:r>
            <w:r>
              <w:rPr>
                <w:sz w:val="21"/>
              </w:rPr>
              <w:t>（IQ） </w:t>
            </w:r>
            <w:r>
              <w:rPr>
                <w:spacing w:val="-3"/>
                <w:sz w:val="21"/>
              </w:rPr>
              <w:t>智力低下分为轻度</w:t>
            </w:r>
            <w:r>
              <w:rPr>
                <w:sz w:val="21"/>
              </w:rPr>
              <w:t>（IQ50-69)</w:t>
            </w:r>
            <w:r>
              <w:rPr>
                <w:spacing w:val="-6"/>
                <w:sz w:val="21"/>
              </w:rPr>
              <w:t>；中度</w:t>
            </w:r>
            <w:r>
              <w:rPr>
                <w:spacing w:val="-4"/>
                <w:sz w:val="21"/>
              </w:rPr>
              <w:t>（IQ35-49）</w:t>
            </w:r>
            <w:r>
              <w:rPr>
                <w:spacing w:val="-7"/>
                <w:sz w:val="21"/>
              </w:rPr>
              <w:t>；重度</w:t>
            </w:r>
            <w:r>
              <w:rPr>
                <w:spacing w:val="-3"/>
                <w:sz w:val="21"/>
              </w:rPr>
              <w:t>（IQ20-34）</w:t>
            </w:r>
            <w:r>
              <w:rPr>
                <w:sz w:val="21"/>
              </w:rPr>
              <w:t>和极重</w:t>
            </w:r>
            <w:r>
              <w:rPr>
                <w:spacing w:val="-24"/>
                <w:sz w:val="21"/>
              </w:rPr>
              <w:t>度</w:t>
            </w:r>
            <w:r>
              <w:rPr>
                <w:spacing w:val="-5"/>
                <w:sz w:val="21"/>
              </w:rPr>
              <w:t>（IQ&lt;20）</w:t>
            </w:r>
            <w:r>
              <w:rPr>
                <w:spacing w:val="-7"/>
                <w:sz w:val="21"/>
              </w:rPr>
              <w:t>。智商的检测须由本公司认可的医院的儿童或成人精神卫生科、</w:t>
            </w:r>
            <w:r>
              <w:rPr>
                <w:spacing w:val="-12"/>
                <w:sz w:val="21"/>
              </w:rPr>
              <w:t>心理科或神经科专科医生进行。根据被保险人年龄采用对应的智力量表如韦</w:t>
            </w:r>
            <w:r>
              <w:rPr>
                <w:spacing w:val="-9"/>
                <w:sz w:val="21"/>
              </w:rPr>
              <w:t>克斯勒智力量表</w:t>
            </w:r>
            <w:r>
              <w:rPr>
                <w:sz w:val="21"/>
              </w:rPr>
              <w:t>（</w:t>
            </w:r>
            <w:r>
              <w:rPr>
                <w:spacing w:val="-5"/>
                <w:sz w:val="21"/>
              </w:rPr>
              <w:t>儿童智力量表或成人智力量表</w:t>
            </w:r>
            <w:r>
              <w:rPr>
                <w:sz w:val="21"/>
              </w:rPr>
              <w:t>）。</w:t>
            </w:r>
          </w:p>
          <w:p>
            <w:pPr>
              <w:pStyle w:val="TableParagraph"/>
              <w:spacing w:before="8"/>
              <w:rPr>
                <w:sz w:val="21"/>
              </w:rPr>
            </w:pPr>
            <w:r>
              <w:rPr>
                <w:sz w:val="21"/>
              </w:rPr>
              <w:t>理赔时必须满足下列全部条件：</w:t>
            </w:r>
          </w:p>
          <w:p>
            <w:pPr>
              <w:pStyle w:val="TableParagraph"/>
              <w:spacing w:line="273" w:lineRule="auto"/>
              <w:ind w:right="335"/>
              <w:rPr>
                <w:sz w:val="21"/>
              </w:rPr>
            </w:pPr>
            <w:r>
              <w:rPr>
                <w:sz w:val="21"/>
              </w:rPr>
              <w:t>（1）造成被保险人智力低下或智力残疾的严重头部创伤或疾病（以诊断日期为准）发生在被保险人六周岁以后；</w:t>
            </w:r>
          </w:p>
          <w:p>
            <w:pPr>
              <w:pStyle w:val="TableParagraph"/>
              <w:spacing w:line="273" w:lineRule="auto" w:before="7"/>
              <w:ind w:right="337"/>
              <w:rPr>
                <w:sz w:val="21"/>
              </w:rPr>
            </w:pPr>
            <w:r>
              <w:rPr>
                <w:sz w:val="21"/>
              </w:rPr>
              <w:t>（2）本公司认可医院的专科医生确诊被保险人由于严重头部创伤或疾病造成智力低下或智力残疾；</w:t>
            </w:r>
          </w:p>
          <w:p>
            <w:pPr>
              <w:pStyle w:val="TableParagraph"/>
              <w:spacing w:line="273" w:lineRule="auto" w:before="7"/>
              <w:ind w:right="126"/>
              <w:rPr>
                <w:sz w:val="21"/>
              </w:rPr>
            </w:pPr>
            <w:r>
              <w:rPr>
                <w:sz w:val="21"/>
              </w:rPr>
              <w:t>（3）本公司认可医院的儿童或成人精神卫生科、心理科或神经科专科医生做的检测证实被保险人智力低下或智力残疾（轻度、中度、重度或极重度）；</w:t>
            </w:r>
          </w:p>
          <w:p>
            <w:pPr>
              <w:pStyle w:val="TableParagraph"/>
              <w:spacing w:before="8"/>
              <w:rPr>
                <w:sz w:val="21"/>
              </w:rPr>
            </w:pPr>
            <w:r>
              <w:rPr>
                <w:sz w:val="21"/>
              </w:rPr>
              <w:t>（4）被保险人的智力低下或智力残疾自确诊日起持续180天以上。</w:t>
            </w:r>
          </w:p>
        </w:tc>
      </w:tr>
      <w:tr>
        <w:trPr>
          <w:trHeight w:val="2187" w:hRule="atLeast"/>
        </w:trPr>
        <w:tc>
          <w:tcPr>
            <w:tcW w:w="1995" w:type="dxa"/>
          </w:tcPr>
          <w:p>
            <w:pPr>
              <w:pStyle w:val="TableParagraph"/>
              <w:spacing w:before="146"/>
              <w:ind w:left="200"/>
              <w:rPr>
                <w:sz w:val="21"/>
              </w:rPr>
            </w:pPr>
            <w:r>
              <w:rPr>
                <w:rFonts w:ascii="Times New Roman" w:eastAsia="Times New Roman"/>
                <w:sz w:val="21"/>
              </w:rPr>
              <w:t>(</w:t>
            </w:r>
            <w:r>
              <w:rPr>
                <w:sz w:val="21"/>
              </w:rPr>
              <w:t>九</w:t>
            </w:r>
            <w:r>
              <w:rPr>
                <w:rFonts w:ascii="Times New Roman" w:eastAsia="Times New Roman"/>
                <w:sz w:val="21"/>
              </w:rPr>
              <w:t>)</w:t>
            </w:r>
            <w:r>
              <w:rPr>
                <w:sz w:val="21"/>
              </w:rPr>
              <w:t>严重癫痫</w:t>
            </w:r>
          </w:p>
        </w:tc>
        <w:tc>
          <w:tcPr>
            <w:tcW w:w="7276" w:type="dxa"/>
          </w:tcPr>
          <w:p>
            <w:pPr>
              <w:pStyle w:val="TableParagraph"/>
              <w:spacing w:line="273" w:lineRule="auto" w:before="146"/>
              <w:ind w:right="305"/>
              <w:jc w:val="both"/>
              <w:rPr>
                <w:sz w:val="21"/>
              </w:rPr>
            </w:pPr>
            <w:r>
              <w:rPr>
                <w:spacing w:val="-5"/>
                <w:sz w:val="21"/>
              </w:rPr>
              <w:t>本病的诊断须由神经科医生根据典型临床症状和脑电图及</w:t>
            </w:r>
            <w:r>
              <w:rPr>
                <w:sz w:val="21"/>
              </w:rPr>
              <w:t>MRI、PET、CT</w:t>
            </w:r>
            <w:r>
              <w:rPr>
                <w:spacing w:val="12"/>
                <w:sz w:val="21"/>
              </w:rPr>
              <w:t> 等</w:t>
            </w:r>
            <w:r>
              <w:rPr>
                <w:spacing w:val="-6"/>
                <w:sz w:val="21"/>
              </w:rPr>
              <w:t>影相学检查做出。理赔时必须提供</w:t>
            </w:r>
            <w:r>
              <w:rPr>
                <w:sz w:val="21"/>
              </w:rPr>
              <w:t>6</w:t>
            </w:r>
            <w:r>
              <w:rPr>
                <w:spacing w:val="-2"/>
                <w:sz w:val="21"/>
              </w:rPr>
              <w:t> 个月以上的相关病历记录证明被保险人</w:t>
            </w:r>
            <w:r>
              <w:rPr>
                <w:spacing w:val="-8"/>
                <w:sz w:val="21"/>
              </w:rPr>
              <w:t>存在经抗癫痫药物治疗无效而反复发作的强直阵挛性发作或癫痫大发作，且</w:t>
            </w:r>
            <w:r>
              <w:rPr>
                <w:spacing w:val="-6"/>
                <w:sz w:val="21"/>
              </w:rPr>
              <w:t>已行神经外科手术以治疗反复发作的癫痫。</w:t>
            </w:r>
          </w:p>
          <w:p>
            <w:pPr>
              <w:pStyle w:val="TableParagraph"/>
              <w:spacing w:line="273" w:lineRule="auto" w:before="8"/>
              <w:ind w:right="309"/>
              <w:jc w:val="both"/>
              <w:rPr>
                <w:sz w:val="21"/>
              </w:rPr>
            </w:pPr>
            <w:r>
              <w:rPr>
                <w:spacing w:val="-6"/>
                <w:sz w:val="21"/>
              </w:rPr>
              <w:t>发热性惊厥以及没有全身性发作的失神发作</w:t>
            </w:r>
            <w:r>
              <w:rPr>
                <w:spacing w:val="-5"/>
                <w:sz w:val="21"/>
              </w:rPr>
              <w:t>（</w:t>
            </w:r>
            <w:r>
              <w:rPr>
                <w:spacing w:val="-2"/>
                <w:sz w:val="21"/>
              </w:rPr>
              <w:t>癫痫小发作</w:t>
            </w:r>
            <w:r>
              <w:rPr>
                <w:spacing w:val="-39"/>
                <w:sz w:val="21"/>
              </w:rPr>
              <w:t>）</w:t>
            </w:r>
            <w:r>
              <w:rPr>
                <w:spacing w:val="-3"/>
                <w:sz w:val="21"/>
              </w:rPr>
              <w:t>不在本保障范围内。</w:t>
            </w:r>
          </w:p>
        </w:tc>
      </w:tr>
      <w:tr>
        <w:trPr>
          <w:trHeight w:val="730" w:hRule="atLeast"/>
        </w:trPr>
        <w:tc>
          <w:tcPr>
            <w:tcW w:w="1995" w:type="dxa"/>
          </w:tcPr>
          <w:p>
            <w:pPr>
              <w:pStyle w:val="TableParagraph"/>
              <w:spacing w:line="310" w:lineRule="atLeast" w:before="107"/>
              <w:ind w:left="200" w:right="108"/>
              <w:rPr>
                <w:sz w:val="21"/>
              </w:rPr>
            </w:pPr>
            <w:r>
              <w:rPr>
                <w:sz w:val="21"/>
              </w:rPr>
              <w:t>（十）坏死性筋膜炎</w:t>
            </w:r>
          </w:p>
        </w:tc>
        <w:tc>
          <w:tcPr>
            <w:tcW w:w="7276" w:type="dxa"/>
          </w:tcPr>
          <w:p>
            <w:pPr>
              <w:pStyle w:val="TableParagraph"/>
              <w:spacing w:line="310" w:lineRule="atLeast" w:before="107"/>
              <w:ind w:right="309"/>
              <w:rPr>
                <w:sz w:val="21"/>
              </w:rPr>
            </w:pPr>
            <w:r>
              <w:rPr>
                <w:spacing w:val="-8"/>
                <w:sz w:val="21"/>
              </w:rPr>
              <w:t>是一种由细菌侵入皮下组织和筋膜引起的急性坏死性软组织感染，可伴有毒</w:t>
            </w:r>
            <w:r>
              <w:rPr>
                <w:spacing w:val="-11"/>
                <w:sz w:val="21"/>
              </w:rPr>
              <w:t>血症、败血症、中毒性休克、弥漫性血管内凝血及多器官衰竭。必须满足以</w:t>
            </w:r>
          </w:p>
        </w:tc>
      </w:tr>
    </w:tbl>
    <w:p>
      <w:pPr>
        <w:spacing w:after="0" w:line="310" w:lineRule="atLeast"/>
        <w:rPr>
          <w:sz w:val="21"/>
        </w:rPr>
        <w:sectPr>
          <w:pgSz w:w="11910" w:h="16840"/>
          <w:pgMar w:header="496" w:footer="995" w:top="800" w:bottom="1180" w:left="960" w:right="720"/>
        </w:sectPr>
      </w:pPr>
    </w:p>
    <w:p>
      <w:pPr>
        <w:pStyle w:val="BodyText"/>
        <w:rPr>
          <w:rFonts w:ascii="Times New Roman"/>
          <w:sz w:val="20"/>
        </w:rPr>
      </w:pPr>
    </w:p>
    <w:p>
      <w:pPr>
        <w:pStyle w:val="BodyText"/>
        <w:spacing w:before="9" w:after="1"/>
        <w:rPr>
          <w:rFonts w:ascii="Times New Roman"/>
          <w:sz w:val="1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7"/>
        <w:gridCol w:w="2060"/>
        <w:gridCol w:w="7278"/>
      </w:tblGrid>
      <w:tr>
        <w:trPr>
          <w:trHeight w:val="1358" w:hRule="atLeast"/>
        </w:trPr>
        <w:tc>
          <w:tcPr>
            <w:tcW w:w="817" w:type="dxa"/>
          </w:tcPr>
          <w:p>
            <w:pPr>
              <w:pStyle w:val="TableParagraph"/>
              <w:spacing w:before="0"/>
              <w:ind w:left="0"/>
              <w:rPr>
                <w:rFonts w:ascii="Times New Roman"/>
                <w:sz w:val="20"/>
              </w:rPr>
            </w:pPr>
          </w:p>
        </w:tc>
        <w:tc>
          <w:tcPr>
            <w:tcW w:w="2060" w:type="dxa"/>
          </w:tcPr>
          <w:p>
            <w:pPr>
              <w:pStyle w:val="TableParagraph"/>
              <w:spacing w:before="0"/>
              <w:ind w:left="0"/>
              <w:rPr>
                <w:rFonts w:ascii="Times New Roman"/>
                <w:sz w:val="20"/>
              </w:rPr>
            </w:pPr>
          </w:p>
        </w:tc>
        <w:tc>
          <w:tcPr>
            <w:tcW w:w="7278" w:type="dxa"/>
          </w:tcPr>
          <w:p>
            <w:pPr>
              <w:pStyle w:val="TableParagraph"/>
              <w:spacing w:line="211" w:lineRule="exact" w:before="0"/>
              <w:ind w:left="146"/>
              <w:rPr>
                <w:sz w:val="21"/>
              </w:rPr>
            </w:pPr>
            <w:r>
              <w:rPr>
                <w:sz w:val="21"/>
              </w:rPr>
              <w:t>下所有条件：</w:t>
            </w:r>
          </w:p>
          <w:p>
            <w:pPr>
              <w:pStyle w:val="TableParagraph"/>
              <w:ind w:left="146"/>
              <w:rPr>
                <w:sz w:val="21"/>
              </w:rPr>
            </w:pPr>
            <w:r>
              <w:rPr>
                <w:sz w:val="21"/>
              </w:rPr>
              <w:t>（1）细菌培养和临床表现符合坏死性筋膜炎诊断标准；</w:t>
            </w:r>
          </w:p>
          <w:p>
            <w:pPr>
              <w:pStyle w:val="TableParagraph"/>
              <w:ind w:left="146"/>
              <w:rPr>
                <w:sz w:val="21"/>
              </w:rPr>
            </w:pPr>
            <w:r>
              <w:rPr>
                <w:sz w:val="21"/>
              </w:rPr>
              <w:t>（2）病情迅速恶化，有脓毒血症表现；</w:t>
            </w:r>
          </w:p>
          <w:p>
            <w:pPr>
              <w:pStyle w:val="TableParagraph"/>
              <w:ind w:left="146"/>
              <w:rPr>
                <w:sz w:val="21"/>
              </w:rPr>
            </w:pPr>
            <w:r>
              <w:rPr>
                <w:sz w:val="21"/>
              </w:rPr>
              <w:t>（</w:t>
            </w:r>
            <w:r>
              <w:rPr>
                <w:rFonts w:ascii="Times New Roman" w:eastAsia="Times New Roman"/>
                <w:sz w:val="21"/>
              </w:rPr>
              <w:t>3</w:t>
            </w:r>
            <w:r>
              <w:rPr>
                <w:sz w:val="21"/>
              </w:rPr>
              <w:t>）</w:t>
            </w:r>
            <w:r>
              <w:rPr>
                <w:spacing w:val="-3"/>
                <w:sz w:val="21"/>
              </w:rPr>
              <w:t>受感染肢体被截肢</w:t>
            </w:r>
            <w:r>
              <w:rPr>
                <w:sz w:val="21"/>
              </w:rPr>
              <w:t>（</w:t>
            </w:r>
            <w:r>
              <w:rPr>
                <w:spacing w:val="-4"/>
                <w:sz w:val="21"/>
              </w:rPr>
              <w:t>自腕关节或踝关节近端</w:t>
            </w:r>
            <w:r>
              <w:rPr>
                <w:spacing w:val="-106"/>
                <w:sz w:val="21"/>
              </w:rPr>
              <w:t>）</w:t>
            </w:r>
            <w:r>
              <w:rPr>
                <w:sz w:val="21"/>
              </w:rPr>
              <w:t>。</w:t>
            </w:r>
          </w:p>
        </w:tc>
      </w:tr>
      <w:tr>
        <w:trPr>
          <w:trHeight w:val="1560" w:hRule="atLeast"/>
        </w:trPr>
        <w:tc>
          <w:tcPr>
            <w:tcW w:w="817" w:type="dxa"/>
          </w:tcPr>
          <w:p>
            <w:pPr>
              <w:pStyle w:val="TableParagraph"/>
              <w:spacing w:before="0"/>
              <w:ind w:left="0"/>
              <w:rPr>
                <w:rFonts w:ascii="Times New Roman"/>
                <w:sz w:val="20"/>
              </w:rPr>
            </w:pPr>
          </w:p>
        </w:tc>
        <w:tc>
          <w:tcPr>
            <w:tcW w:w="2060" w:type="dxa"/>
          </w:tcPr>
          <w:p>
            <w:pPr>
              <w:pStyle w:val="TableParagraph"/>
              <w:spacing w:line="256" w:lineRule="auto" w:before="138"/>
              <w:ind w:left="300" w:right="250"/>
              <w:rPr>
                <w:sz w:val="21"/>
              </w:rPr>
            </w:pPr>
            <w:r>
              <w:rPr>
                <w:rFonts w:ascii="Times New Roman" w:eastAsia="Times New Roman"/>
                <w:sz w:val="21"/>
              </w:rPr>
              <w:t>(</w:t>
            </w:r>
            <w:r>
              <w:rPr>
                <w:sz w:val="21"/>
              </w:rPr>
              <w:t>十一</w:t>
            </w:r>
            <w:r>
              <w:rPr>
                <w:rFonts w:ascii="Times New Roman" w:eastAsia="Times New Roman"/>
                <w:sz w:val="21"/>
              </w:rPr>
              <w:t>) </w:t>
            </w:r>
            <w:r>
              <w:rPr>
                <w:sz w:val="21"/>
              </w:rPr>
              <w:t>成骨不全症第三型</w:t>
            </w:r>
          </w:p>
        </w:tc>
        <w:tc>
          <w:tcPr>
            <w:tcW w:w="7278" w:type="dxa"/>
          </w:tcPr>
          <w:p>
            <w:pPr>
              <w:pStyle w:val="TableParagraph"/>
              <w:spacing w:before="138"/>
              <w:ind w:left="146"/>
              <w:rPr>
                <w:sz w:val="21"/>
              </w:rPr>
            </w:pPr>
            <w:r>
              <w:rPr>
                <w:sz w:val="21"/>
              </w:rPr>
              <w:t>成骨不全症第三型须有专科医生明确诊断，同时符合下列所有条件：</w:t>
            </w:r>
          </w:p>
          <w:p>
            <w:pPr>
              <w:pStyle w:val="TableParagraph"/>
              <w:ind w:left="146"/>
              <w:rPr>
                <w:sz w:val="21"/>
              </w:rPr>
            </w:pPr>
            <w:r>
              <w:rPr>
                <w:sz w:val="21"/>
              </w:rPr>
              <w:t>（</w:t>
            </w:r>
            <w:r>
              <w:rPr>
                <w:rFonts w:ascii="Times New Roman" w:eastAsia="Times New Roman"/>
                <w:sz w:val="21"/>
              </w:rPr>
              <w:t>1</w:t>
            </w:r>
            <w:r>
              <w:rPr>
                <w:sz w:val="21"/>
              </w:rPr>
              <w:t>）就成骨不全症第三型之诊断进行的皮肤切片的病理检查结果为阳性；</w:t>
            </w:r>
          </w:p>
          <w:p>
            <w:pPr>
              <w:pStyle w:val="TableParagraph"/>
              <w:spacing w:before="21"/>
              <w:ind w:left="146"/>
              <w:rPr>
                <w:sz w:val="21"/>
              </w:rPr>
            </w:pPr>
            <w:r>
              <w:rPr>
                <w:sz w:val="21"/>
              </w:rPr>
              <w:t>（</w:t>
            </w:r>
            <w:r>
              <w:rPr>
                <w:rFonts w:ascii="Times New Roman" w:eastAsia="Times New Roman"/>
                <w:sz w:val="21"/>
              </w:rPr>
              <w:t>2</w:t>
            </w:r>
            <w:r>
              <w:rPr>
                <w:sz w:val="21"/>
              </w:rPr>
              <w:t>）</w:t>
            </w:r>
            <w:r>
              <w:rPr>
                <w:rFonts w:ascii="Times New Roman" w:eastAsia="Times New Roman"/>
                <w:sz w:val="21"/>
              </w:rPr>
              <w:t>X </w:t>
            </w:r>
            <w:r>
              <w:rPr>
                <w:sz w:val="21"/>
              </w:rPr>
              <w:t>光片结果显示多处骨折及逐步脊柱后侧凸畸形；</w:t>
            </w:r>
          </w:p>
          <w:p>
            <w:pPr>
              <w:pStyle w:val="TableParagraph"/>
              <w:spacing w:before="21"/>
              <w:ind w:left="146"/>
              <w:rPr>
                <w:sz w:val="21"/>
              </w:rPr>
            </w:pPr>
            <w:r>
              <w:rPr>
                <w:sz w:val="21"/>
              </w:rPr>
              <w:t>（</w:t>
            </w:r>
            <w:r>
              <w:rPr>
                <w:rFonts w:ascii="Times New Roman" w:eastAsia="Times New Roman"/>
                <w:sz w:val="21"/>
              </w:rPr>
              <w:t>3</w:t>
            </w:r>
            <w:r>
              <w:rPr>
                <w:sz w:val="21"/>
              </w:rPr>
              <w:t>）有证明是因此疾病引致发育迟缓及听力损伤。</w:t>
            </w:r>
          </w:p>
        </w:tc>
      </w:tr>
      <w:tr>
        <w:trPr>
          <w:trHeight w:val="1552" w:hRule="atLeast"/>
        </w:trPr>
        <w:tc>
          <w:tcPr>
            <w:tcW w:w="817" w:type="dxa"/>
          </w:tcPr>
          <w:p>
            <w:pPr>
              <w:pStyle w:val="TableParagraph"/>
              <w:spacing w:before="0"/>
              <w:ind w:left="0"/>
              <w:rPr>
                <w:rFonts w:ascii="Times New Roman"/>
                <w:sz w:val="20"/>
              </w:rPr>
            </w:pPr>
          </w:p>
        </w:tc>
        <w:tc>
          <w:tcPr>
            <w:tcW w:w="2060" w:type="dxa"/>
          </w:tcPr>
          <w:p>
            <w:pPr>
              <w:pStyle w:val="TableParagraph"/>
              <w:spacing w:line="256" w:lineRule="auto" w:before="138"/>
              <w:ind w:left="300" w:right="72"/>
              <w:rPr>
                <w:sz w:val="21"/>
              </w:rPr>
            </w:pPr>
            <w:r>
              <w:rPr>
                <w:rFonts w:ascii="Times New Roman" w:eastAsia="Times New Roman"/>
                <w:sz w:val="21"/>
              </w:rPr>
              <w:t>(</w:t>
            </w:r>
            <w:r>
              <w:rPr>
                <w:sz w:val="21"/>
              </w:rPr>
              <w:t>十二</w:t>
            </w:r>
            <w:r>
              <w:rPr>
                <w:rFonts w:ascii="Times New Roman" w:eastAsia="Times New Roman"/>
                <w:sz w:val="21"/>
              </w:rPr>
              <w:t>)  </w:t>
            </w:r>
            <w:r>
              <w:rPr>
                <w:sz w:val="21"/>
              </w:rPr>
              <w:t>严重幼年型类风湿性关节炎</w:t>
            </w:r>
          </w:p>
        </w:tc>
        <w:tc>
          <w:tcPr>
            <w:tcW w:w="7278" w:type="dxa"/>
          </w:tcPr>
          <w:p>
            <w:pPr>
              <w:pStyle w:val="TableParagraph"/>
              <w:spacing w:line="273" w:lineRule="auto" w:before="138"/>
              <w:ind w:left="146" w:right="302"/>
              <w:rPr>
                <w:sz w:val="21"/>
              </w:rPr>
            </w:pPr>
            <w:r>
              <w:rPr>
                <w:sz w:val="21"/>
              </w:rPr>
              <w:t>幼年型类风湿关节炎是一种儿童期发病的慢性 ，其特点为在高热和系统性病征出现数月后发生关节炎。</w:t>
            </w:r>
          </w:p>
          <w:p>
            <w:pPr>
              <w:pStyle w:val="TableParagraph"/>
              <w:spacing w:line="273" w:lineRule="auto" w:before="7"/>
              <w:ind w:left="146" w:right="405"/>
              <w:rPr>
                <w:sz w:val="21"/>
              </w:rPr>
            </w:pPr>
            <w:r>
              <w:rPr>
                <w:sz w:val="21"/>
              </w:rPr>
              <w:t>本保单仅对实际接受了膝关节或髋置换手术治疗的严重幼年型类风湿关节炎予以理赔。</w:t>
            </w:r>
          </w:p>
        </w:tc>
      </w:tr>
      <w:tr>
        <w:trPr>
          <w:trHeight w:val="1248" w:hRule="atLeast"/>
        </w:trPr>
        <w:tc>
          <w:tcPr>
            <w:tcW w:w="817" w:type="dxa"/>
          </w:tcPr>
          <w:p>
            <w:pPr>
              <w:pStyle w:val="TableParagraph"/>
              <w:spacing w:before="0"/>
              <w:ind w:left="0"/>
              <w:rPr>
                <w:rFonts w:ascii="Times New Roman"/>
                <w:sz w:val="20"/>
              </w:rPr>
            </w:pPr>
          </w:p>
        </w:tc>
        <w:tc>
          <w:tcPr>
            <w:tcW w:w="2060" w:type="dxa"/>
          </w:tcPr>
          <w:p>
            <w:pPr>
              <w:pStyle w:val="TableParagraph"/>
              <w:spacing w:line="256" w:lineRule="auto" w:before="146"/>
              <w:ind w:left="300" w:right="250"/>
              <w:rPr>
                <w:sz w:val="21"/>
              </w:rPr>
            </w:pPr>
            <w:r>
              <w:rPr>
                <w:rFonts w:ascii="Times New Roman" w:eastAsia="Times New Roman"/>
                <w:sz w:val="21"/>
              </w:rPr>
              <w:t>(</w:t>
            </w:r>
            <w:r>
              <w:rPr>
                <w:sz w:val="21"/>
              </w:rPr>
              <w:t>十三</w:t>
            </w:r>
            <w:r>
              <w:rPr>
                <w:rFonts w:ascii="Times New Roman" w:eastAsia="Times New Roman"/>
                <w:sz w:val="21"/>
              </w:rPr>
              <w:t>) </w:t>
            </w:r>
            <w:r>
              <w:rPr>
                <w:sz w:val="21"/>
              </w:rPr>
              <w:t>严重肠道疾病并发症</w:t>
            </w:r>
          </w:p>
        </w:tc>
        <w:tc>
          <w:tcPr>
            <w:tcW w:w="7278" w:type="dxa"/>
          </w:tcPr>
          <w:p>
            <w:pPr>
              <w:pStyle w:val="TableParagraph"/>
              <w:spacing w:before="146"/>
              <w:ind w:left="146"/>
              <w:rPr>
                <w:sz w:val="21"/>
              </w:rPr>
            </w:pPr>
            <w:r>
              <w:rPr>
                <w:sz w:val="21"/>
              </w:rPr>
              <w:t>严重肠道疾病或外伤导致小肠损害并发症，必须满足以下所有条件：</w:t>
            </w:r>
          </w:p>
          <w:p>
            <w:pPr>
              <w:pStyle w:val="TableParagraph"/>
              <w:ind w:left="146"/>
              <w:rPr>
                <w:sz w:val="21"/>
              </w:rPr>
            </w:pPr>
            <w:r>
              <w:rPr>
                <w:sz w:val="21"/>
              </w:rPr>
              <w:t>（1）至少切除了三分之二小肠；</w:t>
            </w:r>
          </w:p>
          <w:p>
            <w:pPr>
              <w:pStyle w:val="TableParagraph"/>
              <w:ind w:left="146"/>
              <w:rPr>
                <w:sz w:val="21"/>
              </w:rPr>
            </w:pPr>
            <w:r>
              <w:rPr>
                <w:sz w:val="21"/>
              </w:rPr>
              <w:t>（2）完全肠外营养支持 3个月以上。</w:t>
            </w:r>
          </w:p>
        </w:tc>
      </w:tr>
      <w:tr>
        <w:trPr>
          <w:trHeight w:val="2184" w:hRule="atLeast"/>
        </w:trPr>
        <w:tc>
          <w:tcPr>
            <w:tcW w:w="817" w:type="dxa"/>
          </w:tcPr>
          <w:p>
            <w:pPr>
              <w:pStyle w:val="TableParagraph"/>
              <w:spacing w:before="0"/>
              <w:ind w:left="0"/>
              <w:rPr>
                <w:rFonts w:ascii="Times New Roman"/>
                <w:sz w:val="20"/>
              </w:rPr>
            </w:pPr>
          </w:p>
        </w:tc>
        <w:tc>
          <w:tcPr>
            <w:tcW w:w="2060" w:type="dxa"/>
          </w:tcPr>
          <w:p>
            <w:pPr>
              <w:pStyle w:val="TableParagraph"/>
              <w:spacing w:before="146"/>
              <w:ind w:left="300"/>
              <w:rPr>
                <w:sz w:val="21"/>
              </w:rPr>
            </w:pPr>
            <w:r>
              <w:rPr>
                <w:rFonts w:ascii="Times New Roman" w:eastAsia="Times New Roman"/>
                <w:sz w:val="21"/>
              </w:rPr>
              <w:t>(</w:t>
            </w:r>
            <w:r>
              <w:rPr>
                <w:sz w:val="21"/>
              </w:rPr>
              <w:t>十四</w:t>
            </w:r>
            <w:r>
              <w:rPr>
                <w:rFonts w:ascii="Times New Roman" w:eastAsia="Times New Roman"/>
                <w:sz w:val="21"/>
              </w:rPr>
              <w:t>)</w:t>
            </w:r>
            <w:r>
              <w:rPr>
                <w:sz w:val="21"/>
              </w:rPr>
              <w:t>严重哮喘</w:t>
            </w:r>
          </w:p>
        </w:tc>
        <w:tc>
          <w:tcPr>
            <w:tcW w:w="7278" w:type="dxa"/>
          </w:tcPr>
          <w:p>
            <w:pPr>
              <w:pStyle w:val="TableParagraph"/>
              <w:spacing w:line="273" w:lineRule="auto" w:before="146"/>
              <w:ind w:left="146" w:right="275"/>
              <w:rPr>
                <w:sz w:val="21"/>
              </w:rPr>
            </w:pPr>
            <w:r>
              <w:rPr>
                <w:spacing w:val="-8"/>
                <w:sz w:val="21"/>
              </w:rPr>
              <w:t>指一种反复发作的严重支气管阻塞性疾病，经我们认可专科医生确诊，且必</w:t>
            </w:r>
            <w:r>
              <w:rPr>
                <w:spacing w:val="-6"/>
                <w:sz w:val="21"/>
              </w:rPr>
              <w:t>须同时符合下列标准：</w:t>
            </w:r>
          </w:p>
          <w:p>
            <w:pPr>
              <w:pStyle w:val="TableParagraph"/>
              <w:spacing w:before="7"/>
              <w:ind w:left="146"/>
              <w:rPr>
                <w:sz w:val="21"/>
              </w:rPr>
            </w:pPr>
            <w:r>
              <w:rPr>
                <w:sz w:val="21"/>
              </w:rPr>
              <w:t>（1）过去两年中曾因哮喘持续状态住院治疗，并提供完整记录；</w:t>
            </w:r>
          </w:p>
          <w:p>
            <w:pPr>
              <w:pStyle w:val="TableParagraph"/>
              <w:spacing w:before="36"/>
              <w:ind w:left="146"/>
              <w:rPr>
                <w:sz w:val="21"/>
              </w:rPr>
            </w:pPr>
            <w:r>
              <w:rPr>
                <w:sz w:val="21"/>
              </w:rPr>
              <w:t>（2）因慢性过度换气导致胸廓畸形；</w:t>
            </w:r>
          </w:p>
          <w:p>
            <w:pPr>
              <w:pStyle w:val="TableParagraph"/>
              <w:spacing w:before="36"/>
              <w:ind w:left="146"/>
              <w:rPr>
                <w:sz w:val="21"/>
              </w:rPr>
            </w:pPr>
            <w:r>
              <w:rPr>
                <w:sz w:val="21"/>
              </w:rPr>
              <w:t>（3）在家中需要医生处方的氧气治疗法；</w:t>
            </w:r>
          </w:p>
          <w:p>
            <w:pPr>
              <w:pStyle w:val="TableParagraph"/>
              <w:spacing w:before="36"/>
              <w:ind w:left="146"/>
              <w:rPr>
                <w:sz w:val="21"/>
              </w:rPr>
            </w:pPr>
            <w:r>
              <w:rPr>
                <w:sz w:val="21"/>
              </w:rPr>
              <w:t>（4）持续日常服用口类固醇激素治疗至少六个月。</w:t>
            </w:r>
          </w:p>
        </w:tc>
      </w:tr>
      <w:tr>
        <w:trPr>
          <w:trHeight w:val="2812" w:hRule="atLeast"/>
        </w:trPr>
        <w:tc>
          <w:tcPr>
            <w:tcW w:w="817" w:type="dxa"/>
          </w:tcPr>
          <w:p>
            <w:pPr>
              <w:pStyle w:val="TableParagraph"/>
              <w:spacing w:before="0"/>
              <w:ind w:left="0"/>
              <w:rPr>
                <w:rFonts w:ascii="Times New Roman"/>
                <w:sz w:val="20"/>
              </w:rPr>
            </w:pPr>
          </w:p>
        </w:tc>
        <w:tc>
          <w:tcPr>
            <w:tcW w:w="2060" w:type="dxa"/>
          </w:tcPr>
          <w:p>
            <w:pPr>
              <w:pStyle w:val="TableParagraph"/>
              <w:spacing w:line="256" w:lineRule="auto" w:before="146"/>
              <w:ind w:left="300" w:right="48"/>
              <w:rPr>
                <w:sz w:val="21"/>
              </w:rPr>
            </w:pPr>
            <w:r>
              <w:rPr>
                <w:rFonts w:ascii="Times New Roman" w:eastAsia="Times New Roman"/>
                <w:sz w:val="21"/>
              </w:rPr>
              <w:t>( </w:t>
            </w:r>
            <w:r>
              <w:rPr>
                <w:sz w:val="21"/>
              </w:rPr>
              <w:t>十五</w:t>
            </w:r>
            <w:r>
              <w:rPr>
                <w:rFonts w:ascii="Times New Roman" w:eastAsia="Times New Roman"/>
                <w:sz w:val="21"/>
              </w:rPr>
              <w:t>) </w:t>
            </w:r>
            <w:r>
              <w:rPr>
                <w:sz w:val="21"/>
              </w:rPr>
              <w:t>重症手足口病</w:t>
            </w:r>
          </w:p>
        </w:tc>
        <w:tc>
          <w:tcPr>
            <w:tcW w:w="7278" w:type="dxa"/>
          </w:tcPr>
          <w:p>
            <w:pPr>
              <w:pStyle w:val="TableParagraph"/>
              <w:spacing w:line="273" w:lineRule="auto" w:before="146"/>
              <w:ind w:left="146" w:right="274"/>
              <w:rPr>
                <w:sz w:val="21"/>
              </w:rPr>
            </w:pPr>
            <w:r>
              <w:rPr>
                <w:spacing w:val="-8"/>
                <w:sz w:val="21"/>
              </w:rPr>
              <w:t>经本公司认可的医院的儿科专科医生确诊为患有手足口病，并伴有下列三项</w:t>
            </w:r>
            <w:r>
              <w:rPr>
                <w:spacing w:val="-6"/>
                <w:sz w:val="21"/>
              </w:rPr>
              <w:t>中任意一项并发症：</w:t>
            </w:r>
          </w:p>
          <w:p>
            <w:pPr>
              <w:pStyle w:val="TableParagraph"/>
              <w:spacing w:line="273" w:lineRule="auto" w:before="7"/>
              <w:ind w:left="146" w:right="304"/>
              <w:rPr>
                <w:sz w:val="21"/>
              </w:rPr>
            </w:pPr>
            <w:r>
              <w:rPr>
                <w:sz w:val="21"/>
              </w:rPr>
              <w:t>（1）有脑膜炎或脑炎并发症，且导致意识障碍或瘫痪的临床表现及实验室检查证据；</w:t>
            </w:r>
          </w:p>
          <w:p>
            <w:pPr>
              <w:pStyle w:val="TableParagraph"/>
              <w:spacing w:line="273" w:lineRule="auto" w:before="7"/>
              <w:ind w:left="146" w:right="304"/>
              <w:rPr>
                <w:sz w:val="21"/>
              </w:rPr>
            </w:pPr>
            <w:r>
              <w:rPr>
                <w:sz w:val="21"/>
              </w:rPr>
              <w:t>（2）有肺炎或肺水肿并发症，且导致呼吸衰竭的临床表现及实验室检查证据；</w:t>
            </w:r>
          </w:p>
          <w:p>
            <w:pPr>
              <w:pStyle w:val="TableParagraph"/>
              <w:spacing w:line="273" w:lineRule="auto" w:before="7"/>
              <w:ind w:left="146" w:right="304"/>
              <w:rPr>
                <w:sz w:val="21"/>
              </w:rPr>
            </w:pPr>
            <w:r>
              <w:rPr>
                <w:sz w:val="21"/>
              </w:rPr>
              <w:t>（3）有心肌炎并发症，且导致心脏扩大或心力衰竭的临床表现及实验室检查证据。</w:t>
            </w:r>
          </w:p>
        </w:tc>
      </w:tr>
      <w:tr>
        <w:trPr>
          <w:trHeight w:val="624" w:hRule="atLeast"/>
        </w:trPr>
        <w:tc>
          <w:tcPr>
            <w:tcW w:w="817" w:type="dxa"/>
          </w:tcPr>
          <w:p>
            <w:pPr>
              <w:pStyle w:val="TableParagraph"/>
              <w:spacing w:before="143"/>
              <w:ind w:left="200"/>
              <w:rPr>
                <w:b/>
                <w:sz w:val="21"/>
              </w:rPr>
            </w:pPr>
            <w:r>
              <w:rPr>
                <w:b/>
                <w:sz w:val="21"/>
              </w:rPr>
              <w:t>6.7</w:t>
            </w:r>
          </w:p>
        </w:tc>
        <w:tc>
          <w:tcPr>
            <w:tcW w:w="2060" w:type="dxa"/>
          </w:tcPr>
          <w:p>
            <w:pPr>
              <w:pStyle w:val="TableParagraph"/>
              <w:spacing w:before="143"/>
              <w:ind w:left="300"/>
              <w:rPr>
                <w:b/>
                <w:sz w:val="21"/>
              </w:rPr>
            </w:pPr>
            <w:r>
              <w:rPr>
                <w:b/>
                <w:sz w:val="21"/>
              </w:rPr>
              <w:t>意外伤害</w:t>
            </w:r>
          </w:p>
        </w:tc>
        <w:tc>
          <w:tcPr>
            <w:tcW w:w="7278" w:type="dxa"/>
          </w:tcPr>
          <w:p>
            <w:pPr>
              <w:pStyle w:val="TableParagraph"/>
              <w:spacing w:before="143"/>
              <w:ind w:left="146"/>
              <w:rPr>
                <w:sz w:val="21"/>
              </w:rPr>
            </w:pPr>
            <w:r>
              <w:rPr>
                <w:sz w:val="21"/>
              </w:rPr>
              <w:t>指遭受外来的、突发的、非本意的、非疾病的使身体受到伤害的客观事件。</w:t>
            </w:r>
          </w:p>
        </w:tc>
      </w:tr>
      <w:tr>
        <w:trPr>
          <w:trHeight w:val="2496" w:hRule="atLeast"/>
        </w:trPr>
        <w:tc>
          <w:tcPr>
            <w:tcW w:w="817" w:type="dxa"/>
          </w:tcPr>
          <w:p>
            <w:pPr>
              <w:pStyle w:val="TableParagraph"/>
              <w:spacing w:before="142"/>
              <w:ind w:left="200"/>
              <w:rPr>
                <w:b/>
                <w:sz w:val="21"/>
              </w:rPr>
            </w:pPr>
            <w:r>
              <w:rPr>
                <w:b/>
                <w:sz w:val="21"/>
              </w:rPr>
              <w:t>6.8</w:t>
            </w:r>
          </w:p>
        </w:tc>
        <w:tc>
          <w:tcPr>
            <w:tcW w:w="2060" w:type="dxa"/>
          </w:tcPr>
          <w:p>
            <w:pPr>
              <w:pStyle w:val="TableParagraph"/>
              <w:spacing w:before="142"/>
              <w:ind w:left="300"/>
              <w:rPr>
                <w:b/>
                <w:sz w:val="21"/>
              </w:rPr>
            </w:pPr>
            <w:r>
              <w:rPr>
                <w:b/>
                <w:sz w:val="21"/>
              </w:rPr>
              <w:t>专科医生</w:t>
            </w:r>
          </w:p>
        </w:tc>
        <w:tc>
          <w:tcPr>
            <w:tcW w:w="7278" w:type="dxa"/>
          </w:tcPr>
          <w:p>
            <w:pPr>
              <w:pStyle w:val="TableParagraph"/>
              <w:spacing w:before="142"/>
              <w:ind w:left="50"/>
              <w:rPr>
                <w:sz w:val="21"/>
              </w:rPr>
            </w:pPr>
            <w:r>
              <w:rPr>
                <w:sz w:val="21"/>
              </w:rPr>
              <w:t>专科医生应当同时满足以下四项资格条件：</w:t>
            </w:r>
          </w:p>
          <w:p>
            <w:pPr>
              <w:pStyle w:val="TableParagraph"/>
              <w:spacing w:before="36"/>
              <w:ind w:left="50"/>
              <w:rPr>
                <w:sz w:val="21"/>
              </w:rPr>
            </w:pPr>
            <w:r>
              <w:rPr>
                <w:sz w:val="21"/>
              </w:rPr>
              <w:t>（1）具有有效的中华人民共和国《医师资格证书》；</w:t>
            </w:r>
          </w:p>
          <w:p>
            <w:pPr>
              <w:pStyle w:val="TableParagraph"/>
              <w:spacing w:line="273" w:lineRule="auto" w:before="36"/>
              <w:ind w:left="588" w:right="275" w:hanging="539"/>
              <w:rPr>
                <w:sz w:val="21"/>
              </w:rPr>
            </w:pPr>
            <w:r>
              <w:rPr>
                <w:spacing w:val="-7"/>
                <w:sz w:val="21"/>
              </w:rPr>
              <w:t>（2）</w:t>
            </w:r>
            <w:r>
              <w:rPr>
                <w:spacing w:val="-8"/>
                <w:sz w:val="21"/>
              </w:rPr>
              <w:t>具有有效的中华人民共和国《医师执业证书》，并按期到相关部门登记注册；</w:t>
            </w:r>
          </w:p>
          <w:p>
            <w:pPr>
              <w:pStyle w:val="TableParagraph"/>
              <w:spacing w:line="273" w:lineRule="auto" w:before="7"/>
              <w:ind w:left="588" w:right="275" w:hanging="539"/>
              <w:rPr>
                <w:sz w:val="21"/>
              </w:rPr>
            </w:pPr>
            <w:r>
              <w:rPr>
                <w:spacing w:val="-15"/>
                <w:sz w:val="21"/>
              </w:rPr>
              <w:t>（3）</w:t>
            </w:r>
            <w:r>
              <w:rPr>
                <w:spacing w:val="-7"/>
                <w:sz w:val="21"/>
              </w:rPr>
              <w:t>具有有效的中华人民共和国主治医师或主治医师以上职称的《医师职称证书》；</w:t>
            </w:r>
          </w:p>
          <w:p>
            <w:pPr>
              <w:pStyle w:val="TableParagraph"/>
              <w:spacing w:before="7"/>
              <w:ind w:left="50"/>
              <w:rPr>
                <w:sz w:val="21"/>
              </w:rPr>
            </w:pPr>
            <w:r>
              <w:rPr>
                <w:sz w:val="21"/>
              </w:rPr>
              <w:t>（4）在二级或二级以上医院的相应科室从事临床工作三年以上。</w:t>
            </w:r>
          </w:p>
        </w:tc>
      </w:tr>
      <w:tr>
        <w:trPr>
          <w:trHeight w:val="417" w:hRule="atLeast"/>
        </w:trPr>
        <w:tc>
          <w:tcPr>
            <w:tcW w:w="817" w:type="dxa"/>
          </w:tcPr>
          <w:p>
            <w:pPr>
              <w:pStyle w:val="TableParagraph"/>
              <w:spacing w:line="255" w:lineRule="exact" w:before="143"/>
              <w:ind w:left="200"/>
              <w:rPr>
                <w:b/>
                <w:sz w:val="21"/>
              </w:rPr>
            </w:pPr>
            <w:r>
              <w:rPr>
                <w:b/>
                <w:sz w:val="21"/>
              </w:rPr>
              <w:t>6.9</w:t>
            </w:r>
          </w:p>
        </w:tc>
        <w:tc>
          <w:tcPr>
            <w:tcW w:w="2060" w:type="dxa"/>
          </w:tcPr>
          <w:p>
            <w:pPr>
              <w:pStyle w:val="TableParagraph"/>
              <w:spacing w:line="255" w:lineRule="exact" w:before="143"/>
              <w:ind w:left="300"/>
              <w:rPr>
                <w:b/>
                <w:sz w:val="21"/>
              </w:rPr>
            </w:pPr>
            <w:r>
              <w:rPr>
                <w:b/>
                <w:sz w:val="21"/>
              </w:rPr>
              <w:t>全残</w:t>
            </w:r>
          </w:p>
        </w:tc>
        <w:tc>
          <w:tcPr>
            <w:tcW w:w="7278" w:type="dxa"/>
          </w:tcPr>
          <w:p>
            <w:pPr>
              <w:pStyle w:val="TableParagraph"/>
              <w:spacing w:line="255" w:lineRule="exact" w:before="143"/>
              <w:ind w:left="146"/>
              <w:rPr>
                <w:sz w:val="21"/>
              </w:rPr>
            </w:pPr>
            <w:r>
              <w:rPr>
                <w:sz w:val="21"/>
              </w:rPr>
              <w:t>是指被保险人在本合同保障期内因遭受意外伤害事故或疾病导致下列残疾</w:t>
            </w:r>
          </w:p>
        </w:tc>
      </w:tr>
    </w:tbl>
    <w:p>
      <w:pPr>
        <w:spacing w:after="0" w:line="255" w:lineRule="exact"/>
        <w:rPr>
          <w:sz w:val="21"/>
        </w:rPr>
        <w:sectPr>
          <w:pgSz w:w="11910" w:h="16840"/>
          <w:pgMar w:header="496" w:footer="995" w:top="800" w:bottom="1180" w:left="760" w:right="760"/>
        </w:sectPr>
      </w:pPr>
    </w:p>
    <w:p>
      <w:pPr>
        <w:pStyle w:val="BodyText"/>
        <w:rPr>
          <w:rFonts w:ascii="Times New Roman"/>
          <w:sz w:val="20"/>
        </w:rPr>
      </w:pPr>
    </w:p>
    <w:p>
      <w:pPr>
        <w:pStyle w:val="BodyText"/>
        <w:spacing w:before="9" w:after="1"/>
        <w:rPr>
          <w:rFonts w:ascii="Times New Roman"/>
          <w:sz w:val="1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
        <w:gridCol w:w="2045"/>
        <w:gridCol w:w="7273"/>
      </w:tblGrid>
      <w:tr>
        <w:trPr>
          <w:trHeight w:val="7127" w:hRule="atLeast"/>
        </w:trPr>
        <w:tc>
          <w:tcPr>
            <w:tcW w:w="870" w:type="dxa"/>
          </w:tcPr>
          <w:p>
            <w:pPr>
              <w:pStyle w:val="TableParagraph"/>
              <w:spacing w:before="0"/>
              <w:ind w:left="0"/>
              <w:rPr>
                <w:rFonts w:ascii="Times New Roman"/>
                <w:sz w:val="20"/>
              </w:rPr>
            </w:pPr>
          </w:p>
        </w:tc>
        <w:tc>
          <w:tcPr>
            <w:tcW w:w="2045" w:type="dxa"/>
          </w:tcPr>
          <w:p>
            <w:pPr>
              <w:pStyle w:val="TableParagraph"/>
              <w:spacing w:before="0"/>
              <w:ind w:left="0"/>
              <w:rPr>
                <w:rFonts w:ascii="Times New Roman"/>
                <w:sz w:val="20"/>
              </w:rPr>
            </w:pPr>
          </w:p>
        </w:tc>
        <w:tc>
          <w:tcPr>
            <w:tcW w:w="7273" w:type="dxa"/>
          </w:tcPr>
          <w:p>
            <w:pPr>
              <w:pStyle w:val="TableParagraph"/>
              <w:spacing w:line="211" w:lineRule="exact" w:before="0"/>
              <w:ind w:left="108"/>
              <w:jc w:val="both"/>
              <w:rPr>
                <w:sz w:val="21"/>
              </w:rPr>
            </w:pPr>
            <w:r>
              <w:rPr>
                <w:sz w:val="21"/>
              </w:rPr>
              <w:t>程度之一：</w:t>
            </w:r>
          </w:p>
          <w:p>
            <w:pPr>
              <w:pStyle w:val="TableParagraph"/>
              <w:numPr>
                <w:ilvl w:val="0"/>
                <w:numId w:val="10"/>
              </w:numPr>
              <w:tabs>
                <w:tab w:pos="743" w:val="left" w:leader="none"/>
              </w:tabs>
              <w:spacing w:line="240" w:lineRule="auto" w:before="37" w:after="0"/>
              <w:ind w:left="108" w:right="0" w:firstLine="0"/>
              <w:jc w:val="both"/>
              <w:rPr>
                <w:sz w:val="21"/>
              </w:rPr>
            </w:pPr>
            <w:r>
              <w:rPr>
                <w:spacing w:val="-3"/>
                <w:sz w:val="21"/>
              </w:rPr>
              <w:t>双目永久完全</w:t>
            </w:r>
            <w:r>
              <w:rPr>
                <w:sz w:val="21"/>
              </w:rPr>
              <w:t>（</w:t>
            </w:r>
            <w:r>
              <w:rPr>
                <w:spacing w:val="-21"/>
                <w:sz w:val="21"/>
              </w:rPr>
              <w:t>注 </w:t>
            </w:r>
            <w:r>
              <w:rPr>
                <w:spacing w:val="-3"/>
                <w:sz w:val="21"/>
              </w:rPr>
              <w:t>1）</w:t>
            </w:r>
            <w:r>
              <w:rPr>
                <w:sz w:val="21"/>
              </w:rPr>
              <w:t>失明（</w:t>
            </w:r>
            <w:r>
              <w:rPr>
                <w:spacing w:val="-21"/>
                <w:sz w:val="21"/>
              </w:rPr>
              <w:t>注 </w:t>
            </w:r>
            <w:r>
              <w:rPr>
                <w:spacing w:val="-3"/>
                <w:sz w:val="21"/>
              </w:rPr>
              <w:t>2）</w:t>
            </w:r>
          </w:p>
          <w:p>
            <w:pPr>
              <w:pStyle w:val="TableParagraph"/>
              <w:numPr>
                <w:ilvl w:val="0"/>
                <w:numId w:val="10"/>
              </w:numPr>
              <w:tabs>
                <w:tab w:pos="743" w:val="left" w:leader="none"/>
              </w:tabs>
              <w:spacing w:line="240" w:lineRule="auto" w:before="37" w:after="0"/>
              <w:ind w:left="108" w:right="0" w:firstLine="0"/>
              <w:jc w:val="both"/>
              <w:rPr>
                <w:sz w:val="21"/>
              </w:rPr>
            </w:pPr>
            <w:r>
              <w:rPr>
                <w:spacing w:val="-5"/>
                <w:sz w:val="21"/>
              </w:rPr>
              <w:t>两上肢腕关节以上或者两下肢踝关节以上缺失</w:t>
            </w:r>
          </w:p>
          <w:p>
            <w:pPr>
              <w:pStyle w:val="TableParagraph"/>
              <w:numPr>
                <w:ilvl w:val="0"/>
                <w:numId w:val="10"/>
              </w:numPr>
              <w:tabs>
                <w:tab w:pos="743" w:val="left" w:leader="none"/>
              </w:tabs>
              <w:spacing w:line="240" w:lineRule="auto" w:before="37" w:after="0"/>
              <w:ind w:left="108" w:right="0" w:firstLine="0"/>
              <w:jc w:val="both"/>
              <w:rPr>
                <w:sz w:val="21"/>
              </w:rPr>
            </w:pPr>
            <w:r>
              <w:rPr>
                <w:spacing w:val="-5"/>
                <w:sz w:val="21"/>
              </w:rPr>
              <w:t>一上肢腕关节以上及一下肢踝关节以上缺失</w:t>
            </w:r>
          </w:p>
          <w:p>
            <w:pPr>
              <w:pStyle w:val="TableParagraph"/>
              <w:numPr>
                <w:ilvl w:val="0"/>
                <w:numId w:val="10"/>
              </w:numPr>
              <w:tabs>
                <w:tab w:pos="743" w:val="left" w:leader="none"/>
              </w:tabs>
              <w:spacing w:line="240" w:lineRule="auto" w:before="37" w:after="0"/>
              <w:ind w:left="108" w:right="0" w:firstLine="0"/>
              <w:jc w:val="both"/>
              <w:rPr>
                <w:sz w:val="21"/>
              </w:rPr>
            </w:pPr>
            <w:r>
              <w:rPr>
                <w:spacing w:val="-5"/>
                <w:sz w:val="21"/>
              </w:rPr>
              <w:t>一目永久完全失明及一上肢腕关节以上缺失</w:t>
            </w:r>
          </w:p>
          <w:p>
            <w:pPr>
              <w:pStyle w:val="TableParagraph"/>
              <w:numPr>
                <w:ilvl w:val="0"/>
                <w:numId w:val="10"/>
              </w:numPr>
              <w:tabs>
                <w:tab w:pos="743" w:val="left" w:leader="none"/>
              </w:tabs>
              <w:spacing w:line="240" w:lineRule="auto" w:before="36" w:after="0"/>
              <w:ind w:left="108" w:right="0" w:firstLine="0"/>
              <w:jc w:val="both"/>
              <w:rPr>
                <w:sz w:val="21"/>
              </w:rPr>
            </w:pPr>
            <w:r>
              <w:rPr>
                <w:spacing w:val="-5"/>
                <w:sz w:val="21"/>
              </w:rPr>
              <w:t>一目永久完全失明及一下肢踝关节以上缺失</w:t>
            </w:r>
          </w:p>
          <w:p>
            <w:pPr>
              <w:pStyle w:val="TableParagraph"/>
              <w:numPr>
                <w:ilvl w:val="0"/>
                <w:numId w:val="10"/>
              </w:numPr>
              <w:tabs>
                <w:tab w:pos="743" w:val="left" w:leader="none"/>
              </w:tabs>
              <w:spacing w:line="240" w:lineRule="auto" w:before="36" w:after="0"/>
              <w:ind w:left="108" w:right="0" w:firstLine="0"/>
              <w:jc w:val="both"/>
              <w:rPr>
                <w:sz w:val="21"/>
              </w:rPr>
            </w:pPr>
            <w:r>
              <w:rPr>
                <w:spacing w:val="-4"/>
                <w:sz w:val="21"/>
              </w:rPr>
              <w:t>四肢关节机能永久完全丧失</w:t>
            </w:r>
            <w:r>
              <w:rPr>
                <w:sz w:val="21"/>
              </w:rPr>
              <w:t>（</w:t>
            </w:r>
            <w:r>
              <w:rPr>
                <w:spacing w:val="-20"/>
                <w:sz w:val="21"/>
              </w:rPr>
              <w:t>注 </w:t>
            </w:r>
            <w:r>
              <w:rPr>
                <w:sz w:val="21"/>
              </w:rPr>
              <w:t>3）</w:t>
            </w:r>
          </w:p>
          <w:p>
            <w:pPr>
              <w:pStyle w:val="TableParagraph"/>
              <w:numPr>
                <w:ilvl w:val="0"/>
                <w:numId w:val="10"/>
              </w:numPr>
              <w:tabs>
                <w:tab w:pos="743" w:val="left" w:leader="none"/>
              </w:tabs>
              <w:spacing w:line="240" w:lineRule="auto" w:before="36" w:after="0"/>
              <w:ind w:left="108" w:right="0" w:firstLine="0"/>
              <w:jc w:val="both"/>
              <w:rPr>
                <w:sz w:val="21"/>
              </w:rPr>
            </w:pPr>
            <w:r>
              <w:rPr>
                <w:spacing w:val="-4"/>
                <w:sz w:val="21"/>
              </w:rPr>
              <w:t>咀嚼、吞咽机能永久完全丧失</w:t>
            </w:r>
            <w:r>
              <w:rPr>
                <w:spacing w:val="-5"/>
                <w:sz w:val="21"/>
              </w:rPr>
              <w:t>（</w:t>
            </w:r>
            <w:r>
              <w:rPr>
                <w:spacing w:val="-17"/>
                <w:sz w:val="21"/>
              </w:rPr>
              <w:t>注 </w:t>
            </w:r>
            <w:r>
              <w:rPr>
                <w:sz w:val="21"/>
              </w:rPr>
              <w:t>4）</w:t>
            </w:r>
          </w:p>
          <w:p>
            <w:pPr>
              <w:pStyle w:val="TableParagraph"/>
              <w:numPr>
                <w:ilvl w:val="0"/>
                <w:numId w:val="10"/>
              </w:numPr>
              <w:tabs>
                <w:tab w:pos="719" w:val="left" w:leader="none"/>
              </w:tabs>
              <w:spacing w:line="273" w:lineRule="auto" w:before="36" w:after="0"/>
              <w:ind w:left="108" w:right="308" w:firstLine="0"/>
              <w:jc w:val="left"/>
              <w:rPr>
                <w:sz w:val="21"/>
              </w:rPr>
            </w:pPr>
            <w:r>
              <w:rPr>
                <w:spacing w:val="-8"/>
                <w:sz w:val="21"/>
              </w:rPr>
              <w:t>中枢神经系统机能或者胸、腹部脏器机能极度障碍，终身不能从事任</w:t>
            </w:r>
            <w:r>
              <w:rPr>
                <w:spacing w:val="-6"/>
                <w:sz w:val="21"/>
              </w:rPr>
              <w:t>何工作，为维持生命必要的日常生活活动，全需他人扶助</w:t>
            </w:r>
            <w:r>
              <w:rPr>
                <w:sz w:val="21"/>
              </w:rPr>
              <w:t>（</w:t>
            </w:r>
            <w:r>
              <w:rPr>
                <w:spacing w:val="-8"/>
                <w:sz w:val="21"/>
              </w:rPr>
              <w:t>注 </w:t>
            </w:r>
            <w:r>
              <w:rPr>
                <w:sz w:val="21"/>
              </w:rPr>
              <w:t>5）</w:t>
            </w:r>
          </w:p>
          <w:p>
            <w:pPr>
              <w:pStyle w:val="TableParagraph"/>
              <w:spacing w:before="7"/>
              <w:ind w:left="108"/>
              <w:rPr>
                <w:sz w:val="21"/>
              </w:rPr>
            </w:pPr>
            <w:r>
              <w:rPr>
                <w:sz w:val="21"/>
              </w:rPr>
              <w:t>注：</w:t>
            </w:r>
          </w:p>
          <w:p>
            <w:pPr>
              <w:pStyle w:val="TableParagraph"/>
              <w:spacing w:line="273" w:lineRule="auto"/>
              <w:ind w:left="108" w:right="227"/>
              <w:rPr>
                <w:sz w:val="21"/>
              </w:rPr>
            </w:pPr>
            <w:r>
              <w:rPr>
                <w:sz w:val="21"/>
              </w:rPr>
              <w:t>1．永久完全系指在自意外伤害或罹患疾病之日起经过 180 天的治疗，机能仍然完全丧失，但眼球摘除、肢体缺失等明显无法复原之情况除外。</w:t>
            </w:r>
          </w:p>
          <w:p>
            <w:pPr>
              <w:pStyle w:val="TableParagraph"/>
              <w:spacing w:line="273" w:lineRule="auto" w:before="7"/>
              <w:ind w:left="108" w:right="308"/>
              <w:jc w:val="both"/>
              <w:rPr>
                <w:sz w:val="21"/>
              </w:rPr>
            </w:pPr>
            <w:r>
              <w:rPr>
                <w:sz w:val="21"/>
              </w:rPr>
              <w:t>2．</w:t>
            </w:r>
            <w:r>
              <w:rPr>
                <w:spacing w:val="-2"/>
                <w:sz w:val="21"/>
              </w:rPr>
              <w:t>失明包括眼球缺失或者摘除、或者不能辨别明暗、或者仅能辨别眼前手</w:t>
            </w:r>
            <w:r>
              <w:rPr>
                <w:spacing w:val="-7"/>
                <w:sz w:val="21"/>
              </w:rPr>
              <w:t>动者，最佳矫正视力低于国际标准视力表 </w:t>
            </w:r>
            <w:r>
              <w:rPr>
                <w:sz w:val="21"/>
              </w:rPr>
              <w:t>0.02</w:t>
            </w:r>
            <w:r>
              <w:rPr>
                <w:spacing w:val="-6"/>
                <w:sz w:val="21"/>
              </w:rPr>
              <w:t>，或者视野半径小于 </w:t>
            </w:r>
            <w:r>
              <w:rPr>
                <w:sz w:val="21"/>
              </w:rPr>
              <w:t>5 度， </w:t>
            </w:r>
            <w:r>
              <w:rPr>
                <w:spacing w:val="-5"/>
                <w:sz w:val="21"/>
              </w:rPr>
              <w:t>并由本公司认可的医疗机构的眼科医生出具医疗诊断证明。</w:t>
            </w:r>
          </w:p>
          <w:p>
            <w:pPr>
              <w:pStyle w:val="TableParagraph"/>
              <w:spacing w:line="273" w:lineRule="auto" w:before="7"/>
              <w:ind w:left="108" w:right="308"/>
              <w:rPr>
                <w:sz w:val="21"/>
              </w:rPr>
            </w:pPr>
            <w:r>
              <w:rPr>
                <w:sz w:val="21"/>
              </w:rPr>
              <w:t>3．关节机能的丧失系指关节永久完全僵硬、或者麻痹、或者关节不能随意识活动。</w:t>
            </w:r>
          </w:p>
          <w:p>
            <w:pPr>
              <w:pStyle w:val="TableParagraph"/>
              <w:spacing w:line="273" w:lineRule="auto" w:before="7"/>
              <w:ind w:left="108" w:right="123"/>
              <w:rPr>
                <w:sz w:val="21"/>
              </w:rPr>
            </w:pPr>
            <w:r>
              <w:rPr>
                <w:sz w:val="21"/>
              </w:rPr>
              <w:t>4．咀嚼、吞咽机能的丧失系指由于牙齿以外的原因引起器质障碍或者机能障碍，以致不能作咀嚼、吞咽运动，除流质食物外不能摄取或者吞咽的状态。</w:t>
            </w:r>
          </w:p>
          <w:p>
            <w:pPr>
              <w:pStyle w:val="TableParagraph"/>
              <w:spacing w:line="273" w:lineRule="auto" w:before="7"/>
              <w:ind w:left="108" w:right="231"/>
              <w:rPr>
                <w:sz w:val="21"/>
              </w:rPr>
            </w:pPr>
            <w:r>
              <w:rPr>
                <w:sz w:val="21"/>
              </w:rPr>
              <w:t>5．为维持生命必要之日常生活活动，全需他人扶助系指食物摄取、大小便始末、穿脱衣服、起居、步行、入浴等，皆不能自己为之，需要他人帮助。</w:t>
            </w:r>
          </w:p>
        </w:tc>
      </w:tr>
      <w:tr>
        <w:trPr>
          <w:trHeight w:val="1716" w:hRule="atLeast"/>
        </w:trPr>
        <w:tc>
          <w:tcPr>
            <w:tcW w:w="870" w:type="dxa"/>
          </w:tcPr>
          <w:p>
            <w:pPr>
              <w:pStyle w:val="TableParagraph"/>
              <w:spacing w:before="11"/>
              <w:ind w:left="0"/>
              <w:rPr>
                <w:rFonts w:ascii="Times New Roman"/>
                <w:sz w:val="25"/>
              </w:rPr>
            </w:pPr>
          </w:p>
          <w:p>
            <w:pPr>
              <w:pStyle w:val="TableParagraph"/>
              <w:spacing w:before="0"/>
              <w:ind w:left="200"/>
              <w:rPr>
                <w:b/>
                <w:sz w:val="21"/>
              </w:rPr>
            </w:pPr>
            <w:r>
              <w:rPr>
                <w:b/>
                <w:sz w:val="21"/>
              </w:rPr>
              <w:t>6.10</w:t>
            </w:r>
          </w:p>
        </w:tc>
        <w:tc>
          <w:tcPr>
            <w:tcW w:w="2045" w:type="dxa"/>
          </w:tcPr>
          <w:p>
            <w:pPr>
              <w:pStyle w:val="TableParagraph"/>
              <w:spacing w:before="11"/>
              <w:ind w:left="0"/>
              <w:rPr>
                <w:rFonts w:ascii="Times New Roman"/>
                <w:sz w:val="25"/>
              </w:rPr>
            </w:pPr>
          </w:p>
          <w:p>
            <w:pPr>
              <w:pStyle w:val="TableParagraph"/>
              <w:spacing w:before="0"/>
              <w:ind w:left="247"/>
              <w:rPr>
                <w:b/>
                <w:sz w:val="21"/>
              </w:rPr>
            </w:pPr>
            <w:r>
              <w:rPr>
                <w:b/>
                <w:sz w:val="21"/>
              </w:rPr>
              <w:t>毒品</w:t>
            </w:r>
          </w:p>
        </w:tc>
        <w:tc>
          <w:tcPr>
            <w:tcW w:w="7273" w:type="dxa"/>
          </w:tcPr>
          <w:p>
            <w:pPr>
              <w:pStyle w:val="TableParagraph"/>
              <w:spacing w:before="11"/>
              <w:ind w:left="0"/>
              <w:rPr>
                <w:rFonts w:ascii="Times New Roman"/>
                <w:sz w:val="25"/>
              </w:rPr>
            </w:pPr>
          </w:p>
          <w:p>
            <w:pPr>
              <w:pStyle w:val="TableParagraph"/>
              <w:spacing w:line="273" w:lineRule="auto" w:before="0"/>
              <w:ind w:left="108" w:right="308"/>
              <w:jc w:val="both"/>
              <w:rPr>
                <w:sz w:val="21"/>
              </w:rPr>
            </w:pPr>
            <w:r>
              <w:rPr>
                <w:spacing w:val="-5"/>
                <w:sz w:val="21"/>
              </w:rPr>
              <w:t>指中华人民共和国刑法规定的鸦片、海洛因、甲基苯丙胺</w:t>
            </w:r>
            <w:r>
              <w:rPr>
                <w:sz w:val="21"/>
              </w:rPr>
              <w:t>（冰毒</w:t>
            </w:r>
            <w:r>
              <w:rPr>
                <w:spacing w:val="-111"/>
                <w:sz w:val="21"/>
              </w:rPr>
              <w:t>）</w:t>
            </w:r>
            <w:r>
              <w:rPr>
                <w:sz w:val="21"/>
              </w:rPr>
              <w:t>、吗啡、</w:t>
            </w:r>
            <w:r>
              <w:rPr>
                <w:spacing w:val="-10"/>
                <w:sz w:val="21"/>
              </w:rPr>
              <w:t>大麻、可卡因以及国家规定管制的其他能够使人形成瘾癖的麻醉药品和精神</w:t>
            </w:r>
            <w:r>
              <w:rPr>
                <w:spacing w:val="-12"/>
                <w:sz w:val="21"/>
              </w:rPr>
              <w:t>药品，但不包括由医生开具并遵医嘱使用的用于治疗疾病但含有毒品成分的处方药品。</w:t>
            </w:r>
          </w:p>
        </w:tc>
      </w:tr>
      <w:tr>
        <w:trPr>
          <w:trHeight w:val="1248" w:hRule="atLeast"/>
        </w:trPr>
        <w:tc>
          <w:tcPr>
            <w:tcW w:w="870" w:type="dxa"/>
          </w:tcPr>
          <w:p>
            <w:pPr>
              <w:pStyle w:val="TableParagraph"/>
              <w:spacing w:before="142"/>
              <w:ind w:left="200"/>
              <w:rPr>
                <w:b/>
                <w:sz w:val="21"/>
              </w:rPr>
            </w:pPr>
            <w:r>
              <w:rPr>
                <w:b/>
                <w:sz w:val="21"/>
              </w:rPr>
              <w:t>6.11</w:t>
            </w:r>
          </w:p>
        </w:tc>
        <w:tc>
          <w:tcPr>
            <w:tcW w:w="2045" w:type="dxa"/>
          </w:tcPr>
          <w:p>
            <w:pPr>
              <w:pStyle w:val="TableParagraph"/>
              <w:spacing w:before="142"/>
              <w:ind w:left="247"/>
              <w:rPr>
                <w:b/>
                <w:sz w:val="21"/>
              </w:rPr>
            </w:pPr>
            <w:r>
              <w:rPr>
                <w:b/>
                <w:sz w:val="21"/>
              </w:rPr>
              <w:t>酒后驾驶</w:t>
            </w:r>
          </w:p>
        </w:tc>
        <w:tc>
          <w:tcPr>
            <w:tcW w:w="7273" w:type="dxa"/>
          </w:tcPr>
          <w:p>
            <w:pPr>
              <w:pStyle w:val="TableParagraph"/>
              <w:spacing w:line="273" w:lineRule="auto" w:before="142"/>
              <w:ind w:left="108" w:right="307"/>
              <w:jc w:val="both"/>
              <w:rPr>
                <w:sz w:val="21"/>
              </w:rPr>
            </w:pPr>
            <w:r>
              <w:rPr>
                <w:spacing w:val="-10"/>
                <w:sz w:val="21"/>
              </w:rPr>
              <w:t>指经检测或鉴定，发生事故时车辆驾驶人员每百毫升血液中的酒精含量达到</w:t>
            </w:r>
            <w:r>
              <w:rPr>
                <w:spacing w:val="-11"/>
                <w:sz w:val="21"/>
              </w:rPr>
              <w:t>或超过一定的标准，公安机关交通管理部门依据《道路交通安全法》的规定</w:t>
            </w:r>
            <w:r>
              <w:rPr>
                <w:spacing w:val="-7"/>
                <w:sz w:val="21"/>
              </w:rPr>
              <w:t>认定为饮酒后驾驶或醉酒后驾驶。</w:t>
            </w:r>
          </w:p>
        </w:tc>
      </w:tr>
      <w:tr>
        <w:trPr>
          <w:trHeight w:val="2184" w:hRule="atLeast"/>
        </w:trPr>
        <w:tc>
          <w:tcPr>
            <w:tcW w:w="870" w:type="dxa"/>
          </w:tcPr>
          <w:p>
            <w:pPr>
              <w:pStyle w:val="TableParagraph"/>
              <w:spacing w:before="142"/>
              <w:ind w:left="200"/>
              <w:rPr>
                <w:b/>
                <w:sz w:val="21"/>
              </w:rPr>
            </w:pPr>
            <w:r>
              <w:rPr>
                <w:b/>
                <w:sz w:val="21"/>
              </w:rPr>
              <w:t>6.12</w:t>
            </w:r>
          </w:p>
        </w:tc>
        <w:tc>
          <w:tcPr>
            <w:tcW w:w="2045" w:type="dxa"/>
          </w:tcPr>
          <w:p>
            <w:pPr>
              <w:pStyle w:val="TableParagraph"/>
              <w:spacing w:line="273" w:lineRule="auto" w:before="142"/>
              <w:ind w:left="247" w:right="106"/>
              <w:rPr>
                <w:b/>
                <w:sz w:val="21"/>
              </w:rPr>
            </w:pPr>
            <w:r>
              <w:rPr>
                <w:b/>
                <w:sz w:val="21"/>
              </w:rPr>
              <w:t>无合法有效驾驶证驾驶</w:t>
            </w:r>
          </w:p>
        </w:tc>
        <w:tc>
          <w:tcPr>
            <w:tcW w:w="7273" w:type="dxa"/>
          </w:tcPr>
          <w:p>
            <w:pPr>
              <w:pStyle w:val="TableParagraph"/>
              <w:spacing w:before="142"/>
              <w:ind w:left="108"/>
              <w:rPr>
                <w:sz w:val="21"/>
              </w:rPr>
            </w:pPr>
            <w:r>
              <w:rPr>
                <w:sz w:val="21"/>
              </w:rPr>
              <w:t>指下列情形之一：</w:t>
            </w:r>
          </w:p>
          <w:p>
            <w:pPr>
              <w:pStyle w:val="TableParagraph"/>
              <w:spacing w:before="36"/>
              <w:ind w:left="180"/>
              <w:rPr>
                <w:sz w:val="21"/>
              </w:rPr>
            </w:pPr>
            <w:r>
              <w:rPr>
                <w:sz w:val="21"/>
              </w:rPr>
              <w:t>（1）没有取得驾驶资格；</w:t>
            </w:r>
          </w:p>
          <w:p>
            <w:pPr>
              <w:pStyle w:val="TableParagraph"/>
              <w:ind w:left="180"/>
              <w:rPr>
                <w:sz w:val="21"/>
              </w:rPr>
            </w:pPr>
            <w:r>
              <w:rPr>
                <w:sz w:val="21"/>
              </w:rPr>
              <w:t>（2）驾驶与驾驶证准驾车型不相符合的车辆；</w:t>
            </w:r>
          </w:p>
          <w:p>
            <w:pPr>
              <w:pStyle w:val="TableParagraph"/>
              <w:ind w:left="180"/>
              <w:rPr>
                <w:sz w:val="21"/>
              </w:rPr>
            </w:pPr>
            <w:r>
              <w:rPr>
                <w:sz w:val="21"/>
              </w:rPr>
              <w:t>（3）持审验不合格的驾驶证驾驶；</w:t>
            </w:r>
          </w:p>
          <w:p>
            <w:pPr>
              <w:pStyle w:val="TableParagraph"/>
              <w:spacing w:line="273" w:lineRule="auto"/>
              <w:ind w:left="704" w:right="307" w:hanging="524"/>
              <w:rPr>
                <w:sz w:val="21"/>
              </w:rPr>
            </w:pPr>
            <w:r>
              <w:rPr>
                <w:spacing w:val="-4"/>
                <w:sz w:val="21"/>
              </w:rPr>
              <w:t>（4）</w:t>
            </w:r>
            <w:r>
              <w:rPr>
                <w:spacing w:val="-8"/>
                <w:sz w:val="21"/>
              </w:rPr>
              <w:t>持学习驾驶证学习驾车时，无教练员随车指导，或不按指定时间、路</w:t>
            </w:r>
            <w:r>
              <w:rPr>
                <w:spacing w:val="-7"/>
                <w:sz w:val="21"/>
              </w:rPr>
              <w:t>线学习驾车。</w:t>
            </w:r>
          </w:p>
        </w:tc>
      </w:tr>
      <w:tr>
        <w:trPr>
          <w:trHeight w:val="1248" w:hRule="atLeast"/>
        </w:trPr>
        <w:tc>
          <w:tcPr>
            <w:tcW w:w="870" w:type="dxa"/>
          </w:tcPr>
          <w:p>
            <w:pPr>
              <w:pStyle w:val="TableParagraph"/>
              <w:spacing w:before="143"/>
              <w:ind w:left="200"/>
              <w:rPr>
                <w:b/>
                <w:sz w:val="21"/>
              </w:rPr>
            </w:pPr>
            <w:r>
              <w:rPr>
                <w:b/>
                <w:sz w:val="21"/>
              </w:rPr>
              <w:t>6.13</w:t>
            </w:r>
          </w:p>
        </w:tc>
        <w:tc>
          <w:tcPr>
            <w:tcW w:w="2045" w:type="dxa"/>
          </w:tcPr>
          <w:p>
            <w:pPr>
              <w:pStyle w:val="TableParagraph"/>
              <w:spacing w:before="143"/>
              <w:ind w:left="247"/>
              <w:rPr>
                <w:b/>
                <w:sz w:val="21"/>
              </w:rPr>
            </w:pPr>
            <w:r>
              <w:rPr>
                <w:b/>
                <w:sz w:val="21"/>
              </w:rPr>
              <w:t>无有效行驶证</w:t>
            </w:r>
          </w:p>
        </w:tc>
        <w:tc>
          <w:tcPr>
            <w:tcW w:w="7273" w:type="dxa"/>
          </w:tcPr>
          <w:p>
            <w:pPr>
              <w:pStyle w:val="TableParagraph"/>
              <w:spacing w:before="143"/>
              <w:ind w:left="108"/>
              <w:rPr>
                <w:sz w:val="21"/>
              </w:rPr>
            </w:pPr>
            <w:r>
              <w:rPr>
                <w:sz w:val="21"/>
              </w:rPr>
              <w:t>指下列情形之一：</w:t>
            </w:r>
          </w:p>
          <w:p>
            <w:pPr>
              <w:pStyle w:val="TableParagraph"/>
              <w:ind w:left="108"/>
              <w:rPr>
                <w:sz w:val="21"/>
              </w:rPr>
            </w:pPr>
            <w:r>
              <w:rPr>
                <w:sz w:val="21"/>
              </w:rPr>
              <w:t>（1）机动车被依法注销登记的；</w:t>
            </w:r>
          </w:p>
          <w:p>
            <w:pPr>
              <w:pStyle w:val="TableParagraph"/>
              <w:ind w:left="108"/>
              <w:rPr>
                <w:sz w:val="21"/>
              </w:rPr>
            </w:pPr>
            <w:r>
              <w:rPr>
                <w:sz w:val="21"/>
              </w:rPr>
              <w:t>（2）未依法按时进行或通过机动车安全技术检验。</w:t>
            </w:r>
          </w:p>
        </w:tc>
      </w:tr>
      <w:tr>
        <w:trPr>
          <w:trHeight w:val="417" w:hRule="atLeast"/>
        </w:trPr>
        <w:tc>
          <w:tcPr>
            <w:tcW w:w="870" w:type="dxa"/>
          </w:tcPr>
          <w:p>
            <w:pPr>
              <w:pStyle w:val="TableParagraph"/>
              <w:spacing w:line="255" w:lineRule="exact" w:before="142"/>
              <w:ind w:left="200"/>
              <w:rPr>
                <w:b/>
                <w:sz w:val="21"/>
              </w:rPr>
            </w:pPr>
            <w:r>
              <w:rPr>
                <w:b/>
                <w:sz w:val="21"/>
              </w:rPr>
              <w:t>6.14</w:t>
            </w:r>
          </w:p>
        </w:tc>
        <w:tc>
          <w:tcPr>
            <w:tcW w:w="2045" w:type="dxa"/>
          </w:tcPr>
          <w:p>
            <w:pPr>
              <w:pStyle w:val="TableParagraph"/>
              <w:spacing w:line="255" w:lineRule="exact" w:before="142"/>
              <w:ind w:left="247"/>
              <w:rPr>
                <w:b/>
                <w:sz w:val="21"/>
              </w:rPr>
            </w:pPr>
            <w:r>
              <w:rPr>
                <w:b/>
                <w:sz w:val="21"/>
              </w:rPr>
              <w:t>潜水</w:t>
            </w:r>
          </w:p>
        </w:tc>
        <w:tc>
          <w:tcPr>
            <w:tcW w:w="7273" w:type="dxa"/>
          </w:tcPr>
          <w:p>
            <w:pPr>
              <w:pStyle w:val="TableParagraph"/>
              <w:spacing w:line="255" w:lineRule="exact" w:before="142"/>
              <w:ind w:left="108"/>
              <w:rPr>
                <w:sz w:val="21"/>
              </w:rPr>
            </w:pPr>
            <w:r>
              <w:rPr>
                <w:sz w:val="21"/>
              </w:rPr>
              <w:t>指以辅助呼吸器材在江、河、湖、海、水库、运河等水域进行的水下运动。</w:t>
            </w:r>
          </w:p>
        </w:tc>
      </w:tr>
    </w:tbl>
    <w:p>
      <w:pPr>
        <w:spacing w:after="0" w:line="255" w:lineRule="exact"/>
        <w:rPr>
          <w:sz w:val="21"/>
        </w:rPr>
        <w:sectPr>
          <w:pgSz w:w="11910" w:h="16840"/>
          <w:pgMar w:header="496" w:footer="995" w:top="800" w:bottom="1180" w:left="760" w:right="740"/>
        </w:sectPr>
      </w:pPr>
    </w:p>
    <w:p>
      <w:pPr>
        <w:pStyle w:val="BodyText"/>
        <w:rPr>
          <w:rFonts w:ascii="Times New Roman"/>
          <w:sz w:val="20"/>
        </w:rPr>
      </w:pPr>
    </w:p>
    <w:p>
      <w:pPr>
        <w:pStyle w:val="BodyText"/>
        <w:spacing w:before="9" w:after="1"/>
        <w:rPr>
          <w:rFonts w:ascii="Times New Roman"/>
          <w:sz w:val="12"/>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
        <w:gridCol w:w="2045"/>
        <w:gridCol w:w="7168"/>
      </w:tblGrid>
      <w:tr>
        <w:trPr>
          <w:trHeight w:val="417" w:hRule="atLeast"/>
        </w:trPr>
        <w:tc>
          <w:tcPr>
            <w:tcW w:w="870" w:type="dxa"/>
          </w:tcPr>
          <w:p>
            <w:pPr>
              <w:pStyle w:val="TableParagraph"/>
              <w:spacing w:line="211" w:lineRule="exact" w:before="0"/>
              <w:ind w:left="200"/>
              <w:rPr>
                <w:b/>
                <w:sz w:val="21"/>
              </w:rPr>
            </w:pPr>
            <w:r>
              <w:rPr>
                <w:b/>
                <w:sz w:val="21"/>
              </w:rPr>
              <w:t>6.15</w:t>
            </w:r>
          </w:p>
        </w:tc>
        <w:tc>
          <w:tcPr>
            <w:tcW w:w="2045" w:type="dxa"/>
          </w:tcPr>
          <w:p>
            <w:pPr>
              <w:pStyle w:val="TableParagraph"/>
              <w:spacing w:line="211" w:lineRule="exact" w:before="0"/>
              <w:ind w:left="247"/>
              <w:rPr>
                <w:b/>
                <w:sz w:val="21"/>
              </w:rPr>
            </w:pPr>
            <w:r>
              <w:rPr>
                <w:b/>
                <w:sz w:val="21"/>
              </w:rPr>
              <w:t>攀岩</w:t>
            </w:r>
          </w:p>
        </w:tc>
        <w:tc>
          <w:tcPr>
            <w:tcW w:w="7168" w:type="dxa"/>
          </w:tcPr>
          <w:p>
            <w:pPr>
              <w:pStyle w:val="TableParagraph"/>
              <w:spacing w:line="211" w:lineRule="exact" w:before="0"/>
              <w:ind w:left="108"/>
              <w:rPr>
                <w:sz w:val="21"/>
              </w:rPr>
            </w:pPr>
            <w:r>
              <w:rPr>
                <w:sz w:val="21"/>
              </w:rPr>
              <w:t>指攀登悬崖、建筑物外墙、人造悬崖、冰崖、冰ft等运动。</w:t>
            </w:r>
          </w:p>
        </w:tc>
      </w:tr>
      <w:tr>
        <w:trPr>
          <w:trHeight w:val="1248" w:hRule="atLeast"/>
        </w:trPr>
        <w:tc>
          <w:tcPr>
            <w:tcW w:w="870" w:type="dxa"/>
          </w:tcPr>
          <w:p>
            <w:pPr>
              <w:pStyle w:val="TableParagraph"/>
              <w:spacing w:before="142"/>
              <w:ind w:left="200"/>
              <w:rPr>
                <w:b/>
                <w:sz w:val="21"/>
              </w:rPr>
            </w:pPr>
            <w:r>
              <w:rPr>
                <w:b/>
                <w:sz w:val="21"/>
              </w:rPr>
              <w:t>6.16</w:t>
            </w:r>
          </w:p>
        </w:tc>
        <w:tc>
          <w:tcPr>
            <w:tcW w:w="2045" w:type="dxa"/>
          </w:tcPr>
          <w:p>
            <w:pPr>
              <w:pStyle w:val="TableParagraph"/>
              <w:spacing w:before="142"/>
              <w:ind w:left="247"/>
              <w:rPr>
                <w:b/>
                <w:sz w:val="21"/>
              </w:rPr>
            </w:pPr>
            <w:r>
              <w:rPr>
                <w:b/>
                <w:sz w:val="21"/>
              </w:rPr>
              <w:t>探险活动</w:t>
            </w:r>
          </w:p>
        </w:tc>
        <w:tc>
          <w:tcPr>
            <w:tcW w:w="7168" w:type="dxa"/>
          </w:tcPr>
          <w:p>
            <w:pPr>
              <w:pStyle w:val="TableParagraph"/>
              <w:spacing w:line="273" w:lineRule="auto" w:before="142"/>
              <w:ind w:left="108" w:right="203"/>
              <w:jc w:val="both"/>
              <w:rPr>
                <w:sz w:val="21"/>
              </w:rPr>
            </w:pPr>
            <w:r>
              <w:rPr>
                <w:spacing w:val="-8"/>
                <w:sz w:val="21"/>
              </w:rPr>
              <w:t>指明知在某种特定的自然条件下有失去生命或使身体受到伤害的危险，而故</w:t>
            </w:r>
            <w:r>
              <w:rPr>
                <w:spacing w:val="-11"/>
                <w:sz w:val="21"/>
              </w:rPr>
              <w:t>意使自己置身其中的行为。包括但不限于江河漂流、徒步穿越沙漠或人迹罕</w:t>
            </w:r>
            <w:r>
              <w:rPr>
                <w:spacing w:val="-7"/>
                <w:sz w:val="21"/>
              </w:rPr>
              <w:t>至的原始森林等活动。</w:t>
            </w:r>
          </w:p>
        </w:tc>
      </w:tr>
      <w:tr>
        <w:trPr>
          <w:trHeight w:val="936" w:hRule="atLeast"/>
        </w:trPr>
        <w:tc>
          <w:tcPr>
            <w:tcW w:w="870" w:type="dxa"/>
          </w:tcPr>
          <w:p>
            <w:pPr>
              <w:pStyle w:val="TableParagraph"/>
              <w:spacing w:before="142"/>
              <w:ind w:left="200"/>
              <w:rPr>
                <w:b/>
                <w:sz w:val="21"/>
              </w:rPr>
            </w:pPr>
            <w:r>
              <w:rPr>
                <w:b/>
                <w:sz w:val="21"/>
              </w:rPr>
              <w:t>6.17</w:t>
            </w:r>
          </w:p>
        </w:tc>
        <w:tc>
          <w:tcPr>
            <w:tcW w:w="2045" w:type="dxa"/>
          </w:tcPr>
          <w:p>
            <w:pPr>
              <w:pStyle w:val="TableParagraph"/>
              <w:spacing w:before="142"/>
              <w:ind w:left="247"/>
              <w:rPr>
                <w:b/>
                <w:sz w:val="21"/>
              </w:rPr>
            </w:pPr>
            <w:r>
              <w:rPr>
                <w:b/>
                <w:sz w:val="21"/>
              </w:rPr>
              <w:t>武术比赛</w:t>
            </w:r>
          </w:p>
        </w:tc>
        <w:tc>
          <w:tcPr>
            <w:tcW w:w="7168" w:type="dxa"/>
          </w:tcPr>
          <w:p>
            <w:pPr>
              <w:pStyle w:val="TableParagraph"/>
              <w:spacing w:line="273" w:lineRule="auto" w:before="142"/>
              <w:ind w:left="108" w:right="203"/>
              <w:rPr>
                <w:sz w:val="21"/>
              </w:rPr>
            </w:pPr>
            <w:r>
              <w:rPr>
                <w:spacing w:val="-8"/>
                <w:sz w:val="21"/>
              </w:rPr>
              <w:t>指两人或两人以上对抗柔道、空手道、跆拳道、散打、拳击等各种拳术及各</w:t>
            </w:r>
            <w:r>
              <w:rPr>
                <w:spacing w:val="-6"/>
                <w:sz w:val="21"/>
              </w:rPr>
              <w:t>种使用器械的对抗性比赛。</w:t>
            </w:r>
          </w:p>
        </w:tc>
      </w:tr>
      <w:tr>
        <w:trPr>
          <w:trHeight w:val="936" w:hRule="atLeast"/>
        </w:trPr>
        <w:tc>
          <w:tcPr>
            <w:tcW w:w="870" w:type="dxa"/>
          </w:tcPr>
          <w:p>
            <w:pPr>
              <w:pStyle w:val="TableParagraph"/>
              <w:spacing w:before="143"/>
              <w:ind w:left="200"/>
              <w:rPr>
                <w:b/>
                <w:sz w:val="21"/>
              </w:rPr>
            </w:pPr>
            <w:r>
              <w:rPr>
                <w:b/>
                <w:sz w:val="21"/>
              </w:rPr>
              <w:t>6.18</w:t>
            </w:r>
          </w:p>
        </w:tc>
        <w:tc>
          <w:tcPr>
            <w:tcW w:w="2045" w:type="dxa"/>
          </w:tcPr>
          <w:p>
            <w:pPr>
              <w:pStyle w:val="TableParagraph"/>
              <w:spacing w:before="143"/>
              <w:ind w:left="247"/>
              <w:rPr>
                <w:b/>
                <w:sz w:val="21"/>
              </w:rPr>
            </w:pPr>
            <w:r>
              <w:rPr>
                <w:b/>
                <w:sz w:val="21"/>
              </w:rPr>
              <w:t>遗传性疾病</w:t>
            </w:r>
          </w:p>
        </w:tc>
        <w:tc>
          <w:tcPr>
            <w:tcW w:w="7168" w:type="dxa"/>
          </w:tcPr>
          <w:p>
            <w:pPr>
              <w:pStyle w:val="TableParagraph"/>
              <w:spacing w:line="273" w:lineRule="auto" w:before="143"/>
              <w:ind w:left="108" w:right="126"/>
              <w:rPr>
                <w:sz w:val="21"/>
              </w:rPr>
            </w:pPr>
            <w:r>
              <w:rPr>
                <w:sz w:val="21"/>
              </w:rPr>
              <w:t>指生殖细胞或受精卵的遗传物质（染色体和基因）发生突变或畸变所引起的疾病，通常具有由亲代传至后代的垂直传递的特征。</w:t>
            </w:r>
          </w:p>
        </w:tc>
      </w:tr>
      <w:tr>
        <w:trPr>
          <w:trHeight w:val="1248" w:hRule="atLeast"/>
        </w:trPr>
        <w:tc>
          <w:tcPr>
            <w:tcW w:w="870" w:type="dxa"/>
          </w:tcPr>
          <w:p>
            <w:pPr>
              <w:pStyle w:val="TableParagraph"/>
              <w:spacing w:before="142"/>
              <w:ind w:left="200"/>
              <w:rPr>
                <w:b/>
                <w:sz w:val="21"/>
              </w:rPr>
            </w:pPr>
            <w:r>
              <w:rPr>
                <w:b/>
                <w:sz w:val="21"/>
              </w:rPr>
              <w:t>6.19</w:t>
            </w:r>
          </w:p>
        </w:tc>
        <w:tc>
          <w:tcPr>
            <w:tcW w:w="2045" w:type="dxa"/>
          </w:tcPr>
          <w:p>
            <w:pPr>
              <w:pStyle w:val="TableParagraph"/>
              <w:spacing w:line="273" w:lineRule="auto" w:before="142"/>
              <w:ind w:left="247" w:right="106"/>
              <w:rPr>
                <w:b/>
                <w:sz w:val="21"/>
              </w:rPr>
            </w:pPr>
            <w:r>
              <w:rPr>
                <w:b/>
                <w:sz w:val="21"/>
              </w:rPr>
              <w:t>先天性畸形、变形或染色体异常</w:t>
            </w:r>
          </w:p>
        </w:tc>
        <w:tc>
          <w:tcPr>
            <w:tcW w:w="7168" w:type="dxa"/>
          </w:tcPr>
          <w:p>
            <w:pPr>
              <w:pStyle w:val="TableParagraph"/>
              <w:spacing w:line="273" w:lineRule="auto" w:before="142"/>
              <w:ind w:left="108" w:right="197"/>
              <w:rPr>
                <w:sz w:val="21"/>
              </w:rPr>
            </w:pPr>
            <w:r>
              <w:rPr>
                <w:spacing w:val="-7"/>
                <w:sz w:val="21"/>
              </w:rPr>
              <w:t>指被保险人出生时就具有的畸形、变形或染色体异常。先天性畸形、变形和</w:t>
            </w:r>
            <w:r>
              <w:rPr>
                <w:spacing w:val="-6"/>
                <w:sz w:val="21"/>
              </w:rPr>
              <w:t>染色体异常依照世界卫生组织《疾病和有关健康问题的国际统计分类》</w:t>
            </w:r>
          </w:p>
          <w:p>
            <w:pPr>
              <w:pStyle w:val="TableParagraph"/>
              <w:spacing w:before="7"/>
              <w:ind w:left="108"/>
              <w:rPr>
                <w:sz w:val="21"/>
              </w:rPr>
            </w:pPr>
            <w:r>
              <w:rPr>
                <w:sz w:val="21"/>
              </w:rPr>
              <w:t>（ICD-10）确定。</w:t>
            </w:r>
          </w:p>
        </w:tc>
      </w:tr>
      <w:tr>
        <w:trPr>
          <w:trHeight w:val="936" w:hRule="atLeast"/>
        </w:trPr>
        <w:tc>
          <w:tcPr>
            <w:tcW w:w="870" w:type="dxa"/>
          </w:tcPr>
          <w:p>
            <w:pPr>
              <w:pStyle w:val="TableParagraph"/>
              <w:spacing w:before="142"/>
              <w:ind w:left="200"/>
              <w:rPr>
                <w:b/>
                <w:sz w:val="21"/>
              </w:rPr>
            </w:pPr>
            <w:r>
              <w:rPr>
                <w:b/>
                <w:sz w:val="21"/>
              </w:rPr>
              <w:t>6.20</w:t>
            </w:r>
          </w:p>
        </w:tc>
        <w:tc>
          <w:tcPr>
            <w:tcW w:w="2045" w:type="dxa"/>
          </w:tcPr>
          <w:p>
            <w:pPr>
              <w:pStyle w:val="TableParagraph"/>
              <w:spacing w:before="142"/>
              <w:ind w:left="247"/>
              <w:rPr>
                <w:b/>
                <w:sz w:val="21"/>
              </w:rPr>
            </w:pPr>
            <w:r>
              <w:rPr>
                <w:b/>
                <w:sz w:val="21"/>
              </w:rPr>
              <w:t>本合同约定利率</w:t>
            </w:r>
          </w:p>
        </w:tc>
        <w:tc>
          <w:tcPr>
            <w:tcW w:w="7168" w:type="dxa"/>
          </w:tcPr>
          <w:p>
            <w:pPr>
              <w:pStyle w:val="TableParagraph"/>
              <w:spacing w:line="273" w:lineRule="auto" w:before="142"/>
              <w:ind w:left="108" w:right="333"/>
              <w:rPr>
                <w:sz w:val="21"/>
              </w:rPr>
            </w:pPr>
            <w:r>
              <w:rPr>
                <w:sz w:val="21"/>
              </w:rPr>
              <w:t>由本公司参照同期中国人民银行短期贷款基准利率作相应浮动后确定并宣布，宣布时间分别为每年的一月一日和七月一日。</w:t>
            </w:r>
          </w:p>
        </w:tc>
      </w:tr>
      <w:tr>
        <w:trPr>
          <w:trHeight w:val="1248" w:hRule="atLeast"/>
        </w:trPr>
        <w:tc>
          <w:tcPr>
            <w:tcW w:w="870" w:type="dxa"/>
          </w:tcPr>
          <w:p>
            <w:pPr>
              <w:pStyle w:val="TableParagraph"/>
              <w:spacing w:before="143"/>
              <w:ind w:left="200"/>
              <w:rPr>
                <w:b/>
                <w:sz w:val="21"/>
              </w:rPr>
            </w:pPr>
            <w:r>
              <w:rPr>
                <w:b/>
                <w:sz w:val="21"/>
              </w:rPr>
              <w:t>6.21</w:t>
            </w:r>
          </w:p>
        </w:tc>
        <w:tc>
          <w:tcPr>
            <w:tcW w:w="2045" w:type="dxa"/>
          </w:tcPr>
          <w:p>
            <w:pPr>
              <w:pStyle w:val="TableParagraph"/>
              <w:spacing w:line="273" w:lineRule="auto" w:before="143"/>
              <w:ind w:left="247" w:right="106"/>
              <w:rPr>
                <w:b/>
                <w:sz w:val="21"/>
              </w:rPr>
            </w:pPr>
            <w:r>
              <w:rPr>
                <w:b/>
                <w:sz w:val="21"/>
              </w:rPr>
              <w:t>本公司认可的医疗机构</w:t>
            </w:r>
          </w:p>
        </w:tc>
        <w:tc>
          <w:tcPr>
            <w:tcW w:w="7168" w:type="dxa"/>
          </w:tcPr>
          <w:p>
            <w:pPr>
              <w:pStyle w:val="TableParagraph"/>
              <w:spacing w:line="273" w:lineRule="auto" w:before="143"/>
              <w:ind w:left="108" w:right="200"/>
              <w:jc w:val="both"/>
              <w:rPr>
                <w:sz w:val="21"/>
              </w:rPr>
            </w:pPr>
            <w:r>
              <w:rPr>
                <w:spacing w:val="-9"/>
                <w:sz w:val="21"/>
              </w:rPr>
              <w:t>指本公司指定的医院或当地基本医疗保险定点医院。本公司指定的医院名单</w:t>
            </w:r>
            <w:r>
              <w:rPr>
                <w:spacing w:val="-11"/>
                <w:sz w:val="21"/>
              </w:rPr>
              <w:t>会在投保时展示给投保人，并随保单附送一份。如因病情紧急，未能在本公</w:t>
            </w:r>
            <w:r>
              <w:rPr>
                <w:spacing w:val="-9"/>
                <w:sz w:val="21"/>
              </w:rPr>
              <w:t>司认可的医疗机构就医，务必在 </w:t>
            </w:r>
            <w:r>
              <w:rPr>
                <w:sz w:val="21"/>
              </w:rPr>
              <w:t>3</w:t>
            </w:r>
            <w:r>
              <w:rPr>
                <w:spacing w:val="-7"/>
                <w:sz w:val="21"/>
              </w:rPr>
              <w:t> 日内转入本公司认可的医疗机构。</w:t>
            </w:r>
          </w:p>
        </w:tc>
      </w:tr>
      <w:tr>
        <w:trPr>
          <w:trHeight w:val="2504" w:hRule="atLeast"/>
        </w:trPr>
        <w:tc>
          <w:tcPr>
            <w:tcW w:w="870" w:type="dxa"/>
          </w:tcPr>
          <w:p>
            <w:pPr>
              <w:pStyle w:val="TableParagraph"/>
              <w:spacing w:before="142"/>
              <w:ind w:left="200"/>
              <w:rPr>
                <w:b/>
                <w:sz w:val="21"/>
              </w:rPr>
            </w:pPr>
            <w:r>
              <w:rPr>
                <w:b/>
                <w:sz w:val="21"/>
              </w:rPr>
              <w:t>6.22</w:t>
            </w:r>
          </w:p>
        </w:tc>
        <w:tc>
          <w:tcPr>
            <w:tcW w:w="2045" w:type="dxa"/>
          </w:tcPr>
          <w:p>
            <w:pPr>
              <w:pStyle w:val="TableParagraph"/>
              <w:spacing w:line="273" w:lineRule="auto" w:before="142"/>
              <w:ind w:left="247" w:right="106"/>
              <w:rPr>
                <w:b/>
                <w:sz w:val="21"/>
              </w:rPr>
            </w:pPr>
            <w:r>
              <w:rPr>
                <w:b/>
                <w:sz w:val="21"/>
              </w:rPr>
              <w:t>六项基本日常生活活动</w:t>
            </w:r>
          </w:p>
        </w:tc>
        <w:tc>
          <w:tcPr>
            <w:tcW w:w="7168" w:type="dxa"/>
          </w:tcPr>
          <w:p>
            <w:pPr>
              <w:pStyle w:val="TableParagraph"/>
              <w:spacing w:before="142"/>
              <w:ind w:left="108"/>
              <w:rPr>
                <w:sz w:val="21"/>
              </w:rPr>
            </w:pPr>
            <w:r>
              <w:rPr>
                <w:sz w:val="21"/>
              </w:rPr>
              <w:t>六项基本日常生活活动是指：</w:t>
            </w:r>
          </w:p>
          <w:p>
            <w:pPr>
              <w:pStyle w:val="TableParagraph"/>
              <w:spacing w:before="36"/>
              <w:ind w:left="108"/>
              <w:rPr>
                <w:sz w:val="21"/>
              </w:rPr>
            </w:pPr>
            <w:r>
              <w:rPr>
                <w:sz w:val="21"/>
              </w:rPr>
              <w:t>（1）穿衣：自己能够穿衣及脱衣；</w:t>
            </w:r>
          </w:p>
          <w:p>
            <w:pPr>
              <w:pStyle w:val="TableParagraph"/>
              <w:ind w:left="108"/>
              <w:rPr>
                <w:sz w:val="21"/>
              </w:rPr>
            </w:pPr>
            <w:r>
              <w:rPr>
                <w:sz w:val="21"/>
              </w:rPr>
              <w:t>（2）移动：自己从一个房间到另一个房间；</w:t>
            </w:r>
          </w:p>
          <w:p>
            <w:pPr>
              <w:pStyle w:val="TableParagraph"/>
              <w:ind w:left="108"/>
              <w:rPr>
                <w:sz w:val="21"/>
              </w:rPr>
            </w:pPr>
            <w:r>
              <w:rPr>
                <w:sz w:val="21"/>
              </w:rPr>
              <w:t>（3）行动：自己上下床或上下轮椅；</w:t>
            </w:r>
          </w:p>
          <w:p>
            <w:pPr>
              <w:pStyle w:val="TableParagraph"/>
              <w:ind w:left="108"/>
              <w:rPr>
                <w:sz w:val="21"/>
              </w:rPr>
            </w:pPr>
            <w:r>
              <w:rPr>
                <w:sz w:val="21"/>
              </w:rPr>
              <w:t>（4）如厕：自己控制进行大小便；</w:t>
            </w:r>
          </w:p>
          <w:p>
            <w:pPr>
              <w:pStyle w:val="TableParagraph"/>
              <w:ind w:left="108"/>
              <w:rPr>
                <w:sz w:val="21"/>
              </w:rPr>
            </w:pPr>
            <w:r>
              <w:rPr>
                <w:sz w:val="21"/>
              </w:rPr>
              <w:t>（5）进食：自己从已准备好的碗或碟中取食物放入口中；</w:t>
            </w:r>
          </w:p>
          <w:p>
            <w:pPr>
              <w:pStyle w:val="TableParagraph"/>
              <w:ind w:left="108"/>
              <w:rPr>
                <w:sz w:val="21"/>
              </w:rPr>
            </w:pPr>
            <w:r>
              <w:rPr>
                <w:sz w:val="21"/>
              </w:rPr>
              <w:t>（</w:t>
            </w:r>
            <w:r>
              <w:rPr>
                <w:rFonts w:ascii="Times New Roman" w:eastAsia="Times New Roman"/>
                <w:sz w:val="21"/>
              </w:rPr>
              <w:t>6</w:t>
            </w:r>
            <w:r>
              <w:rPr>
                <w:sz w:val="21"/>
              </w:rPr>
              <w:t>）洗澡：自己进行淋浴或盆浴。</w:t>
            </w:r>
          </w:p>
        </w:tc>
      </w:tr>
      <w:tr>
        <w:trPr>
          <w:trHeight w:val="928" w:hRule="atLeast"/>
        </w:trPr>
        <w:tc>
          <w:tcPr>
            <w:tcW w:w="870" w:type="dxa"/>
          </w:tcPr>
          <w:p>
            <w:pPr>
              <w:pStyle w:val="TableParagraph"/>
              <w:spacing w:before="135"/>
              <w:ind w:left="200"/>
              <w:rPr>
                <w:b/>
                <w:sz w:val="21"/>
              </w:rPr>
            </w:pPr>
            <w:r>
              <w:rPr>
                <w:b/>
                <w:sz w:val="21"/>
              </w:rPr>
              <w:t>6.23</w:t>
            </w:r>
          </w:p>
        </w:tc>
        <w:tc>
          <w:tcPr>
            <w:tcW w:w="2045" w:type="dxa"/>
          </w:tcPr>
          <w:p>
            <w:pPr>
              <w:pStyle w:val="TableParagraph"/>
              <w:spacing w:before="135"/>
              <w:ind w:left="247"/>
              <w:rPr>
                <w:b/>
                <w:sz w:val="21"/>
              </w:rPr>
            </w:pPr>
            <w:r>
              <w:rPr>
                <w:b/>
                <w:sz w:val="21"/>
              </w:rPr>
              <w:t>肢体机能完全丧失</w:t>
            </w:r>
          </w:p>
        </w:tc>
        <w:tc>
          <w:tcPr>
            <w:tcW w:w="7168" w:type="dxa"/>
          </w:tcPr>
          <w:p>
            <w:pPr>
              <w:pStyle w:val="TableParagraph"/>
              <w:spacing w:line="273" w:lineRule="auto" w:before="135"/>
              <w:ind w:left="108" w:right="200"/>
              <w:rPr>
                <w:sz w:val="21"/>
              </w:rPr>
            </w:pPr>
            <w:r>
              <w:rPr>
                <w:spacing w:val="-8"/>
                <w:sz w:val="21"/>
              </w:rPr>
              <w:t>指肢体的三大关节中的两大关节僵硬，或不能随意识活动。肢体是指包括肩</w:t>
            </w:r>
            <w:r>
              <w:rPr>
                <w:spacing w:val="-6"/>
                <w:sz w:val="21"/>
              </w:rPr>
              <w:t>关节的整个上肢或包括髋关节的整个下肢。</w:t>
            </w:r>
          </w:p>
        </w:tc>
      </w:tr>
      <w:tr>
        <w:trPr>
          <w:trHeight w:val="1869" w:hRule="atLeast"/>
        </w:trPr>
        <w:tc>
          <w:tcPr>
            <w:tcW w:w="870" w:type="dxa"/>
          </w:tcPr>
          <w:p>
            <w:pPr>
              <w:pStyle w:val="TableParagraph"/>
              <w:spacing w:before="142"/>
              <w:ind w:left="200"/>
              <w:rPr>
                <w:b/>
                <w:sz w:val="21"/>
              </w:rPr>
            </w:pPr>
            <w:r>
              <w:rPr>
                <w:b/>
                <w:sz w:val="21"/>
              </w:rPr>
              <w:t>6.24</w:t>
            </w:r>
          </w:p>
        </w:tc>
        <w:tc>
          <w:tcPr>
            <w:tcW w:w="2045" w:type="dxa"/>
          </w:tcPr>
          <w:p>
            <w:pPr>
              <w:pStyle w:val="TableParagraph"/>
              <w:spacing w:line="273" w:lineRule="auto" w:before="142"/>
              <w:ind w:left="247" w:right="106"/>
              <w:rPr>
                <w:b/>
                <w:sz w:val="21"/>
              </w:rPr>
            </w:pPr>
            <w:r>
              <w:rPr>
                <w:b/>
                <w:sz w:val="21"/>
              </w:rPr>
              <w:t>语言能力或咀嚼吞咽能力完全丧失</w:t>
            </w:r>
          </w:p>
        </w:tc>
        <w:tc>
          <w:tcPr>
            <w:tcW w:w="7168" w:type="dxa"/>
          </w:tcPr>
          <w:p>
            <w:pPr>
              <w:pStyle w:val="TableParagraph"/>
              <w:spacing w:line="273" w:lineRule="auto" w:before="142"/>
              <w:ind w:left="108" w:right="203"/>
              <w:jc w:val="both"/>
              <w:rPr>
                <w:sz w:val="21"/>
              </w:rPr>
            </w:pPr>
            <w:r>
              <w:rPr>
                <w:spacing w:val="-6"/>
                <w:sz w:val="21"/>
              </w:rPr>
              <w:t>语言能力完全丧失，指无法发出四种语音</w:t>
            </w:r>
            <w:r>
              <w:rPr>
                <w:sz w:val="21"/>
              </w:rPr>
              <w:t>（</w:t>
            </w:r>
            <w:r>
              <w:rPr>
                <w:spacing w:val="-8"/>
                <w:sz w:val="21"/>
              </w:rPr>
              <w:t>包括口唇音、齿舌音、口盖音和喉头音</w:t>
            </w:r>
            <w:r>
              <w:rPr>
                <w:spacing w:val="-29"/>
                <w:sz w:val="21"/>
              </w:rPr>
              <w:t>）</w:t>
            </w:r>
            <w:r>
              <w:rPr>
                <w:spacing w:val="-9"/>
                <w:sz w:val="21"/>
              </w:rPr>
              <w:t>中的任何三种、或声带全部切除，或因大脑语言中枢受伤害而患失语症。</w:t>
            </w:r>
          </w:p>
          <w:p>
            <w:pPr>
              <w:pStyle w:val="TableParagraph"/>
              <w:spacing w:line="273" w:lineRule="auto" w:before="7"/>
              <w:ind w:left="108" w:right="203"/>
              <w:jc w:val="both"/>
              <w:rPr>
                <w:sz w:val="21"/>
              </w:rPr>
            </w:pPr>
            <w:r>
              <w:rPr>
                <w:spacing w:val="-8"/>
                <w:sz w:val="21"/>
              </w:rPr>
              <w:t>咀嚼吞咽能力完全丧失，指因牙齿以外的原因导致器质障碍或机能障碍，以</w:t>
            </w:r>
            <w:r>
              <w:rPr>
                <w:spacing w:val="-6"/>
                <w:sz w:val="21"/>
              </w:rPr>
              <w:t>致不能作咀嚼吞咽运动，除流质食物外不能摄取或吞咽的状态。</w:t>
            </w:r>
          </w:p>
        </w:tc>
      </w:tr>
      <w:tr>
        <w:trPr>
          <w:trHeight w:val="733" w:hRule="atLeast"/>
        </w:trPr>
        <w:tc>
          <w:tcPr>
            <w:tcW w:w="870" w:type="dxa"/>
          </w:tcPr>
          <w:p>
            <w:pPr>
              <w:pStyle w:val="TableParagraph"/>
              <w:spacing w:before="146"/>
              <w:ind w:left="200"/>
              <w:rPr>
                <w:b/>
                <w:sz w:val="21"/>
              </w:rPr>
            </w:pPr>
            <w:r>
              <w:rPr>
                <w:b/>
                <w:sz w:val="21"/>
              </w:rPr>
              <w:t>6.25</w:t>
            </w:r>
          </w:p>
        </w:tc>
        <w:tc>
          <w:tcPr>
            <w:tcW w:w="2045" w:type="dxa"/>
          </w:tcPr>
          <w:p>
            <w:pPr>
              <w:pStyle w:val="TableParagraph"/>
              <w:spacing w:before="146"/>
              <w:ind w:left="247"/>
              <w:rPr>
                <w:b/>
                <w:sz w:val="21"/>
              </w:rPr>
            </w:pPr>
            <w:r>
              <w:rPr>
                <w:b/>
                <w:sz w:val="21"/>
              </w:rPr>
              <w:t>永久不可逆</w:t>
            </w:r>
          </w:p>
        </w:tc>
        <w:tc>
          <w:tcPr>
            <w:tcW w:w="7168" w:type="dxa"/>
          </w:tcPr>
          <w:p>
            <w:pPr>
              <w:pStyle w:val="TableParagraph"/>
              <w:spacing w:line="290" w:lineRule="atLeast" w:before="146"/>
              <w:ind w:left="108" w:right="201"/>
              <w:rPr>
                <w:sz w:val="21"/>
              </w:rPr>
            </w:pPr>
            <w:r>
              <w:rPr>
                <w:spacing w:val="-8"/>
                <w:sz w:val="21"/>
              </w:rPr>
              <w:t>指自疾病确诊或意外伤害发生之日起，经过积极治疗 </w:t>
            </w:r>
            <w:r>
              <w:rPr>
                <w:rFonts w:ascii="Times New Roman" w:eastAsia="Times New Roman"/>
                <w:sz w:val="21"/>
              </w:rPr>
              <w:t>180 </w:t>
            </w:r>
            <w:r>
              <w:rPr>
                <w:spacing w:val="-8"/>
                <w:sz w:val="21"/>
              </w:rPr>
              <w:t>天后，仍无法通过</w:t>
            </w:r>
            <w:r>
              <w:rPr>
                <w:spacing w:val="-6"/>
                <w:sz w:val="21"/>
              </w:rPr>
              <w:t>现有医疗手段恢复。</w:t>
            </w:r>
          </w:p>
        </w:tc>
      </w:tr>
    </w:tbl>
    <w:sectPr>
      <w:pgSz w:w="11910" w:h="16840"/>
      <w:pgMar w:header="496" w:footer="995" w:top="800" w:bottom="1180" w:left="76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 w:name="Wingdings">
    <w:altName w:val="Wingdings"/>
    <w:charset w:val="2"/>
    <w:family w:val="auto"/>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160004pt;margin-top:781.193054pt;width:13.15pt;height:12.1pt;mso-position-horizontal-relative:page;mso-position-vertical-relative:page;z-index:-6270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84pt;margin-top:23.795687pt;width:52.45pt;height:17.45pt;mso-position-horizontal-relative:page;mso-position-vertical-relative:page;z-index:-62680" type="#_x0000_t202" filled="false" stroked="false">
          <v:textbox inset="0,0,0,0">
            <w:txbxContent>
              <w:p>
                <w:pPr>
                  <w:spacing w:line="329" w:lineRule="exact" w:before="0"/>
                  <w:ind w:left="20" w:right="0" w:firstLine="0"/>
                  <w:jc w:val="left"/>
                  <w:rPr>
                    <w:rFonts w:ascii="Times New Roman" w:eastAsia="Times New Roman"/>
                    <w:b/>
                    <w:sz w:val="28"/>
                  </w:rPr>
                </w:pPr>
                <w:r>
                  <w:rPr>
                    <w:b/>
                    <w:spacing w:val="-24"/>
                    <w:sz w:val="28"/>
                  </w:rPr>
                  <w:t>附件 </w:t>
                </w:r>
                <w:r>
                  <w:rPr>
                    <w:rFonts w:ascii="Times New Roman" w:eastAsia="Times New Roman"/>
                    <w:b/>
                    <w:sz w:val="28"/>
                  </w:rPr>
                  <w:t>1-3</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108" w:hanging="635"/>
        <w:jc w:val="left"/>
      </w:pPr>
      <w:rPr>
        <w:rFonts w:hint="default" w:ascii="宋体" w:hAnsi="宋体" w:eastAsia="宋体" w:cs="宋体"/>
        <w:w w:val="100"/>
        <w:sz w:val="21"/>
        <w:szCs w:val="21"/>
      </w:rPr>
    </w:lvl>
    <w:lvl w:ilvl="1">
      <w:start w:val="0"/>
      <w:numFmt w:val="bullet"/>
      <w:lvlText w:val="•"/>
      <w:lvlJc w:val="left"/>
      <w:pPr>
        <w:ind w:left="817" w:hanging="635"/>
      </w:pPr>
      <w:rPr>
        <w:rFonts w:hint="default"/>
      </w:rPr>
    </w:lvl>
    <w:lvl w:ilvl="2">
      <w:start w:val="0"/>
      <w:numFmt w:val="bullet"/>
      <w:lvlText w:val="•"/>
      <w:lvlJc w:val="left"/>
      <w:pPr>
        <w:ind w:left="1534" w:hanging="635"/>
      </w:pPr>
      <w:rPr>
        <w:rFonts w:hint="default"/>
      </w:rPr>
    </w:lvl>
    <w:lvl w:ilvl="3">
      <w:start w:val="0"/>
      <w:numFmt w:val="bullet"/>
      <w:lvlText w:val="•"/>
      <w:lvlJc w:val="left"/>
      <w:pPr>
        <w:ind w:left="2251" w:hanging="635"/>
      </w:pPr>
      <w:rPr>
        <w:rFonts w:hint="default"/>
      </w:rPr>
    </w:lvl>
    <w:lvl w:ilvl="4">
      <w:start w:val="0"/>
      <w:numFmt w:val="bullet"/>
      <w:lvlText w:val="•"/>
      <w:lvlJc w:val="left"/>
      <w:pPr>
        <w:ind w:left="2969" w:hanging="635"/>
      </w:pPr>
      <w:rPr>
        <w:rFonts w:hint="default"/>
      </w:rPr>
    </w:lvl>
    <w:lvl w:ilvl="5">
      <w:start w:val="0"/>
      <w:numFmt w:val="bullet"/>
      <w:lvlText w:val="•"/>
      <w:lvlJc w:val="left"/>
      <w:pPr>
        <w:ind w:left="3686" w:hanging="635"/>
      </w:pPr>
      <w:rPr>
        <w:rFonts w:hint="default"/>
      </w:rPr>
    </w:lvl>
    <w:lvl w:ilvl="6">
      <w:start w:val="0"/>
      <w:numFmt w:val="bullet"/>
      <w:lvlText w:val="•"/>
      <w:lvlJc w:val="left"/>
      <w:pPr>
        <w:ind w:left="4403" w:hanging="635"/>
      </w:pPr>
      <w:rPr>
        <w:rFonts w:hint="default"/>
      </w:rPr>
    </w:lvl>
    <w:lvl w:ilvl="7">
      <w:start w:val="0"/>
      <w:numFmt w:val="bullet"/>
      <w:lvlText w:val="•"/>
      <w:lvlJc w:val="left"/>
      <w:pPr>
        <w:ind w:left="5121" w:hanging="635"/>
      </w:pPr>
      <w:rPr>
        <w:rFonts w:hint="default"/>
      </w:rPr>
    </w:lvl>
    <w:lvl w:ilvl="8">
      <w:start w:val="0"/>
      <w:numFmt w:val="bullet"/>
      <w:lvlText w:val="•"/>
      <w:lvlJc w:val="left"/>
      <w:pPr>
        <w:ind w:left="5838" w:hanging="635"/>
      </w:pPr>
      <w:rPr>
        <w:rFonts w:hint="default"/>
      </w:rPr>
    </w:lvl>
  </w:abstractNum>
  <w:abstractNum w:abstractNumId="8">
    <w:multiLevelType w:val="hybridMultilevel"/>
    <w:lvl w:ilvl="0">
      <w:start w:val="1"/>
      <w:numFmt w:val="lowerLetter"/>
      <w:lvlText w:val="%1."/>
      <w:lvlJc w:val="left"/>
      <w:pPr>
        <w:ind w:left="415" w:hanging="317"/>
        <w:jc w:val="left"/>
      </w:pPr>
      <w:rPr>
        <w:rFonts w:hint="default" w:ascii="宋体" w:hAnsi="宋体" w:eastAsia="宋体" w:cs="宋体"/>
        <w:w w:val="100"/>
        <w:sz w:val="21"/>
        <w:szCs w:val="21"/>
      </w:rPr>
    </w:lvl>
    <w:lvl w:ilvl="1">
      <w:start w:val="0"/>
      <w:numFmt w:val="bullet"/>
      <w:lvlText w:val="•"/>
      <w:lvlJc w:val="left"/>
      <w:pPr>
        <w:ind w:left="1094" w:hanging="317"/>
      </w:pPr>
      <w:rPr>
        <w:rFonts w:hint="default"/>
      </w:rPr>
    </w:lvl>
    <w:lvl w:ilvl="2">
      <w:start w:val="0"/>
      <w:numFmt w:val="bullet"/>
      <w:lvlText w:val="•"/>
      <w:lvlJc w:val="left"/>
      <w:pPr>
        <w:ind w:left="1768" w:hanging="317"/>
      </w:pPr>
      <w:rPr>
        <w:rFonts w:hint="default"/>
      </w:rPr>
    </w:lvl>
    <w:lvl w:ilvl="3">
      <w:start w:val="0"/>
      <w:numFmt w:val="bullet"/>
      <w:lvlText w:val="•"/>
      <w:lvlJc w:val="left"/>
      <w:pPr>
        <w:ind w:left="2442" w:hanging="317"/>
      </w:pPr>
      <w:rPr>
        <w:rFonts w:hint="default"/>
      </w:rPr>
    </w:lvl>
    <w:lvl w:ilvl="4">
      <w:start w:val="0"/>
      <w:numFmt w:val="bullet"/>
      <w:lvlText w:val="•"/>
      <w:lvlJc w:val="left"/>
      <w:pPr>
        <w:ind w:left="3116" w:hanging="317"/>
      </w:pPr>
      <w:rPr>
        <w:rFonts w:hint="default"/>
      </w:rPr>
    </w:lvl>
    <w:lvl w:ilvl="5">
      <w:start w:val="0"/>
      <w:numFmt w:val="bullet"/>
      <w:lvlText w:val="•"/>
      <w:lvlJc w:val="left"/>
      <w:pPr>
        <w:ind w:left="3790" w:hanging="317"/>
      </w:pPr>
      <w:rPr>
        <w:rFonts w:hint="default"/>
      </w:rPr>
    </w:lvl>
    <w:lvl w:ilvl="6">
      <w:start w:val="0"/>
      <w:numFmt w:val="bullet"/>
      <w:lvlText w:val="•"/>
      <w:lvlJc w:val="left"/>
      <w:pPr>
        <w:ind w:left="4464" w:hanging="317"/>
      </w:pPr>
      <w:rPr>
        <w:rFonts w:hint="default"/>
      </w:rPr>
    </w:lvl>
    <w:lvl w:ilvl="7">
      <w:start w:val="0"/>
      <w:numFmt w:val="bullet"/>
      <w:lvlText w:val="•"/>
      <w:lvlJc w:val="left"/>
      <w:pPr>
        <w:ind w:left="5138" w:hanging="317"/>
      </w:pPr>
      <w:rPr>
        <w:rFonts w:hint="default"/>
      </w:rPr>
    </w:lvl>
    <w:lvl w:ilvl="8">
      <w:start w:val="0"/>
      <w:numFmt w:val="bullet"/>
      <w:lvlText w:val="•"/>
      <w:lvlJc w:val="left"/>
      <w:pPr>
        <w:ind w:left="5812" w:hanging="317"/>
      </w:pPr>
      <w:rPr>
        <w:rFonts w:hint="default"/>
      </w:rPr>
    </w:lvl>
  </w:abstractNum>
  <w:abstractNum w:abstractNumId="7">
    <w:multiLevelType w:val="hybridMultilevel"/>
    <w:lvl w:ilvl="0">
      <w:start w:val="0"/>
      <w:numFmt w:val="bullet"/>
      <w:lvlText w:val="○"/>
      <w:lvlJc w:val="left"/>
      <w:pPr>
        <w:ind w:left="311" w:hanging="213"/>
      </w:pPr>
      <w:rPr>
        <w:rFonts w:hint="default" w:ascii="宋体" w:hAnsi="宋体" w:eastAsia="宋体" w:cs="宋体"/>
        <w:spacing w:val="-144"/>
        <w:w w:val="100"/>
        <w:sz w:val="19"/>
        <w:szCs w:val="19"/>
      </w:rPr>
    </w:lvl>
    <w:lvl w:ilvl="1">
      <w:start w:val="0"/>
      <w:numFmt w:val="bullet"/>
      <w:lvlText w:val="•"/>
      <w:lvlJc w:val="left"/>
      <w:pPr>
        <w:ind w:left="1014" w:hanging="213"/>
      </w:pPr>
      <w:rPr>
        <w:rFonts w:hint="default"/>
      </w:rPr>
    </w:lvl>
    <w:lvl w:ilvl="2">
      <w:start w:val="0"/>
      <w:numFmt w:val="bullet"/>
      <w:lvlText w:val="•"/>
      <w:lvlJc w:val="left"/>
      <w:pPr>
        <w:ind w:left="1708" w:hanging="213"/>
      </w:pPr>
      <w:rPr>
        <w:rFonts w:hint="default"/>
      </w:rPr>
    </w:lvl>
    <w:lvl w:ilvl="3">
      <w:start w:val="0"/>
      <w:numFmt w:val="bullet"/>
      <w:lvlText w:val="•"/>
      <w:lvlJc w:val="left"/>
      <w:pPr>
        <w:ind w:left="2402" w:hanging="213"/>
      </w:pPr>
      <w:rPr>
        <w:rFonts w:hint="default"/>
      </w:rPr>
    </w:lvl>
    <w:lvl w:ilvl="4">
      <w:start w:val="0"/>
      <w:numFmt w:val="bullet"/>
      <w:lvlText w:val="•"/>
      <w:lvlJc w:val="left"/>
      <w:pPr>
        <w:ind w:left="3097" w:hanging="213"/>
      </w:pPr>
      <w:rPr>
        <w:rFonts w:hint="default"/>
      </w:rPr>
    </w:lvl>
    <w:lvl w:ilvl="5">
      <w:start w:val="0"/>
      <w:numFmt w:val="bullet"/>
      <w:lvlText w:val="•"/>
      <w:lvlJc w:val="left"/>
      <w:pPr>
        <w:ind w:left="3791" w:hanging="213"/>
      </w:pPr>
      <w:rPr>
        <w:rFonts w:hint="default"/>
      </w:rPr>
    </w:lvl>
    <w:lvl w:ilvl="6">
      <w:start w:val="0"/>
      <w:numFmt w:val="bullet"/>
      <w:lvlText w:val="•"/>
      <w:lvlJc w:val="left"/>
      <w:pPr>
        <w:ind w:left="4485" w:hanging="213"/>
      </w:pPr>
      <w:rPr>
        <w:rFonts w:hint="default"/>
      </w:rPr>
    </w:lvl>
    <w:lvl w:ilvl="7">
      <w:start w:val="0"/>
      <w:numFmt w:val="bullet"/>
      <w:lvlText w:val="•"/>
      <w:lvlJc w:val="left"/>
      <w:pPr>
        <w:ind w:left="5180" w:hanging="213"/>
      </w:pPr>
      <w:rPr>
        <w:rFonts w:hint="default"/>
      </w:rPr>
    </w:lvl>
    <w:lvl w:ilvl="8">
      <w:start w:val="0"/>
      <w:numFmt w:val="bullet"/>
      <w:lvlText w:val="•"/>
      <w:lvlJc w:val="left"/>
      <w:pPr>
        <w:ind w:left="5874" w:hanging="213"/>
      </w:pPr>
      <w:rPr>
        <w:rFonts w:hint="default"/>
      </w:rPr>
    </w:lvl>
  </w:abstractNum>
  <w:abstractNum w:abstractNumId="6">
    <w:multiLevelType w:val="hybridMultilevel"/>
    <w:lvl w:ilvl="0">
      <w:start w:val="1"/>
      <w:numFmt w:val="upperRoman"/>
      <w:lvlText w:val="%1"/>
      <w:lvlJc w:val="left"/>
      <w:pPr>
        <w:ind w:left="322" w:hanging="212"/>
        <w:jc w:val="left"/>
      </w:pPr>
      <w:rPr>
        <w:rFonts w:hint="default" w:ascii="宋体" w:hAnsi="宋体" w:eastAsia="宋体" w:cs="宋体"/>
        <w:w w:val="100"/>
        <w:sz w:val="21"/>
        <w:szCs w:val="21"/>
      </w:rPr>
    </w:lvl>
    <w:lvl w:ilvl="1">
      <w:start w:val="0"/>
      <w:numFmt w:val="bullet"/>
      <w:lvlText w:val="•"/>
      <w:lvlJc w:val="left"/>
      <w:pPr>
        <w:ind w:left="1015" w:hanging="212"/>
      </w:pPr>
      <w:rPr>
        <w:rFonts w:hint="default"/>
      </w:rPr>
    </w:lvl>
    <w:lvl w:ilvl="2">
      <w:start w:val="0"/>
      <w:numFmt w:val="bullet"/>
      <w:lvlText w:val="•"/>
      <w:lvlJc w:val="left"/>
      <w:pPr>
        <w:ind w:left="1710" w:hanging="212"/>
      </w:pPr>
      <w:rPr>
        <w:rFonts w:hint="default"/>
      </w:rPr>
    </w:lvl>
    <w:lvl w:ilvl="3">
      <w:start w:val="0"/>
      <w:numFmt w:val="bullet"/>
      <w:lvlText w:val="•"/>
      <w:lvlJc w:val="left"/>
      <w:pPr>
        <w:ind w:left="2405" w:hanging="212"/>
      </w:pPr>
      <w:rPr>
        <w:rFonts w:hint="default"/>
      </w:rPr>
    </w:lvl>
    <w:lvl w:ilvl="4">
      <w:start w:val="0"/>
      <w:numFmt w:val="bullet"/>
      <w:lvlText w:val="•"/>
      <w:lvlJc w:val="left"/>
      <w:pPr>
        <w:ind w:left="3101" w:hanging="212"/>
      </w:pPr>
      <w:rPr>
        <w:rFonts w:hint="default"/>
      </w:rPr>
    </w:lvl>
    <w:lvl w:ilvl="5">
      <w:start w:val="0"/>
      <w:numFmt w:val="bullet"/>
      <w:lvlText w:val="•"/>
      <w:lvlJc w:val="left"/>
      <w:pPr>
        <w:ind w:left="3796" w:hanging="212"/>
      </w:pPr>
      <w:rPr>
        <w:rFonts w:hint="default"/>
      </w:rPr>
    </w:lvl>
    <w:lvl w:ilvl="6">
      <w:start w:val="0"/>
      <w:numFmt w:val="bullet"/>
      <w:lvlText w:val="•"/>
      <w:lvlJc w:val="left"/>
      <w:pPr>
        <w:ind w:left="4491" w:hanging="212"/>
      </w:pPr>
      <w:rPr>
        <w:rFonts w:hint="default"/>
      </w:rPr>
    </w:lvl>
    <w:lvl w:ilvl="7">
      <w:start w:val="0"/>
      <w:numFmt w:val="bullet"/>
      <w:lvlText w:val="•"/>
      <w:lvlJc w:val="left"/>
      <w:pPr>
        <w:ind w:left="5187" w:hanging="212"/>
      </w:pPr>
      <w:rPr>
        <w:rFonts w:hint="default"/>
      </w:rPr>
    </w:lvl>
    <w:lvl w:ilvl="8">
      <w:start w:val="0"/>
      <w:numFmt w:val="bullet"/>
      <w:lvlText w:val="•"/>
      <w:lvlJc w:val="left"/>
      <w:pPr>
        <w:ind w:left="5882" w:hanging="212"/>
      </w:pPr>
      <w:rPr>
        <w:rFonts w:hint="default"/>
      </w:rPr>
    </w:lvl>
  </w:abstractNum>
  <w:abstractNum w:abstractNumId="5">
    <w:multiLevelType w:val="hybridMultilevel"/>
    <w:lvl w:ilvl="0">
      <w:start w:val="6"/>
      <w:numFmt w:val="decimal"/>
      <w:lvlText w:val="（%1）"/>
      <w:lvlJc w:val="left"/>
      <w:pPr>
        <w:ind w:left="925" w:hanging="721"/>
        <w:jc w:val="left"/>
      </w:pPr>
      <w:rPr>
        <w:rFonts w:hint="default" w:ascii="黑体" w:hAnsi="黑体" w:eastAsia="黑体" w:cs="黑体"/>
        <w:w w:val="100"/>
        <w:sz w:val="21"/>
        <w:szCs w:val="21"/>
      </w:rPr>
    </w:lvl>
    <w:lvl w:ilvl="1">
      <w:start w:val="0"/>
      <w:numFmt w:val="bullet"/>
      <w:lvlText w:val="•"/>
      <w:lvlJc w:val="left"/>
      <w:pPr>
        <w:ind w:left="1567" w:hanging="721"/>
      </w:pPr>
      <w:rPr>
        <w:rFonts w:hint="default"/>
      </w:rPr>
    </w:lvl>
    <w:lvl w:ilvl="2">
      <w:start w:val="0"/>
      <w:numFmt w:val="bullet"/>
      <w:lvlText w:val="•"/>
      <w:lvlJc w:val="left"/>
      <w:pPr>
        <w:ind w:left="2215" w:hanging="721"/>
      </w:pPr>
      <w:rPr>
        <w:rFonts w:hint="default"/>
      </w:rPr>
    </w:lvl>
    <w:lvl w:ilvl="3">
      <w:start w:val="0"/>
      <w:numFmt w:val="bullet"/>
      <w:lvlText w:val="•"/>
      <w:lvlJc w:val="left"/>
      <w:pPr>
        <w:ind w:left="2862" w:hanging="721"/>
      </w:pPr>
      <w:rPr>
        <w:rFonts w:hint="default"/>
      </w:rPr>
    </w:lvl>
    <w:lvl w:ilvl="4">
      <w:start w:val="0"/>
      <w:numFmt w:val="bullet"/>
      <w:lvlText w:val="•"/>
      <w:lvlJc w:val="left"/>
      <w:pPr>
        <w:ind w:left="3510" w:hanging="721"/>
      </w:pPr>
      <w:rPr>
        <w:rFonts w:hint="default"/>
      </w:rPr>
    </w:lvl>
    <w:lvl w:ilvl="5">
      <w:start w:val="0"/>
      <w:numFmt w:val="bullet"/>
      <w:lvlText w:val="•"/>
      <w:lvlJc w:val="left"/>
      <w:pPr>
        <w:ind w:left="4158" w:hanging="721"/>
      </w:pPr>
      <w:rPr>
        <w:rFonts w:hint="default"/>
      </w:rPr>
    </w:lvl>
    <w:lvl w:ilvl="6">
      <w:start w:val="0"/>
      <w:numFmt w:val="bullet"/>
      <w:lvlText w:val="•"/>
      <w:lvlJc w:val="left"/>
      <w:pPr>
        <w:ind w:left="4805" w:hanging="721"/>
      </w:pPr>
      <w:rPr>
        <w:rFonts w:hint="default"/>
      </w:rPr>
    </w:lvl>
    <w:lvl w:ilvl="7">
      <w:start w:val="0"/>
      <w:numFmt w:val="bullet"/>
      <w:lvlText w:val="•"/>
      <w:lvlJc w:val="left"/>
      <w:pPr>
        <w:ind w:left="5453" w:hanging="721"/>
      </w:pPr>
      <w:rPr>
        <w:rFonts w:hint="default"/>
      </w:rPr>
    </w:lvl>
    <w:lvl w:ilvl="8">
      <w:start w:val="0"/>
      <w:numFmt w:val="bullet"/>
      <w:lvlText w:val="•"/>
      <w:lvlJc w:val="left"/>
      <w:pPr>
        <w:ind w:left="6100" w:hanging="721"/>
      </w:pPr>
      <w:rPr>
        <w:rFonts w:hint="default"/>
      </w:rPr>
    </w:lvl>
  </w:abstractNum>
  <w:abstractNum w:abstractNumId="4">
    <w:multiLevelType w:val="hybridMultilevel"/>
    <w:lvl w:ilvl="0">
      <w:start w:val="1"/>
      <w:numFmt w:val="decimal"/>
      <w:lvlText w:val="（%1）"/>
      <w:lvlJc w:val="left"/>
      <w:pPr>
        <w:ind w:left="925" w:hanging="721"/>
        <w:jc w:val="left"/>
      </w:pPr>
      <w:rPr>
        <w:rFonts w:hint="default" w:ascii="黑体" w:hAnsi="黑体" w:eastAsia="黑体" w:cs="黑体"/>
        <w:w w:val="100"/>
        <w:sz w:val="21"/>
        <w:szCs w:val="21"/>
      </w:rPr>
    </w:lvl>
    <w:lvl w:ilvl="1">
      <w:start w:val="0"/>
      <w:numFmt w:val="bullet"/>
      <w:lvlText w:val="•"/>
      <w:lvlJc w:val="left"/>
      <w:pPr>
        <w:ind w:left="1567" w:hanging="721"/>
      </w:pPr>
      <w:rPr>
        <w:rFonts w:hint="default"/>
      </w:rPr>
    </w:lvl>
    <w:lvl w:ilvl="2">
      <w:start w:val="0"/>
      <w:numFmt w:val="bullet"/>
      <w:lvlText w:val="•"/>
      <w:lvlJc w:val="left"/>
      <w:pPr>
        <w:ind w:left="2215" w:hanging="721"/>
      </w:pPr>
      <w:rPr>
        <w:rFonts w:hint="default"/>
      </w:rPr>
    </w:lvl>
    <w:lvl w:ilvl="3">
      <w:start w:val="0"/>
      <w:numFmt w:val="bullet"/>
      <w:lvlText w:val="•"/>
      <w:lvlJc w:val="left"/>
      <w:pPr>
        <w:ind w:left="2862" w:hanging="721"/>
      </w:pPr>
      <w:rPr>
        <w:rFonts w:hint="default"/>
      </w:rPr>
    </w:lvl>
    <w:lvl w:ilvl="4">
      <w:start w:val="0"/>
      <w:numFmt w:val="bullet"/>
      <w:lvlText w:val="•"/>
      <w:lvlJc w:val="left"/>
      <w:pPr>
        <w:ind w:left="3510" w:hanging="721"/>
      </w:pPr>
      <w:rPr>
        <w:rFonts w:hint="default"/>
      </w:rPr>
    </w:lvl>
    <w:lvl w:ilvl="5">
      <w:start w:val="0"/>
      <w:numFmt w:val="bullet"/>
      <w:lvlText w:val="•"/>
      <w:lvlJc w:val="left"/>
      <w:pPr>
        <w:ind w:left="4158" w:hanging="721"/>
      </w:pPr>
      <w:rPr>
        <w:rFonts w:hint="default"/>
      </w:rPr>
    </w:lvl>
    <w:lvl w:ilvl="6">
      <w:start w:val="0"/>
      <w:numFmt w:val="bullet"/>
      <w:lvlText w:val="•"/>
      <w:lvlJc w:val="left"/>
      <w:pPr>
        <w:ind w:left="4805" w:hanging="721"/>
      </w:pPr>
      <w:rPr>
        <w:rFonts w:hint="default"/>
      </w:rPr>
    </w:lvl>
    <w:lvl w:ilvl="7">
      <w:start w:val="0"/>
      <w:numFmt w:val="bullet"/>
      <w:lvlText w:val="•"/>
      <w:lvlJc w:val="left"/>
      <w:pPr>
        <w:ind w:left="5453" w:hanging="721"/>
      </w:pPr>
      <w:rPr>
        <w:rFonts w:hint="default"/>
      </w:rPr>
    </w:lvl>
    <w:lvl w:ilvl="8">
      <w:start w:val="0"/>
      <w:numFmt w:val="bullet"/>
      <w:lvlText w:val="•"/>
      <w:lvlJc w:val="left"/>
      <w:pPr>
        <w:ind w:left="6100" w:hanging="721"/>
      </w:pPr>
      <w:rPr>
        <w:rFonts w:hint="default"/>
      </w:rPr>
    </w:lvl>
  </w:abstractNum>
  <w:abstractNum w:abstractNumId="3">
    <w:multiLevelType w:val="hybridMultilevel"/>
    <w:lvl w:ilvl="0">
      <w:start w:val="6"/>
      <w:numFmt w:val="decimal"/>
      <w:lvlText w:val="%1"/>
      <w:lvlJc w:val="left"/>
      <w:pPr>
        <w:ind w:left="653" w:hanging="423"/>
        <w:jc w:val="left"/>
      </w:pPr>
      <w:rPr>
        <w:rFonts w:hint="default"/>
      </w:rPr>
    </w:lvl>
    <w:lvl w:ilvl="1">
      <w:start w:val="6"/>
      <w:numFmt w:val="decimal"/>
      <w:lvlText w:val="%1.%2"/>
      <w:lvlJc w:val="left"/>
      <w:pPr>
        <w:ind w:left="735" w:hanging="423"/>
        <w:jc w:val="left"/>
      </w:pPr>
      <w:rPr>
        <w:rFonts w:hint="default" w:ascii="宋体" w:hAnsi="宋体" w:eastAsia="宋体" w:cs="宋体"/>
        <w:w w:val="100"/>
        <w:sz w:val="21"/>
        <w:szCs w:val="21"/>
      </w:rPr>
    </w:lvl>
    <w:lvl w:ilvl="2">
      <w:start w:val="0"/>
      <w:numFmt w:val="bullet"/>
      <w:lvlText w:val="•"/>
      <w:lvlJc w:val="left"/>
      <w:pPr>
        <w:ind w:left="1096" w:hanging="423"/>
      </w:pPr>
      <w:rPr>
        <w:rFonts w:hint="default"/>
      </w:rPr>
    </w:lvl>
    <w:lvl w:ilvl="3">
      <w:start w:val="0"/>
      <w:numFmt w:val="bullet"/>
      <w:lvlText w:val="•"/>
      <w:lvlJc w:val="left"/>
      <w:pPr>
        <w:ind w:left="1452" w:hanging="423"/>
      </w:pPr>
      <w:rPr>
        <w:rFonts w:hint="default"/>
      </w:rPr>
    </w:lvl>
    <w:lvl w:ilvl="4">
      <w:start w:val="0"/>
      <w:numFmt w:val="bullet"/>
      <w:lvlText w:val="•"/>
      <w:lvlJc w:val="left"/>
      <w:pPr>
        <w:ind w:left="1809" w:hanging="423"/>
      </w:pPr>
      <w:rPr>
        <w:rFonts w:hint="default"/>
      </w:rPr>
    </w:lvl>
    <w:lvl w:ilvl="5">
      <w:start w:val="0"/>
      <w:numFmt w:val="bullet"/>
      <w:lvlText w:val="•"/>
      <w:lvlJc w:val="left"/>
      <w:pPr>
        <w:ind w:left="2165" w:hanging="423"/>
      </w:pPr>
      <w:rPr>
        <w:rFonts w:hint="default"/>
      </w:rPr>
    </w:lvl>
    <w:lvl w:ilvl="6">
      <w:start w:val="0"/>
      <w:numFmt w:val="bullet"/>
      <w:lvlText w:val="•"/>
      <w:lvlJc w:val="left"/>
      <w:pPr>
        <w:ind w:left="2522" w:hanging="423"/>
      </w:pPr>
      <w:rPr>
        <w:rFonts w:hint="default"/>
      </w:rPr>
    </w:lvl>
    <w:lvl w:ilvl="7">
      <w:start w:val="0"/>
      <w:numFmt w:val="bullet"/>
      <w:lvlText w:val="•"/>
      <w:lvlJc w:val="left"/>
      <w:pPr>
        <w:ind w:left="2878" w:hanging="423"/>
      </w:pPr>
      <w:rPr>
        <w:rFonts w:hint="default"/>
      </w:rPr>
    </w:lvl>
    <w:lvl w:ilvl="8">
      <w:start w:val="0"/>
      <w:numFmt w:val="bullet"/>
      <w:lvlText w:val="•"/>
      <w:lvlJc w:val="left"/>
      <w:pPr>
        <w:ind w:left="3235" w:hanging="423"/>
      </w:pPr>
      <w:rPr>
        <w:rFonts w:hint="default"/>
      </w:rPr>
    </w:lvl>
  </w:abstractNum>
  <w:abstractNum w:abstractNumId="2">
    <w:multiLevelType w:val="hybridMultilevel"/>
    <w:lvl w:ilvl="0">
      <w:start w:val="4"/>
      <w:numFmt w:val="decimal"/>
      <w:lvlText w:val="%1."/>
      <w:lvlJc w:val="left"/>
      <w:pPr>
        <w:ind w:left="426" w:hanging="317"/>
        <w:jc w:val="left"/>
      </w:pPr>
      <w:rPr>
        <w:rFonts w:hint="default" w:ascii="宋体" w:hAnsi="宋体" w:eastAsia="宋体" w:cs="宋体"/>
        <w:b/>
        <w:bCs/>
        <w:w w:val="99"/>
        <w:sz w:val="21"/>
        <w:szCs w:val="21"/>
      </w:rPr>
    </w:lvl>
    <w:lvl w:ilvl="1">
      <w:start w:val="1"/>
      <w:numFmt w:val="decimal"/>
      <w:lvlText w:val="%1.%2"/>
      <w:lvlJc w:val="left"/>
      <w:pPr>
        <w:ind w:left="637" w:hanging="423"/>
        <w:jc w:val="left"/>
      </w:pPr>
      <w:rPr>
        <w:rFonts w:hint="default" w:ascii="宋体" w:hAnsi="宋体" w:eastAsia="宋体" w:cs="宋体"/>
        <w:w w:val="100"/>
        <w:sz w:val="21"/>
        <w:szCs w:val="21"/>
      </w:rPr>
    </w:lvl>
    <w:lvl w:ilvl="2">
      <w:start w:val="0"/>
      <w:numFmt w:val="bullet"/>
      <w:lvlText w:val="•"/>
      <w:lvlJc w:val="left"/>
      <w:pPr>
        <w:ind w:left="947" w:hanging="423"/>
      </w:pPr>
      <w:rPr>
        <w:rFonts w:hint="default"/>
      </w:rPr>
    </w:lvl>
    <w:lvl w:ilvl="3">
      <w:start w:val="0"/>
      <w:numFmt w:val="bullet"/>
      <w:lvlText w:val="•"/>
      <w:lvlJc w:val="left"/>
      <w:pPr>
        <w:ind w:left="1254" w:hanging="423"/>
      </w:pPr>
      <w:rPr>
        <w:rFonts w:hint="default"/>
      </w:rPr>
    </w:lvl>
    <w:lvl w:ilvl="4">
      <w:start w:val="0"/>
      <w:numFmt w:val="bullet"/>
      <w:lvlText w:val="•"/>
      <w:lvlJc w:val="left"/>
      <w:pPr>
        <w:ind w:left="1561" w:hanging="423"/>
      </w:pPr>
      <w:rPr>
        <w:rFonts w:hint="default"/>
      </w:rPr>
    </w:lvl>
    <w:lvl w:ilvl="5">
      <w:start w:val="0"/>
      <w:numFmt w:val="bullet"/>
      <w:lvlText w:val="•"/>
      <w:lvlJc w:val="left"/>
      <w:pPr>
        <w:ind w:left="1868" w:hanging="423"/>
      </w:pPr>
      <w:rPr>
        <w:rFonts w:hint="default"/>
      </w:rPr>
    </w:lvl>
    <w:lvl w:ilvl="6">
      <w:start w:val="0"/>
      <w:numFmt w:val="bullet"/>
      <w:lvlText w:val="•"/>
      <w:lvlJc w:val="left"/>
      <w:pPr>
        <w:ind w:left="2175" w:hanging="423"/>
      </w:pPr>
      <w:rPr>
        <w:rFonts w:hint="default"/>
      </w:rPr>
    </w:lvl>
    <w:lvl w:ilvl="7">
      <w:start w:val="0"/>
      <w:numFmt w:val="bullet"/>
      <w:lvlText w:val="•"/>
      <w:lvlJc w:val="left"/>
      <w:pPr>
        <w:ind w:left="2482" w:hanging="423"/>
      </w:pPr>
      <w:rPr>
        <w:rFonts w:hint="default"/>
      </w:rPr>
    </w:lvl>
    <w:lvl w:ilvl="8">
      <w:start w:val="0"/>
      <w:numFmt w:val="bullet"/>
      <w:lvlText w:val="•"/>
      <w:lvlJc w:val="left"/>
      <w:pPr>
        <w:ind w:left="2789"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3" w:hanging="423"/>
        <w:jc w:val="left"/>
      </w:pPr>
      <w:rPr>
        <w:rFonts w:hint="default" w:ascii="宋体" w:hAnsi="宋体" w:eastAsia="宋体" w:cs="宋体"/>
        <w:w w:val="100"/>
        <w:sz w:val="21"/>
        <w:szCs w:val="21"/>
      </w:rPr>
    </w:lvl>
    <w:lvl w:ilvl="2">
      <w:start w:val="0"/>
      <w:numFmt w:val="bullet"/>
      <w:lvlText w:val="•"/>
      <w:lvlJc w:val="left"/>
      <w:pPr>
        <w:ind w:left="928" w:hanging="423"/>
      </w:pPr>
      <w:rPr>
        <w:rFonts w:hint="default"/>
      </w:rPr>
    </w:lvl>
    <w:lvl w:ilvl="3">
      <w:start w:val="0"/>
      <w:numFmt w:val="bullet"/>
      <w:lvlText w:val="•"/>
      <w:lvlJc w:val="left"/>
      <w:pPr>
        <w:ind w:left="1136" w:hanging="423"/>
      </w:pPr>
      <w:rPr>
        <w:rFonts w:hint="default"/>
      </w:rPr>
    </w:lvl>
    <w:lvl w:ilvl="4">
      <w:start w:val="0"/>
      <w:numFmt w:val="bullet"/>
      <w:lvlText w:val="•"/>
      <w:lvlJc w:val="left"/>
      <w:pPr>
        <w:ind w:left="1344" w:hanging="423"/>
      </w:pPr>
      <w:rPr>
        <w:rFonts w:hint="default"/>
      </w:rPr>
    </w:lvl>
    <w:lvl w:ilvl="5">
      <w:start w:val="0"/>
      <w:numFmt w:val="bullet"/>
      <w:lvlText w:val="•"/>
      <w:lvlJc w:val="left"/>
      <w:pPr>
        <w:ind w:left="1552" w:hanging="423"/>
      </w:pPr>
      <w:rPr>
        <w:rFonts w:hint="default"/>
      </w:rPr>
    </w:lvl>
    <w:lvl w:ilvl="6">
      <w:start w:val="0"/>
      <w:numFmt w:val="bullet"/>
      <w:lvlText w:val="•"/>
      <w:lvlJc w:val="left"/>
      <w:pPr>
        <w:ind w:left="1760" w:hanging="423"/>
      </w:pPr>
      <w:rPr>
        <w:rFonts w:hint="default"/>
      </w:rPr>
    </w:lvl>
    <w:lvl w:ilvl="7">
      <w:start w:val="0"/>
      <w:numFmt w:val="bullet"/>
      <w:lvlText w:val="•"/>
      <w:lvlJc w:val="left"/>
      <w:pPr>
        <w:ind w:left="1968" w:hanging="423"/>
      </w:pPr>
      <w:rPr>
        <w:rFonts w:hint="default"/>
      </w:rPr>
    </w:lvl>
    <w:lvl w:ilvl="8">
      <w:start w:val="0"/>
      <w:numFmt w:val="bullet"/>
      <w:lvlText w:val="•"/>
      <w:lvlJc w:val="left"/>
      <w:pPr>
        <w:ind w:left="2176" w:hanging="423"/>
      </w:pPr>
      <w:rPr>
        <w:rFonts w:hint="default"/>
      </w:rPr>
    </w:lvl>
  </w:abstractNum>
  <w:abstractNum w:abstractNumId="0">
    <w:multiLevelType w:val="hybridMultilevel"/>
    <w:lvl w:ilvl="0">
      <w:start w:val="0"/>
      <w:numFmt w:val="bullet"/>
      <w:lvlText w:val=""/>
      <w:lvlJc w:val="left"/>
      <w:pPr>
        <w:ind w:left="1272" w:hanging="399"/>
      </w:pPr>
      <w:rPr>
        <w:rFonts w:hint="default" w:ascii="Wingdings" w:hAnsi="Wingdings" w:eastAsia="Wingdings" w:cs="Wingdings"/>
        <w:w w:val="100"/>
        <w:sz w:val="21"/>
        <w:szCs w:val="21"/>
      </w:rPr>
    </w:lvl>
    <w:lvl w:ilvl="1">
      <w:start w:val="0"/>
      <w:numFmt w:val="bullet"/>
      <w:lvlText w:val="•"/>
      <w:lvlJc w:val="left"/>
      <w:pPr>
        <w:ind w:left="2254" w:hanging="399"/>
      </w:pPr>
      <w:rPr>
        <w:rFonts w:hint="default"/>
      </w:rPr>
    </w:lvl>
    <w:lvl w:ilvl="2">
      <w:start w:val="0"/>
      <w:numFmt w:val="bullet"/>
      <w:lvlText w:val="•"/>
      <w:lvlJc w:val="left"/>
      <w:pPr>
        <w:ind w:left="3228" w:hanging="399"/>
      </w:pPr>
      <w:rPr>
        <w:rFonts w:hint="default"/>
      </w:rPr>
    </w:lvl>
    <w:lvl w:ilvl="3">
      <w:start w:val="0"/>
      <w:numFmt w:val="bullet"/>
      <w:lvlText w:val="•"/>
      <w:lvlJc w:val="left"/>
      <w:pPr>
        <w:ind w:left="4203" w:hanging="399"/>
      </w:pPr>
      <w:rPr>
        <w:rFonts w:hint="default"/>
      </w:rPr>
    </w:lvl>
    <w:lvl w:ilvl="4">
      <w:start w:val="0"/>
      <w:numFmt w:val="bullet"/>
      <w:lvlText w:val="•"/>
      <w:lvlJc w:val="left"/>
      <w:pPr>
        <w:ind w:left="5177" w:hanging="399"/>
      </w:pPr>
      <w:rPr>
        <w:rFonts w:hint="default"/>
      </w:rPr>
    </w:lvl>
    <w:lvl w:ilvl="5">
      <w:start w:val="0"/>
      <w:numFmt w:val="bullet"/>
      <w:lvlText w:val="•"/>
      <w:lvlJc w:val="left"/>
      <w:pPr>
        <w:ind w:left="6152" w:hanging="399"/>
      </w:pPr>
      <w:rPr>
        <w:rFonts w:hint="default"/>
      </w:rPr>
    </w:lvl>
    <w:lvl w:ilvl="6">
      <w:start w:val="0"/>
      <w:numFmt w:val="bullet"/>
      <w:lvlText w:val="•"/>
      <w:lvlJc w:val="left"/>
      <w:pPr>
        <w:ind w:left="7126" w:hanging="399"/>
      </w:pPr>
      <w:rPr>
        <w:rFonts w:hint="default"/>
      </w:rPr>
    </w:lvl>
    <w:lvl w:ilvl="7">
      <w:start w:val="0"/>
      <w:numFmt w:val="bullet"/>
      <w:lvlText w:val="•"/>
      <w:lvlJc w:val="left"/>
      <w:pPr>
        <w:ind w:left="8100" w:hanging="399"/>
      </w:pPr>
      <w:rPr>
        <w:rFonts w:hint="default"/>
      </w:rPr>
    </w:lvl>
    <w:lvl w:ilvl="8">
      <w:start w:val="0"/>
      <w:numFmt w:val="bullet"/>
      <w:lvlText w:val="•"/>
      <w:lvlJc w:val="left"/>
      <w:pPr>
        <w:ind w:left="9075" w:hanging="399"/>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1272" w:hanging="399"/>
    </w:pPr>
    <w:rPr>
      <w:rFonts w:ascii="宋体" w:hAnsi="宋体" w:eastAsia="宋体" w:cs="宋体"/>
    </w:rPr>
  </w:style>
  <w:style w:styleId="TableParagraph" w:type="paragraph">
    <w:name w:val="Table Paragraph"/>
    <w:basedOn w:val="Normal"/>
    <w:uiPriority w:val="1"/>
    <w:qFormat/>
    <w:pPr>
      <w:spacing w:before="37"/>
      <w:ind w:left="11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合众附加得益人生提前给付重大疾病保险条款</dc:title>
  <dcterms:created xsi:type="dcterms:W3CDTF">2018-10-20T03:09:09Z</dcterms:created>
  <dcterms:modified xsi:type="dcterms:W3CDTF">2018-10-20T03:09:09Z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2017-07-04T00:00:00Z</vt:filetime>
  </property>
  <property fmtid="{D5CDD505-2E9C-101B-9397-08002B2CF9AE}" pid="3" name="Creator">
    <vt:lpwstr>Microsoft® Word 2010</vt:lpwstr>
  </property>
  <property fmtid="{D5CDD505-2E9C-101B-9397-08002B2CF9AE}" pid="4" name="LastSaved">
    <vt:filetime>2018-10-19T00:00:00Z</vt:filetime>
  </property>
</Properties>
</file>