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footer1.xml" ContentType="application/vnd.openxmlformats-officedocument.wordprocessingml.foot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8542"/>
        <w:rPr>
          <w:rFonts w:ascii="Times New Roman"/>
        </w:rPr>
      </w:pPr>
      <w:r>
        <w:rPr>
          <w:rFonts w:ascii="Times New Roman"/>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inline>
        </w:drawing>
      </w:r>
      <w:r>
        <w:rPr>
          <w:rFonts w:ascii="Times New Roman"/>
        </w:rPr>
      </w:r>
    </w:p>
    <w:p>
      <w:pPr>
        <w:spacing w:after="0"/>
        <w:rPr>
          <w:rFonts w:ascii="Times New Roman"/>
        </w:rPr>
        <w:sectPr>
          <w:type w:val="continuous"/>
          <w:pgSz w:w="11900" w:h="16840"/>
          <w:pgMar w:top="460" w:bottom="280" w:left="1300" w:right="800"/>
        </w:sectPr>
      </w:pPr>
    </w:p>
    <w:p>
      <w:pPr>
        <w:pStyle w:val="BodyText"/>
        <w:spacing w:before="3"/>
        <w:rPr>
          <w:rFonts w:ascii="Times New Roman"/>
          <w:sz w:val="33"/>
        </w:rPr>
      </w:pPr>
    </w:p>
    <w:p>
      <w:pPr>
        <w:pStyle w:val="Heading1"/>
        <w:jc w:val="right"/>
      </w:pPr>
      <w:r>
        <w:rPr/>
        <w:t>阅  读  指  引</w:t>
      </w:r>
    </w:p>
    <w:p>
      <w:pPr>
        <w:pStyle w:val="BodyText"/>
        <w:spacing w:line="228" w:lineRule="exact"/>
        <w:ind w:left="848"/>
      </w:pPr>
      <w:r>
        <w:rPr/>
        <w:br w:type="column"/>
      </w:r>
      <w:r>
        <w:rPr/>
        <w:t>中德安联人寿[2015]疾病保险 017 号</w:t>
      </w:r>
    </w:p>
    <w:p>
      <w:pPr>
        <w:pStyle w:val="BodyText"/>
        <w:spacing w:line="260" w:lineRule="exact"/>
        <w:ind w:left="2048"/>
      </w:pPr>
      <w:r>
        <w:rPr>
          <w:w w:val="95"/>
        </w:rPr>
        <w:t>请扫描以查询验证条款</w:t>
      </w:r>
    </w:p>
    <w:p>
      <w:pPr>
        <w:spacing w:after="0" w:line="260" w:lineRule="exact"/>
        <w:sectPr>
          <w:type w:val="continuous"/>
          <w:pgSz w:w="11900" w:h="16840"/>
          <w:pgMar w:top="460" w:bottom="280" w:left="1300" w:right="800"/>
          <w:cols w:num="2" w:equalWidth="0">
            <w:col w:w="5596" w:space="40"/>
            <w:col w:w="4164"/>
          </w:cols>
        </w:sectPr>
      </w:pPr>
    </w:p>
    <w:p>
      <w:pPr>
        <w:spacing w:before="31"/>
        <w:ind w:left="413" w:right="0" w:firstLine="0"/>
        <w:jc w:val="left"/>
        <w:rPr>
          <w:sz w:val="20"/>
        </w:rPr>
      </w:pPr>
      <w:r>
        <w:rPr/>
        <w:pict>
          <v:group style="position:absolute;margin-left:70.320pt;margin-top:24.33069pt;width:474.25pt;height:619.7pt;mso-position-horizontal-relative:page;mso-position-vertical-relative:paragraph;z-index:-25696" coordorigin="1406,487" coordsize="9485,12394">
            <v:shape style="position:absolute;left:1406;top:486;width:9485;height:12394" type="#_x0000_t75" stroked="false">
              <v:imagedata r:id="rId6" o:title=""/>
            </v:shape>
            <v:rect style="position:absolute;left:1552;top:4823;width:9214;height:7020" filled="false" stroked="true" strokeweight=".75pt" strokecolor="#000000">
              <v:stroke dashstyle="dash"/>
            </v:rect>
            <w10:wrap type="none"/>
          </v:group>
        </w:pict>
      </w:r>
      <w:r>
        <w:rPr>
          <w:spacing w:val="-142"/>
          <w:w w:val="99"/>
          <w:sz w:val="20"/>
        </w:rPr>
        <w:t>本</w:t>
      </w:r>
      <w:r>
        <w:rPr>
          <w:spacing w:val="-58"/>
          <w:w w:val="99"/>
          <w:position w:val="-7"/>
          <w:sz w:val="20"/>
        </w:rPr>
        <w:t>．</w:t>
      </w:r>
      <w:r>
        <w:rPr>
          <w:spacing w:val="-142"/>
          <w:w w:val="99"/>
          <w:sz w:val="20"/>
        </w:rPr>
        <w:t>阅</w:t>
      </w:r>
      <w:r>
        <w:rPr>
          <w:spacing w:val="-58"/>
          <w:w w:val="99"/>
          <w:position w:val="-7"/>
          <w:sz w:val="20"/>
        </w:rPr>
        <w:t>．</w:t>
      </w:r>
      <w:r>
        <w:rPr>
          <w:spacing w:val="-142"/>
          <w:w w:val="99"/>
          <w:sz w:val="20"/>
        </w:rPr>
        <w:t>读</w:t>
      </w:r>
      <w:r>
        <w:rPr>
          <w:spacing w:val="-58"/>
          <w:w w:val="99"/>
          <w:position w:val="-7"/>
          <w:sz w:val="20"/>
        </w:rPr>
        <w:t>．</w:t>
      </w:r>
      <w:r>
        <w:rPr>
          <w:spacing w:val="-142"/>
          <w:w w:val="99"/>
          <w:sz w:val="20"/>
        </w:rPr>
        <w:t>指</w:t>
      </w:r>
      <w:r>
        <w:rPr>
          <w:spacing w:val="-56"/>
          <w:w w:val="99"/>
          <w:position w:val="-7"/>
          <w:sz w:val="20"/>
        </w:rPr>
        <w:t>．</w:t>
      </w:r>
      <w:r>
        <w:rPr>
          <w:spacing w:val="-142"/>
          <w:w w:val="99"/>
          <w:sz w:val="20"/>
        </w:rPr>
        <w:t>引</w:t>
      </w:r>
      <w:r>
        <w:rPr>
          <w:spacing w:val="-58"/>
          <w:w w:val="99"/>
          <w:position w:val="-7"/>
          <w:sz w:val="20"/>
        </w:rPr>
        <w:t>．</w:t>
      </w:r>
      <w:r>
        <w:rPr>
          <w:spacing w:val="-142"/>
          <w:w w:val="99"/>
          <w:sz w:val="20"/>
        </w:rPr>
        <w:t>有</w:t>
      </w:r>
      <w:r>
        <w:rPr>
          <w:spacing w:val="-58"/>
          <w:w w:val="99"/>
          <w:position w:val="-7"/>
          <w:sz w:val="20"/>
        </w:rPr>
        <w:t>．</w:t>
      </w:r>
      <w:r>
        <w:rPr>
          <w:spacing w:val="-142"/>
          <w:w w:val="99"/>
          <w:sz w:val="20"/>
        </w:rPr>
        <w:t>助</w:t>
      </w:r>
      <w:r>
        <w:rPr>
          <w:spacing w:val="-56"/>
          <w:w w:val="99"/>
          <w:position w:val="-7"/>
          <w:sz w:val="20"/>
        </w:rPr>
        <w:t>．</w:t>
      </w:r>
      <w:r>
        <w:rPr>
          <w:spacing w:val="-142"/>
          <w:w w:val="99"/>
          <w:sz w:val="20"/>
        </w:rPr>
        <w:t>于</w:t>
      </w:r>
      <w:r>
        <w:rPr>
          <w:spacing w:val="-58"/>
          <w:w w:val="99"/>
          <w:position w:val="-7"/>
          <w:sz w:val="20"/>
        </w:rPr>
        <w:t>．</w:t>
      </w:r>
      <w:r>
        <w:rPr>
          <w:spacing w:val="-142"/>
          <w:w w:val="99"/>
          <w:sz w:val="20"/>
        </w:rPr>
        <w:t>您</w:t>
      </w:r>
      <w:r>
        <w:rPr>
          <w:spacing w:val="-58"/>
          <w:w w:val="99"/>
          <w:position w:val="-7"/>
          <w:sz w:val="20"/>
        </w:rPr>
        <w:t>．</w:t>
      </w:r>
      <w:r>
        <w:rPr>
          <w:spacing w:val="-142"/>
          <w:w w:val="99"/>
          <w:sz w:val="20"/>
        </w:rPr>
        <w:t>理</w:t>
      </w:r>
      <w:r>
        <w:rPr>
          <w:spacing w:val="-56"/>
          <w:w w:val="99"/>
          <w:position w:val="-7"/>
          <w:sz w:val="20"/>
        </w:rPr>
        <w:t>．</w:t>
      </w:r>
      <w:r>
        <w:rPr>
          <w:spacing w:val="-142"/>
          <w:w w:val="99"/>
          <w:sz w:val="20"/>
        </w:rPr>
        <w:t>解</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71"/>
          <w:w w:val="99"/>
          <w:sz w:val="20"/>
        </w:rPr>
        <w:t>，对</w:t>
      </w:r>
      <w:r>
        <w:rPr>
          <w:spacing w:val="-58"/>
          <w:w w:val="99"/>
          <w:position w:val="-7"/>
          <w:sz w:val="20"/>
        </w:rPr>
        <w:t>．</w:t>
      </w:r>
      <w:r>
        <w:rPr>
          <w:rFonts w:ascii="Microsoft JhengHei" w:hAnsi="Microsoft JhengHei" w:eastAsia="Microsoft JhengHei" w:hint="eastAsia"/>
          <w:b/>
          <w:spacing w:val="-140"/>
          <w:w w:val="99"/>
          <w:sz w:val="20"/>
        </w:rPr>
        <w:t>“</w:t>
      </w:r>
      <w:r>
        <w:rPr>
          <w:spacing w:val="-58"/>
          <w:w w:val="99"/>
          <w:position w:val="-7"/>
          <w:sz w:val="20"/>
        </w:rPr>
        <w:t>．</w:t>
      </w:r>
      <w:r>
        <w:rPr>
          <w:rFonts w:ascii="Microsoft JhengHei" w:hAnsi="Microsoft JhengHei" w:eastAsia="Microsoft JhengHei" w:hint="eastAsia"/>
          <w:b/>
          <w:spacing w:val="-140"/>
          <w:w w:val="99"/>
          <w:sz w:val="20"/>
        </w:rPr>
        <w:t>安</w:t>
      </w:r>
      <w:r>
        <w:rPr>
          <w:spacing w:val="-58"/>
          <w:w w:val="99"/>
          <w:position w:val="-7"/>
          <w:sz w:val="20"/>
        </w:rPr>
        <w:t>．</w:t>
      </w:r>
      <w:r>
        <w:rPr>
          <w:rFonts w:ascii="Microsoft JhengHei" w:hAnsi="Microsoft JhengHei" w:eastAsia="Microsoft JhengHei" w:hint="eastAsia"/>
          <w:b/>
          <w:spacing w:val="-140"/>
          <w:w w:val="99"/>
          <w:sz w:val="20"/>
        </w:rPr>
        <w:t>联</w:t>
      </w:r>
      <w:r>
        <w:rPr>
          <w:spacing w:val="-58"/>
          <w:w w:val="99"/>
          <w:position w:val="-7"/>
          <w:sz w:val="20"/>
        </w:rPr>
        <w:t>．</w:t>
      </w:r>
      <w:r>
        <w:rPr>
          <w:rFonts w:ascii="Microsoft JhengHei" w:hAnsi="Microsoft JhengHei" w:eastAsia="Microsoft JhengHei" w:hint="eastAsia"/>
          <w:b/>
          <w:spacing w:val="-140"/>
          <w:w w:val="99"/>
          <w:sz w:val="20"/>
        </w:rPr>
        <w:t>附</w:t>
      </w:r>
      <w:r>
        <w:rPr>
          <w:spacing w:val="-58"/>
          <w:w w:val="99"/>
          <w:position w:val="-7"/>
          <w:sz w:val="20"/>
        </w:rPr>
        <w:t>．</w:t>
      </w:r>
      <w:r>
        <w:rPr>
          <w:rFonts w:ascii="Microsoft JhengHei" w:hAnsi="Microsoft JhengHei" w:eastAsia="Microsoft JhengHei" w:hint="eastAsia"/>
          <w:b/>
          <w:spacing w:val="-140"/>
          <w:w w:val="99"/>
          <w:sz w:val="20"/>
        </w:rPr>
        <w:t>加</w:t>
      </w:r>
      <w:r>
        <w:rPr>
          <w:spacing w:val="-58"/>
          <w:w w:val="99"/>
          <w:position w:val="-7"/>
          <w:sz w:val="20"/>
        </w:rPr>
        <w:t>．</w:t>
      </w:r>
      <w:r>
        <w:rPr>
          <w:rFonts w:ascii="Microsoft JhengHei" w:hAnsi="Microsoft JhengHei" w:eastAsia="Microsoft JhengHei" w:hint="eastAsia"/>
          <w:b/>
          <w:spacing w:val="-140"/>
          <w:w w:val="99"/>
          <w:sz w:val="20"/>
        </w:rPr>
        <w:t>安</w:t>
      </w:r>
      <w:r>
        <w:rPr>
          <w:spacing w:val="-58"/>
          <w:w w:val="99"/>
          <w:position w:val="-7"/>
          <w:sz w:val="20"/>
        </w:rPr>
        <w:t>．</w:t>
      </w:r>
      <w:r>
        <w:rPr>
          <w:rFonts w:ascii="Microsoft JhengHei" w:hAnsi="Microsoft JhengHei" w:eastAsia="Microsoft JhengHei" w:hint="eastAsia"/>
          <w:b/>
          <w:spacing w:val="-142"/>
          <w:w w:val="99"/>
          <w:sz w:val="20"/>
        </w:rPr>
        <w:t>康</w:t>
      </w:r>
      <w:r>
        <w:rPr>
          <w:spacing w:val="-58"/>
          <w:w w:val="99"/>
          <w:position w:val="-7"/>
          <w:sz w:val="20"/>
        </w:rPr>
        <w:t>．</w:t>
      </w:r>
      <w:r>
        <w:rPr>
          <w:rFonts w:ascii="Microsoft JhengHei" w:hAnsi="Microsoft JhengHei" w:eastAsia="Microsoft JhengHei" w:hint="eastAsia"/>
          <w:b/>
          <w:spacing w:val="-140"/>
          <w:w w:val="99"/>
          <w:sz w:val="20"/>
        </w:rPr>
        <w:t>畅</w:t>
      </w:r>
      <w:r>
        <w:rPr>
          <w:spacing w:val="-58"/>
          <w:w w:val="99"/>
          <w:position w:val="-7"/>
          <w:sz w:val="20"/>
        </w:rPr>
        <w:t>．</w:t>
      </w:r>
      <w:r>
        <w:rPr>
          <w:rFonts w:ascii="Microsoft JhengHei" w:hAnsi="Microsoft JhengHei" w:eastAsia="Microsoft JhengHei" w:hint="eastAsia"/>
          <w:b/>
          <w:spacing w:val="-142"/>
          <w:w w:val="99"/>
          <w:sz w:val="20"/>
        </w:rPr>
        <w:t>游</w:t>
      </w:r>
      <w:r>
        <w:rPr>
          <w:spacing w:val="-58"/>
          <w:w w:val="99"/>
          <w:position w:val="-7"/>
          <w:sz w:val="20"/>
        </w:rPr>
        <w:t>．</w:t>
      </w:r>
      <w:r>
        <w:rPr>
          <w:rFonts w:ascii="Microsoft JhengHei" w:hAnsi="Microsoft JhengHei" w:eastAsia="Microsoft JhengHei" w:hint="eastAsia"/>
          <w:b/>
          <w:spacing w:val="-140"/>
          <w:w w:val="99"/>
          <w:sz w:val="20"/>
        </w:rPr>
        <w:t>重</w:t>
      </w:r>
      <w:r>
        <w:rPr>
          <w:spacing w:val="-58"/>
          <w:w w:val="99"/>
          <w:position w:val="-7"/>
          <w:sz w:val="20"/>
        </w:rPr>
        <w:t>．</w:t>
      </w:r>
      <w:r>
        <w:rPr>
          <w:rFonts w:ascii="Microsoft JhengHei" w:hAnsi="Microsoft JhengHei" w:eastAsia="Microsoft JhengHei" w:hint="eastAsia"/>
          <w:b/>
          <w:spacing w:val="-140"/>
          <w:w w:val="99"/>
          <w:sz w:val="20"/>
        </w:rPr>
        <w:t>大</w:t>
      </w:r>
      <w:r>
        <w:rPr>
          <w:spacing w:val="-58"/>
          <w:w w:val="99"/>
          <w:position w:val="-7"/>
          <w:sz w:val="20"/>
        </w:rPr>
        <w:t>．</w:t>
      </w:r>
      <w:r>
        <w:rPr>
          <w:rFonts w:ascii="Microsoft JhengHei" w:hAnsi="Microsoft JhengHei" w:eastAsia="Microsoft JhengHei" w:hint="eastAsia"/>
          <w:b/>
          <w:spacing w:val="-140"/>
          <w:w w:val="99"/>
          <w:sz w:val="20"/>
        </w:rPr>
        <w:t>疾</w:t>
      </w:r>
      <w:r>
        <w:rPr>
          <w:spacing w:val="-58"/>
          <w:w w:val="99"/>
          <w:position w:val="-7"/>
          <w:sz w:val="20"/>
        </w:rPr>
        <w:t>．</w:t>
      </w:r>
      <w:r>
        <w:rPr>
          <w:rFonts w:ascii="Microsoft JhengHei" w:hAnsi="Microsoft JhengHei" w:eastAsia="Microsoft JhengHei" w:hint="eastAsia"/>
          <w:b/>
          <w:spacing w:val="-142"/>
          <w:w w:val="99"/>
          <w:sz w:val="20"/>
        </w:rPr>
        <w:t>病</w:t>
      </w:r>
      <w:r>
        <w:rPr>
          <w:spacing w:val="-58"/>
          <w:w w:val="99"/>
          <w:position w:val="-7"/>
          <w:sz w:val="20"/>
        </w:rPr>
        <w:t>．</w:t>
      </w:r>
      <w:r>
        <w:rPr>
          <w:rFonts w:ascii="Microsoft JhengHei" w:hAnsi="Microsoft JhengHei" w:eastAsia="Microsoft JhengHei" w:hint="eastAsia"/>
          <w:b/>
          <w:spacing w:val="-140"/>
          <w:w w:val="99"/>
          <w:sz w:val="20"/>
        </w:rPr>
        <w:t>保</w:t>
      </w:r>
      <w:r>
        <w:rPr>
          <w:spacing w:val="-58"/>
          <w:w w:val="99"/>
          <w:position w:val="-7"/>
          <w:sz w:val="20"/>
        </w:rPr>
        <w:t>．</w:t>
      </w:r>
      <w:r>
        <w:rPr>
          <w:rFonts w:ascii="Microsoft JhengHei" w:hAnsi="Microsoft JhengHei" w:eastAsia="Microsoft JhengHei" w:hint="eastAsia"/>
          <w:b/>
          <w:spacing w:val="-140"/>
          <w:w w:val="99"/>
          <w:sz w:val="20"/>
        </w:rPr>
        <w:t>险</w:t>
      </w:r>
      <w:r>
        <w:rPr>
          <w:spacing w:val="-58"/>
          <w:w w:val="99"/>
          <w:position w:val="-7"/>
          <w:sz w:val="20"/>
        </w:rPr>
        <w:t>．</w:t>
      </w:r>
      <w:r>
        <w:rPr>
          <w:rFonts w:ascii="Microsoft JhengHei" w:hAnsi="Microsoft JhengHei" w:eastAsia="Microsoft JhengHei" w:hint="eastAsia"/>
          <w:b/>
          <w:spacing w:val="-142"/>
          <w:w w:val="99"/>
          <w:sz w:val="20"/>
        </w:rPr>
        <w:t>条</w:t>
      </w:r>
      <w:r>
        <w:rPr>
          <w:spacing w:val="-58"/>
          <w:w w:val="99"/>
          <w:position w:val="-7"/>
          <w:sz w:val="20"/>
        </w:rPr>
        <w:t>．</w:t>
      </w:r>
      <w:r>
        <w:rPr>
          <w:rFonts w:ascii="Microsoft JhengHei" w:hAnsi="Microsoft JhengHei" w:eastAsia="Microsoft JhengHei" w:hint="eastAsia"/>
          <w:b/>
          <w:spacing w:val="-140"/>
          <w:w w:val="99"/>
          <w:sz w:val="20"/>
        </w:rPr>
        <w:t>款</w:t>
      </w:r>
      <w:r>
        <w:rPr>
          <w:spacing w:val="-58"/>
          <w:w w:val="99"/>
          <w:position w:val="-7"/>
          <w:sz w:val="20"/>
        </w:rPr>
        <w:t>．</w:t>
      </w:r>
      <w:r>
        <w:rPr>
          <w:rFonts w:ascii="Microsoft JhengHei" w:hAnsi="Microsoft JhengHei" w:eastAsia="Microsoft JhengHei" w:hint="eastAsia"/>
          <w:b/>
          <w:spacing w:val="-140"/>
          <w:w w:val="99"/>
          <w:sz w:val="20"/>
        </w:rPr>
        <w:t>”</w:t>
      </w:r>
      <w:r>
        <w:rPr>
          <w:spacing w:val="-58"/>
          <w:w w:val="99"/>
          <w:position w:val="-7"/>
          <w:sz w:val="20"/>
        </w:rPr>
        <w:t>．</w:t>
      </w:r>
      <w:r>
        <w:rPr>
          <w:spacing w:val="-142"/>
          <w:w w:val="99"/>
          <w:sz w:val="20"/>
        </w:rPr>
        <w:t>内</w:t>
      </w:r>
      <w:r>
        <w:rPr>
          <w:spacing w:val="-58"/>
          <w:w w:val="99"/>
          <w:position w:val="-7"/>
          <w:sz w:val="20"/>
        </w:rPr>
        <w:t>．</w:t>
      </w:r>
      <w:r>
        <w:rPr>
          <w:spacing w:val="-142"/>
          <w:w w:val="99"/>
          <w:sz w:val="20"/>
        </w:rPr>
        <w:t>容</w:t>
      </w:r>
      <w:r>
        <w:rPr>
          <w:spacing w:val="-58"/>
          <w:w w:val="99"/>
          <w:position w:val="-7"/>
          <w:sz w:val="20"/>
        </w:rPr>
        <w:t>．</w:t>
      </w:r>
      <w:r>
        <w:rPr>
          <w:spacing w:val="-142"/>
          <w:w w:val="99"/>
          <w:sz w:val="20"/>
        </w:rPr>
        <w:t>的</w:t>
      </w:r>
      <w:r>
        <w:rPr>
          <w:spacing w:val="-58"/>
          <w:w w:val="99"/>
          <w:position w:val="-7"/>
          <w:sz w:val="20"/>
        </w:rPr>
        <w:t>．</w:t>
      </w:r>
      <w:r>
        <w:rPr>
          <w:spacing w:val="-142"/>
          <w:w w:val="99"/>
          <w:sz w:val="20"/>
        </w:rPr>
        <w:t>解</w:t>
      </w:r>
      <w:r>
        <w:rPr>
          <w:spacing w:val="-58"/>
          <w:w w:val="99"/>
          <w:position w:val="-7"/>
          <w:sz w:val="20"/>
        </w:rPr>
        <w:t>．</w:t>
      </w:r>
      <w:r>
        <w:rPr>
          <w:spacing w:val="-142"/>
          <w:w w:val="99"/>
          <w:sz w:val="20"/>
        </w:rPr>
        <w:t>释</w:t>
      </w:r>
      <w:r>
        <w:rPr>
          <w:spacing w:val="-58"/>
          <w:w w:val="99"/>
          <w:position w:val="-7"/>
          <w:sz w:val="20"/>
        </w:rPr>
        <w:t>．</w:t>
      </w:r>
      <w:r>
        <w:rPr>
          <w:spacing w:val="-142"/>
          <w:w w:val="99"/>
          <w:sz w:val="20"/>
        </w:rPr>
        <w:t>以</w:t>
      </w:r>
      <w:r>
        <w:rPr>
          <w:spacing w:val="-58"/>
          <w:w w:val="99"/>
          <w:position w:val="-7"/>
          <w:sz w:val="20"/>
        </w:rPr>
        <w:t>．</w:t>
      </w:r>
      <w:r>
        <w:rPr>
          <w:spacing w:val="-142"/>
          <w:w w:val="99"/>
          <w:sz w:val="20"/>
        </w:rPr>
        <w:t>条</w:t>
      </w:r>
      <w:r>
        <w:rPr>
          <w:spacing w:val="-56"/>
          <w:w w:val="99"/>
          <w:position w:val="-7"/>
          <w:sz w:val="20"/>
        </w:rPr>
        <w:t>．</w:t>
      </w:r>
      <w:r>
        <w:rPr>
          <w:spacing w:val="-142"/>
          <w:w w:val="99"/>
          <w:sz w:val="20"/>
        </w:rPr>
        <w:t>款</w:t>
      </w:r>
      <w:r>
        <w:rPr>
          <w:spacing w:val="-58"/>
          <w:w w:val="99"/>
          <w:position w:val="-7"/>
          <w:sz w:val="20"/>
        </w:rPr>
        <w:t>．</w:t>
      </w:r>
      <w:r>
        <w:rPr>
          <w:spacing w:val="-142"/>
          <w:w w:val="99"/>
          <w:sz w:val="20"/>
        </w:rPr>
        <w:t>为</w:t>
      </w:r>
      <w:r>
        <w:rPr>
          <w:spacing w:val="-58"/>
          <w:w w:val="99"/>
          <w:position w:val="-7"/>
          <w:sz w:val="20"/>
        </w:rPr>
        <w:t>．</w:t>
      </w:r>
      <w:r>
        <w:rPr>
          <w:spacing w:val="-142"/>
          <w:w w:val="99"/>
          <w:sz w:val="20"/>
        </w:rPr>
        <w:t>准</w:t>
      </w:r>
      <w:r>
        <w:rPr>
          <w:spacing w:val="-56"/>
          <w:w w:val="99"/>
          <w:position w:val="-7"/>
          <w:sz w:val="20"/>
        </w:rPr>
        <w:t>．</w:t>
      </w:r>
      <w:r>
        <w:rPr>
          <w:w w:val="99"/>
          <w:sz w:val="20"/>
        </w:rPr>
        <w:t>。</w:t>
      </w:r>
    </w:p>
    <w:p>
      <w:pPr>
        <w:pStyle w:val="BodyText"/>
        <w:spacing w:before="7"/>
        <w:rPr>
          <w:sz w:val="28"/>
        </w:rPr>
      </w:pPr>
    </w:p>
    <w:p>
      <w:pPr>
        <w:pStyle w:val="Heading2"/>
        <w:spacing w:line="335" w:lineRule="exact"/>
        <w:ind w:left="447"/>
      </w:pPr>
      <w:r>
        <w:rPr/>
        <w:t>您拥有的重要权益</w:t>
      </w:r>
    </w:p>
    <w:p>
      <w:pPr>
        <w:pStyle w:val="ListParagraph"/>
        <w:numPr>
          <w:ilvl w:val="0"/>
          <w:numId w:val="1"/>
        </w:numPr>
        <w:tabs>
          <w:tab w:pos="1306" w:val="left" w:leader="none"/>
          <w:tab w:pos="1307" w:val="left" w:leader="none"/>
          <w:tab w:pos="9417" w:val="right" w:leader="dot"/>
        </w:tabs>
        <w:spacing w:line="255" w:lineRule="exact" w:before="0" w:after="0"/>
        <w:ind w:left="444" w:right="0" w:firstLine="442"/>
        <w:jc w:val="left"/>
        <w:rPr>
          <w:sz w:val="20"/>
        </w:rPr>
      </w:pPr>
      <w:r>
        <w:rPr>
          <w:sz w:val="20"/>
        </w:rPr>
        <w:t>被保险人可以享受本附加合同提供的保障</w:t>
        <w:tab/>
        <w:t>2.2</w:t>
      </w:r>
    </w:p>
    <w:p>
      <w:pPr>
        <w:pStyle w:val="ListParagraph"/>
        <w:numPr>
          <w:ilvl w:val="0"/>
          <w:numId w:val="1"/>
        </w:numPr>
        <w:tabs>
          <w:tab w:pos="1306" w:val="left" w:leader="none"/>
          <w:tab w:pos="1307" w:val="left" w:leader="none"/>
          <w:tab w:pos="9419" w:val="right" w:leader="dot"/>
        </w:tabs>
        <w:spacing w:line="267" w:lineRule="exact" w:before="0" w:after="0"/>
        <w:ind w:left="444" w:right="0" w:firstLine="442"/>
        <w:jc w:val="left"/>
        <w:rPr>
          <w:sz w:val="20"/>
        </w:rPr>
      </w:pPr>
      <w:r>
        <w:rPr>
          <w:sz w:val="20"/>
        </w:rPr>
        <w:t>您有退保的权利</w:t>
        <w:tab/>
        <w:t>5.1</w:t>
      </w:r>
    </w:p>
    <w:p>
      <w:pPr>
        <w:pStyle w:val="Heading2"/>
        <w:spacing w:line="335" w:lineRule="exact" w:before="178"/>
        <w:ind w:left="444"/>
      </w:pPr>
      <w:r>
        <w:rPr/>
        <w:t>您应当特别注意的事项</w:t>
      </w:r>
    </w:p>
    <w:p>
      <w:pPr>
        <w:pStyle w:val="ListParagraph"/>
        <w:numPr>
          <w:ilvl w:val="0"/>
          <w:numId w:val="1"/>
        </w:numPr>
        <w:tabs>
          <w:tab w:pos="1306" w:val="left" w:leader="none"/>
          <w:tab w:pos="1307" w:val="left" w:leader="none"/>
          <w:tab w:pos="9419" w:val="right" w:leader="dot"/>
        </w:tabs>
        <w:spacing w:line="255" w:lineRule="exact" w:before="0" w:after="0"/>
        <w:ind w:left="444" w:right="0" w:firstLine="442"/>
        <w:jc w:val="left"/>
        <w:rPr>
          <w:sz w:val="20"/>
        </w:rPr>
      </w:pPr>
      <w:r>
        <w:rPr>
          <w:sz w:val="20"/>
        </w:rPr>
        <w:t>我们对责任免除作了特别提示，详见条款正文中字体加黑的内容</w:t>
        <w:tab/>
        <w:t>2.4</w:t>
      </w:r>
    </w:p>
    <w:p>
      <w:pPr>
        <w:pStyle w:val="ListParagraph"/>
        <w:numPr>
          <w:ilvl w:val="0"/>
          <w:numId w:val="1"/>
        </w:numPr>
        <w:tabs>
          <w:tab w:pos="1306" w:val="left" w:leader="none"/>
          <w:tab w:pos="1307" w:val="left" w:leader="none"/>
          <w:tab w:pos="9419" w:val="right" w:leader="dot"/>
        </w:tabs>
        <w:spacing w:line="260" w:lineRule="exact" w:before="0" w:after="0"/>
        <w:ind w:left="444" w:right="0" w:firstLine="442"/>
        <w:jc w:val="left"/>
        <w:rPr>
          <w:sz w:val="20"/>
        </w:rPr>
      </w:pPr>
      <w:r>
        <w:rPr>
          <w:sz w:val="20"/>
        </w:rPr>
        <w:t>您应当按时支付保险费</w:t>
        <w:tab/>
        <w:t>3.1</w:t>
      </w:r>
    </w:p>
    <w:p>
      <w:pPr>
        <w:pStyle w:val="ListParagraph"/>
        <w:numPr>
          <w:ilvl w:val="0"/>
          <w:numId w:val="1"/>
        </w:numPr>
        <w:tabs>
          <w:tab w:pos="1306" w:val="left" w:leader="none"/>
          <w:tab w:pos="1307" w:val="left" w:leader="none"/>
          <w:tab w:pos="9419" w:val="right" w:leader="dot"/>
        </w:tabs>
        <w:spacing w:line="260" w:lineRule="exact" w:before="0" w:after="0"/>
        <w:ind w:left="444" w:right="0" w:firstLine="442"/>
        <w:jc w:val="left"/>
        <w:rPr>
          <w:sz w:val="20"/>
        </w:rPr>
      </w:pPr>
      <w:r>
        <w:rPr>
          <w:sz w:val="20"/>
        </w:rPr>
        <w:t>您有及时向我们通知保险事故的责任</w:t>
        <w:tab/>
        <w:t>4.2</w:t>
      </w:r>
    </w:p>
    <w:p>
      <w:pPr>
        <w:pStyle w:val="ListParagraph"/>
        <w:numPr>
          <w:ilvl w:val="0"/>
          <w:numId w:val="1"/>
        </w:numPr>
        <w:tabs>
          <w:tab w:pos="1306" w:val="left" w:leader="none"/>
          <w:tab w:pos="1307" w:val="left" w:leader="none"/>
          <w:tab w:pos="9419" w:val="right" w:leader="dot"/>
        </w:tabs>
        <w:spacing w:line="259" w:lineRule="exact" w:before="0" w:after="0"/>
        <w:ind w:left="444" w:right="0" w:firstLine="442"/>
        <w:jc w:val="left"/>
        <w:rPr>
          <w:sz w:val="20"/>
        </w:rPr>
      </w:pPr>
      <w:r>
        <w:rPr>
          <w:sz w:val="20"/>
        </w:rPr>
        <w:t>退保会给您造成一定的损失，请您慎重决策</w:t>
        <w:tab/>
        <w:t>5.1</w:t>
      </w:r>
    </w:p>
    <w:p>
      <w:pPr>
        <w:pStyle w:val="ListParagraph"/>
        <w:numPr>
          <w:ilvl w:val="0"/>
          <w:numId w:val="1"/>
        </w:numPr>
        <w:tabs>
          <w:tab w:pos="1306" w:val="left" w:leader="none"/>
          <w:tab w:pos="1307" w:val="left" w:leader="none"/>
        </w:tabs>
        <w:spacing w:line="396" w:lineRule="auto" w:before="0" w:after="0"/>
        <w:ind w:left="444" w:right="382" w:firstLine="442"/>
        <w:jc w:val="left"/>
        <w:rPr>
          <w:rFonts w:ascii="Microsoft JhengHei" w:eastAsia="Microsoft JhengHei" w:hint="eastAsia"/>
          <w:b/>
          <w:sz w:val="20"/>
        </w:rPr>
      </w:pPr>
      <w:r>
        <w:rPr>
          <w:spacing w:val="-4"/>
          <w:sz w:val="20"/>
        </w:rPr>
        <w:t>我们对一些重要术语进行了解释，并作了显著标识，请您注意 ...................... 释义</w:t>
      </w:r>
      <w:r>
        <w:rPr>
          <w:rFonts w:ascii="Microsoft JhengHei" w:eastAsia="Microsoft JhengHei" w:hint="eastAsia"/>
          <w:b/>
          <w:spacing w:val="-4"/>
          <w:sz w:val="20"/>
        </w:rPr>
        <w:t>条款是保险合同的重要内容，为充分保障您的权益，请您仔细阅读本条款。</w:t>
      </w:r>
    </w:p>
    <w:p>
      <w:pPr>
        <w:pStyle w:val="Heading2"/>
        <w:spacing w:line="345" w:lineRule="exact" w:before="8"/>
        <w:ind w:left="444"/>
      </w:pPr>
      <w:r>
        <w:rPr/>
        <w:t>条款目录</w:t>
      </w:r>
    </w:p>
    <w:p>
      <w:pPr>
        <w:spacing w:after="0" w:line="345" w:lineRule="exact"/>
        <w:sectPr>
          <w:type w:val="continuous"/>
          <w:pgSz w:w="11900" w:h="16840"/>
          <w:pgMar w:top="460" w:bottom="280" w:left="1300" w:right="800"/>
        </w:sectPr>
      </w:pPr>
    </w:p>
    <w:p>
      <w:pPr>
        <w:pStyle w:val="BodyText"/>
        <w:spacing w:before="2"/>
        <w:rPr>
          <w:rFonts w:ascii="Microsoft JhengHei"/>
          <w:b/>
          <w:sz w:val="27"/>
        </w:rPr>
      </w:pPr>
    </w:p>
    <w:p>
      <w:pPr>
        <w:spacing w:line="331" w:lineRule="exact" w:before="0"/>
        <w:ind w:left="502" w:right="0" w:firstLine="0"/>
        <w:jc w:val="left"/>
        <w:rPr>
          <w:rFonts w:ascii="Microsoft JhengHei" w:eastAsia="Microsoft JhengHei" w:hint="eastAsia"/>
          <w:b/>
          <w:sz w:val="20"/>
        </w:rPr>
      </w:pPr>
      <w:r>
        <w:rPr>
          <w:rFonts w:ascii="Microsoft JhengHei" w:eastAsia="Microsoft JhengHei" w:hint="eastAsia"/>
          <w:b/>
          <w:sz w:val="20"/>
        </w:rPr>
        <w:t>第一部分  您与我们的合同</w:t>
      </w:r>
    </w:p>
    <w:p>
      <w:pPr>
        <w:pStyle w:val="ListParagraph"/>
        <w:numPr>
          <w:ilvl w:val="1"/>
          <w:numId w:val="2"/>
        </w:numPr>
        <w:tabs>
          <w:tab w:pos="1105" w:val="left" w:leader="none"/>
        </w:tabs>
        <w:spacing w:line="238" w:lineRule="exact" w:before="0" w:after="0"/>
        <w:ind w:left="1104" w:right="0" w:hanging="403"/>
        <w:jc w:val="left"/>
        <w:rPr>
          <w:sz w:val="20"/>
        </w:rPr>
      </w:pPr>
      <w:r>
        <w:rPr>
          <w:w w:val="95"/>
          <w:sz w:val="20"/>
        </w:rPr>
        <w:t>附加合同的构成</w:t>
      </w:r>
    </w:p>
    <w:p>
      <w:pPr>
        <w:pStyle w:val="ListParagraph"/>
        <w:numPr>
          <w:ilvl w:val="1"/>
          <w:numId w:val="2"/>
        </w:numPr>
        <w:tabs>
          <w:tab w:pos="1105" w:val="left" w:leader="none"/>
        </w:tabs>
        <w:spacing w:line="251" w:lineRule="exact" w:before="0" w:after="0"/>
        <w:ind w:left="1104" w:right="0" w:hanging="403"/>
        <w:jc w:val="left"/>
        <w:rPr>
          <w:sz w:val="20"/>
        </w:rPr>
      </w:pPr>
      <w:r>
        <w:rPr>
          <w:w w:val="95"/>
          <w:sz w:val="20"/>
        </w:rPr>
        <w:t>附加合同成立与生效</w:t>
      </w:r>
    </w:p>
    <w:p>
      <w:pPr>
        <w:pStyle w:val="ListParagraph"/>
        <w:numPr>
          <w:ilvl w:val="1"/>
          <w:numId w:val="2"/>
        </w:numPr>
        <w:tabs>
          <w:tab w:pos="1105" w:val="left" w:leader="none"/>
        </w:tabs>
        <w:spacing w:line="251" w:lineRule="exact" w:before="0" w:after="0"/>
        <w:ind w:left="1104" w:right="0" w:hanging="403"/>
        <w:jc w:val="left"/>
        <w:rPr>
          <w:sz w:val="20"/>
        </w:rPr>
      </w:pPr>
      <w:r>
        <w:rPr>
          <w:w w:val="95"/>
          <w:sz w:val="20"/>
        </w:rPr>
        <w:t>投保范围</w:t>
      </w:r>
    </w:p>
    <w:p>
      <w:pPr>
        <w:pStyle w:val="ListParagraph"/>
        <w:numPr>
          <w:ilvl w:val="1"/>
          <w:numId w:val="2"/>
        </w:numPr>
        <w:tabs>
          <w:tab w:pos="1105" w:val="left" w:leader="none"/>
        </w:tabs>
        <w:spacing w:line="250" w:lineRule="exact" w:before="0" w:after="0"/>
        <w:ind w:left="1104" w:right="0" w:hanging="403"/>
        <w:jc w:val="left"/>
        <w:rPr>
          <w:sz w:val="20"/>
        </w:rPr>
      </w:pPr>
      <w:r>
        <w:rPr>
          <w:w w:val="95"/>
          <w:sz w:val="20"/>
        </w:rPr>
        <w:t>保险期间</w:t>
      </w:r>
    </w:p>
    <w:p>
      <w:pPr>
        <w:pStyle w:val="ListParagraph"/>
        <w:numPr>
          <w:ilvl w:val="1"/>
          <w:numId w:val="2"/>
        </w:numPr>
        <w:tabs>
          <w:tab w:pos="1105" w:val="left" w:leader="none"/>
        </w:tabs>
        <w:spacing w:line="256" w:lineRule="exact" w:before="0" w:after="0"/>
        <w:ind w:left="1104" w:right="0" w:hanging="403"/>
        <w:jc w:val="left"/>
        <w:rPr>
          <w:sz w:val="20"/>
        </w:rPr>
      </w:pPr>
      <w:r>
        <w:rPr>
          <w:w w:val="95"/>
          <w:sz w:val="20"/>
        </w:rPr>
        <w:t>合同终止</w:t>
      </w:r>
    </w:p>
    <w:p>
      <w:pPr>
        <w:pStyle w:val="Heading2"/>
        <w:spacing w:line="331" w:lineRule="exact" w:before="174"/>
        <w:ind w:left="502"/>
      </w:pPr>
      <w:r>
        <w:rPr/>
        <w:t>第二部分  我们提供的保障</w:t>
      </w:r>
    </w:p>
    <w:p>
      <w:pPr>
        <w:pStyle w:val="ListParagraph"/>
        <w:numPr>
          <w:ilvl w:val="1"/>
          <w:numId w:val="3"/>
        </w:numPr>
        <w:tabs>
          <w:tab w:pos="1105" w:val="left" w:leader="none"/>
        </w:tabs>
        <w:spacing w:line="239" w:lineRule="exact" w:before="0" w:after="0"/>
        <w:ind w:left="1104" w:right="0" w:hanging="401"/>
        <w:jc w:val="left"/>
        <w:rPr>
          <w:sz w:val="20"/>
        </w:rPr>
      </w:pPr>
      <w:r>
        <w:rPr>
          <w:w w:val="95"/>
          <w:sz w:val="20"/>
        </w:rPr>
        <w:t>等待期</w:t>
      </w:r>
    </w:p>
    <w:p>
      <w:pPr>
        <w:pStyle w:val="ListParagraph"/>
        <w:numPr>
          <w:ilvl w:val="1"/>
          <w:numId w:val="3"/>
        </w:numPr>
        <w:tabs>
          <w:tab w:pos="1105" w:val="left" w:leader="none"/>
        </w:tabs>
        <w:spacing w:line="251" w:lineRule="exact" w:before="0" w:after="0"/>
        <w:ind w:left="1104" w:right="0" w:hanging="401"/>
        <w:jc w:val="left"/>
        <w:rPr>
          <w:sz w:val="20"/>
        </w:rPr>
      </w:pPr>
      <w:r>
        <w:rPr>
          <w:w w:val="95"/>
          <w:sz w:val="20"/>
        </w:rPr>
        <w:t>保险责任</w:t>
      </w:r>
    </w:p>
    <w:p>
      <w:pPr>
        <w:pStyle w:val="ListParagraph"/>
        <w:numPr>
          <w:ilvl w:val="1"/>
          <w:numId w:val="3"/>
        </w:numPr>
        <w:tabs>
          <w:tab w:pos="1105" w:val="left" w:leader="none"/>
        </w:tabs>
        <w:spacing w:line="250" w:lineRule="exact" w:before="0" w:after="0"/>
        <w:ind w:left="1104" w:right="0" w:hanging="401"/>
        <w:jc w:val="left"/>
        <w:rPr>
          <w:sz w:val="20"/>
        </w:rPr>
      </w:pPr>
      <w:r>
        <w:rPr>
          <w:w w:val="95"/>
          <w:sz w:val="20"/>
        </w:rPr>
        <w:t>重大疾病的定义</w:t>
      </w:r>
    </w:p>
    <w:p>
      <w:pPr>
        <w:pStyle w:val="ListParagraph"/>
        <w:numPr>
          <w:ilvl w:val="1"/>
          <w:numId w:val="3"/>
        </w:numPr>
        <w:tabs>
          <w:tab w:pos="1105" w:val="left" w:leader="none"/>
        </w:tabs>
        <w:spacing w:line="256" w:lineRule="exact" w:before="0" w:after="0"/>
        <w:ind w:left="1104" w:right="0" w:hanging="401"/>
        <w:jc w:val="left"/>
        <w:rPr>
          <w:sz w:val="20"/>
        </w:rPr>
      </w:pPr>
      <w:r>
        <w:rPr>
          <w:w w:val="95"/>
          <w:sz w:val="20"/>
        </w:rPr>
        <w:t>责任免除</w:t>
      </w:r>
    </w:p>
    <w:p>
      <w:pPr>
        <w:pStyle w:val="Heading2"/>
        <w:spacing w:line="331" w:lineRule="exact" w:before="174"/>
        <w:ind w:left="502"/>
      </w:pPr>
      <w:r>
        <w:rPr/>
        <w:t>第三部分  如何支付保险费</w:t>
      </w:r>
    </w:p>
    <w:p>
      <w:pPr>
        <w:pStyle w:val="BodyText"/>
        <w:spacing w:line="244" w:lineRule="exact"/>
        <w:ind w:left="703"/>
      </w:pPr>
      <w:r>
        <w:rPr/>
        <w:t>3.1 保险费支付</w:t>
      </w:r>
    </w:p>
    <w:p>
      <w:pPr>
        <w:spacing w:line="331" w:lineRule="exact" w:before="176"/>
        <w:ind w:left="502" w:right="0" w:firstLine="0"/>
        <w:jc w:val="left"/>
        <w:rPr>
          <w:rFonts w:ascii="Microsoft JhengHei" w:eastAsia="Microsoft JhengHei" w:hint="eastAsia"/>
          <w:b/>
          <w:sz w:val="18"/>
        </w:rPr>
      </w:pPr>
      <w:r>
        <w:rPr>
          <w:rFonts w:ascii="Microsoft JhengHei" w:eastAsia="Microsoft JhengHei" w:hint="eastAsia"/>
          <w:b/>
          <w:sz w:val="20"/>
        </w:rPr>
        <w:t>第四部分  如何申请</w:t>
      </w:r>
      <w:r>
        <w:rPr>
          <w:rFonts w:ascii="Microsoft JhengHei" w:eastAsia="Microsoft JhengHei" w:hint="eastAsia"/>
          <w:b/>
          <w:sz w:val="18"/>
        </w:rPr>
        <w:t>领取保险金</w:t>
      </w:r>
    </w:p>
    <w:p>
      <w:pPr>
        <w:pStyle w:val="ListParagraph"/>
        <w:numPr>
          <w:ilvl w:val="1"/>
          <w:numId w:val="4"/>
        </w:numPr>
        <w:tabs>
          <w:tab w:pos="1110" w:val="left" w:leader="none"/>
        </w:tabs>
        <w:spacing w:line="238" w:lineRule="exact" w:before="0" w:after="0"/>
        <w:ind w:left="1109" w:right="0" w:hanging="401"/>
        <w:jc w:val="left"/>
        <w:rPr>
          <w:sz w:val="20"/>
        </w:rPr>
      </w:pPr>
      <w:r>
        <w:rPr>
          <w:w w:val="95"/>
          <w:sz w:val="20"/>
        </w:rPr>
        <w:t>受益人</w:t>
      </w:r>
    </w:p>
    <w:p>
      <w:pPr>
        <w:pStyle w:val="ListParagraph"/>
        <w:numPr>
          <w:ilvl w:val="1"/>
          <w:numId w:val="4"/>
        </w:numPr>
        <w:tabs>
          <w:tab w:pos="1110" w:val="left" w:leader="none"/>
        </w:tabs>
        <w:spacing w:line="250" w:lineRule="exact" w:before="0" w:after="0"/>
        <w:ind w:left="1109" w:right="0" w:hanging="401"/>
        <w:jc w:val="left"/>
        <w:rPr>
          <w:sz w:val="20"/>
        </w:rPr>
      </w:pPr>
      <w:r>
        <w:rPr>
          <w:w w:val="95"/>
          <w:sz w:val="20"/>
        </w:rPr>
        <w:t>保险事故的通知</w:t>
      </w:r>
    </w:p>
    <w:p>
      <w:pPr>
        <w:pStyle w:val="ListParagraph"/>
        <w:numPr>
          <w:ilvl w:val="1"/>
          <w:numId w:val="4"/>
        </w:numPr>
        <w:tabs>
          <w:tab w:pos="1110" w:val="left" w:leader="none"/>
        </w:tabs>
        <w:spacing w:line="248" w:lineRule="exact" w:before="0" w:after="0"/>
        <w:ind w:left="1109" w:right="0" w:hanging="401"/>
        <w:jc w:val="left"/>
        <w:rPr>
          <w:sz w:val="18"/>
        </w:rPr>
      </w:pPr>
      <w:r>
        <w:rPr>
          <w:w w:val="95"/>
          <w:sz w:val="18"/>
        </w:rPr>
        <w:t>保险金申请</w:t>
      </w:r>
    </w:p>
    <w:p>
      <w:pPr>
        <w:pStyle w:val="ListParagraph"/>
        <w:numPr>
          <w:ilvl w:val="1"/>
          <w:numId w:val="4"/>
        </w:numPr>
        <w:tabs>
          <w:tab w:pos="1098" w:val="left" w:leader="none"/>
        </w:tabs>
        <w:spacing w:line="254" w:lineRule="exact" w:before="0" w:after="0"/>
        <w:ind w:left="1097" w:right="0" w:hanging="403"/>
        <w:jc w:val="left"/>
        <w:rPr>
          <w:sz w:val="18"/>
        </w:rPr>
      </w:pPr>
      <w:r>
        <w:rPr>
          <w:w w:val="95"/>
          <w:sz w:val="18"/>
        </w:rPr>
        <w:t>诉讼时效</w:t>
      </w:r>
    </w:p>
    <w:p>
      <w:pPr>
        <w:pStyle w:val="BodyText"/>
      </w:pPr>
      <w:r>
        <w:rPr/>
        <w:br w:type="column"/>
      </w:r>
      <w:r>
        <w:rPr/>
      </w:r>
    </w:p>
    <w:p>
      <w:pPr>
        <w:pStyle w:val="BodyText"/>
        <w:rPr>
          <w:sz w:val="16"/>
        </w:rPr>
      </w:pPr>
    </w:p>
    <w:p>
      <w:pPr>
        <w:pStyle w:val="Heading2"/>
        <w:spacing w:line="331" w:lineRule="exact" w:before="1"/>
        <w:ind w:left="502"/>
      </w:pPr>
      <w:r>
        <w:rPr/>
        <w:t>第五部分  如何解除保险合同</w:t>
      </w:r>
    </w:p>
    <w:p>
      <w:pPr>
        <w:pStyle w:val="BodyText"/>
        <w:spacing w:line="244" w:lineRule="exact"/>
        <w:ind w:left="703"/>
      </w:pPr>
      <w:r>
        <w:rPr/>
        <w:t>5.1 合同的解除及风险</w:t>
      </w:r>
    </w:p>
    <w:p>
      <w:pPr>
        <w:pStyle w:val="Heading2"/>
        <w:spacing w:line="331" w:lineRule="exact" w:before="173"/>
        <w:ind w:left="502"/>
      </w:pPr>
      <w:r>
        <w:rPr/>
        <w:t>第六部分  其他重要事项</w:t>
      </w:r>
    </w:p>
    <w:p>
      <w:pPr>
        <w:pStyle w:val="BodyText"/>
        <w:spacing w:line="244" w:lineRule="exact"/>
        <w:ind w:left="701"/>
      </w:pPr>
      <w:r>
        <w:rPr/>
        <w:t>6.1 年龄或性别错误</w:t>
      </w:r>
    </w:p>
    <w:p>
      <w:pPr>
        <w:pStyle w:val="Heading2"/>
        <w:spacing w:line="331" w:lineRule="exact" w:before="177"/>
        <w:ind w:left="502"/>
      </w:pPr>
      <w:r>
        <w:rPr/>
        <w:t>附录</w:t>
      </w:r>
    </w:p>
    <w:p>
      <w:pPr>
        <w:pStyle w:val="BodyText"/>
        <w:spacing w:line="244" w:lineRule="exact"/>
        <w:ind w:left="703"/>
      </w:pPr>
      <w:r>
        <w:rPr>
          <w:w w:val="95"/>
        </w:rPr>
        <w:t>本附加合同承保的重大疾病列表</w:t>
      </w:r>
    </w:p>
    <w:p>
      <w:pPr>
        <w:pStyle w:val="Heading2"/>
        <w:spacing w:line="331" w:lineRule="exact" w:before="173"/>
        <w:ind w:left="502"/>
      </w:pPr>
      <w:r>
        <w:rPr/>
        <w:t>释义</w:t>
      </w:r>
    </w:p>
    <w:p>
      <w:pPr>
        <w:pStyle w:val="ListParagraph"/>
        <w:numPr>
          <w:ilvl w:val="0"/>
          <w:numId w:val="5"/>
        </w:numPr>
        <w:tabs>
          <w:tab w:pos="1062" w:val="left" w:leader="none"/>
        </w:tabs>
        <w:spacing w:line="238" w:lineRule="exact" w:before="0" w:after="0"/>
        <w:ind w:left="1061" w:right="0" w:hanging="360"/>
        <w:jc w:val="left"/>
        <w:rPr>
          <w:sz w:val="20"/>
        </w:rPr>
      </w:pPr>
      <w:r>
        <w:rPr>
          <w:w w:val="95"/>
          <w:sz w:val="20"/>
        </w:rPr>
        <w:t>周岁</w:t>
      </w:r>
    </w:p>
    <w:p>
      <w:pPr>
        <w:pStyle w:val="ListParagraph"/>
        <w:numPr>
          <w:ilvl w:val="0"/>
          <w:numId w:val="5"/>
        </w:numPr>
        <w:tabs>
          <w:tab w:pos="1062" w:val="left" w:leader="none"/>
        </w:tabs>
        <w:spacing w:line="251" w:lineRule="exact" w:before="0" w:after="0"/>
        <w:ind w:left="1061" w:right="0" w:hanging="360"/>
        <w:jc w:val="left"/>
        <w:rPr>
          <w:sz w:val="20"/>
        </w:rPr>
      </w:pPr>
      <w:r>
        <w:rPr>
          <w:w w:val="95"/>
          <w:sz w:val="20"/>
        </w:rPr>
        <w:t>满期日</w:t>
      </w:r>
    </w:p>
    <w:p>
      <w:pPr>
        <w:pStyle w:val="ListParagraph"/>
        <w:numPr>
          <w:ilvl w:val="0"/>
          <w:numId w:val="5"/>
        </w:numPr>
        <w:tabs>
          <w:tab w:pos="1062" w:val="left" w:leader="none"/>
        </w:tabs>
        <w:spacing w:line="251" w:lineRule="exact" w:before="0" w:after="0"/>
        <w:ind w:left="1061" w:right="0" w:hanging="360"/>
        <w:jc w:val="left"/>
        <w:rPr>
          <w:sz w:val="20"/>
        </w:rPr>
      </w:pPr>
      <w:r>
        <w:rPr>
          <w:w w:val="95"/>
          <w:sz w:val="20"/>
        </w:rPr>
        <w:t>医院</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基本保险金额</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意外事故</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专科医生</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患艾滋病或感染艾滋病病毒</w:t>
      </w:r>
    </w:p>
    <w:p>
      <w:pPr>
        <w:pStyle w:val="ListParagraph"/>
        <w:numPr>
          <w:ilvl w:val="0"/>
          <w:numId w:val="5"/>
        </w:numPr>
        <w:tabs>
          <w:tab w:pos="1062" w:val="left" w:leader="none"/>
        </w:tabs>
        <w:spacing w:line="251" w:lineRule="exact" w:before="0" w:after="0"/>
        <w:ind w:left="1061" w:right="0" w:hanging="360"/>
        <w:jc w:val="left"/>
        <w:rPr>
          <w:sz w:val="20"/>
        </w:rPr>
      </w:pPr>
      <w:r>
        <w:rPr>
          <w:w w:val="95"/>
          <w:sz w:val="20"/>
        </w:rPr>
        <w:t>遗传性疾病</w:t>
      </w:r>
    </w:p>
    <w:p>
      <w:pPr>
        <w:pStyle w:val="ListParagraph"/>
        <w:numPr>
          <w:ilvl w:val="0"/>
          <w:numId w:val="5"/>
        </w:numPr>
        <w:tabs>
          <w:tab w:pos="1062" w:val="left" w:leader="none"/>
        </w:tabs>
        <w:spacing w:line="251" w:lineRule="exact" w:before="0" w:after="0"/>
        <w:ind w:left="1061" w:right="0" w:hanging="360"/>
        <w:jc w:val="left"/>
        <w:rPr>
          <w:sz w:val="20"/>
        </w:rPr>
      </w:pPr>
      <w:r>
        <w:rPr>
          <w:w w:val="95"/>
          <w:sz w:val="20"/>
        </w:rPr>
        <w:t>先天性畸形、变形或染色体异常</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未经过净保险费</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肢体机能完全丧失</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语言能力或咀嚼吞咽能力完全丧失</w:t>
      </w:r>
    </w:p>
    <w:p>
      <w:pPr>
        <w:pStyle w:val="ListParagraph"/>
        <w:numPr>
          <w:ilvl w:val="0"/>
          <w:numId w:val="5"/>
        </w:numPr>
        <w:tabs>
          <w:tab w:pos="1062" w:val="left" w:leader="none"/>
        </w:tabs>
        <w:spacing w:line="250" w:lineRule="exact" w:before="0" w:after="0"/>
        <w:ind w:left="1061" w:right="0" w:hanging="360"/>
        <w:jc w:val="left"/>
        <w:rPr>
          <w:sz w:val="20"/>
        </w:rPr>
      </w:pPr>
      <w:r>
        <w:rPr>
          <w:w w:val="95"/>
          <w:sz w:val="20"/>
        </w:rPr>
        <w:t>六项基本日常生活活动</w:t>
      </w:r>
    </w:p>
    <w:p>
      <w:pPr>
        <w:pStyle w:val="ListParagraph"/>
        <w:numPr>
          <w:ilvl w:val="0"/>
          <w:numId w:val="5"/>
        </w:numPr>
        <w:tabs>
          <w:tab w:pos="1062" w:val="left" w:leader="none"/>
        </w:tabs>
        <w:spacing w:line="256" w:lineRule="exact" w:before="0" w:after="0"/>
        <w:ind w:left="1061" w:right="0" w:hanging="360"/>
        <w:jc w:val="left"/>
        <w:rPr>
          <w:sz w:val="20"/>
        </w:rPr>
      </w:pPr>
      <w:r>
        <w:rPr>
          <w:w w:val="95"/>
          <w:sz w:val="20"/>
        </w:rPr>
        <w:t>永久不可逆</w:t>
      </w:r>
    </w:p>
    <w:p>
      <w:pPr>
        <w:spacing w:after="0" w:line="256" w:lineRule="exact"/>
        <w:jc w:val="left"/>
        <w:rPr>
          <w:sz w:val="20"/>
        </w:rPr>
        <w:sectPr>
          <w:type w:val="continuous"/>
          <w:pgSz w:w="11900" w:h="16840"/>
          <w:pgMar w:top="460" w:bottom="280" w:left="1300" w:right="800"/>
          <w:cols w:num="2" w:equalWidth="0">
            <w:col w:w="3112" w:space="1576"/>
            <w:col w:w="5112"/>
          </w:cols>
        </w:sectPr>
      </w:pPr>
    </w:p>
    <w:p>
      <w:pPr>
        <w:spacing w:line="533" w:lineRule="exact" w:before="0"/>
        <w:ind w:left="2643" w:right="2577" w:firstLine="0"/>
        <w:jc w:val="center"/>
        <w:rPr>
          <w:rFonts w:ascii="Microsoft JhengHei" w:eastAsia="Microsoft JhengHei" w:hint="eastAsia"/>
          <w:b/>
          <w:sz w:val="40"/>
        </w:rPr>
      </w:pPr>
      <w:r>
        <w:rPr>
          <w:rFonts w:ascii="Microsoft JhengHei" w:eastAsia="Microsoft JhengHei" w:hint="eastAsia"/>
          <w:b/>
          <w:sz w:val="40"/>
        </w:rPr>
        <w:t>中德安联人寿保险有限公司</w:t>
      </w:r>
    </w:p>
    <w:p>
      <w:pPr>
        <w:pStyle w:val="Heading1"/>
        <w:spacing w:before="235"/>
        <w:ind w:left="2643" w:right="2577"/>
      </w:pPr>
      <w:r>
        <w:rPr/>
        <w:t>安联附加安康畅游重大疾病保险条款</w:t>
      </w:r>
    </w:p>
    <w:p>
      <w:pPr>
        <w:pStyle w:val="BodyText"/>
        <w:spacing w:before="11"/>
        <w:rPr>
          <w:rFonts w:ascii="Microsoft JhengHei"/>
          <w:b/>
          <w:sz w:val="22"/>
        </w:rPr>
      </w:pPr>
    </w:p>
    <w:p>
      <w:pPr>
        <w:pStyle w:val="Heading2"/>
        <w:spacing w:line="304" w:lineRule="exact"/>
      </w:pPr>
      <w:r>
        <w:rPr>
          <w:u w:val="single"/>
        </w:rPr>
        <w:t>请您务必仔细阅读本条款，并特别关注加黑字体部分。</w:t>
      </w:r>
    </w:p>
    <w:p>
      <w:pPr>
        <w:spacing w:line="259" w:lineRule="exact" w:before="0"/>
        <w:ind w:left="219"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在本条款中，“您”指投保人，“我们”指中德安联人寿保险有限公司。</w:t>
      </w:r>
    </w:p>
    <w:p>
      <w:pPr>
        <w:spacing w:line="304" w:lineRule="exact" w:before="0"/>
        <w:ind w:left="219" w:right="0" w:firstLine="0"/>
        <w:jc w:val="left"/>
        <w:rPr>
          <w:rFonts w:ascii="Microsoft JhengHei" w:hAnsi="Microsoft JhengHei" w:eastAsia="Microsoft JhengHei" w:hint="eastAsia"/>
          <w:b/>
          <w:sz w:val="20"/>
        </w:rPr>
      </w:pPr>
      <w:r>
        <w:rPr>
          <w:rFonts w:ascii="Microsoft JhengHei" w:hAnsi="Microsoft JhengHei" w:eastAsia="Microsoft JhengHei" w:hint="eastAsia"/>
          <w:b/>
          <w:sz w:val="20"/>
        </w:rPr>
        <w:t>本条款中带有右上标标注的用词具有特定含义，您可参阅本条款尾部的“释义”获取相关解释。</w:t>
      </w:r>
    </w:p>
    <w:p>
      <w:pPr>
        <w:pStyle w:val="BodyText"/>
        <w:spacing w:before="3"/>
        <w:rPr>
          <w:rFonts w:ascii="Microsoft JhengHei"/>
          <w:b/>
          <w:sz w:val="13"/>
        </w:rPr>
      </w:pPr>
    </w:p>
    <w:p>
      <w:pPr>
        <w:tabs>
          <w:tab w:pos="1299" w:val="left" w:leader="none"/>
        </w:tabs>
        <w:spacing w:before="1" w:after="9"/>
        <w:ind w:left="219" w:right="0" w:firstLine="0"/>
        <w:jc w:val="left"/>
        <w:rPr>
          <w:rFonts w:ascii="Microsoft JhengHei" w:eastAsia="Microsoft JhengHei" w:hint="eastAsia"/>
          <w:b/>
          <w:sz w:val="20"/>
        </w:rPr>
      </w:pPr>
      <w:r>
        <w:rPr>
          <w:rFonts w:ascii="Microsoft JhengHei" w:eastAsia="Microsoft JhengHei" w:hint="eastAsia"/>
          <w:b/>
          <w:sz w:val="20"/>
        </w:rPr>
        <w:t>第一部分</w:t>
        <w:tab/>
        <w:t>您与我们的合同</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footerReference w:type="default" r:id="rId7"/>
          <w:pgSz w:w="11900" w:h="16840"/>
          <w:pgMar w:footer="676" w:header="0" w:top="1220" w:bottom="860" w:left="1040" w:right="800"/>
          <w:pgNumType w:start="2"/>
        </w:sectPr>
      </w:pPr>
    </w:p>
    <w:p>
      <w:pPr>
        <w:pStyle w:val="ListParagraph"/>
        <w:numPr>
          <w:ilvl w:val="1"/>
          <w:numId w:val="6"/>
        </w:numPr>
        <w:tabs>
          <w:tab w:pos="1287" w:val="left" w:leader="none"/>
          <w:tab w:pos="1289" w:val="left" w:leader="none"/>
        </w:tabs>
        <w:spacing w:line="180" w:lineRule="auto" w:before="58" w:after="0"/>
        <w:ind w:left="1288" w:right="0" w:hanging="1068"/>
        <w:jc w:val="both"/>
        <w:rPr>
          <w:rFonts w:ascii="Microsoft JhengHei" w:eastAsia="Microsoft JhengHei" w:hint="eastAsia"/>
          <w:b/>
          <w:sz w:val="20"/>
        </w:rPr>
      </w:pPr>
      <w:r>
        <w:rPr>
          <w:rFonts w:ascii="Microsoft JhengHei" w:eastAsia="Microsoft JhengHei" w:hint="eastAsia"/>
          <w:b/>
          <w:spacing w:val="-4"/>
          <w:sz w:val="20"/>
        </w:rPr>
        <w:t>附 加 合 同的构成</w:t>
      </w:r>
    </w:p>
    <w:p>
      <w:pPr>
        <w:pStyle w:val="BodyText"/>
        <w:rPr>
          <w:rFonts w:ascii="Microsoft JhengHei"/>
          <w:b/>
        </w:rPr>
      </w:pPr>
    </w:p>
    <w:p>
      <w:pPr>
        <w:pStyle w:val="BodyText"/>
        <w:rPr>
          <w:rFonts w:ascii="Microsoft JhengHei"/>
          <w:b/>
        </w:rPr>
      </w:pPr>
    </w:p>
    <w:p>
      <w:pPr>
        <w:pStyle w:val="BodyText"/>
        <w:spacing w:before="6"/>
        <w:rPr>
          <w:rFonts w:ascii="Microsoft JhengHei"/>
          <w:b/>
          <w:sz w:val="10"/>
        </w:rPr>
      </w:pPr>
    </w:p>
    <w:p>
      <w:pPr>
        <w:pStyle w:val="ListParagraph"/>
        <w:numPr>
          <w:ilvl w:val="1"/>
          <w:numId w:val="6"/>
        </w:numPr>
        <w:tabs>
          <w:tab w:pos="1287" w:val="left" w:leader="none"/>
          <w:tab w:pos="1289" w:val="left" w:leader="none"/>
        </w:tabs>
        <w:spacing w:line="180" w:lineRule="auto" w:before="0" w:after="0"/>
        <w:ind w:left="1288" w:right="0" w:hanging="1068"/>
        <w:jc w:val="both"/>
        <w:rPr>
          <w:rFonts w:ascii="Microsoft JhengHei" w:eastAsia="Microsoft JhengHei" w:hint="eastAsia"/>
          <w:b/>
          <w:sz w:val="20"/>
        </w:rPr>
      </w:pPr>
      <w:r>
        <w:rPr>
          <w:rFonts w:ascii="Microsoft JhengHei" w:eastAsia="Microsoft JhengHei" w:hint="eastAsia"/>
          <w:b/>
          <w:spacing w:val="-4"/>
          <w:sz w:val="20"/>
        </w:rPr>
        <w:t>附 加 合 同</w:t>
      </w:r>
      <w:r>
        <w:rPr>
          <w:rFonts w:ascii="Microsoft JhengHei" w:eastAsia="Microsoft JhengHei" w:hint="eastAsia"/>
          <w:b/>
          <w:spacing w:val="-6"/>
          <w:sz w:val="20"/>
        </w:rPr>
        <w:t>成 立 与 生效</w:t>
      </w:r>
    </w:p>
    <w:p>
      <w:pPr>
        <w:pStyle w:val="BodyText"/>
        <w:spacing w:line="237" w:lineRule="auto" w:before="37"/>
        <w:ind w:left="214" w:right="247"/>
      </w:pPr>
      <w:r>
        <w:rPr/>
        <w:br w:type="column"/>
      </w:r>
      <w:r>
        <w:rPr/>
        <w:t>本《安联附加安康畅游重大疾病保险》附加合同（以下简称“本附加合同”）由本</w:t>
      </w:r>
      <w:r>
        <w:rPr>
          <w:spacing w:val="-6"/>
          <w:w w:val="95"/>
        </w:rPr>
        <w:t>附加合同条款、保险单或其他保险凭证、投保单或其他投保文件、合法有效的声明、  批注、附贴批单及其他书面协议构成。</w:t>
      </w:r>
    </w:p>
    <w:p>
      <w:pPr>
        <w:pStyle w:val="Heading2"/>
        <w:spacing w:line="177" w:lineRule="auto" w:before="74"/>
        <w:ind w:left="214" w:right="346" w:hanging="1"/>
      </w:pPr>
      <w:r>
        <w:rPr/>
        <w:t>本附加合同若未在主合同的保险单或批注中加以记载，则不产生效力；未经您书面申请并经我们在保险单上批注，本附加合同内容的变更也不产生效力。</w:t>
      </w:r>
    </w:p>
    <w:p>
      <w:pPr>
        <w:pStyle w:val="BodyText"/>
        <w:spacing w:before="24"/>
        <w:ind w:left="214"/>
      </w:pPr>
      <w:r>
        <w:rPr>
          <w:w w:val="95"/>
        </w:rPr>
        <w:t>本附加合同，由主合同投保人申请，我们同意承保，本附加合同成立。</w:t>
      </w:r>
    </w:p>
    <w:p>
      <w:pPr>
        <w:pStyle w:val="BodyText"/>
        <w:spacing w:line="237" w:lineRule="auto" w:before="47"/>
        <w:ind w:left="214" w:right="343"/>
        <w:jc w:val="both"/>
      </w:pPr>
      <w:r>
        <w:rPr/>
        <w:t>本附加合同须附加于主合同方可生效。本附加合同附属于主合同，主合同的相关条款也适用于本附加合同；若主合同与本附加合同的条款互有冲突，则以本附加合同</w:t>
      </w:r>
      <w:r>
        <w:rPr>
          <w:w w:val="95"/>
        </w:rPr>
        <w:t>为准。主合同终止，本附加合同同时终止。</w:t>
      </w:r>
    </w:p>
    <w:p>
      <w:pPr>
        <w:pStyle w:val="BodyText"/>
        <w:spacing w:before="45"/>
        <w:ind w:left="214"/>
      </w:pPr>
      <w:r>
        <w:rPr>
          <w:w w:val="95"/>
        </w:rPr>
        <w:t>本附加合同生效日在保险单或批注上载明。</w:t>
      </w:r>
    </w:p>
    <w:p>
      <w:pPr>
        <w:spacing w:after="0"/>
        <w:sectPr>
          <w:type w:val="continuous"/>
          <w:pgSz w:w="11900" w:h="16840"/>
          <w:pgMar w:top="460" w:bottom="280" w:left="1040" w:right="800"/>
          <w:cols w:num="2" w:equalWidth="0">
            <w:col w:w="2222" w:space="40"/>
            <w:col w:w="7798"/>
          </w:cols>
        </w:sectPr>
      </w:pPr>
    </w:p>
    <w:p>
      <w:pPr>
        <w:pStyle w:val="ListParagraph"/>
        <w:numPr>
          <w:ilvl w:val="1"/>
          <w:numId w:val="6"/>
        </w:numPr>
        <w:tabs>
          <w:tab w:pos="1287" w:val="left" w:leader="none"/>
          <w:tab w:pos="1288" w:val="left" w:leader="none"/>
          <w:tab w:pos="2475" w:val="left" w:leader="none"/>
        </w:tabs>
        <w:spacing w:line="220" w:lineRule="auto" w:before="12" w:after="0"/>
        <w:ind w:left="2476" w:right="346" w:hanging="2257"/>
        <w:jc w:val="left"/>
        <w:rPr>
          <w:sz w:val="20"/>
        </w:rPr>
      </w:pPr>
      <w:r>
        <w:rPr>
          <w:rFonts w:ascii="Microsoft JhengHei" w:eastAsia="Microsoft JhengHei" w:hint="eastAsia"/>
          <w:b/>
          <w:sz w:val="20"/>
        </w:rPr>
        <w:t>投保范围</w:t>
        <w:tab/>
      </w:r>
      <w:r>
        <w:rPr>
          <w:sz w:val="20"/>
        </w:rPr>
        <w:t>投保时</w:t>
      </w:r>
      <w:r>
        <w:rPr>
          <w:spacing w:val="2"/>
          <w:sz w:val="20"/>
        </w:rPr>
        <w:t>年</w:t>
      </w:r>
      <w:r>
        <w:rPr>
          <w:sz w:val="20"/>
        </w:rPr>
        <w:t>龄在</w:t>
      </w:r>
      <w:r>
        <w:rPr>
          <w:spacing w:val="2"/>
          <w:sz w:val="20"/>
        </w:rPr>
        <w:t>出</w:t>
      </w:r>
      <w:r>
        <w:rPr>
          <w:sz w:val="20"/>
        </w:rPr>
        <w:t>生</w:t>
      </w:r>
      <w:r>
        <w:rPr>
          <w:spacing w:val="2"/>
          <w:sz w:val="20"/>
        </w:rPr>
        <w:t>后</w:t>
      </w:r>
      <w:r>
        <w:rPr>
          <w:sz w:val="20"/>
        </w:rPr>
        <w:t>满六</w:t>
      </w:r>
      <w:r>
        <w:rPr>
          <w:spacing w:val="2"/>
          <w:sz w:val="20"/>
        </w:rPr>
        <w:t>十</w:t>
      </w:r>
      <w:r>
        <w:rPr>
          <w:sz w:val="20"/>
        </w:rPr>
        <w:t>天至六</w:t>
      </w:r>
      <w:r>
        <w:rPr>
          <w:spacing w:val="2"/>
          <w:sz w:val="20"/>
        </w:rPr>
        <w:t>十</w:t>
      </w:r>
      <w:r>
        <w:rPr>
          <w:sz w:val="20"/>
        </w:rPr>
        <w:t>五</w:t>
      </w:r>
      <w:r>
        <w:rPr>
          <w:rFonts w:ascii="Microsoft JhengHei" w:eastAsia="Microsoft JhengHei" w:hint="eastAsia"/>
          <w:b/>
          <w:spacing w:val="2"/>
          <w:sz w:val="20"/>
        </w:rPr>
        <w:t>周岁</w:t>
      </w:r>
      <w:r>
        <w:rPr>
          <w:rFonts w:ascii="Microsoft JhengHei" w:eastAsia="Microsoft JhengHei" w:hint="eastAsia"/>
          <w:b/>
          <w:position w:val="10"/>
          <w:sz w:val="10"/>
        </w:rPr>
        <w:t>[1]</w:t>
      </w:r>
      <w:r>
        <w:rPr>
          <w:sz w:val="20"/>
        </w:rPr>
        <w:t>（含六</w:t>
      </w:r>
      <w:r>
        <w:rPr>
          <w:spacing w:val="2"/>
          <w:sz w:val="20"/>
        </w:rPr>
        <w:t>十</w:t>
      </w:r>
      <w:r>
        <w:rPr>
          <w:sz w:val="20"/>
        </w:rPr>
        <w:t>五周岁</w:t>
      </w:r>
      <w:r>
        <w:rPr>
          <w:spacing w:val="2"/>
          <w:sz w:val="20"/>
        </w:rPr>
        <w:t>）</w:t>
      </w:r>
      <w:r>
        <w:rPr>
          <w:sz w:val="20"/>
        </w:rPr>
        <w:t>之间</w:t>
      </w:r>
      <w:r>
        <w:rPr>
          <w:spacing w:val="2"/>
          <w:sz w:val="20"/>
        </w:rPr>
        <w:t>者</w:t>
      </w:r>
      <w:r>
        <w:rPr>
          <w:sz w:val="20"/>
        </w:rPr>
        <w:t>，</w:t>
      </w:r>
      <w:r>
        <w:rPr>
          <w:spacing w:val="2"/>
          <w:sz w:val="20"/>
        </w:rPr>
        <w:t>可</w:t>
      </w:r>
      <w:r>
        <w:rPr>
          <w:sz w:val="20"/>
        </w:rPr>
        <w:t>作为本 </w:t>
      </w:r>
      <w:r>
        <w:rPr>
          <w:w w:val="95"/>
          <w:sz w:val="20"/>
        </w:rPr>
        <w:t>附加合同的被保险人。</w:t>
      </w:r>
    </w:p>
    <w:p>
      <w:pPr>
        <w:pStyle w:val="ListParagraph"/>
        <w:numPr>
          <w:ilvl w:val="1"/>
          <w:numId w:val="6"/>
        </w:numPr>
        <w:tabs>
          <w:tab w:pos="1287" w:val="left" w:leader="none"/>
          <w:tab w:pos="1289" w:val="left" w:leader="none"/>
          <w:tab w:pos="2475" w:val="left" w:leader="none"/>
        </w:tabs>
        <w:spacing w:line="330" w:lineRule="exact" w:before="0" w:after="0"/>
        <w:ind w:left="1288" w:right="0" w:hanging="1068"/>
        <w:jc w:val="left"/>
        <w:rPr>
          <w:sz w:val="20"/>
        </w:rPr>
      </w:pPr>
      <w:r>
        <w:rPr>
          <w:rFonts w:ascii="Microsoft JhengHei" w:eastAsia="Microsoft JhengHei" w:hint="eastAsia"/>
          <w:b/>
          <w:sz w:val="20"/>
        </w:rPr>
        <w:t>保险期间</w:t>
        <w:tab/>
      </w:r>
      <w:r>
        <w:rPr>
          <w:w w:val="95"/>
          <w:sz w:val="20"/>
        </w:rPr>
        <w:t>我们在同意承保并收取全部保险费后</w:t>
      </w:r>
      <w:r>
        <w:rPr>
          <w:spacing w:val="-63"/>
          <w:w w:val="95"/>
          <w:sz w:val="20"/>
        </w:rPr>
        <w:t>，</w:t>
      </w:r>
      <w:r>
        <w:rPr>
          <w:w w:val="95"/>
          <w:sz w:val="20"/>
        </w:rPr>
        <w:t>自本附加合同生效日的零时起承担保险责任。</w:t>
      </w:r>
    </w:p>
    <w:p>
      <w:pPr>
        <w:pStyle w:val="BodyText"/>
        <w:spacing w:line="192" w:lineRule="auto" w:before="77"/>
        <w:ind w:left="2475" w:right="343"/>
        <w:jc w:val="both"/>
      </w:pPr>
      <w:r>
        <w:rPr/>
        <w:t>本附加合同的保险期间于保险单中载明，保险期间为一年，自保单生效日的零时起至</w:t>
      </w:r>
      <w:r>
        <w:rPr>
          <w:rFonts w:ascii="Microsoft JhengHei" w:eastAsia="Microsoft JhengHei" w:hint="eastAsia"/>
          <w:b/>
        </w:rPr>
        <w:t>满期日</w:t>
      </w:r>
      <w:r>
        <w:rPr>
          <w:rFonts w:ascii="Microsoft JhengHei" w:eastAsia="Microsoft JhengHei" w:hint="eastAsia"/>
          <w:b/>
          <w:position w:val="10"/>
          <w:sz w:val="10"/>
        </w:rPr>
        <w:t>[2]</w:t>
      </w:r>
      <w:r>
        <w:rPr/>
        <w:t>二十四时止。</w:t>
      </w:r>
    </w:p>
    <w:p>
      <w:pPr>
        <w:pStyle w:val="ListParagraph"/>
        <w:numPr>
          <w:ilvl w:val="1"/>
          <w:numId w:val="6"/>
        </w:numPr>
        <w:tabs>
          <w:tab w:pos="1287" w:val="left" w:leader="none"/>
          <w:tab w:pos="1289" w:val="left" w:leader="none"/>
          <w:tab w:pos="2475" w:val="left" w:leader="none"/>
        </w:tabs>
        <w:spacing w:line="307" w:lineRule="exact" w:before="0" w:after="0"/>
        <w:ind w:left="1288" w:right="0" w:hanging="1068"/>
        <w:jc w:val="left"/>
        <w:rPr>
          <w:sz w:val="20"/>
        </w:rPr>
      </w:pPr>
      <w:r>
        <w:rPr>
          <w:rFonts w:ascii="Microsoft JhengHei" w:eastAsia="Microsoft JhengHei" w:hint="eastAsia"/>
          <w:b/>
          <w:sz w:val="20"/>
        </w:rPr>
        <w:t>合同终止</w:t>
        <w:tab/>
      </w:r>
      <w:r>
        <w:rPr>
          <w:w w:val="95"/>
          <w:sz w:val="20"/>
        </w:rPr>
        <w:t>若发生主合同终止的情形或下列情形之一的，本附加合同终止：</w:t>
      </w:r>
    </w:p>
    <w:p>
      <w:pPr>
        <w:pStyle w:val="ListParagraph"/>
        <w:numPr>
          <w:ilvl w:val="2"/>
          <w:numId w:val="6"/>
        </w:numPr>
        <w:tabs>
          <w:tab w:pos="3156" w:val="left" w:leader="none"/>
        </w:tabs>
        <w:spacing w:line="240" w:lineRule="auto" w:before="25" w:after="0"/>
        <w:ind w:left="3155" w:right="0" w:hanging="679"/>
        <w:jc w:val="both"/>
        <w:rPr>
          <w:sz w:val="20"/>
        </w:rPr>
      </w:pPr>
      <w:r>
        <w:rPr>
          <w:w w:val="95"/>
          <w:sz w:val="20"/>
        </w:rPr>
        <w:t>您在本附加合同保险期间内向我们申请撤销或解除本附加合同的；</w:t>
      </w:r>
    </w:p>
    <w:p>
      <w:pPr>
        <w:pStyle w:val="ListParagraph"/>
        <w:numPr>
          <w:ilvl w:val="2"/>
          <w:numId w:val="6"/>
        </w:numPr>
        <w:tabs>
          <w:tab w:pos="3156" w:val="left" w:leader="none"/>
        </w:tabs>
        <w:spacing w:line="240" w:lineRule="auto" w:before="47" w:after="0"/>
        <w:ind w:left="3155" w:right="0" w:hanging="679"/>
        <w:jc w:val="both"/>
        <w:rPr>
          <w:sz w:val="20"/>
        </w:rPr>
      </w:pPr>
      <w:r>
        <w:rPr>
          <w:w w:val="95"/>
          <w:sz w:val="20"/>
        </w:rPr>
        <w:t>被保险人于本附加合同保险期间内身故的；</w:t>
      </w:r>
    </w:p>
    <w:p>
      <w:pPr>
        <w:pStyle w:val="ListParagraph"/>
        <w:numPr>
          <w:ilvl w:val="2"/>
          <w:numId w:val="6"/>
        </w:numPr>
        <w:tabs>
          <w:tab w:pos="3156" w:val="left" w:leader="none"/>
        </w:tabs>
        <w:spacing w:line="240" w:lineRule="auto" w:before="47" w:after="0"/>
        <w:ind w:left="3155" w:right="0" w:hanging="679"/>
        <w:jc w:val="both"/>
        <w:rPr>
          <w:sz w:val="20"/>
        </w:rPr>
      </w:pPr>
      <w:r>
        <w:rPr>
          <w:w w:val="95"/>
          <w:sz w:val="20"/>
        </w:rPr>
        <w:t>因主合同约定或法律法规规定的其他情况导致本附加合同终止的；</w:t>
      </w:r>
    </w:p>
    <w:p>
      <w:pPr>
        <w:pStyle w:val="ListParagraph"/>
        <w:numPr>
          <w:ilvl w:val="2"/>
          <w:numId w:val="6"/>
        </w:numPr>
        <w:tabs>
          <w:tab w:pos="3156" w:val="left" w:leader="none"/>
        </w:tabs>
        <w:spacing w:line="240" w:lineRule="auto" w:before="47" w:after="0"/>
        <w:ind w:left="3155" w:right="0" w:hanging="679"/>
        <w:jc w:val="both"/>
        <w:rPr>
          <w:sz w:val="20"/>
        </w:rPr>
      </w:pPr>
      <w:r>
        <w:rPr>
          <w:w w:val="95"/>
          <w:sz w:val="20"/>
        </w:rPr>
        <w:t>本附加合同所列的其他终止情况。</w:t>
      </w:r>
    </w:p>
    <w:p>
      <w:pPr>
        <w:pStyle w:val="BodyText"/>
        <w:spacing w:before="5"/>
        <w:rPr>
          <w:sz w:val="22"/>
        </w:rPr>
      </w:pPr>
    </w:p>
    <w:p>
      <w:pPr>
        <w:pStyle w:val="Heading2"/>
        <w:tabs>
          <w:tab w:pos="1299" w:val="left" w:leader="none"/>
        </w:tabs>
        <w:spacing w:line="334" w:lineRule="exact"/>
        <w:ind w:left="220"/>
      </w:pPr>
      <w:r>
        <w:rPr/>
        <w:t>第二部分</w:t>
        <w:tab/>
        <w:t>我们提供的保障</w:t>
      </w:r>
    </w:p>
    <w:p>
      <w:pPr>
        <w:pStyle w:val="ListParagraph"/>
        <w:numPr>
          <w:ilvl w:val="1"/>
          <w:numId w:val="7"/>
        </w:numPr>
        <w:tabs>
          <w:tab w:pos="1287" w:val="left" w:leader="none"/>
          <w:tab w:pos="1289" w:val="left" w:leader="none"/>
          <w:tab w:pos="2475" w:val="left" w:leader="none"/>
        </w:tabs>
        <w:spacing w:line="314" w:lineRule="exact" w:before="0" w:after="0"/>
        <w:ind w:left="1288" w:right="0" w:hanging="1068"/>
        <w:jc w:val="left"/>
        <w:rPr>
          <w:rFonts w:ascii="Microsoft JhengHei" w:eastAsia="Microsoft JhengHei" w:hint="eastAsia"/>
          <w:b/>
          <w:sz w:val="20"/>
        </w:rPr>
      </w:pPr>
      <w:r>
        <w:rPr/>
        <w:pict>
          <v:group style="position:absolute;margin-left:57.599998pt;margin-top:1.178189pt;width:487.2pt;height:.5pt;mso-position-horizontal-relative:page;mso-position-vertical-relative:paragraph;z-index:-25648"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z w:val="20"/>
        </w:rPr>
        <w:t>等待期</w:t>
        <w:tab/>
        <w:t>本附加合同生效日零时起九十日为等待期。</w:t>
      </w:r>
    </w:p>
    <w:p>
      <w:pPr>
        <w:pStyle w:val="ListParagraph"/>
        <w:numPr>
          <w:ilvl w:val="1"/>
          <w:numId w:val="7"/>
        </w:numPr>
        <w:tabs>
          <w:tab w:pos="1287" w:val="left" w:leader="none"/>
          <w:tab w:pos="1288" w:val="left" w:leader="none"/>
          <w:tab w:pos="2475" w:val="left" w:leader="none"/>
        </w:tabs>
        <w:spacing w:line="310" w:lineRule="exact" w:before="0" w:after="0"/>
        <w:ind w:left="1288" w:right="0" w:hanging="1068"/>
        <w:jc w:val="left"/>
        <w:rPr>
          <w:rFonts w:ascii="Microsoft JhengHei" w:eastAsia="Microsoft JhengHei" w:hint="eastAsia"/>
          <w:b/>
          <w:sz w:val="20"/>
        </w:rPr>
      </w:pPr>
      <w:r>
        <w:rPr>
          <w:rFonts w:ascii="Microsoft JhengHei" w:eastAsia="Microsoft JhengHei" w:hint="eastAsia"/>
          <w:b/>
          <w:sz w:val="20"/>
        </w:rPr>
        <w:t>保险责任</w:t>
        <w:tab/>
        <w:t>一、在本附加合同保险期间内，我们承担下列保险责任：</w:t>
      </w:r>
    </w:p>
    <w:p>
      <w:pPr>
        <w:spacing w:line="308" w:lineRule="exact" w:before="0"/>
        <w:ind w:left="2476" w:right="0" w:firstLine="0"/>
        <w:jc w:val="both"/>
        <w:rPr>
          <w:rFonts w:ascii="Microsoft JhengHei" w:eastAsia="Microsoft JhengHei" w:hint="eastAsia"/>
          <w:b/>
          <w:sz w:val="20"/>
        </w:rPr>
      </w:pPr>
      <w:r>
        <w:rPr>
          <w:rFonts w:ascii="Microsoft JhengHei" w:eastAsia="Microsoft JhengHei" w:hint="eastAsia"/>
          <w:b/>
          <w:w w:val="95"/>
          <w:sz w:val="20"/>
        </w:rPr>
        <w:t>（1）重大疾病保险金</w:t>
      </w:r>
    </w:p>
    <w:p>
      <w:pPr>
        <w:spacing w:line="180" w:lineRule="auto" w:before="67"/>
        <w:ind w:left="2475" w:right="343" w:firstLine="0"/>
        <w:jc w:val="both"/>
        <w:rPr>
          <w:rFonts w:ascii="Microsoft JhengHei" w:eastAsia="Microsoft JhengHei" w:hint="eastAsia"/>
          <w:b/>
          <w:sz w:val="20"/>
        </w:rPr>
      </w:pPr>
      <w:r>
        <w:rPr>
          <w:rFonts w:ascii="Microsoft JhengHei" w:eastAsia="Microsoft JhengHei" w:hint="eastAsia"/>
          <w:b/>
          <w:sz w:val="20"/>
        </w:rPr>
        <w:t>若被保险人在等待期满后首次出现本附加合同约定的重大疾病的症状或体征，并且按本附加合同对重大疾病的定义和诊断标准被医院</w:t>
      </w:r>
      <w:r>
        <w:rPr>
          <w:rFonts w:ascii="Microsoft JhengHei" w:eastAsia="Microsoft JhengHei" w:hint="eastAsia"/>
          <w:b/>
          <w:position w:val="10"/>
          <w:sz w:val="10"/>
        </w:rPr>
        <w:t>[3]</w:t>
      </w:r>
      <w:r>
        <w:rPr>
          <w:rFonts w:ascii="Microsoft JhengHei" w:eastAsia="Microsoft JhengHei" w:hint="eastAsia"/>
          <w:b/>
          <w:sz w:val="20"/>
        </w:rPr>
        <w:t>初次确诊为患有本附加合同约定的重大疾病，则我们按本附加合同的基本保险金额</w:t>
      </w:r>
      <w:r>
        <w:rPr>
          <w:rFonts w:ascii="Microsoft JhengHei" w:eastAsia="Microsoft JhengHei" w:hint="eastAsia"/>
          <w:b/>
          <w:position w:val="10"/>
          <w:sz w:val="10"/>
        </w:rPr>
        <w:t>[4] </w:t>
      </w:r>
      <w:r>
        <w:rPr>
          <w:rFonts w:ascii="Microsoft JhengHei" w:eastAsia="Microsoft JhengHei" w:hint="eastAsia"/>
          <w:b/>
          <w:sz w:val="20"/>
        </w:rPr>
        <w:t>给付重大疾病保险金，本附加合同终止。若被保险人因意外事故</w:t>
      </w:r>
      <w:r>
        <w:rPr>
          <w:rFonts w:ascii="Microsoft JhengHei" w:eastAsia="Microsoft JhengHei" w:hint="eastAsia"/>
          <w:b/>
          <w:position w:val="10"/>
          <w:sz w:val="10"/>
        </w:rPr>
        <w:t>[5]</w:t>
      </w:r>
      <w:r>
        <w:rPr>
          <w:rFonts w:ascii="Microsoft JhengHei" w:eastAsia="Microsoft JhengHei" w:hint="eastAsia"/>
          <w:b/>
          <w:sz w:val="20"/>
        </w:rPr>
        <w:t>而患有本附加合同约定的重大疾病，则不受等待期的限制。</w:t>
      </w:r>
    </w:p>
    <w:p>
      <w:pPr>
        <w:spacing w:line="180" w:lineRule="auto" w:before="46"/>
        <w:ind w:left="2475" w:right="346" w:firstLine="0"/>
        <w:jc w:val="both"/>
        <w:rPr>
          <w:rFonts w:ascii="Microsoft JhengHei" w:eastAsia="Microsoft JhengHei" w:hint="eastAsia"/>
          <w:b/>
          <w:sz w:val="20"/>
        </w:rPr>
      </w:pPr>
      <w:r>
        <w:rPr>
          <w:rFonts w:ascii="Microsoft JhengHei" w:eastAsia="Microsoft JhengHei" w:hint="eastAsia"/>
          <w:b/>
          <w:sz w:val="20"/>
        </w:rPr>
        <w:t>若被保险人在等待期内首次出现本附加合同约定的重大疾病的症状或体征，或者在等待期内按本附加合同对重大疾病的定义和诊断标准被医院初次确诊为患有本附加合同约定的重大疾病，我们不承担给付保险金的责任，但将无息退还本附加合同已交的保险费，本附加合同终止。</w:t>
      </w:r>
    </w:p>
    <w:p>
      <w:pPr>
        <w:spacing w:line="288" w:lineRule="exact" w:before="0"/>
        <w:ind w:left="2475" w:right="0" w:firstLine="0"/>
        <w:jc w:val="left"/>
        <w:rPr>
          <w:rFonts w:ascii="Microsoft JhengHei" w:eastAsia="Microsoft JhengHei" w:hint="eastAsia"/>
          <w:b/>
          <w:sz w:val="20"/>
        </w:rPr>
      </w:pPr>
      <w:r>
        <w:rPr>
          <w:rFonts w:ascii="Microsoft JhengHei" w:eastAsia="Microsoft JhengHei" w:hint="eastAsia"/>
          <w:b/>
          <w:w w:val="95"/>
          <w:sz w:val="20"/>
        </w:rPr>
        <w:t>（2）恶性肿瘤保险金</w:t>
      </w:r>
    </w:p>
    <w:p>
      <w:pPr>
        <w:spacing w:line="180" w:lineRule="auto" w:before="67"/>
        <w:ind w:left="2475" w:right="346" w:firstLine="0"/>
        <w:jc w:val="both"/>
        <w:rPr>
          <w:rFonts w:ascii="Microsoft JhengHei" w:eastAsia="Microsoft JhengHei" w:hint="eastAsia"/>
          <w:b/>
          <w:sz w:val="20"/>
        </w:rPr>
      </w:pPr>
      <w:r>
        <w:rPr>
          <w:rFonts w:ascii="Microsoft JhengHei" w:eastAsia="Microsoft JhengHei" w:hint="eastAsia"/>
          <w:b/>
          <w:sz w:val="20"/>
        </w:rPr>
        <w:t>若被保险人在等待期满后首次出现本附加合同约定的恶性肿瘤的症状或体征，并且按本附加合同对恶性肿瘤的定义和诊断标准被医院初次确诊为患有本附加合同约定的恶性肿瘤，则我们除按本附加合同约定给付重大疾病保险金外，另按基本保险金</w:t>
      </w:r>
    </w:p>
    <w:p>
      <w:pPr>
        <w:spacing w:after="0" w:line="180" w:lineRule="auto"/>
        <w:jc w:val="both"/>
        <w:rPr>
          <w:rFonts w:ascii="Microsoft JhengHei" w:eastAsia="Microsoft JhengHei" w:hint="eastAsia"/>
          <w:sz w:val="20"/>
        </w:rPr>
        <w:sectPr>
          <w:type w:val="continuous"/>
          <w:pgSz w:w="11900" w:h="16840"/>
          <w:pgMar w:top="460" w:bottom="280" w:left="1040" w:right="800"/>
        </w:sectPr>
      </w:pPr>
    </w:p>
    <w:tbl>
      <w:tblPr>
        <w:tblW w:w="0" w:type="auto"/>
        <w:jc w:val="left"/>
        <w:tblInd w:w="1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445"/>
        <w:gridCol w:w="7505"/>
      </w:tblGrid>
      <w:tr>
        <w:trPr>
          <w:trHeight w:val="253" w:hRule="atLeast"/>
        </w:trPr>
        <w:tc>
          <w:tcPr>
            <w:tcW w:w="2180" w:type="dxa"/>
            <w:gridSpan w:val="2"/>
            <w:vMerge w:val="restart"/>
          </w:tcPr>
          <w:p>
            <w:pPr>
              <w:pStyle w:val="TableParagraph"/>
              <w:ind w:left="0"/>
              <w:rPr>
                <w:rFonts w:ascii="Times New Roman"/>
                <w:sz w:val="18"/>
              </w:rPr>
            </w:pPr>
          </w:p>
        </w:tc>
        <w:tc>
          <w:tcPr>
            <w:tcW w:w="7505" w:type="dxa"/>
          </w:tcPr>
          <w:p>
            <w:pPr>
              <w:pStyle w:val="TableParagraph"/>
              <w:spacing w:line="222" w:lineRule="exact"/>
              <w:ind w:left="125"/>
              <w:rPr>
                <w:rFonts w:ascii="Microsoft JhengHei" w:eastAsia="Microsoft JhengHei" w:hint="eastAsia"/>
                <w:b/>
                <w:sz w:val="20"/>
              </w:rPr>
            </w:pPr>
            <w:r>
              <w:rPr>
                <w:rFonts w:ascii="Microsoft JhengHei" w:eastAsia="Microsoft JhengHei" w:hint="eastAsia"/>
                <w:b/>
                <w:sz w:val="20"/>
              </w:rPr>
              <w:t>额的 20％给付恶性肿瘤保险金，本附加合同终止。</w:t>
            </w:r>
          </w:p>
        </w:tc>
      </w:tr>
      <w:tr>
        <w:trPr>
          <w:trHeight w:val="308" w:hRule="atLeast"/>
        </w:trPr>
        <w:tc>
          <w:tcPr>
            <w:tcW w:w="2180" w:type="dxa"/>
            <w:gridSpan w:val="2"/>
            <w:vMerge/>
            <w:tcBorders>
              <w:top w:val="nil"/>
            </w:tcBorders>
          </w:tcPr>
          <w:p>
            <w:pPr>
              <w:rPr>
                <w:sz w:val="2"/>
                <w:szCs w:val="2"/>
              </w:rPr>
            </w:pPr>
          </w:p>
        </w:tc>
        <w:tc>
          <w:tcPr>
            <w:tcW w:w="7505" w:type="dxa"/>
          </w:tcPr>
          <w:p>
            <w:pPr>
              <w:pStyle w:val="TableParagraph"/>
              <w:spacing w:line="276" w:lineRule="exact"/>
              <w:ind w:left="126"/>
              <w:rPr>
                <w:rFonts w:ascii="Microsoft JhengHei" w:eastAsia="Microsoft JhengHei" w:hint="eastAsia"/>
                <w:b/>
                <w:sz w:val="20"/>
              </w:rPr>
            </w:pPr>
            <w:r>
              <w:rPr>
                <w:rFonts w:ascii="Microsoft JhengHei" w:eastAsia="Microsoft JhengHei" w:hint="eastAsia"/>
                <w:b/>
                <w:sz w:val="20"/>
              </w:rPr>
              <w:t>二、在本附加合同终止、撤销或解除后，我们不再承担本附加合同的保险责任。</w:t>
            </w:r>
          </w:p>
        </w:tc>
      </w:tr>
      <w:tr>
        <w:trPr>
          <w:trHeight w:val="284" w:hRule="atLeast"/>
        </w:trPr>
        <w:tc>
          <w:tcPr>
            <w:tcW w:w="735" w:type="dxa"/>
          </w:tcPr>
          <w:p>
            <w:pPr>
              <w:pStyle w:val="TableParagraph"/>
              <w:spacing w:line="264"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3</w:t>
            </w:r>
          </w:p>
        </w:tc>
        <w:tc>
          <w:tcPr>
            <w:tcW w:w="1445" w:type="dxa"/>
          </w:tcPr>
          <w:p>
            <w:pPr>
              <w:pStyle w:val="TableParagraph"/>
              <w:spacing w:line="264" w:lineRule="exact"/>
              <w:ind w:left="383"/>
              <w:rPr>
                <w:rFonts w:ascii="Microsoft JhengHei" w:eastAsia="Microsoft JhengHei" w:hint="eastAsia"/>
                <w:b/>
                <w:sz w:val="20"/>
              </w:rPr>
            </w:pPr>
            <w:r>
              <w:rPr>
                <w:rFonts w:ascii="Microsoft JhengHei" w:eastAsia="Microsoft JhengHei" w:hint="eastAsia"/>
                <w:b/>
                <w:sz w:val="20"/>
              </w:rPr>
              <w:t>重 大 疾 病</w:t>
            </w:r>
          </w:p>
        </w:tc>
        <w:tc>
          <w:tcPr>
            <w:tcW w:w="7505" w:type="dxa"/>
          </w:tcPr>
          <w:p>
            <w:pPr>
              <w:pStyle w:val="TableParagraph"/>
              <w:spacing w:line="264" w:lineRule="exact"/>
              <w:ind w:left="126"/>
              <w:rPr>
                <w:rFonts w:ascii="Microsoft JhengHei" w:eastAsia="Microsoft JhengHei" w:hint="eastAsia"/>
                <w:b/>
                <w:sz w:val="20"/>
              </w:rPr>
            </w:pPr>
            <w:r>
              <w:rPr>
                <w:rFonts w:ascii="Microsoft JhengHei" w:eastAsia="Microsoft JhengHei" w:hint="eastAsia"/>
                <w:b/>
                <w:sz w:val="20"/>
              </w:rPr>
              <w:t>本附加合同承保六十种重大疾病，疾病名称及定义请见附录。</w:t>
            </w:r>
          </w:p>
        </w:tc>
      </w:tr>
      <w:tr>
        <w:trPr>
          <w:trHeight w:val="308" w:hRule="atLeast"/>
        </w:trPr>
        <w:tc>
          <w:tcPr>
            <w:tcW w:w="735" w:type="dxa"/>
          </w:tcPr>
          <w:p>
            <w:pPr>
              <w:pStyle w:val="TableParagraph"/>
              <w:ind w:left="0"/>
              <w:rPr>
                <w:rFonts w:ascii="Times New Roman"/>
                <w:sz w:val="18"/>
              </w:rPr>
            </w:pPr>
          </w:p>
        </w:tc>
        <w:tc>
          <w:tcPr>
            <w:tcW w:w="1445" w:type="dxa"/>
          </w:tcPr>
          <w:p>
            <w:pPr>
              <w:pStyle w:val="TableParagraph"/>
              <w:spacing w:line="252" w:lineRule="exact"/>
              <w:ind w:left="383"/>
              <w:rPr>
                <w:rFonts w:ascii="Microsoft JhengHei" w:eastAsia="Microsoft JhengHei" w:hint="eastAsia"/>
                <w:b/>
                <w:sz w:val="20"/>
              </w:rPr>
            </w:pPr>
            <w:r>
              <w:rPr>
                <w:rFonts w:ascii="Microsoft JhengHei" w:eastAsia="Microsoft JhengHei" w:hint="eastAsia"/>
                <w:b/>
                <w:sz w:val="20"/>
              </w:rPr>
              <w:t>的定义</w:t>
            </w:r>
          </w:p>
        </w:tc>
        <w:tc>
          <w:tcPr>
            <w:tcW w:w="7505" w:type="dxa"/>
          </w:tcPr>
          <w:p>
            <w:pPr>
              <w:pStyle w:val="TableParagraph"/>
              <w:spacing w:line="288" w:lineRule="exact"/>
              <w:ind w:left="126"/>
              <w:rPr>
                <w:sz w:val="20"/>
              </w:rPr>
            </w:pPr>
            <w:r>
              <w:rPr>
                <w:sz w:val="20"/>
              </w:rPr>
              <w:t>被保险人患有符合所附疾病定义所述条件的疾病，应当由相应的</w:t>
            </w:r>
            <w:r>
              <w:rPr>
                <w:rFonts w:ascii="Microsoft JhengHei" w:eastAsia="Microsoft JhengHei" w:hint="eastAsia"/>
                <w:b/>
                <w:sz w:val="20"/>
              </w:rPr>
              <w:t>专科医生</w:t>
            </w:r>
            <w:r>
              <w:rPr>
                <w:rFonts w:ascii="Microsoft JhengHei" w:eastAsia="Microsoft JhengHei" w:hint="eastAsia"/>
                <w:b/>
                <w:position w:val="10"/>
                <w:sz w:val="10"/>
              </w:rPr>
              <w:t>[6]</w:t>
            </w:r>
            <w:r>
              <w:rPr>
                <w:sz w:val="20"/>
              </w:rPr>
              <w:t>明确诊</w:t>
            </w:r>
          </w:p>
        </w:tc>
      </w:tr>
      <w:tr>
        <w:trPr>
          <w:trHeight w:val="284" w:hRule="atLeast"/>
        </w:trPr>
        <w:tc>
          <w:tcPr>
            <w:tcW w:w="735" w:type="dxa"/>
          </w:tcPr>
          <w:p>
            <w:pPr>
              <w:pStyle w:val="TableParagraph"/>
              <w:ind w:left="0"/>
              <w:rPr>
                <w:rFonts w:ascii="Times New Roman"/>
                <w:sz w:val="18"/>
              </w:rPr>
            </w:pPr>
          </w:p>
        </w:tc>
        <w:tc>
          <w:tcPr>
            <w:tcW w:w="1445" w:type="dxa"/>
          </w:tcPr>
          <w:p>
            <w:pPr>
              <w:pStyle w:val="TableParagraph"/>
              <w:ind w:left="0"/>
              <w:rPr>
                <w:rFonts w:ascii="Times New Roman"/>
                <w:sz w:val="18"/>
              </w:rPr>
            </w:pPr>
          </w:p>
        </w:tc>
        <w:tc>
          <w:tcPr>
            <w:tcW w:w="7505" w:type="dxa"/>
          </w:tcPr>
          <w:p>
            <w:pPr>
              <w:pStyle w:val="TableParagraph"/>
              <w:spacing w:line="231" w:lineRule="exact"/>
              <w:ind w:left="125"/>
              <w:rPr>
                <w:sz w:val="20"/>
              </w:rPr>
            </w:pPr>
            <w:r>
              <w:rPr>
                <w:w w:val="95"/>
                <w:sz w:val="20"/>
              </w:rPr>
              <w:t>断。</w:t>
            </w:r>
          </w:p>
        </w:tc>
      </w:tr>
      <w:tr>
        <w:trPr>
          <w:trHeight w:val="284" w:hRule="atLeast"/>
        </w:trPr>
        <w:tc>
          <w:tcPr>
            <w:tcW w:w="735" w:type="dxa"/>
          </w:tcPr>
          <w:p>
            <w:pPr>
              <w:pStyle w:val="TableParagraph"/>
              <w:spacing w:line="264" w:lineRule="exact"/>
              <w:ind w:left="50"/>
              <w:rPr>
                <w:rFonts w:ascii="Microsoft JhengHei"/>
                <w:b/>
                <w:sz w:val="20"/>
              </w:rPr>
            </w:pPr>
            <w:r>
              <w:rPr>
                <w:rFonts w:ascii="Microsoft JhengHei"/>
                <w:b/>
                <w:spacing w:val="0"/>
                <w:w w:val="83"/>
                <w:sz w:val="20"/>
              </w:rPr>
              <w:t>2</w:t>
            </w:r>
            <w:r>
              <w:rPr>
                <w:rFonts w:ascii="Microsoft JhengHei"/>
                <w:b/>
                <w:spacing w:val="0"/>
                <w:w w:val="195"/>
                <w:sz w:val="20"/>
              </w:rPr>
              <w:t>.</w:t>
            </w:r>
            <w:r>
              <w:rPr>
                <w:rFonts w:ascii="Microsoft JhengHei"/>
                <w:b/>
                <w:w w:val="83"/>
                <w:sz w:val="20"/>
              </w:rPr>
              <w:t>4</w:t>
            </w:r>
          </w:p>
        </w:tc>
        <w:tc>
          <w:tcPr>
            <w:tcW w:w="1445" w:type="dxa"/>
          </w:tcPr>
          <w:p>
            <w:pPr>
              <w:pStyle w:val="TableParagraph"/>
              <w:spacing w:line="264" w:lineRule="exact"/>
              <w:ind w:left="383"/>
              <w:rPr>
                <w:rFonts w:ascii="Microsoft JhengHei" w:eastAsia="Microsoft JhengHei" w:hint="eastAsia"/>
                <w:b/>
                <w:sz w:val="20"/>
              </w:rPr>
            </w:pPr>
            <w:r>
              <w:rPr>
                <w:rFonts w:ascii="Microsoft JhengHei" w:eastAsia="Microsoft JhengHei" w:hint="eastAsia"/>
                <w:b/>
                <w:sz w:val="20"/>
              </w:rPr>
              <w:t>责任免除</w:t>
            </w:r>
          </w:p>
        </w:tc>
        <w:tc>
          <w:tcPr>
            <w:tcW w:w="7505" w:type="dxa"/>
          </w:tcPr>
          <w:p>
            <w:pPr>
              <w:pStyle w:val="TableParagraph"/>
              <w:spacing w:line="264" w:lineRule="exact"/>
              <w:ind w:left="126"/>
              <w:rPr>
                <w:rFonts w:ascii="Microsoft JhengHei" w:eastAsia="Microsoft JhengHei" w:hint="eastAsia"/>
                <w:b/>
                <w:sz w:val="20"/>
              </w:rPr>
            </w:pPr>
            <w:r>
              <w:rPr>
                <w:rFonts w:ascii="Microsoft JhengHei" w:eastAsia="Microsoft JhengHei" w:hint="eastAsia"/>
                <w:b/>
                <w:sz w:val="20"/>
              </w:rPr>
              <w:t>因下列情形之一导致被保险人患有疾病、达到疾病状态或进行手术的，我们不承担</w:t>
            </w:r>
          </w:p>
        </w:tc>
      </w:tr>
      <w:tr>
        <w:trPr>
          <w:trHeight w:val="284" w:hRule="atLeast"/>
        </w:trPr>
        <w:tc>
          <w:tcPr>
            <w:tcW w:w="2180" w:type="dxa"/>
            <w:gridSpan w:val="2"/>
            <w:vMerge w:val="restart"/>
          </w:tcPr>
          <w:p>
            <w:pPr>
              <w:pStyle w:val="TableParagraph"/>
              <w:ind w:left="0"/>
              <w:rPr>
                <w:rFonts w:ascii="Times New Roman"/>
                <w:sz w:val="18"/>
              </w:rPr>
            </w:pPr>
          </w:p>
        </w:tc>
        <w:tc>
          <w:tcPr>
            <w:tcW w:w="7505" w:type="dxa"/>
          </w:tcPr>
          <w:p>
            <w:pPr>
              <w:pStyle w:val="TableParagraph"/>
              <w:spacing w:line="253" w:lineRule="exact"/>
              <w:ind w:left="125"/>
              <w:rPr>
                <w:rFonts w:ascii="Microsoft JhengHei" w:eastAsia="Microsoft JhengHei" w:hint="eastAsia"/>
                <w:b/>
                <w:sz w:val="20"/>
              </w:rPr>
            </w:pPr>
            <w:r>
              <w:rPr>
                <w:rFonts w:ascii="Microsoft JhengHei" w:eastAsia="Microsoft JhengHei" w:hint="eastAsia"/>
                <w:b/>
                <w:sz w:val="20"/>
              </w:rPr>
              <w:t>给付各项保险金的责任：</w:t>
            </w:r>
          </w:p>
        </w:tc>
      </w:tr>
      <w:tr>
        <w:trPr>
          <w:trHeight w:val="308" w:hRule="atLeast"/>
        </w:trPr>
        <w:tc>
          <w:tcPr>
            <w:tcW w:w="2180" w:type="dxa"/>
            <w:gridSpan w:val="2"/>
            <w:vMerge/>
            <w:tcBorders>
              <w:top w:val="nil"/>
            </w:tcBorders>
          </w:tcPr>
          <w:p>
            <w:pPr>
              <w:rPr>
                <w:sz w:val="2"/>
                <w:szCs w:val="2"/>
              </w:rPr>
            </w:pPr>
          </w:p>
        </w:tc>
        <w:tc>
          <w:tcPr>
            <w:tcW w:w="7505" w:type="dxa"/>
          </w:tcPr>
          <w:p>
            <w:pPr>
              <w:pStyle w:val="TableParagraph"/>
              <w:spacing w:line="276" w:lineRule="exact"/>
              <w:ind w:left="125"/>
              <w:rPr>
                <w:rFonts w:ascii="Microsoft JhengHei" w:eastAsia="Microsoft JhengHei" w:hint="eastAsia"/>
                <w:b/>
                <w:sz w:val="20"/>
              </w:rPr>
            </w:pPr>
            <w:r>
              <w:rPr>
                <w:rFonts w:ascii="Microsoft JhengHei" w:eastAsia="Microsoft JhengHei" w:hint="eastAsia"/>
                <w:b/>
                <w:w w:val="95"/>
                <w:sz w:val="20"/>
              </w:rPr>
              <w:t>（1）投保人对被保险人的故意杀害、故意伤害；</w:t>
            </w:r>
          </w:p>
        </w:tc>
      </w:tr>
      <w:tr>
        <w:trPr>
          <w:trHeight w:val="301" w:hRule="atLeast"/>
        </w:trPr>
        <w:tc>
          <w:tcPr>
            <w:tcW w:w="2180" w:type="dxa"/>
            <w:gridSpan w:val="2"/>
            <w:vMerge/>
            <w:tcBorders>
              <w:top w:val="nil"/>
            </w:tcBorders>
          </w:tcPr>
          <w:p>
            <w:pPr>
              <w:rPr>
                <w:sz w:val="2"/>
                <w:szCs w:val="2"/>
              </w:rPr>
            </w:pPr>
          </w:p>
        </w:tc>
        <w:tc>
          <w:tcPr>
            <w:tcW w:w="7505" w:type="dxa"/>
          </w:tcPr>
          <w:p>
            <w:pPr>
              <w:pStyle w:val="TableParagraph"/>
              <w:spacing w:line="277" w:lineRule="exact"/>
              <w:ind w:left="125"/>
              <w:rPr>
                <w:rFonts w:ascii="Microsoft JhengHei" w:eastAsia="Microsoft JhengHei" w:hint="eastAsia"/>
                <w:b/>
                <w:sz w:val="20"/>
              </w:rPr>
            </w:pPr>
            <w:r>
              <w:rPr>
                <w:rFonts w:ascii="Microsoft JhengHei" w:eastAsia="Microsoft JhengHei" w:hint="eastAsia"/>
                <w:b/>
                <w:w w:val="95"/>
                <w:sz w:val="20"/>
              </w:rPr>
              <w:t>（2）被保险人故意自伤、故意犯罪或者抗拒依法采取的刑事强制措施；</w:t>
            </w:r>
          </w:p>
        </w:tc>
      </w:tr>
      <w:tr>
        <w:trPr>
          <w:trHeight w:val="293" w:hRule="atLeast"/>
        </w:trPr>
        <w:tc>
          <w:tcPr>
            <w:tcW w:w="2180" w:type="dxa"/>
            <w:gridSpan w:val="2"/>
            <w:vMerge/>
            <w:tcBorders>
              <w:top w:val="nil"/>
            </w:tcBorders>
          </w:tcPr>
          <w:p>
            <w:pPr>
              <w:rPr>
                <w:sz w:val="2"/>
                <w:szCs w:val="2"/>
              </w:rPr>
            </w:pPr>
          </w:p>
        </w:tc>
        <w:tc>
          <w:tcPr>
            <w:tcW w:w="7505" w:type="dxa"/>
          </w:tcPr>
          <w:p>
            <w:pPr>
              <w:pStyle w:val="TableParagraph"/>
              <w:spacing w:line="274" w:lineRule="exact"/>
              <w:ind w:left="125"/>
              <w:rPr>
                <w:rFonts w:ascii="Microsoft JhengHei" w:eastAsia="Microsoft JhengHei" w:hint="eastAsia"/>
                <w:b/>
                <w:sz w:val="20"/>
              </w:rPr>
            </w:pPr>
            <w:r>
              <w:rPr>
                <w:rFonts w:ascii="Microsoft JhengHei" w:eastAsia="Microsoft JhengHei" w:hint="eastAsia"/>
                <w:b/>
                <w:sz w:val="20"/>
              </w:rPr>
              <w:t>（3）被保险人患艾滋病或感染艾滋病病毒</w:t>
            </w:r>
            <w:r>
              <w:rPr>
                <w:rFonts w:ascii="Microsoft JhengHei" w:eastAsia="Microsoft JhengHei" w:hint="eastAsia"/>
                <w:b/>
                <w:position w:val="10"/>
                <w:sz w:val="10"/>
              </w:rPr>
              <w:t>[7]</w:t>
            </w:r>
            <w:r>
              <w:rPr>
                <w:rFonts w:ascii="Microsoft JhengHei" w:eastAsia="Microsoft JhengHei" w:hint="eastAsia"/>
                <w:b/>
                <w:sz w:val="20"/>
              </w:rPr>
              <w:t>后患病（因输血或者工作原因导致的除</w:t>
            </w:r>
          </w:p>
        </w:tc>
      </w:tr>
      <w:tr>
        <w:trPr>
          <w:trHeight w:val="284" w:hRule="atLeast"/>
        </w:trPr>
        <w:tc>
          <w:tcPr>
            <w:tcW w:w="2180" w:type="dxa"/>
            <w:gridSpan w:val="2"/>
            <w:vMerge/>
            <w:tcBorders>
              <w:top w:val="nil"/>
            </w:tcBorders>
          </w:tcPr>
          <w:p>
            <w:pPr>
              <w:rPr>
                <w:sz w:val="2"/>
                <w:szCs w:val="2"/>
              </w:rPr>
            </w:pPr>
          </w:p>
        </w:tc>
        <w:tc>
          <w:tcPr>
            <w:tcW w:w="7505" w:type="dxa"/>
          </w:tcPr>
          <w:p>
            <w:pPr>
              <w:pStyle w:val="TableParagraph"/>
              <w:spacing w:line="253" w:lineRule="exact"/>
              <w:ind w:left="125"/>
              <w:rPr>
                <w:rFonts w:ascii="Microsoft JhengHei" w:eastAsia="Microsoft JhengHei" w:hint="eastAsia"/>
                <w:b/>
                <w:sz w:val="20"/>
              </w:rPr>
            </w:pPr>
            <w:r>
              <w:rPr>
                <w:rFonts w:ascii="Microsoft JhengHei" w:eastAsia="Microsoft JhengHei" w:hint="eastAsia"/>
                <w:b/>
                <w:spacing w:val="1"/>
                <w:w w:val="99"/>
                <w:sz w:val="20"/>
              </w:rPr>
              <w:t>外</w:t>
            </w:r>
            <w:r>
              <w:rPr>
                <w:rFonts w:ascii="Microsoft JhengHei" w:eastAsia="Microsoft JhengHei" w:hint="eastAsia"/>
                <w:b/>
                <w:spacing w:val="-99"/>
                <w:w w:val="99"/>
                <w:sz w:val="20"/>
              </w:rPr>
              <w:t>）</w:t>
            </w:r>
            <w:r>
              <w:rPr>
                <w:rFonts w:ascii="Microsoft JhengHei" w:eastAsia="Microsoft JhengHei" w:hint="eastAsia"/>
                <w:b/>
                <w:w w:val="99"/>
                <w:sz w:val="20"/>
              </w:rPr>
              <w:t>；</w:t>
            </w:r>
          </w:p>
        </w:tc>
      </w:tr>
      <w:tr>
        <w:trPr>
          <w:trHeight w:val="308" w:hRule="atLeast"/>
        </w:trPr>
        <w:tc>
          <w:tcPr>
            <w:tcW w:w="2180" w:type="dxa"/>
            <w:gridSpan w:val="2"/>
            <w:vMerge/>
            <w:tcBorders>
              <w:top w:val="nil"/>
            </w:tcBorders>
          </w:tcPr>
          <w:p>
            <w:pPr>
              <w:rPr>
                <w:sz w:val="2"/>
                <w:szCs w:val="2"/>
              </w:rPr>
            </w:pPr>
          </w:p>
        </w:tc>
        <w:tc>
          <w:tcPr>
            <w:tcW w:w="7505" w:type="dxa"/>
          </w:tcPr>
          <w:p>
            <w:pPr>
              <w:pStyle w:val="TableParagraph"/>
              <w:spacing w:line="276" w:lineRule="exact"/>
              <w:ind w:left="125"/>
              <w:rPr>
                <w:rFonts w:ascii="Microsoft JhengHei" w:eastAsia="Microsoft JhengHei" w:hint="eastAsia"/>
                <w:b/>
                <w:sz w:val="20"/>
              </w:rPr>
            </w:pPr>
            <w:r>
              <w:rPr>
                <w:rFonts w:ascii="Microsoft JhengHei" w:eastAsia="Microsoft JhengHei" w:hint="eastAsia"/>
                <w:b/>
                <w:w w:val="95"/>
                <w:sz w:val="20"/>
              </w:rPr>
              <w:t>（4）被保险人主动吸食或注射毒品；</w:t>
            </w:r>
          </w:p>
        </w:tc>
      </w:tr>
      <w:tr>
        <w:trPr>
          <w:trHeight w:val="309" w:hRule="atLeast"/>
        </w:trPr>
        <w:tc>
          <w:tcPr>
            <w:tcW w:w="2180" w:type="dxa"/>
            <w:gridSpan w:val="2"/>
            <w:vMerge/>
            <w:tcBorders>
              <w:top w:val="nil"/>
            </w:tcBorders>
          </w:tcPr>
          <w:p>
            <w:pPr>
              <w:rPr>
                <w:sz w:val="2"/>
                <w:szCs w:val="2"/>
              </w:rPr>
            </w:pPr>
          </w:p>
        </w:tc>
        <w:tc>
          <w:tcPr>
            <w:tcW w:w="7505" w:type="dxa"/>
          </w:tcPr>
          <w:p>
            <w:pPr>
              <w:pStyle w:val="TableParagraph"/>
              <w:spacing w:line="277" w:lineRule="exact"/>
              <w:ind w:left="125"/>
              <w:rPr>
                <w:rFonts w:ascii="Microsoft JhengHei" w:eastAsia="Microsoft JhengHei" w:hint="eastAsia"/>
                <w:b/>
                <w:sz w:val="20"/>
              </w:rPr>
            </w:pPr>
            <w:r>
              <w:rPr>
                <w:rFonts w:ascii="Microsoft JhengHei" w:eastAsia="Microsoft JhengHei" w:hint="eastAsia"/>
                <w:b/>
                <w:w w:val="95"/>
                <w:sz w:val="20"/>
              </w:rPr>
              <w:t>（5）被保险人酒后驾驶，无合法有效驾驶证驾驶，或驾驶无有效行驶证的机动车；</w:t>
            </w:r>
          </w:p>
        </w:tc>
      </w:tr>
      <w:tr>
        <w:trPr>
          <w:trHeight w:val="309" w:hRule="atLeast"/>
        </w:trPr>
        <w:tc>
          <w:tcPr>
            <w:tcW w:w="2180" w:type="dxa"/>
            <w:gridSpan w:val="2"/>
            <w:vMerge/>
            <w:tcBorders>
              <w:top w:val="nil"/>
            </w:tcBorders>
          </w:tcPr>
          <w:p>
            <w:pPr>
              <w:rPr>
                <w:sz w:val="2"/>
                <w:szCs w:val="2"/>
              </w:rPr>
            </w:pPr>
          </w:p>
        </w:tc>
        <w:tc>
          <w:tcPr>
            <w:tcW w:w="7505" w:type="dxa"/>
          </w:tcPr>
          <w:p>
            <w:pPr>
              <w:pStyle w:val="TableParagraph"/>
              <w:spacing w:line="277" w:lineRule="exact"/>
              <w:ind w:left="125"/>
              <w:rPr>
                <w:rFonts w:ascii="Microsoft JhengHei" w:eastAsia="Microsoft JhengHei" w:hint="eastAsia"/>
                <w:b/>
                <w:sz w:val="20"/>
              </w:rPr>
            </w:pPr>
            <w:r>
              <w:rPr>
                <w:rFonts w:ascii="Microsoft JhengHei" w:eastAsia="Microsoft JhengHei" w:hint="eastAsia"/>
                <w:b/>
                <w:w w:val="95"/>
                <w:sz w:val="20"/>
              </w:rPr>
              <w:t>（6）战争、军事冲突、暴乱或武装叛乱；</w:t>
            </w:r>
          </w:p>
        </w:tc>
      </w:tr>
      <w:tr>
        <w:trPr>
          <w:trHeight w:val="301" w:hRule="atLeast"/>
        </w:trPr>
        <w:tc>
          <w:tcPr>
            <w:tcW w:w="2180" w:type="dxa"/>
            <w:gridSpan w:val="2"/>
            <w:vMerge/>
            <w:tcBorders>
              <w:top w:val="nil"/>
            </w:tcBorders>
          </w:tcPr>
          <w:p>
            <w:pPr>
              <w:rPr>
                <w:sz w:val="2"/>
                <w:szCs w:val="2"/>
              </w:rPr>
            </w:pPr>
          </w:p>
        </w:tc>
        <w:tc>
          <w:tcPr>
            <w:tcW w:w="7505" w:type="dxa"/>
          </w:tcPr>
          <w:p>
            <w:pPr>
              <w:pStyle w:val="TableParagraph"/>
              <w:spacing w:line="277" w:lineRule="exact"/>
              <w:ind w:left="126"/>
              <w:rPr>
                <w:rFonts w:ascii="Microsoft JhengHei" w:eastAsia="Microsoft JhengHei" w:hint="eastAsia"/>
                <w:b/>
                <w:sz w:val="20"/>
              </w:rPr>
            </w:pPr>
            <w:r>
              <w:rPr>
                <w:rFonts w:ascii="Microsoft JhengHei" w:eastAsia="Microsoft JhengHei" w:hint="eastAsia"/>
                <w:b/>
                <w:w w:val="95"/>
                <w:sz w:val="20"/>
              </w:rPr>
              <w:t>（7）核爆炸、核辐射或核污染；</w:t>
            </w:r>
          </w:p>
        </w:tc>
      </w:tr>
      <w:tr>
        <w:trPr>
          <w:trHeight w:val="317" w:hRule="atLeast"/>
        </w:trPr>
        <w:tc>
          <w:tcPr>
            <w:tcW w:w="2180" w:type="dxa"/>
            <w:gridSpan w:val="2"/>
            <w:vMerge/>
            <w:tcBorders>
              <w:top w:val="nil"/>
            </w:tcBorders>
          </w:tcPr>
          <w:p>
            <w:pPr>
              <w:rPr>
                <w:sz w:val="2"/>
                <w:szCs w:val="2"/>
              </w:rPr>
            </w:pPr>
          </w:p>
        </w:tc>
        <w:tc>
          <w:tcPr>
            <w:tcW w:w="7505" w:type="dxa"/>
          </w:tcPr>
          <w:p>
            <w:pPr>
              <w:pStyle w:val="TableParagraph"/>
              <w:spacing w:line="285" w:lineRule="exact"/>
              <w:ind w:left="126"/>
              <w:rPr>
                <w:rFonts w:ascii="Microsoft JhengHei" w:eastAsia="Microsoft JhengHei" w:hint="eastAsia"/>
                <w:b/>
                <w:sz w:val="20"/>
              </w:rPr>
            </w:pPr>
            <w:r>
              <w:rPr>
                <w:rFonts w:ascii="Microsoft JhengHei" w:eastAsia="Microsoft JhengHei" w:hint="eastAsia"/>
                <w:b/>
                <w:spacing w:val="1"/>
                <w:w w:val="99"/>
                <w:sz w:val="20"/>
              </w:rPr>
              <w:t>（</w:t>
            </w:r>
            <w:r>
              <w:rPr>
                <w:rFonts w:ascii="Microsoft JhengHei" w:eastAsia="Microsoft JhengHei" w:hint="eastAsia"/>
                <w:b/>
                <w:spacing w:val="0"/>
                <w:w w:val="83"/>
                <w:sz w:val="20"/>
              </w:rPr>
              <w:t>8</w:t>
            </w:r>
            <w:r>
              <w:rPr>
                <w:rFonts w:ascii="Microsoft JhengHei" w:eastAsia="Microsoft JhengHei" w:hint="eastAsia"/>
                <w:b/>
                <w:spacing w:val="1"/>
                <w:w w:val="99"/>
                <w:sz w:val="20"/>
              </w:rPr>
              <w:t>）</w:t>
            </w:r>
            <w:r>
              <w:rPr>
                <w:rFonts w:ascii="Microsoft JhengHei" w:eastAsia="Microsoft JhengHei" w:hint="eastAsia"/>
                <w:b/>
                <w:w w:val="99"/>
                <w:sz w:val="20"/>
              </w:rPr>
              <w:t>遗传性疾病</w:t>
            </w:r>
            <w:r>
              <w:rPr>
                <w:rFonts w:ascii="Microsoft JhengHei" w:eastAsia="Microsoft JhengHei" w:hint="eastAsia"/>
                <w:b/>
                <w:w w:val="143"/>
                <w:position w:val="10"/>
                <w:sz w:val="10"/>
              </w:rPr>
              <w:t>[</w:t>
            </w:r>
            <w:r>
              <w:rPr>
                <w:rFonts w:ascii="Microsoft JhengHei" w:eastAsia="Microsoft JhengHei" w:hint="eastAsia"/>
                <w:b/>
                <w:w w:val="84"/>
                <w:position w:val="10"/>
                <w:sz w:val="10"/>
              </w:rPr>
              <w:t>8</w:t>
            </w:r>
            <w:r>
              <w:rPr>
                <w:rFonts w:ascii="Microsoft JhengHei" w:eastAsia="Microsoft JhengHei" w:hint="eastAsia"/>
                <w:b/>
                <w:w w:val="143"/>
                <w:position w:val="10"/>
                <w:sz w:val="10"/>
              </w:rPr>
              <w:t>]</w:t>
            </w:r>
            <w:r>
              <w:rPr>
                <w:rFonts w:ascii="Microsoft JhengHei" w:eastAsia="Microsoft JhengHei" w:hint="eastAsia"/>
                <w:b/>
                <w:spacing w:val="1"/>
                <w:w w:val="99"/>
                <w:sz w:val="20"/>
              </w:rPr>
              <w:t>（</w:t>
            </w:r>
            <w:r>
              <w:rPr>
                <w:rFonts w:ascii="Microsoft JhengHei" w:eastAsia="Microsoft JhengHei" w:hint="eastAsia"/>
                <w:b/>
                <w:w w:val="99"/>
                <w:sz w:val="20"/>
              </w:rPr>
              <w:t>不包括肌营养不良症</w:t>
            </w:r>
            <w:r>
              <w:rPr>
                <w:rFonts w:ascii="Microsoft JhengHei" w:eastAsia="Microsoft JhengHei" w:hint="eastAsia"/>
                <w:b/>
                <w:spacing w:val="-99"/>
                <w:w w:val="99"/>
                <w:sz w:val="20"/>
              </w:rPr>
              <w:t>）</w:t>
            </w:r>
            <w:r>
              <w:rPr>
                <w:rFonts w:ascii="Microsoft JhengHei" w:eastAsia="Microsoft JhengHei" w:hint="eastAsia"/>
                <w:b/>
                <w:w w:val="99"/>
                <w:sz w:val="20"/>
              </w:rPr>
              <w:t>，先天性畸形、变形或染色体异常</w:t>
            </w:r>
            <w:r>
              <w:rPr>
                <w:rFonts w:ascii="Microsoft JhengHei" w:eastAsia="Microsoft JhengHei" w:hint="eastAsia"/>
                <w:b/>
                <w:w w:val="143"/>
                <w:position w:val="10"/>
                <w:sz w:val="10"/>
              </w:rPr>
              <w:t>[</w:t>
            </w:r>
            <w:r>
              <w:rPr>
                <w:rFonts w:ascii="Microsoft JhengHei" w:eastAsia="Microsoft JhengHei" w:hint="eastAsia"/>
                <w:b/>
                <w:w w:val="84"/>
                <w:position w:val="10"/>
                <w:sz w:val="10"/>
              </w:rPr>
              <w:t>9</w:t>
            </w:r>
            <w:r>
              <w:rPr>
                <w:rFonts w:ascii="Microsoft JhengHei" w:eastAsia="Microsoft JhengHei" w:hint="eastAsia"/>
                <w:b/>
                <w:w w:val="143"/>
                <w:position w:val="10"/>
                <w:sz w:val="10"/>
              </w:rPr>
              <w:t>]</w:t>
            </w:r>
            <w:r>
              <w:rPr>
                <w:rFonts w:ascii="Microsoft JhengHei" w:eastAsia="Microsoft JhengHei" w:hint="eastAsia"/>
                <w:b/>
                <w:w w:val="99"/>
                <w:sz w:val="20"/>
              </w:rPr>
              <w:t>。</w:t>
            </w:r>
          </w:p>
        </w:tc>
      </w:tr>
      <w:tr>
        <w:trPr>
          <w:trHeight w:val="515" w:hRule="atLeast"/>
        </w:trPr>
        <w:tc>
          <w:tcPr>
            <w:tcW w:w="2180" w:type="dxa"/>
            <w:gridSpan w:val="2"/>
            <w:vMerge/>
            <w:tcBorders>
              <w:top w:val="nil"/>
            </w:tcBorders>
          </w:tcPr>
          <w:p>
            <w:pPr>
              <w:rPr>
                <w:sz w:val="2"/>
                <w:szCs w:val="2"/>
              </w:rPr>
            </w:pPr>
          </w:p>
        </w:tc>
        <w:tc>
          <w:tcPr>
            <w:tcW w:w="7505" w:type="dxa"/>
          </w:tcPr>
          <w:p>
            <w:pPr>
              <w:pStyle w:val="TableParagraph"/>
              <w:spacing w:line="234" w:lineRule="exact"/>
              <w:ind w:left="125"/>
              <w:rPr>
                <w:rFonts w:ascii="Microsoft JhengHei" w:eastAsia="Microsoft JhengHei" w:hint="eastAsia"/>
                <w:b/>
                <w:sz w:val="20"/>
              </w:rPr>
            </w:pPr>
            <w:r>
              <w:rPr>
                <w:rFonts w:ascii="Microsoft JhengHei" w:eastAsia="Microsoft JhengHei" w:hint="eastAsia"/>
                <w:b/>
                <w:sz w:val="20"/>
              </w:rPr>
              <w:t>发生上述情形时，本附加合同终止；我们退还本附加合同该保单年度未经过净保险</w:t>
            </w:r>
          </w:p>
          <w:p>
            <w:pPr>
              <w:pStyle w:val="TableParagraph"/>
              <w:spacing w:line="262" w:lineRule="exact"/>
              <w:ind w:left="126"/>
              <w:rPr>
                <w:rFonts w:ascii="Microsoft JhengHei" w:eastAsia="Microsoft JhengHei" w:hint="eastAsia"/>
                <w:b/>
                <w:sz w:val="20"/>
              </w:rPr>
            </w:pPr>
            <w:r>
              <w:rPr>
                <w:rFonts w:ascii="Microsoft JhengHei" w:eastAsia="Microsoft JhengHei" w:hint="eastAsia"/>
                <w:b/>
                <w:position w:val="-9"/>
                <w:sz w:val="20"/>
              </w:rPr>
              <w:t>费</w:t>
            </w:r>
            <w:r>
              <w:rPr>
                <w:rFonts w:ascii="Microsoft JhengHei" w:eastAsia="Microsoft JhengHei" w:hint="eastAsia"/>
                <w:b/>
                <w:sz w:val="10"/>
              </w:rPr>
              <w:t>[10]</w:t>
            </w:r>
            <w:r>
              <w:rPr>
                <w:rFonts w:ascii="Microsoft JhengHei" w:eastAsia="Microsoft JhengHei" w:hint="eastAsia"/>
                <w:b/>
                <w:position w:val="-9"/>
                <w:sz w:val="20"/>
              </w:rPr>
              <w:t>。</w:t>
            </w:r>
          </w:p>
        </w:tc>
      </w:tr>
    </w:tbl>
    <w:p>
      <w:pPr>
        <w:pStyle w:val="BodyText"/>
        <w:spacing w:before="2"/>
        <w:rPr>
          <w:rFonts w:ascii="Microsoft JhengHei"/>
          <w:b/>
          <w:sz w:val="18"/>
        </w:rPr>
      </w:pPr>
    </w:p>
    <w:p>
      <w:pPr>
        <w:tabs>
          <w:tab w:pos="1299" w:val="left" w:leader="none"/>
        </w:tabs>
        <w:spacing w:line="323" w:lineRule="exact" w:before="0" w:after="9"/>
        <w:ind w:left="220" w:right="0" w:firstLine="0"/>
        <w:jc w:val="left"/>
        <w:rPr>
          <w:rFonts w:ascii="Microsoft JhengHei" w:eastAsia="Microsoft JhengHei" w:hint="eastAsia"/>
          <w:b/>
          <w:sz w:val="20"/>
        </w:rPr>
      </w:pPr>
      <w:r>
        <w:rPr>
          <w:rFonts w:ascii="Microsoft JhengHei" w:eastAsia="Microsoft JhengHei" w:hint="eastAsia"/>
          <w:b/>
          <w:sz w:val="20"/>
        </w:rPr>
        <w:t>第三部分</w:t>
        <w:tab/>
        <w:t>如何支付保险费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pgSz w:w="11900" w:h="16840"/>
          <w:pgMar w:header="0" w:footer="676" w:top="1280" w:bottom="940" w:left="1040" w:right="800"/>
        </w:sectPr>
      </w:pPr>
    </w:p>
    <w:p>
      <w:pPr>
        <w:tabs>
          <w:tab w:pos="1287" w:val="left" w:leader="none"/>
        </w:tabs>
        <w:spacing w:line="180" w:lineRule="auto" w:before="58"/>
        <w:ind w:left="1288" w:right="0" w:hanging="1068"/>
        <w:jc w:val="left"/>
        <w:rPr>
          <w:rFonts w:ascii="Microsoft JhengHei" w:eastAsia="Microsoft JhengHei" w:hint="eastAsia"/>
          <w:b/>
          <w:sz w:val="20"/>
        </w:rPr>
      </w:pPr>
      <w:r>
        <w:rPr>
          <w:rFonts w:ascii="Microsoft JhengHei" w:eastAsia="Microsoft JhengHei" w:hint="eastAsia"/>
          <w:b/>
          <w:spacing w:val="0"/>
          <w:w w:val="83"/>
          <w:sz w:val="20"/>
        </w:rPr>
        <w:t>3</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保</w:t>
      </w:r>
      <w:r>
        <w:rPr>
          <w:rFonts w:ascii="Microsoft JhengHei" w:eastAsia="Microsoft JhengHei" w:hint="eastAsia"/>
          <w:b/>
          <w:spacing w:val="-5"/>
          <w:sz w:val="20"/>
        </w:rPr>
        <w:t> </w:t>
      </w:r>
      <w:r>
        <w:rPr>
          <w:rFonts w:ascii="Microsoft JhengHei" w:eastAsia="Microsoft JhengHei" w:hint="eastAsia"/>
          <w:b/>
          <w:w w:val="99"/>
          <w:sz w:val="20"/>
        </w:rPr>
        <w:t>险</w:t>
      </w:r>
      <w:r>
        <w:rPr>
          <w:rFonts w:ascii="Microsoft JhengHei" w:eastAsia="Microsoft JhengHei" w:hint="eastAsia"/>
          <w:b/>
          <w:spacing w:val="-5"/>
          <w:sz w:val="20"/>
        </w:rPr>
        <w:t> </w:t>
      </w:r>
      <w:r>
        <w:rPr>
          <w:rFonts w:ascii="Microsoft JhengHei" w:eastAsia="Microsoft JhengHei" w:hint="eastAsia"/>
          <w:b/>
          <w:w w:val="99"/>
          <w:sz w:val="20"/>
        </w:rPr>
        <w:t>费</w:t>
      </w:r>
      <w:r>
        <w:rPr>
          <w:rFonts w:ascii="Microsoft JhengHei" w:eastAsia="Microsoft JhengHei" w:hint="eastAsia"/>
          <w:b/>
          <w:spacing w:val="-5"/>
          <w:sz w:val="20"/>
        </w:rPr>
        <w:t> </w:t>
      </w:r>
      <w:r>
        <w:rPr>
          <w:rFonts w:ascii="Microsoft JhengHei" w:eastAsia="Microsoft JhengHei" w:hint="eastAsia"/>
          <w:b/>
          <w:w w:val="99"/>
          <w:sz w:val="20"/>
        </w:rPr>
        <w:t>支</w:t>
      </w:r>
      <w:r>
        <w:rPr>
          <w:rFonts w:ascii="Microsoft JhengHei" w:eastAsia="Microsoft JhengHei" w:hint="eastAsia"/>
          <w:b/>
          <w:w w:val="110"/>
          <w:sz w:val="20"/>
        </w:rPr>
        <w:t>付</w:t>
      </w:r>
    </w:p>
    <w:p>
      <w:pPr>
        <w:pStyle w:val="BodyText"/>
        <w:spacing w:before="142"/>
        <w:ind w:left="214"/>
      </w:pPr>
      <w:r>
        <w:rPr/>
        <w:br w:type="column"/>
      </w:r>
      <w:r>
        <w:rPr>
          <w:w w:val="95"/>
        </w:rPr>
        <w:t>对于本附加合同，您应在生效日之前一次交清保险费。</w:t>
      </w:r>
    </w:p>
    <w:p>
      <w:pPr>
        <w:spacing w:after="0"/>
        <w:sectPr>
          <w:type w:val="continuous"/>
          <w:pgSz w:w="11900" w:h="16840"/>
          <w:pgMar w:top="460" w:bottom="280" w:left="1040" w:right="800"/>
          <w:cols w:num="2" w:equalWidth="0">
            <w:col w:w="2222" w:space="40"/>
            <w:col w:w="7798"/>
          </w:cols>
        </w:sectPr>
      </w:pPr>
    </w:p>
    <w:p>
      <w:pPr>
        <w:pStyle w:val="BodyText"/>
        <w:spacing w:before="10"/>
        <w:rPr>
          <w:sz w:val="10"/>
        </w:rPr>
      </w:pPr>
    </w:p>
    <w:p>
      <w:pPr>
        <w:pStyle w:val="Heading2"/>
        <w:tabs>
          <w:tab w:pos="1299" w:val="left" w:leader="none"/>
        </w:tabs>
        <w:spacing w:line="308" w:lineRule="exact"/>
      </w:pPr>
      <w:r>
        <w:rPr/>
        <w:t>第四部分</w:t>
        <w:tab/>
        <w:t>如何申请领取保险金</w:t>
      </w:r>
    </w:p>
    <w:p>
      <w:pPr>
        <w:pStyle w:val="ListParagraph"/>
        <w:numPr>
          <w:ilvl w:val="1"/>
          <w:numId w:val="8"/>
        </w:numPr>
        <w:tabs>
          <w:tab w:pos="1287" w:val="left" w:leader="none"/>
          <w:tab w:pos="1288" w:val="left" w:leader="none"/>
          <w:tab w:pos="2475" w:val="left" w:leader="none"/>
        </w:tabs>
        <w:spacing w:line="334" w:lineRule="exact" w:before="0" w:after="0"/>
        <w:ind w:left="1288" w:right="0" w:hanging="1069"/>
        <w:jc w:val="left"/>
        <w:rPr>
          <w:sz w:val="20"/>
        </w:rPr>
      </w:pPr>
      <w:r>
        <w:rPr/>
        <w:pict>
          <v:group style="position:absolute;margin-left:57.599998pt;margin-top:1.178165pt;width:487.2pt;height:.5pt;mso-position-horizontal-relative:page;mso-position-vertical-relative:paragraph;z-index:-25600"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z w:val="20"/>
        </w:rPr>
        <w:t>受益人</w:t>
        <w:tab/>
      </w:r>
      <w:r>
        <w:rPr>
          <w:w w:val="95"/>
          <w:sz w:val="20"/>
        </w:rPr>
        <w:t>本附加合同重大疾病保险金和恶性肿瘤保险金的受益人为被保险人本人。</w:t>
      </w:r>
    </w:p>
    <w:p>
      <w:pPr>
        <w:spacing w:after="0" w:line="334" w:lineRule="exact"/>
        <w:jc w:val="left"/>
        <w:rPr>
          <w:sz w:val="20"/>
        </w:rPr>
        <w:sectPr>
          <w:type w:val="continuous"/>
          <w:pgSz w:w="11900" w:h="16840"/>
          <w:pgMar w:top="460" w:bottom="280" w:left="1040" w:right="800"/>
        </w:sectPr>
      </w:pPr>
    </w:p>
    <w:p>
      <w:pPr>
        <w:pStyle w:val="Heading2"/>
        <w:numPr>
          <w:ilvl w:val="1"/>
          <w:numId w:val="8"/>
        </w:numPr>
        <w:tabs>
          <w:tab w:pos="1287" w:val="left" w:leader="none"/>
          <w:tab w:pos="1288" w:val="left" w:leader="none"/>
        </w:tabs>
        <w:spacing w:line="180" w:lineRule="auto" w:before="48" w:after="0"/>
        <w:ind w:left="1288" w:right="0" w:hanging="1069"/>
        <w:jc w:val="left"/>
      </w:pPr>
      <w:r>
        <w:rPr>
          <w:spacing w:val="-4"/>
        </w:rPr>
        <w:t>保 险 事 故的通知</w:t>
      </w:r>
    </w:p>
    <w:p>
      <w:pPr>
        <w:pStyle w:val="BodyText"/>
        <w:rPr>
          <w:rFonts w:ascii="Microsoft JhengHei"/>
          <w:b/>
        </w:rPr>
      </w:pPr>
    </w:p>
    <w:p>
      <w:pPr>
        <w:pStyle w:val="BodyText"/>
        <w:rPr>
          <w:rFonts w:ascii="Microsoft JhengHei"/>
          <w:b/>
        </w:rPr>
      </w:pPr>
    </w:p>
    <w:p>
      <w:pPr>
        <w:pStyle w:val="ListParagraph"/>
        <w:numPr>
          <w:ilvl w:val="1"/>
          <w:numId w:val="8"/>
        </w:numPr>
        <w:tabs>
          <w:tab w:pos="1287" w:val="left" w:leader="none"/>
          <w:tab w:pos="1289" w:val="left" w:leader="none"/>
        </w:tabs>
        <w:spacing w:line="180" w:lineRule="auto" w:before="177" w:after="0"/>
        <w:ind w:left="1288" w:right="26" w:hanging="1068"/>
        <w:jc w:val="left"/>
        <w:rPr>
          <w:rFonts w:ascii="Microsoft JhengHei" w:eastAsia="Microsoft JhengHei" w:hint="eastAsia"/>
          <w:b/>
          <w:sz w:val="20"/>
        </w:rPr>
      </w:pPr>
      <w:r>
        <w:rPr>
          <w:rFonts w:ascii="Microsoft JhengHei" w:eastAsia="Microsoft JhengHei" w:hint="eastAsia"/>
          <w:b/>
          <w:spacing w:val="-9"/>
          <w:sz w:val="20"/>
        </w:rPr>
        <w:t>保 险 金 申请</w:t>
      </w:r>
    </w:p>
    <w:p>
      <w:pPr>
        <w:pStyle w:val="BodyText"/>
        <w:spacing w:before="25"/>
        <w:ind w:left="214"/>
      </w:pPr>
      <w:r>
        <w:rPr/>
        <w:br w:type="column"/>
      </w:r>
      <w:r>
        <w:rPr>
          <w:w w:val="95"/>
        </w:rPr>
        <w:t>您或受益人知道保险事故后应当在十日内通知我们。</w:t>
      </w:r>
    </w:p>
    <w:p>
      <w:pPr>
        <w:pStyle w:val="BodyText"/>
        <w:spacing w:line="237" w:lineRule="auto" w:before="50"/>
        <w:ind w:left="214" w:right="343" w:hanging="1"/>
        <w:jc w:val="both"/>
      </w:pPr>
      <w:r>
        <w:rPr/>
        <w:t>如果您或受益人故意或者因重大过失未及时通知，致使保险事故的性质、原因、损失程度等难以确定的，我们对无法确定的部分，不承担给付保险金的责任，但我们通过其他途径已经及时知道或者应当及时知道保险事故发生或者虽未及时通知但不</w:t>
      </w:r>
      <w:r>
        <w:rPr>
          <w:w w:val="95"/>
        </w:rPr>
        <w:t>影响我们确定保险事故的性质、原因、损失程度的除外。</w:t>
      </w:r>
    </w:p>
    <w:p>
      <w:pPr>
        <w:pStyle w:val="BodyText"/>
        <w:spacing w:before="45"/>
        <w:ind w:left="214" w:right="343"/>
      </w:pPr>
      <w:r>
        <w:rPr/>
        <w:t>在本附加合同有效期间内，申请重大疾病保险金和恶性肿瘤保险金时，受益人或其</w:t>
      </w:r>
      <w:r>
        <w:rPr>
          <w:w w:val="95"/>
        </w:rPr>
        <w:t>代理人需填写申请书，并提供下列证明和材料：</w:t>
      </w:r>
    </w:p>
    <w:p>
      <w:pPr>
        <w:pStyle w:val="ListParagraph"/>
        <w:numPr>
          <w:ilvl w:val="0"/>
          <w:numId w:val="9"/>
        </w:numPr>
        <w:tabs>
          <w:tab w:pos="894" w:val="left" w:leader="none"/>
        </w:tabs>
        <w:spacing w:line="240" w:lineRule="auto" w:before="45" w:after="0"/>
        <w:ind w:left="893" w:right="0" w:hanging="679"/>
        <w:jc w:val="left"/>
        <w:rPr>
          <w:sz w:val="20"/>
        </w:rPr>
      </w:pPr>
      <w:r>
        <w:rPr>
          <w:w w:val="95"/>
          <w:sz w:val="20"/>
        </w:rPr>
        <w:t>相关保险合同；</w:t>
      </w:r>
    </w:p>
    <w:p>
      <w:pPr>
        <w:pStyle w:val="ListParagraph"/>
        <w:numPr>
          <w:ilvl w:val="0"/>
          <w:numId w:val="9"/>
        </w:numPr>
        <w:tabs>
          <w:tab w:pos="894" w:val="left" w:leader="none"/>
        </w:tabs>
        <w:spacing w:line="240" w:lineRule="auto" w:before="47" w:after="0"/>
        <w:ind w:left="893" w:right="0" w:hanging="679"/>
        <w:jc w:val="left"/>
        <w:rPr>
          <w:sz w:val="20"/>
        </w:rPr>
      </w:pPr>
      <w:r>
        <w:rPr>
          <w:w w:val="95"/>
          <w:sz w:val="20"/>
        </w:rPr>
        <w:t>申请人的有效身份证件；</w:t>
      </w:r>
    </w:p>
    <w:p>
      <w:pPr>
        <w:pStyle w:val="ListParagraph"/>
        <w:numPr>
          <w:ilvl w:val="0"/>
          <w:numId w:val="9"/>
        </w:numPr>
        <w:tabs>
          <w:tab w:pos="894" w:val="left" w:leader="none"/>
        </w:tabs>
        <w:spacing w:line="237" w:lineRule="auto" w:before="47" w:after="0"/>
        <w:ind w:left="893" w:right="346" w:hanging="679"/>
        <w:jc w:val="both"/>
        <w:rPr>
          <w:sz w:val="20"/>
        </w:rPr>
      </w:pPr>
      <w:r>
        <w:rPr>
          <w:spacing w:val="-2"/>
          <w:w w:val="95"/>
          <w:sz w:val="20"/>
        </w:rPr>
        <w:t>我们指定或认可的医院的专科医生出具的附有病理显微镜检查、血液检验及  </w:t>
      </w:r>
      <w:r>
        <w:rPr>
          <w:spacing w:val="-5"/>
          <w:w w:val="95"/>
          <w:sz w:val="20"/>
        </w:rPr>
        <w:t>其他科学方法检验报告的疾病诊断证明书</w:t>
      </w:r>
      <w:r>
        <w:rPr>
          <w:w w:val="95"/>
          <w:sz w:val="20"/>
        </w:rPr>
        <w:t>（以上证明皆须原件或加盖医院公</w:t>
      </w:r>
      <w:r>
        <w:rPr>
          <w:w w:val="99"/>
          <w:sz w:val="20"/>
        </w:rPr>
        <w:t>章的复印件</w:t>
      </w:r>
      <w:r>
        <w:rPr>
          <w:spacing w:val="-99"/>
          <w:w w:val="99"/>
          <w:sz w:val="20"/>
        </w:rPr>
        <w:t>）</w:t>
      </w:r>
      <w:r>
        <w:rPr>
          <w:w w:val="99"/>
          <w:sz w:val="20"/>
        </w:rPr>
        <w:t>，我们保留对被保险人的病情作进一步会诊的权利；</w:t>
      </w:r>
    </w:p>
    <w:p>
      <w:pPr>
        <w:pStyle w:val="ListParagraph"/>
        <w:numPr>
          <w:ilvl w:val="0"/>
          <w:numId w:val="9"/>
        </w:numPr>
        <w:tabs>
          <w:tab w:pos="894" w:val="left" w:leader="none"/>
        </w:tabs>
        <w:spacing w:line="237" w:lineRule="auto" w:before="50" w:after="0"/>
        <w:ind w:left="893" w:right="348" w:hanging="679"/>
        <w:jc w:val="left"/>
        <w:rPr>
          <w:sz w:val="20"/>
        </w:rPr>
      </w:pPr>
      <w:r>
        <w:rPr>
          <w:spacing w:val="-4"/>
          <w:w w:val="95"/>
          <w:sz w:val="20"/>
        </w:rPr>
        <w:t>若申请人为代理人，还需提供由主合同投保人出具的授权委托书、代理人本  人身份证明等相关证明文件；</w:t>
      </w:r>
    </w:p>
    <w:p>
      <w:pPr>
        <w:pStyle w:val="ListParagraph"/>
        <w:numPr>
          <w:ilvl w:val="0"/>
          <w:numId w:val="9"/>
        </w:numPr>
        <w:tabs>
          <w:tab w:pos="894" w:val="left" w:leader="none"/>
        </w:tabs>
        <w:spacing w:line="237" w:lineRule="auto" w:before="50" w:after="0"/>
        <w:ind w:left="893" w:right="346" w:hanging="679"/>
        <w:jc w:val="left"/>
        <w:rPr>
          <w:sz w:val="20"/>
        </w:rPr>
      </w:pPr>
      <w:r>
        <w:rPr>
          <w:spacing w:val="-3"/>
          <w:w w:val="95"/>
          <w:sz w:val="20"/>
        </w:rPr>
        <w:t>申请人所能提供的与确认保险事故的性质、原因、损失程度等有关的其他证  明和资料。</w:t>
      </w:r>
    </w:p>
    <w:p>
      <w:pPr>
        <w:pStyle w:val="BodyText"/>
        <w:spacing w:before="47"/>
        <w:ind w:left="214"/>
      </w:pPr>
      <w:r>
        <w:rPr>
          <w:w w:val="95"/>
        </w:rPr>
        <w:t>以上证明和资料不完整的，我们将及时一次性通知申请人补充提供有关证明和资料。</w:t>
      </w:r>
    </w:p>
    <w:p>
      <w:pPr>
        <w:spacing w:after="0"/>
        <w:sectPr>
          <w:type w:val="continuous"/>
          <w:pgSz w:w="11900" w:h="16840"/>
          <w:pgMar w:top="460" w:bottom="280" w:left="1040" w:right="800"/>
          <w:cols w:num="2" w:equalWidth="0">
            <w:col w:w="2222" w:space="40"/>
            <w:col w:w="7798"/>
          </w:cols>
        </w:sectPr>
      </w:pPr>
    </w:p>
    <w:p>
      <w:pPr>
        <w:pStyle w:val="BodyText"/>
        <w:spacing w:before="3"/>
        <w:rPr>
          <w:sz w:val="24"/>
        </w:rPr>
      </w:pPr>
    </w:p>
    <w:p>
      <w:pPr>
        <w:pStyle w:val="ListParagraph"/>
        <w:numPr>
          <w:ilvl w:val="1"/>
          <w:numId w:val="8"/>
        </w:numPr>
        <w:tabs>
          <w:tab w:pos="1287" w:val="left" w:leader="none"/>
          <w:tab w:pos="1289" w:val="left" w:leader="none"/>
          <w:tab w:pos="2475" w:val="left" w:leader="none"/>
        </w:tabs>
        <w:spacing w:line="220" w:lineRule="auto" w:before="2" w:after="0"/>
        <w:ind w:left="2476" w:right="343" w:hanging="2256"/>
        <w:jc w:val="left"/>
        <w:rPr>
          <w:sz w:val="20"/>
        </w:rPr>
      </w:pPr>
      <w:r>
        <w:rPr>
          <w:rFonts w:ascii="Microsoft JhengHei" w:eastAsia="Microsoft JhengHei" w:hint="eastAsia"/>
          <w:b/>
          <w:sz w:val="20"/>
        </w:rPr>
        <w:t>诉讼时效</w:t>
        <w:tab/>
      </w:r>
      <w:r>
        <w:rPr>
          <w:sz w:val="20"/>
        </w:rPr>
        <w:t>重大疾病保险金和恶性肿瘤保险金受益人向我们请求给付保险金的诉讼时效期间为 </w:t>
      </w:r>
      <w:r>
        <w:rPr>
          <w:w w:val="95"/>
          <w:sz w:val="20"/>
        </w:rPr>
        <w:t>二年，自其知道或者应当知道保险事故发生之日起计算。</w:t>
      </w:r>
    </w:p>
    <w:p>
      <w:pPr>
        <w:pStyle w:val="BodyText"/>
        <w:spacing w:before="3"/>
        <w:rPr>
          <w:sz w:val="22"/>
        </w:rPr>
      </w:pPr>
    </w:p>
    <w:p>
      <w:pPr>
        <w:pStyle w:val="Heading2"/>
        <w:tabs>
          <w:tab w:pos="1299" w:val="left" w:leader="none"/>
        </w:tabs>
        <w:spacing w:line="334" w:lineRule="exact"/>
      </w:pPr>
      <w:r>
        <w:rPr/>
        <w:t>第五部分</w:t>
        <w:tab/>
        <w:t>如何解除保险合同</w:t>
      </w:r>
    </w:p>
    <w:p>
      <w:pPr>
        <w:tabs>
          <w:tab w:pos="1287" w:val="left" w:leader="none"/>
          <w:tab w:pos="2475" w:val="left" w:leader="none"/>
        </w:tabs>
        <w:spacing w:line="334" w:lineRule="exact" w:before="0"/>
        <w:ind w:left="220" w:right="0" w:firstLine="0"/>
        <w:jc w:val="left"/>
        <w:rPr>
          <w:sz w:val="20"/>
        </w:rPr>
      </w:pPr>
      <w:r>
        <w:rPr/>
        <w:pict>
          <v:group style="position:absolute;margin-left:57.599998pt;margin-top:1.178518pt;width:487.2pt;height:.5pt;mso-position-horizontal-relative:page;mso-position-vertical-relative:paragraph;z-index:-25576" coordorigin="1152,24" coordsize="9744,10">
            <v:line style="position:absolute" from="1152,28" to="2222,28" stroked="true" strokeweight=".48pt" strokecolor="#000000">
              <v:stroke dashstyle="solid"/>
            </v:line>
            <v:rect style="position:absolute;left:2222;top:23;width:10;height:10" filled="true" fillcolor="#000000" stroked="false">
              <v:fill type="solid"/>
            </v:rect>
            <v:line style="position:absolute" from="2232,28" to="3408,28" stroked="true" strokeweight=".48pt" strokecolor="#000000">
              <v:stroke dashstyle="solid"/>
            </v:line>
            <v:rect style="position:absolute;left:3408;top:23;width:10;height:10" filled="true" fillcolor="#000000" stroked="false">
              <v:fill type="solid"/>
            </v:rect>
            <v:line style="position:absolute" from="3418,28" to="10896,28" stroked="true" strokeweight=".48pt" strokecolor="#000000">
              <v:stroke dashstyle="solid"/>
            </v:line>
            <w10:wrap type="none"/>
          </v:group>
        </w:pict>
      </w:r>
      <w:r>
        <w:rPr>
          <w:rFonts w:ascii="Microsoft JhengHei" w:eastAsia="Microsoft JhengHei" w:hint="eastAsia"/>
          <w:b/>
          <w:spacing w:val="0"/>
          <w:w w:val="83"/>
          <w:sz w:val="20"/>
        </w:rPr>
        <w:t>5</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合</w:t>
      </w:r>
      <w:r>
        <w:rPr>
          <w:rFonts w:ascii="Microsoft JhengHei" w:eastAsia="Microsoft JhengHei" w:hint="eastAsia"/>
          <w:b/>
          <w:spacing w:val="-5"/>
          <w:sz w:val="20"/>
        </w:rPr>
        <w:t> </w:t>
      </w:r>
      <w:r>
        <w:rPr>
          <w:rFonts w:ascii="Microsoft JhengHei" w:eastAsia="Microsoft JhengHei" w:hint="eastAsia"/>
          <w:b/>
          <w:w w:val="99"/>
          <w:sz w:val="20"/>
        </w:rPr>
        <w:t>同</w:t>
      </w:r>
      <w:r>
        <w:rPr>
          <w:rFonts w:ascii="Microsoft JhengHei" w:eastAsia="Microsoft JhengHei" w:hint="eastAsia"/>
          <w:b/>
          <w:spacing w:val="-5"/>
          <w:sz w:val="20"/>
        </w:rPr>
        <w:t> </w:t>
      </w:r>
      <w:r>
        <w:rPr>
          <w:rFonts w:ascii="Microsoft JhengHei" w:eastAsia="Microsoft JhengHei" w:hint="eastAsia"/>
          <w:b/>
          <w:w w:val="99"/>
          <w:sz w:val="20"/>
        </w:rPr>
        <w:t>的</w:t>
      </w:r>
      <w:r>
        <w:rPr>
          <w:rFonts w:ascii="Microsoft JhengHei" w:eastAsia="Microsoft JhengHei" w:hint="eastAsia"/>
          <w:b/>
          <w:spacing w:val="-5"/>
          <w:sz w:val="20"/>
        </w:rPr>
        <w:t> </w:t>
      </w:r>
      <w:r>
        <w:rPr>
          <w:rFonts w:ascii="Microsoft JhengHei" w:eastAsia="Microsoft JhengHei" w:hint="eastAsia"/>
          <w:b/>
          <w:w w:val="99"/>
          <w:sz w:val="20"/>
        </w:rPr>
        <w:t>解</w:t>
      </w:r>
      <w:r>
        <w:rPr>
          <w:rFonts w:ascii="Microsoft JhengHei" w:eastAsia="Microsoft JhengHei" w:hint="eastAsia"/>
          <w:b/>
          <w:sz w:val="20"/>
        </w:rPr>
        <w:tab/>
      </w:r>
      <w:r>
        <w:rPr>
          <w:w w:val="99"/>
          <w:sz w:val="20"/>
        </w:rPr>
        <w:t>如您申</w:t>
      </w:r>
      <w:r>
        <w:rPr>
          <w:spacing w:val="1"/>
          <w:w w:val="99"/>
          <w:sz w:val="20"/>
        </w:rPr>
        <w:t>请</w:t>
      </w:r>
      <w:r>
        <w:rPr>
          <w:w w:val="99"/>
          <w:sz w:val="20"/>
        </w:rPr>
        <w:t>解除</w:t>
      </w:r>
      <w:r>
        <w:rPr>
          <w:spacing w:val="1"/>
          <w:w w:val="99"/>
          <w:sz w:val="20"/>
        </w:rPr>
        <w:t>本</w:t>
      </w:r>
      <w:r>
        <w:rPr>
          <w:w w:val="99"/>
          <w:sz w:val="20"/>
        </w:rPr>
        <w:t>附加</w:t>
      </w:r>
      <w:r>
        <w:rPr>
          <w:spacing w:val="1"/>
          <w:w w:val="99"/>
          <w:sz w:val="20"/>
        </w:rPr>
        <w:t>合</w:t>
      </w:r>
      <w:r>
        <w:rPr>
          <w:w w:val="99"/>
          <w:sz w:val="20"/>
        </w:rPr>
        <w:t>同</w:t>
      </w:r>
      <w:r>
        <w:rPr>
          <w:spacing w:val="1"/>
          <w:w w:val="99"/>
          <w:sz w:val="20"/>
        </w:rPr>
        <w:t>，</w:t>
      </w:r>
      <w:r>
        <w:rPr>
          <w:w w:val="99"/>
          <w:sz w:val="20"/>
        </w:rPr>
        <w:t>请填写</w:t>
      </w:r>
      <w:r>
        <w:rPr>
          <w:spacing w:val="1"/>
          <w:w w:val="99"/>
          <w:sz w:val="20"/>
        </w:rPr>
        <w:t>合</w:t>
      </w:r>
      <w:r>
        <w:rPr>
          <w:w w:val="99"/>
          <w:sz w:val="20"/>
        </w:rPr>
        <w:t>同终</w:t>
      </w:r>
      <w:r>
        <w:rPr>
          <w:spacing w:val="1"/>
          <w:w w:val="99"/>
          <w:sz w:val="20"/>
        </w:rPr>
        <w:t>止</w:t>
      </w:r>
      <w:r>
        <w:rPr>
          <w:w w:val="99"/>
          <w:sz w:val="20"/>
        </w:rPr>
        <w:t>申请</w:t>
      </w:r>
      <w:r>
        <w:rPr>
          <w:spacing w:val="1"/>
          <w:w w:val="99"/>
          <w:sz w:val="20"/>
        </w:rPr>
        <w:t>书</w:t>
      </w:r>
      <w:r>
        <w:rPr>
          <w:w w:val="99"/>
          <w:sz w:val="20"/>
        </w:rPr>
        <w:t>并</w:t>
      </w:r>
      <w:r>
        <w:rPr>
          <w:spacing w:val="1"/>
          <w:w w:val="99"/>
          <w:sz w:val="20"/>
        </w:rPr>
        <w:t>向</w:t>
      </w:r>
      <w:r>
        <w:rPr>
          <w:w w:val="99"/>
          <w:sz w:val="20"/>
        </w:rPr>
        <w:t>我们提</w:t>
      </w:r>
      <w:r>
        <w:rPr>
          <w:spacing w:val="1"/>
          <w:w w:val="99"/>
          <w:sz w:val="20"/>
        </w:rPr>
        <w:t>供</w:t>
      </w:r>
      <w:r>
        <w:rPr>
          <w:w w:val="99"/>
          <w:sz w:val="20"/>
        </w:rPr>
        <w:t>下列</w:t>
      </w:r>
      <w:r>
        <w:rPr>
          <w:spacing w:val="1"/>
          <w:w w:val="99"/>
          <w:sz w:val="20"/>
        </w:rPr>
        <w:t>资</w:t>
      </w:r>
      <w:r>
        <w:rPr>
          <w:w w:val="99"/>
          <w:sz w:val="20"/>
        </w:rPr>
        <w:t>料：</w:t>
      </w:r>
    </w:p>
    <w:p>
      <w:pPr>
        <w:spacing w:after="0" w:line="334" w:lineRule="exact"/>
        <w:jc w:val="left"/>
        <w:rPr>
          <w:sz w:val="20"/>
        </w:rPr>
        <w:sectPr>
          <w:type w:val="continuous"/>
          <w:pgSz w:w="11900" w:h="16840"/>
          <w:pgMar w:top="460" w:bottom="280" w:left="1040" w:right="800"/>
        </w:sectPr>
      </w:pPr>
    </w:p>
    <w:p>
      <w:pPr>
        <w:tabs>
          <w:tab w:pos="2475" w:val="left" w:leader="none"/>
        </w:tabs>
        <w:spacing w:line="326" w:lineRule="exact" w:before="0"/>
        <w:ind w:left="1287" w:right="0" w:firstLine="0"/>
        <w:jc w:val="left"/>
        <w:rPr>
          <w:sz w:val="20"/>
        </w:rPr>
      </w:pPr>
      <w:r>
        <w:rPr>
          <w:rFonts w:ascii="Microsoft JhengHei" w:eastAsia="Microsoft JhengHei" w:hint="eastAsia"/>
          <w:b/>
          <w:position w:val="5"/>
          <w:sz w:val="20"/>
        </w:rPr>
        <w:t>除及风险</w:t>
        <w:tab/>
      </w:r>
      <w:r>
        <w:rPr>
          <w:sz w:val="20"/>
        </w:rPr>
        <w:t>（1）</w:t>
      </w:r>
      <w:r>
        <w:rPr>
          <w:spacing w:val="75"/>
          <w:sz w:val="20"/>
        </w:rPr>
        <w:t> </w:t>
      </w:r>
      <w:r>
        <w:rPr>
          <w:sz w:val="20"/>
        </w:rPr>
        <w:t>本附加合同；</w:t>
      </w:r>
    </w:p>
    <w:p>
      <w:pPr>
        <w:pStyle w:val="BodyText"/>
        <w:spacing w:line="254" w:lineRule="exact" w:before="45"/>
        <w:ind w:left="2475"/>
      </w:pPr>
      <w:r>
        <w:rPr/>
        <w:t>（2） 您的有效身份证件。</w:t>
      </w:r>
    </w:p>
    <w:p>
      <w:pPr>
        <w:spacing w:line="180" w:lineRule="auto" w:before="78"/>
        <w:ind w:left="2475" w:right="443" w:firstLine="0"/>
        <w:jc w:val="both"/>
        <w:rPr>
          <w:rFonts w:ascii="Microsoft JhengHei" w:eastAsia="Microsoft JhengHei" w:hint="eastAsia"/>
          <w:b/>
          <w:sz w:val="20"/>
        </w:rPr>
      </w:pPr>
      <w:r>
        <w:rPr>
          <w:sz w:val="20"/>
        </w:rPr>
        <w:t>自我们收到合同终止申请书时起，本附加合同终止。</w:t>
      </w:r>
      <w:r>
        <w:rPr>
          <w:rFonts w:ascii="Microsoft JhengHei" w:eastAsia="Microsoft JhengHei" w:hint="eastAsia"/>
          <w:b/>
          <w:sz w:val="20"/>
        </w:rPr>
        <w:t>若合同终止日至满期日的天数</w:t>
      </w:r>
      <w:r>
        <w:rPr>
          <w:rFonts w:ascii="Microsoft JhengHei" w:eastAsia="Microsoft JhengHei" w:hint="eastAsia"/>
          <w:b/>
          <w:spacing w:val="-2"/>
          <w:sz w:val="20"/>
        </w:rPr>
        <w:t>大于或者等于 </w:t>
      </w:r>
      <w:r>
        <w:rPr>
          <w:rFonts w:ascii="Microsoft JhengHei" w:eastAsia="Microsoft JhengHei" w:hint="eastAsia"/>
          <w:b/>
          <w:sz w:val="20"/>
        </w:rPr>
        <w:t>180</w:t>
      </w:r>
      <w:r>
        <w:rPr>
          <w:rFonts w:ascii="Microsoft JhengHei" w:eastAsia="Microsoft JhengHei" w:hint="eastAsia"/>
          <w:b/>
          <w:spacing w:val="-4"/>
          <w:sz w:val="20"/>
        </w:rPr>
        <w:t> 天，我们自收到合同终止申请书之日起三十日内向您退还本附加合同的未经过净保险费。</w:t>
      </w:r>
    </w:p>
    <w:p>
      <w:pPr>
        <w:pStyle w:val="Heading2"/>
        <w:spacing w:line="307" w:lineRule="exact"/>
        <w:ind w:left="2475"/>
        <w:jc w:val="both"/>
      </w:pPr>
      <w:r>
        <w:rPr/>
        <w:t>如您解除合同，会遭受一定的损失，故请您慎重考虑和决定。</w:t>
      </w:r>
    </w:p>
    <w:p>
      <w:pPr>
        <w:pStyle w:val="BodyText"/>
        <w:spacing w:before="10"/>
        <w:rPr>
          <w:rFonts w:ascii="Microsoft JhengHei"/>
          <w:b/>
          <w:sz w:val="15"/>
        </w:rPr>
      </w:pPr>
    </w:p>
    <w:p>
      <w:pPr>
        <w:tabs>
          <w:tab w:pos="1299" w:val="left" w:leader="none"/>
        </w:tabs>
        <w:spacing w:before="0" w:after="8"/>
        <w:ind w:left="219" w:right="0" w:firstLine="0"/>
        <w:jc w:val="left"/>
        <w:rPr>
          <w:rFonts w:ascii="Microsoft JhengHei" w:eastAsia="Microsoft JhengHei" w:hint="eastAsia"/>
          <w:b/>
          <w:sz w:val="20"/>
        </w:rPr>
      </w:pPr>
      <w:r>
        <w:rPr>
          <w:rFonts w:ascii="Microsoft JhengHei" w:eastAsia="Microsoft JhengHei" w:hint="eastAsia"/>
          <w:b/>
          <w:sz w:val="20"/>
        </w:rPr>
        <w:t>第六部分</w:t>
        <w:tab/>
        <w:t>其他重要事项</w:t>
      </w:r>
    </w:p>
    <w:p>
      <w:pPr>
        <w:pStyle w:val="BodyText"/>
        <w:spacing w:line="20" w:lineRule="exact"/>
        <w:ind w:left="107"/>
        <w:rPr>
          <w:rFonts w:ascii="Microsoft JhengHei"/>
          <w:sz w:val="2"/>
        </w:rPr>
      </w:pPr>
      <w:r>
        <w:rPr>
          <w:rFonts w:ascii="Times New Roman"/>
          <w:spacing w:val="5"/>
          <w:sz w:val="2"/>
        </w:rPr>
        <w:t> </w:t>
      </w:r>
      <w:r>
        <w:rPr>
          <w:rFonts w:ascii="Microsoft JhengHei"/>
          <w:spacing w:val="5"/>
          <w:sz w:val="2"/>
        </w:rPr>
        <w:pict>
          <v:group style="width:487.2pt;height:.5pt;mso-position-horizontal-relative:char;mso-position-vertical-relative:line" coordorigin="0,0" coordsize="9744,10">
            <v:line style="position:absolute" from="0,5" to="1070,5" stroked="true" strokeweight=".48pt" strokecolor="#000000">
              <v:stroke dashstyle="solid"/>
            </v:line>
            <v:rect style="position:absolute;left:1070;top:0;width:10;height:10" filled="true" fillcolor="#000000" stroked="false">
              <v:fill type="solid"/>
            </v:rect>
            <v:line style="position:absolute" from="1080,5" to="2256,5" stroked="true" strokeweight=".48pt" strokecolor="#000000">
              <v:stroke dashstyle="solid"/>
            </v:line>
            <v:rect style="position:absolute;left:2256;top:0;width:10;height:10" filled="true" fillcolor="#000000" stroked="false">
              <v:fill type="solid"/>
            </v:rect>
            <v:line style="position:absolute" from="2266,5" to="9744,5" stroked="true" strokeweight=".48pt" strokecolor="#000000">
              <v:stroke dashstyle="solid"/>
            </v:line>
          </v:group>
        </w:pict>
      </w:r>
      <w:r>
        <w:rPr>
          <w:rFonts w:ascii="Microsoft JhengHei"/>
          <w:spacing w:val="5"/>
          <w:sz w:val="2"/>
        </w:rPr>
      </w:r>
    </w:p>
    <w:p>
      <w:pPr>
        <w:spacing w:after="0" w:line="20" w:lineRule="exact"/>
        <w:rPr>
          <w:rFonts w:ascii="Microsoft JhengHei"/>
          <w:sz w:val="2"/>
        </w:rPr>
        <w:sectPr>
          <w:pgSz w:w="11900" w:h="16840"/>
          <w:pgMar w:header="0" w:footer="676" w:top="1200" w:bottom="940" w:left="1040" w:right="700"/>
        </w:sectPr>
      </w:pPr>
    </w:p>
    <w:p>
      <w:pPr>
        <w:tabs>
          <w:tab w:pos="1287" w:val="left" w:leader="none"/>
        </w:tabs>
        <w:spacing w:line="180" w:lineRule="auto" w:before="57"/>
        <w:ind w:left="1287" w:right="0" w:hanging="1068"/>
        <w:jc w:val="left"/>
        <w:rPr>
          <w:rFonts w:ascii="Microsoft JhengHei" w:eastAsia="Microsoft JhengHei" w:hint="eastAsia"/>
          <w:b/>
          <w:sz w:val="20"/>
        </w:rPr>
      </w:pPr>
      <w:r>
        <w:rPr>
          <w:rFonts w:ascii="Microsoft JhengHei" w:eastAsia="Microsoft JhengHei" w:hint="eastAsia"/>
          <w:b/>
          <w:spacing w:val="0"/>
          <w:w w:val="83"/>
          <w:sz w:val="20"/>
        </w:rPr>
        <w:t>6</w:t>
      </w:r>
      <w:r>
        <w:rPr>
          <w:rFonts w:ascii="Microsoft JhengHei" w:eastAsia="Microsoft JhengHei" w:hint="eastAsia"/>
          <w:b/>
          <w:spacing w:val="0"/>
          <w:w w:val="195"/>
          <w:sz w:val="20"/>
        </w:rPr>
        <w:t>.</w:t>
      </w:r>
      <w:r>
        <w:rPr>
          <w:rFonts w:ascii="Microsoft JhengHei" w:eastAsia="Microsoft JhengHei" w:hint="eastAsia"/>
          <w:b/>
          <w:w w:val="83"/>
          <w:sz w:val="20"/>
        </w:rPr>
        <w:t>1</w:t>
      </w:r>
      <w:r>
        <w:rPr>
          <w:rFonts w:ascii="Microsoft JhengHei" w:eastAsia="Microsoft JhengHei" w:hint="eastAsia"/>
          <w:b/>
          <w:sz w:val="20"/>
        </w:rPr>
        <w:tab/>
      </w:r>
      <w:r>
        <w:rPr>
          <w:rFonts w:ascii="Microsoft JhengHei" w:eastAsia="Microsoft JhengHei" w:hint="eastAsia"/>
          <w:b/>
          <w:w w:val="99"/>
          <w:sz w:val="20"/>
        </w:rPr>
        <w:t>年</w:t>
      </w:r>
      <w:r>
        <w:rPr>
          <w:rFonts w:ascii="Microsoft JhengHei" w:eastAsia="Microsoft JhengHei" w:hint="eastAsia"/>
          <w:b/>
          <w:spacing w:val="-5"/>
          <w:sz w:val="20"/>
        </w:rPr>
        <w:t> </w:t>
      </w:r>
      <w:r>
        <w:rPr>
          <w:rFonts w:ascii="Microsoft JhengHei" w:eastAsia="Microsoft JhengHei" w:hint="eastAsia"/>
          <w:b/>
          <w:w w:val="99"/>
          <w:sz w:val="20"/>
        </w:rPr>
        <w:t>龄</w:t>
      </w:r>
      <w:r>
        <w:rPr>
          <w:rFonts w:ascii="Microsoft JhengHei" w:eastAsia="Microsoft JhengHei" w:hint="eastAsia"/>
          <w:b/>
          <w:spacing w:val="-5"/>
          <w:sz w:val="20"/>
        </w:rPr>
        <w:t> </w:t>
      </w:r>
      <w:r>
        <w:rPr>
          <w:rFonts w:ascii="Microsoft JhengHei" w:eastAsia="Microsoft JhengHei" w:hint="eastAsia"/>
          <w:b/>
          <w:w w:val="99"/>
          <w:sz w:val="20"/>
        </w:rPr>
        <w:t>或</w:t>
      </w:r>
      <w:r>
        <w:rPr>
          <w:rFonts w:ascii="Microsoft JhengHei" w:eastAsia="Microsoft JhengHei" w:hint="eastAsia"/>
          <w:b/>
          <w:spacing w:val="-5"/>
          <w:sz w:val="20"/>
        </w:rPr>
        <w:t> </w:t>
      </w:r>
      <w:r>
        <w:rPr>
          <w:rFonts w:ascii="Microsoft JhengHei" w:eastAsia="Microsoft JhengHei" w:hint="eastAsia"/>
          <w:b/>
          <w:w w:val="99"/>
          <w:sz w:val="20"/>
        </w:rPr>
        <w:t>性</w:t>
      </w:r>
      <w:r>
        <w:rPr>
          <w:rFonts w:ascii="Microsoft JhengHei" w:eastAsia="Microsoft JhengHei" w:hint="eastAsia"/>
          <w:b/>
          <w:sz w:val="20"/>
        </w:rPr>
        <w:t>别错误</w:t>
      </w:r>
    </w:p>
    <w:p>
      <w:pPr>
        <w:pStyle w:val="BodyText"/>
        <w:spacing w:before="34"/>
        <w:ind w:left="214" w:right="443"/>
      </w:pPr>
      <w:r>
        <w:rPr/>
        <w:br w:type="column"/>
      </w:r>
      <w:r>
        <w:rPr/>
        <w:t>您在申请投保时，应将与有效身份证件相符的被保险人的出生日期及其真实性别在</w:t>
      </w:r>
      <w:r>
        <w:rPr>
          <w:w w:val="95"/>
        </w:rPr>
        <w:t>投保单上填明，如果发生错误按照下列方式办理：</w:t>
      </w:r>
    </w:p>
    <w:p>
      <w:pPr>
        <w:pStyle w:val="Heading2"/>
        <w:numPr>
          <w:ilvl w:val="0"/>
          <w:numId w:val="10"/>
        </w:numPr>
        <w:tabs>
          <w:tab w:pos="894" w:val="left" w:leader="none"/>
        </w:tabs>
        <w:spacing w:line="180" w:lineRule="auto" w:before="69" w:after="0"/>
        <w:ind w:left="893" w:right="376" w:hanging="679"/>
        <w:jc w:val="both"/>
      </w:pPr>
      <w:r>
        <w:rPr>
          <w:spacing w:val="-5"/>
        </w:rPr>
        <w:t>您申报的被保险人年龄不真实，并且其真实年龄不符合本附加合同约定投保年龄限制的，我们有权解除合同，并将退还本附加合同的未经过净保险费。</w:t>
      </w:r>
      <w:r>
        <w:rPr>
          <w:spacing w:val="-8"/>
        </w:rPr>
        <w:t>对于本附加合同解除前发生的保险事故，我们不承担保险责任。我们行使合同解除权适用主合同“我们合同解除权的限制”的规定；</w:t>
      </w:r>
    </w:p>
    <w:p>
      <w:pPr>
        <w:pStyle w:val="ListParagraph"/>
        <w:numPr>
          <w:ilvl w:val="0"/>
          <w:numId w:val="10"/>
        </w:numPr>
        <w:tabs>
          <w:tab w:pos="894" w:val="left" w:leader="none"/>
        </w:tabs>
        <w:spacing w:line="237" w:lineRule="auto" w:before="25" w:after="0"/>
        <w:ind w:left="893" w:right="402" w:hanging="679"/>
        <w:jc w:val="both"/>
        <w:rPr>
          <w:sz w:val="20"/>
        </w:rPr>
      </w:pPr>
      <w:r>
        <w:rPr>
          <w:spacing w:val="1"/>
          <w:sz w:val="20"/>
        </w:rPr>
        <w:t>您申报的被保险人年龄或性别不真实，致使您实付保险费少于应付保险费</w:t>
      </w:r>
      <w:r>
        <w:rPr>
          <w:spacing w:val="1"/>
          <w:w w:val="95"/>
          <w:sz w:val="20"/>
        </w:rPr>
        <w:t>的，我们有权更正并要求您补交本保单年度的保险费；若已发生保险事故，  </w:t>
      </w:r>
      <w:r>
        <w:rPr>
          <w:spacing w:val="-1"/>
          <w:sz w:val="20"/>
        </w:rPr>
        <w:t>我们将根据被保险人真实年龄与性别，按实付保险费和应付保险费的比例给</w:t>
      </w:r>
      <w:r>
        <w:rPr>
          <w:spacing w:val="-1"/>
          <w:w w:val="95"/>
          <w:sz w:val="20"/>
        </w:rPr>
        <w:t>付；</w:t>
      </w:r>
    </w:p>
    <w:p>
      <w:pPr>
        <w:pStyle w:val="ListParagraph"/>
        <w:numPr>
          <w:ilvl w:val="0"/>
          <w:numId w:val="10"/>
        </w:numPr>
        <w:tabs>
          <w:tab w:pos="894" w:val="left" w:leader="none"/>
        </w:tabs>
        <w:spacing w:line="237" w:lineRule="auto" w:before="50" w:after="0"/>
        <w:ind w:left="893" w:right="446" w:hanging="679"/>
        <w:jc w:val="both"/>
        <w:rPr>
          <w:sz w:val="20"/>
        </w:rPr>
      </w:pPr>
      <w:r>
        <w:rPr>
          <w:spacing w:val="1"/>
          <w:sz w:val="20"/>
        </w:rPr>
        <w:t>您申报的被保险人年龄或性别不真实，致使您实付保险费多于应付保险费</w:t>
      </w:r>
      <w:r>
        <w:rPr>
          <w:spacing w:val="1"/>
          <w:w w:val="95"/>
          <w:sz w:val="20"/>
        </w:rPr>
        <w:t>的，我们将无息退还您在本保单年度多交的保险费。</w:t>
      </w:r>
    </w:p>
    <w:p>
      <w:pPr>
        <w:spacing w:after="0" w:line="237" w:lineRule="auto"/>
        <w:jc w:val="both"/>
        <w:rPr>
          <w:sz w:val="20"/>
        </w:rPr>
        <w:sectPr>
          <w:type w:val="continuous"/>
          <w:pgSz w:w="11900" w:h="16840"/>
          <w:pgMar w:top="460" w:bottom="280" w:left="1040" w:right="700"/>
          <w:cols w:num="2" w:equalWidth="0">
            <w:col w:w="2222" w:space="40"/>
            <w:col w:w="7898"/>
          </w:cols>
        </w:sectPr>
      </w:pPr>
    </w:p>
    <w:p>
      <w:pPr>
        <w:pStyle w:val="BodyText"/>
      </w:pPr>
    </w:p>
    <w:p>
      <w:pPr>
        <w:pStyle w:val="BodyText"/>
      </w:pPr>
    </w:p>
    <w:p>
      <w:pPr>
        <w:pStyle w:val="BodyText"/>
      </w:pPr>
    </w:p>
    <w:p>
      <w:pPr>
        <w:pStyle w:val="BodyText"/>
        <w:spacing w:before="9"/>
        <w:rPr>
          <w:sz w:val="21"/>
        </w:rPr>
      </w:pPr>
    </w:p>
    <w:p>
      <w:pPr>
        <w:spacing w:line="368" w:lineRule="exact" w:before="0"/>
        <w:ind w:left="219" w:right="0" w:firstLine="0"/>
        <w:jc w:val="left"/>
        <w:rPr>
          <w:rFonts w:ascii="Microsoft JhengHei" w:eastAsia="Microsoft JhengHei" w:hint="eastAsia"/>
          <w:b/>
          <w:sz w:val="24"/>
        </w:rPr>
      </w:pPr>
      <w:r>
        <w:rPr>
          <w:rFonts w:ascii="Microsoft JhengHei" w:eastAsia="Microsoft JhengHei" w:hint="eastAsia"/>
          <w:b/>
          <w:sz w:val="24"/>
        </w:rPr>
        <w:t>附录  本附加合同承保的重大疾病列表</w:t>
      </w:r>
    </w:p>
    <w:p>
      <w:pPr>
        <w:pStyle w:val="BodyText"/>
        <w:spacing w:line="260" w:lineRule="exact" w:before="96"/>
        <w:ind w:left="219"/>
      </w:pPr>
      <w:r>
        <w:rPr>
          <w:spacing w:val="-14"/>
        </w:rPr>
        <w:t>以下第 </w:t>
      </w:r>
      <w:r>
        <w:rPr/>
        <w:t>1</w:t>
      </w:r>
      <w:r>
        <w:rPr>
          <w:spacing w:val="-37"/>
        </w:rPr>
        <w:t> 至 </w:t>
      </w:r>
      <w:r>
        <w:rPr/>
        <w:t>24</w:t>
      </w:r>
      <w:r>
        <w:rPr>
          <w:spacing w:val="-12"/>
        </w:rPr>
        <w:t> 种重大疾病的名称及定义均出自中国保险行业协会颁布的《重大疾病保险的疾病定义使用规范》；</w:t>
      </w:r>
    </w:p>
    <w:p>
      <w:pPr>
        <w:pStyle w:val="BodyText"/>
        <w:spacing w:line="260" w:lineRule="exact" w:after="30"/>
        <w:ind w:left="219"/>
      </w:pPr>
      <w:r>
        <w:rPr/>
        <w:t>第 25 至 60 种重大疾病由于没有行业统一的名称和定义，为自行定义的重大疾病。</w:t>
      </w:r>
    </w:p>
    <w:tbl>
      <w:tblPr>
        <w:tblW w:w="0" w:type="auto"/>
        <w:jc w:val="left"/>
        <w:tblInd w:w="2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6" w:hRule="atLeast"/>
        </w:trPr>
        <w:tc>
          <w:tcPr>
            <w:tcW w:w="1637" w:type="dxa"/>
            <w:shd w:val="clear" w:color="auto" w:fill="D8D8D8"/>
          </w:tcPr>
          <w:p>
            <w:pPr>
              <w:pStyle w:val="TableParagraph"/>
              <w:spacing w:line="281" w:lineRule="exact"/>
              <w:ind w:left="213"/>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81"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2639" w:hRule="atLeast"/>
        </w:trPr>
        <w:tc>
          <w:tcPr>
            <w:tcW w:w="1637" w:type="dxa"/>
          </w:tcPr>
          <w:p>
            <w:pPr>
              <w:pStyle w:val="TableParagraph"/>
              <w:spacing w:line="264" w:lineRule="exact"/>
              <w:rPr>
                <w:sz w:val="20"/>
              </w:rPr>
            </w:pPr>
            <w:r>
              <w:rPr>
                <w:rFonts w:ascii="Times New Roman" w:eastAsia="Times New Roman"/>
                <w:w w:val="95"/>
                <w:sz w:val="20"/>
              </w:rPr>
              <w:t>1</w:t>
            </w:r>
            <w:r>
              <w:rPr>
                <w:w w:val="95"/>
                <w:sz w:val="20"/>
              </w:rPr>
              <w:t>．恶性肿瘤</w:t>
            </w:r>
          </w:p>
        </w:tc>
        <w:tc>
          <w:tcPr>
            <w:tcW w:w="8211" w:type="dxa"/>
          </w:tcPr>
          <w:p>
            <w:pPr>
              <w:pStyle w:val="TableParagraph"/>
              <w:spacing w:line="237" w:lineRule="auto"/>
              <w:ind w:right="97" w:hanging="1"/>
              <w:jc w:val="both"/>
              <w:rPr>
                <w:sz w:val="20"/>
              </w:rPr>
            </w:pPr>
            <w:r>
              <w:rPr>
                <w:spacing w:val="-3"/>
                <w:sz w:val="20"/>
              </w:rPr>
              <w:t>指恶性细胞不受控制的进行性增长和扩散，浸润和破坏周围正常组织，可以经血管、淋巴管</w:t>
            </w:r>
            <w:r>
              <w:rPr>
                <w:spacing w:val="-3"/>
                <w:w w:val="95"/>
                <w:sz w:val="20"/>
              </w:rPr>
              <w:t>和体腔扩散转移到身体其它部位的疾病。经病理学检查结果明确诊断，临床诊断属于世界卫   生组织《疾病和有关健康问题的国际统计分类》（</w:t>
            </w:r>
            <w:r>
              <w:rPr>
                <w:rFonts w:ascii="Times New Roman" w:eastAsia="Times New Roman"/>
                <w:spacing w:val="-3"/>
                <w:w w:val="95"/>
                <w:sz w:val="20"/>
              </w:rPr>
              <w:t>ICD-10</w:t>
            </w:r>
            <w:r>
              <w:rPr>
                <w:spacing w:val="-3"/>
                <w:w w:val="95"/>
                <w:sz w:val="20"/>
              </w:rPr>
              <w:t>）的恶性肿瘤范畴。</w:t>
            </w:r>
          </w:p>
          <w:p>
            <w:pPr>
              <w:pStyle w:val="TableParagraph"/>
              <w:spacing w:line="222" w:lineRule="exact" w:before="10"/>
              <w:jc w:val="both"/>
              <w:rPr>
                <w:rFonts w:ascii="Microsoft JhengHei" w:eastAsia="Microsoft JhengHei" w:hint="eastAsia"/>
                <w:b/>
                <w:sz w:val="20"/>
              </w:rPr>
            </w:pPr>
            <w:r>
              <w:rPr>
                <w:rFonts w:ascii="Microsoft JhengHei" w:eastAsia="Microsoft JhengHei" w:hint="eastAsia"/>
                <w:b/>
                <w:sz w:val="20"/>
              </w:rPr>
              <w:t>下列疾病不在保障范围内：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1</w:t>
            </w:r>
            <w:r>
              <w:rPr>
                <w:rFonts w:ascii="Microsoft JhengHei" w:eastAsia="Microsoft JhengHei" w:hint="eastAsia"/>
                <w:b/>
                <w:sz w:val="20"/>
              </w:rPr>
              <w:t>）原位癌；</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2</w:t>
            </w:r>
            <w:r>
              <w:rPr>
                <w:rFonts w:ascii="Microsoft JhengHei" w:eastAsia="Microsoft JhengHei" w:hint="eastAsia"/>
                <w:b/>
                <w:sz w:val="20"/>
              </w:rPr>
              <w:t>）相当于 </w:t>
            </w:r>
            <w:r>
              <w:rPr>
                <w:rFonts w:ascii="Times New Roman" w:eastAsia="Times New Roman"/>
                <w:b/>
                <w:sz w:val="20"/>
              </w:rPr>
              <w:t>Binet </w:t>
            </w:r>
            <w:r>
              <w:rPr>
                <w:rFonts w:ascii="Microsoft JhengHei" w:eastAsia="Microsoft JhengHei" w:hint="eastAsia"/>
                <w:b/>
                <w:sz w:val="20"/>
              </w:rPr>
              <w:t>分期方案 </w:t>
            </w:r>
            <w:r>
              <w:rPr>
                <w:rFonts w:ascii="Times New Roman" w:eastAsia="Times New Roman"/>
                <w:b/>
                <w:sz w:val="20"/>
              </w:rPr>
              <w:t>A </w:t>
            </w:r>
            <w:r>
              <w:rPr>
                <w:rFonts w:ascii="Microsoft JhengHei" w:eastAsia="Microsoft JhengHei" w:hint="eastAsia"/>
                <w:b/>
                <w:sz w:val="20"/>
              </w:rPr>
              <w:t>期程度的慢性淋巴细胞白血病；</w:t>
            </w:r>
          </w:p>
          <w:p>
            <w:pPr>
              <w:pStyle w:val="TableParagraph"/>
              <w:spacing w:line="259" w:lineRule="exact"/>
              <w:jc w:val="both"/>
              <w:rPr>
                <w:rFonts w:ascii="Microsoft JhengHei" w:hAnsi="Microsoft JhengHei" w:eastAsia="Microsoft JhengHei" w:hint="eastAsia"/>
                <w:b/>
                <w:sz w:val="20"/>
              </w:rPr>
            </w:pPr>
            <w:r>
              <w:rPr>
                <w:rFonts w:ascii="Microsoft JhengHei" w:hAnsi="Microsoft JhengHei" w:eastAsia="Microsoft JhengHei" w:hint="eastAsia"/>
                <w:b/>
                <w:sz w:val="20"/>
              </w:rPr>
              <w:t>（</w:t>
            </w:r>
            <w:r>
              <w:rPr>
                <w:rFonts w:ascii="Times New Roman" w:hAnsi="Times New Roman" w:eastAsia="Times New Roman"/>
                <w:b/>
                <w:sz w:val="20"/>
              </w:rPr>
              <w:t>3</w:t>
            </w:r>
            <w:r>
              <w:rPr>
                <w:rFonts w:ascii="Microsoft JhengHei" w:hAnsi="Microsoft JhengHei" w:eastAsia="Microsoft JhengHei" w:hint="eastAsia"/>
                <w:b/>
                <w:sz w:val="20"/>
              </w:rPr>
              <w:t>）相当于 </w:t>
            </w:r>
            <w:r>
              <w:rPr>
                <w:rFonts w:ascii="Times New Roman" w:hAnsi="Times New Roman" w:eastAsia="Times New Roman"/>
                <w:b/>
                <w:sz w:val="20"/>
              </w:rPr>
              <w:t>Ann Arbor </w:t>
            </w:r>
            <w:r>
              <w:rPr>
                <w:rFonts w:ascii="Microsoft JhengHei" w:hAnsi="Microsoft JhengHei" w:eastAsia="Microsoft JhengHei" w:hint="eastAsia"/>
                <w:b/>
                <w:sz w:val="20"/>
              </w:rPr>
              <w:t>分期方案 </w:t>
            </w:r>
            <w:r>
              <w:rPr>
                <w:rFonts w:ascii="Times New Roman" w:hAnsi="Times New Roman" w:eastAsia="Times New Roman"/>
                <w:b/>
                <w:sz w:val="20"/>
              </w:rPr>
              <w:t>Ι </w:t>
            </w:r>
            <w:r>
              <w:rPr>
                <w:rFonts w:ascii="Microsoft JhengHei" w:hAnsi="Microsoft JhengHei" w:eastAsia="Microsoft JhengHei" w:hint="eastAsia"/>
                <w:b/>
                <w:sz w:val="20"/>
              </w:rPr>
              <w:t>期程度的何杰金氏病；</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4</w:t>
            </w:r>
            <w:r>
              <w:rPr>
                <w:rFonts w:ascii="Microsoft JhengHei" w:eastAsia="Microsoft JhengHei" w:hint="eastAsia"/>
                <w:b/>
                <w:sz w:val="20"/>
              </w:rPr>
              <w:t>）皮肤癌（不包括恶性黑色素瘤及已发生转移的皮肤癌）；</w:t>
            </w:r>
          </w:p>
          <w:p>
            <w:pPr>
              <w:pStyle w:val="TableParagraph"/>
              <w:spacing w:line="259"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5</w:t>
            </w:r>
            <w:r>
              <w:rPr>
                <w:rFonts w:ascii="Microsoft JhengHei" w:eastAsia="Microsoft JhengHei" w:hint="eastAsia"/>
                <w:b/>
                <w:sz w:val="20"/>
              </w:rPr>
              <w:t>）</w:t>
            </w:r>
            <w:r>
              <w:rPr>
                <w:rFonts w:ascii="Times New Roman" w:eastAsia="Times New Roman"/>
                <w:b/>
                <w:sz w:val="20"/>
              </w:rPr>
              <w:t>TNM </w:t>
            </w:r>
            <w:r>
              <w:rPr>
                <w:rFonts w:ascii="Microsoft JhengHei" w:eastAsia="Microsoft JhengHei" w:hint="eastAsia"/>
                <w:b/>
                <w:sz w:val="20"/>
              </w:rPr>
              <w:t>分期为 </w:t>
            </w:r>
            <w:r>
              <w:rPr>
                <w:rFonts w:ascii="Times New Roman" w:eastAsia="Times New Roman"/>
                <w:b/>
                <w:sz w:val="20"/>
              </w:rPr>
              <w:t>T</w:t>
            </w:r>
            <w:r>
              <w:rPr>
                <w:rFonts w:ascii="Times New Roman" w:eastAsia="Times New Roman"/>
                <w:b/>
                <w:sz w:val="20"/>
                <w:vertAlign w:val="subscript"/>
              </w:rPr>
              <w:t>1</w:t>
            </w:r>
            <w:r>
              <w:rPr>
                <w:rFonts w:ascii="Times New Roman" w:eastAsia="Times New Roman"/>
                <w:b/>
                <w:sz w:val="20"/>
                <w:vertAlign w:val="baseline"/>
              </w:rPr>
              <w:t>N</w:t>
            </w:r>
            <w:r>
              <w:rPr>
                <w:rFonts w:ascii="Times New Roman" w:eastAsia="Times New Roman"/>
                <w:b/>
                <w:sz w:val="20"/>
                <w:vertAlign w:val="subscript"/>
              </w:rPr>
              <w:t>0</w:t>
            </w:r>
            <w:r>
              <w:rPr>
                <w:rFonts w:ascii="Times New Roman" w:eastAsia="Times New Roman"/>
                <w:b/>
                <w:sz w:val="20"/>
                <w:vertAlign w:val="baseline"/>
              </w:rPr>
              <w:t>M</w:t>
            </w:r>
            <w:r>
              <w:rPr>
                <w:rFonts w:ascii="Times New Roman" w:eastAsia="Times New Roman"/>
                <w:b/>
                <w:sz w:val="20"/>
                <w:vertAlign w:val="subscript"/>
              </w:rPr>
              <w:t>0</w:t>
            </w:r>
            <w:r>
              <w:rPr>
                <w:rFonts w:ascii="Times New Roman" w:eastAsia="Times New Roman"/>
                <w:b/>
                <w:sz w:val="20"/>
                <w:vertAlign w:val="baseline"/>
              </w:rPr>
              <w:t> </w:t>
            </w:r>
            <w:r>
              <w:rPr>
                <w:rFonts w:ascii="Microsoft JhengHei" w:eastAsia="Microsoft JhengHei" w:hint="eastAsia"/>
                <w:b/>
                <w:sz w:val="20"/>
                <w:vertAlign w:val="baseline"/>
              </w:rPr>
              <w:t>期或更轻分期的前列腺癌；</w:t>
            </w:r>
          </w:p>
          <w:p>
            <w:pPr>
              <w:pStyle w:val="TableParagraph"/>
              <w:spacing w:line="304" w:lineRule="exact"/>
              <w:jc w:val="both"/>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6</w:t>
            </w:r>
            <w:r>
              <w:rPr>
                <w:rFonts w:ascii="Microsoft JhengHei" w:eastAsia="Microsoft JhengHei" w:hint="eastAsia"/>
                <w:b/>
                <w:sz w:val="20"/>
              </w:rPr>
              <w:t>）感染艾滋病病毒或患艾滋病期间所患恶性肿瘤。</w:t>
            </w:r>
          </w:p>
        </w:tc>
      </w:tr>
      <w:tr>
        <w:trPr>
          <w:trHeight w:val="1343" w:hRule="atLeast"/>
        </w:trPr>
        <w:tc>
          <w:tcPr>
            <w:tcW w:w="1637" w:type="dxa"/>
          </w:tcPr>
          <w:p>
            <w:pPr>
              <w:pStyle w:val="TableParagraph"/>
              <w:spacing w:line="264" w:lineRule="exact"/>
              <w:rPr>
                <w:sz w:val="20"/>
              </w:rPr>
            </w:pPr>
            <w:r>
              <w:rPr>
                <w:rFonts w:ascii="Times New Roman" w:eastAsia="Times New Roman"/>
                <w:w w:val="95"/>
                <w:sz w:val="20"/>
              </w:rPr>
              <w:t>2</w:t>
            </w:r>
            <w:r>
              <w:rPr>
                <w:w w:val="95"/>
                <w:sz w:val="20"/>
              </w:rPr>
              <w:t>．急性心肌梗塞</w:t>
            </w:r>
          </w:p>
        </w:tc>
        <w:tc>
          <w:tcPr>
            <w:tcW w:w="8211" w:type="dxa"/>
          </w:tcPr>
          <w:p>
            <w:pPr>
              <w:pStyle w:val="TableParagraph"/>
              <w:spacing w:line="247" w:lineRule="exact"/>
              <w:rPr>
                <w:sz w:val="20"/>
              </w:rPr>
            </w:pPr>
            <w:r>
              <w:rPr>
                <w:w w:val="95"/>
                <w:sz w:val="20"/>
              </w:rPr>
              <w:t>指因冠状动脉阻塞导致的相应区域供血不足造成部分心肌坏死。须满足下列至少三项条件：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）典型临床表现，例如急性胸痛等；</w:t>
            </w:r>
          </w:p>
          <w:p>
            <w:pPr>
              <w:pStyle w:val="TableParagraph"/>
              <w:spacing w:line="259" w:lineRule="exact"/>
              <w:rPr>
                <w:sz w:val="20"/>
              </w:rPr>
            </w:pPr>
            <w:r>
              <w:rPr>
                <w:w w:val="95"/>
                <w:sz w:val="20"/>
              </w:rPr>
              <w:t>（</w:t>
            </w:r>
            <w:r>
              <w:rPr>
                <w:rFonts w:ascii="Times New Roman" w:eastAsia="Times New Roman"/>
                <w:w w:val="95"/>
                <w:sz w:val="20"/>
              </w:rPr>
              <w:t>2</w:t>
            </w:r>
            <w:r>
              <w:rPr>
                <w:w w:val="95"/>
                <w:sz w:val="20"/>
              </w:rPr>
              <w:t>）新近的心电图改变提示急性心肌梗塞；</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）心肌酶或肌钙蛋白有诊断意义的升高，或呈符合急性心肌梗塞的动态性变化；</w:t>
            </w:r>
          </w:p>
          <w:p>
            <w:pPr>
              <w:pStyle w:val="TableParagraph"/>
              <w:spacing w:line="268" w:lineRule="exact"/>
              <w:rPr>
                <w:sz w:val="20"/>
              </w:rPr>
            </w:pPr>
            <w:r>
              <w:rPr>
                <w:sz w:val="20"/>
              </w:rPr>
              <w:t>（</w:t>
            </w:r>
            <w:r>
              <w:rPr>
                <w:rFonts w:ascii="Times New Roman" w:eastAsia="Times New Roman"/>
                <w:sz w:val="20"/>
              </w:rPr>
              <w:t>4</w:t>
            </w:r>
            <w:r>
              <w:rPr>
                <w:sz w:val="20"/>
              </w:rPr>
              <w:t>）发病 </w:t>
            </w:r>
            <w:r>
              <w:rPr>
                <w:rFonts w:ascii="Times New Roman" w:eastAsia="Times New Roman"/>
                <w:sz w:val="20"/>
              </w:rPr>
              <w:t>90 </w:t>
            </w:r>
            <w:r>
              <w:rPr>
                <w:sz w:val="20"/>
              </w:rPr>
              <w:t>天后，经检查证实左心室功能降低，如左心室射血分数低于 </w:t>
            </w:r>
            <w:r>
              <w:rPr>
                <w:rFonts w:ascii="Times New Roman" w:eastAsia="Times New Roman"/>
                <w:sz w:val="20"/>
              </w:rPr>
              <w:t>50%</w:t>
            </w:r>
            <w:r>
              <w:rPr>
                <w:sz w:val="20"/>
              </w:rPr>
              <w:t>。</w:t>
            </w:r>
          </w:p>
        </w:tc>
      </w:tr>
      <w:tr>
        <w:trPr>
          <w:trHeight w:val="1343" w:hRule="atLeast"/>
        </w:trPr>
        <w:tc>
          <w:tcPr>
            <w:tcW w:w="1637" w:type="dxa"/>
          </w:tcPr>
          <w:p>
            <w:pPr>
              <w:pStyle w:val="TableParagraph"/>
              <w:spacing w:line="261" w:lineRule="exact"/>
              <w:rPr>
                <w:sz w:val="20"/>
              </w:rPr>
            </w:pPr>
            <w:r>
              <w:rPr>
                <w:rFonts w:ascii="Times New Roman" w:eastAsia="Times New Roman"/>
                <w:w w:val="95"/>
                <w:sz w:val="20"/>
              </w:rPr>
              <w:t>3</w:t>
            </w:r>
            <w:r>
              <w:rPr>
                <w:w w:val="95"/>
                <w:sz w:val="20"/>
              </w:rPr>
              <w:t>．脑中风后遗症</w:t>
            </w:r>
          </w:p>
        </w:tc>
        <w:tc>
          <w:tcPr>
            <w:tcW w:w="8211" w:type="dxa"/>
          </w:tcPr>
          <w:p>
            <w:pPr>
              <w:pStyle w:val="TableParagraph"/>
              <w:spacing w:line="260" w:lineRule="exact" w:before="10"/>
              <w:ind w:right="94"/>
              <w:rPr>
                <w:sz w:val="20"/>
              </w:rPr>
            </w:pPr>
            <w:r>
              <w:rPr>
                <w:w w:val="95"/>
                <w:sz w:val="20"/>
              </w:rPr>
              <w:t>指因脑血管的突发病变引起脑血管出血、栓塞或梗塞，并导致神经系统永久性的功能障碍。   </w:t>
            </w:r>
            <w:r>
              <w:rPr>
                <w:spacing w:val="-3"/>
                <w:sz w:val="20"/>
              </w:rPr>
              <w:t>神经系统永久性的功能障碍，指疾病确诊 </w:t>
            </w:r>
            <w:r>
              <w:rPr>
                <w:rFonts w:ascii="Times New Roman" w:eastAsia="Times New Roman"/>
                <w:sz w:val="20"/>
              </w:rPr>
              <w:t>180</w:t>
            </w:r>
            <w:r>
              <w:rPr>
                <w:rFonts w:ascii="Times New Roman" w:eastAsia="Times New Roman"/>
                <w:spacing w:val="-14"/>
                <w:sz w:val="20"/>
              </w:rPr>
              <w:t> </w:t>
            </w:r>
            <w:r>
              <w:rPr>
                <w:sz w:val="20"/>
              </w:rPr>
              <w:t>天后，仍遗留下列一种或一种以上障碍：</w:t>
            </w:r>
          </w:p>
          <w:p>
            <w:pPr>
              <w:pStyle w:val="TableParagraph"/>
              <w:spacing w:line="216" w:lineRule="exact"/>
              <w:rPr>
                <w:sz w:val="20"/>
              </w:rPr>
            </w:pPr>
            <w:r>
              <w:rPr>
                <w:sz w:val="20"/>
              </w:rPr>
              <w:t>（</w:t>
            </w:r>
            <w:r>
              <w:rPr>
                <w:rFonts w:ascii="Times New Roman" w:eastAsia="Times New Roman"/>
                <w:sz w:val="20"/>
              </w:rPr>
              <w:t>1</w:t>
            </w:r>
            <w:r>
              <w:rPr>
                <w:sz w:val="20"/>
              </w:rPr>
              <w:t>）一肢或一肢以上</w:t>
            </w:r>
            <w:r>
              <w:rPr>
                <w:rFonts w:ascii="Microsoft JhengHei" w:eastAsia="Microsoft JhengHei" w:hint="eastAsia"/>
                <w:b/>
                <w:sz w:val="20"/>
              </w:rPr>
              <w:t>肢体机能完全丧失</w:t>
            </w:r>
            <w:r>
              <w:rPr>
                <w:rFonts w:ascii="Microsoft JhengHei" w:eastAsia="Microsoft JhengHei" w:hint="eastAsia"/>
                <w:b/>
                <w:position w:val="10"/>
                <w:sz w:val="10"/>
              </w:rPr>
              <w:t>[11]</w:t>
            </w:r>
            <w:r>
              <w:rPr>
                <w:sz w:val="20"/>
              </w:rPr>
              <w:t>；</w:t>
            </w:r>
          </w:p>
          <w:p>
            <w:pPr>
              <w:pStyle w:val="TableParagraph"/>
              <w:spacing w:line="259" w:lineRule="exact"/>
              <w:rPr>
                <w:sz w:val="20"/>
              </w:rPr>
            </w:pPr>
            <w:r>
              <w:rPr>
                <w:sz w:val="20"/>
              </w:rPr>
              <w:t>（</w:t>
            </w:r>
            <w:r>
              <w:rPr>
                <w:rFonts w:ascii="Times New Roman" w:eastAsia="Times New Roman"/>
                <w:sz w:val="20"/>
              </w:rPr>
              <w:t>2</w:t>
            </w:r>
            <w:r>
              <w:rPr>
                <w:sz w:val="20"/>
              </w:rPr>
              <w:t>）</w:t>
            </w:r>
            <w:r>
              <w:rPr>
                <w:rFonts w:ascii="Microsoft JhengHei" w:eastAsia="Microsoft JhengHei" w:hint="eastAsia"/>
                <w:b/>
                <w:sz w:val="20"/>
              </w:rPr>
              <w:t>语言能力或咀嚼吞咽能力完全丧失</w:t>
            </w:r>
            <w:r>
              <w:rPr>
                <w:rFonts w:ascii="Microsoft JhengHei" w:eastAsia="Microsoft JhengHei" w:hint="eastAsia"/>
                <w:b/>
                <w:position w:val="10"/>
                <w:sz w:val="10"/>
              </w:rPr>
              <w:t>[12]</w:t>
            </w:r>
            <w:r>
              <w:rPr>
                <w:sz w:val="20"/>
              </w:rPr>
              <w:t>；</w:t>
            </w:r>
          </w:p>
          <w:p>
            <w:pPr>
              <w:pStyle w:val="TableParagraph"/>
              <w:spacing w:line="304" w:lineRule="exact"/>
              <w:ind w:right="-15"/>
              <w:rPr>
                <w:sz w:val="20"/>
              </w:rPr>
            </w:pPr>
            <w:r>
              <w:rPr>
                <w:spacing w:val="-3"/>
                <w:sz w:val="20"/>
              </w:rPr>
              <w:t>（</w:t>
            </w:r>
            <w:r>
              <w:rPr>
                <w:rFonts w:ascii="Times New Roman" w:eastAsia="Times New Roman"/>
                <w:spacing w:val="-3"/>
                <w:sz w:val="20"/>
              </w:rPr>
              <w:t>3</w:t>
            </w:r>
            <w:r>
              <w:rPr>
                <w:spacing w:val="-3"/>
                <w:sz w:val="20"/>
              </w:rPr>
              <w:t>）</w:t>
            </w:r>
            <w:r>
              <w:rPr>
                <w:spacing w:val="-1"/>
                <w:sz w:val="20"/>
              </w:rPr>
              <w:t>自主生活能力完全丧失，无法独立完成</w:t>
            </w:r>
            <w:r>
              <w:rPr>
                <w:rFonts w:ascii="Microsoft JhengHei" w:eastAsia="Microsoft JhengHei" w:hint="eastAsia"/>
                <w:b/>
                <w:sz w:val="20"/>
              </w:rPr>
              <w:t>六项基本日常生活活动</w:t>
            </w:r>
            <w:r>
              <w:rPr>
                <w:rFonts w:ascii="Microsoft JhengHei" w:eastAsia="Microsoft JhengHei" w:hint="eastAsia"/>
                <w:b/>
                <w:position w:val="10"/>
                <w:sz w:val="10"/>
              </w:rPr>
              <w:t>[13]</w:t>
            </w:r>
            <w:r>
              <w:rPr>
                <w:sz w:val="20"/>
              </w:rPr>
              <w:t>中的三项或三项以上。</w:t>
            </w:r>
          </w:p>
        </w:tc>
      </w:tr>
    </w:tbl>
    <w:p>
      <w:pPr>
        <w:spacing w:after="0" w:line="304" w:lineRule="exact"/>
        <w:rPr>
          <w:sz w:val="20"/>
        </w:rPr>
        <w:sectPr>
          <w:type w:val="continuous"/>
          <w:pgSz w:w="11900" w:h="16840"/>
          <w:pgMar w:top="460" w:bottom="280" w:left="104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3" w:hRule="atLeast"/>
        </w:trPr>
        <w:tc>
          <w:tcPr>
            <w:tcW w:w="1637" w:type="dxa"/>
            <w:shd w:val="clear" w:color="auto" w:fill="D8D8D8"/>
          </w:tcPr>
          <w:p>
            <w:pPr>
              <w:pStyle w:val="TableParagraph"/>
              <w:spacing w:line="279" w:lineRule="exact"/>
              <w:ind w:left="213"/>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79"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1084" w:hRule="atLeast"/>
        </w:trPr>
        <w:tc>
          <w:tcPr>
            <w:tcW w:w="1637" w:type="dxa"/>
          </w:tcPr>
          <w:p>
            <w:pPr>
              <w:pStyle w:val="TableParagraph"/>
              <w:spacing w:line="230" w:lineRule="auto"/>
              <w:ind w:right="101"/>
              <w:jc w:val="both"/>
              <w:rPr>
                <w:sz w:val="20"/>
              </w:rPr>
            </w:pPr>
            <w:r>
              <w:rPr>
                <w:rFonts w:ascii="Times New Roman" w:eastAsia="Times New Roman"/>
                <w:spacing w:val="-40"/>
                <w:w w:val="95"/>
                <w:sz w:val="20"/>
              </w:rPr>
              <w:t>4</w:t>
            </w:r>
            <w:r>
              <w:rPr>
                <w:spacing w:val="-7"/>
                <w:w w:val="95"/>
                <w:sz w:val="20"/>
              </w:rPr>
              <w:t>．重大器官移植</w:t>
            </w:r>
            <w:r>
              <w:rPr>
                <w:sz w:val="20"/>
              </w:rPr>
              <w:t>术或造血干细胞</w:t>
            </w:r>
            <w:r>
              <w:rPr>
                <w:w w:val="95"/>
                <w:sz w:val="20"/>
              </w:rPr>
              <w:t>移植术</w:t>
            </w:r>
          </w:p>
        </w:tc>
        <w:tc>
          <w:tcPr>
            <w:tcW w:w="8211" w:type="dxa"/>
          </w:tcPr>
          <w:p>
            <w:pPr>
              <w:pStyle w:val="TableParagraph"/>
              <w:spacing w:line="237" w:lineRule="auto"/>
              <w:ind w:right="99" w:hanging="1"/>
              <w:rPr>
                <w:sz w:val="20"/>
              </w:rPr>
            </w:pPr>
            <w:r>
              <w:rPr>
                <w:w w:val="95"/>
                <w:sz w:val="20"/>
              </w:rPr>
              <w:t>重大器官移植术，指因相应器官功能衰竭，已经实施了肾脏、肝脏、心脏或肺脏的异体移植   手术。</w:t>
            </w:r>
          </w:p>
          <w:p>
            <w:pPr>
              <w:pStyle w:val="TableParagraph"/>
              <w:spacing w:line="237" w:lineRule="auto" w:before="10"/>
              <w:ind w:right="56" w:hanging="1"/>
              <w:rPr>
                <w:sz w:val="20"/>
              </w:rPr>
            </w:pPr>
            <w:r>
              <w:rPr>
                <w:sz w:val="20"/>
              </w:rPr>
              <w:t>造血干细胞移植术，指因造血功能损害或造血系统恶性肿瘤，已经实施了造血干细胞（包括</w:t>
            </w:r>
            <w:r>
              <w:rPr>
                <w:w w:val="95"/>
                <w:sz w:val="20"/>
              </w:rPr>
              <w:t>骨髓造血干细胞、外周血造血干细胞和脐血造血干细胞）的异体移植手术。</w:t>
            </w:r>
          </w:p>
        </w:tc>
      </w:tr>
      <w:tr>
        <w:trPr>
          <w:trHeight w:val="822" w:hRule="atLeast"/>
        </w:trPr>
        <w:tc>
          <w:tcPr>
            <w:tcW w:w="1637" w:type="dxa"/>
          </w:tcPr>
          <w:p>
            <w:pPr>
              <w:pStyle w:val="TableParagraph"/>
              <w:spacing w:line="232" w:lineRule="auto"/>
              <w:ind w:right="101"/>
              <w:jc w:val="both"/>
              <w:rPr>
                <w:sz w:val="20"/>
              </w:rPr>
            </w:pPr>
            <w:r>
              <w:rPr>
                <w:rFonts w:ascii="Times New Roman" w:eastAsia="Times New Roman"/>
                <w:spacing w:val="-40"/>
                <w:w w:val="95"/>
                <w:sz w:val="20"/>
              </w:rPr>
              <w:t>5</w:t>
            </w:r>
            <w:r>
              <w:rPr>
                <w:spacing w:val="-7"/>
                <w:w w:val="95"/>
                <w:sz w:val="20"/>
              </w:rPr>
              <w:t>．冠状动脉搭桥</w:t>
            </w:r>
            <w:r>
              <w:rPr>
                <w:spacing w:val="-7"/>
                <w:sz w:val="20"/>
              </w:rPr>
              <w:t>术</w:t>
            </w:r>
            <w:r>
              <w:rPr>
                <w:spacing w:val="2"/>
                <w:sz w:val="20"/>
              </w:rPr>
              <w:t>（</w:t>
            </w:r>
            <w:r>
              <w:rPr>
                <w:sz w:val="20"/>
              </w:rPr>
              <w:t>或称冠状动</w:t>
            </w:r>
            <w:r>
              <w:rPr>
                <w:w w:val="95"/>
                <w:sz w:val="20"/>
              </w:rPr>
              <w:t>脉旁路移植术）</w:t>
            </w:r>
          </w:p>
        </w:tc>
        <w:tc>
          <w:tcPr>
            <w:tcW w:w="8211" w:type="dxa"/>
          </w:tcPr>
          <w:p>
            <w:pPr>
              <w:pStyle w:val="TableParagraph"/>
              <w:spacing w:line="180" w:lineRule="auto" w:before="8"/>
              <w:ind w:right="97"/>
              <w:jc w:val="both"/>
              <w:rPr>
                <w:rFonts w:ascii="Microsoft JhengHei" w:eastAsia="Microsoft JhengHei" w:hint="eastAsia"/>
                <w:b/>
                <w:sz w:val="20"/>
              </w:rPr>
            </w:pPr>
            <w:r>
              <w:rPr>
                <w:spacing w:val="-2"/>
                <w:sz w:val="20"/>
              </w:rPr>
              <w:t>指为治疗严重的冠心病，实际实施了开胸进行的冠状动脉血管旁路移植的手术。</w:t>
            </w:r>
            <w:r>
              <w:rPr>
                <w:rFonts w:ascii="Microsoft JhengHei" w:eastAsia="Microsoft JhengHei" w:hint="eastAsia"/>
                <w:b/>
                <w:sz w:val="20"/>
              </w:rPr>
              <w:t>冠状动脉支</w:t>
            </w:r>
            <w:r>
              <w:rPr>
                <w:rFonts w:ascii="Microsoft JhengHei" w:eastAsia="Microsoft JhengHei" w:hint="eastAsia"/>
                <w:b/>
                <w:spacing w:val="-4"/>
                <w:sz w:val="20"/>
              </w:rPr>
              <w:t>架植入术、心导管球囊扩张术、激光射频技术及其它非开胸的介入手术、腔镜手术不在保障范围内。</w:t>
            </w:r>
          </w:p>
        </w:tc>
      </w:tr>
      <w:tr>
        <w:trPr>
          <w:trHeight w:val="1084" w:hRule="atLeast"/>
        </w:trPr>
        <w:tc>
          <w:tcPr>
            <w:tcW w:w="1637" w:type="dxa"/>
          </w:tcPr>
          <w:p>
            <w:pPr>
              <w:pStyle w:val="TableParagraph"/>
              <w:spacing w:line="255" w:lineRule="exact"/>
              <w:rPr>
                <w:sz w:val="20"/>
              </w:rPr>
            </w:pPr>
            <w:r>
              <w:rPr>
                <w:rFonts w:ascii="Times New Roman" w:eastAsia="Times New Roman"/>
                <w:sz w:val="20"/>
              </w:rPr>
              <w:t>6 </w:t>
            </w:r>
            <w:r>
              <w:rPr>
                <w:sz w:val="20"/>
              </w:rPr>
              <w:t>． 终末期肾病</w:t>
            </w:r>
          </w:p>
          <w:p>
            <w:pPr>
              <w:pStyle w:val="TableParagraph"/>
              <w:spacing w:line="237" w:lineRule="auto"/>
              <w:ind w:right="101"/>
              <w:jc w:val="both"/>
              <w:rPr>
                <w:sz w:val="20"/>
              </w:rPr>
            </w:pPr>
            <w:r>
              <w:rPr>
                <w:sz w:val="20"/>
              </w:rPr>
              <w:t>（</w:t>
            </w:r>
            <w:r>
              <w:rPr>
                <w:spacing w:val="0"/>
                <w:sz w:val="20"/>
              </w:rPr>
              <w:t>或称慢性肾功</w:t>
            </w:r>
            <w:r>
              <w:rPr>
                <w:spacing w:val="-29"/>
                <w:sz w:val="20"/>
              </w:rPr>
              <w:t>能 衰 竭 尿 毒 症</w:t>
            </w:r>
            <w:r>
              <w:rPr>
                <w:spacing w:val="-29"/>
                <w:w w:val="95"/>
                <w:sz w:val="20"/>
              </w:rPr>
              <w:t>期）</w:t>
            </w:r>
          </w:p>
        </w:tc>
        <w:tc>
          <w:tcPr>
            <w:tcW w:w="8211" w:type="dxa"/>
          </w:tcPr>
          <w:p>
            <w:pPr>
              <w:pStyle w:val="TableParagraph"/>
              <w:spacing w:line="225" w:lineRule="auto" w:before="3"/>
              <w:ind w:right="99"/>
              <w:rPr>
                <w:sz w:val="20"/>
              </w:rPr>
            </w:pPr>
            <w:r>
              <w:rPr>
                <w:spacing w:val="-9"/>
                <w:sz w:val="20"/>
              </w:rPr>
              <w:t>指双肾功能慢性不可逆性衰竭，达到尿毒症期，经诊断后已经进行了至少 </w:t>
            </w:r>
            <w:r>
              <w:rPr>
                <w:rFonts w:ascii="Times New Roman" w:eastAsia="Times New Roman"/>
                <w:sz w:val="20"/>
              </w:rPr>
              <w:t>90 </w:t>
            </w:r>
            <w:r>
              <w:rPr>
                <w:sz w:val="20"/>
              </w:rPr>
              <w:t>天的规律性透析</w:t>
            </w:r>
            <w:r>
              <w:rPr>
                <w:w w:val="95"/>
                <w:sz w:val="20"/>
              </w:rPr>
              <w:t>治疗或实施了肾脏移植手术。</w:t>
            </w:r>
          </w:p>
        </w:tc>
      </w:tr>
      <w:tr>
        <w:trPr>
          <w:trHeight w:val="563" w:hRule="atLeast"/>
        </w:trPr>
        <w:tc>
          <w:tcPr>
            <w:tcW w:w="1637" w:type="dxa"/>
          </w:tcPr>
          <w:p>
            <w:pPr>
              <w:pStyle w:val="TableParagraph"/>
              <w:spacing w:line="264" w:lineRule="exact"/>
              <w:rPr>
                <w:sz w:val="20"/>
              </w:rPr>
            </w:pPr>
            <w:r>
              <w:rPr>
                <w:rFonts w:ascii="Times New Roman" w:eastAsia="Times New Roman"/>
                <w:w w:val="95"/>
                <w:sz w:val="20"/>
              </w:rPr>
              <w:t>7</w:t>
            </w:r>
            <w:r>
              <w:rPr>
                <w:w w:val="95"/>
                <w:sz w:val="20"/>
              </w:rPr>
              <w:t>．多个肢体缺失</w:t>
            </w:r>
          </w:p>
        </w:tc>
        <w:tc>
          <w:tcPr>
            <w:tcW w:w="8211" w:type="dxa"/>
          </w:tcPr>
          <w:p>
            <w:pPr>
              <w:pStyle w:val="TableParagraph"/>
              <w:spacing w:line="237" w:lineRule="auto"/>
              <w:ind w:right="99"/>
              <w:rPr>
                <w:sz w:val="20"/>
              </w:rPr>
            </w:pPr>
            <w:r>
              <w:rPr>
                <w:w w:val="95"/>
                <w:sz w:val="20"/>
              </w:rPr>
              <w:t>指因疾病或意外伤害导致两个或两个以上肢体自腕关节或踝关节近端（靠近躯干端</w:t>
            </w:r>
            <w:r>
              <w:rPr>
                <w:spacing w:val="-3"/>
                <w:w w:val="95"/>
                <w:sz w:val="20"/>
              </w:rPr>
              <w:t>）</w:t>
            </w:r>
            <w:r>
              <w:rPr>
                <w:w w:val="95"/>
                <w:sz w:val="20"/>
              </w:rPr>
              <w:t>以上完   全性断离。</w:t>
            </w:r>
          </w:p>
        </w:tc>
      </w:tr>
      <w:tr>
        <w:trPr>
          <w:trHeight w:val="1602" w:hRule="atLeast"/>
        </w:trPr>
        <w:tc>
          <w:tcPr>
            <w:tcW w:w="1637" w:type="dxa"/>
          </w:tcPr>
          <w:p>
            <w:pPr>
              <w:pStyle w:val="TableParagraph"/>
              <w:spacing w:line="225" w:lineRule="auto" w:before="3"/>
              <w:ind w:right="58"/>
              <w:rPr>
                <w:sz w:val="20"/>
              </w:rPr>
            </w:pPr>
            <w:r>
              <w:rPr>
                <w:rFonts w:ascii="Times New Roman" w:eastAsia="Times New Roman"/>
                <w:w w:val="95"/>
                <w:sz w:val="20"/>
              </w:rPr>
              <w:t>8</w:t>
            </w:r>
            <w:r>
              <w:rPr>
                <w:w w:val="95"/>
                <w:sz w:val="20"/>
              </w:rPr>
              <w:t>．急性或亚急性重症肝炎</w:t>
            </w:r>
          </w:p>
        </w:tc>
        <w:tc>
          <w:tcPr>
            <w:tcW w:w="8211" w:type="dxa"/>
          </w:tcPr>
          <w:p>
            <w:pPr>
              <w:pStyle w:val="TableParagraph"/>
              <w:spacing w:line="237" w:lineRule="auto"/>
              <w:ind w:right="101" w:hanging="1"/>
              <w:rPr>
                <w:sz w:val="20"/>
              </w:rPr>
            </w:pPr>
            <w:r>
              <w:rPr>
                <w:spacing w:val="-1"/>
                <w:w w:val="95"/>
                <w:sz w:val="20"/>
              </w:rPr>
              <w:t>指因肝炎病毒感染引起肝脏组织弥漫性坏死，导致急性肝功能衰竭，且经血清学或病毒学检   查证实，并须满足下列全部条件：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）重度黄疸或黄疸迅速加重；</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）肝性脑病；</w:t>
            </w:r>
          </w:p>
          <w:p>
            <w:pPr>
              <w:pStyle w:val="TableParagraph"/>
              <w:spacing w:line="259" w:lineRule="exact"/>
              <w:rPr>
                <w:sz w:val="20"/>
              </w:rPr>
            </w:pPr>
            <w:r>
              <w:rPr>
                <w:sz w:val="20"/>
              </w:rPr>
              <w:t>（</w:t>
            </w:r>
            <w:r>
              <w:rPr>
                <w:rFonts w:ascii="Times New Roman" w:eastAsia="Times New Roman"/>
                <w:sz w:val="20"/>
              </w:rPr>
              <w:t>3</w:t>
            </w:r>
            <w:r>
              <w:rPr>
                <w:sz w:val="20"/>
              </w:rPr>
              <w:t>）</w:t>
            </w:r>
            <w:r>
              <w:rPr>
                <w:rFonts w:ascii="Times New Roman" w:eastAsia="Times New Roman"/>
                <w:sz w:val="20"/>
              </w:rPr>
              <w:t>B </w:t>
            </w:r>
            <w:r>
              <w:rPr>
                <w:sz w:val="20"/>
              </w:rPr>
              <w:t>超或其他影像学检查显示肝脏体积急速萎缩；</w:t>
            </w:r>
          </w:p>
          <w:p>
            <w:pPr>
              <w:pStyle w:val="TableParagraph"/>
              <w:spacing w:line="268" w:lineRule="exact"/>
              <w:rPr>
                <w:sz w:val="20"/>
              </w:rPr>
            </w:pPr>
            <w:r>
              <w:rPr>
                <w:w w:val="95"/>
                <w:sz w:val="20"/>
              </w:rPr>
              <w:t>（</w:t>
            </w:r>
            <w:r>
              <w:rPr>
                <w:rFonts w:ascii="Times New Roman" w:eastAsia="Times New Roman"/>
                <w:w w:val="95"/>
                <w:sz w:val="20"/>
              </w:rPr>
              <w:t>4</w:t>
            </w:r>
            <w:r>
              <w:rPr>
                <w:w w:val="95"/>
                <w:sz w:val="20"/>
              </w:rPr>
              <w:t>）肝功能指标进行性恶化。</w:t>
            </w:r>
          </w:p>
        </w:tc>
      </w:tr>
      <w:tr>
        <w:trPr>
          <w:trHeight w:val="1602" w:hRule="atLeast"/>
        </w:trPr>
        <w:tc>
          <w:tcPr>
            <w:tcW w:w="1637" w:type="dxa"/>
          </w:tcPr>
          <w:p>
            <w:pPr>
              <w:pStyle w:val="TableParagraph"/>
              <w:spacing w:line="264" w:lineRule="exact"/>
              <w:rPr>
                <w:sz w:val="20"/>
              </w:rPr>
            </w:pPr>
            <w:r>
              <w:rPr>
                <w:rFonts w:ascii="Times New Roman" w:eastAsia="Times New Roman"/>
                <w:w w:val="95"/>
                <w:sz w:val="20"/>
              </w:rPr>
              <w:t>9</w:t>
            </w:r>
            <w:r>
              <w:rPr>
                <w:w w:val="95"/>
                <w:sz w:val="20"/>
              </w:rPr>
              <w:t>．良性脑肿瘤</w:t>
            </w:r>
          </w:p>
        </w:tc>
        <w:tc>
          <w:tcPr>
            <w:tcW w:w="8211" w:type="dxa"/>
          </w:tcPr>
          <w:p>
            <w:pPr>
              <w:pStyle w:val="TableParagraph"/>
              <w:spacing w:line="230" w:lineRule="auto"/>
              <w:ind w:right="99" w:hanging="1"/>
              <w:jc w:val="both"/>
              <w:rPr>
                <w:sz w:val="20"/>
              </w:rPr>
            </w:pPr>
            <w:r>
              <w:rPr>
                <w:w w:val="95"/>
                <w:sz w:val="20"/>
              </w:rPr>
              <w:t>指脑的良性肿瘤，已经引起颅内压增高，临床表现为视神经乳头水肿、精神症状、癫痫及运   </w:t>
            </w:r>
            <w:r>
              <w:rPr>
                <w:spacing w:val="-3"/>
                <w:w w:val="95"/>
                <w:sz w:val="20"/>
              </w:rPr>
              <w:t>动感觉障碍等，并危及生命。须由头颅断层扫描</w:t>
            </w:r>
            <w:r>
              <w:rPr>
                <w:w w:val="95"/>
                <w:sz w:val="20"/>
              </w:rPr>
              <w:t>（</w:t>
            </w:r>
            <w:r>
              <w:rPr>
                <w:rFonts w:ascii="Times New Roman" w:eastAsia="Times New Roman"/>
                <w:w w:val="95"/>
                <w:sz w:val="20"/>
              </w:rPr>
              <w:t>CT</w:t>
            </w:r>
            <w:r>
              <w:rPr>
                <w:w w:val="95"/>
                <w:sz w:val="20"/>
              </w:rPr>
              <w:t>）</w:t>
            </w:r>
            <w:r>
              <w:rPr>
                <w:spacing w:val="-3"/>
                <w:w w:val="95"/>
                <w:sz w:val="20"/>
              </w:rPr>
              <w:t>、核磁共振检查</w:t>
            </w:r>
            <w:r>
              <w:rPr>
                <w:w w:val="95"/>
                <w:sz w:val="20"/>
              </w:rPr>
              <w:t>（</w:t>
            </w:r>
            <w:r>
              <w:rPr>
                <w:rFonts w:ascii="Times New Roman" w:eastAsia="Times New Roman"/>
                <w:w w:val="95"/>
                <w:sz w:val="20"/>
              </w:rPr>
              <w:t>MRI</w:t>
            </w:r>
            <w:r>
              <w:rPr>
                <w:w w:val="95"/>
                <w:sz w:val="20"/>
              </w:rPr>
              <w:t>）或正电子发   射断层扫描（</w:t>
            </w:r>
            <w:r>
              <w:rPr>
                <w:rFonts w:ascii="Times New Roman" w:eastAsia="Times New Roman"/>
                <w:w w:val="95"/>
                <w:sz w:val="20"/>
              </w:rPr>
              <w:t>PET</w:t>
            </w:r>
            <w:r>
              <w:rPr>
                <w:w w:val="95"/>
                <w:sz w:val="20"/>
              </w:rPr>
              <w:t>）等影像学检查证实，并须满足下列至少一项条件：</w:t>
            </w:r>
          </w:p>
          <w:p>
            <w:pPr>
              <w:pStyle w:val="TableParagraph"/>
              <w:spacing w:line="250" w:lineRule="exact" w:before="2"/>
              <w:jc w:val="both"/>
              <w:rPr>
                <w:sz w:val="20"/>
              </w:rPr>
            </w:pPr>
            <w:r>
              <w:rPr>
                <w:w w:val="95"/>
                <w:sz w:val="20"/>
              </w:rPr>
              <w:t>（</w:t>
            </w:r>
            <w:r>
              <w:rPr>
                <w:rFonts w:ascii="Times New Roman" w:eastAsia="Times New Roman"/>
                <w:w w:val="95"/>
                <w:sz w:val="20"/>
              </w:rPr>
              <w:t>1</w:t>
            </w:r>
            <w:r>
              <w:rPr>
                <w:w w:val="95"/>
                <w:sz w:val="20"/>
              </w:rPr>
              <w:t>）实际实施了开颅进行的脑肿瘤完全切除或部分切除的手术；</w:t>
            </w:r>
          </w:p>
          <w:p>
            <w:pPr>
              <w:pStyle w:val="TableParagraph"/>
              <w:spacing w:line="227" w:lineRule="exact"/>
              <w:jc w:val="both"/>
              <w:rPr>
                <w:sz w:val="20"/>
              </w:rPr>
            </w:pPr>
            <w:r>
              <w:rPr>
                <w:w w:val="95"/>
                <w:sz w:val="20"/>
              </w:rPr>
              <w:t>（</w:t>
            </w:r>
            <w:r>
              <w:rPr>
                <w:rFonts w:ascii="Times New Roman" w:eastAsia="Times New Roman"/>
                <w:w w:val="95"/>
                <w:sz w:val="20"/>
              </w:rPr>
              <w:t>2</w:t>
            </w:r>
            <w:r>
              <w:rPr>
                <w:w w:val="95"/>
                <w:sz w:val="20"/>
              </w:rPr>
              <w:t>）实际实施了对脑肿瘤进行的放射治疗。</w:t>
            </w:r>
          </w:p>
          <w:p>
            <w:pPr>
              <w:pStyle w:val="TableParagraph"/>
              <w:spacing w:line="307" w:lineRule="exact"/>
              <w:jc w:val="both"/>
              <w:rPr>
                <w:rFonts w:ascii="Microsoft JhengHei" w:eastAsia="Microsoft JhengHei" w:hint="eastAsia"/>
                <w:b/>
                <w:sz w:val="20"/>
              </w:rPr>
            </w:pPr>
            <w:r>
              <w:rPr>
                <w:rFonts w:ascii="Microsoft JhengHei" w:eastAsia="Microsoft JhengHei" w:hint="eastAsia"/>
                <w:b/>
                <w:sz w:val="20"/>
              </w:rPr>
              <w:t>脑垂体瘤、脑囊肿、脑血管性疾病不在保障范围内。</w:t>
            </w:r>
          </w:p>
        </w:tc>
      </w:tr>
      <w:tr>
        <w:trPr>
          <w:trHeight w:val="1602" w:hRule="atLeast"/>
        </w:trPr>
        <w:tc>
          <w:tcPr>
            <w:tcW w:w="1637" w:type="dxa"/>
          </w:tcPr>
          <w:p>
            <w:pPr>
              <w:pStyle w:val="TableParagraph"/>
              <w:spacing w:line="225" w:lineRule="auto" w:before="3"/>
              <w:ind w:right="101"/>
              <w:rPr>
                <w:sz w:val="20"/>
              </w:rPr>
            </w:pPr>
            <w:r>
              <w:rPr>
                <w:rFonts w:ascii="Times New Roman" w:eastAsia="Times New Roman"/>
                <w:sz w:val="20"/>
              </w:rPr>
              <w:t>10</w:t>
            </w:r>
            <w:r>
              <w:rPr>
                <w:sz w:val="20"/>
              </w:rPr>
              <w:t>．慢性肝功能</w:t>
            </w:r>
            <w:r>
              <w:rPr>
                <w:w w:val="95"/>
                <w:sz w:val="20"/>
              </w:rPr>
              <w:t>衰竭失代偿期</w:t>
            </w:r>
          </w:p>
        </w:tc>
        <w:tc>
          <w:tcPr>
            <w:tcW w:w="8211" w:type="dxa"/>
          </w:tcPr>
          <w:p>
            <w:pPr>
              <w:pStyle w:val="TableParagraph"/>
              <w:spacing w:line="247" w:lineRule="exact"/>
              <w:rPr>
                <w:sz w:val="20"/>
              </w:rPr>
            </w:pPr>
            <w:r>
              <w:rPr>
                <w:w w:val="95"/>
                <w:sz w:val="20"/>
              </w:rPr>
              <w:t>指因慢性肝脏疾病导致肝功能衰竭。须满足下列全部条件：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）持续性黄疸；</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）腹水；</w:t>
            </w:r>
          </w:p>
          <w:p>
            <w:pPr>
              <w:pStyle w:val="TableParagraph"/>
              <w:spacing w:line="259" w:lineRule="exact"/>
              <w:rPr>
                <w:sz w:val="20"/>
              </w:rPr>
            </w:pPr>
            <w:r>
              <w:rPr>
                <w:w w:val="95"/>
                <w:sz w:val="20"/>
              </w:rPr>
              <w:t>（</w:t>
            </w:r>
            <w:r>
              <w:rPr>
                <w:rFonts w:ascii="Times New Roman" w:eastAsia="Times New Roman"/>
                <w:w w:val="95"/>
                <w:sz w:val="20"/>
              </w:rPr>
              <w:t>3</w:t>
            </w:r>
            <w:r>
              <w:rPr>
                <w:w w:val="95"/>
                <w:sz w:val="20"/>
              </w:rPr>
              <w:t>）肝性脑病；</w:t>
            </w:r>
          </w:p>
          <w:p>
            <w:pPr>
              <w:pStyle w:val="TableParagraph"/>
              <w:spacing w:line="182" w:lineRule="auto" w:before="57"/>
              <w:ind w:right="3195" w:hanging="1"/>
              <w:rPr>
                <w:rFonts w:ascii="Microsoft JhengHei" w:eastAsia="Microsoft JhengHei" w:hint="eastAsia"/>
                <w:b/>
                <w:sz w:val="20"/>
              </w:rPr>
            </w:pPr>
            <w:r>
              <w:rPr>
                <w:w w:val="95"/>
                <w:sz w:val="20"/>
              </w:rPr>
              <w:t>（</w:t>
            </w:r>
            <w:r>
              <w:rPr>
                <w:rFonts w:ascii="Times New Roman" w:eastAsia="Times New Roman"/>
                <w:w w:val="95"/>
                <w:sz w:val="20"/>
              </w:rPr>
              <w:t>4</w:t>
            </w:r>
            <w:r>
              <w:rPr>
                <w:w w:val="95"/>
                <w:sz w:val="20"/>
              </w:rPr>
              <w:t>）充血性脾肿大伴脾功能亢进或食管胃底静脉曲张。 </w:t>
            </w:r>
            <w:r>
              <w:rPr>
                <w:rFonts w:ascii="Microsoft JhengHei" w:eastAsia="Microsoft JhengHei" w:hint="eastAsia"/>
                <w:b/>
                <w:sz w:val="20"/>
              </w:rPr>
              <w:t>因酗酒或药物滥用导致的肝功能衰竭不在保障范围内。</w:t>
            </w:r>
          </w:p>
        </w:tc>
      </w:tr>
      <w:tr>
        <w:trPr>
          <w:trHeight w:val="1341" w:hRule="atLeast"/>
        </w:trPr>
        <w:tc>
          <w:tcPr>
            <w:tcW w:w="1637" w:type="dxa"/>
          </w:tcPr>
          <w:p>
            <w:pPr>
              <w:pStyle w:val="TableParagraph"/>
              <w:spacing w:line="225" w:lineRule="auto" w:before="1"/>
              <w:ind w:right="101"/>
              <w:rPr>
                <w:sz w:val="20"/>
              </w:rPr>
            </w:pPr>
            <w:r>
              <w:rPr>
                <w:rFonts w:ascii="Times New Roman" w:eastAsia="Times New Roman"/>
                <w:sz w:val="20"/>
              </w:rPr>
              <w:t>11</w:t>
            </w:r>
            <w:r>
              <w:rPr>
                <w:sz w:val="20"/>
              </w:rPr>
              <w:t>．脑炎后遗症</w:t>
            </w:r>
            <w:r>
              <w:rPr>
                <w:w w:val="95"/>
                <w:sz w:val="20"/>
              </w:rPr>
              <w:t>或脑膜炎后遗症</w:t>
            </w:r>
          </w:p>
        </w:tc>
        <w:tc>
          <w:tcPr>
            <w:tcW w:w="8211" w:type="dxa"/>
          </w:tcPr>
          <w:p>
            <w:pPr>
              <w:pStyle w:val="TableParagraph"/>
              <w:spacing w:line="260" w:lineRule="exact" w:before="10"/>
              <w:ind w:right="99" w:hanging="1"/>
              <w:rPr>
                <w:sz w:val="20"/>
              </w:rPr>
            </w:pPr>
            <w:r>
              <w:rPr>
                <w:spacing w:val="-2"/>
                <w:w w:val="95"/>
                <w:sz w:val="20"/>
              </w:rPr>
              <w:t>指因患脑炎或脑膜炎导致的神经系统永久性的功能障碍。神经系统永久性的功能障碍，指疾   </w:t>
            </w:r>
            <w:r>
              <w:rPr>
                <w:spacing w:val="-16"/>
                <w:sz w:val="20"/>
              </w:rPr>
              <w:t>病确诊 </w:t>
            </w:r>
            <w:r>
              <w:rPr>
                <w:rFonts w:ascii="Times New Roman" w:eastAsia="Times New Roman"/>
                <w:sz w:val="20"/>
              </w:rPr>
              <w:t>180 </w:t>
            </w:r>
            <w:r>
              <w:rPr>
                <w:sz w:val="20"/>
              </w:rPr>
              <w:t>天后，仍遗留下列一种或一种以上障碍：</w:t>
            </w:r>
          </w:p>
          <w:p>
            <w:pPr>
              <w:pStyle w:val="TableParagraph"/>
              <w:spacing w:line="244" w:lineRule="exact"/>
              <w:rPr>
                <w:sz w:val="20"/>
              </w:rPr>
            </w:pPr>
            <w:r>
              <w:rPr>
                <w:w w:val="95"/>
                <w:sz w:val="20"/>
              </w:rPr>
              <w:t>（</w:t>
            </w:r>
            <w:r>
              <w:rPr>
                <w:rFonts w:ascii="Times New Roman" w:eastAsia="Times New Roman"/>
                <w:w w:val="95"/>
                <w:sz w:val="20"/>
              </w:rPr>
              <w:t>1</w:t>
            </w:r>
            <w:r>
              <w:rPr>
                <w:w w:val="95"/>
                <w:sz w:val="20"/>
              </w:rPr>
              <w:t>）一肢或一肢以上肢体机能完全丧失；</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）语言能力或咀嚼吞咽能力完全丧失；</w:t>
            </w:r>
          </w:p>
          <w:p>
            <w:pPr>
              <w:pStyle w:val="TableParagraph"/>
              <w:spacing w:line="268" w:lineRule="exact"/>
              <w:rPr>
                <w:sz w:val="20"/>
              </w:rPr>
            </w:pPr>
            <w:r>
              <w:rPr>
                <w:w w:val="95"/>
                <w:sz w:val="20"/>
              </w:rPr>
              <w:t>（</w:t>
            </w:r>
            <w:r>
              <w:rPr>
                <w:rFonts w:ascii="Times New Roman" w:eastAsia="Times New Roman"/>
                <w:w w:val="95"/>
                <w:sz w:val="20"/>
              </w:rPr>
              <w:t>3</w:t>
            </w:r>
            <w:r>
              <w:rPr>
                <w:w w:val="95"/>
                <w:sz w:val="20"/>
              </w:rPr>
              <w:t>）自主生活能力完全丧失，无法独立完成六项基本日常生活活动中的三项或三项以上。</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12</w:t>
            </w:r>
            <w:r>
              <w:rPr>
                <w:w w:val="95"/>
                <w:sz w:val="20"/>
              </w:rPr>
              <w:t>．双耳失聪</w:t>
            </w:r>
          </w:p>
        </w:tc>
        <w:tc>
          <w:tcPr>
            <w:tcW w:w="8211" w:type="dxa"/>
          </w:tcPr>
          <w:p>
            <w:pPr>
              <w:pStyle w:val="TableParagraph"/>
              <w:spacing w:line="259" w:lineRule="exact"/>
              <w:rPr>
                <w:sz w:val="20"/>
              </w:rPr>
            </w:pPr>
            <w:r>
              <w:rPr>
                <w:sz w:val="20"/>
              </w:rPr>
              <w:t>指因疾病或意外伤害导致双耳听力</w:t>
            </w:r>
            <w:r>
              <w:rPr>
                <w:rFonts w:ascii="Microsoft JhengHei" w:eastAsia="Microsoft JhengHei" w:hint="eastAsia"/>
                <w:b/>
                <w:sz w:val="20"/>
              </w:rPr>
              <w:t>永久不可逆</w:t>
            </w:r>
            <w:r>
              <w:rPr>
                <w:rFonts w:ascii="Microsoft JhengHei" w:eastAsia="Microsoft JhengHei" w:hint="eastAsia"/>
                <w:b/>
                <w:position w:val="10"/>
                <w:sz w:val="10"/>
              </w:rPr>
              <w:t>[14]</w:t>
            </w:r>
            <w:r>
              <w:rPr>
                <w:sz w:val="20"/>
              </w:rPr>
              <w:t>性丧失，在 </w:t>
            </w:r>
            <w:r>
              <w:rPr>
                <w:rFonts w:ascii="Times New Roman" w:eastAsia="Times New Roman"/>
                <w:sz w:val="20"/>
              </w:rPr>
              <w:t>500 </w:t>
            </w:r>
            <w:r>
              <w:rPr>
                <w:sz w:val="20"/>
              </w:rPr>
              <w:t>赫兹、</w:t>
            </w:r>
            <w:r>
              <w:rPr>
                <w:rFonts w:ascii="Times New Roman" w:eastAsia="Times New Roman"/>
                <w:sz w:val="20"/>
              </w:rPr>
              <w:t>1000 </w:t>
            </w:r>
            <w:r>
              <w:rPr>
                <w:sz w:val="20"/>
              </w:rPr>
              <w:t>赫兹和 </w:t>
            </w:r>
            <w:r>
              <w:rPr>
                <w:rFonts w:ascii="Times New Roman" w:eastAsia="Times New Roman"/>
                <w:sz w:val="20"/>
              </w:rPr>
              <w:t>2000 </w:t>
            </w:r>
            <w:r>
              <w:rPr>
                <w:sz w:val="20"/>
              </w:rPr>
              <w:t>赫</w:t>
            </w:r>
          </w:p>
          <w:p>
            <w:pPr>
              <w:pStyle w:val="TableParagraph"/>
              <w:spacing w:line="225" w:lineRule="auto" w:before="4"/>
              <w:ind w:right="99" w:hanging="1"/>
              <w:rPr>
                <w:sz w:val="20"/>
              </w:rPr>
            </w:pPr>
            <w:r>
              <w:rPr>
                <w:spacing w:val="-9"/>
                <w:sz w:val="20"/>
              </w:rPr>
              <w:t>兹语音频率下，平均听阈大于 </w:t>
            </w:r>
            <w:r>
              <w:rPr>
                <w:rFonts w:ascii="Times New Roman" w:eastAsia="Times New Roman"/>
                <w:sz w:val="20"/>
              </w:rPr>
              <w:t>90 </w:t>
            </w:r>
            <w:r>
              <w:rPr>
                <w:spacing w:val="-9"/>
                <w:sz w:val="20"/>
              </w:rPr>
              <w:t>分贝，且经纯音听力测试、声导抗检测或听觉诱发电位检测</w:t>
            </w:r>
            <w:r>
              <w:rPr>
                <w:spacing w:val="-9"/>
                <w:w w:val="95"/>
                <w:sz w:val="20"/>
              </w:rPr>
              <w:t>等证实。</w:t>
            </w:r>
          </w:p>
        </w:tc>
      </w:tr>
      <w:tr>
        <w:trPr>
          <w:trHeight w:val="1343" w:hRule="atLeast"/>
        </w:trPr>
        <w:tc>
          <w:tcPr>
            <w:tcW w:w="1637" w:type="dxa"/>
          </w:tcPr>
          <w:p>
            <w:pPr>
              <w:pStyle w:val="TableParagraph"/>
              <w:spacing w:line="264" w:lineRule="exact"/>
              <w:rPr>
                <w:sz w:val="20"/>
              </w:rPr>
            </w:pPr>
            <w:r>
              <w:rPr>
                <w:rFonts w:ascii="Times New Roman" w:eastAsia="Times New Roman"/>
                <w:w w:val="95"/>
                <w:sz w:val="20"/>
              </w:rPr>
              <w:t>13</w:t>
            </w:r>
            <w:r>
              <w:rPr>
                <w:w w:val="95"/>
                <w:sz w:val="20"/>
              </w:rPr>
              <w:t>．双目失明</w:t>
            </w:r>
          </w:p>
        </w:tc>
        <w:tc>
          <w:tcPr>
            <w:tcW w:w="8211" w:type="dxa"/>
          </w:tcPr>
          <w:p>
            <w:pPr>
              <w:pStyle w:val="TableParagraph"/>
              <w:spacing w:line="237" w:lineRule="auto"/>
              <w:ind w:right="101"/>
              <w:rPr>
                <w:sz w:val="20"/>
              </w:rPr>
            </w:pPr>
            <w:r>
              <w:rPr>
                <w:spacing w:val="-1"/>
                <w:w w:val="95"/>
                <w:sz w:val="20"/>
              </w:rPr>
              <w:t>指因疾病或意外伤害导致双眼视力永久不可逆性丧失，双眼中较好眼须满足下列至少一项条   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）眼球缺失或摘除；</w:t>
            </w:r>
          </w:p>
          <w:p>
            <w:pPr>
              <w:pStyle w:val="TableParagraph"/>
              <w:spacing w:line="259" w:lineRule="exact"/>
              <w:rPr>
                <w:sz w:val="20"/>
              </w:rPr>
            </w:pPr>
            <w:r>
              <w:rPr>
                <w:sz w:val="20"/>
              </w:rPr>
              <w:t>（</w:t>
            </w:r>
            <w:r>
              <w:rPr>
                <w:rFonts w:ascii="Times New Roman" w:eastAsia="Times New Roman"/>
                <w:sz w:val="20"/>
              </w:rPr>
              <w:t>2</w:t>
            </w:r>
            <w:r>
              <w:rPr>
                <w:sz w:val="20"/>
              </w:rPr>
              <w:t>）矫正视力低于 </w:t>
            </w:r>
            <w:r>
              <w:rPr>
                <w:rFonts w:ascii="Times New Roman" w:eastAsia="Times New Roman"/>
                <w:sz w:val="20"/>
              </w:rPr>
              <w:t>0.02</w:t>
            </w:r>
            <w:r>
              <w:rPr>
                <w:sz w:val="20"/>
              </w:rPr>
              <w:t>（采用国际标准视力表，如果使用其它视力表应进行换算）；</w:t>
            </w:r>
          </w:p>
          <w:p>
            <w:pPr>
              <w:pStyle w:val="TableParagraph"/>
              <w:spacing w:line="268" w:lineRule="exact"/>
              <w:rPr>
                <w:sz w:val="20"/>
              </w:rPr>
            </w:pPr>
            <w:r>
              <w:rPr>
                <w:sz w:val="20"/>
              </w:rPr>
              <w:t>（</w:t>
            </w:r>
            <w:r>
              <w:rPr>
                <w:rFonts w:ascii="Times New Roman" w:eastAsia="Times New Roman"/>
                <w:sz w:val="20"/>
              </w:rPr>
              <w:t>3</w:t>
            </w:r>
            <w:r>
              <w:rPr>
                <w:sz w:val="20"/>
              </w:rPr>
              <w:t>）视野半径小于 </w:t>
            </w:r>
            <w:r>
              <w:rPr>
                <w:rFonts w:ascii="Times New Roman" w:eastAsia="Times New Roman"/>
                <w:sz w:val="20"/>
              </w:rPr>
              <w:t>5 </w:t>
            </w:r>
            <w:r>
              <w:rPr>
                <w:sz w:val="20"/>
              </w:rPr>
              <w:t>度。</w:t>
            </w:r>
          </w:p>
        </w:tc>
      </w:tr>
      <w:tr>
        <w:trPr>
          <w:trHeight w:val="822" w:hRule="atLeast"/>
        </w:trPr>
        <w:tc>
          <w:tcPr>
            <w:tcW w:w="1637" w:type="dxa"/>
          </w:tcPr>
          <w:p>
            <w:pPr>
              <w:pStyle w:val="TableParagraph"/>
              <w:spacing w:line="261" w:lineRule="exact"/>
              <w:rPr>
                <w:sz w:val="20"/>
              </w:rPr>
            </w:pPr>
            <w:r>
              <w:rPr>
                <w:rFonts w:ascii="Times New Roman" w:eastAsia="Times New Roman"/>
                <w:w w:val="95"/>
                <w:sz w:val="20"/>
              </w:rPr>
              <w:t>14</w:t>
            </w:r>
            <w:r>
              <w:rPr>
                <w:w w:val="95"/>
                <w:sz w:val="20"/>
              </w:rPr>
              <w:t>．瘫痪</w:t>
            </w:r>
          </w:p>
        </w:tc>
        <w:tc>
          <w:tcPr>
            <w:tcW w:w="8211" w:type="dxa"/>
          </w:tcPr>
          <w:p>
            <w:pPr>
              <w:pStyle w:val="TableParagraph"/>
              <w:spacing w:line="230" w:lineRule="auto"/>
              <w:ind w:right="94"/>
              <w:jc w:val="both"/>
              <w:rPr>
                <w:sz w:val="20"/>
              </w:rPr>
            </w:pPr>
            <w:r>
              <w:rPr>
                <w:w w:val="95"/>
                <w:sz w:val="20"/>
              </w:rPr>
              <w:t>指因疾病或意外伤害导致两肢或两肢以上肢体机能永久完全丧失。肢体机能永久完全丧失，   </w:t>
            </w:r>
            <w:r>
              <w:rPr>
                <w:spacing w:val="-8"/>
                <w:sz w:val="20"/>
              </w:rPr>
              <w:t>指疾病确诊 </w:t>
            </w:r>
            <w:r>
              <w:rPr>
                <w:rFonts w:ascii="Times New Roman" w:eastAsia="Times New Roman"/>
                <w:sz w:val="20"/>
              </w:rPr>
              <w:t>180</w:t>
            </w:r>
            <w:r>
              <w:rPr>
                <w:rFonts w:ascii="Times New Roman" w:eastAsia="Times New Roman"/>
                <w:spacing w:val="-12"/>
                <w:sz w:val="20"/>
              </w:rPr>
              <w:t> </w:t>
            </w:r>
            <w:r>
              <w:rPr>
                <w:spacing w:val="-5"/>
                <w:sz w:val="20"/>
              </w:rPr>
              <w:t>天后或意外伤害发生 </w:t>
            </w:r>
            <w:r>
              <w:rPr>
                <w:rFonts w:ascii="Times New Roman" w:eastAsia="Times New Roman"/>
                <w:sz w:val="20"/>
              </w:rPr>
              <w:t>180</w:t>
            </w:r>
            <w:r>
              <w:rPr>
                <w:rFonts w:ascii="Times New Roman" w:eastAsia="Times New Roman"/>
                <w:spacing w:val="-12"/>
                <w:sz w:val="20"/>
              </w:rPr>
              <w:t> </w:t>
            </w:r>
            <w:r>
              <w:rPr>
                <w:sz w:val="20"/>
              </w:rPr>
              <w:t>天后，每肢三大关节中的两大关节仍然完全僵硬， </w:t>
            </w:r>
            <w:r>
              <w:rPr>
                <w:w w:val="95"/>
                <w:sz w:val="20"/>
              </w:rPr>
              <w:t>或不能随意识活动。</w:t>
            </w:r>
          </w:p>
        </w:tc>
      </w:tr>
      <w:tr>
        <w:trPr>
          <w:trHeight w:val="566" w:hRule="atLeast"/>
        </w:trPr>
        <w:tc>
          <w:tcPr>
            <w:tcW w:w="1637" w:type="dxa"/>
          </w:tcPr>
          <w:p>
            <w:pPr>
              <w:pStyle w:val="TableParagraph"/>
              <w:spacing w:line="225" w:lineRule="auto" w:before="3"/>
              <w:ind w:right="101"/>
              <w:rPr>
                <w:sz w:val="20"/>
              </w:rPr>
            </w:pPr>
            <w:r>
              <w:rPr>
                <w:rFonts w:ascii="Times New Roman" w:eastAsia="Times New Roman"/>
                <w:sz w:val="20"/>
              </w:rPr>
              <w:t>15</w:t>
            </w:r>
            <w:r>
              <w:rPr>
                <w:sz w:val="20"/>
              </w:rPr>
              <w:t>．心脏瓣膜手术</w:t>
            </w:r>
          </w:p>
        </w:tc>
        <w:tc>
          <w:tcPr>
            <w:tcW w:w="8211" w:type="dxa"/>
          </w:tcPr>
          <w:p>
            <w:pPr>
              <w:pStyle w:val="TableParagraph"/>
              <w:spacing w:line="249" w:lineRule="exact"/>
              <w:rPr>
                <w:sz w:val="20"/>
              </w:rPr>
            </w:pPr>
            <w:r>
              <w:rPr>
                <w:w w:val="95"/>
                <w:sz w:val="20"/>
              </w:rPr>
              <w:t>指为治疗心脏瓣膜疾病，实际实施了开胸进行的心脏瓣膜置换或修复的手术。</w:t>
            </w:r>
          </w:p>
        </w:tc>
      </w:tr>
    </w:tbl>
    <w:p>
      <w:pPr>
        <w:spacing w:after="0" w:line="249" w:lineRule="exact"/>
        <w:rPr>
          <w:sz w:val="20"/>
        </w:rPr>
        <w:sectPr>
          <w:pgSz w:w="11900" w:h="16840"/>
          <w:pgMar w:header="0" w:footer="676"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3" w:hRule="atLeast"/>
        </w:trPr>
        <w:tc>
          <w:tcPr>
            <w:tcW w:w="1637" w:type="dxa"/>
            <w:shd w:val="clear" w:color="auto" w:fill="D8D8D8"/>
          </w:tcPr>
          <w:p>
            <w:pPr>
              <w:pStyle w:val="TableParagraph"/>
              <w:spacing w:line="279" w:lineRule="exact"/>
              <w:ind w:left="120" w:right="116"/>
              <w:jc w:val="center"/>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79"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1343" w:hRule="atLeast"/>
        </w:trPr>
        <w:tc>
          <w:tcPr>
            <w:tcW w:w="1637" w:type="dxa"/>
          </w:tcPr>
          <w:p>
            <w:pPr>
              <w:pStyle w:val="TableParagraph"/>
              <w:spacing w:line="225" w:lineRule="auto" w:before="3"/>
              <w:ind w:right="101"/>
              <w:rPr>
                <w:sz w:val="20"/>
              </w:rPr>
            </w:pPr>
            <w:r>
              <w:rPr>
                <w:rFonts w:ascii="Times New Roman" w:eastAsia="Times New Roman"/>
                <w:sz w:val="20"/>
              </w:rPr>
              <w:t>16</w:t>
            </w:r>
            <w:r>
              <w:rPr>
                <w:sz w:val="20"/>
              </w:rPr>
              <w:t>．严重阿尔茨</w:t>
            </w:r>
            <w:r>
              <w:rPr>
                <w:w w:val="95"/>
                <w:sz w:val="20"/>
              </w:rPr>
              <w:t>海默病</w:t>
            </w:r>
          </w:p>
        </w:tc>
        <w:tc>
          <w:tcPr>
            <w:tcW w:w="8211" w:type="dxa"/>
          </w:tcPr>
          <w:p>
            <w:pPr>
              <w:pStyle w:val="TableParagraph"/>
              <w:spacing w:line="228" w:lineRule="auto"/>
              <w:ind w:right="1"/>
              <w:rPr>
                <w:sz w:val="20"/>
              </w:rPr>
            </w:pPr>
            <w:r>
              <w:rPr>
                <w:spacing w:val="-9"/>
                <w:w w:val="95"/>
                <w:sz w:val="20"/>
              </w:rPr>
              <w:t>指因大脑进行性、不可逆性改变导致智能严重衰退或丧失，临床表现为明显的认知能力障碍、   </w:t>
            </w:r>
            <w:r>
              <w:rPr>
                <w:spacing w:val="-9"/>
                <w:sz w:val="20"/>
              </w:rPr>
              <w:t>行为异常和社交能力减退，其日常生活必须持续受到他人监护。须由头颅断层扫描（</w:t>
            </w:r>
            <w:r>
              <w:rPr>
                <w:rFonts w:ascii="Times New Roman" w:eastAsia="Times New Roman"/>
                <w:spacing w:val="-9"/>
                <w:sz w:val="20"/>
              </w:rPr>
              <w:t>CT</w:t>
            </w:r>
            <w:r>
              <w:rPr>
                <w:spacing w:val="-9"/>
                <w:sz w:val="20"/>
              </w:rPr>
              <w:t>）、核磁共振检查（</w:t>
            </w:r>
            <w:r>
              <w:rPr>
                <w:rFonts w:ascii="Times New Roman" w:eastAsia="Times New Roman"/>
                <w:spacing w:val="-9"/>
                <w:sz w:val="20"/>
              </w:rPr>
              <w:t>MRI</w:t>
            </w:r>
            <w:r>
              <w:rPr>
                <w:spacing w:val="-9"/>
                <w:sz w:val="20"/>
              </w:rPr>
              <w:t>）</w:t>
            </w:r>
            <w:r>
              <w:rPr>
                <w:spacing w:val="-2"/>
                <w:sz w:val="20"/>
              </w:rPr>
              <w:t>或正电子发射断层扫描</w:t>
            </w:r>
            <w:r>
              <w:rPr>
                <w:sz w:val="20"/>
              </w:rPr>
              <w:t>（</w:t>
            </w:r>
            <w:r>
              <w:rPr>
                <w:rFonts w:ascii="Times New Roman" w:eastAsia="Times New Roman"/>
                <w:sz w:val="20"/>
              </w:rPr>
              <w:t>PET</w:t>
            </w:r>
            <w:r>
              <w:rPr>
                <w:sz w:val="20"/>
              </w:rPr>
              <w:t>）等影像学检查证实，且自主生活能力</w:t>
            </w:r>
            <w:r>
              <w:rPr>
                <w:w w:val="95"/>
                <w:sz w:val="20"/>
              </w:rPr>
              <w:t>完全丧失，无法独立完成六项基本日常生活活动中的三项或三项以上。</w:t>
            </w:r>
          </w:p>
          <w:p>
            <w:pPr>
              <w:pStyle w:val="TableParagraph"/>
              <w:spacing w:line="282" w:lineRule="exact"/>
              <w:rPr>
                <w:rFonts w:ascii="Microsoft JhengHei" w:eastAsia="Microsoft JhengHei" w:hint="eastAsia"/>
                <w:b/>
                <w:sz w:val="20"/>
              </w:rPr>
            </w:pPr>
            <w:r>
              <w:rPr>
                <w:rFonts w:ascii="Microsoft JhengHei" w:eastAsia="Microsoft JhengHei" w:hint="eastAsia"/>
                <w:b/>
                <w:sz w:val="20"/>
              </w:rPr>
              <w:t>神经官能症和精神疾病不在保障范围内。</w:t>
            </w:r>
          </w:p>
        </w:tc>
      </w:tr>
      <w:tr>
        <w:trPr>
          <w:trHeight w:val="1602" w:hRule="atLeast"/>
        </w:trPr>
        <w:tc>
          <w:tcPr>
            <w:tcW w:w="1637" w:type="dxa"/>
          </w:tcPr>
          <w:p>
            <w:pPr>
              <w:pStyle w:val="TableParagraph"/>
              <w:spacing w:line="264" w:lineRule="exact"/>
              <w:ind w:left="120" w:right="137"/>
              <w:jc w:val="center"/>
              <w:rPr>
                <w:sz w:val="20"/>
              </w:rPr>
            </w:pPr>
            <w:r>
              <w:rPr>
                <w:rFonts w:ascii="Times New Roman" w:eastAsia="Times New Roman"/>
                <w:w w:val="95"/>
                <w:sz w:val="20"/>
              </w:rPr>
              <w:t>17</w:t>
            </w:r>
            <w:r>
              <w:rPr>
                <w:w w:val="95"/>
                <w:sz w:val="20"/>
              </w:rPr>
              <w:t>．严重脑损伤</w:t>
            </w:r>
          </w:p>
        </w:tc>
        <w:tc>
          <w:tcPr>
            <w:tcW w:w="8211" w:type="dxa"/>
          </w:tcPr>
          <w:p>
            <w:pPr>
              <w:pStyle w:val="TableParagraph"/>
              <w:spacing w:line="230" w:lineRule="auto"/>
              <w:ind w:right="97"/>
              <w:jc w:val="both"/>
              <w:rPr>
                <w:sz w:val="20"/>
              </w:rPr>
            </w:pPr>
            <w:r>
              <w:rPr>
                <w:spacing w:val="-2"/>
                <w:sz w:val="20"/>
              </w:rPr>
              <w:t>指因头部遭受机械性外力，引起脑重要部位损伤，导致神经系统永久性的功能障碍。须由头颅断层扫描（</w:t>
            </w:r>
            <w:r>
              <w:rPr>
                <w:rFonts w:ascii="Times New Roman" w:eastAsia="Times New Roman"/>
                <w:spacing w:val="-2"/>
                <w:sz w:val="20"/>
              </w:rPr>
              <w:t>CT</w:t>
            </w:r>
            <w:r>
              <w:rPr>
                <w:spacing w:val="-2"/>
                <w:sz w:val="20"/>
              </w:rPr>
              <w:t>）、核磁共振检查（</w:t>
            </w:r>
            <w:r>
              <w:rPr>
                <w:rFonts w:ascii="Times New Roman" w:eastAsia="Times New Roman"/>
                <w:spacing w:val="-2"/>
                <w:sz w:val="20"/>
              </w:rPr>
              <w:t>MRI</w:t>
            </w:r>
            <w:r>
              <w:rPr>
                <w:spacing w:val="-2"/>
                <w:sz w:val="20"/>
              </w:rPr>
              <w:t>）或正电子发射断层扫描（</w:t>
            </w:r>
            <w:r>
              <w:rPr>
                <w:rFonts w:ascii="Times New Roman" w:eastAsia="Times New Roman"/>
                <w:spacing w:val="-2"/>
                <w:sz w:val="20"/>
              </w:rPr>
              <w:t>PET</w:t>
            </w:r>
            <w:r>
              <w:rPr>
                <w:spacing w:val="-2"/>
                <w:sz w:val="20"/>
              </w:rPr>
              <w:t>）等影像学检查证</w:t>
            </w:r>
            <w:r>
              <w:rPr>
                <w:spacing w:val="-5"/>
                <w:sz w:val="20"/>
              </w:rPr>
              <w:t>实。神经系统永久性的功能障碍，指脑损伤 </w:t>
            </w:r>
            <w:r>
              <w:rPr>
                <w:rFonts w:ascii="Times New Roman" w:eastAsia="Times New Roman"/>
                <w:sz w:val="20"/>
              </w:rPr>
              <w:t>180 </w:t>
            </w:r>
            <w:r>
              <w:rPr>
                <w:sz w:val="20"/>
              </w:rPr>
              <w:t>天后，仍遗留下列一种或一种以上障碍：</w:t>
            </w:r>
          </w:p>
          <w:p>
            <w:pPr>
              <w:pStyle w:val="TableParagraph"/>
              <w:spacing w:line="250" w:lineRule="exact" w:before="2"/>
              <w:jc w:val="both"/>
              <w:rPr>
                <w:sz w:val="20"/>
              </w:rPr>
            </w:pPr>
            <w:r>
              <w:rPr>
                <w:w w:val="95"/>
                <w:sz w:val="20"/>
              </w:rPr>
              <w:t>（</w:t>
            </w:r>
            <w:r>
              <w:rPr>
                <w:rFonts w:ascii="Times New Roman" w:eastAsia="Times New Roman"/>
                <w:w w:val="95"/>
                <w:sz w:val="20"/>
              </w:rPr>
              <w:t>1</w:t>
            </w:r>
            <w:r>
              <w:rPr>
                <w:w w:val="95"/>
                <w:sz w:val="20"/>
              </w:rPr>
              <w:t>）一肢或一肢以上肢体机能完全丧失；</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）语言能力或咀嚼吞咽能力完全丧失；</w:t>
            </w:r>
          </w:p>
          <w:p>
            <w:pPr>
              <w:pStyle w:val="TableParagraph"/>
              <w:spacing w:line="268" w:lineRule="exact"/>
              <w:jc w:val="both"/>
              <w:rPr>
                <w:sz w:val="20"/>
              </w:rPr>
            </w:pPr>
            <w:r>
              <w:rPr>
                <w:w w:val="95"/>
                <w:sz w:val="20"/>
              </w:rPr>
              <w:t>（</w:t>
            </w:r>
            <w:r>
              <w:rPr>
                <w:rFonts w:ascii="Times New Roman" w:eastAsia="Times New Roman"/>
                <w:w w:val="95"/>
                <w:sz w:val="20"/>
              </w:rPr>
              <w:t>3</w:t>
            </w:r>
            <w:r>
              <w:rPr>
                <w:w w:val="95"/>
                <w:sz w:val="20"/>
              </w:rPr>
              <w:t>）自主生活能力完全丧失，无法独立完成六项基本日常生活活动中的三项或三项以上。</w:t>
            </w:r>
          </w:p>
        </w:tc>
      </w:tr>
      <w:tr>
        <w:trPr>
          <w:trHeight w:val="1341" w:hRule="atLeast"/>
        </w:trPr>
        <w:tc>
          <w:tcPr>
            <w:tcW w:w="1637" w:type="dxa"/>
          </w:tcPr>
          <w:p>
            <w:pPr>
              <w:pStyle w:val="TableParagraph"/>
              <w:spacing w:line="225" w:lineRule="auto" w:before="1"/>
              <w:ind w:right="101"/>
              <w:rPr>
                <w:sz w:val="20"/>
              </w:rPr>
            </w:pPr>
            <w:r>
              <w:rPr>
                <w:rFonts w:ascii="Times New Roman" w:eastAsia="Times New Roman"/>
                <w:sz w:val="20"/>
              </w:rPr>
              <w:t>18</w:t>
            </w:r>
            <w:r>
              <w:rPr>
                <w:sz w:val="20"/>
              </w:rPr>
              <w:t>．严重帕金森病</w:t>
            </w:r>
          </w:p>
        </w:tc>
        <w:tc>
          <w:tcPr>
            <w:tcW w:w="8211" w:type="dxa"/>
          </w:tcPr>
          <w:p>
            <w:pPr>
              <w:pStyle w:val="TableParagraph"/>
              <w:spacing w:line="260" w:lineRule="exact" w:before="10"/>
              <w:ind w:right="61"/>
              <w:rPr>
                <w:sz w:val="20"/>
              </w:rPr>
            </w:pPr>
            <w:r>
              <w:rPr>
                <w:sz w:val="20"/>
              </w:rPr>
              <w:t>是一种中枢神经系统的退行性疾病，临床表现为震颤麻痹、共济失调等。须满足下列全部条</w:t>
            </w:r>
            <w:r>
              <w:rPr>
                <w:w w:val="95"/>
                <w:sz w:val="20"/>
              </w:rPr>
              <w:t>件：</w:t>
            </w:r>
          </w:p>
          <w:p>
            <w:pPr>
              <w:pStyle w:val="TableParagraph"/>
              <w:spacing w:line="243" w:lineRule="exact"/>
              <w:rPr>
                <w:sz w:val="20"/>
              </w:rPr>
            </w:pPr>
            <w:r>
              <w:rPr>
                <w:w w:val="95"/>
                <w:sz w:val="20"/>
              </w:rPr>
              <w:t>（</w:t>
            </w:r>
            <w:r>
              <w:rPr>
                <w:rFonts w:ascii="Times New Roman" w:eastAsia="Times New Roman"/>
                <w:w w:val="95"/>
                <w:sz w:val="20"/>
              </w:rPr>
              <w:t>1</w:t>
            </w:r>
            <w:r>
              <w:rPr>
                <w:w w:val="95"/>
                <w:sz w:val="20"/>
              </w:rPr>
              <w:t>）药物治疗无法控制病情；</w:t>
            </w:r>
          </w:p>
          <w:p>
            <w:pPr>
              <w:pStyle w:val="TableParagraph"/>
              <w:spacing w:line="182" w:lineRule="auto" w:before="59"/>
              <w:ind w:right="197" w:hanging="1"/>
              <w:rPr>
                <w:rFonts w:ascii="Microsoft JhengHei" w:eastAsia="Microsoft JhengHei" w:hint="eastAsia"/>
                <w:b/>
                <w:sz w:val="20"/>
              </w:rPr>
            </w:pPr>
            <w:r>
              <w:rPr>
                <w:w w:val="95"/>
                <w:sz w:val="20"/>
              </w:rPr>
              <w:t>（</w:t>
            </w:r>
            <w:r>
              <w:rPr>
                <w:rFonts w:ascii="Times New Roman" w:eastAsia="Times New Roman"/>
                <w:w w:val="95"/>
                <w:sz w:val="20"/>
              </w:rPr>
              <w:t>2</w:t>
            </w:r>
            <w:r>
              <w:rPr>
                <w:w w:val="95"/>
                <w:sz w:val="20"/>
              </w:rPr>
              <w:t>）自主生活能力完全丧失，无法独立完成六项基本日常生活活动中的三项或三项以上。   </w:t>
            </w:r>
            <w:r>
              <w:rPr>
                <w:rFonts w:ascii="Microsoft JhengHei" w:eastAsia="Microsoft JhengHei" w:hint="eastAsia"/>
                <w:b/>
                <w:sz w:val="20"/>
              </w:rPr>
              <w:t>继发性帕金森综合征不在保障范围内。</w:t>
            </w:r>
          </w:p>
        </w:tc>
      </w:tr>
      <w:tr>
        <w:trPr>
          <w:trHeight w:val="565" w:hRule="atLeast"/>
        </w:trPr>
        <w:tc>
          <w:tcPr>
            <w:tcW w:w="1637" w:type="dxa"/>
          </w:tcPr>
          <w:p>
            <w:pPr>
              <w:pStyle w:val="TableParagraph"/>
              <w:spacing w:line="225" w:lineRule="auto" w:before="3"/>
              <w:ind w:right="101"/>
              <w:rPr>
                <w:sz w:val="20"/>
              </w:rPr>
            </w:pPr>
            <w:r>
              <w:rPr>
                <w:rFonts w:ascii="Times New Roman" w:hAnsi="Times New Roman" w:eastAsia="Times New Roman"/>
                <w:sz w:val="20"/>
              </w:rPr>
              <w:t>19</w:t>
            </w:r>
            <w:r>
              <w:rPr>
                <w:sz w:val="20"/>
              </w:rPr>
              <w:t>．严重Ⅲ度烧伤</w:t>
            </w:r>
          </w:p>
        </w:tc>
        <w:tc>
          <w:tcPr>
            <w:tcW w:w="8211" w:type="dxa"/>
          </w:tcPr>
          <w:p>
            <w:pPr>
              <w:pStyle w:val="TableParagraph"/>
              <w:spacing w:line="225" w:lineRule="auto" w:before="3"/>
              <w:ind w:right="58"/>
              <w:rPr>
                <w:sz w:val="20"/>
              </w:rPr>
            </w:pPr>
            <w:r>
              <w:rPr>
                <w:sz w:val="20"/>
              </w:rPr>
              <w:t>指烧伤程度为Ⅲ度，且Ⅲ度烧伤的面积达到全身体表面积的 </w:t>
            </w:r>
            <w:r>
              <w:rPr>
                <w:rFonts w:ascii="Times New Roman" w:hAnsi="Times New Roman" w:eastAsia="Times New Roman"/>
                <w:sz w:val="20"/>
              </w:rPr>
              <w:t>20</w:t>
            </w:r>
            <w:r>
              <w:rPr>
                <w:sz w:val="20"/>
              </w:rPr>
              <w:t>％或 </w:t>
            </w:r>
            <w:r>
              <w:rPr>
                <w:rFonts w:ascii="Times New Roman" w:hAnsi="Times New Roman" w:eastAsia="Times New Roman"/>
                <w:sz w:val="20"/>
              </w:rPr>
              <w:t>20</w:t>
            </w:r>
            <w:r>
              <w:rPr>
                <w:sz w:val="20"/>
              </w:rPr>
              <w:t>％以上。体表面积根</w:t>
            </w:r>
            <w:r>
              <w:rPr>
                <w:w w:val="95"/>
                <w:sz w:val="20"/>
              </w:rPr>
              <w:t>据《中国新九分法》计算。</w:t>
            </w:r>
          </w:p>
        </w:tc>
      </w:tr>
      <w:tr>
        <w:trPr>
          <w:trHeight w:val="822" w:hRule="atLeast"/>
        </w:trPr>
        <w:tc>
          <w:tcPr>
            <w:tcW w:w="1637" w:type="dxa"/>
          </w:tcPr>
          <w:p>
            <w:pPr>
              <w:pStyle w:val="TableParagraph"/>
              <w:spacing w:line="225" w:lineRule="auto" w:before="1"/>
              <w:ind w:right="101"/>
              <w:rPr>
                <w:sz w:val="20"/>
              </w:rPr>
            </w:pPr>
            <w:r>
              <w:rPr>
                <w:rFonts w:ascii="Times New Roman" w:eastAsia="Times New Roman"/>
                <w:sz w:val="20"/>
              </w:rPr>
              <w:t>20</w:t>
            </w:r>
            <w:r>
              <w:rPr>
                <w:sz w:val="20"/>
              </w:rPr>
              <w:t>．严重原发性</w:t>
            </w:r>
            <w:r>
              <w:rPr>
                <w:w w:val="95"/>
                <w:sz w:val="20"/>
              </w:rPr>
              <w:t>肺动脉高压</w:t>
            </w:r>
          </w:p>
        </w:tc>
        <w:tc>
          <w:tcPr>
            <w:tcW w:w="8211" w:type="dxa"/>
          </w:tcPr>
          <w:p>
            <w:pPr>
              <w:pStyle w:val="TableParagraph"/>
              <w:spacing w:line="232" w:lineRule="auto"/>
              <w:ind w:right="97"/>
              <w:jc w:val="both"/>
              <w:rPr>
                <w:sz w:val="20"/>
              </w:rPr>
            </w:pPr>
            <w:r>
              <w:rPr>
                <w:spacing w:val="-2"/>
                <w:w w:val="95"/>
                <w:sz w:val="20"/>
              </w:rPr>
              <w:t>指不明原因的肺动脉压力持续性增高，进行性发展而导致的慢性疾病，已经造成永久不可逆   </w:t>
            </w:r>
            <w:r>
              <w:rPr>
                <w:spacing w:val="-3"/>
                <w:sz w:val="20"/>
              </w:rPr>
              <w:t>性的体力活动能力受限，达到美国纽约心脏病学会心功能状态分级 </w:t>
            </w:r>
            <w:r>
              <w:rPr>
                <w:rFonts w:ascii="Times New Roman" w:eastAsia="Times New Roman"/>
                <w:sz w:val="20"/>
              </w:rPr>
              <w:t>IV </w:t>
            </w:r>
            <w:r>
              <w:rPr>
                <w:sz w:val="20"/>
              </w:rPr>
              <w:t>级，且静息状态下肺</w:t>
            </w:r>
            <w:r>
              <w:rPr>
                <w:spacing w:val="-8"/>
                <w:sz w:val="20"/>
              </w:rPr>
              <w:t>动脉平均压超过 </w:t>
            </w:r>
            <w:r>
              <w:rPr>
                <w:rFonts w:ascii="Times New Roman" w:eastAsia="Times New Roman"/>
                <w:sz w:val="20"/>
              </w:rPr>
              <w:t>30mmHg</w:t>
            </w:r>
            <w:r>
              <w:rPr>
                <w:sz w:val="20"/>
              </w:rPr>
              <w:t>。</w:t>
            </w:r>
          </w:p>
        </w:tc>
      </w:tr>
      <w:tr>
        <w:trPr>
          <w:trHeight w:val="825" w:hRule="atLeast"/>
        </w:trPr>
        <w:tc>
          <w:tcPr>
            <w:tcW w:w="1637" w:type="dxa"/>
          </w:tcPr>
          <w:p>
            <w:pPr>
              <w:pStyle w:val="TableParagraph"/>
              <w:spacing w:line="225" w:lineRule="auto" w:before="3"/>
              <w:ind w:right="101"/>
              <w:rPr>
                <w:sz w:val="20"/>
              </w:rPr>
            </w:pPr>
            <w:r>
              <w:rPr>
                <w:rFonts w:ascii="Times New Roman" w:eastAsia="Times New Roman"/>
                <w:sz w:val="20"/>
              </w:rPr>
              <w:t>21</w:t>
            </w:r>
            <w:r>
              <w:rPr>
                <w:sz w:val="20"/>
              </w:rPr>
              <w:t>．严重运动神</w:t>
            </w:r>
            <w:r>
              <w:rPr>
                <w:w w:val="95"/>
                <w:sz w:val="20"/>
              </w:rPr>
              <w:t>经元病</w:t>
            </w:r>
          </w:p>
        </w:tc>
        <w:tc>
          <w:tcPr>
            <w:tcW w:w="8211" w:type="dxa"/>
          </w:tcPr>
          <w:p>
            <w:pPr>
              <w:pStyle w:val="TableParagraph"/>
              <w:spacing w:line="237" w:lineRule="auto"/>
              <w:ind w:right="99"/>
              <w:jc w:val="both"/>
              <w:rPr>
                <w:sz w:val="20"/>
              </w:rPr>
            </w:pPr>
            <w:r>
              <w:rPr>
                <w:spacing w:val="-2"/>
                <w:w w:val="95"/>
                <w:sz w:val="20"/>
              </w:rPr>
              <w:t>是一组中枢神经系统运动神经元的进行性变性疾病，包括进行性脊肌萎缩症、进行性延髓麻   痹症、原发性侧索硬化症、肌萎缩性侧索硬化症。须满足自主生活能力完全丧失，无法独立   完成六项基本日常生活活动中的三项或三项以上的条件。</w:t>
            </w:r>
          </w:p>
        </w:tc>
      </w:tr>
      <w:tr>
        <w:trPr>
          <w:trHeight w:val="822" w:hRule="atLeast"/>
        </w:trPr>
        <w:tc>
          <w:tcPr>
            <w:tcW w:w="1637" w:type="dxa"/>
          </w:tcPr>
          <w:p>
            <w:pPr>
              <w:pStyle w:val="TableParagraph"/>
              <w:spacing w:line="225" w:lineRule="auto" w:before="3"/>
              <w:ind w:right="101"/>
              <w:rPr>
                <w:sz w:val="20"/>
              </w:rPr>
            </w:pPr>
            <w:r>
              <w:rPr>
                <w:rFonts w:ascii="Times New Roman" w:eastAsia="Times New Roman"/>
                <w:sz w:val="20"/>
              </w:rPr>
              <w:t>22</w:t>
            </w:r>
            <w:r>
              <w:rPr>
                <w:sz w:val="20"/>
              </w:rPr>
              <w:t>．语言能力丧失</w:t>
            </w:r>
          </w:p>
        </w:tc>
        <w:tc>
          <w:tcPr>
            <w:tcW w:w="8211" w:type="dxa"/>
          </w:tcPr>
          <w:p>
            <w:pPr>
              <w:pStyle w:val="TableParagraph"/>
              <w:spacing w:line="225" w:lineRule="auto" w:before="3"/>
              <w:ind w:right="101" w:hanging="1"/>
              <w:rPr>
                <w:sz w:val="20"/>
              </w:rPr>
            </w:pPr>
            <w:r>
              <w:rPr>
                <w:spacing w:val="-5"/>
                <w:sz w:val="20"/>
              </w:rPr>
              <w:t>指因疾病或意外伤害导致完全丧失语言能力，经过积极治疗至少 </w:t>
            </w:r>
            <w:r>
              <w:rPr>
                <w:rFonts w:ascii="Times New Roman" w:eastAsia="Times New Roman"/>
                <w:sz w:val="20"/>
              </w:rPr>
              <w:t>12 </w:t>
            </w:r>
            <w:r>
              <w:rPr>
                <w:spacing w:val="-23"/>
                <w:sz w:val="20"/>
              </w:rPr>
              <w:t>个月</w:t>
            </w:r>
            <w:r>
              <w:rPr>
                <w:sz w:val="20"/>
              </w:rPr>
              <w:t>（声带完全切除不受</w:t>
            </w:r>
            <w:r>
              <w:rPr>
                <w:w w:val="95"/>
                <w:sz w:val="20"/>
              </w:rPr>
              <w:t>此时间限制），仍无法通过现有医疗手段恢复。</w:t>
            </w:r>
          </w:p>
          <w:p>
            <w:pPr>
              <w:pStyle w:val="TableParagraph"/>
              <w:spacing w:line="282" w:lineRule="exact"/>
              <w:rPr>
                <w:rFonts w:ascii="Microsoft JhengHei" w:eastAsia="Microsoft JhengHei" w:hint="eastAsia"/>
                <w:b/>
                <w:sz w:val="20"/>
              </w:rPr>
            </w:pPr>
            <w:r>
              <w:rPr>
                <w:rFonts w:ascii="Microsoft JhengHei" w:eastAsia="Microsoft JhengHei" w:hint="eastAsia"/>
                <w:b/>
                <w:sz w:val="20"/>
              </w:rPr>
              <w:t>精神心理因素所致的语言能力丧失不在保障范围内。</w:t>
            </w:r>
          </w:p>
        </w:tc>
      </w:tr>
      <w:tr>
        <w:trPr>
          <w:trHeight w:val="1861" w:hRule="atLeast"/>
        </w:trPr>
        <w:tc>
          <w:tcPr>
            <w:tcW w:w="1637" w:type="dxa"/>
          </w:tcPr>
          <w:p>
            <w:pPr>
              <w:pStyle w:val="TableParagraph"/>
              <w:spacing w:line="225" w:lineRule="auto" w:before="3"/>
              <w:ind w:right="101"/>
              <w:rPr>
                <w:sz w:val="20"/>
              </w:rPr>
            </w:pPr>
            <w:r>
              <w:rPr>
                <w:rFonts w:ascii="Times New Roman" w:eastAsia="Times New Roman"/>
                <w:sz w:val="20"/>
              </w:rPr>
              <w:t>23</w:t>
            </w:r>
            <w:r>
              <w:rPr>
                <w:sz w:val="20"/>
              </w:rPr>
              <w:t>．重型再生障</w:t>
            </w:r>
            <w:r>
              <w:rPr>
                <w:w w:val="95"/>
                <w:sz w:val="20"/>
              </w:rPr>
              <w:t>碍性贫血</w:t>
            </w:r>
          </w:p>
        </w:tc>
        <w:tc>
          <w:tcPr>
            <w:tcW w:w="8211" w:type="dxa"/>
          </w:tcPr>
          <w:p>
            <w:pPr>
              <w:pStyle w:val="TableParagraph"/>
              <w:spacing w:line="237" w:lineRule="auto"/>
              <w:ind w:right="101"/>
              <w:rPr>
                <w:sz w:val="20"/>
              </w:rPr>
            </w:pPr>
            <w:r>
              <w:rPr>
                <w:spacing w:val="-1"/>
                <w:w w:val="95"/>
                <w:sz w:val="20"/>
              </w:rPr>
              <w:t>指因骨髓造血功能慢性持续性衰竭导致的贫血、中性粒细胞减少及血小板减少。须满足下列   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）骨髓穿刺检查或骨髓活检结果支持诊断；</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）外周血象须具备以下三项条件：</w:t>
            </w:r>
          </w:p>
          <w:p>
            <w:pPr>
              <w:pStyle w:val="TableParagraph"/>
              <w:spacing w:line="259" w:lineRule="exact"/>
              <w:rPr>
                <w:sz w:val="20"/>
              </w:rPr>
            </w:pPr>
            <w:r>
              <w:rPr>
                <w:rFonts w:ascii="Times New Roman" w:hAnsi="Times New Roman" w:eastAsia="Times New Roman"/>
                <w:w w:val="95"/>
                <w:sz w:val="20"/>
              </w:rPr>
              <w:t>1</w:t>
            </w:r>
            <w:r>
              <w:rPr>
                <w:w w:val="95"/>
                <w:sz w:val="20"/>
              </w:rPr>
              <w:t>）中性粒细胞绝对值</w:t>
            </w:r>
            <w:r>
              <w:rPr>
                <w:rFonts w:ascii="Times New Roman" w:hAnsi="Times New Roman" w:eastAsia="Times New Roman"/>
                <w:w w:val="95"/>
                <w:sz w:val="20"/>
              </w:rPr>
              <w:t>≤0.5×10</w:t>
            </w:r>
            <w:r>
              <w:rPr>
                <w:rFonts w:ascii="Times New Roman" w:hAnsi="Times New Roman" w:eastAsia="Times New Roman"/>
                <w:w w:val="95"/>
                <w:sz w:val="20"/>
                <w:vertAlign w:val="superscript"/>
              </w:rPr>
              <w:t>9</w:t>
            </w:r>
            <w:r>
              <w:rPr>
                <w:rFonts w:ascii="Times New Roman" w:hAnsi="Times New Roman" w:eastAsia="Times New Roman"/>
                <w:w w:val="95"/>
                <w:sz w:val="20"/>
                <w:vertAlign w:val="baseline"/>
              </w:rPr>
              <w:t>/</w:t>
            </w:r>
            <w:r>
              <w:rPr>
                <w:rFonts w:ascii="Times New Roman" w:hAnsi="Times New Roman" w:eastAsia="Times New Roman"/>
                <w:w w:val="95"/>
                <w:sz w:val="20"/>
                <w:vertAlign w:val="baseline"/>
              </w:rPr>
              <w:t>L</w:t>
            </w:r>
            <w:r>
              <w:rPr>
                <w:w w:val="95"/>
                <w:sz w:val="20"/>
                <w:vertAlign w:val="baseline"/>
              </w:rPr>
              <w:t>；</w:t>
            </w:r>
          </w:p>
          <w:p>
            <w:pPr>
              <w:pStyle w:val="TableParagraph"/>
              <w:spacing w:line="260" w:lineRule="exact"/>
              <w:rPr>
                <w:sz w:val="20"/>
              </w:rPr>
            </w:pPr>
            <w:r>
              <w:rPr>
                <w:rFonts w:ascii="Times New Roman" w:eastAsia="Times New Roman"/>
                <w:w w:val="95"/>
                <w:sz w:val="20"/>
              </w:rPr>
              <w:t>2</w:t>
            </w:r>
            <w:r>
              <w:rPr>
                <w:w w:val="95"/>
                <w:sz w:val="20"/>
              </w:rPr>
              <w:t>）网织红细胞＜</w:t>
            </w:r>
            <w:r>
              <w:rPr>
                <w:rFonts w:ascii="Times New Roman" w:eastAsia="Times New Roman"/>
                <w:w w:val="95"/>
                <w:sz w:val="20"/>
              </w:rPr>
              <w:t>1%</w:t>
            </w:r>
            <w:r>
              <w:rPr>
                <w:w w:val="95"/>
                <w:sz w:val="20"/>
              </w:rPr>
              <w:t>；</w:t>
            </w:r>
          </w:p>
          <w:p>
            <w:pPr>
              <w:pStyle w:val="TableParagraph"/>
              <w:spacing w:line="269" w:lineRule="exact"/>
              <w:rPr>
                <w:sz w:val="20"/>
              </w:rPr>
            </w:pPr>
            <w:r>
              <w:rPr>
                <w:rFonts w:ascii="Times New Roman" w:hAnsi="Times New Roman" w:eastAsia="Times New Roman"/>
                <w:w w:val="95"/>
                <w:sz w:val="20"/>
              </w:rPr>
              <w:t>3</w:t>
            </w:r>
            <w:r>
              <w:rPr>
                <w:w w:val="95"/>
                <w:sz w:val="20"/>
              </w:rPr>
              <w:t>）血小板绝对值</w:t>
            </w:r>
            <w:r>
              <w:rPr>
                <w:rFonts w:ascii="Times New Roman" w:hAnsi="Times New Roman" w:eastAsia="Times New Roman"/>
                <w:w w:val="95"/>
                <w:sz w:val="20"/>
              </w:rPr>
              <w:t>≤20×10</w:t>
            </w:r>
            <w:r>
              <w:rPr>
                <w:rFonts w:ascii="Times New Roman" w:hAnsi="Times New Roman" w:eastAsia="Times New Roman"/>
                <w:w w:val="95"/>
                <w:sz w:val="20"/>
                <w:vertAlign w:val="superscript"/>
              </w:rPr>
              <w:t>9</w:t>
            </w:r>
            <w:r>
              <w:rPr>
                <w:rFonts w:ascii="Times New Roman" w:hAnsi="Times New Roman" w:eastAsia="Times New Roman"/>
                <w:w w:val="95"/>
                <w:sz w:val="20"/>
                <w:vertAlign w:val="baseline"/>
              </w:rPr>
              <w:t>/</w:t>
            </w:r>
            <w:r>
              <w:rPr>
                <w:rFonts w:ascii="Times New Roman" w:hAnsi="Times New Roman" w:eastAsia="Times New Roman"/>
                <w:w w:val="95"/>
                <w:sz w:val="20"/>
                <w:vertAlign w:val="baseline"/>
              </w:rPr>
              <w:t>L</w:t>
            </w:r>
            <w:r>
              <w:rPr>
                <w:w w:val="95"/>
                <w:sz w:val="20"/>
                <w:vertAlign w:val="baseline"/>
              </w:rPr>
              <w:t>。</w:t>
            </w:r>
          </w:p>
        </w:tc>
      </w:tr>
      <w:tr>
        <w:trPr>
          <w:trHeight w:val="825" w:hRule="atLeast"/>
        </w:trPr>
        <w:tc>
          <w:tcPr>
            <w:tcW w:w="1637" w:type="dxa"/>
          </w:tcPr>
          <w:p>
            <w:pPr>
              <w:pStyle w:val="TableParagraph"/>
              <w:spacing w:line="264" w:lineRule="exact"/>
              <w:ind w:left="120" w:right="137"/>
              <w:jc w:val="center"/>
              <w:rPr>
                <w:sz w:val="20"/>
              </w:rPr>
            </w:pPr>
            <w:r>
              <w:rPr>
                <w:rFonts w:ascii="Times New Roman" w:eastAsia="Times New Roman"/>
                <w:w w:val="95"/>
                <w:sz w:val="20"/>
              </w:rPr>
              <w:t>24</w:t>
            </w:r>
            <w:r>
              <w:rPr>
                <w:w w:val="95"/>
                <w:sz w:val="20"/>
              </w:rPr>
              <w:t>．主动脉手术</w:t>
            </w:r>
          </w:p>
        </w:tc>
        <w:tc>
          <w:tcPr>
            <w:tcW w:w="8211" w:type="dxa"/>
          </w:tcPr>
          <w:p>
            <w:pPr>
              <w:pStyle w:val="TableParagraph"/>
              <w:spacing w:line="237" w:lineRule="auto"/>
              <w:ind w:right="61"/>
              <w:rPr>
                <w:sz w:val="20"/>
              </w:rPr>
            </w:pPr>
            <w:r>
              <w:rPr>
                <w:sz w:val="20"/>
              </w:rPr>
              <w:t>指为治疗主动脉疾病，实际实施了开胸或开腹进行的切除、置换、修补病损主动脉血管的手</w:t>
            </w:r>
            <w:r>
              <w:rPr>
                <w:w w:val="95"/>
                <w:sz w:val="20"/>
              </w:rPr>
              <w:t>术。主动脉指胸主动脉和腹主动脉，不包括胸主动脉和腹主动脉的分支血管。</w:t>
            </w:r>
          </w:p>
          <w:p>
            <w:pPr>
              <w:pStyle w:val="TableParagraph"/>
              <w:spacing w:line="282" w:lineRule="exact" w:before="10"/>
              <w:rPr>
                <w:rFonts w:ascii="Microsoft JhengHei" w:eastAsia="Microsoft JhengHei" w:hint="eastAsia"/>
                <w:b/>
                <w:sz w:val="20"/>
              </w:rPr>
            </w:pPr>
            <w:r>
              <w:rPr>
                <w:rFonts w:ascii="Microsoft JhengHei" w:eastAsia="Microsoft JhengHei" w:hint="eastAsia"/>
                <w:b/>
                <w:sz w:val="20"/>
              </w:rPr>
              <w:t>动脉内血管成形术不在保障范围内。</w:t>
            </w:r>
          </w:p>
        </w:tc>
      </w:tr>
      <w:tr>
        <w:trPr>
          <w:trHeight w:val="1861" w:hRule="atLeast"/>
        </w:trPr>
        <w:tc>
          <w:tcPr>
            <w:tcW w:w="1637" w:type="dxa"/>
          </w:tcPr>
          <w:p>
            <w:pPr>
              <w:pStyle w:val="TableParagraph"/>
              <w:spacing w:line="225" w:lineRule="auto" w:before="3"/>
              <w:ind w:right="101"/>
              <w:rPr>
                <w:sz w:val="20"/>
              </w:rPr>
            </w:pPr>
            <w:r>
              <w:rPr>
                <w:rFonts w:ascii="Times New Roman" w:eastAsia="Times New Roman"/>
                <w:sz w:val="20"/>
              </w:rPr>
              <w:t>25</w:t>
            </w:r>
            <w:r>
              <w:rPr>
                <w:sz w:val="20"/>
              </w:rPr>
              <w:t>．原发性心肌病</w:t>
            </w:r>
          </w:p>
        </w:tc>
        <w:tc>
          <w:tcPr>
            <w:tcW w:w="8211" w:type="dxa"/>
          </w:tcPr>
          <w:p>
            <w:pPr>
              <w:pStyle w:val="TableParagraph"/>
              <w:spacing w:line="237" w:lineRule="auto"/>
              <w:ind w:right="99"/>
              <w:jc w:val="both"/>
              <w:rPr>
                <w:sz w:val="20"/>
              </w:rPr>
            </w:pPr>
            <w:r>
              <w:rPr>
                <w:w w:val="95"/>
                <w:sz w:val="20"/>
              </w:rPr>
              <w:t>指不明原因引起的一类心肌病变，包括原发性扩张型心肌病、原发性肥厚型心肌病及原发性   限制型心肌病三种，病变必须已造成事实上心室功能障碍而出现明显的心功能衰竭（美国纽   </w:t>
            </w:r>
            <w:r>
              <w:rPr>
                <w:spacing w:val="-4"/>
                <w:sz w:val="20"/>
              </w:rPr>
              <w:t>约心脏协会心功能分类标准心功能达 </w:t>
            </w:r>
            <w:r>
              <w:rPr>
                <w:rFonts w:ascii="Times New Roman" w:eastAsia="Times New Roman"/>
                <w:sz w:val="20"/>
              </w:rPr>
              <w:t>IV</w:t>
            </w:r>
            <w:r>
              <w:rPr>
                <w:rFonts w:ascii="Times New Roman" w:eastAsia="Times New Roman"/>
                <w:spacing w:val="-14"/>
                <w:sz w:val="20"/>
              </w:rPr>
              <w:t> </w:t>
            </w:r>
            <w:r>
              <w:rPr>
                <w:sz w:val="20"/>
              </w:rPr>
              <w:t>级）</w:t>
            </w:r>
            <w:r>
              <w:rPr>
                <w:spacing w:val="-4"/>
                <w:sz w:val="20"/>
              </w:rPr>
              <w:t>，且有相关住院医疗记录显示 </w:t>
            </w:r>
            <w:r>
              <w:rPr>
                <w:rFonts w:ascii="Times New Roman" w:eastAsia="Times New Roman"/>
                <w:sz w:val="20"/>
              </w:rPr>
              <w:t>IV</w:t>
            </w:r>
            <w:r>
              <w:rPr>
                <w:rFonts w:ascii="Times New Roman" w:eastAsia="Times New Roman"/>
                <w:spacing w:val="-14"/>
                <w:sz w:val="20"/>
              </w:rPr>
              <w:t> </w:t>
            </w:r>
            <w:r>
              <w:rPr>
                <w:sz w:val="20"/>
              </w:rPr>
              <w:t>级心功能衰竭</w:t>
            </w:r>
          </w:p>
          <w:p>
            <w:pPr>
              <w:pStyle w:val="TableParagraph"/>
              <w:spacing w:line="177" w:lineRule="auto" w:before="19"/>
              <w:ind w:right="97"/>
              <w:jc w:val="both"/>
              <w:rPr>
                <w:sz w:val="20"/>
              </w:rPr>
            </w:pPr>
            <w:r>
              <w:rPr>
                <w:spacing w:val="-2"/>
                <w:w w:val="95"/>
                <w:sz w:val="20"/>
              </w:rPr>
              <w:t>状态持续至少一百八十天。该疾病索赔时须要经心内科专科医生做出明确诊断。</w:t>
            </w:r>
            <w:r>
              <w:rPr>
                <w:rFonts w:ascii="Microsoft JhengHei" w:eastAsia="Microsoft JhengHei" w:hint="eastAsia"/>
                <w:b/>
                <w:w w:val="95"/>
                <w:sz w:val="20"/>
              </w:rPr>
              <w:t>继发于全身     </w:t>
            </w:r>
            <w:r>
              <w:rPr>
                <w:rFonts w:ascii="Microsoft JhengHei" w:eastAsia="Microsoft JhengHei" w:hint="eastAsia"/>
                <w:b/>
                <w:spacing w:val="-1"/>
                <w:sz w:val="20"/>
              </w:rPr>
              <w:t>性疾病或其它器官系统疾病以及由于酒精和药物滥用导致的心肌病不在保障范围内。</w:t>
            </w:r>
            <w:r>
              <w:rPr>
                <w:sz w:val="20"/>
              </w:rPr>
              <w:t>美国纽</w:t>
            </w:r>
          </w:p>
          <w:p>
            <w:pPr>
              <w:pStyle w:val="TableParagraph"/>
              <w:spacing w:line="225" w:lineRule="auto"/>
              <w:ind w:right="99" w:hanging="1"/>
              <w:jc w:val="both"/>
              <w:rPr>
                <w:sz w:val="20"/>
              </w:rPr>
            </w:pPr>
            <w:r>
              <w:rPr>
                <w:sz w:val="20"/>
              </w:rPr>
              <w:t>约心脏协会分类标准心功能 </w:t>
            </w:r>
            <w:r>
              <w:rPr>
                <w:rFonts w:ascii="Times New Roman" w:eastAsia="Times New Roman"/>
                <w:sz w:val="20"/>
              </w:rPr>
              <w:t>IV </w:t>
            </w:r>
            <w:r>
              <w:rPr>
                <w:sz w:val="20"/>
              </w:rPr>
              <w:t>级是指有医院的医疗记录显示病人不能进行任何活动，休息</w:t>
            </w:r>
            <w:r>
              <w:rPr>
                <w:w w:val="95"/>
                <w:sz w:val="20"/>
              </w:rPr>
              <w:t>时仍有心悸、呼吸困难等心力衰竭表现。</w:t>
            </w:r>
          </w:p>
        </w:tc>
      </w:tr>
      <w:tr>
        <w:trPr>
          <w:trHeight w:val="1082" w:hRule="atLeast"/>
        </w:trPr>
        <w:tc>
          <w:tcPr>
            <w:tcW w:w="1637" w:type="dxa"/>
          </w:tcPr>
          <w:p>
            <w:pPr>
              <w:pStyle w:val="TableParagraph"/>
              <w:spacing w:line="261" w:lineRule="exact"/>
              <w:ind w:left="120" w:right="137"/>
              <w:jc w:val="center"/>
              <w:rPr>
                <w:sz w:val="20"/>
              </w:rPr>
            </w:pPr>
            <w:r>
              <w:rPr>
                <w:rFonts w:ascii="Times New Roman" w:eastAsia="Times New Roman"/>
                <w:w w:val="95"/>
                <w:sz w:val="20"/>
              </w:rPr>
              <w:t>26</w:t>
            </w:r>
            <w:r>
              <w:rPr>
                <w:w w:val="95"/>
                <w:sz w:val="20"/>
              </w:rPr>
              <w:t>．脊髓灰质炎</w:t>
            </w:r>
          </w:p>
        </w:tc>
        <w:tc>
          <w:tcPr>
            <w:tcW w:w="8211" w:type="dxa"/>
          </w:tcPr>
          <w:p>
            <w:pPr>
              <w:pStyle w:val="TableParagraph"/>
              <w:spacing w:line="260" w:lineRule="exact" w:before="10"/>
              <w:ind w:right="99"/>
              <w:jc w:val="both"/>
              <w:rPr>
                <w:sz w:val="20"/>
              </w:rPr>
            </w:pPr>
            <w:r>
              <w:rPr>
                <w:spacing w:val="-1"/>
                <w:w w:val="95"/>
                <w:sz w:val="20"/>
              </w:rPr>
              <w:t>脊髓灰质炎是由于脊髓灰质炎病毒感染所致的瘫痪性疾病，临床表现为运动功能损害或呼吸   无力。脊髓灰质炎必须明确诊断。我们仅对脊髓灰质炎造成的神经系统功能损害导致被保险   </w:t>
            </w:r>
            <w:r>
              <w:rPr>
                <w:spacing w:val="-3"/>
                <w:w w:val="95"/>
                <w:sz w:val="20"/>
              </w:rPr>
              <w:t>人一肢或一肢以上肢体机能永久完全丧失的情况予以理赔。肢体机能永久完全丧失，指疾病</w:t>
            </w:r>
          </w:p>
          <w:p>
            <w:pPr>
              <w:pStyle w:val="TableParagraph"/>
              <w:spacing w:line="253" w:lineRule="exact"/>
              <w:jc w:val="both"/>
              <w:rPr>
                <w:sz w:val="20"/>
              </w:rPr>
            </w:pPr>
            <w:r>
              <w:rPr>
                <w:sz w:val="20"/>
              </w:rPr>
              <w:t>确诊 </w:t>
            </w:r>
            <w:r>
              <w:rPr>
                <w:rFonts w:ascii="Times New Roman" w:eastAsia="Times New Roman"/>
                <w:sz w:val="20"/>
              </w:rPr>
              <w:t>180 </w:t>
            </w:r>
            <w:r>
              <w:rPr>
                <w:sz w:val="20"/>
              </w:rPr>
              <w:t>天后，每肢三大关节中的两大关节仍然完全僵硬，或不能随意识活动。</w:t>
            </w:r>
          </w:p>
        </w:tc>
      </w:tr>
      <w:tr>
        <w:trPr>
          <w:trHeight w:val="649" w:hRule="atLeast"/>
        </w:trPr>
        <w:tc>
          <w:tcPr>
            <w:tcW w:w="1637" w:type="dxa"/>
          </w:tcPr>
          <w:p>
            <w:pPr>
              <w:pStyle w:val="TableParagraph"/>
              <w:spacing w:line="225" w:lineRule="auto" w:before="3"/>
              <w:ind w:right="101"/>
              <w:rPr>
                <w:sz w:val="20"/>
              </w:rPr>
            </w:pPr>
            <w:r>
              <w:rPr>
                <w:rFonts w:ascii="Times New Roman" w:eastAsia="Times New Roman"/>
                <w:sz w:val="20"/>
              </w:rPr>
              <w:t>27</w:t>
            </w:r>
            <w:r>
              <w:rPr>
                <w:sz w:val="20"/>
              </w:rPr>
              <w:t>．经输血导致的人类免疫缺陷</w:t>
            </w:r>
          </w:p>
        </w:tc>
        <w:tc>
          <w:tcPr>
            <w:tcW w:w="8211" w:type="dxa"/>
          </w:tcPr>
          <w:p>
            <w:pPr>
              <w:pStyle w:val="TableParagraph"/>
              <w:spacing w:line="255" w:lineRule="exact"/>
              <w:rPr>
                <w:sz w:val="20"/>
              </w:rPr>
            </w:pPr>
            <w:r>
              <w:rPr>
                <w:w w:val="95"/>
                <w:sz w:val="20"/>
              </w:rPr>
              <w:t>被保险人感染上人类免疫缺陷病毒（</w:t>
            </w:r>
            <w:r>
              <w:rPr>
                <w:rFonts w:ascii="Times New Roman" w:eastAsia="Times New Roman"/>
                <w:w w:val="95"/>
                <w:sz w:val="20"/>
              </w:rPr>
              <w:t>HIV</w:t>
            </w:r>
            <w:r>
              <w:rPr>
                <w:w w:val="95"/>
                <w:sz w:val="20"/>
              </w:rPr>
              <w:t>）并且符合下列所有条件：</w:t>
            </w:r>
          </w:p>
          <w:p>
            <w:pPr>
              <w:pStyle w:val="TableParagraph"/>
              <w:spacing w:line="268" w:lineRule="exact"/>
              <w:rPr>
                <w:sz w:val="20"/>
              </w:rPr>
            </w:pPr>
            <w:r>
              <w:rPr>
                <w:sz w:val="20"/>
              </w:rPr>
              <w:t>（</w:t>
            </w:r>
            <w:r>
              <w:rPr>
                <w:rFonts w:ascii="Times New Roman" w:eastAsia="Times New Roman"/>
                <w:sz w:val="20"/>
              </w:rPr>
              <w:t>1</w:t>
            </w:r>
            <w:r>
              <w:rPr>
                <w:sz w:val="20"/>
              </w:rPr>
              <w:t>）在保障起始日或效力恢复日之后，被保险人因治疗必需而接受输血，并且因输血而感</w:t>
            </w:r>
          </w:p>
        </w:tc>
      </w:tr>
    </w:tbl>
    <w:p>
      <w:pPr>
        <w:spacing w:after="0" w:line="268" w:lineRule="exact"/>
        <w:rPr>
          <w:sz w:val="20"/>
        </w:rPr>
        <w:sectPr>
          <w:pgSz w:w="11900" w:h="16840"/>
          <w:pgMar w:header="0" w:footer="676"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3" w:hRule="atLeast"/>
        </w:trPr>
        <w:tc>
          <w:tcPr>
            <w:tcW w:w="1637" w:type="dxa"/>
            <w:shd w:val="clear" w:color="auto" w:fill="D8D8D8"/>
          </w:tcPr>
          <w:p>
            <w:pPr>
              <w:pStyle w:val="TableParagraph"/>
              <w:spacing w:line="279" w:lineRule="exact"/>
              <w:ind w:left="213"/>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79"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2639" w:hRule="atLeast"/>
        </w:trPr>
        <w:tc>
          <w:tcPr>
            <w:tcW w:w="1637" w:type="dxa"/>
          </w:tcPr>
          <w:p>
            <w:pPr>
              <w:pStyle w:val="TableParagraph"/>
              <w:spacing w:line="249" w:lineRule="exact"/>
              <w:rPr>
                <w:sz w:val="20"/>
              </w:rPr>
            </w:pPr>
            <w:r>
              <w:rPr>
                <w:w w:val="95"/>
                <w:sz w:val="20"/>
              </w:rPr>
              <w:t>病毒感染</w:t>
            </w:r>
          </w:p>
        </w:tc>
        <w:tc>
          <w:tcPr>
            <w:tcW w:w="8211" w:type="dxa"/>
          </w:tcPr>
          <w:p>
            <w:pPr>
              <w:pStyle w:val="TableParagraph"/>
              <w:spacing w:line="255" w:lineRule="exact"/>
              <w:rPr>
                <w:sz w:val="20"/>
              </w:rPr>
            </w:pPr>
            <w:r>
              <w:rPr>
                <w:sz w:val="20"/>
              </w:rPr>
              <w:t>染 </w:t>
            </w:r>
            <w:r>
              <w:rPr>
                <w:rFonts w:ascii="Times New Roman" w:eastAsia="Times New Roman"/>
                <w:sz w:val="20"/>
              </w:rPr>
              <w:t>HIV</w:t>
            </w:r>
            <w:r>
              <w:rPr>
                <w:sz w:val="20"/>
              </w:rPr>
              <w:t>；</w:t>
            </w:r>
          </w:p>
          <w:p>
            <w:pPr>
              <w:pStyle w:val="TableParagraph"/>
              <w:spacing w:line="225" w:lineRule="auto" w:before="7"/>
              <w:ind w:right="101"/>
              <w:rPr>
                <w:sz w:val="20"/>
              </w:rPr>
            </w:pPr>
            <w:r>
              <w:rPr>
                <w:sz w:val="20"/>
              </w:rPr>
              <w:t>（</w:t>
            </w:r>
            <w:r>
              <w:rPr>
                <w:rFonts w:ascii="Times New Roman" w:eastAsia="Times New Roman"/>
                <w:sz w:val="20"/>
              </w:rPr>
              <w:t>2</w:t>
            </w:r>
            <w:r>
              <w:rPr>
                <w:sz w:val="20"/>
              </w:rPr>
              <w:t>）提供输血治疗的输血中心或医院出具该项输血感染属医疗责任事故的报告，或者法院</w:t>
            </w:r>
            <w:r>
              <w:rPr>
                <w:w w:val="95"/>
                <w:sz w:val="20"/>
              </w:rPr>
              <w:t>终审裁定为医疗责任；</w:t>
            </w:r>
          </w:p>
          <w:p>
            <w:pPr>
              <w:pStyle w:val="TableParagraph"/>
              <w:spacing w:line="266" w:lineRule="exact"/>
              <w:rPr>
                <w:sz w:val="20"/>
              </w:rPr>
            </w:pPr>
            <w:r>
              <w:rPr>
                <w:w w:val="95"/>
                <w:sz w:val="20"/>
              </w:rPr>
              <w:t>（</w:t>
            </w:r>
            <w:r>
              <w:rPr>
                <w:rFonts w:ascii="Times New Roman" w:eastAsia="Times New Roman"/>
                <w:w w:val="95"/>
                <w:sz w:val="20"/>
              </w:rPr>
              <w:t>3</w:t>
            </w:r>
            <w:r>
              <w:rPr>
                <w:w w:val="95"/>
                <w:sz w:val="20"/>
              </w:rPr>
              <w:t>）提供输血治疗的输血中心或医院必须拥有合法经营执照；</w:t>
            </w:r>
          </w:p>
          <w:p>
            <w:pPr>
              <w:pStyle w:val="TableParagraph"/>
              <w:spacing w:line="259" w:lineRule="exact"/>
              <w:rPr>
                <w:sz w:val="20"/>
              </w:rPr>
            </w:pPr>
            <w:r>
              <w:rPr>
                <w:w w:val="95"/>
                <w:sz w:val="20"/>
              </w:rPr>
              <w:t>（</w:t>
            </w:r>
            <w:r>
              <w:rPr>
                <w:rFonts w:ascii="Times New Roman" w:eastAsia="Times New Roman"/>
                <w:w w:val="95"/>
                <w:sz w:val="20"/>
              </w:rPr>
              <w:t>4</w:t>
            </w:r>
            <w:r>
              <w:rPr>
                <w:w w:val="95"/>
                <w:sz w:val="20"/>
              </w:rPr>
              <w:t>）受感染的被保险人不是血友病患者。</w:t>
            </w:r>
          </w:p>
          <w:p>
            <w:pPr>
              <w:pStyle w:val="TableParagraph"/>
              <w:spacing w:line="225" w:lineRule="auto" w:before="7"/>
              <w:ind w:right="99" w:hanging="1"/>
              <w:rPr>
                <w:sz w:val="20"/>
              </w:rPr>
            </w:pPr>
            <w:r>
              <w:rPr>
                <w:spacing w:val="-3"/>
                <w:sz w:val="20"/>
              </w:rPr>
              <w:t>在任何治愈艾滋病</w:t>
            </w:r>
            <w:r>
              <w:rPr>
                <w:spacing w:val="-4"/>
                <w:sz w:val="20"/>
              </w:rPr>
              <w:t>（</w:t>
            </w:r>
            <w:r>
              <w:rPr>
                <w:rFonts w:ascii="Times New Roman" w:eastAsia="Times New Roman"/>
                <w:spacing w:val="-4"/>
                <w:sz w:val="20"/>
              </w:rPr>
              <w:t>AIDS</w:t>
            </w:r>
            <w:r>
              <w:rPr>
                <w:spacing w:val="-4"/>
                <w:sz w:val="20"/>
              </w:rPr>
              <w:t>）</w:t>
            </w:r>
            <w:r>
              <w:rPr>
                <w:spacing w:val="-14"/>
                <w:sz w:val="20"/>
              </w:rPr>
              <w:t>或阻止 </w:t>
            </w:r>
            <w:r>
              <w:rPr>
                <w:rFonts w:ascii="Times New Roman" w:eastAsia="Times New Roman"/>
                <w:sz w:val="20"/>
              </w:rPr>
              <w:t>HIV </w:t>
            </w:r>
            <w:r>
              <w:rPr>
                <w:spacing w:val="-5"/>
                <w:sz w:val="20"/>
              </w:rPr>
              <w:t>病毒作用的疗法被发现以后，或能防止 </w:t>
            </w:r>
            <w:r>
              <w:rPr>
                <w:rFonts w:ascii="Times New Roman" w:eastAsia="Times New Roman"/>
                <w:sz w:val="20"/>
              </w:rPr>
              <w:t>AIDS </w:t>
            </w:r>
            <w:r>
              <w:rPr>
                <w:sz w:val="20"/>
              </w:rPr>
              <w:t>发生的</w:t>
            </w:r>
            <w:r>
              <w:rPr>
                <w:w w:val="95"/>
                <w:sz w:val="20"/>
              </w:rPr>
              <w:t>医疗方法被研究出来以后，本保障将不再予以赔付。</w:t>
            </w:r>
          </w:p>
          <w:p>
            <w:pPr>
              <w:pStyle w:val="TableParagraph"/>
              <w:spacing w:line="269" w:lineRule="exact"/>
              <w:rPr>
                <w:rFonts w:ascii="Microsoft JhengHei" w:eastAsia="Microsoft JhengHei" w:hint="eastAsia"/>
                <w:b/>
                <w:sz w:val="20"/>
              </w:rPr>
            </w:pPr>
            <w:r>
              <w:rPr>
                <w:rFonts w:ascii="Microsoft JhengHei" w:eastAsia="Microsoft JhengHei" w:hint="eastAsia"/>
                <w:b/>
                <w:sz w:val="20"/>
              </w:rPr>
              <w:t>任何因其他传播方式（包括：性传播或静脉注射毒品）导致的 </w:t>
            </w:r>
            <w:r>
              <w:rPr>
                <w:rFonts w:ascii="Times New Roman" w:eastAsia="Times New Roman"/>
                <w:b/>
                <w:sz w:val="20"/>
              </w:rPr>
              <w:t>HIV </w:t>
            </w:r>
            <w:r>
              <w:rPr>
                <w:rFonts w:ascii="Microsoft JhengHei" w:eastAsia="Microsoft JhengHei" w:hint="eastAsia"/>
                <w:b/>
                <w:sz w:val="20"/>
              </w:rPr>
              <w:t>感染不在保障范围内。</w:t>
            </w:r>
          </w:p>
          <w:p>
            <w:pPr>
              <w:pStyle w:val="TableParagraph"/>
              <w:spacing w:line="237" w:lineRule="auto"/>
              <w:ind w:right="101"/>
              <w:rPr>
                <w:sz w:val="20"/>
              </w:rPr>
            </w:pPr>
            <w:r>
              <w:rPr>
                <w:sz w:val="20"/>
              </w:rPr>
              <w:t>保险公司必须拥有获得使用被保险人的血液样本的权利和能够对这些样本进行独立检验的</w:t>
            </w:r>
            <w:r>
              <w:rPr>
                <w:w w:val="95"/>
                <w:sz w:val="20"/>
              </w:rPr>
              <w:t>权利。</w:t>
            </w:r>
          </w:p>
        </w:tc>
      </w:tr>
      <w:tr>
        <w:trPr>
          <w:trHeight w:val="1602" w:hRule="atLeast"/>
        </w:trPr>
        <w:tc>
          <w:tcPr>
            <w:tcW w:w="1637" w:type="dxa"/>
          </w:tcPr>
          <w:p>
            <w:pPr>
              <w:pStyle w:val="TableParagraph"/>
              <w:spacing w:line="225" w:lineRule="auto" w:before="3"/>
              <w:ind w:right="101"/>
              <w:rPr>
                <w:sz w:val="20"/>
              </w:rPr>
            </w:pPr>
            <w:r>
              <w:rPr>
                <w:rFonts w:ascii="Times New Roman" w:eastAsia="Times New Roman"/>
                <w:sz w:val="20"/>
              </w:rPr>
              <w:t>28</w:t>
            </w:r>
            <w:r>
              <w:rPr>
                <w:sz w:val="20"/>
              </w:rPr>
              <w:t>．肌营养不良症</w:t>
            </w:r>
          </w:p>
        </w:tc>
        <w:tc>
          <w:tcPr>
            <w:tcW w:w="8211" w:type="dxa"/>
          </w:tcPr>
          <w:p>
            <w:pPr>
              <w:pStyle w:val="TableParagraph"/>
              <w:spacing w:line="237" w:lineRule="auto"/>
              <w:ind w:right="101"/>
              <w:rPr>
                <w:sz w:val="20"/>
              </w:rPr>
            </w:pPr>
            <w:r>
              <w:rPr>
                <w:sz w:val="20"/>
              </w:rPr>
              <w:t>指一组遗传性肌肉变性病变，临床特征为与神经系统无关的骨骼肌对称地进行性无力和萎</w:t>
            </w:r>
            <w:r>
              <w:rPr>
                <w:w w:val="95"/>
                <w:sz w:val="20"/>
              </w:rPr>
              <w:t>缩，其诊断需满足下列全部条件：</w:t>
            </w:r>
          </w:p>
          <w:p>
            <w:pPr>
              <w:pStyle w:val="TableParagraph"/>
              <w:spacing w:line="266" w:lineRule="exact" w:before="10"/>
              <w:rPr>
                <w:sz w:val="20"/>
              </w:rPr>
            </w:pPr>
            <w:r>
              <w:rPr>
                <w:w w:val="95"/>
                <w:sz w:val="20"/>
              </w:rPr>
              <w:t>（</w:t>
            </w:r>
            <w:r>
              <w:rPr>
                <w:rFonts w:ascii="Times New Roman" w:eastAsia="Times New Roman"/>
                <w:w w:val="95"/>
                <w:sz w:val="20"/>
              </w:rPr>
              <w:t>1</w:t>
            </w:r>
            <w:r>
              <w:rPr>
                <w:w w:val="95"/>
                <w:sz w:val="20"/>
              </w:rPr>
              <w:t>）肌电图显示典型肌营养不良症的阳性改变；</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）肌肉活检的病理学诊断符合肌营养不良症的肌肉细胞变性、坏死等阳性改变；</w:t>
            </w:r>
          </w:p>
          <w:p>
            <w:pPr>
              <w:pStyle w:val="TableParagraph"/>
              <w:spacing w:line="225" w:lineRule="auto" w:before="8"/>
              <w:ind w:right="101"/>
              <w:rPr>
                <w:sz w:val="20"/>
              </w:rPr>
            </w:pPr>
            <w:r>
              <w:rPr>
                <w:sz w:val="20"/>
              </w:rPr>
              <w:t>（</w:t>
            </w:r>
            <w:r>
              <w:rPr>
                <w:rFonts w:ascii="Times New Roman" w:eastAsia="Times New Roman"/>
                <w:sz w:val="20"/>
              </w:rPr>
              <w:t>3</w:t>
            </w:r>
            <w:r>
              <w:rPr>
                <w:sz w:val="20"/>
              </w:rPr>
              <w:t>）已导致被保险人持续超过三个月无法独立完成六项基本日常生活活动中的三项或三项</w:t>
            </w:r>
            <w:r>
              <w:rPr>
                <w:w w:val="95"/>
                <w:sz w:val="20"/>
              </w:rPr>
              <w:t>以上。</w:t>
            </w:r>
          </w:p>
        </w:tc>
      </w:tr>
      <w:tr>
        <w:trPr>
          <w:trHeight w:val="1084" w:hRule="atLeast"/>
        </w:trPr>
        <w:tc>
          <w:tcPr>
            <w:tcW w:w="1637" w:type="dxa"/>
          </w:tcPr>
          <w:p>
            <w:pPr>
              <w:pStyle w:val="TableParagraph"/>
              <w:spacing w:line="225" w:lineRule="auto" w:before="3"/>
              <w:ind w:right="101"/>
              <w:rPr>
                <w:sz w:val="20"/>
              </w:rPr>
            </w:pPr>
            <w:r>
              <w:rPr>
                <w:rFonts w:ascii="Times New Roman" w:eastAsia="Times New Roman"/>
                <w:sz w:val="20"/>
              </w:rPr>
              <w:t>29</w:t>
            </w:r>
            <w:r>
              <w:rPr>
                <w:sz w:val="20"/>
              </w:rPr>
              <w:t>．多发性硬化症</w:t>
            </w:r>
          </w:p>
        </w:tc>
        <w:tc>
          <w:tcPr>
            <w:tcW w:w="8211" w:type="dxa"/>
          </w:tcPr>
          <w:p>
            <w:pPr>
              <w:pStyle w:val="TableParagraph"/>
              <w:spacing w:line="237" w:lineRule="auto"/>
              <w:ind w:right="97"/>
              <w:jc w:val="both"/>
              <w:rPr>
                <w:sz w:val="20"/>
              </w:rPr>
            </w:pPr>
            <w:r>
              <w:rPr>
                <w:w w:val="95"/>
                <w:sz w:val="20"/>
              </w:rPr>
              <w:t>指中枢神经系统白质多灶性脱髓鞘病变，病变有时累及灰质。多发性硬化症必须由我们认可   </w:t>
            </w:r>
            <w:r>
              <w:rPr>
                <w:spacing w:val="-2"/>
                <w:w w:val="95"/>
                <w:sz w:val="20"/>
              </w:rPr>
              <w:t>的医院的神经专科主任级医生确诊。诊断须包括：永久的运动及感觉功能障碍必须不间断地   持续至少六个月，必须有典型的脱髓鞘症状和运动及感觉功能障碍的客观证据，如腰穿、听   </w:t>
            </w:r>
            <w:r>
              <w:rPr>
                <w:spacing w:val="-6"/>
                <w:sz w:val="20"/>
              </w:rPr>
              <w:t>觉诱发反应、视觉诱发反应和 </w:t>
            </w:r>
            <w:r>
              <w:rPr>
                <w:rFonts w:ascii="Times New Roman" w:eastAsia="Times New Roman"/>
                <w:sz w:val="20"/>
              </w:rPr>
              <w:t>MRI</w:t>
            </w:r>
            <w:r>
              <w:rPr>
                <w:rFonts w:ascii="Times New Roman" w:eastAsia="Times New Roman"/>
                <w:spacing w:val="-14"/>
                <w:sz w:val="20"/>
              </w:rPr>
              <w:t> </w:t>
            </w:r>
            <w:r>
              <w:rPr>
                <w:sz w:val="20"/>
              </w:rPr>
              <w:t>检查的典型改变。</w:t>
            </w:r>
          </w:p>
        </w:tc>
      </w:tr>
      <w:tr>
        <w:trPr>
          <w:trHeight w:val="2898" w:hRule="atLeast"/>
        </w:trPr>
        <w:tc>
          <w:tcPr>
            <w:tcW w:w="1637" w:type="dxa"/>
          </w:tcPr>
          <w:p>
            <w:pPr>
              <w:pStyle w:val="TableParagraph"/>
              <w:spacing w:line="225" w:lineRule="auto" w:before="1"/>
              <w:ind w:right="101"/>
              <w:rPr>
                <w:sz w:val="20"/>
              </w:rPr>
            </w:pPr>
            <w:r>
              <w:rPr>
                <w:rFonts w:ascii="Times New Roman" w:eastAsia="Times New Roman"/>
                <w:sz w:val="20"/>
              </w:rPr>
              <w:t>30</w:t>
            </w:r>
            <w:r>
              <w:rPr>
                <w:sz w:val="20"/>
              </w:rPr>
              <w:t>．系统性红斑</w:t>
            </w:r>
            <w:r>
              <w:rPr>
                <w:w w:val="95"/>
                <w:sz w:val="20"/>
              </w:rPr>
              <w:t>狼疮</w:t>
            </w:r>
          </w:p>
        </w:tc>
        <w:tc>
          <w:tcPr>
            <w:tcW w:w="8211" w:type="dxa"/>
          </w:tcPr>
          <w:p>
            <w:pPr>
              <w:pStyle w:val="TableParagraph"/>
              <w:spacing w:line="230" w:lineRule="auto"/>
              <w:ind w:right="29"/>
              <w:jc w:val="both"/>
              <w:rPr>
                <w:sz w:val="20"/>
              </w:rPr>
            </w:pPr>
            <w:r>
              <w:rPr>
                <w:sz w:val="20"/>
              </w:rPr>
              <w:t>由于病理性自身抗体和免疫复合物的沉积破坏了血管和细胞而导致的一种自体免疫性疾病。</w:t>
            </w:r>
            <w:r>
              <w:rPr>
                <w:spacing w:val="-1"/>
                <w:sz w:val="20"/>
              </w:rPr>
              <w:t>由于系统性红斑狼疮会损害肾功能而导致狼疮肾炎，世界卫生组织根据肾脏活检结果将狼疮</w:t>
            </w:r>
            <w:r>
              <w:rPr>
                <w:spacing w:val="-8"/>
                <w:sz w:val="20"/>
              </w:rPr>
              <w:t>肾炎分成 </w:t>
            </w:r>
            <w:r>
              <w:rPr>
                <w:rFonts w:ascii="Times New Roman" w:eastAsia="Times New Roman"/>
                <w:sz w:val="20"/>
              </w:rPr>
              <w:t>I</w:t>
            </w:r>
            <w:r>
              <w:rPr>
                <w:rFonts w:ascii="Times New Roman" w:eastAsia="Times New Roman"/>
                <w:spacing w:val="-2"/>
                <w:sz w:val="20"/>
              </w:rPr>
              <w:t> </w:t>
            </w:r>
            <w:r>
              <w:rPr>
                <w:spacing w:val="-12"/>
                <w:sz w:val="20"/>
              </w:rPr>
              <w:t>型到 </w:t>
            </w:r>
            <w:r>
              <w:rPr>
                <w:rFonts w:ascii="Times New Roman" w:eastAsia="Times New Roman"/>
                <w:sz w:val="20"/>
              </w:rPr>
              <w:t>VI</w:t>
            </w:r>
            <w:r>
              <w:rPr>
                <w:rFonts w:ascii="Times New Roman" w:eastAsia="Times New Roman"/>
                <w:spacing w:val="-2"/>
                <w:sz w:val="20"/>
              </w:rPr>
              <w:t> </w:t>
            </w:r>
            <w:r>
              <w:rPr>
                <w:sz w:val="20"/>
              </w:rPr>
              <w:t>型六种类型，但本附加合同仅承保导致世界卫生组织（</w:t>
            </w:r>
            <w:r>
              <w:rPr>
                <w:rFonts w:ascii="Times New Roman" w:eastAsia="Times New Roman"/>
                <w:sz w:val="20"/>
              </w:rPr>
              <w:t>WHO</w:t>
            </w:r>
            <w:r>
              <w:rPr>
                <w:sz w:val="20"/>
              </w:rPr>
              <w:t>）狼疮肾炎</w:t>
            </w:r>
            <w:r>
              <w:rPr>
                <w:spacing w:val="-14"/>
                <w:sz w:val="20"/>
              </w:rPr>
              <w:t>分类的 </w:t>
            </w:r>
            <w:r>
              <w:rPr>
                <w:rFonts w:ascii="Times New Roman" w:eastAsia="Times New Roman"/>
                <w:sz w:val="20"/>
              </w:rPr>
              <w:t>III</w:t>
            </w:r>
            <w:r>
              <w:rPr>
                <w:rFonts w:ascii="Times New Roman" w:eastAsia="Times New Roman"/>
                <w:spacing w:val="-14"/>
                <w:sz w:val="20"/>
              </w:rPr>
              <w:t> </w:t>
            </w:r>
            <w:r>
              <w:rPr>
                <w:spacing w:val="-19"/>
                <w:sz w:val="20"/>
              </w:rPr>
              <w:t>型到 </w:t>
            </w:r>
            <w:r>
              <w:rPr>
                <w:rFonts w:ascii="Times New Roman" w:eastAsia="Times New Roman"/>
                <w:sz w:val="20"/>
              </w:rPr>
              <w:t>VI</w:t>
            </w:r>
            <w:r>
              <w:rPr>
                <w:rFonts w:ascii="Times New Roman" w:eastAsia="Times New Roman"/>
                <w:spacing w:val="-14"/>
                <w:sz w:val="20"/>
              </w:rPr>
              <w:t> </w:t>
            </w:r>
            <w:r>
              <w:rPr>
                <w:sz w:val="20"/>
              </w:rPr>
              <w:t>型的系统性红斑狼疮。世界卫生组织（</w:t>
            </w:r>
            <w:r>
              <w:rPr>
                <w:rFonts w:ascii="Times New Roman" w:eastAsia="Times New Roman"/>
                <w:sz w:val="20"/>
              </w:rPr>
              <w:t>WHO</w:t>
            </w:r>
            <w:r>
              <w:rPr>
                <w:sz w:val="20"/>
              </w:rPr>
              <w:t>）对狼疮肾炎的六种分类为： </w:t>
            </w:r>
            <w:r>
              <w:rPr>
                <w:rFonts w:ascii="Times New Roman" w:eastAsia="Times New Roman"/>
                <w:sz w:val="20"/>
              </w:rPr>
              <w:t>WHO</w:t>
            </w:r>
            <w:r>
              <w:rPr>
                <w:rFonts w:ascii="Times New Roman" w:eastAsia="Times New Roman"/>
                <w:spacing w:val="-4"/>
                <w:sz w:val="20"/>
              </w:rPr>
              <w:t> </w:t>
            </w:r>
            <w:r>
              <w:rPr>
                <w:rFonts w:ascii="Times New Roman" w:eastAsia="Times New Roman"/>
                <w:sz w:val="20"/>
              </w:rPr>
              <w:t>I</w:t>
            </w:r>
            <w:r>
              <w:rPr>
                <w:rFonts w:ascii="Times New Roman" w:eastAsia="Times New Roman"/>
                <w:spacing w:val="-13"/>
                <w:sz w:val="20"/>
              </w:rPr>
              <w:t> </w:t>
            </w:r>
            <w:r>
              <w:rPr>
                <w:sz w:val="20"/>
              </w:rPr>
              <w:t>型：正常肾小球；</w:t>
            </w:r>
          </w:p>
          <w:p>
            <w:pPr>
              <w:pStyle w:val="TableParagraph"/>
              <w:spacing w:line="250" w:lineRule="exact" w:before="5"/>
              <w:rPr>
                <w:sz w:val="20"/>
              </w:rPr>
            </w:pPr>
            <w:r>
              <w:rPr>
                <w:rFonts w:ascii="Times New Roman" w:eastAsia="Times New Roman"/>
                <w:sz w:val="20"/>
              </w:rPr>
              <w:t>WHO II </w:t>
            </w:r>
            <w:r>
              <w:rPr>
                <w:sz w:val="20"/>
              </w:rPr>
              <w:t>型：单纯系膜增生型；</w:t>
            </w:r>
          </w:p>
          <w:p>
            <w:pPr>
              <w:pStyle w:val="TableParagraph"/>
              <w:spacing w:line="259" w:lineRule="exact"/>
              <w:rPr>
                <w:sz w:val="20"/>
              </w:rPr>
            </w:pPr>
            <w:r>
              <w:rPr>
                <w:rFonts w:ascii="Times New Roman" w:eastAsia="Times New Roman"/>
                <w:sz w:val="20"/>
              </w:rPr>
              <w:t>WHO III </w:t>
            </w:r>
            <w:r>
              <w:rPr>
                <w:sz w:val="20"/>
              </w:rPr>
              <w:t>型：局灶或节段性增生性肾小球肾炎；</w:t>
            </w:r>
          </w:p>
          <w:p>
            <w:pPr>
              <w:pStyle w:val="TableParagraph"/>
              <w:spacing w:line="225" w:lineRule="auto" w:before="7"/>
              <w:ind w:right="4517" w:hanging="1"/>
              <w:rPr>
                <w:sz w:val="20"/>
              </w:rPr>
            </w:pPr>
            <w:r>
              <w:rPr>
                <w:rFonts w:ascii="Times New Roman" w:eastAsia="Times New Roman"/>
                <w:sz w:val="20"/>
              </w:rPr>
              <w:t>WHO</w:t>
            </w:r>
            <w:r>
              <w:rPr>
                <w:rFonts w:ascii="Times New Roman" w:eastAsia="Times New Roman"/>
                <w:spacing w:val="-5"/>
                <w:sz w:val="20"/>
              </w:rPr>
              <w:t> </w:t>
            </w:r>
            <w:r>
              <w:rPr>
                <w:rFonts w:ascii="Times New Roman" w:eastAsia="Times New Roman"/>
                <w:sz w:val="20"/>
              </w:rPr>
              <w:t>IV</w:t>
            </w:r>
            <w:r>
              <w:rPr>
                <w:rFonts w:ascii="Times New Roman" w:eastAsia="Times New Roman"/>
                <w:spacing w:val="-14"/>
                <w:sz w:val="20"/>
              </w:rPr>
              <w:t> </w:t>
            </w:r>
            <w:r>
              <w:rPr>
                <w:sz w:val="20"/>
              </w:rPr>
              <w:t>型：弥漫性增生性肾小球肾炎； </w:t>
            </w:r>
            <w:r>
              <w:rPr>
                <w:rFonts w:ascii="Times New Roman" w:eastAsia="Times New Roman"/>
                <w:sz w:val="20"/>
              </w:rPr>
              <w:t>WHO</w:t>
            </w:r>
            <w:r>
              <w:rPr>
                <w:rFonts w:ascii="Times New Roman" w:eastAsia="Times New Roman"/>
                <w:spacing w:val="-1"/>
                <w:sz w:val="20"/>
              </w:rPr>
              <w:t> </w:t>
            </w:r>
            <w:r>
              <w:rPr>
                <w:rFonts w:ascii="Times New Roman" w:eastAsia="Times New Roman"/>
                <w:sz w:val="20"/>
              </w:rPr>
              <w:t>V</w:t>
            </w:r>
            <w:r>
              <w:rPr>
                <w:rFonts w:ascii="Times New Roman" w:eastAsia="Times New Roman"/>
                <w:spacing w:val="-11"/>
                <w:sz w:val="20"/>
              </w:rPr>
              <w:t> </w:t>
            </w:r>
            <w:r>
              <w:rPr>
                <w:sz w:val="20"/>
              </w:rPr>
              <w:t>型：弥漫膜性肾小球肾炎； </w:t>
            </w:r>
            <w:r>
              <w:rPr>
                <w:rFonts w:ascii="Times New Roman" w:eastAsia="Times New Roman"/>
                <w:sz w:val="20"/>
              </w:rPr>
              <w:t>WHO</w:t>
            </w:r>
            <w:r>
              <w:rPr>
                <w:rFonts w:ascii="Times New Roman" w:eastAsia="Times New Roman"/>
                <w:spacing w:val="-6"/>
                <w:sz w:val="20"/>
              </w:rPr>
              <w:t> </w:t>
            </w:r>
            <w:r>
              <w:rPr>
                <w:rFonts w:ascii="Times New Roman" w:eastAsia="Times New Roman"/>
                <w:sz w:val="20"/>
              </w:rPr>
              <w:t>VI</w:t>
            </w:r>
            <w:r>
              <w:rPr>
                <w:rFonts w:ascii="Times New Roman" w:eastAsia="Times New Roman"/>
                <w:spacing w:val="-14"/>
                <w:sz w:val="20"/>
              </w:rPr>
              <w:t> </w:t>
            </w:r>
            <w:r>
              <w:rPr>
                <w:sz w:val="20"/>
              </w:rPr>
              <w:t>型：进行性硬化性肾小球肾炎。</w:t>
            </w:r>
          </w:p>
          <w:p>
            <w:pPr>
              <w:pStyle w:val="TableParagraph"/>
              <w:spacing w:line="267" w:lineRule="exact"/>
              <w:ind w:right="-15"/>
              <w:rPr>
                <w:rFonts w:ascii="Microsoft JhengHei" w:eastAsia="Microsoft JhengHei" w:hint="eastAsia"/>
                <w:b/>
                <w:sz w:val="20"/>
              </w:rPr>
            </w:pPr>
            <w:r>
              <w:rPr>
                <w:rFonts w:ascii="Microsoft JhengHei" w:eastAsia="Microsoft JhengHei" w:hint="eastAsia"/>
                <w:b/>
                <w:spacing w:val="-10"/>
                <w:sz w:val="20"/>
              </w:rPr>
              <w:t>其他类型的狼疮，例如盘状红斑狼疮或那些只影响血液和关节的红斑狼疮，不在保障范围内。</w:t>
            </w:r>
          </w:p>
        </w:tc>
      </w:tr>
      <w:tr>
        <w:trPr>
          <w:trHeight w:val="1861" w:hRule="atLeast"/>
        </w:trPr>
        <w:tc>
          <w:tcPr>
            <w:tcW w:w="1637" w:type="dxa"/>
          </w:tcPr>
          <w:p>
            <w:pPr>
              <w:pStyle w:val="TableParagraph"/>
              <w:spacing w:line="225" w:lineRule="auto" w:before="1"/>
              <w:ind w:right="101"/>
              <w:rPr>
                <w:sz w:val="20"/>
              </w:rPr>
            </w:pPr>
            <w:r>
              <w:rPr>
                <w:rFonts w:ascii="Times New Roman" w:eastAsia="Times New Roman"/>
                <w:sz w:val="20"/>
              </w:rPr>
              <w:t>31</w:t>
            </w:r>
            <w:r>
              <w:rPr>
                <w:sz w:val="20"/>
              </w:rPr>
              <w:t>．系统性硬化病</w:t>
            </w:r>
          </w:p>
        </w:tc>
        <w:tc>
          <w:tcPr>
            <w:tcW w:w="8211" w:type="dxa"/>
          </w:tcPr>
          <w:p>
            <w:pPr>
              <w:pStyle w:val="TableParagraph"/>
              <w:spacing w:line="260" w:lineRule="exact" w:before="10"/>
              <w:ind w:right="97"/>
              <w:rPr>
                <w:sz w:val="20"/>
              </w:rPr>
            </w:pPr>
            <w:r>
              <w:rPr>
                <w:w w:val="95"/>
                <w:sz w:val="20"/>
              </w:rPr>
              <w:t>系统性硬化病又称硬皮病，是以弥漫性皮肤、血管及内脏器官结缔组织纤维化、硬化及萎缩   </w:t>
            </w:r>
            <w:r>
              <w:rPr>
                <w:spacing w:val="-1"/>
                <w:w w:val="95"/>
                <w:sz w:val="20"/>
              </w:rPr>
              <w:t>为特点的结缔组织病。必须由具有执业医师资格的风湿免疫专科医生确诊。必须有活体组织</w:t>
            </w:r>
          </w:p>
          <w:p>
            <w:pPr>
              <w:pStyle w:val="TableParagraph"/>
              <w:spacing w:line="192" w:lineRule="auto" w:before="28"/>
              <w:ind w:right="2096" w:hanging="1"/>
              <w:rPr>
                <w:rFonts w:ascii="Microsoft JhengHei" w:eastAsia="Microsoft JhengHei" w:hint="eastAsia"/>
                <w:b/>
                <w:sz w:val="20"/>
              </w:rPr>
            </w:pPr>
            <w:r>
              <w:rPr>
                <w:w w:val="95"/>
                <w:sz w:val="20"/>
              </w:rPr>
              <w:t>检查和血清学的检查作为确诊依据。病变需累及心脏，肺脏或肾脏。  </w:t>
            </w:r>
            <w:r>
              <w:rPr>
                <w:rFonts w:ascii="Microsoft JhengHei" w:eastAsia="Microsoft JhengHei" w:hint="eastAsia"/>
                <w:b/>
                <w:sz w:val="20"/>
              </w:rPr>
              <w:t>下列疾病不在保障范围内：</w:t>
            </w:r>
          </w:p>
          <w:p>
            <w:pPr>
              <w:pStyle w:val="TableParagraph"/>
              <w:spacing w:line="215" w:lineRule="exact"/>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1</w:t>
            </w:r>
            <w:r>
              <w:rPr>
                <w:rFonts w:ascii="Microsoft JhengHei" w:eastAsia="Microsoft JhengHei" w:hint="eastAsia"/>
                <w:b/>
                <w:sz w:val="20"/>
              </w:rPr>
              <w:t>）局限性硬皮病（包括带状硬皮病、硬斑病）；</w:t>
            </w:r>
          </w:p>
          <w:p>
            <w:pPr>
              <w:pStyle w:val="TableParagraph"/>
              <w:spacing w:line="259" w:lineRule="exact"/>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2</w:t>
            </w:r>
            <w:r>
              <w:rPr>
                <w:rFonts w:ascii="Microsoft JhengHei" w:eastAsia="Microsoft JhengHei" w:hint="eastAsia"/>
                <w:b/>
                <w:sz w:val="20"/>
              </w:rPr>
              <w:t>）嗜酸细胞性筋膜炎；</w:t>
            </w:r>
          </w:p>
          <w:p>
            <w:pPr>
              <w:pStyle w:val="TableParagraph"/>
              <w:spacing w:line="304" w:lineRule="exact"/>
              <w:rPr>
                <w:rFonts w:ascii="Microsoft JhengHei" w:eastAsia="Microsoft JhengHei" w:hint="eastAsia"/>
                <w:b/>
                <w:sz w:val="20"/>
              </w:rPr>
            </w:pPr>
            <w:r>
              <w:rPr>
                <w:rFonts w:ascii="Microsoft JhengHei" w:eastAsia="Microsoft JhengHei" w:hint="eastAsia"/>
                <w:b/>
                <w:sz w:val="20"/>
              </w:rPr>
              <w:t>（</w:t>
            </w:r>
            <w:r>
              <w:rPr>
                <w:rFonts w:ascii="Times New Roman" w:eastAsia="Times New Roman"/>
                <w:b/>
                <w:sz w:val="20"/>
              </w:rPr>
              <w:t>3</w:t>
            </w:r>
            <w:r>
              <w:rPr>
                <w:rFonts w:ascii="Microsoft JhengHei" w:eastAsia="Microsoft JhengHei" w:hint="eastAsia"/>
                <w:b/>
                <w:sz w:val="20"/>
              </w:rPr>
              <w:t>）</w:t>
            </w:r>
            <w:r>
              <w:rPr>
                <w:rFonts w:ascii="Times New Roman" w:eastAsia="Times New Roman"/>
                <w:b/>
                <w:sz w:val="20"/>
              </w:rPr>
              <w:t>CREST </w:t>
            </w:r>
            <w:r>
              <w:rPr>
                <w:rFonts w:ascii="Microsoft JhengHei" w:eastAsia="Microsoft JhengHei" w:hint="eastAsia"/>
                <w:b/>
                <w:sz w:val="20"/>
              </w:rPr>
              <w:t>综合征。</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32</w:t>
            </w:r>
            <w:r>
              <w:rPr>
                <w:w w:val="95"/>
                <w:sz w:val="20"/>
              </w:rPr>
              <w:t>．严重克隆病</w:t>
            </w:r>
          </w:p>
        </w:tc>
        <w:tc>
          <w:tcPr>
            <w:tcW w:w="8211" w:type="dxa"/>
          </w:tcPr>
          <w:p>
            <w:pPr>
              <w:pStyle w:val="TableParagraph"/>
              <w:spacing w:line="260" w:lineRule="exact" w:before="10"/>
              <w:ind w:right="101"/>
              <w:rPr>
                <w:sz w:val="20"/>
              </w:rPr>
            </w:pPr>
            <w:r>
              <w:rPr>
                <w:spacing w:val="-1"/>
                <w:w w:val="95"/>
                <w:sz w:val="20"/>
              </w:rPr>
              <w:t>克隆病是一种慢性肉芽肿性肠炎，具有特征性的克隆病病理组织学变化。诊断必须由病理检   查结果证实。被保险人所患的克隆病必须已经造成瘘管形成并伴有肠梗阻或肠穿孔。</w:t>
            </w:r>
          </w:p>
        </w:tc>
      </w:tr>
      <w:tr>
        <w:trPr>
          <w:trHeight w:val="825" w:hRule="atLeast"/>
        </w:trPr>
        <w:tc>
          <w:tcPr>
            <w:tcW w:w="1637" w:type="dxa"/>
          </w:tcPr>
          <w:p>
            <w:pPr>
              <w:pStyle w:val="TableParagraph"/>
              <w:spacing w:line="225" w:lineRule="auto" w:before="3"/>
              <w:ind w:right="101"/>
              <w:rPr>
                <w:sz w:val="20"/>
              </w:rPr>
            </w:pPr>
            <w:r>
              <w:rPr>
                <w:rFonts w:ascii="Times New Roman" w:eastAsia="Times New Roman"/>
                <w:sz w:val="20"/>
              </w:rPr>
              <w:t>33</w:t>
            </w:r>
            <w:r>
              <w:rPr>
                <w:sz w:val="20"/>
              </w:rPr>
              <w:t>．严重溃疡性</w:t>
            </w:r>
            <w:r>
              <w:rPr>
                <w:w w:val="95"/>
                <w:sz w:val="20"/>
              </w:rPr>
              <w:t>结肠炎</w:t>
            </w:r>
          </w:p>
        </w:tc>
        <w:tc>
          <w:tcPr>
            <w:tcW w:w="8211" w:type="dxa"/>
          </w:tcPr>
          <w:p>
            <w:pPr>
              <w:pStyle w:val="TableParagraph"/>
              <w:spacing w:line="237" w:lineRule="auto"/>
              <w:ind w:right="101"/>
              <w:jc w:val="both"/>
              <w:rPr>
                <w:sz w:val="20"/>
              </w:rPr>
            </w:pPr>
            <w:r>
              <w:rPr>
                <w:spacing w:val="-1"/>
                <w:w w:val="95"/>
                <w:sz w:val="20"/>
              </w:rPr>
              <w:t>指伴有致命性电解质紊乱的急性暴发性溃疡性结肠炎，病变累及全结肠，表现为严重的血便   和系统性症状体征，治疗通常采取全结肠切除和回肠造瘘术。溃疡性结肠炎必须根据组织病   理学特点诊断，并且被保险人已经接受了结肠切除和回肠造瘘术。</w:t>
            </w:r>
          </w:p>
        </w:tc>
      </w:tr>
      <w:tr>
        <w:trPr>
          <w:trHeight w:val="822" w:hRule="atLeast"/>
        </w:trPr>
        <w:tc>
          <w:tcPr>
            <w:tcW w:w="1637" w:type="dxa"/>
          </w:tcPr>
          <w:p>
            <w:pPr>
              <w:pStyle w:val="TableParagraph"/>
              <w:spacing w:line="225" w:lineRule="auto" w:before="1"/>
              <w:ind w:right="101"/>
              <w:rPr>
                <w:sz w:val="20"/>
              </w:rPr>
            </w:pPr>
            <w:r>
              <w:rPr>
                <w:rFonts w:ascii="Times New Roman" w:eastAsia="Times New Roman"/>
                <w:sz w:val="20"/>
              </w:rPr>
              <w:t>34</w:t>
            </w:r>
            <w:r>
              <w:rPr>
                <w:sz w:val="20"/>
              </w:rPr>
              <w:t>．急性坏死性</w:t>
            </w:r>
            <w:r>
              <w:rPr>
                <w:w w:val="95"/>
                <w:sz w:val="20"/>
              </w:rPr>
              <w:t>胰腺炎</w:t>
            </w:r>
          </w:p>
        </w:tc>
        <w:tc>
          <w:tcPr>
            <w:tcW w:w="8211" w:type="dxa"/>
          </w:tcPr>
          <w:p>
            <w:pPr>
              <w:pStyle w:val="TableParagraph"/>
              <w:spacing w:line="260" w:lineRule="exact" w:before="10"/>
              <w:ind w:right="101"/>
              <w:rPr>
                <w:sz w:val="20"/>
              </w:rPr>
            </w:pPr>
            <w:r>
              <w:rPr>
                <w:spacing w:val="-2"/>
                <w:w w:val="95"/>
                <w:sz w:val="20"/>
              </w:rPr>
              <w:t>指由专科医生确诊为急性出血坏死性胰腺炎，并已经接受了外科开腹手术治疗，以进行坏死   组织清除、坏死病灶切除或胰腺切除。</w:t>
            </w:r>
          </w:p>
          <w:p>
            <w:pPr>
              <w:pStyle w:val="TableParagraph"/>
              <w:spacing w:line="258" w:lineRule="exact"/>
              <w:rPr>
                <w:rFonts w:ascii="Microsoft JhengHei" w:eastAsia="Microsoft JhengHei" w:hint="eastAsia"/>
                <w:b/>
                <w:sz w:val="20"/>
              </w:rPr>
            </w:pPr>
            <w:r>
              <w:rPr>
                <w:rFonts w:ascii="Microsoft JhengHei" w:eastAsia="Microsoft JhengHei" w:hint="eastAsia"/>
                <w:b/>
                <w:sz w:val="20"/>
              </w:rPr>
              <w:t>因饮酒所致的急性出血坏死性胰腺炎或经腹腔镜手术进行的治疗不在保障范围内。</w:t>
            </w:r>
          </w:p>
        </w:tc>
      </w:tr>
      <w:tr>
        <w:trPr>
          <w:trHeight w:val="825" w:hRule="atLeast"/>
        </w:trPr>
        <w:tc>
          <w:tcPr>
            <w:tcW w:w="1637" w:type="dxa"/>
          </w:tcPr>
          <w:p>
            <w:pPr>
              <w:pStyle w:val="TableParagraph"/>
              <w:spacing w:line="225" w:lineRule="auto" w:before="3"/>
              <w:ind w:right="101"/>
              <w:rPr>
                <w:sz w:val="20"/>
              </w:rPr>
            </w:pPr>
            <w:r>
              <w:rPr>
                <w:rFonts w:ascii="Times New Roman" w:eastAsia="Times New Roman"/>
                <w:sz w:val="20"/>
              </w:rPr>
              <w:t>35</w:t>
            </w:r>
            <w:r>
              <w:rPr>
                <w:sz w:val="20"/>
              </w:rPr>
              <w:t>．慢性复发性</w:t>
            </w:r>
            <w:r>
              <w:rPr>
                <w:w w:val="95"/>
                <w:sz w:val="20"/>
              </w:rPr>
              <w:t>胰腺炎</w:t>
            </w:r>
          </w:p>
        </w:tc>
        <w:tc>
          <w:tcPr>
            <w:tcW w:w="8211" w:type="dxa"/>
          </w:tcPr>
          <w:p>
            <w:pPr>
              <w:pStyle w:val="TableParagraph"/>
              <w:spacing w:line="247" w:lineRule="exact"/>
              <w:rPr>
                <w:sz w:val="20"/>
              </w:rPr>
            </w:pPr>
            <w:r>
              <w:rPr>
                <w:sz w:val="20"/>
              </w:rPr>
              <w:t>胰腺炎反复发作超过三次以上并导致胰腺功能紊乱和营养不良，且已持续接受酶替代治疗</w:t>
            </w:r>
          </w:p>
          <w:p>
            <w:pPr>
              <w:pStyle w:val="TableParagraph"/>
              <w:spacing w:line="182" w:lineRule="auto" w:before="65"/>
              <w:ind w:right="710" w:hanging="1"/>
              <w:rPr>
                <w:rFonts w:ascii="Microsoft JhengHei" w:eastAsia="Microsoft JhengHei" w:hint="eastAsia"/>
                <w:b/>
                <w:sz w:val="20"/>
              </w:rPr>
            </w:pPr>
            <w:r>
              <w:rPr>
                <w:rFonts w:ascii="Times New Roman" w:eastAsia="Times New Roman"/>
                <w:sz w:val="20"/>
              </w:rPr>
              <w:t>180 </w:t>
            </w:r>
            <w:r>
              <w:rPr>
                <w:sz w:val="20"/>
              </w:rPr>
              <w:t>天以上。诊断必须有消化科专科医生确认并且有内窥镜逆行胰胆管造影所证实。</w:t>
            </w:r>
            <w:r>
              <w:rPr>
                <w:rFonts w:ascii="Microsoft JhengHei" w:eastAsia="Microsoft JhengHei" w:hint="eastAsia"/>
                <w:b/>
                <w:sz w:val="20"/>
              </w:rPr>
              <w:t>因酒精所致的慢性复发性胰腺炎不在保障范围内。</w:t>
            </w:r>
          </w:p>
        </w:tc>
      </w:tr>
    </w:tbl>
    <w:p>
      <w:pPr>
        <w:spacing w:after="0" w:line="182" w:lineRule="auto"/>
        <w:rPr>
          <w:rFonts w:ascii="Microsoft JhengHei" w:eastAsia="Microsoft JhengHei" w:hint="eastAsia"/>
          <w:sz w:val="20"/>
        </w:rPr>
        <w:sectPr>
          <w:pgSz w:w="11900" w:h="16840"/>
          <w:pgMar w:header="0" w:footer="676"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3" w:hRule="atLeast"/>
        </w:trPr>
        <w:tc>
          <w:tcPr>
            <w:tcW w:w="1637" w:type="dxa"/>
            <w:shd w:val="clear" w:color="auto" w:fill="D8D8D8"/>
          </w:tcPr>
          <w:p>
            <w:pPr>
              <w:pStyle w:val="TableParagraph"/>
              <w:spacing w:line="279" w:lineRule="exact"/>
              <w:ind w:left="213"/>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79"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1861" w:hRule="atLeast"/>
        </w:trPr>
        <w:tc>
          <w:tcPr>
            <w:tcW w:w="1637" w:type="dxa"/>
          </w:tcPr>
          <w:p>
            <w:pPr>
              <w:pStyle w:val="TableParagraph"/>
              <w:spacing w:line="225" w:lineRule="auto" w:before="3"/>
              <w:ind w:right="101"/>
              <w:rPr>
                <w:sz w:val="20"/>
              </w:rPr>
            </w:pPr>
            <w:r>
              <w:rPr>
                <w:rFonts w:ascii="Times New Roman" w:eastAsia="Times New Roman"/>
                <w:sz w:val="20"/>
              </w:rPr>
              <w:t>36</w:t>
            </w:r>
            <w:r>
              <w:rPr>
                <w:sz w:val="20"/>
              </w:rPr>
              <w:t>．原发性硬化</w:t>
            </w:r>
            <w:r>
              <w:rPr>
                <w:w w:val="95"/>
                <w:sz w:val="20"/>
              </w:rPr>
              <w:t>性胆管炎</w:t>
            </w:r>
          </w:p>
        </w:tc>
        <w:tc>
          <w:tcPr>
            <w:tcW w:w="8211" w:type="dxa"/>
          </w:tcPr>
          <w:p>
            <w:pPr>
              <w:pStyle w:val="TableParagraph"/>
              <w:spacing w:line="237" w:lineRule="auto"/>
              <w:ind w:right="97"/>
              <w:jc w:val="both"/>
              <w:rPr>
                <w:sz w:val="20"/>
              </w:rPr>
            </w:pPr>
            <w:r>
              <w:rPr>
                <w:spacing w:val="-1"/>
                <w:w w:val="95"/>
                <w:sz w:val="20"/>
              </w:rPr>
              <w:t>指一种胆汁淤积综合征，其特征是肝内、肝外胆道因纤维化性炎症逐渐狭窄，并最终导致完   </w:t>
            </w:r>
            <w:r>
              <w:rPr>
                <w:spacing w:val="-2"/>
                <w:w w:val="95"/>
                <w:sz w:val="20"/>
              </w:rPr>
              <w:t>全阻塞而发展为肝硬化。本病须经内镜逆行胰胆管造影等影像学检查证实，并须满足下列全   部条件：</w:t>
            </w:r>
          </w:p>
          <w:p>
            <w:pPr>
              <w:pStyle w:val="TableParagraph"/>
              <w:spacing w:line="266" w:lineRule="exact" w:before="10"/>
              <w:jc w:val="both"/>
              <w:rPr>
                <w:sz w:val="20"/>
              </w:rPr>
            </w:pPr>
            <w:r>
              <w:rPr>
                <w:sz w:val="20"/>
              </w:rPr>
              <w:t>（</w:t>
            </w:r>
            <w:r>
              <w:rPr>
                <w:rFonts w:ascii="Times New Roman" w:eastAsia="Times New Roman"/>
                <w:sz w:val="20"/>
              </w:rPr>
              <w:t>1</w:t>
            </w:r>
            <w:r>
              <w:rPr>
                <w:sz w:val="20"/>
              </w:rPr>
              <w:t>）总胆红素和直接胆红素同时升高，血清 </w:t>
            </w:r>
            <w:r>
              <w:rPr>
                <w:rFonts w:ascii="Times New Roman" w:eastAsia="Times New Roman"/>
                <w:sz w:val="20"/>
              </w:rPr>
              <w:t>ALP&gt;200U/L</w:t>
            </w:r>
            <w:r>
              <w:rPr>
                <w:sz w:val="20"/>
              </w:rPr>
              <w:t>；</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）持续性黄疸病史；</w:t>
            </w:r>
          </w:p>
          <w:p>
            <w:pPr>
              <w:pStyle w:val="TableParagraph"/>
              <w:spacing w:line="227" w:lineRule="exact"/>
              <w:jc w:val="both"/>
              <w:rPr>
                <w:sz w:val="20"/>
              </w:rPr>
            </w:pPr>
            <w:r>
              <w:rPr>
                <w:w w:val="95"/>
                <w:sz w:val="20"/>
              </w:rPr>
              <w:t>（</w:t>
            </w:r>
            <w:r>
              <w:rPr>
                <w:rFonts w:ascii="Times New Roman" w:eastAsia="Times New Roman"/>
                <w:w w:val="95"/>
                <w:sz w:val="20"/>
              </w:rPr>
              <w:t>3</w:t>
            </w:r>
            <w:r>
              <w:rPr>
                <w:w w:val="95"/>
                <w:sz w:val="20"/>
              </w:rPr>
              <w:t>）出现胆汁性肝硬化或门脉高压。</w:t>
            </w:r>
          </w:p>
          <w:p>
            <w:pPr>
              <w:pStyle w:val="TableParagraph"/>
              <w:spacing w:line="307" w:lineRule="exact"/>
              <w:jc w:val="both"/>
              <w:rPr>
                <w:rFonts w:ascii="Microsoft JhengHei" w:eastAsia="Microsoft JhengHei" w:hint="eastAsia"/>
                <w:b/>
                <w:sz w:val="20"/>
              </w:rPr>
            </w:pPr>
            <w:r>
              <w:rPr>
                <w:rFonts w:ascii="Microsoft JhengHei" w:eastAsia="Microsoft JhengHei" w:hint="eastAsia"/>
                <w:b/>
                <w:sz w:val="20"/>
              </w:rPr>
              <w:t>因肿瘤或胆管损伤等继发性的硬化性胆管炎不在保障范围内。</w:t>
            </w:r>
          </w:p>
        </w:tc>
      </w:tr>
      <w:tr>
        <w:trPr>
          <w:trHeight w:val="1343" w:hRule="atLeast"/>
        </w:trPr>
        <w:tc>
          <w:tcPr>
            <w:tcW w:w="1637" w:type="dxa"/>
          </w:tcPr>
          <w:p>
            <w:pPr>
              <w:pStyle w:val="TableParagraph"/>
              <w:spacing w:line="225" w:lineRule="auto" w:before="3"/>
              <w:ind w:right="101"/>
              <w:rPr>
                <w:sz w:val="20"/>
              </w:rPr>
            </w:pPr>
            <w:r>
              <w:rPr>
                <w:rFonts w:ascii="Times New Roman" w:eastAsia="Times New Roman"/>
                <w:sz w:val="20"/>
              </w:rPr>
              <w:t>37</w:t>
            </w:r>
            <w:r>
              <w:rPr>
                <w:sz w:val="20"/>
              </w:rPr>
              <w:t>．坏死性筋膜炎</w:t>
            </w:r>
          </w:p>
        </w:tc>
        <w:tc>
          <w:tcPr>
            <w:tcW w:w="8211" w:type="dxa"/>
          </w:tcPr>
          <w:p>
            <w:pPr>
              <w:pStyle w:val="TableParagraph"/>
              <w:spacing w:line="247" w:lineRule="exact"/>
              <w:rPr>
                <w:sz w:val="20"/>
              </w:rPr>
            </w:pPr>
            <w:r>
              <w:rPr>
                <w:w w:val="95"/>
                <w:sz w:val="20"/>
              </w:rPr>
              <w:t>坏死性筋膜炎的诊断须同时符合下列要求：</w:t>
            </w:r>
          </w:p>
          <w:p>
            <w:pPr>
              <w:pStyle w:val="TableParagraph"/>
              <w:spacing w:line="267" w:lineRule="exact"/>
              <w:rPr>
                <w:sz w:val="20"/>
              </w:rPr>
            </w:pPr>
            <w:r>
              <w:rPr>
                <w:w w:val="95"/>
                <w:sz w:val="20"/>
              </w:rPr>
              <w:t>（</w:t>
            </w:r>
            <w:r>
              <w:rPr>
                <w:rFonts w:ascii="Times New Roman" w:eastAsia="Times New Roman"/>
                <w:w w:val="95"/>
                <w:sz w:val="20"/>
              </w:rPr>
              <w:t>1</w:t>
            </w:r>
            <w:r>
              <w:rPr>
                <w:w w:val="95"/>
                <w:sz w:val="20"/>
              </w:rPr>
              <w:t>）符合坏死性筋膜炎的一般临床表现；</w:t>
            </w:r>
          </w:p>
          <w:p>
            <w:pPr>
              <w:pStyle w:val="TableParagraph"/>
              <w:spacing w:line="259" w:lineRule="exact"/>
              <w:rPr>
                <w:sz w:val="20"/>
              </w:rPr>
            </w:pPr>
            <w:r>
              <w:rPr>
                <w:w w:val="95"/>
                <w:sz w:val="20"/>
              </w:rPr>
              <w:t>（</w:t>
            </w:r>
            <w:r>
              <w:rPr>
                <w:rFonts w:ascii="Times New Roman" w:eastAsia="Times New Roman"/>
                <w:w w:val="95"/>
                <w:sz w:val="20"/>
              </w:rPr>
              <w:t>2</w:t>
            </w:r>
            <w:r>
              <w:rPr>
                <w:w w:val="95"/>
                <w:sz w:val="20"/>
              </w:rPr>
              <w:t>）细菌培养检出致病菌；</w:t>
            </w:r>
          </w:p>
          <w:p>
            <w:pPr>
              <w:pStyle w:val="TableParagraph"/>
              <w:spacing w:line="182" w:lineRule="auto" w:before="57"/>
              <w:ind w:right="397"/>
              <w:rPr>
                <w:rFonts w:ascii="Microsoft JhengHei" w:eastAsia="Microsoft JhengHei" w:hint="eastAsia"/>
                <w:b/>
                <w:sz w:val="20"/>
              </w:rPr>
            </w:pPr>
            <w:r>
              <w:rPr>
                <w:w w:val="95"/>
                <w:sz w:val="20"/>
              </w:rPr>
              <w:t>（</w:t>
            </w:r>
            <w:r>
              <w:rPr>
                <w:rFonts w:ascii="Times New Roman" w:eastAsia="Times New Roman"/>
                <w:w w:val="95"/>
                <w:sz w:val="20"/>
              </w:rPr>
              <w:t>3</w:t>
            </w:r>
            <w:r>
              <w:rPr>
                <w:w w:val="95"/>
                <w:sz w:val="20"/>
              </w:rPr>
              <w:t>）出现广泛性肌肉及组织坏死，并确实实施了坏死组织和筋膜以及肌肉的切除手术。  </w:t>
            </w:r>
            <w:r>
              <w:rPr>
                <w:rFonts w:ascii="Microsoft JhengHei" w:eastAsia="Microsoft JhengHei" w:hint="eastAsia"/>
                <w:b/>
                <w:sz w:val="20"/>
              </w:rPr>
              <w:t>清创术不在保障范围内。</w:t>
            </w:r>
          </w:p>
        </w:tc>
      </w:tr>
      <w:tr>
        <w:trPr>
          <w:trHeight w:val="1861" w:hRule="atLeast"/>
        </w:trPr>
        <w:tc>
          <w:tcPr>
            <w:tcW w:w="1637" w:type="dxa"/>
          </w:tcPr>
          <w:p>
            <w:pPr>
              <w:pStyle w:val="TableParagraph"/>
              <w:spacing w:line="225" w:lineRule="auto" w:before="1"/>
              <w:ind w:right="101"/>
              <w:rPr>
                <w:sz w:val="20"/>
              </w:rPr>
            </w:pPr>
            <w:r>
              <w:rPr>
                <w:rFonts w:ascii="Times New Roman" w:eastAsia="Times New Roman"/>
                <w:sz w:val="20"/>
              </w:rPr>
              <w:t>38</w:t>
            </w:r>
            <w:r>
              <w:rPr>
                <w:sz w:val="20"/>
              </w:rPr>
              <w:t>．慢性肾上腺</w:t>
            </w:r>
            <w:r>
              <w:rPr>
                <w:w w:val="95"/>
                <w:sz w:val="20"/>
              </w:rPr>
              <w:t>皮质功能衰竭</w:t>
            </w:r>
          </w:p>
        </w:tc>
        <w:tc>
          <w:tcPr>
            <w:tcW w:w="8211" w:type="dxa"/>
          </w:tcPr>
          <w:p>
            <w:pPr>
              <w:pStyle w:val="TableParagraph"/>
              <w:spacing w:line="260" w:lineRule="exact" w:before="10"/>
              <w:ind w:right="101"/>
              <w:rPr>
                <w:sz w:val="20"/>
              </w:rPr>
            </w:pPr>
            <w:r>
              <w:rPr>
                <w:spacing w:val="-2"/>
                <w:w w:val="95"/>
                <w:sz w:val="20"/>
              </w:rPr>
              <w:t>因为自身免疫功能紊乱，使肾上腺组织逐渐受损，而需要长期接受糖皮质激素及肾上腺皮质   激素替代疗法。该病必须经内分泌专科医生确诊，并有以下报告作为证据：</w:t>
            </w:r>
          </w:p>
          <w:p>
            <w:pPr>
              <w:pStyle w:val="TableParagraph"/>
              <w:spacing w:line="244" w:lineRule="exact"/>
              <w:rPr>
                <w:sz w:val="20"/>
              </w:rPr>
            </w:pPr>
            <w:r>
              <w:rPr>
                <w:w w:val="95"/>
                <w:sz w:val="20"/>
              </w:rPr>
              <w:t>（</w:t>
            </w:r>
            <w:r>
              <w:rPr>
                <w:rFonts w:ascii="Times New Roman" w:eastAsia="Times New Roman"/>
                <w:w w:val="95"/>
                <w:sz w:val="20"/>
              </w:rPr>
              <w:t>1</w:t>
            </w:r>
            <w:r>
              <w:rPr>
                <w:w w:val="95"/>
                <w:sz w:val="20"/>
              </w:rPr>
              <w:t>）促肾上腺皮质激素（</w:t>
            </w:r>
            <w:r>
              <w:rPr>
                <w:rFonts w:ascii="Times New Roman" w:eastAsia="Times New Roman"/>
                <w:w w:val="95"/>
                <w:sz w:val="20"/>
              </w:rPr>
              <w:t>ACTH</w:t>
            </w:r>
            <w:r>
              <w:rPr>
                <w:w w:val="95"/>
                <w:sz w:val="20"/>
              </w:rPr>
              <w:t>）刺激试验；</w:t>
            </w:r>
          </w:p>
          <w:p>
            <w:pPr>
              <w:pStyle w:val="TableParagraph"/>
              <w:spacing w:line="259" w:lineRule="exact"/>
              <w:rPr>
                <w:sz w:val="20"/>
              </w:rPr>
            </w:pPr>
            <w:r>
              <w:rPr>
                <w:w w:val="95"/>
                <w:sz w:val="20"/>
              </w:rPr>
              <w:t>（</w:t>
            </w:r>
            <w:r>
              <w:rPr>
                <w:rFonts w:ascii="Times New Roman" w:eastAsia="Times New Roman"/>
                <w:w w:val="95"/>
                <w:sz w:val="20"/>
              </w:rPr>
              <w:t>2</w:t>
            </w:r>
            <w:r>
              <w:rPr>
                <w:w w:val="95"/>
                <w:sz w:val="20"/>
              </w:rPr>
              <w:t>）胰岛素血糖减少测试；</w:t>
            </w:r>
          </w:p>
          <w:p>
            <w:pPr>
              <w:pStyle w:val="TableParagraph"/>
              <w:spacing w:line="259" w:lineRule="exact"/>
              <w:rPr>
                <w:sz w:val="20"/>
              </w:rPr>
            </w:pPr>
            <w:r>
              <w:rPr>
                <w:w w:val="95"/>
                <w:sz w:val="20"/>
              </w:rPr>
              <w:t>（</w:t>
            </w:r>
            <w:r>
              <w:rPr>
                <w:rFonts w:ascii="Times New Roman" w:eastAsia="Times New Roman"/>
                <w:w w:val="95"/>
                <w:sz w:val="20"/>
              </w:rPr>
              <w:t>3</w:t>
            </w:r>
            <w:r>
              <w:rPr>
                <w:w w:val="95"/>
                <w:sz w:val="20"/>
              </w:rPr>
              <w:t>）血浆促肾上腺皮质激素（</w:t>
            </w:r>
            <w:r>
              <w:rPr>
                <w:rFonts w:ascii="Times New Roman" w:eastAsia="Times New Roman"/>
                <w:w w:val="95"/>
                <w:sz w:val="20"/>
              </w:rPr>
              <w:t>ACTH</w:t>
            </w:r>
            <w:r>
              <w:rPr>
                <w:w w:val="95"/>
                <w:sz w:val="20"/>
              </w:rPr>
              <w:t>）水平测定；</w:t>
            </w:r>
          </w:p>
          <w:p>
            <w:pPr>
              <w:pStyle w:val="TableParagraph"/>
              <w:spacing w:line="227" w:lineRule="exact"/>
              <w:rPr>
                <w:sz w:val="20"/>
              </w:rPr>
            </w:pPr>
            <w:r>
              <w:rPr>
                <w:w w:val="95"/>
                <w:sz w:val="20"/>
              </w:rPr>
              <w:t>（</w:t>
            </w:r>
            <w:r>
              <w:rPr>
                <w:rFonts w:ascii="Times New Roman" w:eastAsia="Times New Roman"/>
                <w:w w:val="95"/>
                <w:sz w:val="20"/>
              </w:rPr>
              <w:t>4</w:t>
            </w:r>
            <w:r>
              <w:rPr>
                <w:w w:val="95"/>
                <w:sz w:val="20"/>
              </w:rPr>
              <w:t>）血浆肾素活性（</w:t>
            </w:r>
            <w:r>
              <w:rPr>
                <w:rFonts w:ascii="Times New Roman" w:eastAsia="Times New Roman"/>
                <w:w w:val="95"/>
                <w:sz w:val="20"/>
              </w:rPr>
              <w:t>PRA</w:t>
            </w:r>
            <w:r>
              <w:rPr>
                <w:w w:val="95"/>
                <w:sz w:val="20"/>
              </w:rPr>
              <w:t>）测定</w:t>
            </w:r>
          </w:p>
          <w:p>
            <w:pPr>
              <w:pStyle w:val="TableParagraph"/>
              <w:spacing w:line="307" w:lineRule="exact"/>
              <w:rPr>
                <w:rFonts w:ascii="Microsoft JhengHei" w:eastAsia="Microsoft JhengHei" w:hint="eastAsia"/>
                <w:b/>
                <w:sz w:val="20"/>
              </w:rPr>
            </w:pPr>
            <w:r>
              <w:rPr>
                <w:rFonts w:ascii="Microsoft JhengHei" w:eastAsia="Microsoft JhengHei" w:hint="eastAsia"/>
                <w:b/>
                <w:sz w:val="20"/>
              </w:rPr>
              <w:t>非由自身免疫功能紊乱引起的慢性肾上腺皮质功能衰竭不在保障范围内。</w:t>
            </w:r>
          </w:p>
        </w:tc>
      </w:tr>
      <w:tr>
        <w:trPr>
          <w:trHeight w:val="1600" w:hRule="atLeast"/>
        </w:trPr>
        <w:tc>
          <w:tcPr>
            <w:tcW w:w="1637" w:type="dxa"/>
          </w:tcPr>
          <w:p>
            <w:pPr>
              <w:pStyle w:val="TableParagraph"/>
              <w:spacing w:line="225" w:lineRule="auto" w:before="1"/>
              <w:ind w:right="101"/>
              <w:rPr>
                <w:sz w:val="20"/>
              </w:rPr>
            </w:pPr>
            <w:r>
              <w:rPr>
                <w:rFonts w:ascii="Times New Roman" w:eastAsia="Times New Roman"/>
                <w:sz w:val="20"/>
              </w:rPr>
              <w:t>39</w:t>
            </w:r>
            <w:r>
              <w:rPr>
                <w:sz w:val="20"/>
              </w:rPr>
              <w:t>．慢性呼吸功</w:t>
            </w:r>
            <w:r>
              <w:rPr>
                <w:w w:val="95"/>
                <w:sz w:val="20"/>
              </w:rPr>
              <w:t>能衰竭</w:t>
            </w:r>
          </w:p>
        </w:tc>
        <w:tc>
          <w:tcPr>
            <w:tcW w:w="8211" w:type="dxa"/>
          </w:tcPr>
          <w:p>
            <w:pPr>
              <w:pStyle w:val="TableParagraph"/>
              <w:spacing w:line="260" w:lineRule="exact" w:before="10"/>
              <w:ind w:right="101"/>
              <w:rPr>
                <w:sz w:val="20"/>
              </w:rPr>
            </w:pPr>
            <w:r>
              <w:rPr>
                <w:spacing w:val="-1"/>
                <w:w w:val="95"/>
                <w:sz w:val="20"/>
              </w:rPr>
              <w:t>慢性肺部疾病导致永久不可逆性的慢性呼吸功能衰竭，必须由呼吸专科医师确认并符合下列   所有条件：</w:t>
            </w:r>
          </w:p>
          <w:p>
            <w:pPr>
              <w:pStyle w:val="TableParagraph"/>
              <w:spacing w:line="242" w:lineRule="exact"/>
              <w:rPr>
                <w:sz w:val="20"/>
              </w:rPr>
            </w:pPr>
            <w:r>
              <w:rPr>
                <w:w w:val="95"/>
                <w:sz w:val="20"/>
              </w:rPr>
              <w:t>（</w:t>
            </w:r>
            <w:r>
              <w:rPr>
                <w:rFonts w:ascii="Times New Roman" w:eastAsia="Times New Roman"/>
                <w:w w:val="95"/>
                <w:sz w:val="20"/>
              </w:rPr>
              <w:t>1</w:t>
            </w:r>
            <w:r>
              <w:rPr>
                <w:w w:val="95"/>
                <w:sz w:val="20"/>
              </w:rPr>
              <w:t>）休息时出现呼吸困难；</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）动脉氧分压（</w:t>
            </w:r>
            <w:r>
              <w:rPr>
                <w:rFonts w:ascii="Times New Roman" w:eastAsia="Times New Roman"/>
                <w:w w:val="95"/>
                <w:sz w:val="20"/>
              </w:rPr>
              <w:t>PaO</w:t>
            </w:r>
            <w:r>
              <w:rPr>
                <w:rFonts w:ascii="Times New Roman" w:eastAsia="Times New Roman"/>
                <w:w w:val="95"/>
                <w:sz w:val="20"/>
                <w:vertAlign w:val="subscript"/>
              </w:rPr>
              <w:t>2</w:t>
            </w:r>
            <w:r>
              <w:rPr>
                <w:rFonts w:ascii="Times New Roman" w:eastAsia="Times New Roman"/>
                <w:w w:val="95"/>
                <w:sz w:val="20"/>
                <w:vertAlign w:val="baseline"/>
              </w:rPr>
            </w:r>
            <w:r>
              <w:rPr>
                <w:w w:val="95"/>
                <w:sz w:val="20"/>
                <w:vertAlign w:val="baseline"/>
              </w:rPr>
              <w:t>）</w:t>
            </w:r>
            <w:r>
              <w:rPr>
                <w:rFonts w:ascii="Times New Roman" w:eastAsia="Times New Roman"/>
                <w:w w:val="95"/>
                <w:sz w:val="20"/>
                <w:vertAlign w:val="baseline"/>
              </w:rPr>
              <w:t>&lt;50mmHg</w:t>
            </w:r>
            <w:r>
              <w:rPr>
                <w:w w:val="95"/>
                <w:sz w:val="20"/>
                <w:vertAlign w:val="baseline"/>
              </w:rPr>
              <w:t>；</w:t>
            </w:r>
          </w:p>
          <w:p>
            <w:pPr>
              <w:pStyle w:val="TableParagraph"/>
              <w:spacing w:line="260" w:lineRule="exact"/>
              <w:rPr>
                <w:sz w:val="20"/>
              </w:rPr>
            </w:pPr>
            <w:r>
              <w:rPr>
                <w:w w:val="95"/>
                <w:sz w:val="20"/>
              </w:rPr>
              <w:t>（</w:t>
            </w:r>
            <w:r>
              <w:rPr>
                <w:rFonts w:ascii="Times New Roman" w:eastAsia="Times New Roman"/>
                <w:w w:val="95"/>
                <w:sz w:val="20"/>
              </w:rPr>
              <w:t>3</w:t>
            </w:r>
            <w:r>
              <w:rPr>
                <w:w w:val="95"/>
                <w:sz w:val="20"/>
              </w:rPr>
              <w:t>）动脉血氧饱和度（</w:t>
            </w:r>
            <w:r>
              <w:rPr>
                <w:rFonts w:ascii="Times New Roman" w:eastAsia="Times New Roman"/>
                <w:w w:val="95"/>
                <w:sz w:val="20"/>
              </w:rPr>
              <w:t>SaO</w:t>
            </w:r>
            <w:r>
              <w:rPr>
                <w:rFonts w:ascii="Times New Roman" w:eastAsia="Times New Roman"/>
                <w:w w:val="95"/>
                <w:sz w:val="20"/>
                <w:vertAlign w:val="subscript"/>
              </w:rPr>
              <w:t>2</w:t>
            </w:r>
            <w:r>
              <w:rPr>
                <w:rFonts w:ascii="Times New Roman" w:eastAsia="Times New Roman"/>
                <w:w w:val="95"/>
                <w:sz w:val="20"/>
                <w:vertAlign w:val="baseline"/>
              </w:rPr>
            </w:r>
            <w:r>
              <w:rPr>
                <w:w w:val="95"/>
                <w:sz w:val="20"/>
                <w:vertAlign w:val="baseline"/>
              </w:rPr>
              <w:t>）</w:t>
            </w:r>
            <w:r>
              <w:rPr>
                <w:rFonts w:ascii="Times New Roman" w:eastAsia="Times New Roman"/>
                <w:w w:val="95"/>
                <w:sz w:val="20"/>
                <w:vertAlign w:val="baseline"/>
              </w:rPr>
              <w:t>&lt;80</w:t>
            </w:r>
            <w:r>
              <w:rPr>
                <w:w w:val="95"/>
                <w:sz w:val="20"/>
                <w:vertAlign w:val="baseline"/>
              </w:rPr>
              <w:t>％；</w:t>
            </w:r>
          </w:p>
          <w:p>
            <w:pPr>
              <w:pStyle w:val="TableParagraph"/>
              <w:spacing w:line="269" w:lineRule="exact"/>
              <w:rPr>
                <w:sz w:val="20"/>
              </w:rPr>
            </w:pPr>
            <w:r>
              <w:rPr>
                <w:w w:val="95"/>
                <w:sz w:val="20"/>
              </w:rPr>
              <w:t>（</w:t>
            </w:r>
            <w:r>
              <w:rPr>
                <w:rFonts w:ascii="Times New Roman" w:eastAsia="Times New Roman"/>
                <w:w w:val="95"/>
                <w:sz w:val="20"/>
              </w:rPr>
              <w:t>4</w:t>
            </w:r>
            <w:r>
              <w:rPr>
                <w:w w:val="95"/>
                <w:sz w:val="20"/>
              </w:rPr>
              <w:t>）因缺氧必须接受持续的输氧治疗。</w:t>
            </w:r>
          </w:p>
        </w:tc>
      </w:tr>
      <w:tr>
        <w:trPr>
          <w:trHeight w:val="565" w:hRule="atLeast"/>
        </w:trPr>
        <w:tc>
          <w:tcPr>
            <w:tcW w:w="1637" w:type="dxa"/>
          </w:tcPr>
          <w:p>
            <w:pPr>
              <w:pStyle w:val="TableParagraph"/>
              <w:spacing w:line="264" w:lineRule="exact"/>
              <w:rPr>
                <w:sz w:val="20"/>
              </w:rPr>
            </w:pPr>
            <w:r>
              <w:rPr>
                <w:rFonts w:ascii="Times New Roman" w:eastAsia="Times New Roman"/>
                <w:w w:val="95"/>
                <w:sz w:val="20"/>
              </w:rPr>
              <w:t>40</w:t>
            </w:r>
            <w:r>
              <w:rPr>
                <w:w w:val="95"/>
                <w:sz w:val="20"/>
              </w:rPr>
              <w:t>．象皮病</w:t>
            </w:r>
          </w:p>
        </w:tc>
        <w:tc>
          <w:tcPr>
            <w:tcW w:w="8211" w:type="dxa"/>
          </w:tcPr>
          <w:p>
            <w:pPr>
              <w:pStyle w:val="TableParagraph"/>
              <w:spacing w:line="237" w:lineRule="auto"/>
              <w:ind w:right="94"/>
              <w:rPr>
                <w:sz w:val="20"/>
              </w:rPr>
            </w:pPr>
            <w:r>
              <w:rPr>
                <w:spacing w:val="-1"/>
                <w:w w:val="95"/>
                <w:sz w:val="20"/>
              </w:rPr>
              <w:t>指末期丝虫病，按国际淋巴学会分级为三度淋巴液肿，其临床表现为肢体非凹陷性水肿伴畸   形增大、硬皮症和疣状增生。此病症须经专科医生根据临床表现和微丝蚴的化验结果确诊。</w:t>
            </w:r>
          </w:p>
        </w:tc>
      </w:tr>
      <w:tr>
        <w:trPr>
          <w:trHeight w:val="1341" w:hRule="atLeast"/>
        </w:trPr>
        <w:tc>
          <w:tcPr>
            <w:tcW w:w="1637" w:type="dxa"/>
          </w:tcPr>
          <w:p>
            <w:pPr>
              <w:pStyle w:val="TableParagraph"/>
              <w:spacing w:line="225" w:lineRule="auto" w:before="1"/>
              <w:ind w:right="101"/>
              <w:rPr>
                <w:sz w:val="20"/>
              </w:rPr>
            </w:pPr>
            <w:r>
              <w:rPr>
                <w:rFonts w:ascii="Times New Roman" w:eastAsia="Times New Roman"/>
                <w:sz w:val="20"/>
              </w:rPr>
              <w:t>41</w:t>
            </w:r>
            <w:r>
              <w:rPr>
                <w:sz w:val="20"/>
              </w:rPr>
              <w:t>．全身性重症</w:t>
            </w:r>
            <w:r>
              <w:rPr>
                <w:w w:val="95"/>
                <w:sz w:val="20"/>
              </w:rPr>
              <w:t>肌无力</w:t>
            </w:r>
          </w:p>
        </w:tc>
        <w:tc>
          <w:tcPr>
            <w:tcW w:w="8211" w:type="dxa"/>
          </w:tcPr>
          <w:p>
            <w:pPr>
              <w:pStyle w:val="TableParagraph"/>
              <w:spacing w:line="246" w:lineRule="exact"/>
              <w:rPr>
                <w:sz w:val="20"/>
              </w:rPr>
            </w:pPr>
            <w:r>
              <w:rPr>
                <w:w w:val="95"/>
                <w:sz w:val="20"/>
              </w:rPr>
              <w:t>重症肌无力是一种神经肌肉接头传递障碍所致的疾病，表现为局部或全身骨骼肌（特别是眼</w:t>
            </w:r>
          </w:p>
          <w:p>
            <w:pPr>
              <w:pStyle w:val="TableParagraph"/>
              <w:spacing w:line="237" w:lineRule="auto" w:before="2"/>
              <w:ind w:right="99"/>
              <w:rPr>
                <w:sz w:val="20"/>
              </w:rPr>
            </w:pPr>
            <w:r>
              <w:rPr>
                <w:w w:val="95"/>
                <w:sz w:val="20"/>
              </w:rPr>
              <w:t>外肌）极易疲劳。疾病可以累及呼吸肌、上肢或下肢的近端肌群或全身肌肉，必须满足下列   全部条件：</w:t>
            </w:r>
          </w:p>
          <w:p>
            <w:pPr>
              <w:pStyle w:val="TableParagraph"/>
              <w:spacing w:line="266" w:lineRule="exact"/>
              <w:rPr>
                <w:sz w:val="20"/>
              </w:rPr>
            </w:pPr>
            <w:r>
              <w:rPr>
                <w:w w:val="95"/>
                <w:sz w:val="20"/>
              </w:rPr>
              <w:t>（</w:t>
            </w:r>
            <w:r>
              <w:rPr>
                <w:rFonts w:ascii="Times New Roman" w:eastAsia="Times New Roman"/>
                <w:w w:val="95"/>
                <w:sz w:val="20"/>
              </w:rPr>
              <w:t>1</w:t>
            </w:r>
            <w:r>
              <w:rPr>
                <w:w w:val="95"/>
                <w:sz w:val="20"/>
              </w:rPr>
              <w:t>）经药物治疗和胸腺切除治疗一年以上仍无法控制病情；</w:t>
            </w:r>
          </w:p>
          <w:p>
            <w:pPr>
              <w:pStyle w:val="TableParagraph"/>
              <w:spacing w:line="268" w:lineRule="exact"/>
              <w:rPr>
                <w:sz w:val="20"/>
              </w:rPr>
            </w:pPr>
            <w:r>
              <w:rPr>
                <w:w w:val="95"/>
                <w:sz w:val="20"/>
              </w:rPr>
              <w:t>（</w:t>
            </w:r>
            <w:r>
              <w:rPr>
                <w:rFonts w:ascii="Times New Roman" w:eastAsia="Times New Roman"/>
                <w:w w:val="95"/>
                <w:sz w:val="20"/>
              </w:rPr>
              <w:t>2</w:t>
            </w:r>
            <w:r>
              <w:rPr>
                <w:w w:val="95"/>
                <w:sz w:val="20"/>
              </w:rPr>
              <w:t>）自主生活能力完全丧失，无法独立完成六项基本日常生活活动中的三项或三项以上。</w:t>
            </w:r>
          </w:p>
        </w:tc>
      </w:tr>
      <w:tr>
        <w:trPr>
          <w:trHeight w:val="1861" w:hRule="atLeast"/>
        </w:trPr>
        <w:tc>
          <w:tcPr>
            <w:tcW w:w="1637" w:type="dxa"/>
          </w:tcPr>
          <w:p>
            <w:pPr>
              <w:pStyle w:val="TableParagraph"/>
              <w:spacing w:line="264" w:lineRule="exact"/>
              <w:rPr>
                <w:sz w:val="20"/>
              </w:rPr>
            </w:pPr>
            <w:r>
              <w:rPr>
                <w:rFonts w:ascii="Times New Roman" w:eastAsia="Times New Roman"/>
                <w:w w:val="95"/>
                <w:sz w:val="20"/>
              </w:rPr>
              <w:t>42</w:t>
            </w:r>
            <w:r>
              <w:rPr>
                <w:w w:val="95"/>
                <w:sz w:val="20"/>
              </w:rPr>
              <w:t>．疯牛病</w:t>
            </w:r>
          </w:p>
        </w:tc>
        <w:tc>
          <w:tcPr>
            <w:tcW w:w="8211" w:type="dxa"/>
          </w:tcPr>
          <w:p>
            <w:pPr>
              <w:pStyle w:val="TableParagraph"/>
              <w:spacing w:line="247" w:lineRule="exact"/>
              <w:rPr>
                <w:sz w:val="20"/>
              </w:rPr>
            </w:pPr>
            <w:r>
              <w:rPr>
                <w:w w:val="95"/>
                <w:sz w:val="20"/>
              </w:rPr>
              <w:t>神经系统疾病及致命的成胶质状脑病，并有以下症状：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）不能控制的肌肉痉挛及震颤；</w:t>
            </w:r>
          </w:p>
          <w:p>
            <w:pPr>
              <w:pStyle w:val="TableParagraph"/>
              <w:spacing w:line="259" w:lineRule="exact"/>
              <w:rPr>
                <w:sz w:val="20"/>
              </w:rPr>
            </w:pPr>
            <w:r>
              <w:rPr>
                <w:w w:val="95"/>
                <w:sz w:val="20"/>
              </w:rPr>
              <w:t>（</w:t>
            </w:r>
            <w:r>
              <w:rPr>
                <w:rFonts w:ascii="Times New Roman" w:eastAsia="Times New Roman"/>
                <w:w w:val="95"/>
                <w:sz w:val="20"/>
              </w:rPr>
              <w:t>2</w:t>
            </w:r>
            <w:r>
              <w:rPr>
                <w:w w:val="95"/>
                <w:sz w:val="20"/>
              </w:rPr>
              <w:t>）逐渐痴呆；</w:t>
            </w:r>
          </w:p>
          <w:p>
            <w:pPr>
              <w:pStyle w:val="TableParagraph"/>
              <w:spacing w:line="259" w:lineRule="exact"/>
              <w:rPr>
                <w:sz w:val="20"/>
              </w:rPr>
            </w:pPr>
            <w:r>
              <w:rPr>
                <w:w w:val="95"/>
                <w:sz w:val="20"/>
              </w:rPr>
              <w:t>（</w:t>
            </w:r>
            <w:r>
              <w:rPr>
                <w:rFonts w:ascii="Times New Roman" w:eastAsia="Times New Roman"/>
                <w:w w:val="95"/>
                <w:sz w:val="20"/>
              </w:rPr>
              <w:t>3</w:t>
            </w:r>
            <w:r>
              <w:rPr>
                <w:w w:val="95"/>
                <w:sz w:val="20"/>
              </w:rPr>
              <w:t>）小脑功能不良，共济失调；</w:t>
            </w:r>
          </w:p>
          <w:p>
            <w:pPr>
              <w:pStyle w:val="TableParagraph"/>
              <w:spacing w:line="260" w:lineRule="exact"/>
              <w:rPr>
                <w:sz w:val="20"/>
              </w:rPr>
            </w:pPr>
            <w:r>
              <w:rPr>
                <w:w w:val="95"/>
                <w:sz w:val="20"/>
              </w:rPr>
              <w:t>（</w:t>
            </w:r>
            <w:r>
              <w:rPr>
                <w:rFonts w:ascii="Times New Roman" w:eastAsia="Times New Roman"/>
                <w:w w:val="95"/>
                <w:sz w:val="20"/>
              </w:rPr>
              <w:t>4</w:t>
            </w:r>
            <w:r>
              <w:rPr>
                <w:w w:val="95"/>
                <w:sz w:val="20"/>
              </w:rPr>
              <w:t>）手足徐动症。</w:t>
            </w:r>
          </w:p>
          <w:p>
            <w:pPr>
              <w:pStyle w:val="TableParagraph"/>
              <w:spacing w:line="225" w:lineRule="auto" w:before="9"/>
              <w:ind w:right="-15"/>
              <w:rPr>
                <w:sz w:val="20"/>
              </w:rPr>
            </w:pPr>
            <w:r>
              <w:rPr>
                <w:spacing w:val="-13"/>
                <w:sz w:val="20"/>
              </w:rPr>
              <w:t>诊断必须由神经科专科医生基于以下检查报告作出：脑电图、脑脊液报告、电脑断层扫描</w:t>
            </w:r>
            <w:r>
              <w:rPr>
                <w:sz w:val="20"/>
              </w:rPr>
              <w:t>（</w:t>
            </w:r>
            <w:r>
              <w:rPr>
                <w:rFonts w:ascii="Times New Roman" w:eastAsia="Times New Roman"/>
                <w:sz w:val="20"/>
              </w:rPr>
              <w:t>CT</w:t>
            </w:r>
            <w:r>
              <w:rPr>
                <w:sz w:val="20"/>
              </w:rPr>
              <w:t>） </w:t>
            </w:r>
            <w:r>
              <w:rPr>
                <w:w w:val="95"/>
                <w:sz w:val="20"/>
              </w:rPr>
              <w:t>及核磁共振（</w:t>
            </w:r>
            <w:r>
              <w:rPr>
                <w:rFonts w:ascii="Times New Roman" w:eastAsia="Times New Roman"/>
                <w:w w:val="95"/>
                <w:sz w:val="20"/>
              </w:rPr>
              <w:t>MRI</w:t>
            </w:r>
            <w:r>
              <w:rPr>
                <w:w w:val="95"/>
                <w:sz w:val="20"/>
              </w:rPr>
              <w:t>）。</w:t>
            </w:r>
          </w:p>
        </w:tc>
      </w:tr>
      <w:tr>
        <w:trPr>
          <w:trHeight w:val="2639" w:hRule="atLeast"/>
        </w:trPr>
        <w:tc>
          <w:tcPr>
            <w:tcW w:w="1637" w:type="dxa"/>
          </w:tcPr>
          <w:p>
            <w:pPr>
              <w:pStyle w:val="TableParagraph"/>
              <w:spacing w:line="225" w:lineRule="auto" w:before="3"/>
              <w:ind w:right="101"/>
              <w:rPr>
                <w:sz w:val="20"/>
              </w:rPr>
            </w:pPr>
            <w:r>
              <w:rPr>
                <w:rFonts w:ascii="Times New Roman" w:eastAsia="Times New Roman"/>
                <w:sz w:val="20"/>
              </w:rPr>
              <w:t>43</w:t>
            </w:r>
            <w:r>
              <w:rPr>
                <w:sz w:val="20"/>
              </w:rPr>
              <w:t>．严重类风湿</w:t>
            </w:r>
            <w:r>
              <w:rPr>
                <w:w w:val="95"/>
                <w:sz w:val="20"/>
              </w:rPr>
              <w:t>性关节炎</w:t>
            </w:r>
          </w:p>
        </w:tc>
        <w:tc>
          <w:tcPr>
            <w:tcW w:w="8211" w:type="dxa"/>
          </w:tcPr>
          <w:p>
            <w:pPr>
              <w:pStyle w:val="TableParagraph"/>
              <w:spacing w:line="237" w:lineRule="auto"/>
              <w:ind w:right="97"/>
              <w:jc w:val="both"/>
              <w:rPr>
                <w:sz w:val="20"/>
              </w:rPr>
            </w:pPr>
            <w:r>
              <w:rPr>
                <w:spacing w:val="-1"/>
                <w:w w:val="95"/>
                <w:sz w:val="20"/>
              </w:rPr>
              <w:t>类风湿性关节炎为广泛分布的慢性进行性多关节病变，表现为关节严重变形，侵犯至少三个   主要关节或关节组，如双手（多手指）关节、双足（多足趾）关节、双腕关节、双膝关节和   </w:t>
            </w:r>
            <w:r>
              <w:rPr>
                <w:spacing w:val="-2"/>
                <w:w w:val="95"/>
                <w:sz w:val="20"/>
              </w:rPr>
              <w:t>双髋关节。被保险人所患的类风湿性关节炎必须已经达到类风湿性关节炎功能分级Ⅲ级以上   </w:t>
            </w:r>
            <w:r>
              <w:rPr>
                <w:spacing w:val="-3"/>
                <w:sz w:val="20"/>
              </w:rPr>
              <w:t>的功能障碍</w:t>
            </w:r>
            <w:r>
              <w:rPr>
                <w:sz w:val="20"/>
              </w:rPr>
              <w:t>（关节活动严重限制，不能完成大部分的日常工作和活动</w:t>
            </w:r>
            <w:r>
              <w:rPr>
                <w:spacing w:val="-3"/>
                <w:sz w:val="20"/>
              </w:rPr>
              <w:t>）</w:t>
            </w:r>
            <w:r>
              <w:rPr>
                <w:sz w:val="20"/>
              </w:rPr>
              <w:t>并须满足下列全部条</w:t>
            </w:r>
            <w:r>
              <w:rPr>
                <w:w w:val="95"/>
                <w:sz w:val="20"/>
              </w:rPr>
              <w:t>件：</w:t>
            </w:r>
          </w:p>
          <w:p>
            <w:pPr>
              <w:pStyle w:val="TableParagraph"/>
              <w:spacing w:line="266" w:lineRule="exact" w:before="10"/>
              <w:jc w:val="both"/>
              <w:rPr>
                <w:sz w:val="20"/>
              </w:rPr>
            </w:pPr>
            <w:r>
              <w:rPr>
                <w:w w:val="95"/>
                <w:sz w:val="20"/>
              </w:rPr>
              <w:t>（</w:t>
            </w:r>
            <w:r>
              <w:rPr>
                <w:rFonts w:ascii="Times New Roman" w:eastAsia="Times New Roman"/>
                <w:w w:val="95"/>
                <w:sz w:val="20"/>
              </w:rPr>
              <w:t>1</w:t>
            </w:r>
            <w:r>
              <w:rPr>
                <w:w w:val="95"/>
                <w:sz w:val="20"/>
              </w:rPr>
              <w:t>）晨僵；</w:t>
            </w:r>
          </w:p>
          <w:p>
            <w:pPr>
              <w:pStyle w:val="TableParagraph"/>
              <w:spacing w:line="259" w:lineRule="exact"/>
              <w:jc w:val="both"/>
              <w:rPr>
                <w:sz w:val="20"/>
              </w:rPr>
            </w:pPr>
            <w:r>
              <w:rPr>
                <w:w w:val="95"/>
                <w:sz w:val="20"/>
              </w:rPr>
              <w:t>（</w:t>
            </w:r>
            <w:r>
              <w:rPr>
                <w:rFonts w:ascii="Times New Roman" w:eastAsia="Times New Roman"/>
                <w:w w:val="95"/>
                <w:sz w:val="20"/>
              </w:rPr>
              <w:t>2</w:t>
            </w:r>
            <w:r>
              <w:rPr>
                <w:w w:val="95"/>
                <w:sz w:val="20"/>
              </w:rPr>
              <w:t>）对称性关节炎；</w:t>
            </w:r>
          </w:p>
          <w:p>
            <w:pPr>
              <w:pStyle w:val="TableParagraph"/>
              <w:spacing w:line="260" w:lineRule="exact"/>
              <w:jc w:val="both"/>
              <w:rPr>
                <w:sz w:val="20"/>
              </w:rPr>
            </w:pPr>
            <w:r>
              <w:rPr>
                <w:w w:val="95"/>
                <w:sz w:val="20"/>
              </w:rPr>
              <w:t>（</w:t>
            </w:r>
            <w:r>
              <w:rPr>
                <w:rFonts w:ascii="Times New Roman" w:eastAsia="Times New Roman"/>
                <w:w w:val="95"/>
                <w:sz w:val="20"/>
              </w:rPr>
              <w:t>3</w:t>
            </w:r>
            <w:r>
              <w:rPr>
                <w:w w:val="95"/>
                <w:sz w:val="20"/>
              </w:rPr>
              <w:t>）类风湿性皮下结节；</w:t>
            </w:r>
          </w:p>
          <w:p>
            <w:pPr>
              <w:pStyle w:val="TableParagraph"/>
              <w:spacing w:line="260" w:lineRule="exact"/>
              <w:jc w:val="both"/>
              <w:rPr>
                <w:sz w:val="20"/>
              </w:rPr>
            </w:pPr>
            <w:r>
              <w:rPr>
                <w:w w:val="95"/>
                <w:sz w:val="20"/>
              </w:rPr>
              <w:t>（</w:t>
            </w:r>
            <w:r>
              <w:rPr>
                <w:rFonts w:ascii="Times New Roman" w:eastAsia="Times New Roman"/>
                <w:w w:val="95"/>
                <w:sz w:val="20"/>
              </w:rPr>
              <w:t>4</w:t>
            </w:r>
            <w:r>
              <w:rPr>
                <w:w w:val="95"/>
                <w:sz w:val="20"/>
              </w:rPr>
              <w:t>）类风湿因子滴度升高；</w:t>
            </w:r>
          </w:p>
          <w:p>
            <w:pPr>
              <w:pStyle w:val="TableParagraph"/>
              <w:spacing w:line="268" w:lineRule="exact"/>
              <w:jc w:val="both"/>
              <w:rPr>
                <w:sz w:val="20"/>
              </w:rPr>
            </w:pPr>
            <w:r>
              <w:rPr>
                <w:sz w:val="20"/>
              </w:rPr>
              <w:t>（</w:t>
            </w:r>
            <w:r>
              <w:rPr>
                <w:rFonts w:ascii="Times New Roman" w:eastAsia="Times New Roman"/>
                <w:sz w:val="20"/>
              </w:rPr>
              <w:t>5</w:t>
            </w:r>
            <w:r>
              <w:rPr>
                <w:sz w:val="20"/>
              </w:rPr>
              <w:t>）</w:t>
            </w:r>
            <w:r>
              <w:rPr>
                <w:rFonts w:ascii="Times New Roman" w:eastAsia="Times New Roman"/>
                <w:sz w:val="20"/>
              </w:rPr>
              <w:t>X </w:t>
            </w:r>
            <w:r>
              <w:rPr>
                <w:sz w:val="20"/>
              </w:rPr>
              <w:t>线显示严重的关节（软骨和骨）破坏和关节畸形。</w:t>
            </w:r>
          </w:p>
        </w:tc>
      </w:tr>
      <w:tr>
        <w:trPr>
          <w:trHeight w:val="565" w:hRule="atLeast"/>
        </w:trPr>
        <w:tc>
          <w:tcPr>
            <w:tcW w:w="1637" w:type="dxa"/>
          </w:tcPr>
          <w:p>
            <w:pPr>
              <w:pStyle w:val="TableParagraph"/>
              <w:spacing w:line="264" w:lineRule="exact"/>
              <w:rPr>
                <w:sz w:val="20"/>
              </w:rPr>
            </w:pPr>
            <w:r>
              <w:rPr>
                <w:rFonts w:ascii="Times New Roman" w:eastAsia="Times New Roman"/>
                <w:w w:val="95"/>
                <w:sz w:val="20"/>
              </w:rPr>
              <w:t>44</w:t>
            </w:r>
            <w:r>
              <w:rPr>
                <w:w w:val="95"/>
                <w:sz w:val="20"/>
              </w:rPr>
              <w:t>．严重心肌炎</w:t>
            </w:r>
          </w:p>
        </w:tc>
        <w:tc>
          <w:tcPr>
            <w:tcW w:w="8211" w:type="dxa"/>
          </w:tcPr>
          <w:p>
            <w:pPr>
              <w:pStyle w:val="TableParagraph"/>
              <w:spacing w:line="237" w:lineRule="auto"/>
              <w:ind w:right="101" w:hanging="1"/>
              <w:rPr>
                <w:sz w:val="20"/>
              </w:rPr>
            </w:pPr>
            <w:r>
              <w:rPr>
                <w:w w:val="95"/>
                <w:sz w:val="20"/>
              </w:rPr>
              <w:t>指心肌局限性或弥漫性的急性或慢性炎症病变，导致心脏功能障碍，达到美国纽约心脏病学   </w:t>
            </w:r>
            <w:r>
              <w:rPr>
                <w:spacing w:val="-6"/>
                <w:sz w:val="20"/>
              </w:rPr>
              <w:t>会心功能状态分级 </w:t>
            </w:r>
            <w:r>
              <w:rPr>
                <w:rFonts w:ascii="Times New Roman" w:eastAsia="Times New Roman"/>
                <w:sz w:val="20"/>
              </w:rPr>
              <w:t>IV</w:t>
            </w:r>
            <w:r>
              <w:rPr>
                <w:rFonts w:ascii="Times New Roman" w:eastAsia="Times New Roman"/>
                <w:spacing w:val="-11"/>
                <w:sz w:val="20"/>
              </w:rPr>
              <w:t> </w:t>
            </w:r>
            <w:r>
              <w:rPr>
                <w:spacing w:val="-7"/>
                <w:sz w:val="20"/>
              </w:rPr>
              <w:t>级，且持续至少 </w:t>
            </w:r>
            <w:r>
              <w:rPr>
                <w:rFonts w:ascii="Times New Roman" w:eastAsia="Times New Roman"/>
                <w:sz w:val="20"/>
              </w:rPr>
              <w:t>90</w:t>
            </w:r>
            <w:r>
              <w:rPr>
                <w:rFonts w:ascii="Times New Roman" w:eastAsia="Times New Roman"/>
                <w:spacing w:val="-10"/>
                <w:sz w:val="20"/>
              </w:rPr>
              <w:t> </w:t>
            </w:r>
            <w:r>
              <w:rPr>
                <w:sz w:val="20"/>
              </w:rPr>
              <w:t>天。</w:t>
            </w:r>
          </w:p>
        </w:tc>
      </w:tr>
    </w:tbl>
    <w:p>
      <w:pPr>
        <w:spacing w:after="0" w:line="237" w:lineRule="auto"/>
        <w:rPr>
          <w:sz w:val="20"/>
        </w:rPr>
        <w:sectPr>
          <w:pgSz w:w="11900" w:h="16840"/>
          <w:pgMar w:header="0" w:footer="676"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3" w:hRule="atLeast"/>
        </w:trPr>
        <w:tc>
          <w:tcPr>
            <w:tcW w:w="1637" w:type="dxa"/>
            <w:shd w:val="clear" w:color="auto" w:fill="D8D8D8"/>
          </w:tcPr>
          <w:p>
            <w:pPr>
              <w:pStyle w:val="TableParagraph"/>
              <w:spacing w:line="279" w:lineRule="exact"/>
              <w:ind w:left="213"/>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79"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1084" w:hRule="atLeast"/>
        </w:trPr>
        <w:tc>
          <w:tcPr>
            <w:tcW w:w="1637" w:type="dxa"/>
          </w:tcPr>
          <w:p>
            <w:pPr>
              <w:pStyle w:val="TableParagraph"/>
              <w:spacing w:line="225" w:lineRule="auto" w:before="3"/>
              <w:ind w:right="101"/>
              <w:rPr>
                <w:sz w:val="20"/>
              </w:rPr>
            </w:pPr>
            <w:r>
              <w:rPr>
                <w:rFonts w:ascii="Times New Roman" w:eastAsia="Times New Roman"/>
                <w:sz w:val="20"/>
              </w:rPr>
              <w:t>45</w:t>
            </w:r>
            <w:r>
              <w:rPr>
                <w:sz w:val="20"/>
              </w:rPr>
              <w:t>．严重肺源性</w:t>
            </w:r>
            <w:r>
              <w:rPr>
                <w:w w:val="95"/>
                <w:sz w:val="20"/>
              </w:rPr>
              <w:t>心脏病</w:t>
            </w:r>
          </w:p>
        </w:tc>
        <w:tc>
          <w:tcPr>
            <w:tcW w:w="8211" w:type="dxa"/>
          </w:tcPr>
          <w:p>
            <w:pPr>
              <w:pStyle w:val="TableParagraph"/>
              <w:spacing w:line="232" w:lineRule="auto"/>
              <w:ind w:right="99"/>
              <w:jc w:val="both"/>
              <w:rPr>
                <w:sz w:val="20"/>
              </w:rPr>
            </w:pPr>
            <w:r>
              <w:rPr>
                <w:spacing w:val="-1"/>
                <w:w w:val="95"/>
                <w:sz w:val="20"/>
              </w:rPr>
              <w:t>指被保险人因慢性肺部疾病导致慢性心功能损害造成永久不可逆性的心功能衰竭。心功能衰   </w:t>
            </w:r>
            <w:r>
              <w:rPr>
                <w:spacing w:val="-2"/>
                <w:sz w:val="20"/>
              </w:rPr>
              <w:t>竭程度达到纽约心脏病学会的心功能分级标准之心功能 </w:t>
            </w:r>
            <w:r>
              <w:rPr>
                <w:rFonts w:ascii="Times New Roman" w:eastAsia="Times New Roman"/>
                <w:sz w:val="20"/>
              </w:rPr>
              <w:t>IV</w:t>
            </w:r>
            <w:r>
              <w:rPr>
                <w:rFonts w:ascii="Times New Roman" w:eastAsia="Times New Roman"/>
                <w:spacing w:val="25"/>
                <w:sz w:val="20"/>
              </w:rPr>
              <w:t> </w:t>
            </w:r>
            <w:r>
              <w:rPr>
                <w:sz w:val="20"/>
              </w:rPr>
              <w:t>级。被保险人永久不可逆性的体</w:t>
            </w:r>
            <w:r>
              <w:rPr>
                <w:spacing w:val="-2"/>
                <w:w w:val="95"/>
                <w:sz w:val="20"/>
              </w:rPr>
              <w:t>力活动能力受限，不能从事任何体力活动。本疾病的诊断及严重程度均须由本公司认可的医   院的呼吸专科医生确认。</w:t>
            </w:r>
          </w:p>
        </w:tc>
      </w:tr>
      <w:tr>
        <w:trPr>
          <w:trHeight w:val="1081" w:hRule="atLeast"/>
        </w:trPr>
        <w:tc>
          <w:tcPr>
            <w:tcW w:w="1637" w:type="dxa"/>
          </w:tcPr>
          <w:p>
            <w:pPr>
              <w:pStyle w:val="TableParagraph"/>
              <w:spacing w:line="261" w:lineRule="exact"/>
              <w:rPr>
                <w:sz w:val="20"/>
              </w:rPr>
            </w:pPr>
            <w:r>
              <w:rPr>
                <w:rFonts w:ascii="Times New Roman" w:eastAsia="Times New Roman"/>
                <w:w w:val="95"/>
                <w:sz w:val="20"/>
              </w:rPr>
              <w:t>46</w:t>
            </w:r>
            <w:r>
              <w:rPr>
                <w:w w:val="95"/>
                <w:sz w:val="20"/>
              </w:rPr>
              <w:t>．植物人状态</w:t>
            </w:r>
          </w:p>
        </w:tc>
        <w:tc>
          <w:tcPr>
            <w:tcW w:w="8211" w:type="dxa"/>
          </w:tcPr>
          <w:p>
            <w:pPr>
              <w:pStyle w:val="TableParagraph"/>
              <w:spacing w:line="246" w:lineRule="exact"/>
              <w:ind w:hanging="1"/>
              <w:rPr>
                <w:sz w:val="20"/>
              </w:rPr>
            </w:pPr>
            <w:r>
              <w:rPr>
                <w:w w:val="95"/>
                <w:sz w:val="20"/>
              </w:rPr>
              <w:t>植物人状态是指由于严重脑外伤造成大脑严重损害导致对自身和环境的意识完全丧失，仅残</w:t>
            </w:r>
          </w:p>
          <w:p>
            <w:pPr>
              <w:pStyle w:val="TableParagraph"/>
              <w:spacing w:line="237" w:lineRule="auto" w:before="2"/>
              <w:ind w:right="99"/>
              <w:rPr>
                <w:sz w:val="20"/>
              </w:rPr>
            </w:pPr>
            <w:r>
              <w:rPr>
                <w:spacing w:val="-2"/>
                <w:w w:val="95"/>
                <w:sz w:val="20"/>
              </w:rPr>
              <w:t>存植物神经功能的疾病状态。诊断必须明确并且具有严重颅脑外伤和脑损害的证据。植物人   </w:t>
            </w:r>
            <w:r>
              <w:rPr>
                <w:spacing w:val="-10"/>
                <w:sz w:val="20"/>
              </w:rPr>
              <w:t>状态必须持续 </w:t>
            </w:r>
            <w:r>
              <w:rPr>
                <w:rFonts w:ascii="Times New Roman" w:eastAsia="Times New Roman"/>
                <w:sz w:val="20"/>
              </w:rPr>
              <w:t>30 </w:t>
            </w:r>
            <w:r>
              <w:rPr>
                <w:sz w:val="20"/>
              </w:rPr>
              <w:t>天以上方可申请理赔。</w:t>
            </w:r>
          </w:p>
          <w:p>
            <w:pPr>
              <w:pStyle w:val="TableParagraph"/>
              <w:spacing w:line="267" w:lineRule="exact"/>
              <w:rPr>
                <w:rFonts w:ascii="Microsoft JhengHei" w:eastAsia="Microsoft JhengHei" w:hint="eastAsia"/>
                <w:b/>
                <w:sz w:val="20"/>
              </w:rPr>
            </w:pPr>
            <w:r>
              <w:rPr>
                <w:rFonts w:ascii="Microsoft JhengHei" w:eastAsia="Microsoft JhengHei" w:hint="eastAsia"/>
                <w:b/>
                <w:sz w:val="20"/>
              </w:rPr>
              <w:t>由于酗酒或滥用药物所致的植物人状态不在保障范围内。</w:t>
            </w:r>
          </w:p>
        </w:tc>
      </w:tr>
      <w:tr>
        <w:trPr>
          <w:trHeight w:val="1343" w:hRule="atLeast"/>
        </w:trPr>
        <w:tc>
          <w:tcPr>
            <w:tcW w:w="1637" w:type="dxa"/>
          </w:tcPr>
          <w:p>
            <w:pPr>
              <w:pStyle w:val="TableParagraph"/>
              <w:spacing w:line="230" w:lineRule="auto"/>
              <w:ind w:right="101"/>
              <w:jc w:val="both"/>
              <w:rPr>
                <w:sz w:val="20"/>
              </w:rPr>
            </w:pPr>
            <w:r>
              <w:rPr>
                <w:rFonts w:ascii="Times New Roman" w:eastAsia="Times New Roman"/>
                <w:sz w:val="20"/>
              </w:rPr>
              <w:t>47</w:t>
            </w:r>
            <w:r>
              <w:rPr>
                <w:sz w:val="20"/>
              </w:rPr>
              <w:t>．非阿尔茨海默病所致严重痴呆</w:t>
            </w:r>
          </w:p>
        </w:tc>
        <w:tc>
          <w:tcPr>
            <w:tcW w:w="8211" w:type="dxa"/>
          </w:tcPr>
          <w:p>
            <w:pPr>
              <w:pStyle w:val="TableParagraph"/>
              <w:spacing w:line="237" w:lineRule="auto"/>
              <w:ind w:right="1"/>
              <w:rPr>
                <w:sz w:val="20"/>
              </w:rPr>
            </w:pPr>
            <w:r>
              <w:rPr>
                <w:spacing w:val="-1"/>
                <w:sz w:val="20"/>
              </w:rPr>
              <w:t>指因阿尔茨海默病以外的脑的器质性疾病造成脑功能衰竭导致永久不可逆性的严重痴呆，临</w:t>
            </w:r>
            <w:r>
              <w:rPr>
                <w:spacing w:val="-7"/>
                <w:w w:val="95"/>
                <w:sz w:val="20"/>
              </w:rPr>
              <w:t>床表现为明显的认知能力障碍、行为异常和社交能力减退。被保险人自主生活能力完全丧失，   </w:t>
            </w:r>
            <w:r>
              <w:rPr>
                <w:spacing w:val="1"/>
                <w:sz w:val="20"/>
              </w:rPr>
              <w:t>无法独立完成六项基本日常生活活动中的三项或三项以上，日常生活必须持续受到他人监</w:t>
            </w:r>
          </w:p>
          <w:p>
            <w:pPr>
              <w:pStyle w:val="TableParagraph"/>
              <w:spacing w:line="192" w:lineRule="auto" w:before="60"/>
              <w:ind w:right="296"/>
              <w:rPr>
                <w:rFonts w:ascii="Microsoft JhengHei" w:eastAsia="Microsoft JhengHei" w:hint="eastAsia"/>
                <w:b/>
                <w:sz w:val="20"/>
              </w:rPr>
            </w:pPr>
            <w:r>
              <w:rPr>
                <w:w w:val="95"/>
                <w:sz w:val="20"/>
              </w:rPr>
              <w:t>护。导致痴呆的疾病必须明确诊断，并且由完整的临床、实验室和影像学检查结果证实。   </w:t>
            </w:r>
            <w:r>
              <w:rPr>
                <w:rFonts w:ascii="Microsoft JhengHei" w:eastAsia="Microsoft JhengHei" w:hint="eastAsia"/>
                <w:b/>
                <w:sz w:val="20"/>
              </w:rPr>
              <w:t>神经官能症，精神疾病及酒精中毒所致脑损害不在保障范围内。</w:t>
            </w:r>
          </w:p>
        </w:tc>
      </w:tr>
      <w:tr>
        <w:trPr>
          <w:trHeight w:val="565" w:hRule="atLeast"/>
        </w:trPr>
        <w:tc>
          <w:tcPr>
            <w:tcW w:w="1637" w:type="dxa"/>
          </w:tcPr>
          <w:p>
            <w:pPr>
              <w:pStyle w:val="TableParagraph"/>
              <w:spacing w:line="225" w:lineRule="auto" w:before="3"/>
              <w:ind w:right="101"/>
              <w:rPr>
                <w:sz w:val="20"/>
              </w:rPr>
            </w:pPr>
            <w:r>
              <w:rPr>
                <w:rFonts w:ascii="Times New Roman" w:eastAsia="Times New Roman"/>
                <w:sz w:val="20"/>
              </w:rPr>
              <w:t>48</w:t>
            </w:r>
            <w:r>
              <w:rPr>
                <w:sz w:val="20"/>
              </w:rPr>
              <w:t>．埃博拉病毒</w:t>
            </w:r>
            <w:r>
              <w:rPr>
                <w:w w:val="95"/>
                <w:sz w:val="20"/>
              </w:rPr>
              <w:t>感染</w:t>
            </w:r>
          </w:p>
        </w:tc>
        <w:tc>
          <w:tcPr>
            <w:tcW w:w="8211" w:type="dxa"/>
          </w:tcPr>
          <w:p>
            <w:pPr>
              <w:pStyle w:val="TableParagraph"/>
              <w:spacing w:line="237" w:lineRule="auto"/>
              <w:ind w:right="21" w:hanging="1"/>
              <w:rPr>
                <w:sz w:val="20"/>
              </w:rPr>
            </w:pPr>
            <w:r>
              <w:rPr>
                <w:w w:val="95"/>
                <w:sz w:val="20"/>
              </w:rPr>
              <w:t>受埃博拉病毒感染导致出血性发热。埃博拉病必须经传染病专家确诊，并且埃博拉病毒的存   在必须经过实验室检查证实。该病必须从症状开始后三十天后持续出现并发症。</w:t>
            </w:r>
          </w:p>
        </w:tc>
      </w:tr>
      <w:tr>
        <w:trPr>
          <w:trHeight w:val="563" w:hRule="atLeast"/>
        </w:trPr>
        <w:tc>
          <w:tcPr>
            <w:tcW w:w="1637" w:type="dxa"/>
          </w:tcPr>
          <w:p>
            <w:pPr>
              <w:pStyle w:val="TableParagraph"/>
              <w:spacing w:line="261" w:lineRule="exact"/>
              <w:rPr>
                <w:sz w:val="20"/>
              </w:rPr>
            </w:pPr>
            <w:r>
              <w:rPr>
                <w:rFonts w:ascii="Times New Roman" w:eastAsia="Times New Roman"/>
                <w:w w:val="95"/>
                <w:sz w:val="20"/>
              </w:rPr>
              <w:t>49</w:t>
            </w:r>
            <w:r>
              <w:rPr>
                <w:w w:val="95"/>
                <w:sz w:val="20"/>
              </w:rPr>
              <w:t>．胰腺移植</w:t>
            </w:r>
          </w:p>
        </w:tc>
        <w:tc>
          <w:tcPr>
            <w:tcW w:w="8211" w:type="dxa"/>
          </w:tcPr>
          <w:p>
            <w:pPr>
              <w:pStyle w:val="TableParagraph"/>
              <w:spacing w:line="192" w:lineRule="auto" w:before="37"/>
              <w:ind w:right="1095" w:hanging="1"/>
              <w:rPr>
                <w:rFonts w:ascii="Microsoft JhengHei" w:eastAsia="Microsoft JhengHei" w:hint="eastAsia"/>
                <w:b/>
                <w:sz w:val="20"/>
              </w:rPr>
            </w:pPr>
            <w:r>
              <w:rPr>
                <w:w w:val="95"/>
                <w:sz w:val="20"/>
              </w:rPr>
              <w:t>指因胰腺功能衰竭，已经实施了在全身麻醉下进行的胰腺的异体器官移植手术。  </w:t>
            </w:r>
            <w:r>
              <w:rPr>
                <w:rFonts w:ascii="Microsoft JhengHei" w:eastAsia="Microsoft JhengHei" w:hint="eastAsia"/>
                <w:b/>
                <w:sz w:val="20"/>
              </w:rPr>
              <w:t>单纯胰岛移植、部分胰腺组织或细胞的移植不在保障范围内。</w:t>
            </w:r>
          </w:p>
        </w:tc>
      </w:tr>
      <w:tr>
        <w:trPr>
          <w:trHeight w:val="2121" w:hRule="atLeast"/>
        </w:trPr>
        <w:tc>
          <w:tcPr>
            <w:tcW w:w="1637" w:type="dxa"/>
          </w:tcPr>
          <w:p>
            <w:pPr>
              <w:pStyle w:val="TableParagraph"/>
              <w:spacing w:line="225" w:lineRule="auto" w:before="3"/>
              <w:ind w:right="101"/>
              <w:rPr>
                <w:sz w:val="20"/>
              </w:rPr>
            </w:pPr>
            <w:r>
              <w:rPr>
                <w:rFonts w:ascii="Times New Roman" w:eastAsia="Times New Roman"/>
                <w:sz w:val="20"/>
              </w:rPr>
              <w:t>50</w:t>
            </w:r>
            <w:r>
              <w:rPr>
                <w:sz w:val="20"/>
              </w:rPr>
              <w:t>．严重自身免</w:t>
            </w:r>
            <w:r>
              <w:rPr>
                <w:w w:val="95"/>
                <w:sz w:val="20"/>
              </w:rPr>
              <w:t>疫性肝炎</w:t>
            </w:r>
          </w:p>
        </w:tc>
        <w:tc>
          <w:tcPr>
            <w:tcW w:w="8211" w:type="dxa"/>
          </w:tcPr>
          <w:p>
            <w:pPr>
              <w:pStyle w:val="TableParagraph"/>
              <w:spacing w:line="237" w:lineRule="auto"/>
              <w:ind w:right="99" w:hanging="1"/>
              <w:jc w:val="both"/>
              <w:rPr>
                <w:sz w:val="20"/>
              </w:rPr>
            </w:pPr>
            <w:r>
              <w:rPr>
                <w:spacing w:val="-2"/>
                <w:w w:val="95"/>
                <w:sz w:val="20"/>
              </w:rPr>
              <w:t>自身免疫性肝炎是一种原因不明的慢性肝脏的坏死性炎性疾病，机体免疫机制被破坏，产生   </w:t>
            </w:r>
            <w:r>
              <w:rPr>
                <w:spacing w:val="-3"/>
                <w:w w:val="95"/>
                <w:sz w:val="20"/>
              </w:rPr>
              <w:t>针对肝脏自身抗原的抗体导致自身免疫反应，从而破坏肝细胞造成肝脏炎症坏死，进而发展   为肝硬化。必须满足所有以下条件：</w:t>
            </w:r>
          </w:p>
          <w:p>
            <w:pPr>
              <w:pStyle w:val="TableParagraph"/>
              <w:spacing w:line="266" w:lineRule="exact" w:before="10"/>
              <w:rPr>
                <w:sz w:val="20"/>
              </w:rPr>
            </w:pPr>
            <w:r>
              <w:rPr>
                <w:sz w:val="20"/>
              </w:rPr>
              <w:t>（</w:t>
            </w:r>
            <w:r>
              <w:rPr>
                <w:rFonts w:ascii="Times New Roman" w:hAnsi="Times New Roman" w:eastAsia="Times New Roman"/>
                <w:sz w:val="20"/>
              </w:rPr>
              <w:t>1</w:t>
            </w:r>
            <w:r>
              <w:rPr>
                <w:sz w:val="20"/>
              </w:rPr>
              <w:t>）高 </w:t>
            </w:r>
            <w:r>
              <w:rPr>
                <w:rFonts w:ascii="Times New Roman" w:hAnsi="Times New Roman" w:eastAsia="Times New Roman"/>
                <w:sz w:val="20"/>
              </w:rPr>
              <w:t>γ </w:t>
            </w:r>
            <w:r>
              <w:rPr>
                <w:sz w:val="20"/>
              </w:rPr>
              <w:t>球蛋白血症；</w:t>
            </w:r>
          </w:p>
          <w:p>
            <w:pPr>
              <w:pStyle w:val="TableParagraph"/>
              <w:spacing w:line="225" w:lineRule="auto" w:before="7"/>
              <w:ind w:right="14"/>
              <w:rPr>
                <w:sz w:val="20"/>
              </w:rPr>
            </w:pPr>
            <w:r>
              <w:rPr>
                <w:sz w:val="20"/>
              </w:rPr>
              <w:t>（</w:t>
            </w:r>
            <w:r>
              <w:rPr>
                <w:rFonts w:ascii="Times New Roman" w:eastAsia="Times New Roman"/>
                <w:sz w:val="20"/>
              </w:rPr>
              <w:t>2</w:t>
            </w:r>
            <w:r>
              <w:rPr>
                <w:sz w:val="20"/>
              </w:rPr>
              <w:t>）血液中存在高水平的自身免疫抗体，如 </w:t>
            </w:r>
            <w:r>
              <w:rPr>
                <w:rFonts w:ascii="Times New Roman" w:eastAsia="Times New Roman"/>
                <w:sz w:val="20"/>
              </w:rPr>
              <w:t>ANA</w:t>
            </w:r>
            <w:r>
              <w:rPr>
                <w:sz w:val="20"/>
              </w:rPr>
              <w:t>（抗核抗体）、</w:t>
            </w:r>
            <w:r>
              <w:rPr>
                <w:rFonts w:ascii="Times New Roman" w:eastAsia="Times New Roman"/>
                <w:sz w:val="20"/>
              </w:rPr>
              <w:t>SMA</w:t>
            </w:r>
            <w:r>
              <w:rPr>
                <w:sz w:val="20"/>
              </w:rPr>
              <w:t>（抗平滑肌抗体）、抗 </w:t>
            </w:r>
            <w:r>
              <w:rPr>
                <w:rFonts w:ascii="Times New Roman" w:eastAsia="Times New Roman"/>
                <w:sz w:val="20"/>
              </w:rPr>
              <w:t>LKM1 </w:t>
            </w:r>
            <w:r>
              <w:rPr>
                <w:sz w:val="20"/>
              </w:rPr>
              <w:t>抗体或抗</w:t>
            </w:r>
            <w:r>
              <w:rPr>
                <w:rFonts w:ascii="Times New Roman" w:eastAsia="Times New Roman"/>
                <w:sz w:val="20"/>
              </w:rPr>
              <w:t>-SLA/LP </w:t>
            </w:r>
            <w:r>
              <w:rPr>
                <w:sz w:val="20"/>
              </w:rPr>
              <w:t>抗体；</w:t>
            </w:r>
          </w:p>
          <w:p>
            <w:pPr>
              <w:pStyle w:val="TableParagraph"/>
              <w:spacing w:line="250" w:lineRule="exact"/>
              <w:jc w:val="both"/>
              <w:rPr>
                <w:sz w:val="20"/>
              </w:rPr>
            </w:pPr>
            <w:r>
              <w:rPr>
                <w:w w:val="95"/>
                <w:sz w:val="20"/>
              </w:rPr>
              <w:t>（</w:t>
            </w:r>
            <w:r>
              <w:rPr>
                <w:rFonts w:ascii="Times New Roman" w:eastAsia="Times New Roman"/>
                <w:w w:val="95"/>
                <w:sz w:val="20"/>
              </w:rPr>
              <w:t>3</w:t>
            </w:r>
            <w:r>
              <w:rPr>
                <w:w w:val="95"/>
                <w:sz w:val="20"/>
              </w:rPr>
              <w:t>）肝脏活检证实免疫性肝炎；</w:t>
            </w:r>
          </w:p>
          <w:p>
            <w:pPr>
              <w:pStyle w:val="TableParagraph"/>
              <w:spacing w:line="268" w:lineRule="exact"/>
              <w:jc w:val="both"/>
              <w:rPr>
                <w:sz w:val="20"/>
              </w:rPr>
            </w:pPr>
            <w:r>
              <w:rPr>
                <w:w w:val="95"/>
                <w:sz w:val="20"/>
              </w:rPr>
              <w:t>（</w:t>
            </w:r>
            <w:r>
              <w:rPr>
                <w:rFonts w:ascii="Times New Roman" w:eastAsia="Times New Roman"/>
                <w:w w:val="95"/>
                <w:sz w:val="20"/>
              </w:rPr>
              <w:t>4</w:t>
            </w:r>
            <w:r>
              <w:rPr>
                <w:w w:val="95"/>
                <w:sz w:val="20"/>
              </w:rPr>
              <w:t>）临床已经出现腹水、食道静脉曲张和脾肿大等肝硬化表现。</w:t>
            </w:r>
          </w:p>
        </w:tc>
      </w:tr>
      <w:tr>
        <w:trPr>
          <w:trHeight w:val="825" w:hRule="atLeast"/>
        </w:trPr>
        <w:tc>
          <w:tcPr>
            <w:tcW w:w="1637" w:type="dxa"/>
          </w:tcPr>
          <w:p>
            <w:pPr>
              <w:pStyle w:val="TableParagraph"/>
              <w:spacing w:line="264" w:lineRule="exact"/>
              <w:rPr>
                <w:sz w:val="20"/>
              </w:rPr>
            </w:pPr>
            <w:r>
              <w:rPr>
                <w:rFonts w:ascii="Times New Roman" w:eastAsia="Times New Roman"/>
                <w:w w:val="95"/>
                <w:sz w:val="20"/>
              </w:rPr>
              <w:t>51</w:t>
            </w:r>
            <w:r>
              <w:rPr>
                <w:w w:val="95"/>
                <w:sz w:val="20"/>
              </w:rPr>
              <w:t>．骨髓纤维化</w:t>
            </w:r>
          </w:p>
        </w:tc>
        <w:tc>
          <w:tcPr>
            <w:tcW w:w="8211" w:type="dxa"/>
          </w:tcPr>
          <w:p>
            <w:pPr>
              <w:pStyle w:val="TableParagraph"/>
              <w:spacing w:line="237" w:lineRule="auto"/>
              <w:ind w:right="94"/>
              <w:jc w:val="both"/>
              <w:rPr>
                <w:sz w:val="20"/>
              </w:rPr>
            </w:pPr>
            <w:r>
              <w:rPr>
                <w:w w:val="95"/>
                <w:sz w:val="20"/>
              </w:rPr>
              <w:t>一种因纤维组织取代正常骨髓从而导致贫血、白血球及血小板含量过低及脾脏肿大的疾病。   </w:t>
            </w:r>
            <w:r>
              <w:rPr>
                <w:spacing w:val="-2"/>
                <w:sz w:val="20"/>
              </w:rPr>
              <w:t>申请理赔时，被保险人须已经接受输血治疗至少六个月，并且每个月至少一次。骨髓纤维化</w:t>
            </w:r>
            <w:r>
              <w:rPr>
                <w:spacing w:val="-2"/>
                <w:w w:val="95"/>
                <w:sz w:val="20"/>
              </w:rPr>
              <w:t>的诊断必须由我们认可的医院的专科医师作出。理赔时需提供骨髓穿刺检查诊断报告。</w:t>
            </w:r>
          </w:p>
        </w:tc>
      </w:tr>
      <w:tr>
        <w:trPr>
          <w:trHeight w:val="1341" w:hRule="atLeast"/>
        </w:trPr>
        <w:tc>
          <w:tcPr>
            <w:tcW w:w="1637" w:type="dxa"/>
          </w:tcPr>
          <w:p>
            <w:pPr>
              <w:pStyle w:val="TableParagraph"/>
              <w:spacing w:line="225" w:lineRule="auto" w:before="1"/>
              <w:ind w:right="101"/>
              <w:rPr>
                <w:sz w:val="20"/>
              </w:rPr>
            </w:pPr>
            <w:r>
              <w:rPr>
                <w:rFonts w:ascii="Times New Roman" w:eastAsia="Times New Roman"/>
                <w:sz w:val="20"/>
              </w:rPr>
              <w:t>52</w:t>
            </w:r>
            <w:r>
              <w:rPr>
                <w:sz w:val="20"/>
              </w:rPr>
              <w:t>．进行性核上</w:t>
            </w:r>
            <w:r>
              <w:rPr>
                <w:w w:val="95"/>
                <w:sz w:val="20"/>
              </w:rPr>
              <w:t>性麻痹</w:t>
            </w:r>
          </w:p>
        </w:tc>
        <w:tc>
          <w:tcPr>
            <w:tcW w:w="8211" w:type="dxa"/>
          </w:tcPr>
          <w:p>
            <w:pPr>
              <w:pStyle w:val="TableParagraph"/>
              <w:spacing w:line="260" w:lineRule="exact" w:before="10"/>
              <w:ind w:right="101"/>
              <w:rPr>
                <w:sz w:val="20"/>
              </w:rPr>
            </w:pPr>
            <w:r>
              <w:rPr>
                <w:spacing w:val="-1"/>
                <w:w w:val="95"/>
                <w:sz w:val="20"/>
              </w:rPr>
              <w:t>一种隐匿起病、逐渐加重的神经系统变性疾病。本疾病必须由本公司认可的医院的神经科专   科医生确诊，并须满足下列所有条件：</w:t>
            </w:r>
          </w:p>
          <w:p>
            <w:pPr>
              <w:pStyle w:val="TableParagraph"/>
              <w:spacing w:line="242" w:lineRule="exact"/>
              <w:rPr>
                <w:sz w:val="20"/>
              </w:rPr>
            </w:pPr>
            <w:r>
              <w:rPr>
                <w:w w:val="95"/>
                <w:sz w:val="20"/>
              </w:rPr>
              <w:t>（</w:t>
            </w:r>
            <w:r>
              <w:rPr>
                <w:rFonts w:ascii="Times New Roman" w:eastAsia="Times New Roman"/>
                <w:w w:val="95"/>
                <w:sz w:val="20"/>
              </w:rPr>
              <w:t>1</w:t>
            </w:r>
            <w:r>
              <w:rPr>
                <w:w w:val="95"/>
                <w:sz w:val="20"/>
              </w:rPr>
              <w:t>）步态共济失调；</w:t>
            </w:r>
          </w:p>
          <w:p>
            <w:pPr>
              <w:pStyle w:val="TableParagraph"/>
              <w:spacing w:line="259" w:lineRule="exact"/>
              <w:rPr>
                <w:sz w:val="20"/>
              </w:rPr>
            </w:pPr>
            <w:r>
              <w:rPr>
                <w:w w:val="95"/>
                <w:sz w:val="20"/>
              </w:rPr>
              <w:t>（</w:t>
            </w:r>
            <w:r>
              <w:rPr>
                <w:rFonts w:ascii="Times New Roman" w:eastAsia="Times New Roman"/>
                <w:w w:val="95"/>
                <w:sz w:val="20"/>
              </w:rPr>
              <w:t>2</w:t>
            </w:r>
            <w:r>
              <w:rPr>
                <w:w w:val="95"/>
                <w:sz w:val="20"/>
              </w:rPr>
              <w:t>）对称性眼球垂直运动障碍；</w:t>
            </w:r>
          </w:p>
          <w:p>
            <w:pPr>
              <w:pStyle w:val="TableParagraph"/>
              <w:spacing w:line="268" w:lineRule="exact"/>
              <w:rPr>
                <w:sz w:val="20"/>
              </w:rPr>
            </w:pPr>
            <w:r>
              <w:rPr>
                <w:w w:val="95"/>
                <w:sz w:val="20"/>
              </w:rPr>
              <w:t>（</w:t>
            </w:r>
            <w:r>
              <w:rPr>
                <w:rFonts w:ascii="Times New Roman" w:eastAsia="Times New Roman"/>
                <w:w w:val="95"/>
                <w:sz w:val="20"/>
              </w:rPr>
              <w:t>3</w:t>
            </w:r>
            <w:r>
              <w:rPr>
                <w:w w:val="95"/>
                <w:sz w:val="20"/>
              </w:rPr>
              <w:t>）假性球麻痹，表现为构音障碍和吞咽困难。</w:t>
            </w:r>
          </w:p>
        </w:tc>
      </w:tr>
      <w:tr>
        <w:trPr>
          <w:trHeight w:val="1861" w:hRule="atLeast"/>
        </w:trPr>
        <w:tc>
          <w:tcPr>
            <w:tcW w:w="1637" w:type="dxa"/>
          </w:tcPr>
          <w:p>
            <w:pPr>
              <w:pStyle w:val="TableParagraph"/>
              <w:spacing w:line="225" w:lineRule="auto" w:before="3"/>
              <w:ind w:right="101"/>
              <w:rPr>
                <w:sz w:val="20"/>
              </w:rPr>
            </w:pPr>
            <w:r>
              <w:rPr>
                <w:rFonts w:ascii="Times New Roman" w:eastAsia="Times New Roman"/>
                <w:sz w:val="20"/>
              </w:rPr>
              <w:t>53</w:t>
            </w:r>
            <w:r>
              <w:rPr>
                <w:sz w:val="20"/>
              </w:rPr>
              <w:t>．一肢及单眼</w:t>
            </w:r>
            <w:r>
              <w:rPr>
                <w:w w:val="95"/>
                <w:sz w:val="20"/>
              </w:rPr>
              <w:t>缺失</w:t>
            </w:r>
          </w:p>
        </w:tc>
        <w:tc>
          <w:tcPr>
            <w:tcW w:w="8211" w:type="dxa"/>
          </w:tcPr>
          <w:p>
            <w:pPr>
              <w:pStyle w:val="TableParagraph"/>
              <w:spacing w:line="237" w:lineRule="auto"/>
              <w:ind w:right="99" w:hanging="1"/>
              <w:rPr>
                <w:sz w:val="20"/>
              </w:rPr>
            </w:pPr>
            <w:r>
              <w:rPr>
                <w:w w:val="95"/>
                <w:sz w:val="20"/>
              </w:rPr>
              <w:t>因疾病或意外伤害导致单眼视力丧失及任何一肢自腕关节或踝关节近端（靠近躯干端</w:t>
            </w:r>
            <w:r>
              <w:rPr>
                <w:spacing w:val="-3"/>
                <w:w w:val="95"/>
                <w:sz w:val="20"/>
              </w:rPr>
              <w:t>）</w:t>
            </w:r>
            <w:r>
              <w:rPr>
                <w:w w:val="95"/>
                <w:sz w:val="20"/>
              </w:rPr>
              <w:t>以上   完全性断离。</w:t>
            </w:r>
          </w:p>
          <w:p>
            <w:pPr>
              <w:pStyle w:val="TableParagraph"/>
              <w:spacing w:line="258" w:lineRule="exact" w:before="10"/>
              <w:rPr>
                <w:sz w:val="20"/>
              </w:rPr>
            </w:pPr>
            <w:r>
              <w:rPr>
                <w:w w:val="95"/>
                <w:sz w:val="20"/>
              </w:rPr>
              <w:t>单眼视力丧失指单眼视力永久不可逆性丧失，患眼须满足下列至少一项条件：</w:t>
            </w:r>
          </w:p>
          <w:p>
            <w:pPr>
              <w:pStyle w:val="TableParagraph"/>
              <w:spacing w:line="267" w:lineRule="exact"/>
              <w:rPr>
                <w:sz w:val="20"/>
              </w:rPr>
            </w:pPr>
            <w:r>
              <w:rPr>
                <w:w w:val="95"/>
                <w:sz w:val="20"/>
              </w:rPr>
              <w:t>（</w:t>
            </w:r>
            <w:r>
              <w:rPr>
                <w:rFonts w:ascii="Times New Roman" w:eastAsia="Times New Roman"/>
                <w:w w:val="95"/>
                <w:sz w:val="20"/>
              </w:rPr>
              <w:t>1</w:t>
            </w:r>
            <w:r>
              <w:rPr>
                <w:w w:val="95"/>
                <w:sz w:val="20"/>
              </w:rPr>
              <w:t>）眼球缺失或摘除；</w:t>
            </w:r>
          </w:p>
          <w:p>
            <w:pPr>
              <w:pStyle w:val="TableParagraph"/>
              <w:spacing w:line="259" w:lineRule="exact"/>
              <w:rPr>
                <w:sz w:val="20"/>
              </w:rPr>
            </w:pPr>
            <w:r>
              <w:rPr>
                <w:sz w:val="20"/>
              </w:rPr>
              <w:t>（</w:t>
            </w:r>
            <w:r>
              <w:rPr>
                <w:rFonts w:ascii="Times New Roman" w:eastAsia="Times New Roman"/>
                <w:sz w:val="20"/>
              </w:rPr>
              <w:t>2</w:t>
            </w:r>
            <w:r>
              <w:rPr>
                <w:sz w:val="20"/>
              </w:rPr>
              <w:t>）矫正视力低于 </w:t>
            </w:r>
            <w:r>
              <w:rPr>
                <w:rFonts w:ascii="Times New Roman" w:eastAsia="Times New Roman"/>
                <w:sz w:val="20"/>
              </w:rPr>
              <w:t>0.02</w:t>
            </w:r>
            <w:r>
              <w:rPr>
                <w:sz w:val="20"/>
              </w:rPr>
              <w:t>（采用国际标准视力表，如果使用其它视力表应进行换算）；</w:t>
            </w:r>
          </w:p>
          <w:p>
            <w:pPr>
              <w:pStyle w:val="TableParagraph"/>
              <w:spacing w:line="227" w:lineRule="exact"/>
              <w:rPr>
                <w:sz w:val="20"/>
              </w:rPr>
            </w:pPr>
            <w:r>
              <w:rPr>
                <w:sz w:val="20"/>
              </w:rPr>
              <w:t>（</w:t>
            </w:r>
            <w:r>
              <w:rPr>
                <w:rFonts w:ascii="Times New Roman" w:eastAsia="Times New Roman"/>
                <w:sz w:val="20"/>
              </w:rPr>
              <w:t>3</w:t>
            </w:r>
            <w:r>
              <w:rPr>
                <w:sz w:val="20"/>
              </w:rPr>
              <w:t>）视野半径小于 </w:t>
            </w:r>
            <w:r>
              <w:rPr>
                <w:rFonts w:ascii="Times New Roman" w:eastAsia="Times New Roman"/>
                <w:sz w:val="20"/>
              </w:rPr>
              <w:t>5 </w:t>
            </w:r>
            <w:r>
              <w:rPr>
                <w:sz w:val="20"/>
              </w:rPr>
              <w:t>度。</w:t>
            </w:r>
          </w:p>
          <w:p>
            <w:pPr>
              <w:pStyle w:val="TableParagraph"/>
              <w:spacing w:line="307" w:lineRule="exact"/>
              <w:rPr>
                <w:rFonts w:ascii="Microsoft JhengHei" w:eastAsia="Microsoft JhengHei" w:hint="eastAsia"/>
                <w:b/>
                <w:sz w:val="20"/>
              </w:rPr>
            </w:pPr>
            <w:r>
              <w:rPr>
                <w:rFonts w:ascii="Microsoft JhengHei" w:eastAsia="Microsoft JhengHei" w:hint="eastAsia"/>
                <w:b/>
                <w:sz w:val="20"/>
              </w:rPr>
              <w:t>被保险人在 </w:t>
            </w:r>
            <w:r>
              <w:rPr>
                <w:rFonts w:ascii="Times New Roman" w:eastAsia="Times New Roman"/>
                <w:b/>
                <w:sz w:val="20"/>
              </w:rPr>
              <w:t>3 </w:t>
            </w:r>
            <w:r>
              <w:rPr>
                <w:rFonts w:ascii="Microsoft JhengHei" w:eastAsia="Microsoft JhengHei" w:hint="eastAsia"/>
                <w:b/>
                <w:sz w:val="20"/>
              </w:rPr>
              <w:t>周岁之前因疾病导致单眼视力丧失不在保障范围内。</w:t>
            </w:r>
          </w:p>
        </w:tc>
      </w:tr>
      <w:tr>
        <w:trPr>
          <w:trHeight w:val="1343" w:hRule="atLeast"/>
        </w:trPr>
        <w:tc>
          <w:tcPr>
            <w:tcW w:w="1637" w:type="dxa"/>
          </w:tcPr>
          <w:p>
            <w:pPr>
              <w:pStyle w:val="TableParagraph"/>
              <w:spacing w:line="230" w:lineRule="auto"/>
              <w:ind w:right="101"/>
              <w:jc w:val="both"/>
              <w:rPr>
                <w:sz w:val="20"/>
              </w:rPr>
            </w:pPr>
            <w:r>
              <w:rPr>
                <w:rFonts w:ascii="Times New Roman" w:eastAsia="Times New Roman"/>
                <w:sz w:val="20"/>
              </w:rPr>
              <w:t>54</w:t>
            </w:r>
            <w:r>
              <w:rPr>
                <w:sz w:val="20"/>
              </w:rPr>
              <w:t>．严重获得性或继发性肺泡蛋</w:t>
            </w:r>
            <w:r>
              <w:rPr>
                <w:w w:val="95"/>
                <w:sz w:val="20"/>
              </w:rPr>
              <w:t>白质沉积症</w:t>
            </w:r>
          </w:p>
        </w:tc>
        <w:tc>
          <w:tcPr>
            <w:tcW w:w="8211" w:type="dxa"/>
          </w:tcPr>
          <w:p>
            <w:pPr>
              <w:pStyle w:val="TableParagraph"/>
              <w:spacing w:line="237" w:lineRule="auto"/>
              <w:ind w:right="99"/>
              <w:rPr>
                <w:sz w:val="20"/>
              </w:rPr>
            </w:pPr>
            <w:r>
              <w:rPr>
                <w:spacing w:val="-1"/>
                <w:w w:val="95"/>
                <w:sz w:val="20"/>
              </w:rPr>
              <w:t>因获得性或继发性原因导致双肺肺泡和细支气管腔内充满不可溶性富磷脂蛋白的疾病。理赔   时须满足下列所有条件：</w:t>
            </w:r>
          </w:p>
          <w:p>
            <w:pPr>
              <w:pStyle w:val="TableParagraph"/>
              <w:spacing w:line="225" w:lineRule="auto" w:before="24"/>
              <w:ind w:right="22"/>
              <w:rPr>
                <w:sz w:val="20"/>
              </w:rPr>
            </w:pPr>
            <w:r>
              <w:rPr>
                <w:sz w:val="20"/>
              </w:rPr>
              <w:t>（</w:t>
            </w:r>
            <w:r>
              <w:rPr>
                <w:rFonts w:ascii="Times New Roman" w:eastAsia="Times New Roman"/>
                <w:sz w:val="20"/>
              </w:rPr>
              <w:t>1</w:t>
            </w:r>
            <w:r>
              <w:rPr>
                <w:sz w:val="20"/>
              </w:rPr>
              <w:t>）支气管镜活检或开胸肺活检病理检查证实肺泡内充满有过碘酸雪夫（</w:t>
            </w:r>
            <w:r>
              <w:rPr>
                <w:rFonts w:ascii="Times New Roman" w:eastAsia="Times New Roman"/>
                <w:sz w:val="20"/>
              </w:rPr>
              <w:t>PAS</w:t>
            </w:r>
            <w:r>
              <w:rPr>
                <w:sz w:val="20"/>
              </w:rPr>
              <w:t>）染色阳性的</w:t>
            </w:r>
            <w:r>
              <w:rPr>
                <w:w w:val="95"/>
                <w:sz w:val="20"/>
              </w:rPr>
              <w:t>蛋白样物质；</w:t>
            </w:r>
          </w:p>
          <w:p>
            <w:pPr>
              <w:pStyle w:val="TableParagraph"/>
              <w:spacing w:line="274" w:lineRule="exact"/>
              <w:rPr>
                <w:sz w:val="20"/>
              </w:rPr>
            </w:pPr>
            <w:r>
              <w:rPr>
                <w:w w:val="95"/>
                <w:sz w:val="20"/>
              </w:rPr>
              <w:t>（</w:t>
            </w:r>
            <w:r>
              <w:rPr>
                <w:rFonts w:ascii="Times New Roman" w:eastAsia="Times New Roman"/>
                <w:w w:val="95"/>
                <w:sz w:val="20"/>
              </w:rPr>
              <w:t>2</w:t>
            </w:r>
            <w:r>
              <w:rPr>
                <w:w w:val="95"/>
                <w:sz w:val="20"/>
              </w:rPr>
              <w:t>）被保人因中重度呼吸困难或低氧血症而实际已行全身麻醉下的全肺灌洗治疗。</w:t>
            </w:r>
          </w:p>
        </w:tc>
      </w:tr>
      <w:tr>
        <w:trPr>
          <w:trHeight w:val="1343" w:hRule="atLeast"/>
        </w:trPr>
        <w:tc>
          <w:tcPr>
            <w:tcW w:w="1637" w:type="dxa"/>
          </w:tcPr>
          <w:p>
            <w:pPr>
              <w:pStyle w:val="TableParagraph"/>
              <w:spacing w:line="225" w:lineRule="auto" w:before="1"/>
              <w:ind w:right="101"/>
              <w:rPr>
                <w:sz w:val="20"/>
              </w:rPr>
            </w:pPr>
            <w:r>
              <w:rPr>
                <w:rFonts w:ascii="Times New Roman" w:eastAsia="Times New Roman"/>
                <w:sz w:val="20"/>
              </w:rPr>
              <w:t>55</w:t>
            </w:r>
            <w:r>
              <w:rPr>
                <w:sz w:val="20"/>
              </w:rPr>
              <w:t>．肺淋巴管肌</w:t>
            </w:r>
            <w:r>
              <w:rPr>
                <w:w w:val="95"/>
                <w:sz w:val="20"/>
              </w:rPr>
              <w:t>瘤病</w:t>
            </w:r>
          </w:p>
        </w:tc>
        <w:tc>
          <w:tcPr>
            <w:tcW w:w="8211" w:type="dxa"/>
          </w:tcPr>
          <w:p>
            <w:pPr>
              <w:pStyle w:val="TableParagraph"/>
              <w:spacing w:line="260" w:lineRule="exact" w:before="10"/>
              <w:ind w:right="19"/>
              <w:rPr>
                <w:sz w:val="20"/>
              </w:rPr>
            </w:pPr>
            <w:r>
              <w:rPr>
                <w:w w:val="95"/>
                <w:sz w:val="20"/>
              </w:rPr>
              <w:t>肺淋巴管肌瘤病是一种弥漫性肺部疾病，主要病理改变为肺间质、支气管、血管和淋巴管内   出现未成熟的平滑肌异常增生，同时需满足下列全部条件：</w:t>
            </w:r>
          </w:p>
          <w:p>
            <w:pPr>
              <w:pStyle w:val="TableParagraph"/>
              <w:spacing w:line="244" w:lineRule="exact"/>
              <w:rPr>
                <w:sz w:val="20"/>
              </w:rPr>
            </w:pPr>
            <w:r>
              <w:rPr>
                <w:w w:val="95"/>
                <w:sz w:val="20"/>
              </w:rPr>
              <w:t>（</w:t>
            </w:r>
            <w:r>
              <w:rPr>
                <w:rFonts w:ascii="Times New Roman" w:eastAsia="Times New Roman"/>
                <w:w w:val="95"/>
                <w:sz w:val="20"/>
              </w:rPr>
              <w:t>1</w:t>
            </w:r>
            <w:r>
              <w:rPr>
                <w:w w:val="95"/>
                <w:sz w:val="20"/>
              </w:rPr>
              <w:t>）经组织病理学诊断；</w:t>
            </w:r>
          </w:p>
          <w:p>
            <w:pPr>
              <w:pStyle w:val="TableParagraph"/>
              <w:spacing w:line="259" w:lineRule="exact"/>
              <w:rPr>
                <w:sz w:val="20"/>
              </w:rPr>
            </w:pPr>
            <w:r>
              <w:rPr>
                <w:sz w:val="20"/>
              </w:rPr>
              <w:t>（</w:t>
            </w:r>
            <w:r>
              <w:rPr>
                <w:rFonts w:ascii="Times New Roman" w:eastAsia="Times New Roman"/>
                <w:sz w:val="20"/>
              </w:rPr>
              <w:t>2</w:t>
            </w:r>
            <w:r>
              <w:rPr>
                <w:sz w:val="20"/>
              </w:rPr>
              <w:t>）</w:t>
            </w:r>
            <w:r>
              <w:rPr>
                <w:rFonts w:ascii="Times New Roman" w:eastAsia="Times New Roman"/>
                <w:sz w:val="20"/>
              </w:rPr>
              <w:t>CT </w:t>
            </w:r>
            <w:r>
              <w:rPr>
                <w:sz w:val="20"/>
              </w:rPr>
              <w:t>显示双肺弥漫性囊性改变；</w:t>
            </w:r>
          </w:p>
          <w:p>
            <w:pPr>
              <w:pStyle w:val="TableParagraph"/>
              <w:spacing w:line="268" w:lineRule="exact"/>
              <w:rPr>
                <w:sz w:val="20"/>
              </w:rPr>
            </w:pPr>
            <w:r>
              <w:rPr>
                <w:w w:val="95"/>
                <w:sz w:val="20"/>
              </w:rPr>
              <w:t>（</w:t>
            </w:r>
            <w:r>
              <w:rPr>
                <w:rFonts w:ascii="Times New Roman" w:eastAsia="Times New Roman"/>
                <w:w w:val="95"/>
                <w:sz w:val="20"/>
              </w:rPr>
              <w:t>3</w:t>
            </w:r>
            <w:r>
              <w:rPr>
                <w:w w:val="95"/>
                <w:sz w:val="20"/>
              </w:rPr>
              <w:t>）休息时出现呼吸困难或经本公司认可医院的专科医生认可有必要进行肺移植手术。</w:t>
            </w:r>
          </w:p>
        </w:tc>
      </w:tr>
    </w:tbl>
    <w:p>
      <w:pPr>
        <w:spacing w:after="0" w:line="268" w:lineRule="exact"/>
        <w:rPr>
          <w:sz w:val="20"/>
        </w:rPr>
        <w:sectPr>
          <w:pgSz w:w="11900" w:h="16840"/>
          <w:pgMar w:header="0" w:footer="676" w:top="1240" w:bottom="860" w:left="1120" w:right="700"/>
        </w:sectPr>
      </w:pPr>
    </w:p>
    <w:tbl>
      <w:tblPr>
        <w:tblW w:w="0" w:type="auto"/>
        <w:jc w:val="left"/>
        <w:tblInd w:w="1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7"/>
        <w:gridCol w:w="8211"/>
      </w:tblGrid>
      <w:tr>
        <w:trPr>
          <w:trHeight w:val="313" w:hRule="atLeast"/>
        </w:trPr>
        <w:tc>
          <w:tcPr>
            <w:tcW w:w="1637" w:type="dxa"/>
            <w:shd w:val="clear" w:color="auto" w:fill="D8D8D8"/>
          </w:tcPr>
          <w:p>
            <w:pPr>
              <w:pStyle w:val="TableParagraph"/>
              <w:spacing w:line="279" w:lineRule="exact"/>
              <w:ind w:left="213"/>
              <w:rPr>
                <w:rFonts w:ascii="Microsoft JhengHei" w:eastAsia="Microsoft JhengHei" w:hint="eastAsia"/>
                <w:b/>
                <w:sz w:val="20"/>
              </w:rPr>
            </w:pPr>
            <w:r>
              <w:rPr>
                <w:rFonts w:ascii="Microsoft JhengHei" w:eastAsia="Microsoft JhengHei" w:hint="eastAsia"/>
                <w:b/>
                <w:sz w:val="20"/>
              </w:rPr>
              <w:t>重大疾病名称</w:t>
            </w:r>
          </w:p>
        </w:tc>
        <w:tc>
          <w:tcPr>
            <w:tcW w:w="8211" w:type="dxa"/>
            <w:shd w:val="clear" w:color="auto" w:fill="D8D8D8"/>
          </w:tcPr>
          <w:p>
            <w:pPr>
              <w:pStyle w:val="TableParagraph"/>
              <w:spacing w:line="279" w:lineRule="exact"/>
              <w:ind w:left="3882" w:right="3879"/>
              <w:jc w:val="center"/>
              <w:rPr>
                <w:rFonts w:ascii="Microsoft JhengHei" w:eastAsia="Microsoft JhengHei" w:hint="eastAsia"/>
                <w:b/>
                <w:sz w:val="20"/>
              </w:rPr>
            </w:pPr>
            <w:r>
              <w:rPr>
                <w:rFonts w:ascii="Microsoft JhengHei" w:eastAsia="Microsoft JhengHei" w:hint="eastAsia"/>
                <w:b/>
                <w:sz w:val="20"/>
              </w:rPr>
              <w:t>定义</w:t>
            </w:r>
          </w:p>
        </w:tc>
      </w:tr>
      <w:tr>
        <w:trPr>
          <w:trHeight w:val="1636" w:hRule="atLeast"/>
        </w:trPr>
        <w:tc>
          <w:tcPr>
            <w:tcW w:w="1637" w:type="dxa"/>
          </w:tcPr>
          <w:p>
            <w:pPr>
              <w:pStyle w:val="TableParagraph"/>
              <w:spacing w:line="225" w:lineRule="auto" w:before="3"/>
              <w:ind w:right="101"/>
              <w:rPr>
                <w:sz w:val="20"/>
              </w:rPr>
            </w:pPr>
            <w:r>
              <w:rPr>
                <w:rFonts w:ascii="Times New Roman" w:eastAsia="Times New Roman"/>
                <w:sz w:val="20"/>
              </w:rPr>
              <w:t>56</w:t>
            </w:r>
            <w:r>
              <w:rPr>
                <w:sz w:val="20"/>
              </w:rPr>
              <w:t>．感染性心内</w:t>
            </w:r>
            <w:r>
              <w:rPr>
                <w:w w:val="95"/>
                <w:sz w:val="20"/>
              </w:rPr>
              <w:t>膜炎</w:t>
            </w:r>
          </w:p>
        </w:tc>
        <w:tc>
          <w:tcPr>
            <w:tcW w:w="8211" w:type="dxa"/>
          </w:tcPr>
          <w:p>
            <w:pPr>
              <w:pStyle w:val="TableParagraph"/>
              <w:spacing w:line="255" w:lineRule="exact"/>
              <w:rPr>
                <w:sz w:val="20"/>
                <w:szCs w:val="20"/>
              </w:rPr>
            </w:pPr>
            <w:r>
              <w:rPr>
                <w:sz w:val="20"/>
                <w:szCs w:val="20"/>
              </w:rPr>
              <w:t>是指由感染性微生物导致的心脏内膜炎症，并须符合下</w:t>
            </w:r>
            <w:r>
              <w:rPr>
                <w:rFonts w:ascii="Times New Roman" w:hAnsi="Times New Roman" w:cs="Times New Roman" w:eastAsia="Times New Roman"/>
                <w:sz w:val="20"/>
                <w:szCs w:val="20"/>
                <w:rtl/>
              </w:rPr>
              <w:t>ٝ</w:t>
            </w:r>
            <w:r>
              <w:rPr>
                <w:rFonts w:ascii="Times New Roman" w:hAnsi="Times New Roman" w:cs="Times New Roman" w:eastAsia="Times New Roman"/>
                <w:sz w:val="20"/>
                <w:szCs w:val="20"/>
              </w:rPr>
              <w:t>ѓ</w:t>
            </w:r>
            <w:r>
              <w:rPr>
                <w:rFonts w:ascii="Times New Roman" w:hAnsi="Times New Roman" w:cs="Times New Roman" w:eastAsia="Times New Roman"/>
                <w:sz w:val="20"/>
                <w:szCs w:val="20"/>
                <w:rtl/>
              </w:rPr>
              <w:t>ߞ</w:t>
            </w:r>
            <w:r>
              <w:rPr>
                <w:sz w:val="20"/>
                <w:szCs w:val="20"/>
              </w:rPr>
              <w:t>条件</w:t>
            </w:r>
            <w:r>
              <w:rPr>
                <w:sz w:val="20"/>
                <w:szCs w:val="20"/>
              </w:rPr>
              <w:t>：</w:t>
            </w:r>
          </w:p>
          <w:p>
            <w:pPr>
              <w:pStyle w:val="TableParagraph"/>
              <w:spacing w:line="259" w:lineRule="exact"/>
              <w:rPr>
                <w:sz w:val="20"/>
              </w:rPr>
            </w:pPr>
            <w:r>
              <w:rPr>
                <w:w w:val="95"/>
                <w:sz w:val="20"/>
              </w:rPr>
              <w:t>（</w:t>
            </w:r>
            <w:r>
              <w:rPr>
                <w:rFonts w:ascii="Times New Roman" w:eastAsia="Times New Roman"/>
                <w:w w:val="95"/>
                <w:sz w:val="20"/>
              </w:rPr>
              <w:t>1</w:t>
            </w:r>
            <w:r>
              <w:rPr>
                <w:w w:val="95"/>
                <w:sz w:val="20"/>
              </w:rPr>
              <w:t>）血液细菌培养结果呈阳性，证明感染性微生物的存在；</w:t>
            </w:r>
          </w:p>
          <w:p>
            <w:pPr>
              <w:pStyle w:val="TableParagraph"/>
              <w:spacing w:line="225" w:lineRule="auto" w:before="7"/>
              <w:ind w:right="99"/>
              <w:rPr>
                <w:sz w:val="20"/>
                <w:szCs w:val="20"/>
              </w:rPr>
            </w:pPr>
            <w:r>
              <w:rPr>
                <w:w w:val="99"/>
                <w:sz w:val="20"/>
                <w:szCs w:val="20"/>
              </w:rPr>
              <w:t>（</w:t>
            </w:r>
            <w:r>
              <w:rPr>
                <w:rFonts w:ascii="Times New Roman" w:hAnsi="Times New Roman" w:cs="Times New Roman" w:eastAsia="Times New Roman"/>
                <w:spacing w:val="0"/>
                <w:w w:val="99"/>
                <w:sz w:val="20"/>
                <w:szCs w:val="20"/>
              </w:rPr>
              <w:t>2</w:t>
            </w:r>
            <w:r>
              <w:rPr>
                <w:spacing w:val="1"/>
                <w:w w:val="99"/>
                <w:sz w:val="20"/>
                <w:szCs w:val="20"/>
              </w:rPr>
              <w:t>）</w:t>
            </w:r>
            <w:r>
              <w:rPr>
                <w:w w:val="99"/>
                <w:sz w:val="20"/>
                <w:szCs w:val="20"/>
              </w:rPr>
              <w:t>感染性心内膜炎导致至少中度的心脏瓣膜关闭</w:t>
            </w:r>
            <w:r>
              <w:rPr>
                <w:rFonts w:ascii="Times New Roman" w:hAnsi="Times New Roman" w:cs="Times New Roman" w:eastAsia="Times New Roman"/>
                <w:spacing w:val="1"/>
                <w:w w:val="298"/>
                <w:sz w:val="20"/>
                <w:szCs w:val="20"/>
              </w:rPr>
              <w:t>˺</w:t>
            </w:r>
            <w:r>
              <w:rPr>
                <w:rFonts w:ascii="Times New Roman" w:hAnsi="Times New Roman" w:cs="Times New Roman" w:eastAsia="Times New Roman"/>
                <w:w w:val="127"/>
                <w:sz w:val="20"/>
                <w:szCs w:val="20"/>
              </w:rPr>
              <w:t>॒</w:t>
            </w:r>
            <w:r>
              <w:rPr>
                <w:rFonts w:ascii="Times New Roman" w:hAnsi="Times New Roman" w:cs="Times New Roman" w:eastAsia="Times New Roman"/>
                <w:spacing w:val="1"/>
                <w:w w:val="127"/>
                <w:sz w:val="20"/>
                <w:szCs w:val="20"/>
              </w:rPr>
              <w:t>（᤼</w:t>
            </w:r>
            <w:r>
              <w:rPr>
                <w:rFonts w:ascii="Times New Roman" w:hAnsi="Times New Roman" w:cs="Times New Roman" w:eastAsia="Times New Roman"/>
                <w:w w:val="137"/>
                <w:sz w:val="20"/>
                <w:szCs w:val="20"/>
              </w:rPr>
              <w:t>Ȃ</w:t>
            </w:r>
            <w:r>
              <w:rPr>
                <w:rFonts w:ascii="Times New Roman" w:hAnsi="Times New Roman" w:cs="Times New Roman" w:eastAsia="Times New Roman"/>
                <w:spacing w:val="1"/>
                <w:w w:val="497"/>
                <w:sz w:val="20"/>
                <w:szCs w:val="20"/>
              </w:rPr>
              <w:t>¦</w:t>
            </w:r>
            <w:r>
              <w:rPr>
                <w:rFonts w:ascii="Times New Roman" w:hAnsi="Times New Roman" w:cs="Times New Roman" w:eastAsia="Times New Roman"/>
                <w:spacing w:val="1"/>
                <w:w w:val="339"/>
                <w:sz w:val="20"/>
                <w:szCs w:val="20"/>
              </w:rPr>
              <w:t>ˠ</w:t>
            </w:r>
            <w:r>
              <w:rPr>
                <w:rFonts w:ascii="Times New Roman" w:hAnsi="Times New Roman" w:cs="Times New Roman" w:eastAsia="Times New Roman"/>
                <w:w w:val="260"/>
                <w:sz w:val="20"/>
                <w:szCs w:val="20"/>
              </w:rPr>
              <w:t>˧</w:t>
            </w:r>
            <w:r>
              <w:rPr>
                <w:rFonts w:ascii="Times New Roman" w:hAnsi="Times New Roman" w:cs="Times New Roman" w:eastAsia="Times New Roman"/>
                <w:spacing w:val="1"/>
                <w:w w:val="201"/>
                <w:sz w:val="20"/>
                <w:szCs w:val="20"/>
              </w:rPr>
              <w:t>ŋ</w:t>
            </w:r>
            <w:r>
              <w:rPr>
                <w:w w:val="99"/>
                <w:sz w:val="20"/>
                <w:szCs w:val="20"/>
              </w:rPr>
              <w:t>积达</w:t>
            </w:r>
            <w:r>
              <w:rPr>
                <w:sz w:val="20"/>
                <w:szCs w:val="20"/>
              </w:rPr>
              <w:t> </w:t>
            </w:r>
            <w:r>
              <w:rPr>
                <w:rFonts w:ascii="Times New Roman" w:hAnsi="Times New Roman" w:cs="Times New Roman" w:eastAsia="Times New Roman"/>
                <w:spacing w:val="0"/>
                <w:w w:val="99"/>
                <w:sz w:val="20"/>
                <w:szCs w:val="20"/>
              </w:rPr>
              <w:t>2</w:t>
            </w:r>
            <w:r>
              <w:rPr>
                <w:rFonts w:ascii="Times New Roman" w:hAnsi="Times New Roman" w:cs="Times New Roman" w:eastAsia="Times New Roman"/>
                <w:spacing w:val="2"/>
                <w:w w:val="99"/>
                <w:sz w:val="20"/>
                <w:szCs w:val="20"/>
              </w:rPr>
              <w:t>0</w:t>
            </w:r>
            <w:r>
              <w:rPr>
                <w:rFonts w:ascii="Times New Roman" w:hAnsi="Times New Roman" w:cs="Times New Roman" w:eastAsia="Times New Roman"/>
                <w:spacing w:val="-1"/>
                <w:w w:val="99"/>
                <w:sz w:val="20"/>
                <w:szCs w:val="20"/>
              </w:rPr>
              <w:t>%</w:t>
            </w:r>
            <w:r>
              <w:rPr>
                <w:spacing w:val="0"/>
                <w:w w:val="99"/>
                <w:sz w:val="20"/>
                <w:szCs w:val="20"/>
              </w:rPr>
              <w:t>或以上</w:t>
            </w:r>
            <w:r>
              <w:rPr>
                <w:spacing w:val="-162"/>
                <w:w w:val="99"/>
                <w:sz w:val="20"/>
                <w:szCs w:val="20"/>
              </w:rPr>
              <w:t>）</w:t>
            </w:r>
            <w:r>
              <w:rPr>
                <w:sz w:val="20"/>
                <w:szCs w:val="20"/>
              </w:rPr>
              <w:t>或中度的心脏瓣膜狭窄（</w:t>
            </w:r>
            <w:r>
              <w:rPr>
                <w:spacing w:val="-5"/>
                <w:sz w:val="20"/>
                <w:szCs w:val="20"/>
              </w:rPr>
              <w:t>即心脏瓣膜面积为正常值的 </w:t>
            </w:r>
            <w:r>
              <w:rPr>
                <w:rFonts w:ascii="Times New Roman" w:hAnsi="Times New Roman" w:cs="Times New Roman" w:eastAsia="Times New Roman"/>
                <w:sz w:val="20"/>
                <w:szCs w:val="20"/>
              </w:rPr>
              <w:t>30%</w:t>
            </w:r>
            <w:r>
              <w:rPr>
                <w:sz w:val="20"/>
                <w:szCs w:val="20"/>
              </w:rPr>
              <w:t>或以下）；</w:t>
            </w:r>
          </w:p>
          <w:p>
            <w:pPr>
              <w:pStyle w:val="TableParagraph"/>
              <w:spacing w:line="225" w:lineRule="auto"/>
              <w:ind w:right="101"/>
              <w:rPr>
                <w:sz w:val="20"/>
              </w:rPr>
            </w:pPr>
            <w:r>
              <w:rPr>
                <w:sz w:val="20"/>
              </w:rPr>
              <w:t>（</w:t>
            </w:r>
            <w:r>
              <w:rPr>
                <w:rFonts w:ascii="Times New Roman" w:eastAsia="Times New Roman"/>
                <w:sz w:val="20"/>
              </w:rPr>
              <w:t>3</w:t>
            </w:r>
            <w:r>
              <w:rPr>
                <w:sz w:val="20"/>
              </w:rPr>
              <w:t>）感染性心内膜炎的诊断及瓣膜受损的严重程度必须由本公司认可医院的心脏病专科医</w:t>
            </w:r>
            <w:r>
              <w:rPr>
                <w:w w:val="95"/>
                <w:sz w:val="20"/>
              </w:rPr>
              <w:t>生确定，并提供超声心动图或放射影像学检查结果报告以支持诊断。</w:t>
            </w:r>
          </w:p>
        </w:tc>
      </w:tr>
      <w:tr>
        <w:trPr>
          <w:trHeight w:val="822" w:hRule="atLeast"/>
        </w:trPr>
        <w:tc>
          <w:tcPr>
            <w:tcW w:w="1637" w:type="dxa"/>
          </w:tcPr>
          <w:p>
            <w:pPr>
              <w:pStyle w:val="TableParagraph"/>
              <w:spacing w:line="225" w:lineRule="auto" w:before="1"/>
              <w:ind w:right="101"/>
              <w:rPr>
                <w:rFonts w:ascii="Times New Roman" w:eastAsia="Times New Roman"/>
                <w:sz w:val="20"/>
              </w:rPr>
            </w:pPr>
            <w:r>
              <w:rPr>
                <w:rFonts w:ascii="Times New Roman" w:eastAsia="Times New Roman"/>
                <w:sz w:val="20"/>
              </w:rPr>
              <w:t>57</w:t>
            </w:r>
            <w:r>
              <w:rPr>
                <w:sz w:val="20"/>
              </w:rPr>
              <w:t>．肝豆状核变</w:t>
            </w:r>
            <w:r>
              <w:rPr>
                <w:w w:val="95"/>
                <w:sz w:val="20"/>
              </w:rPr>
              <w:t>性（威尔逊氏病</w:t>
            </w:r>
            <w:r>
              <w:rPr>
                <w:rFonts w:ascii="Times New Roman" w:eastAsia="Times New Roman"/>
                <w:w w:val="95"/>
                <w:sz w:val="20"/>
              </w:rPr>
              <w:t>)</w:t>
            </w:r>
          </w:p>
        </w:tc>
        <w:tc>
          <w:tcPr>
            <w:tcW w:w="8211" w:type="dxa"/>
          </w:tcPr>
          <w:p>
            <w:pPr>
              <w:pStyle w:val="TableParagraph"/>
              <w:spacing w:line="230" w:lineRule="auto"/>
              <w:ind w:right="99" w:hanging="1"/>
              <w:jc w:val="both"/>
              <w:rPr>
                <w:sz w:val="20"/>
              </w:rPr>
            </w:pPr>
            <w:r>
              <w:rPr>
                <w:spacing w:val="-3"/>
                <w:w w:val="95"/>
                <w:sz w:val="20"/>
              </w:rPr>
              <w:t>威尔逊氏病是一种可能危及生命的铜代谢疾病，以铜沉积造成的渐进性肝功能损害及</w:t>
            </w:r>
            <w:r>
              <w:rPr>
                <w:rFonts w:ascii="Times New Roman" w:eastAsia="Times New Roman"/>
                <w:w w:val="95"/>
                <w:sz w:val="20"/>
              </w:rPr>
              <w:t>/</w:t>
            </w:r>
            <w:r>
              <w:rPr>
                <w:w w:val="95"/>
                <w:sz w:val="20"/>
              </w:rPr>
              <w:t>或神经   </w:t>
            </w:r>
            <w:r>
              <w:rPr>
                <w:spacing w:val="-1"/>
                <w:w w:val="95"/>
                <w:sz w:val="20"/>
              </w:rPr>
              <w:t>功能恶化为特征。必须由本公司认可医院的专科医生通过肝脏活组织检查结果确定诊断并配   </w:t>
            </w:r>
            <w:r>
              <w:rPr>
                <w:spacing w:val="-6"/>
                <w:sz w:val="20"/>
              </w:rPr>
              <w:t>合螯合剂治疗持续至少 </w:t>
            </w:r>
            <w:r>
              <w:rPr>
                <w:rFonts w:ascii="Times New Roman" w:eastAsia="Times New Roman"/>
                <w:sz w:val="20"/>
              </w:rPr>
              <w:t>6</w:t>
            </w:r>
            <w:r>
              <w:rPr>
                <w:rFonts w:ascii="Times New Roman" w:eastAsia="Times New Roman"/>
                <w:spacing w:val="-11"/>
                <w:sz w:val="20"/>
              </w:rPr>
              <w:t> </w:t>
            </w:r>
            <w:r>
              <w:rPr>
                <w:sz w:val="20"/>
              </w:rPr>
              <w:t>个月。</w:t>
            </w:r>
          </w:p>
        </w:tc>
      </w:tr>
      <w:tr>
        <w:trPr>
          <w:trHeight w:val="1084" w:hRule="atLeast"/>
        </w:trPr>
        <w:tc>
          <w:tcPr>
            <w:tcW w:w="1637" w:type="dxa"/>
          </w:tcPr>
          <w:p>
            <w:pPr>
              <w:pStyle w:val="TableParagraph"/>
              <w:spacing w:line="225" w:lineRule="auto" w:before="3"/>
              <w:ind w:right="101"/>
              <w:rPr>
                <w:sz w:val="20"/>
              </w:rPr>
            </w:pPr>
            <w:r>
              <w:rPr>
                <w:rFonts w:ascii="Times New Roman" w:eastAsia="Times New Roman"/>
                <w:sz w:val="20"/>
              </w:rPr>
              <w:t>58</w:t>
            </w:r>
            <w:r>
              <w:rPr>
                <w:sz w:val="20"/>
              </w:rPr>
              <w:t>．破裂脑动脉</w:t>
            </w:r>
            <w:r>
              <w:rPr>
                <w:w w:val="95"/>
                <w:sz w:val="20"/>
              </w:rPr>
              <w:t>瘤夹闭手术</w:t>
            </w:r>
          </w:p>
        </w:tc>
        <w:tc>
          <w:tcPr>
            <w:tcW w:w="8211" w:type="dxa"/>
          </w:tcPr>
          <w:p>
            <w:pPr>
              <w:pStyle w:val="TableParagraph"/>
              <w:spacing w:line="237" w:lineRule="auto"/>
              <w:ind w:right="101"/>
              <w:rPr>
                <w:sz w:val="20"/>
              </w:rPr>
            </w:pPr>
            <w:r>
              <w:rPr>
                <w:spacing w:val="-1"/>
                <w:w w:val="95"/>
                <w:sz w:val="20"/>
              </w:rPr>
              <w:t>指因脑动脉瘤破裂造成蛛网膜下腔出血，被保险人实际接受了在全身麻醉下进行的开颅动脉   瘤夹闭手术。</w:t>
            </w:r>
          </w:p>
          <w:p>
            <w:pPr>
              <w:pStyle w:val="TableParagraph"/>
              <w:spacing w:line="177" w:lineRule="auto" w:before="34"/>
              <w:ind w:right="56"/>
              <w:rPr>
                <w:rFonts w:ascii="Microsoft JhengHei" w:eastAsia="Microsoft JhengHei" w:hint="eastAsia"/>
                <w:b/>
                <w:sz w:val="20"/>
              </w:rPr>
            </w:pPr>
            <w:r>
              <w:rPr>
                <w:rFonts w:ascii="Microsoft JhengHei" w:eastAsia="Microsoft JhengHei" w:hint="eastAsia"/>
                <w:b/>
                <w:sz w:val="20"/>
              </w:rPr>
              <w:t>脑动脉瘤（未破裂）预防性手术、颅骨打孔手术、动脉瘤栓塞手术、血管内手术及其他颅脑手术不在保障范围内。</w:t>
            </w:r>
          </w:p>
        </w:tc>
      </w:tr>
      <w:tr>
        <w:trPr>
          <w:trHeight w:val="3935" w:hRule="atLeast"/>
        </w:trPr>
        <w:tc>
          <w:tcPr>
            <w:tcW w:w="1637" w:type="dxa"/>
          </w:tcPr>
          <w:p>
            <w:pPr>
              <w:pStyle w:val="TableParagraph"/>
              <w:spacing w:line="232" w:lineRule="auto"/>
              <w:ind w:right="101"/>
              <w:jc w:val="both"/>
              <w:rPr>
                <w:sz w:val="20"/>
              </w:rPr>
            </w:pPr>
            <w:r>
              <w:rPr>
                <w:rFonts w:ascii="Times New Roman" w:eastAsia="Times New Roman"/>
                <w:sz w:val="20"/>
              </w:rPr>
              <w:t>59</w:t>
            </w:r>
            <w:r>
              <w:rPr>
                <w:sz w:val="20"/>
              </w:rPr>
              <w:t>．因职业关系导致的人类免疫</w:t>
            </w:r>
            <w:r>
              <w:rPr>
                <w:w w:val="95"/>
                <w:sz w:val="20"/>
              </w:rPr>
              <w:t>缺陷病毒感染</w:t>
            </w:r>
          </w:p>
        </w:tc>
        <w:tc>
          <w:tcPr>
            <w:tcW w:w="8211" w:type="dxa"/>
          </w:tcPr>
          <w:p>
            <w:pPr>
              <w:pStyle w:val="TableParagraph"/>
              <w:spacing w:line="260" w:lineRule="exact" w:before="10"/>
              <w:ind w:right="101"/>
              <w:rPr>
                <w:sz w:val="20"/>
              </w:rPr>
            </w:pPr>
            <w:r>
              <w:rPr>
                <w:spacing w:val="-1"/>
                <w:w w:val="95"/>
                <w:sz w:val="20"/>
              </w:rPr>
              <w:t>被保险人在其常规职业工作过程中遭遇外伤，或者职业需要处理血液或者其他体液时感染人   类免疫缺陷病毒（HIV）。</w:t>
            </w:r>
          </w:p>
          <w:p>
            <w:pPr>
              <w:pStyle w:val="TableParagraph"/>
              <w:spacing w:line="236" w:lineRule="exact"/>
              <w:rPr>
                <w:sz w:val="20"/>
              </w:rPr>
            </w:pPr>
            <w:r>
              <w:rPr>
                <w:w w:val="95"/>
                <w:sz w:val="20"/>
              </w:rPr>
              <w:t>必须满足下列全部条件：</w:t>
            </w:r>
          </w:p>
          <w:p>
            <w:pPr>
              <w:pStyle w:val="TableParagraph"/>
              <w:spacing w:line="237" w:lineRule="auto" w:before="1"/>
              <w:ind w:right="99"/>
              <w:jc w:val="both"/>
              <w:rPr>
                <w:sz w:val="20"/>
              </w:rPr>
            </w:pPr>
            <w:r>
              <w:rPr>
                <w:sz w:val="20"/>
              </w:rPr>
              <w:t>（1）感染必须是在被保险人正在从事其职业工作中发生，该职业必须属于以下职业之一： </w:t>
            </w:r>
            <w:r>
              <w:rPr>
                <w:w w:val="95"/>
                <w:sz w:val="20"/>
              </w:rPr>
              <w:t>医生和牙科医生、护士、医院化验室工作人员、医生助理和牙医助理、救护车工作人员、助   产士、消防队员、警察、狱警；</w:t>
            </w:r>
          </w:p>
          <w:p>
            <w:pPr>
              <w:pStyle w:val="TableParagraph"/>
              <w:spacing w:line="258" w:lineRule="exact"/>
              <w:rPr>
                <w:sz w:val="20"/>
              </w:rPr>
            </w:pPr>
            <w:r>
              <w:rPr>
                <w:sz w:val="20"/>
              </w:rPr>
              <w:t>（2）血清转化必须出现在事故发生后的 6 个月以内；</w:t>
            </w:r>
          </w:p>
          <w:p>
            <w:pPr>
              <w:pStyle w:val="TableParagraph"/>
              <w:spacing w:line="237" w:lineRule="auto" w:before="2"/>
              <w:ind w:right="57" w:hanging="1"/>
              <w:rPr>
                <w:sz w:val="20"/>
              </w:rPr>
            </w:pPr>
            <w:r>
              <w:rPr>
                <w:sz w:val="20"/>
              </w:rPr>
              <w:t>（3）必须提供被保险人在所报事故发生后的 5 天以内进行的检查报告，该报告必须显示被保险人血液 HIV 病毒阴性和/或 HIV 抗体阴性；</w:t>
            </w:r>
          </w:p>
          <w:p>
            <w:pPr>
              <w:pStyle w:val="TableParagraph"/>
              <w:spacing w:line="258" w:lineRule="exact"/>
              <w:rPr>
                <w:sz w:val="20"/>
              </w:rPr>
            </w:pPr>
            <w:r>
              <w:rPr>
                <w:sz w:val="20"/>
              </w:rPr>
              <w:t>（4）必须在事故发生后的 12 个月内证实被保险人体内存在 HIV 病毒或者 HIV 抗体。</w:t>
            </w:r>
          </w:p>
          <w:p>
            <w:pPr>
              <w:pStyle w:val="TableParagraph"/>
              <w:spacing w:line="237" w:lineRule="auto" w:before="1"/>
              <w:ind w:right="99"/>
              <w:rPr>
                <w:sz w:val="20"/>
              </w:rPr>
            </w:pPr>
            <w:r>
              <w:rPr>
                <w:sz w:val="20"/>
              </w:rPr>
              <w:t>在任何治愈艾滋病（AIDS）</w:t>
            </w:r>
            <w:r>
              <w:rPr>
                <w:spacing w:val="-8"/>
                <w:sz w:val="20"/>
              </w:rPr>
              <w:t>或阻止 </w:t>
            </w:r>
            <w:r>
              <w:rPr>
                <w:sz w:val="20"/>
              </w:rPr>
              <w:t>HIV</w:t>
            </w:r>
            <w:r>
              <w:rPr>
                <w:spacing w:val="-8"/>
                <w:sz w:val="20"/>
              </w:rPr>
              <w:t> 病毒作用的疗法被发现以后，或能防止 </w:t>
            </w:r>
            <w:r>
              <w:rPr>
                <w:sz w:val="20"/>
              </w:rPr>
              <w:t>AIDS</w:t>
            </w:r>
            <w:r>
              <w:rPr>
                <w:spacing w:val="-8"/>
                <w:sz w:val="20"/>
              </w:rPr>
              <w:t> 发生的</w:t>
            </w:r>
            <w:r>
              <w:rPr>
                <w:spacing w:val="-8"/>
                <w:w w:val="95"/>
                <w:sz w:val="20"/>
              </w:rPr>
              <w:t>医疗方法被研究出来以后，本保障将不再予以赔付。</w:t>
            </w:r>
          </w:p>
          <w:p>
            <w:pPr>
              <w:pStyle w:val="TableParagraph"/>
              <w:spacing w:line="269" w:lineRule="exact"/>
              <w:rPr>
                <w:rFonts w:ascii="Microsoft JhengHei" w:eastAsia="Microsoft JhengHei" w:hint="eastAsia"/>
                <w:b/>
                <w:sz w:val="20"/>
              </w:rPr>
            </w:pPr>
            <w:r>
              <w:rPr>
                <w:rFonts w:ascii="Microsoft JhengHei" w:eastAsia="Microsoft JhengHei" w:hint="eastAsia"/>
                <w:b/>
                <w:w w:val="99"/>
                <w:sz w:val="20"/>
              </w:rPr>
              <w:t>任何因其他传播方式（包括：性传播或静脉注射毒品）导致的</w:t>
            </w:r>
            <w:r>
              <w:rPr>
                <w:rFonts w:ascii="Microsoft JhengHei" w:eastAsia="Microsoft JhengHei" w:hint="eastAsia"/>
                <w:b/>
                <w:sz w:val="20"/>
              </w:rPr>
              <w:t> </w:t>
            </w:r>
            <w:r>
              <w:rPr>
                <w:rFonts w:ascii="Microsoft JhengHei" w:eastAsia="Microsoft JhengHei" w:hint="eastAsia"/>
                <w:b/>
                <w:spacing w:val="0"/>
                <w:w w:val="63"/>
                <w:sz w:val="20"/>
              </w:rPr>
              <w:t>H</w:t>
            </w:r>
            <w:r>
              <w:rPr>
                <w:rFonts w:ascii="Microsoft JhengHei" w:eastAsia="Microsoft JhengHei" w:hint="eastAsia"/>
                <w:b/>
                <w:spacing w:val="0"/>
                <w:w w:val="162"/>
                <w:sz w:val="20"/>
              </w:rPr>
              <w:t>I</w:t>
            </w:r>
            <w:r>
              <w:rPr>
                <w:rFonts w:ascii="Microsoft JhengHei" w:eastAsia="Microsoft JhengHei" w:hint="eastAsia"/>
                <w:b/>
                <w:w w:val="72"/>
                <w:sz w:val="20"/>
              </w:rPr>
              <w:t>V</w:t>
            </w:r>
            <w:r>
              <w:rPr>
                <w:rFonts w:ascii="Microsoft JhengHei" w:eastAsia="Microsoft JhengHei" w:hint="eastAsia"/>
                <w:b/>
                <w:spacing w:val="0"/>
                <w:sz w:val="20"/>
              </w:rPr>
              <w:t> </w:t>
            </w:r>
            <w:r>
              <w:rPr>
                <w:rFonts w:ascii="Microsoft JhengHei" w:eastAsia="Microsoft JhengHei" w:hint="eastAsia"/>
                <w:b/>
                <w:w w:val="99"/>
                <w:sz w:val="20"/>
              </w:rPr>
              <w:t>感染不在保障范围内。</w:t>
            </w:r>
          </w:p>
          <w:p>
            <w:pPr>
              <w:pStyle w:val="TableParagraph"/>
              <w:spacing w:line="237" w:lineRule="auto"/>
              <w:ind w:right="101"/>
              <w:rPr>
                <w:sz w:val="20"/>
              </w:rPr>
            </w:pPr>
            <w:r>
              <w:rPr>
                <w:sz w:val="20"/>
              </w:rPr>
              <w:t>保险公司必须拥有获得使用被保险人的血液样本的权利和能够对这些样本进行独立检验的</w:t>
            </w:r>
            <w:r>
              <w:rPr>
                <w:w w:val="95"/>
                <w:sz w:val="20"/>
              </w:rPr>
              <w:t>权利。</w:t>
            </w:r>
          </w:p>
        </w:tc>
      </w:tr>
      <w:tr>
        <w:trPr>
          <w:trHeight w:val="2121" w:hRule="atLeast"/>
        </w:trPr>
        <w:tc>
          <w:tcPr>
            <w:tcW w:w="1637" w:type="dxa"/>
          </w:tcPr>
          <w:p>
            <w:pPr>
              <w:pStyle w:val="TableParagraph"/>
              <w:spacing w:line="230" w:lineRule="auto"/>
              <w:ind w:right="101"/>
              <w:jc w:val="both"/>
              <w:rPr>
                <w:sz w:val="20"/>
              </w:rPr>
            </w:pPr>
            <w:r>
              <w:rPr>
                <w:rFonts w:ascii="Times New Roman" w:eastAsia="Times New Roman"/>
                <w:sz w:val="20"/>
              </w:rPr>
              <w:t>60</w:t>
            </w:r>
            <w:r>
              <w:rPr>
                <w:sz w:val="20"/>
              </w:rPr>
              <w:t>．严重冠状动脉粥样硬化性心</w:t>
            </w:r>
            <w:r>
              <w:rPr>
                <w:w w:val="95"/>
                <w:sz w:val="20"/>
              </w:rPr>
              <w:t>脏病</w:t>
            </w:r>
          </w:p>
        </w:tc>
        <w:tc>
          <w:tcPr>
            <w:tcW w:w="8211" w:type="dxa"/>
          </w:tcPr>
          <w:p>
            <w:pPr>
              <w:pStyle w:val="TableParagraph"/>
              <w:spacing w:line="237" w:lineRule="auto"/>
              <w:ind w:right="101"/>
              <w:rPr>
                <w:sz w:val="20"/>
              </w:rPr>
            </w:pPr>
            <w:r>
              <w:rPr>
                <w:spacing w:val="-1"/>
                <w:w w:val="95"/>
                <w:sz w:val="20"/>
              </w:rPr>
              <w:t>指经心脏科专科医师根据冠状动脉造影检查结果确诊为主要血管严重狭窄性病变，须满足下   列至少一项条件：</w:t>
            </w:r>
          </w:p>
          <w:p>
            <w:pPr>
              <w:pStyle w:val="TableParagraph"/>
              <w:spacing w:line="266" w:lineRule="exact" w:before="10"/>
              <w:rPr>
                <w:sz w:val="20"/>
              </w:rPr>
            </w:pPr>
            <w:r>
              <w:rPr>
                <w:sz w:val="20"/>
              </w:rPr>
              <w:t>（</w:t>
            </w:r>
            <w:r>
              <w:rPr>
                <w:rFonts w:ascii="Times New Roman" w:hAnsi="Times New Roman" w:eastAsia="Times New Roman"/>
                <w:sz w:val="20"/>
              </w:rPr>
              <w:t>1</w:t>
            </w:r>
            <w:r>
              <w:rPr>
                <w:sz w:val="20"/>
              </w:rPr>
              <w:t>）左冠状动脉主干和右冠状动脉中，一支血管管腔堵塞</w:t>
            </w:r>
            <w:r>
              <w:rPr>
                <w:rFonts w:ascii="Times New Roman" w:hAnsi="Times New Roman" w:eastAsia="Times New Roman"/>
                <w:sz w:val="20"/>
              </w:rPr>
              <w:t>≥75</w:t>
            </w:r>
            <w:r>
              <w:rPr>
                <w:sz w:val="20"/>
              </w:rPr>
              <w:t>％，且另一支血管管腔堵塞</w:t>
            </w:r>
          </w:p>
          <w:p>
            <w:pPr>
              <w:pStyle w:val="TableParagraph"/>
              <w:spacing w:line="259" w:lineRule="exact"/>
              <w:rPr>
                <w:sz w:val="20"/>
              </w:rPr>
            </w:pPr>
            <w:r>
              <w:rPr>
                <w:rFonts w:ascii="Times New Roman" w:hAnsi="Times New Roman" w:eastAsia="Times New Roman"/>
                <w:sz w:val="20"/>
              </w:rPr>
              <w:t>≥60</w:t>
            </w:r>
            <w:r>
              <w:rPr>
                <w:sz w:val="20"/>
              </w:rPr>
              <w:t>％；</w:t>
            </w:r>
          </w:p>
          <w:p>
            <w:pPr>
              <w:pStyle w:val="TableParagraph"/>
              <w:spacing w:line="225" w:lineRule="auto" w:before="8"/>
              <w:ind w:right="97"/>
              <w:rPr>
                <w:sz w:val="20"/>
              </w:rPr>
            </w:pPr>
            <w:r>
              <w:rPr>
                <w:sz w:val="20"/>
              </w:rPr>
              <w:t>（</w:t>
            </w:r>
            <w:r>
              <w:rPr>
                <w:rFonts w:ascii="Times New Roman" w:hAnsi="Times New Roman" w:eastAsia="Times New Roman"/>
                <w:sz w:val="20"/>
              </w:rPr>
              <w:t>2</w:t>
            </w:r>
            <w:r>
              <w:rPr>
                <w:sz w:val="20"/>
              </w:rPr>
              <w:t>）左前降支、左回旋支和右冠状动脉中，至少一支血管管腔堵塞</w:t>
            </w:r>
            <w:r>
              <w:rPr>
                <w:rFonts w:ascii="Times New Roman" w:hAnsi="Times New Roman" w:eastAsia="Times New Roman"/>
                <w:sz w:val="20"/>
              </w:rPr>
              <w:t>≥75%</w:t>
            </w:r>
            <w:r>
              <w:rPr>
                <w:sz w:val="20"/>
              </w:rPr>
              <w:t>，且其他两支血管</w:t>
            </w:r>
            <w:r>
              <w:rPr>
                <w:w w:val="95"/>
                <w:sz w:val="20"/>
              </w:rPr>
              <w:t>管腔堵塞均</w:t>
            </w:r>
            <w:r>
              <w:rPr>
                <w:rFonts w:ascii="Times New Roman" w:hAnsi="Times New Roman" w:eastAsia="Times New Roman"/>
                <w:w w:val="95"/>
                <w:sz w:val="20"/>
              </w:rPr>
              <w:t>≥60%</w:t>
            </w:r>
            <w:r>
              <w:rPr>
                <w:w w:val="95"/>
                <w:sz w:val="20"/>
              </w:rPr>
              <w:t>。</w:t>
            </w:r>
          </w:p>
          <w:p>
            <w:pPr>
              <w:pStyle w:val="TableParagraph"/>
              <w:spacing w:line="260" w:lineRule="exact" w:before="7"/>
              <w:ind w:right="101"/>
              <w:rPr>
                <w:sz w:val="20"/>
              </w:rPr>
            </w:pPr>
            <w:r>
              <w:rPr>
                <w:spacing w:val="-1"/>
                <w:w w:val="95"/>
                <w:sz w:val="20"/>
              </w:rPr>
              <w:t>左前降支的分支血管、左回旋支的分支血管及右冠状动脉的分支血管的狭窄不作为本保障的   衡量指标。</w:t>
            </w:r>
          </w:p>
        </w:tc>
      </w:tr>
    </w:tbl>
    <w:p>
      <w:pPr>
        <w:spacing w:after="0" w:line="260" w:lineRule="exact"/>
        <w:rPr>
          <w:sz w:val="20"/>
        </w:rPr>
        <w:sectPr>
          <w:footerReference w:type="default" r:id="rId8"/>
          <w:pgSz w:w="11900" w:h="16840"/>
          <w:pgMar w:footer="676" w:header="0" w:top="1240" w:bottom="860" w:left="1120" w:right="700"/>
          <w:pgNumType w:start="10"/>
        </w:sectPr>
      </w:pPr>
    </w:p>
    <w:p>
      <w:pPr>
        <w:pStyle w:val="Heading2"/>
        <w:spacing w:line="294" w:lineRule="exact"/>
      </w:pPr>
      <w:r>
        <w:rPr/>
        <w:pict>
          <v:group style="position:absolute;margin-left:57.599998pt;margin-top:15.879617pt;width:486.15pt;height:.5pt;mso-position-horizontal-relative:page;mso-position-vertical-relative:paragraph;z-index:1192;mso-wrap-distance-left:0;mso-wrap-distance-right:0" coordorigin="1152,318" coordsize="9723,10">
            <v:line style="position:absolute" from="1152,322" to="1826,322" stroked="true" strokeweight=".48pt" strokecolor="#000000">
              <v:stroke dashstyle="solid"/>
            </v:line>
            <v:rect style="position:absolute;left:1826;top:317;width:10;height:10" filled="true" fillcolor="#000000" stroked="false">
              <v:fill type="solid"/>
            </v:rect>
            <v:line style="position:absolute" from="1836,322" to="3386,322" stroked="true" strokeweight=".48pt" strokecolor="#000000">
              <v:stroke dashstyle="solid"/>
            </v:line>
            <v:rect style="position:absolute;left:3386;top:317;width:10;height:10" filled="true" fillcolor="#000000" stroked="false">
              <v:fill type="solid"/>
            </v:rect>
            <v:line style="position:absolute" from="3396,322" to="10874,322" stroked="true" strokeweight=".48pt" strokecolor="#000000">
              <v:stroke dashstyle="solid"/>
            </v:line>
            <w10:wrap type="topAndBottom"/>
          </v:group>
        </w:pict>
      </w:r>
      <w:r>
        <w:rPr/>
        <w:t>释义</w:t>
      </w:r>
    </w:p>
    <w:p>
      <w:pPr>
        <w:pStyle w:val="ListParagraph"/>
        <w:numPr>
          <w:ilvl w:val="0"/>
          <w:numId w:val="11"/>
        </w:numPr>
        <w:tabs>
          <w:tab w:pos="894" w:val="left" w:leader="none"/>
          <w:tab w:pos="895" w:val="left" w:leader="none"/>
          <w:tab w:pos="2454" w:val="left" w:leader="none"/>
        </w:tabs>
        <w:spacing w:line="220" w:lineRule="auto" w:before="0" w:after="0"/>
        <w:ind w:left="2454" w:right="406" w:hanging="2234"/>
        <w:jc w:val="left"/>
        <w:rPr>
          <w:sz w:val="20"/>
        </w:rPr>
      </w:pPr>
      <w:r>
        <w:rPr>
          <w:rFonts w:ascii="Microsoft JhengHei" w:eastAsia="Microsoft JhengHei" w:hint="eastAsia"/>
          <w:b/>
          <w:sz w:val="20"/>
        </w:rPr>
        <w:t>周岁</w:t>
        <w:tab/>
      </w:r>
      <w:r>
        <w:rPr>
          <w:w w:val="95"/>
          <w:sz w:val="20"/>
        </w:rPr>
        <w:t>以法定身份证明文件中记载的出生日期为基准，自出生之日起为零周岁，每经过一    年增加一周岁，不足一年的不计，依此类推。</w:t>
      </w:r>
    </w:p>
    <w:p>
      <w:pPr>
        <w:pStyle w:val="ListParagraph"/>
        <w:numPr>
          <w:ilvl w:val="0"/>
          <w:numId w:val="11"/>
        </w:numPr>
        <w:tabs>
          <w:tab w:pos="894" w:val="left" w:leader="none"/>
          <w:tab w:pos="895" w:val="left" w:leader="none"/>
          <w:tab w:pos="2454" w:val="left" w:leader="none"/>
        </w:tabs>
        <w:spacing w:line="311" w:lineRule="exact" w:before="0" w:after="0"/>
        <w:ind w:left="2454" w:right="0" w:hanging="2234"/>
        <w:jc w:val="left"/>
        <w:rPr>
          <w:sz w:val="20"/>
        </w:rPr>
      </w:pPr>
      <w:r>
        <w:rPr>
          <w:rFonts w:ascii="Microsoft JhengHei" w:eastAsia="Microsoft JhengHei" w:hint="eastAsia"/>
          <w:b/>
          <w:sz w:val="20"/>
        </w:rPr>
        <w:t>满期日</w:t>
        <w:tab/>
      </w:r>
      <w:r>
        <w:rPr>
          <w:w w:val="95"/>
          <w:sz w:val="20"/>
        </w:rPr>
        <w:t>本附加合同订立时约定的保险期间届满之日。</w:t>
      </w:r>
    </w:p>
    <w:p>
      <w:pPr>
        <w:pStyle w:val="ListParagraph"/>
        <w:numPr>
          <w:ilvl w:val="0"/>
          <w:numId w:val="11"/>
        </w:numPr>
        <w:tabs>
          <w:tab w:pos="894" w:val="left" w:leader="none"/>
          <w:tab w:pos="895" w:val="left" w:leader="none"/>
          <w:tab w:pos="2454" w:val="left" w:leader="none"/>
        </w:tabs>
        <w:spacing w:line="329" w:lineRule="exact" w:before="0" w:after="0"/>
        <w:ind w:left="2454" w:right="0" w:hanging="2234"/>
        <w:jc w:val="left"/>
        <w:rPr>
          <w:sz w:val="20"/>
        </w:rPr>
      </w:pPr>
      <w:r>
        <w:rPr>
          <w:rFonts w:ascii="Microsoft JhengHei" w:eastAsia="Microsoft JhengHei" w:hint="eastAsia"/>
          <w:b/>
          <w:sz w:val="20"/>
        </w:rPr>
        <w:t>医院</w:t>
        <w:tab/>
      </w:r>
      <w:r>
        <w:rPr>
          <w:w w:val="95"/>
          <w:sz w:val="20"/>
        </w:rPr>
        <w:t>指同时符合下列条件的机构：</w:t>
      </w:r>
    </w:p>
    <w:p>
      <w:pPr>
        <w:pStyle w:val="BodyText"/>
        <w:spacing w:before="25"/>
        <w:ind w:left="2454" w:right="305"/>
      </w:pPr>
      <w:r>
        <w:rPr>
          <w:w w:val="95"/>
        </w:rPr>
        <w:t>（1）中华人民共和国境内合法经营的二级以上医院（含二级）或香港特别行政区、  澳门特别行政区及台湾地区医院；</w:t>
      </w:r>
    </w:p>
    <w:p>
      <w:pPr>
        <w:pStyle w:val="BodyText"/>
        <w:spacing w:line="237" w:lineRule="auto" w:before="48"/>
        <w:ind w:left="2454" w:right="266" w:hanging="1"/>
      </w:pPr>
      <w:r>
        <w:rPr>
          <w:spacing w:val="-19"/>
        </w:rPr>
        <w:t>（2）</w:t>
      </w:r>
      <w:r>
        <w:rPr>
          <w:spacing w:val="-6"/>
        </w:rPr>
        <w:t>具有符合中华人民共和国</w:t>
      </w:r>
      <w:r>
        <w:rPr/>
        <w:t>（</w:t>
      </w:r>
      <w:r>
        <w:rPr>
          <w:spacing w:val="-6"/>
        </w:rPr>
        <w:t>包括香港特别行政区、澳门特别行政区及台湾地区</w:t>
      </w:r>
      <w:r>
        <w:rPr/>
        <w:t>） </w:t>
      </w:r>
      <w:r>
        <w:rPr>
          <w:spacing w:val="-5"/>
        </w:rPr>
        <w:t>有关医院管理规则设施标准的医疗设备，且全天 </w:t>
      </w:r>
      <w:r>
        <w:rPr/>
        <w:t>24</w:t>
      </w:r>
      <w:r>
        <w:rPr>
          <w:spacing w:val="-12"/>
        </w:rPr>
        <w:t> 小时有合格医师</w:t>
      </w:r>
      <w:r>
        <w:rPr/>
        <w:t>（合格医师指具有与请求赔付的疾病相适应的专业资格认证和诊断处方权，且正在上述医院执业的医师，但投保人、被保险人本人及其直系亲属除外）及护士驻院提供医疗及护理服</w:t>
      </w:r>
      <w:r>
        <w:rPr>
          <w:w w:val="95"/>
        </w:rPr>
        <w:t>务；</w:t>
      </w:r>
    </w:p>
    <w:p>
      <w:pPr>
        <w:pStyle w:val="BodyText"/>
        <w:spacing w:before="45"/>
        <w:ind w:left="2454" w:right="295"/>
      </w:pPr>
      <w:r>
        <w:rPr/>
        <w:t>（3）不包括未达卫生行政管理规定的二级医院标准的分院、联合医院及病房、外设</w:t>
      </w:r>
      <w:r>
        <w:rPr>
          <w:w w:val="95"/>
        </w:rPr>
        <w:t>挂靠的门诊部、康复、疗养、戒酒、戒毒或类似的医疗机构。</w:t>
      </w:r>
    </w:p>
    <w:p>
      <w:pPr>
        <w:pStyle w:val="ListParagraph"/>
        <w:numPr>
          <w:ilvl w:val="0"/>
          <w:numId w:val="11"/>
        </w:numPr>
        <w:tabs>
          <w:tab w:pos="895" w:val="left" w:leader="none"/>
        </w:tabs>
        <w:spacing w:line="232" w:lineRule="auto" w:before="0" w:after="0"/>
        <w:ind w:left="2454" w:right="458" w:hanging="2234"/>
        <w:jc w:val="both"/>
        <w:rPr>
          <w:sz w:val="21"/>
        </w:rPr>
      </w:pPr>
      <w:r>
        <w:rPr>
          <w:rFonts w:ascii="Microsoft JhengHei" w:eastAsia="Microsoft JhengHei" w:hint="eastAsia"/>
          <w:b/>
          <w:spacing w:val="3"/>
          <w:position w:val="1"/>
          <w:sz w:val="20"/>
        </w:rPr>
        <w:t>基本保险金额    </w:t>
      </w:r>
      <w:r>
        <w:rPr>
          <w:spacing w:val="-3"/>
          <w:sz w:val="21"/>
        </w:rPr>
        <w:t>本附加合同所称的基本保险金额是指保险单所载本附加合同的保险金额，若该金额经本附加合同其他条款的修正而发生变更，则以变更后的金额作为基本保险金额。</w:t>
      </w:r>
    </w:p>
    <w:p>
      <w:pPr>
        <w:pStyle w:val="ListParagraph"/>
        <w:numPr>
          <w:ilvl w:val="0"/>
          <w:numId w:val="11"/>
        </w:numPr>
        <w:tabs>
          <w:tab w:pos="894" w:val="left" w:leader="none"/>
          <w:tab w:pos="895" w:val="left" w:leader="none"/>
          <w:tab w:pos="2454" w:val="left" w:leader="none"/>
        </w:tabs>
        <w:spacing w:line="312" w:lineRule="exact" w:before="6" w:after="0"/>
        <w:ind w:left="2454" w:right="0" w:hanging="2234"/>
        <w:jc w:val="left"/>
        <w:rPr>
          <w:sz w:val="20"/>
        </w:rPr>
      </w:pPr>
      <w:r>
        <w:rPr>
          <w:rFonts w:ascii="Microsoft JhengHei" w:eastAsia="Microsoft JhengHei" w:hint="eastAsia"/>
          <w:b/>
          <w:sz w:val="20"/>
        </w:rPr>
        <w:t>意外事故</w:t>
        <w:tab/>
      </w:r>
      <w:r>
        <w:rPr>
          <w:w w:val="95"/>
          <w:sz w:val="20"/>
        </w:rPr>
        <w:t>指外来的、突发的、非本意的、非疾病的使身体受到伤害的客观事件。</w:t>
      </w:r>
    </w:p>
    <w:p>
      <w:pPr>
        <w:pStyle w:val="ListParagraph"/>
        <w:numPr>
          <w:ilvl w:val="0"/>
          <w:numId w:val="11"/>
        </w:numPr>
        <w:tabs>
          <w:tab w:pos="894" w:val="left" w:leader="none"/>
          <w:tab w:pos="895" w:val="left" w:leader="none"/>
          <w:tab w:pos="2454" w:val="left" w:leader="none"/>
        </w:tabs>
        <w:spacing w:line="329" w:lineRule="exact" w:before="0" w:after="0"/>
        <w:ind w:left="2454" w:right="0" w:hanging="2234"/>
        <w:jc w:val="left"/>
        <w:rPr>
          <w:sz w:val="20"/>
        </w:rPr>
      </w:pPr>
      <w:r>
        <w:rPr>
          <w:rFonts w:ascii="Microsoft JhengHei" w:eastAsia="Microsoft JhengHei" w:hint="eastAsia"/>
          <w:b/>
          <w:sz w:val="20"/>
        </w:rPr>
        <w:t>专科医生</w:t>
        <w:tab/>
      </w:r>
      <w:r>
        <w:rPr>
          <w:w w:val="95"/>
          <w:sz w:val="20"/>
        </w:rPr>
        <w:t>专科医生应当同时满足以下四项资格条件：</w:t>
      </w:r>
    </w:p>
    <w:p>
      <w:pPr>
        <w:pStyle w:val="ListParagraph"/>
        <w:numPr>
          <w:ilvl w:val="1"/>
          <w:numId w:val="11"/>
        </w:numPr>
        <w:tabs>
          <w:tab w:pos="3134" w:val="left" w:leader="none"/>
        </w:tabs>
        <w:spacing w:line="240" w:lineRule="auto" w:before="25" w:after="0"/>
        <w:ind w:left="3133" w:right="0" w:hanging="679"/>
        <w:jc w:val="left"/>
        <w:rPr>
          <w:sz w:val="20"/>
        </w:rPr>
      </w:pPr>
      <w:r>
        <w:rPr>
          <w:spacing w:val="-6"/>
          <w:w w:val="95"/>
          <w:sz w:val="20"/>
        </w:rPr>
        <w:t>具有有效的中华人民共和国《医师资格证书》；</w:t>
      </w:r>
    </w:p>
    <w:p>
      <w:pPr>
        <w:pStyle w:val="ListParagraph"/>
        <w:numPr>
          <w:ilvl w:val="1"/>
          <w:numId w:val="11"/>
        </w:numPr>
        <w:tabs>
          <w:tab w:pos="3134" w:val="left" w:leader="none"/>
        </w:tabs>
        <w:spacing w:line="240" w:lineRule="auto" w:before="48" w:after="0"/>
        <w:ind w:left="3133" w:right="0" w:hanging="679"/>
        <w:jc w:val="left"/>
        <w:rPr>
          <w:sz w:val="20"/>
        </w:rPr>
      </w:pPr>
      <w:r>
        <w:rPr>
          <w:spacing w:val="-8"/>
          <w:w w:val="95"/>
          <w:sz w:val="20"/>
        </w:rPr>
        <w:t>具有有效的中华人民共和国《医师执业证书》，并按期到相关部门登记注册；</w:t>
      </w:r>
    </w:p>
    <w:p>
      <w:pPr>
        <w:pStyle w:val="ListParagraph"/>
        <w:numPr>
          <w:ilvl w:val="1"/>
          <w:numId w:val="11"/>
        </w:numPr>
        <w:tabs>
          <w:tab w:pos="3134" w:val="left" w:leader="none"/>
        </w:tabs>
        <w:spacing w:line="240" w:lineRule="auto" w:before="48" w:after="0"/>
        <w:ind w:left="3133" w:right="526" w:hanging="679"/>
        <w:jc w:val="left"/>
        <w:rPr>
          <w:sz w:val="20"/>
        </w:rPr>
      </w:pPr>
      <w:r>
        <w:rPr>
          <w:w w:val="95"/>
          <w:sz w:val="20"/>
        </w:rPr>
        <w:t>具有有效的中华人民共和国主治医师或主治医师以上职称的《医师职称证  </w:t>
      </w:r>
      <w:r>
        <w:rPr>
          <w:spacing w:val="-34"/>
          <w:w w:val="95"/>
          <w:sz w:val="20"/>
        </w:rPr>
        <w:t>书》；</w:t>
      </w:r>
    </w:p>
    <w:p>
      <w:pPr>
        <w:pStyle w:val="ListParagraph"/>
        <w:numPr>
          <w:ilvl w:val="1"/>
          <w:numId w:val="11"/>
        </w:numPr>
        <w:tabs>
          <w:tab w:pos="3134" w:val="left" w:leader="none"/>
        </w:tabs>
        <w:spacing w:line="240" w:lineRule="auto" w:before="45" w:after="0"/>
        <w:ind w:left="3133" w:right="0" w:hanging="679"/>
        <w:jc w:val="left"/>
        <w:rPr>
          <w:sz w:val="20"/>
        </w:rPr>
      </w:pPr>
      <w:r>
        <w:rPr>
          <w:w w:val="95"/>
          <w:sz w:val="20"/>
        </w:rPr>
        <w:t>在二级或二级以上医院的相应科室从事临床工作三年以上。</w:t>
      </w:r>
    </w:p>
    <w:p>
      <w:pPr>
        <w:spacing w:after="0" w:line="240" w:lineRule="auto"/>
        <w:jc w:val="left"/>
        <w:rPr>
          <w:sz w:val="20"/>
        </w:rPr>
        <w:sectPr>
          <w:pgSz w:w="11900" w:h="16840"/>
          <w:pgMar w:header="0" w:footer="676" w:top="1480" w:bottom="860" w:left="1040" w:right="800"/>
        </w:sectPr>
      </w:pPr>
    </w:p>
    <w:p>
      <w:pPr>
        <w:pStyle w:val="Heading2"/>
        <w:numPr>
          <w:ilvl w:val="0"/>
          <w:numId w:val="11"/>
        </w:numPr>
        <w:tabs>
          <w:tab w:pos="894" w:val="left" w:leader="none"/>
          <w:tab w:pos="895" w:val="left" w:leader="none"/>
        </w:tabs>
        <w:spacing w:line="180" w:lineRule="auto" w:before="71" w:after="0"/>
        <w:ind w:left="894" w:right="0" w:hanging="674"/>
        <w:jc w:val="left"/>
      </w:pPr>
      <w:r>
        <w:rPr/>
        <w:t>患艾滋病或感染艾滋病病毒</w:t>
      </w:r>
    </w:p>
    <w:p>
      <w:pPr>
        <w:pStyle w:val="BodyText"/>
        <w:spacing w:line="237" w:lineRule="auto" w:before="50"/>
        <w:ind w:left="220" w:right="269"/>
      </w:pPr>
      <w:r>
        <w:rPr/>
        <w:br w:type="column"/>
      </w:r>
      <w:r>
        <w:rPr/>
        <w:t>在人体血液或其它样本中检测到艾滋病病毒或其抗体呈阳性，没有出现临床症状或</w:t>
      </w:r>
      <w:r>
        <w:rPr>
          <w:spacing w:val="-8"/>
          <w:w w:val="95"/>
        </w:rPr>
        <w:t>体征的，为感染艾滋病病毒；如果同时出现了明显临床症状或体征的，为患艾滋病。  </w:t>
      </w:r>
      <w:r>
        <w:rPr>
          <w:spacing w:val="-11"/>
        </w:rPr>
        <w:t>艾滋病病毒指人类免疫缺陷病毒，英文缩写为 </w:t>
      </w:r>
      <w:r>
        <w:rPr/>
        <w:t>HIV；艾滋病指人类免疫缺陷病毒引</w:t>
      </w:r>
      <w:r>
        <w:rPr>
          <w:spacing w:val="-3"/>
        </w:rPr>
        <w:t>起的获得性免疫缺陷综合征，英文缩写为 </w:t>
      </w:r>
      <w:r>
        <w:rPr/>
        <w:t>AIDS。</w:t>
      </w:r>
    </w:p>
    <w:p>
      <w:pPr>
        <w:spacing w:after="0" w:line="237" w:lineRule="auto"/>
        <w:sectPr>
          <w:type w:val="continuous"/>
          <w:pgSz w:w="11900" w:h="16840"/>
          <w:pgMar w:top="460" w:bottom="280" w:left="1040" w:right="800"/>
          <w:cols w:num="2" w:equalWidth="0">
            <w:col w:w="2100" w:space="135"/>
            <w:col w:w="7825"/>
          </w:cols>
        </w:sectPr>
      </w:pPr>
    </w:p>
    <w:p>
      <w:pPr>
        <w:pStyle w:val="ListParagraph"/>
        <w:numPr>
          <w:ilvl w:val="0"/>
          <w:numId w:val="11"/>
        </w:numPr>
        <w:tabs>
          <w:tab w:pos="894" w:val="left" w:leader="none"/>
          <w:tab w:pos="895" w:val="left" w:leader="none"/>
          <w:tab w:pos="2454" w:val="left" w:leader="none"/>
        </w:tabs>
        <w:spacing w:line="220" w:lineRule="auto" w:before="9" w:after="0"/>
        <w:ind w:left="2454" w:right="406" w:hanging="2234"/>
        <w:jc w:val="left"/>
        <w:rPr>
          <w:sz w:val="20"/>
        </w:rPr>
      </w:pPr>
      <w:r>
        <w:rPr>
          <w:rFonts w:ascii="Microsoft JhengHei" w:eastAsia="Microsoft JhengHei" w:hint="eastAsia"/>
          <w:b/>
          <w:sz w:val="20"/>
        </w:rPr>
        <w:t>遗传性疾病</w:t>
        <w:tab/>
      </w:r>
      <w:r>
        <w:rPr>
          <w:w w:val="95"/>
          <w:sz w:val="20"/>
        </w:rPr>
        <w:t>指生殖细胞或受精卵的遗传物质（染色体和基因）发生突变或畸变所引起的疾病，    通常具有由亲代传至后代的垂直传递的特征。</w:t>
      </w:r>
    </w:p>
    <w:p>
      <w:pPr>
        <w:spacing w:after="0" w:line="220" w:lineRule="auto"/>
        <w:jc w:val="left"/>
        <w:rPr>
          <w:sz w:val="20"/>
        </w:rPr>
        <w:sectPr>
          <w:type w:val="continuous"/>
          <w:pgSz w:w="11900" w:h="16840"/>
          <w:pgMar w:top="460" w:bottom="280" w:left="1040" w:right="800"/>
        </w:sectPr>
      </w:pPr>
    </w:p>
    <w:p>
      <w:pPr>
        <w:pStyle w:val="Heading2"/>
        <w:numPr>
          <w:ilvl w:val="0"/>
          <w:numId w:val="11"/>
        </w:numPr>
        <w:tabs>
          <w:tab w:pos="894" w:val="left" w:leader="none"/>
          <w:tab w:pos="895" w:val="left" w:leader="none"/>
        </w:tabs>
        <w:spacing w:line="180" w:lineRule="auto" w:before="68" w:after="0"/>
        <w:ind w:left="894" w:right="0" w:hanging="674"/>
        <w:jc w:val="left"/>
      </w:pPr>
      <w:r>
        <w:rPr>
          <w:spacing w:val="-14"/>
        </w:rPr>
        <w:t>先天性畸形、变形或染色体异常</w:t>
      </w:r>
    </w:p>
    <w:p>
      <w:pPr>
        <w:pStyle w:val="ListParagraph"/>
        <w:numPr>
          <w:ilvl w:val="0"/>
          <w:numId w:val="11"/>
        </w:numPr>
        <w:tabs>
          <w:tab w:pos="894" w:val="left" w:leader="none"/>
          <w:tab w:pos="895" w:val="left" w:leader="none"/>
        </w:tabs>
        <w:spacing w:line="264" w:lineRule="exact" w:before="0" w:after="0"/>
        <w:ind w:left="2454" w:right="0" w:hanging="2234"/>
        <w:jc w:val="left"/>
        <w:rPr>
          <w:rFonts w:ascii="Microsoft JhengHei" w:eastAsia="Microsoft JhengHei" w:hint="eastAsia"/>
          <w:b/>
          <w:sz w:val="20"/>
        </w:rPr>
      </w:pPr>
      <w:r>
        <w:rPr>
          <w:rFonts w:ascii="Microsoft JhengHei" w:eastAsia="Microsoft JhengHei" w:hint="eastAsia"/>
          <w:b/>
          <w:sz w:val="20"/>
        </w:rPr>
        <w:t>未经过净保险</w:t>
      </w:r>
    </w:p>
    <w:p>
      <w:pPr>
        <w:spacing w:line="284" w:lineRule="exact" w:before="0"/>
        <w:ind w:left="894" w:right="0" w:firstLine="0"/>
        <w:jc w:val="left"/>
        <w:rPr>
          <w:rFonts w:ascii="Microsoft JhengHei" w:eastAsia="Microsoft JhengHei" w:hint="eastAsia"/>
          <w:b/>
          <w:sz w:val="20"/>
        </w:rPr>
      </w:pPr>
      <w:r>
        <w:rPr>
          <w:rFonts w:ascii="Microsoft JhengHei" w:eastAsia="Microsoft JhengHei" w:hint="eastAsia"/>
          <w:b/>
          <w:w w:val="99"/>
          <w:sz w:val="20"/>
        </w:rPr>
        <w:t>费</w:t>
      </w:r>
    </w:p>
    <w:p>
      <w:pPr>
        <w:pStyle w:val="ListParagraph"/>
        <w:numPr>
          <w:ilvl w:val="0"/>
          <w:numId w:val="11"/>
        </w:numPr>
        <w:tabs>
          <w:tab w:pos="894" w:val="left" w:leader="none"/>
          <w:tab w:pos="895" w:val="left" w:leader="none"/>
        </w:tabs>
        <w:spacing w:line="180" w:lineRule="auto" w:before="66" w:after="0"/>
        <w:ind w:left="894" w:right="103" w:hanging="674"/>
        <w:jc w:val="left"/>
        <w:rPr>
          <w:rFonts w:ascii="Microsoft JhengHei" w:eastAsia="Microsoft JhengHei" w:hint="eastAsia"/>
          <w:b/>
          <w:sz w:val="20"/>
        </w:rPr>
      </w:pPr>
      <w:r>
        <w:rPr>
          <w:rFonts w:ascii="Microsoft JhengHei" w:eastAsia="Microsoft JhengHei" w:hint="eastAsia"/>
          <w:b/>
          <w:sz w:val="20"/>
        </w:rPr>
        <w:t>肢体机能完全丧失</w:t>
      </w:r>
    </w:p>
    <w:p>
      <w:pPr>
        <w:pStyle w:val="ListParagraph"/>
        <w:numPr>
          <w:ilvl w:val="0"/>
          <w:numId w:val="11"/>
        </w:numPr>
        <w:tabs>
          <w:tab w:pos="894" w:val="left" w:leader="none"/>
          <w:tab w:pos="895" w:val="left" w:leader="none"/>
        </w:tabs>
        <w:spacing w:line="264" w:lineRule="exact" w:before="0" w:after="0"/>
        <w:ind w:left="894" w:right="0" w:hanging="675"/>
        <w:jc w:val="left"/>
        <w:rPr>
          <w:rFonts w:ascii="Microsoft JhengHei" w:eastAsia="Microsoft JhengHei" w:hint="eastAsia"/>
          <w:b/>
          <w:sz w:val="20"/>
        </w:rPr>
      </w:pPr>
      <w:r>
        <w:rPr>
          <w:rFonts w:ascii="Microsoft JhengHei" w:eastAsia="Microsoft JhengHei" w:hint="eastAsia"/>
          <w:b/>
          <w:sz w:val="20"/>
        </w:rPr>
        <w:t>语言能力或咀</w:t>
      </w:r>
    </w:p>
    <w:p>
      <w:pPr>
        <w:spacing w:line="177" w:lineRule="auto" w:before="47"/>
        <w:ind w:left="894" w:right="103" w:firstLine="0"/>
        <w:jc w:val="left"/>
        <w:rPr>
          <w:rFonts w:ascii="Microsoft JhengHei" w:eastAsia="Microsoft JhengHei" w:hint="eastAsia"/>
          <w:b/>
          <w:sz w:val="20"/>
        </w:rPr>
      </w:pPr>
      <w:r>
        <w:rPr>
          <w:rFonts w:ascii="Microsoft JhengHei" w:eastAsia="Microsoft JhengHei" w:hint="eastAsia"/>
          <w:b/>
          <w:sz w:val="20"/>
        </w:rPr>
        <w:t>嚼吞咽能力完全丧失</w:t>
      </w:r>
    </w:p>
    <w:p>
      <w:pPr>
        <w:pStyle w:val="BodyText"/>
        <w:spacing w:before="7"/>
        <w:rPr>
          <w:rFonts w:ascii="Microsoft JhengHei"/>
          <w:b/>
          <w:sz w:val="15"/>
        </w:rPr>
      </w:pPr>
    </w:p>
    <w:p>
      <w:pPr>
        <w:pStyle w:val="ListParagraph"/>
        <w:numPr>
          <w:ilvl w:val="0"/>
          <w:numId w:val="11"/>
        </w:numPr>
        <w:tabs>
          <w:tab w:pos="894" w:val="left" w:leader="none"/>
          <w:tab w:pos="895" w:val="left" w:leader="none"/>
        </w:tabs>
        <w:spacing w:line="305" w:lineRule="exact" w:before="0" w:after="0"/>
        <w:ind w:left="2454" w:right="0" w:hanging="2234"/>
        <w:jc w:val="left"/>
        <w:rPr>
          <w:rFonts w:ascii="Microsoft JhengHei" w:eastAsia="Microsoft JhengHei" w:hint="eastAsia"/>
          <w:b/>
          <w:sz w:val="20"/>
        </w:rPr>
      </w:pPr>
      <w:r>
        <w:rPr>
          <w:rFonts w:ascii="Microsoft JhengHei" w:eastAsia="Microsoft JhengHei" w:hint="eastAsia"/>
          <w:b/>
          <w:sz w:val="20"/>
        </w:rPr>
        <w:t>六项基本日常</w:t>
      </w:r>
    </w:p>
    <w:p>
      <w:pPr>
        <w:spacing w:line="305" w:lineRule="exact" w:before="0"/>
        <w:ind w:left="894" w:right="0" w:firstLine="0"/>
        <w:jc w:val="left"/>
        <w:rPr>
          <w:rFonts w:ascii="Microsoft JhengHei" w:eastAsia="Microsoft JhengHei" w:hint="eastAsia"/>
          <w:b/>
          <w:sz w:val="20"/>
        </w:rPr>
      </w:pPr>
      <w:r>
        <w:rPr>
          <w:rFonts w:ascii="Microsoft JhengHei" w:eastAsia="Microsoft JhengHei" w:hint="eastAsia"/>
          <w:b/>
          <w:sz w:val="20"/>
        </w:rPr>
        <w:t>生活活动</w:t>
      </w:r>
    </w:p>
    <w:p>
      <w:pPr>
        <w:pStyle w:val="BodyText"/>
        <w:spacing w:before="45"/>
        <w:ind w:left="209" w:right="406" w:hanging="1"/>
      </w:pPr>
      <w:r>
        <w:rPr/>
        <w:br w:type="column"/>
      </w:r>
      <w:r>
        <w:rPr>
          <w:w w:val="95"/>
        </w:rPr>
        <w:t>指被保险人出生时就具有的畸形、变形或染色体异常。先天性畸形、变形和染色体  </w:t>
      </w:r>
      <w:r>
        <w:rPr>
          <w:spacing w:val="-4"/>
          <w:w w:val="95"/>
        </w:rPr>
        <w:t>异常依照世界卫生组织《疾病和有关健康问题的国际统计分类》</w:t>
      </w:r>
      <w:r>
        <w:rPr>
          <w:w w:val="95"/>
        </w:rPr>
        <w:t>（ICD-10）确定。</w:t>
      </w:r>
    </w:p>
    <w:p>
      <w:pPr>
        <w:pStyle w:val="BodyText"/>
        <w:spacing w:before="3"/>
        <w:rPr>
          <w:sz w:val="23"/>
        </w:rPr>
      </w:pPr>
    </w:p>
    <w:p>
      <w:pPr>
        <w:pStyle w:val="BodyText"/>
        <w:spacing w:before="1"/>
        <w:ind w:left="209" w:right="406" w:hanging="1"/>
      </w:pPr>
      <w:r>
        <w:rPr>
          <w:w w:val="99"/>
        </w:rPr>
        <w:t>保险费×（</w:t>
      </w:r>
      <w:r>
        <w:rPr>
          <w:spacing w:val="0"/>
          <w:w w:val="99"/>
        </w:rPr>
        <w:t>1-</w:t>
      </w:r>
      <w:r>
        <w:rPr>
          <w:w w:val="99"/>
        </w:rPr>
        <w:t>（保单责任已经过天数</w:t>
      </w:r>
      <w:r>
        <w:rPr>
          <w:spacing w:val="0"/>
          <w:w w:val="99"/>
        </w:rPr>
        <w:t>/</w:t>
      </w:r>
      <w:r>
        <w:rPr>
          <w:w w:val="99"/>
        </w:rPr>
        <w:t>保险期间天数</w:t>
      </w:r>
      <w:r>
        <w:rPr>
          <w:spacing w:val="-101"/>
          <w:w w:val="99"/>
        </w:rPr>
        <w:t>）</w:t>
      </w:r>
      <w:r>
        <w:rPr>
          <w:spacing w:val="1"/>
          <w:w w:val="99"/>
        </w:rPr>
        <w:t>）</w:t>
      </w:r>
      <w:r>
        <w:rPr>
          <w:w w:val="99"/>
        </w:rPr>
        <w:t>×（</w:t>
      </w:r>
      <w:r>
        <w:rPr>
          <w:spacing w:val="0"/>
          <w:w w:val="99"/>
        </w:rPr>
        <w:t>1-35%</w:t>
      </w:r>
      <w:r>
        <w:rPr>
          <w:spacing w:val="-101"/>
          <w:w w:val="99"/>
        </w:rPr>
        <w:t>）</w:t>
      </w:r>
      <w:r>
        <w:rPr>
          <w:w w:val="99"/>
        </w:rPr>
        <w:t>。其中经过天数</w:t>
      </w:r>
      <w:r>
        <w:rPr>
          <w:w w:val="95"/>
        </w:rPr>
        <w:t>不足一天的按一天计算。</w:t>
      </w:r>
    </w:p>
    <w:p>
      <w:pPr>
        <w:pStyle w:val="BodyText"/>
        <w:spacing w:before="45"/>
        <w:ind w:left="209" w:right="406"/>
      </w:pPr>
      <w:r>
        <w:rPr>
          <w:w w:val="95"/>
        </w:rPr>
        <w:t>指肢体的三大关节中的两大关节僵硬，或不能随意识活动。肢体是指包括肩关节的  整个上肢或包括髋关节的整个下肢。</w:t>
      </w:r>
    </w:p>
    <w:p>
      <w:pPr>
        <w:pStyle w:val="BodyText"/>
        <w:spacing w:before="45"/>
        <w:ind w:left="209" w:right="189"/>
      </w:pPr>
      <w:r>
        <w:rPr>
          <w:w w:val="95"/>
        </w:rPr>
        <w:t>语言能力完全丧失，指无法发出四种语音（包括口唇音、齿舌音、口盖音和喉头音）  中的任何三种，或声带全部切除，或因大脑语言中枢受伤害而患失语症。</w:t>
      </w:r>
    </w:p>
    <w:p>
      <w:pPr>
        <w:pStyle w:val="BodyText"/>
        <w:spacing w:before="45"/>
        <w:ind w:left="209" w:right="406"/>
      </w:pPr>
      <w:r>
        <w:rPr>
          <w:w w:val="95"/>
        </w:rPr>
        <w:t>咀嚼吞咽能力完全丧失，指因牙齿以外的原因导致器质障碍或机能障碍，以致不能  作咀嚼吞咽运动，除流质食物外不能摄取或吞咽的状态。</w:t>
      </w:r>
    </w:p>
    <w:p>
      <w:pPr>
        <w:pStyle w:val="BodyText"/>
        <w:spacing w:line="237" w:lineRule="auto" w:before="47"/>
        <w:ind w:left="209" w:right="266"/>
      </w:pPr>
      <w:r>
        <w:rPr>
          <w:spacing w:val="-24"/>
          <w:w w:val="99"/>
        </w:rPr>
        <w:t>指</w:t>
      </w:r>
      <w:r>
        <w:rPr>
          <w:w w:val="99"/>
        </w:rPr>
        <w:t>（</w:t>
      </w:r>
      <w:r>
        <w:rPr>
          <w:spacing w:val="0"/>
          <w:w w:val="99"/>
        </w:rPr>
        <w:t>1</w:t>
      </w:r>
      <w:r>
        <w:rPr>
          <w:spacing w:val="-22"/>
          <w:w w:val="99"/>
        </w:rPr>
        <w:t>）</w:t>
      </w:r>
      <w:r>
        <w:rPr>
          <w:spacing w:val="-5"/>
          <w:w w:val="99"/>
        </w:rPr>
        <w:t>穿衣：自己能够穿衣及脱衣</w:t>
      </w:r>
      <w:r>
        <w:rPr>
          <w:spacing w:val="-125"/>
          <w:w w:val="99"/>
        </w:rPr>
        <w:t>；</w:t>
      </w:r>
      <w:r>
        <w:rPr>
          <w:w w:val="99"/>
        </w:rPr>
        <w:t>（</w:t>
      </w:r>
      <w:r>
        <w:rPr>
          <w:spacing w:val="2"/>
          <w:w w:val="99"/>
        </w:rPr>
        <w:t>2</w:t>
      </w:r>
      <w:r>
        <w:rPr>
          <w:spacing w:val="-24"/>
          <w:w w:val="99"/>
        </w:rPr>
        <w:t>）</w:t>
      </w:r>
      <w:r>
        <w:rPr>
          <w:spacing w:val="-4"/>
          <w:w w:val="99"/>
        </w:rPr>
        <w:t>移动：自己从一个房间到另一个房间</w:t>
      </w:r>
      <w:r>
        <w:rPr>
          <w:spacing w:val="-123"/>
          <w:w w:val="99"/>
        </w:rPr>
        <w:t>；</w:t>
      </w:r>
      <w:r>
        <w:rPr>
          <w:w w:val="99"/>
        </w:rPr>
        <w:t>（</w:t>
      </w:r>
      <w:r>
        <w:rPr>
          <w:spacing w:val="0"/>
          <w:w w:val="99"/>
        </w:rPr>
        <w:t>3</w:t>
      </w:r>
      <w:r>
        <w:rPr>
          <w:w w:val="99"/>
        </w:rPr>
        <w:t>）</w:t>
      </w:r>
      <w:r>
        <w:rPr>
          <w:spacing w:val="-8"/>
          <w:w w:val="99"/>
        </w:rPr>
        <w:t>行动：自己上下床或上下轮椅；</w:t>
      </w:r>
      <w:r>
        <w:rPr>
          <w:w w:val="99"/>
        </w:rPr>
        <w:t>（</w:t>
      </w:r>
      <w:r>
        <w:rPr>
          <w:spacing w:val="0"/>
          <w:w w:val="99"/>
        </w:rPr>
        <w:t>4</w:t>
      </w:r>
      <w:r>
        <w:rPr>
          <w:spacing w:val="1"/>
          <w:w w:val="99"/>
        </w:rPr>
        <w:t>）</w:t>
      </w:r>
      <w:r>
        <w:rPr>
          <w:spacing w:val="-8"/>
          <w:w w:val="99"/>
        </w:rPr>
        <w:t>如厕：自己控制进行大小便；</w:t>
      </w:r>
      <w:r>
        <w:rPr>
          <w:w w:val="99"/>
        </w:rPr>
        <w:t>（</w:t>
      </w:r>
      <w:r>
        <w:rPr>
          <w:spacing w:val="0"/>
          <w:w w:val="99"/>
        </w:rPr>
        <w:t>5</w:t>
      </w:r>
      <w:r>
        <w:rPr>
          <w:spacing w:val="1"/>
          <w:w w:val="99"/>
        </w:rPr>
        <w:t>）</w:t>
      </w:r>
      <w:r>
        <w:rPr>
          <w:w w:val="99"/>
        </w:rPr>
        <w:t>进食：自己</w:t>
      </w:r>
      <w:r>
        <w:rPr>
          <w:spacing w:val="-6"/>
          <w:w w:val="99"/>
        </w:rPr>
        <w:t>从已准备好的碗或碟中取食物放入口中；</w:t>
      </w:r>
      <w:r>
        <w:rPr>
          <w:w w:val="99"/>
        </w:rPr>
        <w:t>（</w:t>
      </w:r>
      <w:r>
        <w:rPr>
          <w:spacing w:val="0"/>
          <w:w w:val="99"/>
        </w:rPr>
        <w:t>6</w:t>
      </w:r>
      <w:r>
        <w:rPr>
          <w:w w:val="99"/>
        </w:rPr>
        <w:t>）洗澡：自己进行淋浴或盆浴。</w:t>
      </w:r>
    </w:p>
    <w:p>
      <w:pPr>
        <w:spacing w:after="0" w:line="237" w:lineRule="auto"/>
        <w:sectPr>
          <w:type w:val="continuous"/>
          <w:pgSz w:w="11900" w:h="16840"/>
          <w:pgMar w:top="460" w:bottom="280" w:left="1040" w:right="800"/>
          <w:cols w:num="2" w:equalWidth="0">
            <w:col w:w="2205" w:space="40"/>
            <w:col w:w="7815"/>
          </w:cols>
        </w:sectPr>
      </w:pPr>
    </w:p>
    <w:p>
      <w:pPr>
        <w:pStyle w:val="ListParagraph"/>
        <w:numPr>
          <w:ilvl w:val="0"/>
          <w:numId w:val="11"/>
        </w:numPr>
        <w:tabs>
          <w:tab w:pos="894" w:val="left" w:leader="none"/>
          <w:tab w:pos="895" w:val="left" w:leader="none"/>
          <w:tab w:pos="2454" w:val="left" w:leader="none"/>
        </w:tabs>
        <w:spacing w:line="220" w:lineRule="auto" w:before="9" w:after="0"/>
        <w:ind w:left="2454" w:right="406" w:hanging="2234"/>
        <w:jc w:val="left"/>
        <w:rPr>
          <w:sz w:val="20"/>
        </w:rPr>
      </w:pPr>
      <w:r>
        <w:rPr>
          <w:rFonts w:ascii="Microsoft JhengHei" w:eastAsia="Microsoft JhengHei" w:hint="eastAsia"/>
          <w:b/>
          <w:sz w:val="20"/>
        </w:rPr>
        <w:t>永久不可逆</w:t>
        <w:tab/>
      </w:r>
      <w:r>
        <w:rPr>
          <w:sz w:val="20"/>
        </w:rPr>
        <w:t>指自疾病确诊或意外伤害发生之日起，经过积极治疗</w:t>
      </w:r>
      <w:r>
        <w:rPr>
          <w:spacing w:val="-57"/>
          <w:sz w:val="20"/>
        </w:rPr>
        <w:t> </w:t>
      </w:r>
      <w:r>
        <w:rPr>
          <w:sz w:val="20"/>
        </w:rPr>
        <w:t>180</w:t>
      </w:r>
      <w:r>
        <w:rPr>
          <w:spacing w:val="-56"/>
          <w:sz w:val="20"/>
        </w:rPr>
        <w:t> </w:t>
      </w:r>
      <w:r>
        <w:rPr>
          <w:sz w:val="20"/>
        </w:rPr>
        <w:t>天后仍无法通过现有医疗</w:t>
      </w:r>
      <w:r>
        <w:rPr>
          <w:w w:val="95"/>
          <w:sz w:val="20"/>
        </w:rPr>
        <w:t>手段恢复。</w:t>
      </w:r>
    </w:p>
    <w:sectPr>
      <w:type w:val="continuous"/>
      <w:pgSz w:w="11900" w:h="16840"/>
      <w:pgMar w:top="460" w:bottom="280" w:left="104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宋体">
    <w:altName w:val="宋体"/>
    <w:charset w:val="86"/>
    <w:family w:val="auto"/>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type id="_x0000_t202" o:spt="202" coordsize="21600,21600" path="m,l,21600r21600,l21600,xe">
          <v:stroke joinstyle="miter"/>
          <v:path gradientshapeok="t" o:connecttype="rect"/>
        </v:shapetype>
        <v:shape style="position:absolute;margin-left:61.999874pt;margin-top:793.210449pt;width:114.1pt;height:20.5pt;mso-position-horizontal-relative:page;mso-position-vertical-relative:page;z-index:-25696" type="#_x0000_t202" filled="false" stroked="false">
          <v:textbox inset="0,0,0,0">
            <w:txbxContent>
              <w:p>
                <w:pPr>
                  <w:spacing w:line="180" w:lineRule="exact" w:before="0"/>
                  <w:ind w:left="20" w:right="0" w:firstLine="0"/>
                  <w:jc w:val="left"/>
                  <w:rPr>
                    <w:sz w:val="16"/>
                  </w:rPr>
                </w:pPr>
                <w:r>
                  <w:rPr>
                    <w:sz w:val="16"/>
                  </w:rPr>
                  <w:t>中德安联人寿保险有限公司</w:t>
                </w:r>
              </w:p>
              <w:p>
                <w:pPr>
                  <w:spacing w:line="209" w:lineRule="exact" w:before="0"/>
                  <w:ind w:left="20" w:right="0" w:firstLine="0"/>
                  <w:jc w:val="left"/>
                  <w:rPr>
                    <w:sz w:val="16"/>
                  </w:rPr>
                </w:pPr>
                <w:r>
                  <w:rPr>
                    <w:sz w:val="16"/>
                  </w:rPr>
                  <w:t>安联附加安康畅游重大疾病保险</w:t>
                </w:r>
              </w:p>
            </w:txbxContent>
          </v:textbox>
          <w10:wrap type="none"/>
        </v:shape>
      </w:pict>
    </w:r>
    <w:r>
      <w:rPr/>
      <w:pict>
        <v:shape style="position:absolute;margin-left:484.039948pt;margin-top:793.210449pt;width:66.1pt;height:10.050pt;mso-position-horizontal-relative:page;mso-position-vertical-relative:page;z-index:-25672"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5</w:t>
                </w:r>
                <w:r>
                  <w:rPr/>
                  <w:fldChar w:fldCharType="end"/>
                </w:r>
                <w:r>
                  <w:rPr>
                    <w:sz w:val="16"/>
                  </w:rPr>
                  <w:t> 页 共 11 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shape style="position:absolute;margin-left:61.999973pt;margin-top:793.210449pt;width:114.1pt;height:20.5pt;mso-position-horizontal-relative:page;mso-position-vertical-relative:page;z-index:-25648" type="#_x0000_t202" filled="false" stroked="false">
          <v:textbox inset="0,0,0,0">
            <w:txbxContent>
              <w:p>
                <w:pPr>
                  <w:spacing w:line="180" w:lineRule="exact" w:before="0"/>
                  <w:ind w:left="20" w:right="0" w:firstLine="0"/>
                  <w:jc w:val="left"/>
                  <w:rPr>
                    <w:sz w:val="16"/>
                  </w:rPr>
                </w:pPr>
                <w:r>
                  <w:rPr>
                    <w:sz w:val="16"/>
                  </w:rPr>
                  <w:t>中德安联人寿保险有限公司</w:t>
                </w:r>
              </w:p>
              <w:p>
                <w:pPr>
                  <w:spacing w:line="209" w:lineRule="exact" w:before="0"/>
                  <w:ind w:left="20" w:right="0" w:firstLine="0"/>
                  <w:jc w:val="left"/>
                  <w:rPr>
                    <w:sz w:val="16"/>
                  </w:rPr>
                </w:pPr>
                <w:r>
                  <w:rPr>
                    <w:sz w:val="16"/>
                  </w:rPr>
                  <w:t>安联附加安康畅游重大疾病保险</w:t>
                </w:r>
              </w:p>
            </w:txbxContent>
          </v:textbox>
          <w10:wrap type="none"/>
        </v:shape>
      </w:pict>
    </w:r>
    <w:r>
      <w:rPr/>
      <w:pict>
        <v:shape style="position:absolute;margin-left:479.960327pt;margin-top:793.210449pt;width:70.2pt;height:10.050pt;mso-position-horizontal-relative:page;mso-position-vertical-relative:page;z-index:-25624" type="#_x0000_t202" filled="false" stroked="false">
          <v:textbox inset="0,0,0,0">
            <w:txbxContent>
              <w:p>
                <w:pPr>
                  <w:spacing w:line="181" w:lineRule="exact" w:before="0"/>
                  <w:ind w:left="20" w:right="0" w:firstLine="0"/>
                  <w:jc w:val="left"/>
                  <w:rPr>
                    <w:sz w:val="16"/>
                  </w:rPr>
                </w:pPr>
                <w:r>
                  <w:rPr>
                    <w:sz w:val="16"/>
                  </w:rPr>
                  <w:t>第 </w:t>
                </w:r>
                <w:r>
                  <w:rPr/>
                  <w:fldChar w:fldCharType="begin"/>
                </w:r>
                <w:r>
                  <w:rPr>
                    <w:sz w:val="16"/>
                  </w:rPr>
                  <w:instrText> PAGE </w:instrText>
                </w:r>
                <w:r>
                  <w:rPr/>
                  <w:fldChar w:fldCharType="separate"/>
                </w:r>
                <w:r>
                  <w:rPr/>
                  <w:t>10</w:t>
                </w:r>
                <w:r>
                  <w:rPr/>
                  <w:fldChar w:fldCharType="end"/>
                </w:r>
                <w:r>
                  <w:rPr>
                    <w:sz w:val="16"/>
                  </w:rPr>
                  <w:t> 页 共 11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2454" w:hanging="675"/>
        <w:jc w:val="left"/>
      </w:pPr>
      <w:rPr>
        <w:rFonts w:hint="default" w:ascii="Microsoft JhengHei" w:hAnsi="Microsoft JhengHei" w:eastAsia="Microsoft JhengHei" w:cs="Microsoft JhengHei"/>
        <w:b/>
        <w:bCs/>
        <w:spacing w:val="0"/>
        <w:w w:val="83"/>
        <w:sz w:val="20"/>
        <w:szCs w:val="20"/>
      </w:rPr>
    </w:lvl>
    <w:lvl w:ilvl="1">
      <w:start w:val="1"/>
      <w:numFmt w:val="decimal"/>
      <w:lvlText w:val="（%2）"/>
      <w:lvlJc w:val="left"/>
      <w:pPr>
        <w:ind w:left="3133" w:hanging="680"/>
        <w:jc w:val="left"/>
      </w:pPr>
      <w:rPr>
        <w:rFonts w:hint="default" w:ascii="宋体" w:hAnsi="宋体" w:eastAsia="宋体" w:cs="宋体"/>
        <w:w w:val="99"/>
        <w:sz w:val="20"/>
        <w:szCs w:val="20"/>
      </w:rPr>
    </w:lvl>
    <w:lvl w:ilvl="2">
      <w:start w:val="0"/>
      <w:numFmt w:val="bullet"/>
      <w:lvlText w:val="•"/>
      <w:lvlJc w:val="left"/>
      <w:pPr>
        <w:ind w:left="3908" w:hanging="680"/>
      </w:pPr>
      <w:rPr>
        <w:rFonts w:hint="default"/>
      </w:rPr>
    </w:lvl>
    <w:lvl w:ilvl="3">
      <w:start w:val="0"/>
      <w:numFmt w:val="bullet"/>
      <w:lvlText w:val="•"/>
      <w:lvlJc w:val="left"/>
      <w:pPr>
        <w:ind w:left="4677" w:hanging="680"/>
      </w:pPr>
      <w:rPr>
        <w:rFonts w:hint="default"/>
      </w:rPr>
    </w:lvl>
    <w:lvl w:ilvl="4">
      <w:start w:val="0"/>
      <w:numFmt w:val="bullet"/>
      <w:lvlText w:val="•"/>
      <w:lvlJc w:val="left"/>
      <w:pPr>
        <w:ind w:left="5446" w:hanging="680"/>
      </w:pPr>
      <w:rPr>
        <w:rFonts w:hint="default"/>
      </w:rPr>
    </w:lvl>
    <w:lvl w:ilvl="5">
      <w:start w:val="0"/>
      <w:numFmt w:val="bullet"/>
      <w:lvlText w:val="•"/>
      <w:lvlJc w:val="left"/>
      <w:pPr>
        <w:ind w:left="6215" w:hanging="680"/>
      </w:pPr>
      <w:rPr>
        <w:rFonts w:hint="default"/>
      </w:rPr>
    </w:lvl>
    <w:lvl w:ilvl="6">
      <w:start w:val="0"/>
      <w:numFmt w:val="bullet"/>
      <w:lvlText w:val="•"/>
      <w:lvlJc w:val="left"/>
      <w:pPr>
        <w:ind w:left="6984" w:hanging="680"/>
      </w:pPr>
      <w:rPr>
        <w:rFonts w:hint="default"/>
      </w:rPr>
    </w:lvl>
    <w:lvl w:ilvl="7">
      <w:start w:val="0"/>
      <w:numFmt w:val="bullet"/>
      <w:lvlText w:val="•"/>
      <w:lvlJc w:val="left"/>
      <w:pPr>
        <w:ind w:left="7753" w:hanging="680"/>
      </w:pPr>
      <w:rPr>
        <w:rFonts w:hint="default"/>
      </w:rPr>
    </w:lvl>
    <w:lvl w:ilvl="8">
      <w:start w:val="0"/>
      <w:numFmt w:val="bullet"/>
      <w:lvlText w:val="•"/>
      <w:lvlJc w:val="left"/>
      <w:pPr>
        <w:ind w:left="8522" w:hanging="680"/>
      </w:pPr>
      <w:rPr>
        <w:rFonts w:hint="default"/>
      </w:rPr>
    </w:lvl>
  </w:abstractNum>
  <w:abstractNum w:abstractNumId="9">
    <w:multiLevelType w:val="hybridMultilevel"/>
    <w:lvl w:ilvl="0">
      <w:start w:val="1"/>
      <w:numFmt w:val="decimal"/>
      <w:lvlText w:val="（%1）"/>
      <w:lvlJc w:val="left"/>
      <w:pPr>
        <w:ind w:left="893" w:hanging="680"/>
        <w:jc w:val="left"/>
      </w:pPr>
      <w:rPr>
        <w:rFonts w:hint="default"/>
        <w:b/>
        <w:bCs/>
        <w:spacing w:val="0"/>
        <w:w w:val="83"/>
      </w:rPr>
    </w:lvl>
    <w:lvl w:ilvl="1">
      <w:start w:val="0"/>
      <w:numFmt w:val="bullet"/>
      <w:lvlText w:val="•"/>
      <w:lvlJc w:val="left"/>
      <w:pPr>
        <w:ind w:left="1599" w:hanging="680"/>
      </w:pPr>
      <w:rPr>
        <w:rFonts w:hint="default"/>
      </w:rPr>
    </w:lvl>
    <w:lvl w:ilvl="2">
      <w:start w:val="0"/>
      <w:numFmt w:val="bullet"/>
      <w:lvlText w:val="•"/>
      <w:lvlJc w:val="left"/>
      <w:pPr>
        <w:ind w:left="2299" w:hanging="680"/>
      </w:pPr>
      <w:rPr>
        <w:rFonts w:hint="default"/>
      </w:rPr>
    </w:lvl>
    <w:lvl w:ilvl="3">
      <w:start w:val="0"/>
      <w:numFmt w:val="bullet"/>
      <w:lvlText w:val="•"/>
      <w:lvlJc w:val="left"/>
      <w:pPr>
        <w:ind w:left="2999" w:hanging="680"/>
      </w:pPr>
      <w:rPr>
        <w:rFonts w:hint="default"/>
      </w:rPr>
    </w:lvl>
    <w:lvl w:ilvl="4">
      <w:start w:val="0"/>
      <w:numFmt w:val="bullet"/>
      <w:lvlText w:val="•"/>
      <w:lvlJc w:val="left"/>
      <w:pPr>
        <w:ind w:left="3699" w:hanging="680"/>
      </w:pPr>
      <w:rPr>
        <w:rFonts w:hint="default"/>
      </w:rPr>
    </w:lvl>
    <w:lvl w:ilvl="5">
      <w:start w:val="0"/>
      <w:numFmt w:val="bullet"/>
      <w:lvlText w:val="•"/>
      <w:lvlJc w:val="left"/>
      <w:pPr>
        <w:ind w:left="4399" w:hanging="680"/>
      </w:pPr>
      <w:rPr>
        <w:rFonts w:hint="default"/>
      </w:rPr>
    </w:lvl>
    <w:lvl w:ilvl="6">
      <w:start w:val="0"/>
      <w:numFmt w:val="bullet"/>
      <w:lvlText w:val="•"/>
      <w:lvlJc w:val="left"/>
      <w:pPr>
        <w:ind w:left="5099" w:hanging="680"/>
      </w:pPr>
      <w:rPr>
        <w:rFonts w:hint="default"/>
      </w:rPr>
    </w:lvl>
    <w:lvl w:ilvl="7">
      <w:start w:val="0"/>
      <w:numFmt w:val="bullet"/>
      <w:lvlText w:val="•"/>
      <w:lvlJc w:val="left"/>
      <w:pPr>
        <w:ind w:left="5798" w:hanging="680"/>
      </w:pPr>
      <w:rPr>
        <w:rFonts w:hint="default"/>
      </w:rPr>
    </w:lvl>
    <w:lvl w:ilvl="8">
      <w:start w:val="0"/>
      <w:numFmt w:val="bullet"/>
      <w:lvlText w:val="•"/>
      <w:lvlJc w:val="left"/>
      <w:pPr>
        <w:ind w:left="6498" w:hanging="680"/>
      </w:pPr>
      <w:rPr>
        <w:rFonts w:hint="default"/>
      </w:rPr>
    </w:lvl>
  </w:abstractNum>
  <w:abstractNum w:abstractNumId="8">
    <w:multiLevelType w:val="hybridMultilevel"/>
    <w:lvl w:ilvl="0">
      <w:start w:val="1"/>
      <w:numFmt w:val="decimal"/>
      <w:lvlText w:val="（%1）"/>
      <w:lvlJc w:val="left"/>
      <w:pPr>
        <w:ind w:left="893" w:hanging="680"/>
        <w:jc w:val="left"/>
      </w:pPr>
      <w:rPr>
        <w:rFonts w:hint="default" w:ascii="宋体" w:hAnsi="宋体" w:eastAsia="宋体" w:cs="宋体"/>
        <w:w w:val="99"/>
        <w:sz w:val="20"/>
        <w:szCs w:val="20"/>
      </w:rPr>
    </w:lvl>
    <w:lvl w:ilvl="1">
      <w:start w:val="0"/>
      <w:numFmt w:val="bullet"/>
      <w:lvlText w:val="•"/>
      <w:lvlJc w:val="left"/>
      <w:pPr>
        <w:ind w:left="3160" w:hanging="680"/>
      </w:pPr>
      <w:rPr>
        <w:rFonts w:hint="default"/>
      </w:rPr>
    </w:lvl>
    <w:lvl w:ilvl="2">
      <w:start w:val="0"/>
      <w:numFmt w:val="bullet"/>
      <w:lvlText w:val="•"/>
      <w:lvlJc w:val="left"/>
      <w:pPr>
        <w:ind w:left="3675" w:hanging="680"/>
      </w:pPr>
      <w:rPr>
        <w:rFonts w:hint="default"/>
      </w:rPr>
    </w:lvl>
    <w:lvl w:ilvl="3">
      <w:start w:val="0"/>
      <w:numFmt w:val="bullet"/>
      <w:lvlText w:val="•"/>
      <w:lvlJc w:val="left"/>
      <w:pPr>
        <w:ind w:left="4190" w:hanging="680"/>
      </w:pPr>
      <w:rPr>
        <w:rFonts w:hint="default"/>
      </w:rPr>
    </w:lvl>
    <w:lvl w:ilvl="4">
      <w:start w:val="0"/>
      <w:numFmt w:val="bullet"/>
      <w:lvlText w:val="•"/>
      <w:lvlJc w:val="left"/>
      <w:pPr>
        <w:ind w:left="4706" w:hanging="680"/>
      </w:pPr>
      <w:rPr>
        <w:rFonts w:hint="default"/>
      </w:rPr>
    </w:lvl>
    <w:lvl w:ilvl="5">
      <w:start w:val="0"/>
      <w:numFmt w:val="bullet"/>
      <w:lvlText w:val="•"/>
      <w:lvlJc w:val="left"/>
      <w:pPr>
        <w:ind w:left="5221" w:hanging="680"/>
      </w:pPr>
      <w:rPr>
        <w:rFonts w:hint="default"/>
      </w:rPr>
    </w:lvl>
    <w:lvl w:ilvl="6">
      <w:start w:val="0"/>
      <w:numFmt w:val="bullet"/>
      <w:lvlText w:val="•"/>
      <w:lvlJc w:val="left"/>
      <w:pPr>
        <w:ind w:left="5736" w:hanging="680"/>
      </w:pPr>
      <w:rPr>
        <w:rFonts w:hint="default"/>
      </w:rPr>
    </w:lvl>
    <w:lvl w:ilvl="7">
      <w:start w:val="0"/>
      <w:numFmt w:val="bullet"/>
      <w:lvlText w:val="•"/>
      <w:lvlJc w:val="left"/>
      <w:pPr>
        <w:ind w:left="6252" w:hanging="680"/>
      </w:pPr>
      <w:rPr>
        <w:rFonts w:hint="default"/>
      </w:rPr>
    </w:lvl>
    <w:lvl w:ilvl="8">
      <w:start w:val="0"/>
      <w:numFmt w:val="bullet"/>
      <w:lvlText w:val="•"/>
      <w:lvlJc w:val="left"/>
      <w:pPr>
        <w:ind w:left="6767" w:hanging="680"/>
      </w:pPr>
      <w:rPr>
        <w:rFonts w:hint="default"/>
      </w:rPr>
    </w:lvl>
  </w:abstractNum>
  <w:abstractNum w:abstractNumId="7">
    <w:multiLevelType w:val="hybridMultilevel"/>
    <w:lvl w:ilvl="0">
      <w:start w:val="4"/>
      <w:numFmt w:val="decimal"/>
      <w:lvlText w:val="%1"/>
      <w:lvlJc w:val="left"/>
      <w:pPr>
        <w:ind w:left="1288" w:hanging="1068"/>
        <w:jc w:val="left"/>
      </w:pPr>
      <w:rPr>
        <w:rFonts w:hint="default"/>
      </w:rPr>
    </w:lvl>
    <w:lvl w:ilvl="1">
      <w:start w:val="1"/>
      <w:numFmt w:val="decimal"/>
      <w:lvlText w:val="%1.%2"/>
      <w:lvlJc w:val="left"/>
      <w:pPr>
        <w:ind w:left="1288" w:hanging="1068"/>
        <w:jc w:val="left"/>
      </w:pPr>
      <w:rPr>
        <w:rFonts w:hint="default" w:ascii="Microsoft JhengHei" w:hAnsi="Microsoft JhengHei" w:eastAsia="Microsoft JhengHei" w:cs="Microsoft JhengHei"/>
        <w:b/>
        <w:bCs/>
        <w:spacing w:val="0"/>
        <w:w w:val="83"/>
        <w:sz w:val="20"/>
        <w:szCs w:val="20"/>
      </w:rPr>
    </w:lvl>
    <w:lvl w:ilvl="2">
      <w:start w:val="0"/>
      <w:numFmt w:val="bullet"/>
      <w:lvlText w:val="•"/>
      <w:lvlJc w:val="left"/>
      <w:pPr>
        <w:ind w:left="3036" w:hanging="1068"/>
      </w:pPr>
      <w:rPr>
        <w:rFonts w:hint="default"/>
      </w:rPr>
    </w:lvl>
    <w:lvl w:ilvl="3">
      <w:start w:val="0"/>
      <w:numFmt w:val="bullet"/>
      <w:lvlText w:val="•"/>
      <w:lvlJc w:val="left"/>
      <w:pPr>
        <w:ind w:left="3914" w:hanging="1068"/>
      </w:pPr>
      <w:rPr>
        <w:rFonts w:hint="default"/>
      </w:rPr>
    </w:lvl>
    <w:lvl w:ilvl="4">
      <w:start w:val="0"/>
      <w:numFmt w:val="bullet"/>
      <w:lvlText w:val="•"/>
      <w:lvlJc w:val="left"/>
      <w:pPr>
        <w:ind w:left="4792" w:hanging="1068"/>
      </w:pPr>
      <w:rPr>
        <w:rFonts w:hint="default"/>
      </w:rPr>
    </w:lvl>
    <w:lvl w:ilvl="5">
      <w:start w:val="0"/>
      <w:numFmt w:val="bullet"/>
      <w:lvlText w:val="•"/>
      <w:lvlJc w:val="left"/>
      <w:pPr>
        <w:ind w:left="5670" w:hanging="1068"/>
      </w:pPr>
      <w:rPr>
        <w:rFonts w:hint="default"/>
      </w:rPr>
    </w:lvl>
    <w:lvl w:ilvl="6">
      <w:start w:val="0"/>
      <w:numFmt w:val="bullet"/>
      <w:lvlText w:val="•"/>
      <w:lvlJc w:val="left"/>
      <w:pPr>
        <w:ind w:left="6548" w:hanging="1068"/>
      </w:pPr>
      <w:rPr>
        <w:rFonts w:hint="default"/>
      </w:rPr>
    </w:lvl>
    <w:lvl w:ilvl="7">
      <w:start w:val="0"/>
      <w:numFmt w:val="bullet"/>
      <w:lvlText w:val="•"/>
      <w:lvlJc w:val="left"/>
      <w:pPr>
        <w:ind w:left="7426" w:hanging="1068"/>
      </w:pPr>
      <w:rPr>
        <w:rFonts w:hint="default"/>
      </w:rPr>
    </w:lvl>
    <w:lvl w:ilvl="8">
      <w:start w:val="0"/>
      <w:numFmt w:val="bullet"/>
      <w:lvlText w:val="•"/>
      <w:lvlJc w:val="left"/>
      <w:pPr>
        <w:ind w:left="8304" w:hanging="1068"/>
      </w:pPr>
      <w:rPr>
        <w:rFonts w:hint="default"/>
      </w:rPr>
    </w:lvl>
  </w:abstractNum>
  <w:abstractNum w:abstractNumId="6">
    <w:multiLevelType w:val="hybridMultilevel"/>
    <w:lvl w:ilvl="0">
      <w:start w:val="2"/>
      <w:numFmt w:val="decimal"/>
      <w:lvlText w:val="%1"/>
      <w:lvlJc w:val="left"/>
      <w:pPr>
        <w:ind w:left="1288" w:hanging="1068"/>
        <w:jc w:val="left"/>
      </w:pPr>
      <w:rPr>
        <w:rFonts w:hint="default"/>
      </w:rPr>
    </w:lvl>
    <w:lvl w:ilvl="1">
      <w:start w:val="1"/>
      <w:numFmt w:val="decimal"/>
      <w:lvlText w:val="%1.%2"/>
      <w:lvlJc w:val="left"/>
      <w:pPr>
        <w:ind w:left="1288" w:hanging="1068"/>
        <w:jc w:val="left"/>
      </w:pPr>
      <w:rPr>
        <w:rFonts w:hint="default" w:ascii="Microsoft JhengHei" w:hAnsi="Microsoft JhengHei" w:eastAsia="Microsoft JhengHei" w:cs="Microsoft JhengHei"/>
        <w:b/>
        <w:bCs/>
        <w:spacing w:val="0"/>
        <w:w w:val="83"/>
        <w:sz w:val="20"/>
        <w:szCs w:val="20"/>
      </w:rPr>
    </w:lvl>
    <w:lvl w:ilvl="2">
      <w:start w:val="0"/>
      <w:numFmt w:val="bullet"/>
      <w:lvlText w:val="•"/>
      <w:lvlJc w:val="left"/>
      <w:pPr>
        <w:ind w:left="3036" w:hanging="1068"/>
      </w:pPr>
      <w:rPr>
        <w:rFonts w:hint="default"/>
      </w:rPr>
    </w:lvl>
    <w:lvl w:ilvl="3">
      <w:start w:val="0"/>
      <w:numFmt w:val="bullet"/>
      <w:lvlText w:val="•"/>
      <w:lvlJc w:val="left"/>
      <w:pPr>
        <w:ind w:left="3914" w:hanging="1068"/>
      </w:pPr>
      <w:rPr>
        <w:rFonts w:hint="default"/>
      </w:rPr>
    </w:lvl>
    <w:lvl w:ilvl="4">
      <w:start w:val="0"/>
      <w:numFmt w:val="bullet"/>
      <w:lvlText w:val="•"/>
      <w:lvlJc w:val="left"/>
      <w:pPr>
        <w:ind w:left="4792" w:hanging="1068"/>
      </w:pPr>
      <w:rPr>
        <w:rFonts w:hint="default"/>
      </w:rPr>
    </w:lvl>
    <w:lvl w:ilvl="5">
      <w:start w:val="0"/>
      <w:numFmt w:val="bullet"/>
      <w:lvlText w:val="•"/>
      <w:lvlJc w:val="left"/>
      <w:pPr>
        <w:ind w:left="5670" w:hanging="1068"/>
      </w:pPr>
      <w:rPr>
        <w:rFonts w:hint="default"/>
      </w:rPr>
    </w:lvl>
    <w:lvl w:ilvl="6">
      <w:start w:val="0"/>
      <w:numFmt w:val="bullet"/>
      <w:lvlText w:val="•"/>
      <w:lvlJc w:val="left"/>
      <w:pPr>
        <w:ind w:left="6548" w:hanging="1068"/>
      </w:pPr>
      <w:rPr>
        <w:rFonts w:hint="default"/>
      </w:rPr>
    </w:lvl>
    <w:lvl w:ilvl="7">
      <w:start w:val="0"/>
      <w:numFmt w:val="bullet"/>
      <w:lvlText w:val="•"/>
      <w:lvlJc w:val="left"/>
      <w:pPr>
        <w:ind w:left="7426" w:hanging="1068"/>
      </w:pPr>
      <w:rPr>
        <w:rFonts w:hint="default"/>
      </w:rPr>
    </w:lvl>
    <w:lvl w:ilvl="8">
      <w:start w:val="0"/>
      <w:numFmt w:val="bullet"/>
      <w:lvlText w:val="•"/>
      <w:lvlJc w:val="left"/>
      <w:pPr>
        <w:ind w:left="8304" w:hanging="1068"/>
      </w:pPr>
      <w:rPr>
        <w:rFonts w:hint="default"/>
      </w:rPr>
    </w:lvl>
  </w:abstractNum>
  <w:abstractNum w:abstractNumId="5">
    <w:multiLevelType w:val="hybridMultilevel"/>
    <w:lvl w:ilvl="0">
      <w:start w:val="1"/>
      <w:numFmt w:val="decimal"/>
      <w:lvlText w:val="%1"/>
      <w:lvlJc w:val="left"/>
      <w:pPr>
        <w:ind w:left="1288" w:hanging="1068"/>
        <w:jc w:val="left"/>
      </w:pPr>
      <w:rPr>
        <w:rFonts w:hint="default"/>
      </w:rPr>
    </w:lvl>
    <w:lvl w:ilvl="1">
      <w:start w:val="1"/>
      <w:numFmt w:val="decimal"/>
      <w:lvlText w:val="%1.%2"/>
      <w:lvlJc w:val="left"/>
      <w:pPr>
        <w:ind w:left="1288" w:hanging="1068"/>
        <w:jc w:val="left"/>
      </w:pPr>
      <w:rPr>
        <w:rFonts w:hint="default" w:ascii="Microsoft JhengHei" w:hAnsi="Microsoft JhengHei" w:eastAsia="Microsoft JhengHei" w:cs="Microsoft JhengHei"/>
        <w:b/>
        <w:bCs/>
        <w:spacing w:val="0"/>
        <w:w w:val="83"/>
        <w:sz w:val="20"/>
        <w:szCs w:val="20"/>
      </w:rPr>
    </w:lvl>
    <w:lvl w:ilvl="2">
      <w:start w:val="1"/>
      <w:numFmt w:val="decimal"/>
      <w:lvlText w:val="（%3）"/>
      <w:lvlJc w:val="left"/>
      <w:pPr>
        <w:ind w:left="3155" w:hanging="680"/>
        <w:jc w:val="left"/>
      </w:pPr>
      <w:rPr>
        <w:rFonts w:hint="default" w:ascii="宋体" w:hAnsi="宋体" w:eastAsia="宋体" w:cs="宋体"/>
        <w:w w:val="99"/>
        <w:sz w:val="20"/>
        <w:szCs w:val="20"/>
      </w:rPr>
    </w:lvl>
    <w:lvl w:ilvl="3">
      <w:start w:val="0"/>
      <w:numFmt w:val="bullet"/>
      <w:lvlText w:val="•"/>
      <w:lvlJc w:val="left"/>
      <w:pPr>
        <w:ind w:left="2951" w:hanging="680"/>
      </w:pPr>
      <w:rPr>
        <w:rFonts w:hint="default"/>
      </w:rPr>
    </w:lvl>
    <w:lvl w:ilvl="4">
      <w:start w:val="0"/>
      <w:numFmt w:val="bullet"/>
      <w:lvlText w:val="•"/>
      <w:lvlJc w:val="left"/>
      <w:pPr>
        <w:ind w:left="2847" w:hanging="680"/>
      </w:pPr>
      <w:rPr>
        <w:rFonts w:hint="default"/>
      </w:rPr>
    </w:lvl>
    <w:lvl w:ilvl="5">
      <w:start w:val="0"/>
      <w:numFmt w:val="bullet"/>
      <w:lvlText w:val="•"/>
      <w:lvlJc w:val="left"/>
      <w:pPr>
        <w:ind w:left="2742" w:hanging="680"/>
      </w:pPr>
      <w:rPr>
        <w:rFonts w:hint="default"/>
      </w:rPr>
    </w:lvl>
    <w:lvl w:ilvl="6">
      <w:start w:val="0"/>
      <w:numFmt w:val="bullet"/>
      <w:lvlText w:val="•"/>
      <w:lvlJc w:val="left"/>
      <w:pPr>
        <w:ind w:left="2638" w:hanging="680"/>
      </w:pPr>
      <w:rPr>
        <w:rFonts w:hint="default"/>
      </w:rPr>
    </w:lvl>
    <w:lvl w:ilvl="7">
      <w:start w:val="0"/>
      <w:numFmt w:val="bullet"/>
      <w:lvlText w:val="•"/>
      <w:lvlJc w:val="left"/>
      <w:pPr>
        <w:ind w:left="2534" w:hanging="680"/>
      </w:pPr>
      <w:rPr>
        <w:rFonts w:hint="default"/>
      </w:rPr>
    </w:lvl>
    <w:lvl w:ilvl="8">
      <w:start w:val="0"/>
      <w:numFmt w:val="bullet"/>
      <w:lvlText w:val="•"/>
      <w:lvlJc w:val="left"/>
      <w:pPr>
        <w:ind w:left="2430" w:hanging="680"/>
      </w:pPr>
      <w:rPr>
        <w:rFonts w:hint="default"/>
      </w:rPr>
    </w:lvl>
  </w:abstractNum>
  <w:abstractNum w:abstractNumId="4">
    <w:multiLevelType w:val="hybridMultilevel"/>
    <w:lvl w:ilvl="0">
      <w:start w:val="1"/>
      <w:numFmt w:val="decimal"/>
      <w:lvlText w:val="%1."/>
      <w:lvlJc w:val="left"/>
      <w:pPr>
        <w:ind w:left="1061" w:hanging="360"/>
        <w:jc w:val="left"/>
      </w:pPr>
      <w:rPr>
        <w:rFonts w:hint="default" w:ascii="宋体" w:hAnsi="宋体" w:eastAsia="宋体" w:cs="宋体"/>
        <w:spacing w:val="0"/>
        <w:w w:val="99"/>
        <w:sz w:val="20"/>
        <w:szCs w:val="20"/>
      </w:rPr>
    </w:lvl>
    <w:lvl w:ilvl="1">
      <w:start w:val="0"/>
      <w:numFmt w:val="bullet"/>
      <w:lvlText w:val="•"/>
      <w:lvlJc w:val="left"/>
      <w:pPr>
        <w:ind w:left="1465" w:hanging="360"/>
      </w:pPr>
      <w:rPr>
        <w:rFonts w:hint="default"/>
      </w:rPr>
    </w:lvl>
    <w:lvl w:ilvl="2">
      <w:start w:val="0"/>
      <w:numFmt w:val="bullet"/>
      <w:lvlText w:val="•"/>
      <w:lvlJc w:val="left"/>
      <w:pPr>
        <w:ind w:left="1870" w:hanging="360"/>
      </w:pPr>
      <w:rPr>
        <w:rFonts w:hint="default"/>
      </w:rPr>
    </w:lvl>
    <w:lvl w:ilvl="3">
      <w:start w:val="0"/>
      <w:numFmt w:val="bullet"/>
      <w:lvlText w:val="•"/>
      <w:lvlJc w:val="left"/>
      <w:pPr>
        <w:ind w:left="2275" w:hanging="360"/>
      </w:pPr>
      <w:rPr>
        <w:rFonts w:hint="default"/>
      </w:rPr>
    </w:lvl>
    <w:lvl w:ilvl="4">
      <w:start w:val="0"/>
      <w:numFmt w:val="bullet"/>
      <w:lvlText w:val="•"/>
      <w:lvlJc w:val="left"/>
      <w:pPr>
        <w:ind w:left="2681" w:hanging="360"/>
      </w:pPr>
      <w:rPr>
        <w:rFonts w:hint="default"/>
      </w:rPr>
    </w:lvl>
    <w:lvl w:ilvl="5">
      <w:start w:val="0"/>
      <w:numFmt w:val="bullet"/>
      <w:lvlText w:val="•"/>
      <w:lvlJc w:val="left"/>
      <w:pPr>
        <w:ind w:left="3086" w:hanging="360"/>
      </w:pPr>
      <w:rPr>
        <w:rFonts w:hint="default"/>
      </w:rPr>
    </w:lvl>
    <w:lvl w:ilvl="6">
      <w:start w:val="0"/>
      <w:numFmt w:val="bullet"/>
      <w:lvlText w:val="•"/>
      <w:lvlJc w:val="left"/>
      <w:pPr>
        <w:ind w:left="3491" w:hanging="360"/>
      </w:pPr>
      <w:rPr>
        <w:rFonts w:hint="default"/>
      </w:rPr>
    </w:lvl>
    <w:lvl w:ilvl="7">
      <w:start w:val="0"/>
      <w:numFmt w:val="bullet"/>
      <w:lvlText w:val="•"/>
      <w:lvlJc w:val="left"/>
      <w:pPr>
        <w:ind w:left="3896" w:hanging="360"/>
      </w:pPr>
      <w:rPr>
        <w:rFonts w:hint="default"/>
      </w:rPr>
    </w:lvl>
    <w:lvl w:ilvl="8">
      <w:start w:val="0"/>
      <w:numFmt w:val="bullet"/>
      <w:lvlText w:val="•"/>
      <w:lvlJc w:val="left"/>
      <w:pPr>
        <w:ind w:left="4302" w:hanging="360"/>
      </w:pPr>
      <w:rPr>
        <w:rFonts w:hint="default"/>
      </w:rPr>
    </w:lvl>
  </w:abstractNum>
  <w:abstractNum w:abstractNumId="3">
    <w:multiLevelType w:val="hybridMultilevel"/>
    <w:lvl w:ilvl="0">
      <w:start w:val="4"/>
      <w:numFmt w:val="decimal"/>
      <w:lvlText w:val="%1"/>
      <w:lvlJc w:val="left"/>
      <w:pPr>
        <w:ind w:left="1109" w:hanging="401"/>
        <w:jc w:val="left"/>
      </w:pPr>
      <w:rPr>
        <w:rFonts w:hint="default"/>
      </w:rPr>
    </w:lvl>
    <w:lvl w:ilvl="1">
      <w:start w:val="1"/>
      <w:numFmt w:val="decimal"/>
      <w:lvlText w:val="%1.%2"/>
      <w:lvlJc w:val="left"/>
      <w:pPr>
        <w:ind w:left="1109" w:hanging="401"/>
        <w:jc w:val="left"/>
      </w:pPr>
      <w:rPr>
        <w:rFonts w:hint="default" w:ascii="宋体" w:hAnsi="宋体" w:eastAsia="宋体" w:cs="宋体"/>
        <w:spacing w:val="0"/>
        <w:w w:val="99"/>
        <w:sz w:val="20"/>
        <w:szCs w:val="20"/>
      </w:rPr>
    </w:lvl>
    <w:lvl w:ilvl="2">
      <w:start w:val="0"/>
      <w:numFmt w:val="bullet"/>
      <w:lvlText w:val="•"/>
      <w:lvlJc w:val="left"/>
      <w:pPr>
        <w:ind w:left="1502" w:hanging="401"/>
      </w:pPr>
      <w:rPr>
        <w:rFonts w:hint="default"/>
      </w:rPr>
    </w:lvl>
    <w:lvl w:ilvl="3">
      <w:start w:val="0"/>
      <w:numFmt w:val="bullet"/>
      <w:lvlText w:val="•"/>
      <w:lvlJc w:val="left"/>
      <w:pPr>
        <w:ind w:left="1703" w:hanging="401"/>
      </w:pPr>
      <w:rPr>
        <w:rFonts w:hint="default"/>
      </w:rPr>
    </w:lvl>
    <w:lvl w:ilvl="4">
      <w:start w:val="0"/>
      <w:numFmt w:val="bullet"/>
      <w:lvlText w:val="•"/>
      <w:lvlJc w:val="left"/>
      <w:pPr>
        <w:ind w:left="1904" w:hanging="401"/>
      </w:pPr>
      <w:rPr>
        <w:rFonts w:hint="default"/>
      </w:rPr>
    </w:lvl>
    <w:lvl w:ilvl="5">
      <w:start w:val="0"/>
      <w:numFmt w:val="bullet"/>
      <w:lvlText w:val="•"/>
      <w:lvlJc w:val="left"/>
      <w:pPr>
        <w:ind w:left="2105" w:hanging="401"/>
      </w:pPr>
      <w:rPr>
        <w:rFonts w:hint="default"/>
      </w:rPr>
    </w:lvl>
    <w:lvl w:ilvl="6">
      <w:start w:val="0"/>
      <w:numFmt w:val="bullet"/>
      <w:lvlText w:val="•"/>
      <w:lvlJc w:val="left"/>
      <w:pPr>
        <w:ind w:left="2306" w:hanging="401"/>
      </w:pPr>
      <w:rPr>
        <w:rFonts w:hint="default"/>
      </w:rPr>
    </w:lvl>
    <w:lvl w:ilvl="7">
      <w:start w:val="0"/>
      <w:numFmt w:val="bullet"/>
      <w:lvlText w:val="•"/>
      <w:lvlJc w:val="left"/>
      <w:pPr>
        <w:ind w:left="2507" w:hanging="401"/>
      </w:pPr>
      <w:rPr>
        <w:rFonts w:hint="default"/>
      </w:rPr>
    </w:lvl>
    <w:lvl w:ilvl="8">
      <w:start w:val="0"/>
      <w:numFmt w:val="bullet"/>
      <w:lvlText w:val="•"/>
      <w:lvlJc w:val="left"/>
      <w:pPr>
        <w:ind w:left="2708" w:hanging="401"/>
      </w:pPr>
      <w:rPr>
        <w:rFonts w:hint="default"/>
      </w:rPr>
    </w:lvl>
  </w:abstractNum>
  <w:abstractNum w:abstractNumId="2">
    <w:multiLevelType w:val="hybridMultilevel"/>
    <w:lvl w:ilvl="0">
      <w:start w:val="2"/>
      <w:numFmt w:val="decimal"/>
      <w:lvlText w:val="%1"/>
      <w:lvlJc w:val="left"/>
      <w:pPr>
        <w:ind w:left="1104" w:hanging="401"/>
        <w:jc w:val="left"/>
      </w:pPr>
      <w:rPr>
        <w:rFonts w:hint="default"/>
      </w:rPr>
    </w:lvl>
    <w:lvl w:ilvl="1">
      <w:start w:val="1"/>
      <w:numFmt w:val="decimal"/>
      <w:lvlText w:val="%1.%2"/>
      <w:lvlJc w:val="left"/>
      <w:pPr>
        <w:ind w:left="1104" w:hanging="401"/>
        <w:jc w:val="left"/>
      </w:pPr>
      <w:rPr>
        <w:rFonts w:hint="default" w:ascii="宋体" w:hAnsi="宋体" w:eastAsia="宋体" w:cs="宋体"/>
        <w:spacing w:val="-2"/>
        <w:w w:val="99"/>
        <w:sz w:val="20"/>
        <w:szCs w:val="20"/>
      </w:rPr>
    </w:lvl>
    <w:lvl w:ilvl="2">
      <w:start w:val="0"/>
      <w:numFmt w:val="bullet"/>
      <w:lvlText w:val="•"/>
      <w:lvlJc w:val="left"/>
      <w:pPr>
        <w:ind w:left="1502" w:hanging="401"/>
      </w:pPr>
      <w:rPr>
        <w:rFonts w:hint="default"/>
      </w:rPr>
    </w:lvl>
    <w:lvl w:ilvl="3">
      <w:start w:val="0"/>
      <w:numFmt w:val="bullet"/>
      <w:lvlText w:val="•"/>
      <w:lvlJc w:val="left"/>
      <w:pPr>
        <w:ind w:left="1703" w:hanging="401"/>
      </w:pPr>
      <w:rPr>
        <w:rFonts w:hint="default"/>
      </w:rPr>
    </w:lvl>
    <w:lvl w:ilvl="4">
      <w:start w:val="0"/>
      <w:numFmt w:val="bullet"/>
      <w:lvlText w:val="•"/>
      <w:lvlJc w:val="left"/>
      <w:pPr>
        <w:ind w:left="1904" w:hanging="401"/>
      </w:pPr>
      <w:rPr>
        <w:rFonts w:hint="default"/>
      </w:rPr>
    </w:lvl>
    <w:lvl w:ilvl="5">
      <w:start w:val="0"/>
      <w:numFmt w:val="bullet"/>
      <w:lvlText w:val="•"/>
      <w:lvlJc w:val="left"/>
      <w:pPr>
        <w:ind w:left="2105" w:hanging="401"/>
      </w:pPr>
      <w:rPr>
        <w:rFonts w:hint="default"/>
      </w:rPr>
    </w:lvl>
    <w:lvl w:ilvl="6">
      <w:start w:val="0"/>
      <w:numFmt w:val="bullet"/>
      <w:lvlText w:val="•"/>
      <w:lvlJc w:val="left"/>
      <w:pPr>
        <w:ind w:left="2306" w:hanging="401"/>
      </w:pPr>
      <w:rPr>
        <w:rFonts w:hint="default"/>
      </w:rPr>
    </w:lvl>
    <w:lvl w:ilvl="7">
      <w:start w:val="0"/>
      <w:numFmt w:val="bullet"/>
      <w:lvlText w:val="•"/>
      <w:lvlJc w:val="left"/>
      <w:pPr>
        <w:ind w:left="2507" w:hanging="401"/>
      </w:pPr>
      <w:rPr>
        <w:rFonts w:hint="default"/>
      </w:rPr>
    </w:lvl>
    <w:lvl w:ilvl="8">
      <w:start w:val="0"/>
      <w:numFmt w:val="bullet"/>
      <w:lvlText w:val="•"/>
      <w:lvlJc w:val="left"/>
      <w:pPr>
        <w:ind w:left="2708" w:hanging="401"/>
      </w:pPr>
      <w:rPr>
        <w:rFonts w:hint="default"/>
      </w:rPr>
    </w:lvl>
  </w:abstractNum>
  <w:abstractNum w:abstractNumId="1">
    <w:multiLevelType w:val="hybridMultilevel"/>
    <w:lvl w:ilvl="0">
      <w:start w:val="1"/>
      <w:numFmt w:val="decimal"/>
      <w:lvlText w:val="%1"/>
      <w:lvlJc w:val="left"/>
      <w:pPr>
        <w:ind w:left="1104" w:hanging="404"/>
        <w:jc w:val="left"/>
      </w:pPr>
      <w:rPr>
        <w:rFonts w:hint="default"/>
      </w:rPr>
    </w:lvl>
    <w:lvl w:ilvl="1">
      <w:start w:val="1"/>
      <w:numFmt w:val="decimal"/>
      <w:lvlText w:val="%1.%2"/>
      <w:lvlJc w:val="left"/>
      <w:pPr>
        <w:ind w:left="1104" w:hanging="404"/>
        <w:jc w:val="left"/>
      </w:pPr>
      <w:rPr>
        <w:rFonts w:hint="default" w:ascii="宋体" w:hAnsi="宋体" w:eastAsia="宋体" w:cs="宋体"/>
        <w:spacing w:val="0"/>
        <w:w w:val="99"/>
        <w:sz w:val="20"/>
        <w:szCs w:val="20"/>
      </w:rPr>
    </w:lvl>
    <w:lvl w:ilvl="2">
      <w:start w:val="0"/>
      <w:numFmt w:val="bullet"/>
      <w:lvlText w:val="•"/>
      <w:lvlJc w:val="left"/>
      <w:pPr>
        <w:ind w:left="1502" w:hanging="404"/>
      </w:pPr>
      <w:rPr>
        <w:rFonts w:hint="default"/>
      </w:rPr>
    </w:lvl>
    <w:lvl w:ilvl="3">
      <w:start w:val="0"/>
      <w:numFmt w:val="bullet"/>
      <w:lvlText w:val="•"/>
      <w:lvlJc w:val="left"/>
      <w:pPr>
        <w:ind w:left="1703" w:hanging="404"/>
      </w:pPr>
      <w:rPr>
        <w:rFonts w:hint="default"/>
      </w:rPr>
    </w:lvl>
    <w:lvl w:ilvl="4">
      <w:start w:val="0"/>
      <w:numFmt w:val="bullet"/>
      <w:lvlText w:val="•"/>
      <w:lvlJc w:val="left"/>
      <w:pPr>
        <w:ind w:left="1904" w:hanging="404"/>
      </w:pPr>
      <w:rPr>
        <w:rFonts w:hint="default"/>
      </w:rPr>
    </w:lvl>
    <w:lvl w:ilvl="5">
      <w:start w:val="0"/>
      <w:numFmt w:val="bullet"/>
      <w:lvlText w:val="•"/>
      <w:lvlJc w:val="left"/>
      <w:pPr>
        <w:ind w:left="2105" w:hanging="404"/>
      </w:pPr>
      <w:rPr>
        <w:rFonts w:hint="default"/>
      </w:rPr>
    </w:lvl>
    <w:lvl w:ilvl="6">
      <w:start w:val="0"/>
      <w:numFmt w:val="bullet"/>
      <w:lvlText w:val="•"/>
      <w:lvlJc w:val="left"/>
      <w:pPr>
        <w:ind w:left="2306" w:hanging="404"/>
      </w:pPr>
      <w:rPr>
        <w:rFonts w:hint="default"/>
      </w:rPr>
    </w:lvl>
    <w:lvl w:ilvl="7">
      <w:start w:val="0"/>
      <w:numFmt w:val="bullet"/>
      <w:lvlText w:val="•"/>
      <w:lvlJc w:val="left"/>
      <w:pPr>
        <w:ind w:left="2507" w:hanging="404"/>
      </w:pPr>
      <w:rPr>
        <w:rFonts w:hint="default"/>
      </w:rPr>
    </w:lvl>
    <w:lvl w:ilvl="8">
      <w:start w:val="0"/>
      <w:numFmt w:val="bullet"/>
      <w:lvlText w:val="•"/>
      <w:lvlJc w:val="left"/>
      <w:pPr>
        <w:ind w:left="2708" w:hanging="404"/>
      </w:pPr>
      <w:rPr>
        <w:rFonts w:hint="default"/>
      </w:rPr>
    </w:lvl>
  </w:abstractNum>
  <w:abstractNum w:abstractNumId="0">
    <w:multiLevelType w:val="hybridMultilevel"/>
    <w:lvl w:ilvl="0">
      <w:start w:val="0"/>
      <w:numFmt w:val="bullet"/>
      <w:lvlText w:val=""/>
      <w:lvlJc w:val="left"/>
      <w:pPr>
        <w:ind w:left="444" w:hanging="420"/>
      </w:pPr>
      <w:rPr>
        <w:rFonts w:hint="default" w:ascii="Wingdings" w:hAnsi="Wingdings" w:eastAsia="Wingdings" w:cs="Wingdings"/>
        <w:w w:val="99"/>
        <w:sz w:val="20"/>
        <w:szCs w:val="20"/>
      </w:rPr>
    </w:lvl>
    <w:lvl w:ilvl="1">
      <w:start w:val="0"/>
      <w:numFmt w:val="bullet"/>
      <w:lvlText w:val="•"/>
      <w:lvlJc w:val="left"/>
      <w:pPr>
        <w:ind w:left="1376" w:hanging="420"/>
      </w:pPr>
      <w:rPr>
        <w:rFonts w:hint="default"/>
      </w:rPr>
    </w:lvl>
    <w:lvl w:ilvl="2">
      <w:start w:val="0"/>
      <w:numFmt w:val="bullet"/>
      <w:lvlText w:val="•"/>
      <w:lvlJc w:val="left"/>
      <w:pPr>
        <w:ind w:left="2312" w:hanging="420"/>
      </w:pPr>
      <w:rPr>
        <w:rFonts w:hint="default"/>
      </w:rPr>
    </w:lvl>
    <w:lvl w:ilvl="3">
      <w:start w:val="0"/>
      <w:numFmt w:val="bullet"/>
      <w:lvlText w:val="•"/>
      <w:lvlJc w:val="left"/>
      <w:pPr>
        <w:ind w:left="3248" w:hanging="420"/>
      </w:pPr>
      <w:rPr>
        <w:rFonts w:hint="default"/>
      </w:rPr>
    </w:lvl>
    <w:lvl w:ilvl="4">
      <w:start w:val="0"/>
      <w:numFmt w:val="bullet"/>
      <w:lvlText w:val="•"/>
      <w:lvlJc w:val="left"/>
      <w:pPr>
        <w:ind w:left="4184" w:hanging="420"/>
      </w:pPr>
      <w:rPr>
        <w:rFonts w:hint="default"/>
      </w:rPr>
    </w:lvl>
    <w:lvl w:ilvl="5">
      <w:start w:val="0"/>
      <w:numFmt w:val="bullet"/>
      <w:lvlText w:val="•"/>
      <w:lvlJc w:val="left"/>
      <w:pPr>
        <w:ind w:left="5120" w:hanging="420"/>
      </w:pPr>
      <w:rPr>
        <w:rFonts w:hint="default"/>
      </w:rPr>
    </w:lvl>
    <w:lvl w:ilvl="6">
      <w:start w:val="0"/>
      <w:numFmt w:val="bullet"/>
      <w:lvlText w:val="•"/>
      <w:lvlJc w:val="left"/>
      <w:pPr>
        <w:ind w:left="6056" w:hanging="420"/>
      </w:pPr>
      <w:rPr>
        <w:rFonts w:hint="default"/>
      </w:rPr>
    </w:lvl>
    <w:lvl w:ilvl="7">
      <w:start w:val="0"/>
      <w:numFmt w:val="bullet"/>
      <w:lvlText w:val="•"/>
      <w:lvlJc w:val="left"/>
      <w:pPr>
        <w:ind w:left="6992" w:hanging="420"/>
      </w:pPr>
      <w:rPr>
        <w:rFonts w:hint="default"/>
      </w:rPr>
    </w:lvl>
    <w:lvl w:ilvl="8">
      <w:start w:val="0"/>
      <w:numFmt w:val="bullet"/>
      <w:lvlText w:val="•"/>
      <w:lvlJc w:val="left"/>
      <w:pPr>
        <w:ind w:left="7928"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0"/>
      <w:szCs w:val="20"/>
    </w:rPr>
  </w:style>
  <w:style w:styleId="Heading1" w:type="paragraph">
    <w:name w:val="Heading 1"/>
    <w:basedOn w:val="Normal"/>
    <w:uiPriority w:val="1"/>
    <w:qFormat/>
    <w:pPr>
      <w:jc w:val="center"/>
      <w:outlineLvl w:val="1"/>
    </w:pPr>
    <w:rPr>
      <w:rFonts w:ascii="Microsoft JhengHei" w:hAnsi="Microsoft JhengHei" w:eastAsia="Microsoft JhengHei" w:cs="Microsoft JhengHei"/>
      <w:b/>
      <w:bCs/>
      <w:sz w:val="28"/>
      <w:szCs w:val="28"/>
    </w:rPr>
  </w:style>
  <w:style w:styleId="Heading2" w:type="paragraph">
    <w:name w:val="Heading 2"/>
    <w:basedOn w:val="Normal"/>
    <w:uiPriority w:val="1"/>
    <w:qFormat/>
    <w:pPr>
      <w:ind w:left="219"/>
      <w:outlineLvl w:val="2"/>
    </w:pPr>
    <w:rPr>
      <w:rFonts w:ascii="Microsoft JhengHei" w:hAnsi="Microsoft JhengHei" w:eastAsia="Microsoft JhengHei" w:cs="Microsoft JhengHei"/>
      <w:b/>
      <w:bCs/>
      <w:sz w:val="20"/>
      <w:szCs w:val="20"/>
    </w:rPr>
  </w:style>
  <w:style w:styleId="ListParagraph" w:type="paragraph">
    <w:name w:val="List Paragraph"/>
    <w:basedOn w:val="Normal"/>
    <w:uiPriority w:val="1"/>
    <w:qFormat/>
    <w:pPr>
      <w:spacing w:line="250" w:lineRule="exact"/>
      <w:ind w:left="1061" w:hanging="679"/>
    </w:pPr>
    <w:rPr>
      <w:rFonts w:ascii="宋体" w:hAnsi="宋体" w:eastAsia="宋体" w:cs="宋体"/>
    </w:rPr>
  </w:style>
  <w:style w:styleId="TableParagraph" w:type="paragraph">
    <w:name w:val="Table Paragraph"/>
    <w:basedOn w:val="Normal"/>
    <w:uiPriority w:val="1"/>
    <w:qFormat/>
    <w:pPr>
      <w:ind w:left="105"/>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KimJin</dc:creator>
  <dc:title>????????????????????????????????</dc:title>
  <dcterms:created xsi:type="dcterms:W3CDTF">2018-10-20T03:36:07Z</dcterms:created>
  <dcterms:modified xsi:type="dcterms:W3CDTF">2018-10-20T03:36:07Z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2015-12-22T00:00:00Z</vt:filetime>
  </property>
  <property fmtid="{D5CDD505-2E9C-101B-9397-08002B2CF9AE}" pid="3" name="Creator">
    <vt:lpwstr>PDFCreator Version 0.9.5</vt:lpwstr>
  </property>
  <property fmtid="{D5CDD505-2E9C-101B-9397-08002B2CF9AE}" pid="4" name="LastSaved">
    <vt:filetime>2018-10-19T00:00:00Z</vt:filetime>
  </property>
</Properties>
</file>