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rFonts w:ascii="Times New Roman"/>
          <w:sz w:val="42"/>
        </w:rPr>
      </w:pPr>
    </w:p>
    <w:p>
      <w:pPr>
        <w:spacing w:before="0"/>
        <w:ind w:left="361" w:right="0" w:firstLine="0"/>
        <w:jc w:val="left"/>
        <w:rPr>
          <w:b/>
          <w:sz w:val="32"/>
        </w:rPr>
      </w:pPr>
      <w:r>
        <w:rPr>
          <w:b/>
          <w:color w:val="003E7D"/>
          <w:w w:val="95"/>
          <w:sz w:val="32"/>
        </w:rPr>
        <w:t>中美联泰大都会人寿保险有限公司</w:t>
      </w:r>
    </w:p>
    <w:p>
      <w:pPr>
        <w:spacing w:before="216"/>
        <w:ind w:left="380" w:right="0" w:firstLine="0"/>
        <w:jc w:val="left"/>
        <w:rPr>
          <w:b/>
          <w:sz w:val="28"/>
        </w:rPr>
      </w:pPr>
      <w:r>
        <w:rPr>
          <w:b/>
          <w:w w:val="95"/>
          <w:sz w:val="28"/>
        </w:rPr>
        <w:t>附加都会安泰提前给付长期重大疾病保险条款</w:t>
      </w:r>
    </w:p>
    <w:p>
      <w:pPr>
        <w:spacing w:before="18"/>
        <w:ind w:left="380" w:right="0" w:firstLine="0"/>
        <w:jc w:val="left"/>
        <w:rPr>
          <w:sz w:val="16"/>
        </w:rPr>
      </w:pPr>
      <w:r>
        <w:rPr>
          <w:sz w:val="16"/>
        </w:rPr>
        <w:t>中美联泰大都会人寿保险有限公司（以下简称“我们”）</w:t>
      </w:r>
    </w:p>
    <w:p>
      <w:pPr>
        <w:pStyle w:val="Heading2"/>
      </w:pPr>
      <w:r>
        <w:rPr/>
        <w:br w:type="column"/>
      </w:r>
      <w:r>
        <w:rPr/>
        <w:t>中美联泰大都会</w:t>
      </w:r>
      <w:r>
        <w:rPr>
          <w:rFonts w:ascii="Calibri" w:eastAsia="Calibri"/>
        </w:rPr>
        <w:t>[2016]</w:t>
      </w:r>
      <w:r>
        <w:rPr/>
        <w:t>疾病保险 </w:t>
      </w:r>
      <w:r>
        <w:rPr>
          <w:rFonts w:ascii="Calibri" w:eastAsia="Calibri"/>
        </w:rPr>
        <w:t>032 </w:t>
      </w:r>
      <w:r>
        <w:rPr/>
        <w:t>号</w:t>
      </w:r>
    </w:p>
    <w:p>
      <w:pPr>
        <w:pStyle w:val="BodyText"/>
        <w:spacing w:before="0"/>
        <w:ind w:left="1456"/>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pStyle w:val="BodyText"/>
        <w:spacing w:before="0"/>
        <w:ind w:left="320" w:right="410"/>
        <w:jc w:val="center"/>
      </w:pPr>
      <w:r>
        <w:rPr/>
        <w:t>请扫描以查询验证条款</w:t>
      </w:r>
    </w:p>
    <w:p>
      <w:pPr>
        <w:spacing w:after="0"/>
        <w:jc w:val="center"/>
        <w:sectPr>
          <w:footerReference w:type="default" r:id="rId5"/>
          <w:type w:val="continuous"/>
          <w:pgSz w:w="11910" w:h="16840"/>
          <w:pgMar w:footer="767" w:top="600" w:bottom="960" w:left="880" w:right="720"/>
          <w:cols w:num="2" w:equalWidth="0">
            <w:col w:w="5988" w:space="173"/>
            <w:col w:w="4149"/>
          </w:cols>
        </w:sectPr>
      </w:pPr>
    </w:p>
    <w:p>
      <w:pPr>
        <w:pStyle w:val="BodyText"/>
        <w:spacing w:before="10"/>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6"/>
        <w:ind w:left="0"/>
        <w:rPr>
          <w:sz w:val="22"/>
        </w:rPr>
      </w:pPr>
    </w:p>
    <w:p>
      <w:pPr>
        <w:spacing w:before="14"/>
        <w:ind w:left="1754" w:right="1770" w:firstLine="0"/>
        <w:jc w:val="center"/>
        <w:rPr>
          <w:b/>
          <w:sz w:val="28"/>
        </w:rPr>
      </w:pPr>
      <w:r>
        <w:rPr>
          <w:b/>
          <w:sz w:val="28"/>
        </w:rPr>
        <w:t>阅 读 指 南</w:t>
      </w:r>
    </w:p>
    <w:p>
      <w:pPr>
        <w:pStyle w:val="Heading1"/>
        <w:spacing w:line="460" w:lineRule="auto" w:before="130"/>
        <w:ind w:left="1756" w:right="1770"/>
        <w:jc w:val="center"/>
      </w:pPr>
      <w:r>
        <w:rPr/>
        <w:t>本阅读指南为帮助您理解本条款而设，对保险合同内容的解释以条款为准您拥有的重要权利</w:t>
      </w:r>
    </w:p>
    <w:p>
      <w:pPr>
        <w:spacing w:before="62"/>
        <w:ind w:left="538" w:right="0" w:firstLine="0"/>
        <w:jc w:val="left"/>
        <w:rPr>
          <w:sz w:val="21"/>
        </w:rPr>
      </w:pPr>
      <w:r>
        <w:rPr>
          <w:sz w:val="21"/>
        </w:rPr>
        <w:t>您有权解除保险合同</w:t>
      </w:r>
    </w:p>
    <w:p>
      <w:pPr>
        <w:spacing w:line="355" w:lineRule="auto" w:before="135"/>
        <w:ind w:left="538" w:right="2309" w:firstLine="0"/>
        <w:jc w:val="left"/>
        <w:rPr>
          <w:sz w:val="21"/>
        </w:rPr>
      </w:pPr>
      <w:r>
        <w:rPr>
          <w:spacing w:val="-7"/>
          <w:sz w:val="21"/>
        </w:rPr>
        <w:t>您有权在签收保险合同后 </w:t>
      </w:r>
      <w:r>
        <w:rPr>
          <w:sz w:val="21"/>
        </w:rPr>
        <w:t>15</w:t>
      </w:r>
      <w:r>
        <w:rPr>
          <w:spacing w:val="-8"/>
          <w:sz w:val="21"/>
        </w:rPr>
        <w:t> 日内解除合同，并获取全额退还的保险费..第十一条</w:t>
      </w:r>
      <w:r>
        <w:rPr>
          <w:spacing w:val="-3"/>
          <w:sz w:val="21"/>
        </w:rPr>
        <w:t>您指定的受益人可以享受保险合同项下的保障利益...................第四条</w:t>
      </w:r>
    </w:p>
    <w:p>
      <w:pPr>
        <w:pStyle w:val="Heading1"/>
        <w:spacing w:before="155"/>
        <w:ind w:left="1756" w:right="1770"/>
        <w:jc w:val="center"/>
      </w:pPr>
      <w:r>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在特定情况下，我们不承担保险责任，并作了显著标识，请您注意.....第四、五、十一、十二、十三条解除合同会给您造成一定的损失，请您慎重抉择.....................第十一条</w:t>
      </w:r>
    </w:p>
    <w:p>
      <w:pPr>
        <w:spacing w:before="34"/>
        <w:ind w:left="538" w:right="0" w:firstLine="0"/>
        <w:jc w:val="left"/>
        <w:rPr>
          <w:sz w:val="21"/>
        </w:rPr>
      </w:pPr>
      <w:r>
        <w:rPr>
          <w:sz w:val="21"/>
        </w:rPr>
        <w:t>我们对一些重要术语进行了解释，并作了显著标识，请您注意.........第十一、十三、十四条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467"/>
      </w:tblGrid>
      <w:tr>
        <w:trPr>
          <w:trHeight w:val="437"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60"/>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553" w:type="dxa"/>
            <w:gridSpan w:val="2"/>
          </w:tcPr>
          <w:p>
            <w:pPr>
              <w:pStyle w:val="TableParagraph"/>
              <w:rPr>
                <w:rFonts w:ascii="Times New Roman"/>
                <w:sz w:val="20"/>
              </w:rPr>
            </w:pPr>
          </w:p>
        </w:tc>
      </w:tr>
      <w:tr>
        <w:trPr>
          <w:trHeight w:val="468" w:hRule="atLeast"/>
        </w:trPr>
        <w:tc>
          <w:tcPr>
            <w:tcW w:w="892" w:type="dxa"/>
          </w:tcPr>
          <w:p>
            <w:pPr>
              <w:pStyle w:val="TableParagraph"/>
              <w:spacing w:before="93"/>
              <w:ind w:left="50"/>
              <w:rPr>
                <w:sz w:val="21"/>
              </w:rPr>
            </w:pPr>
            <w:hyperlink w:history="true" w:anchor="_bookmark0">
              <w:r>
                <w:rPr>
                  <w:sz w:val="21"/>
                </w:rPr>
                <w:t>第一条</w:t>
              </w:r>
            </w:hyperlink>
          </w:p>
        </w:tc>
        <w:tc>
          <w:tcPr>
            <w:tcW w:w="2761" w:type="dxa"/>
          </w:tcPr>
          <w:p>
            <w:pPr>
              <w:pStyle w:val="TableParagraph"/>
              <w:spacing w:before="93"/>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3"/>
              <w:ind w:left="143"/>
              <w:rPr>
                <w:sz w:val="21"/>
              </w:rPr>
            </w:pPr>
            <w:hyperlink w:history="true" w:anchor="_bookmark8">
              <w:r>
                <w:rPr>
                  <w:sz w:val="21"/>
                </w:rPr>
                <w:t>第九条</w:t>
              </w:r>
            </w:hyperlink>
          </w:p>
        </w:tc>
        <w:tc>
          <w:tcPr>
            <w:tcW w:w="2467" w:type="dxa"/>
          </w:tcPr>
          <w:p>
            <w:pPr>
              <w:pStyle w:val="TableParagraph"/>
              <w:spacing w:before="93"/>
              <w:ind w:left="108"/>
              <w:rPr>
                <w:sz w:val="21"/>
              </w:rPr>
            </w:pPr>
            <w:hyperlink w:history="true" w:anchor="_bookmark8">
              <w:r>
                <w:rPr>
                  <w:sz w:val="21"/>
                </w:rPr>
                <w:t>诉讼时效</w:t>
              </w:r>
            </w:hyperlink>
          </w:p>
        </w:tc>
      </w:tr>
      <w:tr>
        <w:trPr>
          <w:trHeight w:val="409"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467" w:type="dxa"/>
          </w:tcPr>
          <w:p>
            <w:pPr>
              <w:pStyle w:val="TableParagraph"/>
              <w:spacing w:before="36"/>
              <w:ind w:left="108"/>
              <w:rPr>
                <w:sz w:val="21"/>
              </w:rPr>
            </w:pPr>
            <w:hyperlink w:history="true" w:anchor="_bookmark9">
              <w:r>
                <w:rPr>
                  <w:sz w:val="21"/>
                </w:rPr>
                <w:t>合同终止</w:t>
              </w:r>
            </w:hyperlink>
          </w:p>
        </w:tc>
      </w:tr>
      <w:tr>
        <w:trPr>
          <w:trHeight w:val="409" w:hRule="atLeast"/>
        </w:trPr>
        <w:tc>
          <w:tcPr>
            <w:tcW w:w="892" w:type="dxa"/>
          </w:tcPr>
          <w:p>
            <w:pPr>
              <w:pStyle w:val="TableParagraph"/>
              <w:spacing w:before="34"/>
              <w:ind w:left="50"/>
              <w:rPr>
                <w:sz w:val="21"/>
              </w:rPr>
            </w:pPr>
            <w:hyperlink w:history="true" w:anchor="_bookmark2">
              <w:r>
                <w:rPr>
                  <w:sz w:val="21"/>
                </w:rPr>
                <w:t>第三条</w:t>
              </w:r>
            </w:hyperlink>
          </w:p>
        </w:tc>
        <w:tc>
          <w:tcPr>
            <w:tcW w:w="2761" w:type="dxa"/>
          </w:tcPr>
          <w:p>
            <w:pPr>
              <w:pStyle w:val="TableParagraph"/>
              <w:spacing w:before="34"/>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0">
              <w:r>
                <w:rPr>
                  <w:sz w:val="21"/>
                </w:rPr>
                <w:t>第十一条</w:t>
              </w:r>
            </w:hyperlink>
          </w:p>
        </w:tc>
        <w:tc>
          <w:tcPr>
            <w:tcW w:w="2467" w:type="dxa"/>
          </w:tcPr>
          <w:p>
            <w:pPr>
              <w:pStyle w:val="TableParagraph"/>
              <w:spacing w:before="34"/>
              <w:ind w:left="108"/>
              <w:rPr>
                <w:sz w:val="21"/>
              </w:rPr>
            </w:pPr>
            <w:hyperlink w:history="true" w:anchor="_bookmark10">
              <w:r>
                <w:rPr>
                  <w:sz w:val="21"/>
                </w:rPr>
                <w:t>您解除合同的手续及风险</w:t>
              </w:r>
            </w:hyperlink>
          </w:p>
        </w:tc>
      </w:tr>
      <w:tr>
        <w:trPr>
          <w:trHeight w:val="410" w:hRule="atLeast"/>
        </w:trPr>
        <w:tc>
          <w:tcPr>
            <w:tcW w:w="892" w:type="dxa"/>
          </w:tcPr>
          <w:p>
            <w:pPr>
              <w:pStyle w:val="TableParagraph"/>
              <w:spacing w:before="36"/>
              <w:ind w:left="50"/>
              <w:rPr>
                <w:sz w:val="21"/>
              </w:rPr>
            </w:pPr>
            <w:hyperlink w:history="true" w:anchor="_bookmark3">
              <w:r>
                <w:rPr>
                  <w:sz w:val="21"/>
                </w:rPr>
                <w:t>第四条</w:t>
              </w:r>
            </w:hyperlink>
          </w:p>
        </w:tc>
        <w:tc>
          <w:tcPr>
            <w:tcW w:w="2761" w:type="dxa"/>
          </w:tcPr>
          <w:p>
            <w:pPr>
              <w:pStyle w:val="TableParagraph"/>
              <w:spacing w:before="36"/>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1">
              <w:r>
                <w:rPr>
                  <w:sz w:val="21"/>
                </w:rPr>
                <w:t>第十二条</w:t>
              </w:r>
            </w:hyperlink>
          </w:p>
        </w:tc>
        <w:tc>
          <w:tcPr>
            <w:tcW w:w="2467" w:type="dxa"/>
          </w:tcPr>
          <w:p>
            <w:pPr>
              <w:pStyle w:val="TableParagraph"/>
              <w:spacing w:before="36"/>
              <w:ind w:left="108"/>
              <w:rPr>
                <w:sz w:val="21"/>
              </w:rPr>
            </w:pPr>
            <w:hyperlink w:history="true" w:anchor="_bookmark11">
              <w:r>
                <w:rPr>
                  <w:sz w:val="21"/>
                </w:rPr>
                <w:t>重大疾病的释义</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1">
              <w:r>
                <w:rPr>
                  <w:sz w:val="21"/>
                </w:rPr>
                <w:t>第十三条</w:t>
              </w:r>
            </w:hyperlink>
          </w:p>
        </w:tc>
        <w:tc>
          <w:tcPr>
            <w:tcW w:w="2467" w:type="dxa"/>
          </w:tcPr>
          <w:p>
            <w:pPr>
              <w:pStyle w:val="TableParagraph"/>
              <w:spacing w:before="36"/>
              <w:ind w:left="108"/>
              <w:rPr>
                <w:sz w:val="21"/>
              </w:rPr>
            </w:pPr>
            <w:hyperlink w:history="true" w:anchor="_bookmark11">
              <w:r>
                <w:rPr>
                  <w:sz w:val="21"/>
                </w:rPr>
                <w:t>轻症疾病的释义</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2">
              <w:r>
                <w:rPr>
                  <w:sz w:val="21"/>
                </w:rPr>
                <w:t>第十四条</w:t>
              </w:r>
            </w:hyperlink>
          </w:p>
        </w:tc>
        <w:tc>
          <w:tcPr>
            <w:tcW w:w="2467" w:type="dxa"/>
          </w:tcPr>
          <w:p>
            <w:pPr>
              <w:pStyle w:val="TableParagraph"/>
              <w:spacing w:before="34"/>
              <w:ind w:left="108"/>
              <w:rPr>
                <w:sz w:val="21"/>
              </w:rPr>
            </w:pPr>
            <w:hyperlink w:history="true" w:anchor="_bookmark12">
              <w:r>
                <w:rPr>
                  <w:sz w:val="21"/>
                </w:rPr>
                <w:t>释义</w:t>
              </w:r>
            </w:hyperlink>
          </w:p>
        </w:tc>
      </w:tr>
      <w:tr>
        <w:trPr>
          <w:trHeight w:val="409" w:hRule="atLeast"/>
        </w:trPr>
        <w:tc>
          <w:tcPr>
            <w:tcW w:w="892" w:type="dxa"/>
          </w:tcPr>
          <w:p>
            <w:pPr>
              <w:pStyle w:val="TableParagraph"/>
              <w:spacing w:before="36"/>
              <w:ind w:left="50"/>
              <w:rPr>
                <w:sz w:val="21"/>
              </w:rPr>
            </w:pPr>
            <w:hyperlink w:history="true" w:anchor="_bookmark6">
              <w:r>
                <w:rPr>
                  <w:sz w:val="21"/>
                </w:rPr>
                <w:t>第七条</w:t>
              </w:r>
            </w:hyperlink>
          </w:p>
        </w:tc>
        <w:tc>
          <w:tcPr>
            <w:tcW w:w="2761" w:type="dxa"/>
          </w:tcPr>
          <w:p>
            <w:pPr>
              <w:pStyle w:val="TableParagraph"/>
              <w:spacing w:before="36"/>
              <w:ind w:left="209"/>
              <w:rPr>
                <w:sz w:val="21"/>
              </w:rPr>
            </w:pPr>
            <w:hyperlink w:history="true" w:anchor="_bookmark6">
              <w:r>
                <w:rPr>
                  <w:sz w:val="21"/>
                </w:rPr>
                <w:t>受益人</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rPr>
                <w:rFonts w:ascii="Times New Roman"/>
                <w:sz w:val="20"/>
              </w:rPr>
            </w:pPr>
          </w:p>
        </w:tc>
        <w:tc>
          <w:tcPr>
            <w:tcW w:w="2467" w:type="dxa"/>
          </w:tcPr>
          <w:p>
            <w:pPr>
              <w:pStyle w:val="TableParagraph"/>
              <w:rPr>
                <w:rFonts w:ascii="Times New Roman"/>
                <w:sz w:val="20"/>
              </w:rPr>
            </w:pPr>
          </w:p>
        </w:tc>
      </w:tr>
      <w:tr>
        <w:trPr>
          <w:trHeight w:val="309" w:hRule="atLeast"/>
        </w:trPr>
        <w:tc>
          <w:tcPr>
            <w:tcW w:w="892" w:type="dxa"/>
          </w:tcPr>
          <w:p>
            <w:pPr>
              <w:pStyle w:val="TableParagraph"/>
              <w:spacing w:line="255" w:lineRule="exact" w:before="34"/>
              <w:ind w:left="50"/>
              <w:rPr>
                <w:sz w:val="21"/>
              </w:rPr>
            </w:pPr>
            <w:hyperlink w:history="true" w:anchor="_bookmark7">
              <w:r>
                <w:rPr>
                  <w:sz w:val="21"/>
                </w:rPr>
                <w:t>第八条</w:t>
              </w:r>
            </w:hyperlink>
          </w:p>
        </w:tc>
        <w:tc>
          <w:tcPr>
            <w:tcW w:w="2761" w:type="dxa"/>
          </w:tcPr>
          <w:p>
            <w:pPr>
              <w:pStyle w:val="TableParagraph"/>
              <w:spacing w:line="255" w:lineRule="exact" w:before="34"/>
              <w:ind w:left="209"/>
              <w:rPr>
                <w:sz w:val="21"/>
              </w:rPr>
            </w:pPr>
            <w:hyperlink w:history="true" w:anchor="_bookmark7">
              <w:r>
                <w:rPr>
                  <w:sz w:val="21"/>
                </w:rPr>
                <w:t>保险金申请</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rPr>
                <w:rFonts w:ascii="Times New Roman"/>
                <w:sz w:val="20"/>
              </w:rPr>
            </w:pPr>
          </w:p>
        </w:tc>
        <w:tc>
          <w:tcPr>
            <w:tcW w:w="2467" w:type="dxa"/>
          </w:tcPr>
          <w:p>
            <w:pPr>
              <w:pStyle w:val="TableParagraph"/>
              <w:rPr>
                <w:rFonts w:ascii="Times New Roman"/>
                <w:sz w:val="20"/>
              </w:rPr>
            </w:pPr>
          </w:p>
        </w:tc>
      </w:tr>
    </w:tbl>
    <w:p>
      <w:pPr>
        <w:spacing w:after="0"/>
        <w:rPr>
          <w:rFonts w:ascii="Times New Roman"/>
          <w:sz w:val="20"/>
        </w:rPr>
        <w:sectPr>
          <w:type w:val="continuous"/>
          <w:pgSz w:w="11910" w:h="16840"/>
          <w:pgMar w:top="600" w:bottom="96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05" w:val="left" w:leader="none"/>
          <w:tab w:pos="1106" w:val="left" w:leader="none"/>
        </w:tabs>
        <w:spacing w:line="240" w:lineRule="auto" w:before="139" w:after="0"/>
        <w:ind w:left="1105" w:right="0" w:hanging="567"/>
        <w:jc w:val="left"/>
        <w:rPr>
          <w:sz w:val="18"/>
        </w:rPr>
      </w:pPr>
      <w:r>
        <w:rPr>
          <w:sz w:val="18"/>
        </w:rPr>
        <w:t>本《附加都会安泰提前给付长期重大疾病保险》合同（以下简称“本附加合同”）必须附加于《都会安泰两全保险</w:t>
      </w:r>
    </w:p>
    <w:p>
      <w:pPr>
        <w:pStyle w:val="BodyText"/>
        <w:spacing w:before="104"/>
        <w:ind w:left="1189"/>
      </w:pPr>
      <w:r>
        <w:rPr/>
        <w:t>（分红型）》。</w:t>
      </w:r>
    </w:p>
    <w:p>
      <w:pPr>
        <w:pStyle w:val="ListParagraph"/>
        <w:numPr>
          <w:ilvl w:val="1"/>
          <w:numId w:val="1"/>
        </w:numPr>
        <w:tabs>
          <w:tab w:pos="1105" w:val="left" w:leader="none"/>
          <w:tab w:pos="1106" w:val="left" w:leader="none"/>
        </w:tabs>
        <w:spacing w:line="240" w:lineRule="auto" w:before="117" w:after="0"/>
        <w:ind w:left="1105" w:right="0" w:hanging="567"/>
        <w:jc w:val="left"/>
        <w:rPr>
          <w:sz w:val="18"/>
        </w:rPr>
      </w:pPr>
      <w:r>
        <w:rPr>
          <w:sz w:val="18"/>
        </w:rPr>
        <w:t>主合同的相关条款也适用于本附加合同，若主合同与本附加合同条款互有冲突，则以本附加合同的条款为准。</w:t>
      </w:r>
    </w:p>
    <w:p>
      <w:pPr>
        <w:pStyle w:val="Heading1"/>
      </w:pPr>
      <w:bookmarkStart w:name="_bookmark1" w:id="2"/>
      <w:bookmarkEnd w:id="2"/>
      <w:r>
        <w:rPr>
          <w:b w:val="0"/>
        </w:rPr>
      </w:r>
      <w:r>
        <w:rPr/>
        <w:t>第二条 保险合同成立与生效</w:t>
      </w:r>
    </w:p>
    <w:p>
      <w:pPr>
        <w:pStyle w:val="BodyText"/>
        <w:tabs>
          <w:tab w:pos="1105" w:val="left" w:leader="none"/>
        </w:tabs>
        <w:spacing w:before="139"/>
        <w:ind w:left="543"/>
      </w:pPr>
      <w:r>
        <w:rPr>
          <w:rFonts w:ascii="Arial" w:eastAsia="Arial"/>
        </w:rPr>
        <w:t>2.1</w:t>
        <w:tab/>
      </w:r>
      <w:r>
        <w:rPr>
          <w:spacing w:val="-1"/>
        </w:rPr>
        <w:t>本附加合同必须与主合同同时投保，主合同的保险合同成立与生效条款适用本附加合同。</w:t>
      </w:r>
    </w:p>
    <w:p>
      <w:pPr>
        <w:pStyle w:val="Heading1"/>
      </w:pPr>
      <w:bookmarkStart w:name="_bookmark2" w:id="3"/>
      <w:bookmarkEnd w:id="3"/>
      <w:r>
        <w:rPr>
          <w:b w:val="0"/>
        </w:rPr>
      </w:r>
      <w:r>
        <w:rPr/>
        <w:t>第三条 承保范围</w:t>
      </w:r>
    </w:p>
    <w:p>
      <w:pPr>
        <w:pStyle w:val="BodyText"/>
        <w:tabs>
          <w:tab w:pos="1105" w:val="left" w:leader="none"/>
        </w:tabs>
        <w:spacing w:before="141"/>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65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2"/>
        </w:numPr>
        <w:tabs>
          <w:tab w:pos="1105" w:val="left" w:leader="none"/>
          <w:tab w:pos="1106" w:val="left" w:leader="none"/>
        </w:tabs>
        <w:spacing w:line="240" w:lineRule="auto" w:before="139" w:after="0"/>
        <w:ind w:left="1105" w:right="0" w:hanging="547"/>
        <w:jc w:val="left"/>
        <w:rPr>
          <w:sz w:val="18"/>
        </w:rPr>
      </w:pPr>
      <w:r>
        <w:rPr>
          <w:sz w:val="18"/>
        </w:rPr>
        <w:t>无息返还保费保险金</w:t>
      </w:r>
    </w:p>
    <w:p>
      <w:pPr>
        <w:pStyle w:val="BodyText"/>
        <w:spacing w:line="348" w:lineRule="auto"/>
        <w:ind w:left="1102" w:right="110"/>
        <w:jc w:val="both"/>
      </w:pPr>
      <w:r>
        <w:rPr/>
        <w:t>在本附加合同保险期间内，若被保险人于</w:t>
      </w:r>
      <w:r>
        <w:rPr>
          <w:b/>
        </w:rPr>
        <w:t>等待期</w:t>
      </w:r>
      <w:r>
        <w:rPr/>
        <w:t>（</w:t>
      </w:r>
      <w:r>
        <w:rPr>
          <w:rFonts w:ascii="Arial" w:eastAsia="Arial"/>
        </w:rPr>
        <w:t>180 </w:t>
      </w:r>
      <w:r>
        <w:rPr/>
        <w:t>天）（见释义）内因疾病导致被保险人</w:t>
      </w:r>
      <w:r>
        <w:rPr>
          <w:b/>
        </w:rPr>
        <w:t>首次发病</w:t>
      </w:r>
      <w:r>
        <w:rPr/>
        <w:t>（见释义） 或于等待期内经</w:t>
      </w:r>
      <w:r>
        <w:rPr>
          <w:b/>
        </w:rPr>
        <w:t>专科医生</w:t>
      </w:r>
      <w:r>
        <w:rPr/>
        <w:t>（见释义）首次确诊患有本附加合同约定的重大疾病中一项或多项，我们将无息返还《都会安泰两全保险（分红型）》及本附加合同所交保险费的总和，主合同及本附加合同同时终止。</w:t>
      </w:r>
    </w:p>
    <w:p>
      <w:pPr>
        <w:pStyle w:val="ListParagraph"/>
        <w:numPr>
          <w:ilvl w:val="1"/>
          <w:numId w:val="2"/>
        </w:numPr>
        <w:tabs>
          <w:tab w:pos="1105" w:val="left" w:leader="none"/>
          <w:tab w:pos="1106" w:val="left" w:leader="none"/>
        </w:tabs>
        <w:spacing w:line="240" w:lineRule="auto" w:before="36" w:after="0"/>
        <w:ind w:left="1105" w:right="0" w:hanging="547"/>
        <w:jc w:val="left"/>
        <w:rPr>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BodyText"/>
        <w:spacing w:line="357" w:lineRule="auto"/>
        <w:ind w:left="1102" w:right="100"/>
        <w:jc w:val="both"/>
      </w:pPr>
      <w:r>
        <w:rPr/>
        <w:t>在本附加合同保险期间内，若被保险人因</w:t>
      </w:r>
      <w:r>
        <w:rPr>
          <w:b/>
        </w:rPr>
        <w:t>意外伤害事故</w:t>
      </w:r>
      <w:r>
        <w:rPr/>
        <w:t>（见释义）或于等待期后因疾病导致被保险人</w:t>
      </w:r>
      <w:r>
        <w:rPr>
          <w:b/>
        </w:rPr>
        <w:t>首次发病</w:t>
      </w:r>
      <w:r>
        <w:rPr/>
        <w:t>并经</w:t>
      </w:r>
      <w:r>
        <w:rPr>
          <w:b/>
        </w:rPr>
        <w:t>专科医生</w:t>
      </w:r>
      <w:r>
        <w:rPr/>
        <w:t>首次确诊患有本附加合同第十二条约定的重大疾病中一项或多项，我们将按本附加合同的保险金额给付重大疾病保险金，主合同及本附加合同同时终止。</w:t>
      </w:r>
    </w:p>
    <w:p>
      <w:pPr>
        <w:pStyle w:val="ListParagraph"/>
        <w:numPr>
          <w:ilvl w:val="2"/>
          <w:numId w:val="3"/>
        </w:numPr>
        <w:tabs>
          <w:tab w:pos="1552" w:val="left" w:leader="none"/>
        </w:tabs>
        <w:spacing w:line="240" w:lineRule="auto" w:before="29" w:after="0"/>
        <w:ind w:left="1551" w:right="0" w:hanging="480"/>
        <w:jc w:val="left"/>
        <w:rPr>
          <w:sz w:val="18"/>
        </w:rPr>
      </w:pPr>
      <w:r>
        <w:rPr>
          <w:sz w:val="18"/>
        </w:rPr>
        <w:t>额外给付保险金</w:t>
      </w:r>
    </w:p>
    <w:p>
      <w:pPr>
        <w:pStyle w:val="BodyText"/>
        <w:spacing w:line="348" w:lineRule="auto" w:before="107"/>
        <w:ind w:left="1102" w:right="105"/>
        <w:jc w:val="both"/>
      </w:pPr>
      <w:r>
        <w:rPr/>
        <w:t>在本附加合同保险期间内，若被保险人因</w:t>
      </w:r>
      <w:r>
        <w:rPr>
          <w:b/>
        </w:rPr>
        <w:t>意外伤害事故</w:t>
      </w:r>
      <w:r>
        <w:rPr/>
        <w:t>或于</w:t>
      </w:r>
      <w:r>
        <w:rPr>
          <w:b/>
        </w:rPr>
        <w:t>等待期</w:t>
      </w:r>
      <w:r>
        <w:rPr/>
        <w:t>（</w:t>
      </w:r>
      <w:r>
        <w:rPr>
          <w:rFonts w:ascii="Arial" w:eastAsia="Arial"/>
        </w:rPr>
        <w:t>180 </w:t>
      </w:r>
      <w:r>
        <w:rPr/>
        <w:t>天）后因疾病导致被保险人</w:t>
      </w:r>
      <w:r>
        <w:rPr>
          <w:b/>
        </w:rPr>
        <w:t>首次发病</w:t>
      </w:r>
      <w:r>
        <w:rPr/>
        <w:t>并经</w:t>
      </w:r>
      <w:r>
        <w:rPr>
          <w:b/>
        </w:rPr>
        <w:t>专科医生</w:t>
      </w:r>
      <w:r>
        <w:rPr/>
        <w:t>首次确诊患有本附加合同第十三条约定的</w:t>
      </w:r>
      <w:r>
        <w:rPr>
          <w:b/>
        </w:rPr>
        <w:t>轻症疾病</w:t>
      </w:r>
      <w:r>
        <w:rPr/>
        <w:t>中的一项或多项，我们将按本附加合同所载的基本保险金额的 </w:t>
      </w:r>
      <w:r>
        <w:rPr>
          <w:rFonts w:ascii="Arial" w:eastAsia="Arial"/>
        </w:rPr>
        <w:t>20%</w:t>
      </w:r>
      <w:r>
        <w:rPr/>
        <w:t>给付额外给付保险金，本项保险责任即终止，此后我们将不再承担给付额外给付保险金的责任。</w:t>
      </w:r>
    </w:p>
    <w:p>
      <w:pPr>
        <w:pStyle w:val="Heading3"/>
        <w:numPr>
          <w:ilvl w:val="1"/>
          <w:numId w:val="2"/>
        </w:numPr>
        <w:tabs>
          <w:tab w:pos="1105" w:val="left" w:leader="none"/>
          <w:tab w:pos="1106" w:val="left" w:leader="none"/>
        </w:tabs>
        <w:spacing w:line="240" w:lineRule="auto" w:before="17" w:after="0"/>
        <w:ind w:left="1105" w:right="0" w:hanging="547"/>
        <w:jc w:val="left"/>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4"/>
        </w:numPr>
        <w:tabs>
          <w:tab w:pos="1105" w:val="left" w:leader="none"/>
          <w:tab w:pos="1106" w:val="left" w:leader="none"/>
        </w:tabs>
        <w:spacing w:line="340" w:lineRule="auto" w:before="139" w:after="0"/>
        <w:ind w:left="1047" w:right="107" w:hanging="504"/>
        <w:jc w:val="left"/>
        <w:rPr>
          <w:b/>
          <w:sz w:val="18"/>
        </w:rPr>
      </w:pPr>
      <w:r>
        <w:rPr>
          <w:b/>
          <w:sz w:val="18"/>
        </w:rPr>
        <w:t>因下列情形之一，导致被保险人发生疾病、达到疾病状态、进行手术或身故的，或发生事故时存在以下任何情况之</w:t>
      </w:r>
      <w:r>
        <w:rPr>
          <w:b/>
          <w:w w:val="95"/>
          <w:sz w:val="18"/>
        </w:rPr>
        <w:t>一的，我们不承担保险责任：</w:t>
      </w:r>
    </w:p>
    <w:p>
      <w:pPr>
        <w:pStyle w:val="ListParagraph"/>
        <w:numPr>
          <w:ilvl w:val="2"/>
          <w:numId w:val="4"/>
        </w:numPr>
        <w:tabs>
          <w:tab w:pos="1672" w:val="left" w:leader="none"/>
        </w:tabs>
        <w:spacing w:line="240" w:lineRule="auto" w:before="41" w:after="0"/>
        <w:ind w:left="1671" w:right="0" w:hanging="569"/>
        <w:jc w:val="left"/>
        <w:rPr>
          <w:b/>
          <w:sz w:val="18"/>
        </w:rPr>
      </w:pPr>
      <w:r>
        <w:rPr>
          <w:b/>
          <w:w w:val="95"/>
          <w:sz w:val="18"/>
        </w:rPr>
        <w:t>您对被保险人的故意杀害、故意伤害；</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被保险人主动吸食或注射毒品</w:t>
      </w:r>
      <w:r>
        <w:rPr>
          <w:w w:val="95"/>
          <w:sz w:val="18"/>
        </w:rPr>
        <w:t>（见释义）</w:t>
      </w:r>
      <w:r>
        <w:rPr>
          <w:b/>
          <w:w w:val="95"/>
          <w:sz w:val="18"/>
        </w:rPr>
        <w:t>；</w:t>
      </w:r>
    </w:p>
    <w:p>
      <w:pPr>
        <w:pStyle w:val="ListParagraph"/>
        <w:numPr>
          <w:ilvl w:val="2"/>
          <w:numId w:val="4"/>
        </w:numPr>
        <w:tabs>
          <w:tab w:pos="1672" w:val="left" w:leader="none"/>
        </w:tabs>
        <w:spacing w:line="340" w:lineRule="auto" w:before="106" w:after="0"/>
        <w:ind w:left="1671" w:right="102" w:hanging="566"/>
        <w:jc w:val="left"/>
        <w:rPr>
          <w:b/>
          <w:sz w:val="18"/>
        </w:rPr>
      </w:pPr>
      <w:r>
        <w:rPr>
          <w:b/>
          <w:sz w:val="18"/>
        </w:rPr>
        <w:t>被保险人酒后驾驶</w:t>
      </w:r>
      <w:r>
        <w:rPr>
          <w:sz w:val="18"/>
        </w:rPr>
        <w:t>（见释义）</w:t>
      </w:r>
      <w:r>
        <w:rPr>
          <w:b/>
          <w:sz w:val="18"/>
        </w:rPr>
        <w:t>，无合法有效驾驶证驾驶</w:t>
      </w:r>
      <w:r>
        <w:rPr>
          <w:sz w:val="18"/>
        </w:rPr>
        <w:t>（见释义）</w:t>
      </w:r>
      <w:r>
        <w:rPr>
          <w:b/>
          <w:sz w:val="18"/>
        </w:rPr>
        <w:t>，或驾驶无有效行驶证</w:t>
      </w:r>
      <w:r>
        <w:rPr>
          <w:sz w:val="18"/>
        </w:rPr>
        <w:t>（见释义）</w:t>
      </w:r>
      <w:r>
        <w:rPr>
          <w:b/>
          <w:sz w:val="18"/>
        </w:rPr>
        <w:t>的机动</w:t>
      </w:r>
      <w:r>
        <w:rPr>
          <w:b/>
          <w:w w:val="95"/>
          <w:sz w:val="18"/>
        </w:rPr>
        <w:t>车；</w:t>
      </w:r>
    </w:p>
    <w:p>
      <w:pPr>
        <w:pStyle w:val="ListParagraph"/>
        <w:numPr>
          <w:ilvl w:val="2"/>
          <w:numId w:val="4"/>
        </w:numPr>
        <w:tabs>
          <w:tab w:pos="1672" w:val="left" w:leader="none"/>
        </w:tabs>
        <w:spacing w:line="240" w:lineRule="auto" w:before="41" w:after="0"/>
        <w:ind w:left="1671" w:right="0" w:hanging="569"/>
        <w:jc w:val="left"/>
        <w:rPr>
          <w:b/>
          <w:sz w:val="18"/>
        </w:rPr>
      </w:pPr>
      <w:r>
        <w:rPr>
          <w:b/>
          <w:w w:val="95"/>
          <w:sz w:val="18"/>
        </w:rPr>
        <w:t>战争</w:t>
      </w:r>
      <w:r>
        <w:rPr>
          <w:w w:val="95"/>
          <w:sz w:val="18"/>
        </w:rPr>
        <w:t>（见释义）</w:t>
      </w:r>
      <w:r>
        <w:rPr>
          <w:b/>
          <w:w w:val="95"/>
          <w:sz w:val="18"/>
        </w:rPr>
        <w:t>、军事冲突、暴乱或武装叛乱；</w:t>
      </w:r>
    </w:p>
    <w:p>
      <w:pPr>
        <w:pStyle w:val="Heading3"/>
        <w:numPr>
          <w:ilvl w:val="2"/>
          <w:numId w:val="4"/>
        </w:numPr>
        <w:tabs>
          <w:tab w:pos="1672" w:val="left" w:leader="none"/>
        </w:tabs>
        <w:spacing w:line="240" w:lineRule="auto" w:before="107" w:after="0"/>
        <w:ind w:left="1671" w:right="0" w:hanging="566"/>
        <w:jc w:val="left"/>
      </w:pPr>
      <w:r>
        <w:rPr>
          <w:w w:val="95"/>
        </w:rPr>
        <w:t>核爆炸、核辐射或核污染；</w:t>
      </w:r>
    </w:p>
    <w:p>
      <w:pPr>
        <w:pStyle w:val="ListParagraph"/>
        <w:numPr>
          <w:ilvl w:val="2"/>
          <w:numId w:val="4"/>
        </w:numPr>
        <w:tabs>
          <w:tab w:pos="1672" w:val="left" w:leader="none"/>
        </w:tabs>
        <w:spacing w:line="340" w:lineRule="auto" w:before="107" w:after="0"/>
        <w:ind w:left="1671" w:right="104" w:hanging="566"/>
        <w:jc w:val="left"/>
        <w:rPr>
          <w:b/>
          <w:sz w:val="18"/>
        </w:rPr>
      </w:pPr>
      <w:r>
        <w:rPr>
          <w:b/>
          <w:spacing w:val="2"/>
          <w:sz w:val="18"/>
        </w:rPr>
        <w:t>被保险人感染艾滋病病毒或患艾滋病</w:t>
      </w:r>
      <w:r>
        <w:rPr>
          <w:spacing w:val="2"/>
          <w:sz w:val="18"/>
        </w:rPr>
        <w:t>（见释义</w:t>
      </w:r>
      <w:r>
        <w:rPr>
          <w:spacing w:val="3"/>
          <w:sz w:val="18"/>
        </w:rPr>
        <w:t>）</w:t>
      </w:r>
      <w:r>
        <w:rPr>
          <w:b/>
          <w:spacing w:val="3"/>
          <w:sz w:val="18"/>
        </w:rPr>
        <w:t>（</w:t>
      </w:r>
      <w:r>
        <w:rPr>
          <w:b/>
          <w:spacing w:val="2"/>
          <w:sz w:val="18"/>
        </w:rPr>
        <w:t>急诊和医疗服务导致的艾滋病病毒感染（见重大疾病释</w:t>
      </w:r>
      <w:r>
        <w:rPr>
          <w:b/>
          <w:w w:val="95"/>
          <w:sz w:val="18"/>
        </w:rPr>
        <w:t>义）、由输血而感染艾滋病病毒（见重大疾病释义）除外）；</w:t>
      </w:r>
    </w:p>
    <w:p>
      <w:pPr>
        <w:pStyle w:val="ListParagraph"/>
        <w:numPr>
          <w:ilvl w:val="2"/>
          <w:numId w:val="4"/>
        </w:numPr>
        <w:tabs>
          <w:tab w:pos="1672" w:val="left" w:leader="none"/>
        </w:tabs>
        <w:spacing w:line="240" w:lineRule="auto" w:before="41" w:after="0"/>
        <w:ind w:left="1671" w:right="0" w:hanging="566"/>
        <w:jc w:val="left"/>
        <w:rPr>
          <w:sz w:val="18"/>
        </w:rPr>
      </w:pPr>
      <w:r>
        <w:rPr>
          <w:b/>
          <w:w w:val="95"/>
          <w:sz w:val="18"/>
        </w:rPr>
        <w:t>遗传性疾病</w:t>
      </w:r>
      <w:r>
        <w:rPr>
          <w:w w:val="95"/>
          <w:sz w:val="18"/>
        </w:rPr>
        <w:t>（见释义）、</w:t>
      </w:r>
      <w:r>
        <w:rPr>
          <w:b/>
          <w:w w:val="95"/>
          <w:sz w:val="18"/>
        </w:rPr>
        <w:t>先天性畸形、变形或染色体异常</w:t>
      </w:r>
      <w:r>
        <w:rPr>
          <w:spacing w:val="-3"/>
          <w:w w:val="95"/>
          <w:sz w:val="18"/>
        </w:rPr>
        <w:t>（</w:t>
      </w:r>
      <w:r>
        <w:rPr>
          <w:w w:val="95"/>
          <w:sz w:val="18"/>
        </w:rPr>
        <w:t>见释义）。</w:t>
      </w:r>
    </w:p>
    <w:p>
      <w:pPr>
        <w:pStyle w:val="ListParagraph"/>
        <w:numPr>
          <w:ilvl w:val="1"/>
          <w:numId w:val="4"/>
        </w:numPr>
        <w:tabs>
          <w:tab w:pos="1105" w:val="left" w:leader="none"/>
          <w:tab w:pos="1106" w:val="left" w:leader="none"/>
        </w:tabs>
        <w:spacing w:line="340" w:lineRule="auto" w:before="106" w:after="0"/>
        <w:ind w:left="1105" w:right="105" w:hanging="567"/>
        <w:jc w:val="left"/>
        <w:rPr>
          <w:sz w:val="18"/>
        </w:rPr>
      </w:pPr>
      <w:r>
        <w:rPr>
          <w:spacing w:val="-3"/>
          <w:sz w:val="18"/>
        </w:rPr>
        <w:t>发生上述 </w:t>
      </w:r>
      <w:r>
        <w:rPr>
          <w:rFonts w:ascii="Arial" w:eastAsia="Arial"/>
          <w:sz w:val="18"/>
        </w:rPr>
        <w:t>5.1.1</w:t>
      </w:r>
      <w:r>
        <w:rPr>
          <w:rFonts w:ascii="Arial" w:eastAsia="Arial"/>
          <w:spacing w:val="16"/>
          <w:sz w:val="18"/>
        </w:rPr>
        <w:t> </w:t>
      </w:r>
      <w:r>
        <w:rPr>
          <w:spacing w:val="-2"/>
          <w:sz w:val="18"/>
        </w:rPr>
        <w:t>情形导致被保险人发生疾病、达到疾病状态、进行手术或身故的，本附加合同终止，您已交足 </w:t>
      </w:r>
      <w:r>
        <w:rPr>
          <w:rFonts w:ascii="Arial" w:eastAsia="Arial"/>
          <w:sz w:val="18"/>
        </w:rPr>
        <w:t>2</w:t>
      </w:r>
      <w:r>
        <w:rPr>
          <w:rFonts w:ascii="Arial" w:eastAsia="Arial"/>
          <w:spacing w:val="15"/>
          <w:sz w:val="18"/>
        </w:rPr>
        <w:t> </w:t>
      </w:r>
      <w:r>
        <w:rPr>
          <w:sz w:val="18"/>
        </w:rPr>
        <w:t>年</w:t>
      </w:r>
      <w:r>
        <w:rPr>
          <w:w w:val="95"/>
          <w:sz w:val="18"/>
        </w:rPr>
        <w:t>以上保险费的，我们按照相关法律规定向被保险人的继承人退还本主合同及本附加合同的</w:t>
      </w:r>
      <w:r>
        <w:rPr>
          <w:b/>
          <w:w w:val="95"/>
          <w:sz w:val="18"/>
        </w:rPr>
        <w:t>现金价值</w:t>
      </w:r>
      <w:r>
        <w:rPr>
          <w:w w:val="95"/>
          <w:sz w:val="18"/>
        </w:rPr>
        <w:t>（见释义）。</w:t>
      </w:r>
    </w:p>
    <w:p>
      <w:pPr>
        <w:spacing w:after="0" w:line="340" w:lineRule="auto"/>
        <w:jc w:val="left"/>
        <w:rPr>
          <w:sz w:val="18"/>
        </w:rPr>
        <w:sectPr>
          <w:headerReference w:type="default" r:id="rId7"/>
          <w:pgSz w:w="11910" w:h="16840"/>
          <w:pgMar w:header="672" w:footer="767" w:top="860" w:bottom="960" w:left="880" w:right="740"/>
        </w:sectPr>
      </w:pPr>
    </w:p>
    <w:p>
      <w:pPr>
        <w:pStyle w:val="BodyText"/>
        <w:spacing w:before="9"/>
        <w:ind w:left="0"/>
        <w:rPr>
          <w:sz w:val="13"/>
        </w:rPr>
      </w:pPr>
    </w:p>
    <w:p>
      <w:pPr>
        <w:pStyle w:val="ListParagraph"/>
        <w:numPr>
          <w:ilvl w:val="1"/>
          <w:numId w:val="4"/>
        </w:numPr>
        <w:tabs>
          <w:tab w:pos="1105" w:val="left" w:leader="none"/>
          <w:tab w:pos="1106" w:val="left" w:leader="none"/>
        </w:tabs>
        <w:spacing w:line="340" w:lineRule="auto" w:before="53" w:after="0"/>
        <w:ind w:left="1105" w:right="108" w:hanging="567"/>
        <w:jc w:val="left"/>
        <w:rPr>
          <w:sz w:val="18"/>
        </w:rPr>
      </w:pPr>
      <w:r>
        <w:rPr>
          <w:spacing w:val="1"/>
          <w:sz w:val="18"/>
        </w:rPr>
        <w:t>发生上述除 </w:t>
      </w:r>
      <w:r>
        <w:rPr>
          <w:rFonts w:ascii="Arial" w:eastAsia="Arial"/>
          <w:sz w:val="18"/>
        </w:rPr>
        <w:t>5.1.1</w:t>
      </w:r>
      <w:r>
        <w:rPr>
          <w:rFonts w:ascii="Arial" w:eastAsia="Arial"/>
          <w:spacing w:val="45"/>
          <w:sz w:val="18"/>
        </w:rPr>
        <w:t> </w:t>
      </w:r>
      <w:r>
        <w:rPr>
          <w:sz w:val="18"/>
        </w:rPr>
        <w:t>外其他情形导致被保险人发生疾病、达到疾病状态、进行手术或身故的，本附加合同终止，我们</w:t>
      </w:r>
      <w:r>
        <w:rPr>
          <w:w w:val="95"/>
          <w:sz w:val="18"/>
        </w:rPr>
        <w:t>向您退还本主合同及本附加合同的</w:t>
      </w:r>
      <w:r>
        <w:rPr>
          <w:b/>
          <w:w w:val="95"/>
          <w:sz w:val="18"/>
        </w:rPr>
        <w:t>现金价值</w:t>
      </w:r>
      <w:r>
        <w:rPr>
          <w:w w:val="95"/>
          <w:sz w:val="18"/>
        </w:rPr>
        <w:t>。</w:t>
      </w:r>
    </w:p>
    <w:p>
      <w:pPr>
        <w:pStyle w:val="Heading1"/>
        <w:spacing w:before="40"/>
      </w:pPr>
      <w:bookmarkStart w:name="_bookmark5" w:id="6"/>
      <w:bookmarkEnd w:id="6"/>
      <w:r>
        <w:rPr>
          <w:b w:val="0"/>
        </w:rPr>
      </w:r>
      <w:r>
        <w:rPr/>
        <w:t>第六条 保险期间</w:t>
      </w:r>
    </w:p>
    <w:p>
      <w:pPr>
        <w:pStyle w:val="BodyText"/>
        <w:tabs>
          <w:tab w:pos="1105"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受益人</w:t>
      </w:r>
    </w:p>
    <w:p>
      <w:pPr>
        <w:pStyle w:val="ListParagraph"/>
        <w:numPr>
          <w:ilvl w:val="1"/>
          <w:numId w:val="5"/>
        </w:numPr>
        <w:tabs>
          <w:tab w:pos="1105" w:val="left" w:leader="none"/>
          <w:tab w:pos="1106" w:val="left" w:leader="none"/>
        </w:tabs>
        <w:spacing w:line="240" w:lineRule="auto" w:before="139" w:after="0"/>
        <w:ind w:left="1105" w:right="0" w:hanging="567"/>
        <w:jc w:val="left"/>
        <w:rPr>
          <w:sz w:val="18"/>
        </w:rPr>
      </w:pPr>
      <w:r>
        <w:rPr>
          <w:spacing w:val="-1"/>
          <w:sz w:val="18"/>
        </w:rPr>
        <w:t>除本附加合同另有约定外，本附加合同各项保险金的受益人均为被保险人本人。</w:t>
      </w:r>
    </w:p>
    <w:p>
      <w:pPr>
        <w:pStyle w:val="ListParagraph"/>
        <w:numPr>
          <w:ilvl w:val="1"/>
          <w:numId w:val="5"/>
        </w:numPr>
        <w:tabs>
          <w:tab w:pos="1105" w:val="left" w:leader="none"/>
          <w:tab w:pos="1106" w:val="left" w:leader="none"/>
        </w:tabs>
        <w:spacing w:line="240" w:lineRule="auto" w:before="106" w:after="0"/>
        <w:ind w:left="1105" w:right="0" w:hanging="567"/>
        <w:jc w:val="left"/>
        <w:rPr>
          <w:sz w:val="18"/>
        </w:rPr>
      </w:pPr>
      <w:r>
        <w:rPr>
          <w:sz w:val="18"/>
        </w:rPr>
        <w:t>受益人为多人时，可以确定受益顺序和受益份额；如果没有确定份额，各受益人按照相等份额享有受益权。</w:t>
      </w:r>
    </w:p>
    <w:p>
      <w:pPr>
        <w:pStyle w:val="ListParagraph"/>
        <w:numPr>
          <w:ilvl w:val="1"/>
          <w:numId w:val="5"/>
        </w:numPr>
        <w:tabs>
          <w:tab w:pos="1105" w:val="left" w:leader="none"/>
          <w:tab w:pos="1106" w:val="left" w:leader="none"/>
        </w:tabs>
        <w:spacing w:line="240" w:lineRule="auto" w:before="106" w:after="0"/>
        <w:ind w:left="1105" w:right="0" w:hanging="567"/>
        <w:jc w:val="left"/>
        <w:rPr>
          <w:sz w:val="18"/>
        </w:rPr>
      </w:pPr>
      <w:r>
        <w:rPr>
          <w:sz w:val="18"/>
        </w:rPr>
        <w:t>被保险人为无民事行为能力人或限制民事行为能力人的，可以由其监护人指定受益人。</w:t>
      </w:r>
    </w:p>
    <w:p>
      <w:pPr>
        <w:pStyle w:val="ListParagraph"/>
        <w:numPr>
          <w:ilvl w:val="1"/>
          <w:numId w:val="5"/>
        </w:numPr>
        <w:tabs>
          <w:tab w:pos="1105" w:val="left" w:leader="none"/>
          <w:tab w:pos="1106" w:val="left" w:leader="none"/>
        </w:tabs>
        <w:spacing w:line="340" w:lineRule="auto" w:before="106" w:after="0"/>
        <w:ind w:left="1105" w:right="108" w:hanging="567"/>
        <w:jc w:val="left"/>
        <w:rPr>
          <w:sz w:val="18"/>
        </w:rPr>
      </w:pPr>
      <w:r>
        <w:rPr>
          <w:sz w:val="18"/>
        </w:rPr>
        <w:t>您或者被保险人可以变更受益人并书面通知我们。我们收到变更受益人的书面通知后，在保险单或其他保险凭证上</w:t>
      </w:r>
      <w:r>
        <w:rPr>
          <w:spacing w:val="-1"/>
          <w:sz w:val="18"/>
        </w:rPr>
        <w:t>批注或附贴批单。</w:t>
      </w:r>
    </w:p>
    <w:p>
      <w:pPr>
        <w:pStyle w:val="ListParagraph"/>
        <w:numPr>
          <w:ilvl w:val="1"/>
          <w:numId w:val="5"/>
        </w:numPr>
        <w:tabs>
          <w:tab w:pos="1105" w:val="left" w:leader="none"/>
          <w:tab w:pos="1106" w:val="left" w:leader="none"/>
        </w:tabs>
        <w:spacing w:line="240" w:lineRule="auto" w:before="41" w:after="0"/>
        <w:ind w:left="1105" w:right="0" w:hanging="567"/>
        <w:jc w:val="left"/>
        <w:rPr>
          <w:sz w:val="18"/>
        </w:rPr>
      </w:pPr>
      <w:r>
        <w:rPr>
          <w:sz w:val="18"/>
        </w:rPr>
        <w:t>您在指定和变更受益人时，必须经过被保险人同意。</w:t>
      </w:r>
    </w:p>
    <w:p>
      <w:pPr>
        <w:pStyle w:val="ListParagraph"/>
        <w:numPr>
          <w:ilvl w:val="1"/>
          <w:numId w:val="5"/>
        </w:numPr>
        <w:tabs>
          <w:tab w:pos="1105" w:val="left" w:leader="none"/>
          <w:tab w:pos="1106" w:val="left" w:leader="none"/>
        </w:tabs>
        <w:spacing w:line="340" w:lineRule="auto" w:before="106" w:after="0"/>
        <w:ind w:left="1105" w:right="100" w:hanging="567"/>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5"/>
        </w:numPr>
        <w:tabs>
          <w:tab w:pos="1552" w:val="left" w:leader="none"/>
        </w:tabs>
        <w:spacing w:line="240" w:lineRule="auto" w:before="41" w:after="0"/>
        <w:ind w:left="1551" w:right="0" w:hanging="415"/>
        <w:jc w:val="left"/>
        <w:rPr>
          <w:sz w:val="18"/>
        </w:rPr>
      </w:pPr>
      <w:r>
        <w:rPr>
          <w:w w:val="95"/>
          <w:sz w:val="18"/>
        </w:rPr>
        <w:t>没有指定受益人，或者受益人指定不明无法确定的；</w:t>
      </w:r>
    </w:p>
    <w:p>
      <w:pPr>
        <w:pStyle w:val="ListParagraph"/>
        <w:numPr>
          <w:ilvl w:val="2"/>
          <w:numId w:val="5"/>
        </w:numPr>
        <w:tabs>
          <w:tab w:pos="1552" w:val="left" w:leader="none"/>
        </w:tabs>
        <w:spacing w:line="240" w:lineRule="auto" w:before="106" w:after="0"/>
        <w:ind w:left="1551" w:right="0" w:hanging="415"/>
        <w:jc w:val="left"/>
        <w:rPr>
          <w:sz w:val="18"/>
        </w:rPr>
      </w:pPr>
      <w:r>
        <w:rPr>
          <w:w w:val="95"/>
          <w:sz w:val="18"/>
        </w:rPr>
        <w:t>受益人先于被保险人身故，没有其他受益人的；</w:t>
      </w:r>
    </w:p>
    <w:p>
      <w:pPr>
        <w:pStyle w:val="ListParagraph"/>
        <w:numPr>
          <w:ilvl w:val="2"/>
          <w:numId w:val="5"/>
        </w:numPr>
        <w:tabs>
          <w:tab w:pos="1552" w:val="left" w:leader="none"/>
        </w:tabs>
        <w:spacing w:line="240" w:lineRule="auto" w:before="106" w:after="0"/>
        <w:ind w:left="1551" w:right="0" w:hanging="415"/>
        <w:jc w:val="left"/>
        <w:rPr>
          <w:sz w:val="18"/>
        </w:rPr>
      </w:pPr>
      <w:r>
        <w:rPr>
          <w:w w:val="95"/>
          <w:sz w:val="18"/>
        </w:rPr>
        <w:t>受益人依法丧失受益权或者放弃收益权，没有其他受益人的。</w:t>
      </w:r>
    </w:p>
    <w:p>
      <w:pPr>
        <w:pStyle w:val="ListParagraph"/>
        <w:numPr>
          <w:ilvl w:val="1"/>
          <w:numId w:val="5"/>
        </w:numPr>
        <w:tabs>
          <w:tab w:pos="1105" w:val="left" w:leader="none"/>
          <w:tab w:pos="1106" w:val="left" w:leader="none"/>
        </w:tabs>
        <w:spacing w:line="240" w:lineRule="auto" w:before="106" w:after="0"/>
        <w:ind w:left="1105" w:right="0" w:hanging="567"/>
        <w:jc w:val="left"/>
        <w:rPr>
          <w:sz w:val="18"/>
        </w:rPr>
      </w:pPr>
      <w:r>
        <w:rPr>
          <w:sz w:val="18"/>
        </w:rPr>
        <w:t>受益人与被保险人在同一事件中身故，且不能确定身故先后顺序的，推定受益人身故在先。</w:t>
      </w:r>
    </w:p>
    <w:p>
      <w:pPr>
        <w:pStyle w:val="Heading1"/>
        <w:spacing w:before="104"/>
      </w:pPr>
      <w:bookmarkStart w:name="_bookmark7" w:id="8"/>
      <w:bookmarkEnd w:id="8"/>
      <w:r>
        <w:rPr>
          <w:b w:val="0"/>
        </w:rPr>
      </w:r>
      <w:r>
        <w:rPr/>
        <w:t>第八条 保险金申请</w:t>
      </w:r>
    </w:p>
    <w:p>
      <w:pPr>
        <w:pStyle w:val="ListParagraph"/>
        <w:numPr>
          <w:ilvl w:val="1"/>
          <w:numId w:val="6"/>
        </w:numPr>
        <w:tabs>
          <w:tab w:pos="1105" w:val="left" w:leader="none"/>
          <w:tab w:pos="1106" w:val="left" w:leader="none"/>
        </w:tabs>
        <w:spacing w:line="340" w:lineRule="auto" w:before="138" w:after="0"/>
        <w:ind w:left="1105" w:right="100" w:hanging="567"/>
        <w:jc w:val="left"/>
        <w:rPr>
          <w:sz w:val="18"/>
        </w:rPr>
      </w:pPr>
      <w:r>
        <w:rPr>
          <w:spacing w:val="2"/>
          <w:sz w:val="18"/>
        </w:rPr>
        <w:t>重大疾病保险金的申请人为重大疾病保险金受益人，额外给付保险金的申请人为额外给付保险金的受益人，在申</w:t>
      </w:r>
      <w:r>
        <w:rPr>
          <w:spacing w:val="-1"/>
          <w:sz w:val="18"/>
        </w:rPr>
        <w:t>请上述各项保险金时，申请人须填写保险金给付申请书，并提供下列证明和资料：</w:t>
      </w:r>
    </w:p>
    <w:p>
      <w:pPr>
        <w:pStyle w:val="ListParagraph"/>
        <w:numPr>
          <w:ilvl w:val="2"/>
          <w:numId w:val="6"/>
        </w:numPr>
        <w:tabs>
          <w:tab w:pos="1551" w:val="left" w:leader="none"/>
          <w:tab w:pos="1552" w:val="left" w:leader="none"/>
        </w:tabs>
        <w:spacing w:line="240" w:lineRule="auto" w:before="41" w:after="0"/>
        <w:ind w:left="1551" w:right="0" w:hanging="446"/>
        <w:jc w:val="left"/>
        <w:rPr>
          <w:sz w:val="18"/>
        </w:rPr>
      </w:pPr>
      <w:r>
        <w:rPr>
          <w:w w:val="95"/>
          <w:sz w:val="18"/>
        </w:rPr>
        <w:t>保险合同；</w:t>
      </w:r>
    </w:p>
    <w:p>
      <w:pPr>
        <w:pStyle w:val="ListParagraph"/>
        <w:numPr>
          <w:ilvl w:val="2"/>
          <w:numId w:val="6"/>
        </w:numPr>
        <w:tabs>
          <w:tab w:pos="1551" w:val="left" w:leader="none"/>
          <w:tab w:pos="1552" w:val="left" w:leader="none"/>
        </w:tabs>
        <w:spacing w:line="240" w:lineRule="auto" w:before="107" w:after="0"/>
        <w:ind w:left="1551" w:right="0" w:hanging="446"/>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6"/>
        </w:numPr>
        <w:tabs>
          <w:tab w:pos="1529" w:val="left" w:leader="none"/>
          <w:tab w:pos="1530" w:val="left" w:leader="none"/>
        </w:tabs>
        <w:spacing w:line="240" w:lineRule="auto" w:before="107" w:after="0"/>
        <w:ind w:left="1530" w:right="0" w:hanging="425"/>
        <w:jc w:val="left"/>
        <w:rPr>
          <w:sz w:val="18"/>
        </w:rPr>
      </w:pPr>
      <w:r>
        <w:rPr>
          <w:b/>
          <w:w w:val="95"/>
          <w:sz w:val="18"/>
        </w:rPr>
        <w:t>专科医生</w:t>
      </w:r>
      <w:r>
        <w:rPr>
          <w:spacing w:val="-1"/>
          <w:w w:val="95"/>
          <w:sz w:val="18"/>
        </w:rPr>
        <w:t>出具的被保险人病理组织学检查、血液检查、及其他科学方法检验报告的疾病诊断证明书；</w:t>
      </w:r>
    </w:p>
    <w:p>
      <w:pPr>
        <w:pStyle w:val="ListParagraph"/>
        <w:numPr>
          <w:ilvl w:val="2"/>
          <w:numId w:val="6"/>
        </w:numPr>
        <w:tabs>
          <w:tab w:pos="1529" w:val="left" w:leader="none"/>
          <w:tab w:pos="1530" w:val="left" w:leader="none"/>
        </w:tabs>
        <w:spacing w:line="240" w:lineRule="auto" w:before="107" w:after="0"/>
        <w:ind w:left="1530" w:right="0" w:hanging="425"/>
        <w:jc w:val="left"/>
        <w:rPr>
          <w:sz w:val="18"/>
        </w:rPr>
      </w:pPr>
      <w:r>
        <w:rPr>
          <w:w w:val="95"/>
          <w:sz w:val="18"/>
        </w:rPr>
        <w:t>所能提供的与确认保险事故的性质、原因、伤害程度等有关的其他证明和资料；</w:t>
      </w:r>
    </w:p>
    <w:p>
      <w:pPr>
        <w:pStyle w:val="ListParagraph"/>
        <w:numPr>
          <w:ilvl w:val="2"/>
          <w:numId w:val="6"/>
        </w:numPr>
        <w:tabs>
          <w:tab w:pos="1529" w:val="left" w:leader="none"/>
          <w:tab w:pos="1530" w:val="left" w:leader="none"/>
        </w:tabs>
        <w:spacing w:line="240" w:lineRule="auto" w:before="106" w:after="0"/>
        <w:ind w:left="1530" w:right="0" w:hanging="425"/>
        <w:jc w:val="left"/>
        <w:rPr>
          <w:sz w:val="18"/>
        </w:rPr>
      </w:pPr>
      <w:r>
        <w:rPr>
          <w:w w:val="95"/>
          <w:sz w:val="18"/>
        </w:rPr>
        <w:t>申请人与被保险人的相关关系证明（如有需要）。</w:t>
      </w:r>
    </w:p>
    <w:p>
      <w:pPr>
        <w:pStyle w:val="ListParagraph"/>
        <w:numPr>
          <w:ilvl w:val="1"/>
          <w:numId w:val="6"/>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6"/>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6"/>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6"/>
        </w:numPr>
        <w:tabs>
          <w:tab w:pos="1105" w:val="left" w:leader="none"/>
          <w:tab w:pos="1106" w:val="left" w:leader="none"/>
        </w:tabs>
        <w:spacing w:line="240" w:lineRule="auto" w:before="106" w:after="0"/>
        <w:ind w:left="1105" w:right="0" w:hanging="567"/>
        <w:jc w:val="left"/>
        <w:rPr>
          <w:sz w:val="18"/>
        </w:rPr>
      </w:pPr>
      <w:r>
        <w:rPr>
          <w:sz w:val="18"/>
        </w:rPr>
        <w:t>除有关法律、行政法规不允许外，我们将保留进行医学鉴定或核实的权利。</w:t>
      </w:r>
    </w:p>
    <w:p>
      <w:pPr>
        <w:pStyle w:val="Heading1"/>
      </w:pPr>
      <w:bookmarkStart w:name="_bookmark8" w:id="9"/>
      <w:bookmarkEnd w:id="9"/>
      <w:r>
        <w:rPr>
          <w:b w:val="0"/>
        </w:rPr>
      </w:r>
      <w:r>
        <w:rPr/>
        <w:t>第九条 诉讼时效</w:t>
      </w:r>
    </w:p>
    <w:p>
      <w:pPr>
        <w:pStyle w:val="BodyText"/>
        <w:tabs>
          <w:tab w:pos="1105" w:val="left" w:leader="none"/>
        </w:tabs>
        <w:spacing w:before="139"/>
        <w:ind w:left="538"/>
      </w:pPr>
      <w:r>
        <w:rPr>
          <w:rFonts w:ascii="Arial" w:eastAsia="Arial"/>
        </w:rPr>
        <w:t>9.1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spacing w:before="104"/>
      </w:pPr>
      <w:bookmarkStart w:name="_bookmark9" w:id="10"/>
      <w:bookmarkEnd w:id="10"/>
      <w:r>
        <w:rPr>
          <w:b w:val="0"/>
        </w:rPr>
      </w:r>
      <w:r>
        <w:rPr/>
        <w:t>第十条 合同终止</w:t>
      </w:r>
    </w:p>
    <w:p>
      <w:pPr>
        <w:pStyle w:val="ListParagraph"/>
        <w:numPr>
          <w:ilvl w:val="1"/>
          <w:numId w:val="7"/>
        </w:numPr>
        <w:tabs>
          <w:tab w:pos="1105" w:val="left" w:leader="none"/>
          <w:tab w:pos="1106" w:val="left" w:leader="none"/>
        </w:tabs>
        <w:spacing w:line="240" w:lineRule="auto" w:before="138" w:after="0"/>
        <w:ind w:left="1105" w:right="0" w:hanging="567"/>
        <w:jc w:val="left"/>
        <w:rPr>
          <w:sz w:val="18"/>
        </w:rPr>
      </w:pPr>
      <w:r>
        <w:rPr>
          <w:sz w:val="18"/>
        </w:rPr>
        <w:t>发生下列情况之一时，本附加合同即行终止：</w:t>
      </w:r>
    </w:p>
    <w:p>
      <w:pPr>
        <w:pStyle w:val="ListParagraph"/>
        <w:numPr>
          <w:ilvl w:val="2"/>
          <w:numId w:val="7"/>
        </w:numPr>
        <w:tabs>
          <w:tab w:pos="1529" w:val="left" w:leader="none"/>
          <w:tab w:pos="1530" w:val="left" w:leader="none"/>
        </w:tabs>
        <w:spacing w:line="240" w:lineRule="auto" w:before="106" w:after="0"/>
        <w:ind w:left="1530" w:right="0" w:hanging="449"/>
        <w:jc w:val="left"/>
        <w:rPr>
          <w:sz w:val="18"/>
        </w:rPr>
      </w:pPr>
      <w:r>
        <w:rPr>
          <w:w w:val="95"/>
          <w:sz w:val="18"/>
        </w:rPr>
        <w:t>您于本附加合同的保险期间内按约定申请解除本附加合同；</w:t>
      </w:r>
    </w:p>
    <w:p>
      <w:pPr>
        <w:pStyle w:val="ListParagraph"/>
        <w:numPr>
          <w:ilvl w:val="2"/>
          <w:numId w:val="7"/>
        </w:numPr>
        <w:tabs>
          <w:tab w:pos="1529" w:val="left" w:leader="none"/>
          <w:tab w:pos="1530" w:val="left" w:leader="none"/>
        </w:tabs>
        <w:spacing w:line="240" w:lineRule="auto" w:before="106" w:after="0"/>
        <w:ind w:left="1530" w:right="0" w:hanging="449"/>
        <w:jc w:val="left"/>
        <w:rPr>
          <w:sz w:val="18"/>
        </w:rPr>
      </w:pPr>
      <w:r>
        <w:rPr>
          <w:w w:val="95"/>
          <w:sz w:val="18"/>
        </w:rPr>
        <w:t>主合同解除或终止；</w:t>
      </w:r>
    </w:p>
    <w:p>
      <w:pPr>
        <w:pStyle w:val="ListParagraph"/>
        <w:numPr>
          <w:ilvl w:val="2"/>
          <w:numId w:val="7"/>
        </w:numPr>
        <w:tabs>
          <w:tab w:pos="1529" w:val="left" w:leader="none"/>
          <w:tab w:pos="1530" w:val="left" w:leader="none"/>
        </w:tabs>
        <w:spacing w:line="240" w:lineRule="auto" w:before="106" w:after="0"/>
        <w:ind w:left="1530" w:right="0" w:hanging="449"/>
        <w:jc w:val="left"/>
        <w:rPr>
          <w:sz w:val="18"/>
        </w:rPr>
      </w:pPr>
      <w:r>
        <w:rPr>
          <w:w w:val="95"/>
          <w:sz w:val="18"/>
        </w:rPr>
        <w:t>本附加合同期满；</w:t>
      </w:r>
    </w:p>
    <w:p>
      <w:pPr>
        <w:pStyle w:val="ListParagraph"/>
        <w:numPr>
          <w:ilvl w:val="2"/>
          <w:numId w:val="7"/>
        </w:numPr>
        <w:tabs>
          <w:tab w:pos="1529" w:val="left" w:leader="none"/>
          <w:tab w:pos="1530" w:val="left" w:leader="none"/>
        </w:tabs>
        <w:spacing w:line="240" w:lineRule="auto" w:before="106" w:after="0"/>
        <w:ind w:left="1530" w:right="0" w:hanging="449"/>
        <w:jc w:val="left"/>
        <w:rPr>
          <w:sz w:val="18"/>
        </w:rPr>
      </w:pPr>
      <w:r>
        <w:rPr>
          <w:w w:val="95"/>
          <w:sz w:val="18"/>
        </w:rPr>
        <w:t>本附加合同因法律规定或本附加合同约定的其他情况而终止。</w:t>
      </w:r>
    </w:p>
    <w:p>
      <w:pPr>
        <w:pStyle w:val="Heading1"/>
        <w:tabs>
          <w:tab w:pos="1623" w:val="left" w:leader="none"/>
        </w:tabs>
      </w:pPr>
      <w:bookmarkStart w:name="_bookmark10" w:id="11"/>
      <w:bookmarkEnd w:id="11"/>
      <w:r>
        <w:rPr>
          <w:b w:val="0"/>
        </w:rPr>
      </w:r>
      <w:r>
        <w:rPr/>
        <w:t>第十</w:t>
      </w:r>
      <w:r>
        <w:rPr>
          <w:spacing w:val="-3"/>
        </w:rPr>
        <w:t>一</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8"/>
        </w:numPr>
        <w:tabs>
          <w:tab w:pos="1105" w:val="left" w:leader="none"/>
          <w:tab w:pos="1106" w:val="left" w:leader="none"/>
        </w:tabs>
        <w:spacing w:line="240" w:lineRule="auto" w:before="139" w:after="0"/>
        <w:ind w:left="1105" w:right="0" w:hanging="569"/>
        <w:jc w:val="left"/>
        <w:rPr>
          <w:sz w:val="18"/>
        </w:rPr>
      </w:pPr>
      <w:r>
        <w:rPr>
          <w:spacing w:val="-1"/>
          <w:sz w:val="18"/>
        </w:rPr>
        <w:t>如您申请解除本附加合同，请填写保险合同终止申请书并向我们提供下列资料：</w:t>
      </w:r>
    </w:p>
    <w:p>
      <w:pPr>
        <w:pStyle w:val="ListParagraph"/>
        <w:numPr>
          <w:ilvl w:val="2"/>
          <w:numId w:val="8"/>
        </w:numPr>
        <w:tabs>
          <w:tab w:pos="1529" w:val="left" w:leader="none"/>
          <w:tab w:pos="1530" w:val="left" w:leader="none"/>
        </w:tabs>
        <w:spacing w:line="240" w:lineRule="auto" w:before="106" w:after="0"/>
        <w:ind w:left="1530" w:right="0" w:hanging="449"/>
        <w:jc w:val="left"/>
        <w:rPr>
          <w:sz w:val="18"/>
        </w:rPr>
      </w:pPr>
      <w:r>
        <w:rPr>
          <w:w w:val="95"/>
          <w:sz w:val="18"/>
        </w:rPr>
        <w:t>保险合同；</w:t>
      </w:r>
    </w:p>
    <w:p>
      <w:pPr>
        <w:spacing w:after="0" w:line="240" w:lineRule="auto"/>
        <w:jc w:val="left"/>
        <w:rPr>
          <w:sz w:val="18"/>
        </w:rPr>
        <w:sectPr>
          <w:pgSz w:w="11910" w:h="16840"/>
          <w:pgMar w:header="672" w:footer="767" w:top="860" w:bottom="960" w:left="880" w:right="740"/>
        </w:sectPr>
      </w:pPr>
    </w:p>
    <w:p>
      <w:pPr>
        <w:pStyle w:val="BodyText"/>
        <w:spacing w:before="9"/>
        <w:ind w:left="0"/>
        <w:rPr>
          <w:sz w:val="13"/>
        </w:rPr>
      </w:pPr>
    </w:p>
    <w:p>
      <w:pPr>
        <w:pStyle w:val="ListParagraph"/>
        <w:numPr>
          <w:ilvl w:val="2"/>
          <w:numId w:val="8"/>
        </w:numPr>
        <w:tabs>
          <w:tab w:pos="1813" w:val="left" w:leader="none"/>
          <w:tab w:pos="1814" w:val="left" w:leader="none"/>
        </w:tabs>
        <w:spacing w:line="240" w:lineRule="auto" w:before="53" w:after="0"/>
        <w:ind w:left="1813" w:right="0" w:hanging="569"/>
        <w:jc w:val="left"/>
        <w:rPr>
          <w:sz w:val="18"/>
        </w:rPr>
      </w:pPr>
      <w:r>
        <w:rPr>
          <w:w w:val="95"/>
          <w:sz w:val="18"/>
        </w:rPr>
        <w:t>您的</w:t>
      </w:r>
      <w:r>
        <w:rPr>
          <w:b/>
          <w:w w:val="95"/>
          <w:sz w:val="18"/>
        </w:rPr>
        <w:t>有效身份证件</w:t>
      </w:r>
      <w:r>
        <w:rPr>
          <w:w w:val="95"/>
          <w:sz w:val="18"/>
        </w:rPr>
        <w:t>。</w:t>
      </w:r>
    </w:p>
    <w:p>
      <w:pPr>
        <w:pStyle w:val="ListParagraph"/>
        <w:numPr>
          <w:ilvl w:val="1"/>
          <w:numId w:val="8"/>
        </w:numPr>
        <w:tabs>
          <w:tab w:pos="1105" w:val="left" w:leader="none"/>
          <w:tab w:pos="1106" w:val="left" w:leader="none"/>
        </w:tabs>
        <w:spacing w:line="340" w:lineRule="auto" w:before="106" w:after="0"/>
        <w:ind w:left="1105" w:right="179" w:hanging="569"/>
        <w:jc w:val="left"/>
        <w:rPr>
          <w:sz w:val="18"/>
        </w:rPr>
      </w:pPr>
      <w:r>
        <w:rPr>
          <w:sz w:val="18"/>
        </w:rPr>
        <w:t>如您在</w:t>
      </w:r>
      <w:r>
        <w:rPr>
          <w:b/>
          <w:sz w:val="18"/>
        </w:rPr>
        <w:t>犹豫期</w:t>
      </w:r>
      <w:r>
        <w:rPr>
          <w:sz w:val="18"/>
        </w:rPr>
        <w:t>（见释义）</w:t>
      </w:r>
      <w:r>
        <w:rPr>
          <w:spacing w:val="-2"/>
          <w:sz w:val="18"/>
        </w:rPr>
        <w:t>内申请解除本附加合同，自我们收到保险合同终止申请书时起，本附加合同终止，</w:t>
      </w:r>
      <w:r>
        <w:rPr>
          <w:b/>
          <w:sz w:val="18"/>
        </w:rPr>
        <w:t>我们自本附加合同生效日起自始不承担本附加合同的任何保险责任</w:t>
      </w:r>
      <w:r>
        <w:rPr>
          <w:spacing w:val="-3"/>
          <w:sz w:val="18"/>
        </w:rPr>
        <w:t>，并将自收到保险合同终止申请书之日起 </w:t>
      </w:r>
      <w:r>
        <w:rPr>
          <w:rFonts w:ascii="Arial" w:eastAsia="Arial"/>
          <w:sz w:val="18"/>
        </w:rPr>
        <w:t>30</w:t>
      </w:r>
      <w:r>
        <w:rPr>
          <w:rFonts w:ascii="Arial" w:eastAsia="Arial"/>
          <w:spacing w:val="-13"/>
          <w:sz w:val="18"/>
        </w:rPr>
        <w:t> </w:t>
      </w:r>
      <w:r>
        <w:rPr>
          <w:sz w:val="18"/>
        </w:rPr>
        <w:t>日内无息退还已收保险费。</w:t>
      </w:r>
    </w:p>
    <w:p>
      <w:pPr>
        <w:pStyle w:val="ListParagraph"/>
        <w:numPr>
          <w:ilvl w:val="1"/>
          <w:numId w:val="8"/>
        </w:numPr>
        <w:tabs>
          <w:tab w:pos="1105" w:val="left" w:leader="none"/>
          <w:tab w:pos="1106" w:val="left" w:leader="none"/>
        </w:tabs>
        <w:spacing w:line="340" w:lineRule="auto" w:before="41" w:after="0"/>
        <w:ind w:left="1105" w:right="179" w:hanging="569"/>
        <w:jc w:val="left"/>
        <w:rPr>
          <w:sz w:val="18"/>
        </w:rPr>
      </w:pPr>
      <w:r>
        <w:rPr>
          <w:sz w:val="18"/>
        </w:rPr>
        <w:t>如您在</w:t>
      </w:r>
      <w:r>
        <w:rPr>
          <w:b/>
          <w:sz w:val="18"/>
        </w:rPr>
        <w:t>犹豫期</w:t>
      </w:r>
      <w:r>
        <w:rPr>
          <w:spacing w:val="-1"/>
          <w:sz w:val="18"/>
        </w:rPr>
        <w:t>后申请解除本附加合同，自我们收到保险合同终止申请书时起，本附加合同终止。我们自收到保险合</w:t>
      </w:r>
      <w:r>
        <w:rPr>
          <w:spacing w:val="-6"/>
          <w:sz w:val="18"/>
        </w:rPr>
        <w:t>同终止申请书之日起 </w:t>
      </w:r>
      <w:r>
        <w:rPr>
          <w:rFonts w:ascii="Arial" w:eastAsia="Arial"/>
          <w:sz w:val="18"/>
        </w:rPr>
        <w:t>30</w:t>
      </w:r>
      <w:r>
        <w:rPr>
          <w:rFonts w:ascii="Arial" w:eastAsia="Arial"/>
          <w:spacing w:val="-12"/>
          <w:sz w:val="18"/>
        </w:rPr>
        <w:t> </w:t>
      </w:r>
      <w:r>
        <w:rPr>
          <w:spacing w:val="-1"/>
          <w:sz w:val="18"/>
        </w:rPr>
        <w:t>日内向您退还本附加合同的</w:t>
      </w:r>
      <w:r>
        <w:rPr>
          <w:b/>
          <w:sz w:val="18"/>
        </w:rPr>
        <w:t>现金价值</w:t>
      </w:r>
      <w:r>
        <w:rPr>
          <w:sz w:val="18"/>
        </w:rPr>
        <w:t>。</w:t>
      </w:r>
    </w:p>
    <w:p>
      <w:pPr>
        <w:pStyle w:val="ListParagraph"/>
        <w:numPr>
          <w:ilvl w:val="1"/>
          <w:numId w:val="8"/>
        </w:numPr>
        <w:tabs>
          <w:tab w:pos="1131" w:val="left" w:leader="none"/>
          <w:tab w:pos="1132" w:val="left" w:leader="none"/>
        </w:tabs>
        <w:spacing w:line="240" w:lineRule="auto" w:before="19" w:after="0"/>
        <w:ind w:left="1131" w:right="0" w:hanging="595"/>
        <w:jc w:val="left"/>
        <w:rPr>
          <w:sz w:val="18"/>
        </w:rPr>
      </w:pPr>
      <w:r>
        <w:rPr>
          <w:w w:val="95"/>
          <w:sz w:val="18"/>
        </w:rPr>
        <w:t>您</w:t>
      </w:r>
      <w:r>
        <w:rPr>
          <w:b/>
          <w:w w:val="95"/>
          <w:sz w:val="18"/>
        </w:rPr>
        <w:t>犹豫期</w:t>
      </w:r>
      <w:r>
        <w:rPr>
          <w:spacing w:val="-1"/>
          <w:w w:val="95"/>
          <w:sz w:val="18"/>
        </w:rPr>
        <w:t>后解除合同会遭受一定损失。</w:t>
      </w:r>
    </w:p>
    <w:p>
      <w:pPr>
        <w:pStyle w:val="Heading1"/>
        <w:tabs>
          <w:tab w:pos="1623" w:val="left" w:leader="none"/>
        </w:tabs>
      </w:pPr>
      <w:bookmarkStart w:name="_bookmark11" w:id="12"/>
      <w:bookmarkEnd w:id="12"/>
      <w:r>
        <w:rPr>
          <w:b w:val="0"/>
        </w:rPr>
      </w:r>
      <w:r>
        <w:rPr/>
        <w:t>第十</w:t>
      </w:r>
      <w:r>
        <w:rPr>
          <w:spacing w:val="-3"/>
        </w:rPr>
        <w:t>二</w:t>
      </w:r>
      <w:r>
        <w:rPr/>
        <w:t>条</w:t>
        <w:tab/>
        <w:t>重大</w:t>
      </w:r>
      <w:r>
        <w:rPr>
          <w:spacing w:val="-3"/>
        </w:rPr>
        <w:t>疾</w:t>
      </w:r>
      <w:r>
        <w:rPr/>
        <w:t>病的</w:t>
      </w:r>
      <w:r>
        <w:rPr>
          <w:spacing w:val="-3"/>
        </w:rPr>
        <w:t>释</w:t>
      </w:r>
      <w:r>
        <w:rPr/>
        <w:t>义</w:t>
      </w:r>
    </w:p>
    <w:p>
      <w:pPr>
        <w:pStyle w:val="ListParagraph"/>
        <w:numPr>
          <w:ilvl w:val="1"/>
          <w:numId w:val="9"/>
        </w:numPr>
        <w:tabs>
          <w:tab w:pos="1105" w:val="left" w:leader="none"/>
          <w:tab w:pos="1106" w:val="left" w:leader="none"/>
        </w:tabs>
        <w:spacing w:line="240" w:lineRule="auto" w:before="139" w:after="0"/>
        <w:ind w:left="1105" w:right="0" w:hanging="567"/>
        <w:jc w:val="left"/>
        <w:rPr>
          <w:sz w:val="18"/>
        </w:rPr>
      </w:pPr>
      <w:r>
        <w:rPr>
          <w:sz w:val="18"/>
        </w:rPr>
        <w:t>恶性肿瘤</w:t>
      </w:r>
    </w:p>
    <w:p>
      <w:pPr>
        <w:pStyle w:val="BodyText"/>
        <w:spacing w:line="357" w:lineRule="auto" w:before="104"/>
        <w:ind w:left="1112" w:right="17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w w:val="95"/>
        </w:rPr>
        <w:t>类》</w:t>
      </w:r>
      <w:r>
        <w:rPr>
          <w:w w:val="95"/>
        </w:rPr>
        <w:t>（</w:t>
      </w:r>
      <w:r>
        <w:rPr>
          <w:rFonts w:ascii="Arial" w:eastAsia="Arial"/>
          <w:w w:val="95"/>
        </w:rPr>
        <w:t>ICD-10</w:t>
      </w:r>
      <w:r>
        <w:rPr>
          <w:w w:val="95"/>
        </w:rPr>
        <w:t>）的恶性肿瘤范畴。</w:t>
      </w:r>
    </w:p>
    <w:p>
      <w:pPr>
        <w:pStyle w:val="Heading3"/>
        <w:spacing w:before="3"/>
        <w:ind w:left="1102"/>
      </w:pPr>
      <w:r>
        <w:rPr>
          <w:w w:val="95"/>
        </w:rPr>
        <w:t>下列疾病不在保障范围内：</w:t>
      </w:r>
    </w:p>
    <w:p>
      <w:pPr>
        <w:pStyle w:val="ListParagraph"/>
        <w:numPr>
          <w:ilvl w:val="2"/>
          <w:numId w:val="9"/>
        </w:numPr>
        <w:tabs>
          <w:tab w:pos="1533" w:val="left" w:leader="none"/>
        </w:tabs>
        <w:spacing w:line="240" w:lineRule="auto" w:before="115" w:after="0"/>
        <w:ind w:left="1532" w:right="0" w:hanging="420"/>
        <w:jc w:val="left"/>
        <w:rPr>
          <w:rFonts w:ascii="Arial" w:eastAsia="Arial"/>
          <w:b/>
          <w:sz w:val="18"/>
        </w:rPr>
      </w:pPr>
      <w:r>
        <w:rPr>
          <w:b/>
          <w:w w:val="95"/>
          <w:sz w:val="18"/>
        </w:rPr>
        <w:t>原位癌</w:t>
      </w:r>
      <w:r>
        <w:rPr>
          <w:w w:val="95"/>
          <w:sz w:val="18"/>
        </w:rPr>
        <w:t>（见释义）</w:t>
      </w:r>
      <w:r>
        <w:rPr>
          <w:b/>
          <w:w w:val="95"/>
          <w:sz w:val="18"/>
        </w:rPr>
        <w:t>；</w:t>
      </w:r>
    </w:p>
    <w:p>
      <w:pPr>
        <w:pStyle w:val="Heading3"/>
        <w:numPr>
          <w:ilvl w:val="2"/>
          <w:numId w:val="9"/>
        </w:numPr>
        <w:tabs>
          <w:tab w:pos="1533" w:val="left" w:leader="none"/>
        </w:tabs>
        <w:spacing w:line="240" w:lineRule="auto" w:before="104" w:after="0"/>
        <w:ind w:left="1532" w:right="0" w:hanging="420"/>
        <w:jc w:val="left"/>
        <w:rPr>
          <w:rFonts w:ascii="Arial" w:eastAsia="Arial"/>
        </w:rPr>
      </w:pPr>
      <w:r>
        <w:rPr>
          <w:spacing w:val="-12"/>
        </w:rPr>
        <w:t>相当于 </w:t>
      </w:r>
      <w:r>
        <w:rPr>
          <w:rFonts w:ascii="Arial" w:eastAsia="Arial"/>
        </w:rPr>
        <w:t>Binet</w:t>
      </w:r>
      <w:r>
        <w:rPr>
          <w:rFonts w:ascii="Arial" w:eastAsia="Arial"/>
          <w:spacing w:val="-11"/>
        </w:rPr>
        <w:t> </w:t>
      </w:r>
      <w:r>
        <w:rPr>
          <w:spacing w:val="-10"/>
        </w:rPr>
        <w:t>分期方案 </w:t>
      </w:r>
      <w:r>
        <w:rPr>
          <w:rFonts w:ascii="Arial" w:eastAsia="Arial"/>
        </w:rPr>
        <w:t>A</w:t>
      </w:r>
      <w:r>
        <w:rPr>
          <w:rFonts w:ascii="Arial" w:eastAsia="Arial"/>
          <w:spacing w:val="-14"/>
        </w:rPr>
        <w:t> </w:t>
      </w:r>
      <w:r>
        <w:rPr/>
        <w:t>期程度的慢性淋巴细胞白血病；</w:t>
      </w:r>
    </w:p>
    <w:p>
      <w:pPr>
        <w:pStyle w:val="ListParagraph"/>
        <w:numPr>
          <w:ilvl w:val="2"/>
          <w:numId w:val="9"/>
        </w:numPr>
        <w:tabs>
          <w:tab w:pos="1533" w:val="left" w:leader="none"/>
        </w:tabs>
        <w:spacing w:line="240" w:lineRule="auto" w:before="101" w:after="0"/>
        <w:ind w:left="1532" w:right="0" w:hanging="420"/>
        <w:jc w:val="left"/>
        <w:rPr>
          <w:rFonts w:ascii="Arial" w:hAnsi="Arial" w:eastAsia="Arial"/>
          <w:b/>
          <w:sz w:val="18"/>
        </w:rPr>
      </w:pPr>
      <w:r>
        <w:rPr>
          <w:b/>
          <w:spacing w:val="-13"/>
          <w:sz w:val="18"/>
        </w:rPr>
        <w:t>相当于 </w:t>
      </w:r>
      <w:r>
        <w:rPr>
          <w:rFonts w:ascii="Arial" w:hAnsi="Arial" w:eastAsia="Arial"/>
          <w:b/>
          <w:sz w:val="18"/>
        </w:rPr>
        <w:t>Ann</w:t>
      </w:r>
      <w:r>
        <w:rPr>
          <w:rFonts w:ascii="Arial" w:hAnsi="Arial" w:eastAsia="Arial"/>
          <w:b/>
          <w:spacing w:val="-6"/>
          <w:sz w:val="18"/>
        </w:rPr>
        <w:t> </w:t>
      </w:r>
      <w:r>
        <w:rPr>
          <w:rFonts w:ascii="Arial" w:hAnsi="Arial" w:eastAsia="Arial"/>
          <w:b/>
          <w:sz w:val="18"/>
        </w:rPr>
        <w:t>Arbor</w:t>
      </w:r>
      <w:r>
        <w:rPr>
          <w:rFonts w:ascii="Arial" w:hAnsi="Arial" w:eastAsia="Arial"/>
          <w:b/>
          <w:spacing w:val="-12"/>
          <w:sz w:val="18"/>
        </w:rPr>
        <w:t> </w:t>
      </w:r>
      <w:r>
        <w:rPr>
          <w:b/>
          <w:sz w:val="18"/>
        </w:rPr>
        <w:t>分期方案Ⅰ期程度的何杰金氏病；</w:t>
      </w:r>
    </w:p>
    <w:p>
      <w:pPr>
        <w:pStyle w:val="ListParagraph"/>
        <w:numPr>
          <w:ilvl w:val="2"/>
          <w:numId w:val="9"/>
        </w:numPr>
        <w:tabs>
          <w:tab w:pos="1533" w:val="left" w:leader="none"/>
        </w:tabs>
        <w:spacing w:line="240" w:lineRule="auto" w:before="101" w:after="0"/>
        <w:ind w:left="1532" w:right="0" w:hanging="420"/>
        <w:jc w:val="left"/>
        <w:rPr>
          <w:rFonts w:ascii="Arial" w:eastAsia="Arial"/>
          <w:b/>
          <w:sz w:val="18"/>
        </w:rPr>
      </w:pPr>
      <w:r>
        <w:rPr>
          <w:b/>
          <w:w w:val="95"/>
          <w:sz w:val="18"/>
        </w:rPr>
        <w:t>皮肤癌（不包括恶性黑色素瘤及已发生转移的皮肤癌）；</w:t>
      </w:r>
    </w:p>
    <w:p>
      <w:pPr>
        <w:pStyle w:val="ListParagraph"/>
        <w:numPr>
          <w:ilvl w:val="2"/>
          <w:numId w:val="9"/>
        </w:numPr>
        <w:tabs>
          <w:tab w:pos="1533" w:val="left" w:leader="none"/>
        </w:tabs>
        <w:spacing w:line="240" w:lineRule="auto" w:before="100" w:after="0"/>
        <w:ind w:left="1532" w:right="0" w:hanging="420"/>
        <w:jc w:val="left"/>
        <w:rPr>
          <w:rFonts w:ascii="Arial" w:eastAsia="Arial"/>
          <w:b/>
          <w:sz w:val="18"/>
        </w:rPr>
      </w:pPr>
      <w:r>
        <w:rPr>
          <w:rFonts w:ascii="Arial" w:eastAsia="Arial"/>
          <w:b/>
          <w:position w:val="2"/>
          <w:sz w:val="18"/>
        </w:rPr>
        <w:t>TNM</w:t>
      </w:r>
      <w:r>
        <w:rPr>
          <w:rFonts w:ascii="Arial" w:eastAsia="Arial"/>
          <w:b/>
          <w:spacing w:val="-12"/>
          <w:position w:val="2"/>
          <w:sz w:val="18"/>
        </w:rPr>
        <w:t> </w:t>
      </w:r>
      <w:r>
        <w:rPr>
          <w:b/>
          <w:spacing w:val="-13"/>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spacing w:val="-28"/>
          <w:position w:val="2"/>
          <w:sz w:val="18"/>
          <w:vertAlign w:val="baseline"/>
        </w:rPr>
        <w:t> </w:t>
      </w:r>
      <w:r>
        <w:rPr>
          <w:b/>
          <w:position w:val="2"/>
          <w:sz w:val="18"/>
          <w:vertAlign w:val="baseline"/>
        </w:rPr>
        <w:t>期或更轻分期的前列腺癌；</w:t>
      </w:r>
    </w:p>
    <w:p>
      <w:pPr>
        <w:pStyle w:val="ListParagraph"/>
        <w:numPr>
          <w:ilvl w:val="2"/>
          <w:numId w:val="9"/>
        </w:numPr>
        <w:tabs>
          <w:tab w:pos="1533" w:val="left" w:leader="none"/>
        </w:tabs>
        <w:spacing w:line="240" w:lineRule="auto" w:before="84" w:after="0"/>
        <w:ind w:left="1532" w:right="0" w:hanging="420"/>
        <w:jc w:val="left"/>
        <w:rPr>
          <w:rFonts w:ascii="Arial" w:eastAsia="Arial"/>
          <w:b/>
          <w:sz w:val="18"/>
        </w:rPr>
      </w:pPr>
      <w:r>
        <w:rPr>
          <w:b/>
          <w:w w:val="95"/>
          <w:sz w:val="18"/>
        </w:rPr>
        <w:t>感染艾滋病病毒或患艾滋病期间所患恶性肿瘤。</w:t>
      </w:r>
    </w:p>
    <w:p>
      <w:pPr>
        <w:pStyle w:val="ListParagraph"/>
        <w:numPr>
          <w:ilvl w:val="1"/>
          <w:numId w:val="9"/>
        </w:numPr>
        <w:tabs>
          <w:tab w:pos="1105" w:val="left" w:leader="none"/>
          <w:tab w:pos="1106" w:val="left" w:leader="none"/>
        </w:tabs>
        <w:spacing w:line="240" w:lineRule="auto" w:before="104" w:after="0"/>
        <w:ind w:left="1105" w:right="0" w:hanging="567"/>
        <w:jc w:val="left"/>
        <w:rPr>
          <w:sz w:val="18"/>
        </w:rPr>
      </w:pPr>
      <w:r>
        <w:rPr>
          <w:sz w:val="18"/>
        </w:rPr>
        <w:t>急性心肌梗塞</w:t>
      </w:r>
    </w:p>
    <w:p>
      <w:pPr>
        <w:pStyle w:val="BodyText"/>
        <w:spacing w:before="104"/>
        <w:ind w:left="1102"/>
      </w:pPr>
      <w:r>
        <w:rPr/>
        <w:t>指因冠状动脉阻塞导致的相应区域供血不足造成部分心肌坏死。须满足下列至少三项条件：</w:t>
      </w:r>
    </w:p>
    <w:p>
      <w:pPr>
        <w:pStyle w:val="ListParagraph"/>
        <w:numPr>
          <w:ilvl w:val="2"/>
          <w:numId w:val="9"/>
        </w:numPr>
        <w:tabs>
          <w:tab w:pos="1551" w:val="left" w:leader="none"/>
          <w:tab w:pos="1552" w:val="left" w:leader="none"/>
        </w:tabs>
        <w:spacing w:line="240" w:lineRule="auto" w:before="114" w:after="0"/>
        <w:ind w:left="1551" w:right="0" w:hanging="446"/>
        <w:jc w:val="left"/>
        <w:rPr>
          <w:rFonts w:ascii="Arial" w:eastAsia="Arial"/>
          <w:sz w:val="18"/>
        </w:rPr>
      </w:pPr>
      <w:r>
        <w:rPr>
          <w:w w:val="95"/>
          <w:sz w:val="18"/>
        </w:rPr>
        <w:t>典型临床表现，例如急性胸痛等；</w:t>
      </w:r>
    </w:p>
    <w:p>
      <w:pPr>
        <w:pStyle w:val="ListParagraph"/>
        <w:numPr>
          <w:ilvl w:val="2"/>
          <w:numId w:val="9"/>
        </w:numPr>
        <w:tabs>
          <w:tab w:pos="1551" w:val="left" w:leader="none"/>
          <w:tab w:pos="1552" w:val="left" w:leader="none"/>
        </w:tabs>
        <w:spacing w:line="240" w:lineRule="auto" w:before="101" w:after="0"/>
        <w:ind w:left="1551" w:right="0" w:hanging="446"/>
        <w:jc w:val="left"/>
        <w:rPr>
          <w:rFonts w:ascii="Arial" w:eastAsia="Arial"/>
          <w:sz w:val="18"/>
        </w:rPr>
      </w:pPr>
      <w:r>
        <w:rPr>
          <w:w w:val="95"/>
          <w:sz w:val="18"/>
        </w:rPr>
        <w:t>新近的心电图改变提示急性心肌梗塞；</w:t>
      </w:r>
    </w:p>
    <w:p>
      <w:pPr>
        <w:pStyle w:val="ListParagraph"/>
        <w:numPr>
          <w:ilvl w:val="2"/>
          <w:numId w:val="9"/>
        </w:numPr>
        <w:tabs>
          <w:tab w:pos="1551" w:val="left" w:leader="none"/>
          <w:tab w:pos="1552" w:val="left" w:leader="none"/>
        </w:tabs>
        <w:spacing w:line="240" w:lineRule="auto" w:before="101" w:after="0"/>
        <w:ind w:left="1551" w:right="0" w:hanging="446"/>
        <w:jc w:val="left"/>
        <w:rPr>
          <w:rFonts w:ascii="Arial" w:eastAsia="Arial"/>
          <w:sz w:val="18"/>
        </w:rPr>
      </w:pPr>
      <w:r>
        <w:rPr>
          <w:w w:val="95"/>
          <w:sz w:val="18"/>
        </w:rPr>
        <w:t>心肌酶或肌钙蛋白有诊断意义的升高，或呈符合急性心肌梗塞的动态性变化；</w:t>
      </w:r>
    </w:p>
    <w:p>
      <w:pPr>
        <w:pStyle w:val="ListParagraph"/>
        <w:numPr>
          <w:ilvl w:val="2"/>
          <w:numId w:val="9"/>
        </w:numPr>
        <w:tabs>
          <w:tab w:pos="1551" w:val="left" w:leader="none"/>
          <w:tab w:pos="1552" w:val="left" w:leader="none"/>
        </w:tabs>
        <w:spacing w:line="240" w:lineRule="auto" w:before="103" w:after="0"/>
        <w:ind w:left="1551" w:right="0" w:hanging="446"/>
        <w:jc w:val="left"/>
        <w:rPr>
          <w:rFonts w:ascii="Arial" w:eastAsia="Arial"/>
          <w:sz w:val="18"/>
        </w:rPr>
      </w:pPr>
      <w:r>
        <w:rPr>
          <w:spacing w:val="-15"/>
          <w:sz w:val="18"/>
        </w:rPr>
        <w:t>发病 </w:t>
      </w:r>
      <w:r>
        <w:rPr>
          <w:rFonts w:ascii="Arial" w:eastAsia="Arial"/>
          <w:sz w:val="18"/>
        </w:rPr>
        <w:t>90</w:t>
      </w:r>
      <w:r>
        <w:rPr>
          <w:rFonts w:ascii="Arial" w:eastAsia="Arial"/>
          <w:spacing w:val="-9"/>
          <w:sz w:val="18"/>
        </w:rPr>
        <w:t> </w:t>
      </w:r>
      <w:r>
        <w:rPr>
          <w:spacing w:val="-3"/>
          <w:sz w:val="18"/>
        </w:rPr>
        <w:t>日后，经检查证实左心室功能降低，如左心室射血分数低于 </w:t>
      </w:r>
      <w:r>
        <w:rPr>
          <w:rFonts w:ascii="Arial" w:eastAsia="Arial"/>
          <w:sz w:val="18"/>
        </w:rPr>
        <w:t>50%</w:t>
      </w:r>
      <w:r>
        <w:rPr>
          <w:sz w:val="18"/>
        </w:rPr>
        <w:t>。</w:t>
      </w:r>
    </w:p>
    <w:p>
      <w:pPr>
        <w:pStyle w:val="ListParagraph"/>
        <w:numPr>
          <w:ilvl w:val="1"/>
          <w:numId w:val="9"/>
        </w:numPr>
        <w:tabs>
          <w:tab w:pos="1105" w:val="left" w:leader="none"/>
          <w:tab w:pos="1106" w:val="left" w:leader="none"/>
        </w:tabs>
        <w:spacing w:line="240" w:lineRule="auto" w:before="103" w:after="0"/>
        <w:ind w:left="1105" w:right="0" w:hanging="567"/>
        <w:jc w:val="left"/>
        <w:rPr>
          <w:sz w:val="18"/>
        </w:rPr>
      </w:pPr>
      <w:r>
        <w:rPr>
          <w:sz w:val="18"/>
        </w:rPr>
        <w:t>脑中风后遗症</w:t>
      </w:r>
    </w:p>
    <w:p>
      <w:pPr>
        <w:pStyle w:val="BodyText"/>
        <w:spacing w:line="357" w:lineRule="auto" w:before="103"/>
        <w:ind w:left="1112" w:right="174"/>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pStyle w:val="ListParagraph"/>
        <w:numPr>
          <w:ilvl w:val="2"/>
          <w:numId w:val="9"/>
        </w:numPr>
        <w:tabs>
          <w:tab w:pos="1523" w:val="left" w:leader="none"/>
        </w:tabs>
        <w:spacing w:line="240" w:lineRule="auto" w:before="2" w:after="0"/>
        <w:ind w:left="1522" w:right="0" w:hanging="420"/>
        <w:jc w:val="left"/>
        <w:rPr>
          <w:rFonts w:ascii="Arial" w:eastAsia="Arial"/>
          <w:sz w:val="18"/>
        </w:rPr>
      </w:pPr>
      <w:r>
        <w:rPr>
          <w:w w:val="95"/>
          <w:sz w:val="18"/>
        </w:rPr>
        <w:t>一肢或一肢以上</w:t>
      </w:r>
      <w:r>
        <w:rPr>
          <w:b/>
          <w:w w:val="95"/>
          <w:sz w:val="18"/>
        </w:rPr>
        <w:t>肢体机能完全丧失</w:t>
      </w:r>
      <w:r>
        <w:rPr>
          <w:w w:val="95"/>
          <w:sz w:val="18"/>
        </w:rPr>
        <w:t>（见释义）；</w:t>
      </w:r>
    </w:p>
    <w:p>
      <w:pPr>
        <w:pStyle w:val="ListParagraph"/>
        <w:numPr>
          <w:ilvl w:val="2"/>
          <w:numId w:val="9"/>
        </w:numPr>
        <w:tabs>
          <w:tab w:pos="1523" w:val="left" w:leader="none"/>
        </w:tabs>
        <w:spacing w:line="240" w:lineRule="auto" w:before="103" w:after="0"/>
        <w:ind w:left="1522" w:right="0" w:hanging="420"/>
        <w:jc w:val="left"/>
        <w:rPr>
          <w:rFonts w:ascii="Arial" w:eastAsia="Arial"/>
          <w:sz w:val="18"/>
        </w:rPr>
      </w:pPr>
      <w:r>
        <w:rPr>
          <w:b/>
          <w:w w:val="95"/>
          <w:sz w:val="18"/>
        </w:rPr>
        <w:t>语言能力或咀嚼吞咽能力完全丧失</w:t>
      </w:r>
      <w:r>
        <w:rPr>
          <w:w w:val="95"/>
          <w:sz w:val="18"/>
        </w:rPr>
        <w:t>（见释义）；</w:t>
      </w:r>
    </w:p>
    <w:p>
      <w:pPr>
        <w:pStyle w:val="ListParagraph"/>
        <w:numPr>
          <w:ilvl w:val="2"/>
          <w:numId w:val="9"/>
        </w:numPr>
        <w:tabs>
          <w:tab w:pos="1523" w:val="left" w:leader="none"/>
        </w:tabs>
        <w:spacing w:line="240" w:lineRule="auto" w:before="101" w:after="0"/>
        <w:ind w:left="1522" w:right="0" w:hanging="420"/>
        <w:jc w:val="left"/>
        <w:rPr>
          <w:rFonts w:ascii="Arial" w:eastAsia="Arial"/>
          <w:sz w:val="18"/>
        </w:rPr>
      </w:pPr>
      <w:r>
        <w:rPr>
          <w:w w:val="95"/>
          <w:sz w:val="18"/>
        </w:rPr>
        <w:t>自主生活能力完全丧失，无法独立完成</w:t>
      </w:r>
      <w:r>
        <w:rPr>
          <w:b/>
          <w:w w:val="95"/>
          <w:sz w:val="18"/>
        </w:rPr>
        <w:t>六项基本日常生活活动</w:t>
      </w:r>
      <w:r>
        <w:rPr>
          <w:w w:val="95"/>
          <w:sz w:val="18"/>
        </w:rPr>
        <w:t>（见释义）</w:t>
      </w:r>
      <w:r>
        <w:rPr>
          <w:spacing w:val="-1"/>
          <w:w w:val="95"/>
          <w:sz w:val="18"/>
        </w:rPr>
        <w:t>中的三项或三项以上。</w:t>
      </w:r>
    </w:p>
    <w:p>
      <w:pPr>
        <w:pStyle w:val="ListParagraph"/>
        <w:numPr>
          <w:ilvl w:val="1"/>
          <w:numId w:val="9"/>
        </w:numPr>
        <w:tabs>
          <w:tab w:pos="1105" w:val="left" w:leader="none"/>
          <w:tab w:pos="1106" w:val="left" w:leader="none"/>
        </w:tabs>
        <w:spacing w:line="240" w:lineRule="auto" w:before="104" w:after="0"/>
        <w:ind w:left="1105" w:right="0" w:hanging="567"/>
        <w:jc w:val="left"/>
        <w:rPr>
          <w:sz w:val="18"/>
        </w:rPr>
      </w:pPr>
      <w:r>
        <w:rPr>
          <w:sz w:val="18"/>
        </w:rPr>
        <w:t>重大器官移植术或造血干细胞移植术</w:t>
      </w:r>
    </w:p>
    <w:p>
      <w:pPr>
        <w:pStyle w:val="BodyText"/>
        <w:spacing w:before="104"/>
        <w:ind w:left="1112"/>
      </w:pPr>
      <w:r>
        <w:rPr/>
        <w:t>重大器官移植术，指因相应器官功能衰竭，已经实施了肾脏、肝脏、心脏或肺脏的异体移植手术。</w:t>
      </w:r>
    </w:p>
    <w:p>
      <w:pPr>
        <w:pStyle w:val="BodyText"/>
        <w:spacing w:line="360" w:lineRule="auto" w:before="114"/>
        <w:ind w:left="1112" w:right="17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9"/>
        </w:numPr>
        <w:tabs>
          <w:tab w:pos="1105" w:val="left" w:leader="none"/>
          <w:tab w:pos="1106" w:val="left" w:leader="none"/>
        </w:tabs>
        <w:spacing w:line="240" w:lineRule="auto" w:before="26" w:after="0"/>
        <w:ind w:left="1105" w:right="0" w:hanging="567"/>
        <w:jc w:val="left"/>
        <w:rPr>
          <w:sz w:val="18"/>
        </w:rPr>
      </w:pPr>
      <w:r>
        <w:rPr>
          <w:sz w:val="18"/>
        </w:rPr>
        <w:t>冠状动脉搭桥术（或称冠状动脉旁路移植术）</w:t>
      </w:r>
    </w:p>
    <w:p>
      <w:pPr>
        <w:pStyle w:val="BodyText"/>
        <w:spacing w:before="103"/>
        <w:ind w:left="1112"/>
      </w:pPr>
      <w:r>
        <w:rPr/>
        <w:t>指为治疗严重的冠心病，实际实施了开胸进行的冠状动脉血管旁路移植的手术。</w:t>
      </w:r>
    </w:p>
    <w:p>
      <w:pPr>
        <w:pStyle w:val="Heading3"/>
        <w:spacing w:before="114"/>
      </w:pPr>
      <w:r>
        <w:rPr>
          <w:w w:val="95"/>
        </w:rPr>
        <w:t>冠状动脉支架植入术、心导管球囊扩张术、激光射频技术及其它非开胸的介入手术、腔镜手术不在保障范围内。</w:t>
      </w:r>
    </w:p>
    <w:p>
      <w:pPr>
        <w:pStyle w:val="ListParagraph"/>
        <w:numPr>
          <w:ilvl w:val="1"/>
          <w:numId w:val="9"/>
        </w:numPr>
        <w:tabs>
          <w:tab w:pos="1105" w:val="left" w:leader="none"/>
          <w:tab w:pos="1106" w:val="left" w:leader="none"/>
        </w:tabs>
        <w:spacing w:line="240" w:lineRule="auto" w:before="117" w:after="0"/>
        <w:ind w:left="1105" w:right="0" w:hanging="567"/>
        <w:jc w:val="left"/>
        <w:rPr>
          <w:sz w:val="18"/>
        </w:rPr>
      </w:pPr>
      <w:r>
        <w:rPr>
          <w:sz w:val="18"/>
        </w:rPr>
        <w:t>终末期肾病（或称慢性肾功能衰竭尿毒症期）</w:t>
      </w:r>
    </w:p>
    <w:p>
      <w:pPr>
        <w:pStyle w:val="BodyText"/>
        <w:spacing w:line="338" w:lineRule="auto" w:before="104"/>
        <w:ind w:left="1112" w:right="182"/>
      </w:pPr>
      <w:r>
        <w:rPr/>
        <w:t>指双肾功能慢性不可逆性衰竭，达到尿毒症期，经诊断后已经进行了至少 </w:t>
      </w:r>
      <w:r>
        <w:rPr>
          <w:rFonts w:ascii="Arial" w:eastAsia="Arial"/>
        </w:rPr>
        <w:t>90 </w:t>
      </w:r>
      <w:r>
        <w:rPr/>
        <w:t>日的规律性透析治疗或实施了肾脏移植手术。</w:t>
      </w:r>
    </w:p>
    <w:p>
      <w:pPr>
        <w:spacing w:after="0" w:line="338" w:lineRule="auto"/>
        <w:sectPr>
          <w:pgSz w:w="11910" w:h="16840"/>
          <w:pgMar w:header="672" w:footer="767" w:top="860" w:bottom="960" w:left="880" w:right="740"/>
        </w:sectPr>
      </w:pPr>
    </w:p>
    <w:p>
      <w:pPr>
        <w:pStyle w:val="BodyText"/>
        <w:spacing w:before="9"/>
        <w:ind w:left="0"/>
        <w:rPr>
          <w:sz w:val="13"/>
        </w:rPr>
      </w:pPr>
    </w:p>
    <w:p>
      <w:pPr>
        <w:pStyle w:val="ListParagraph"/>
        <w:numPr>
          <w:ilvl w:val="1"/>
          <w:numId w:val="9"/>
        </w:numPr>
        <w:tabs>
          <w:tab w:pos="1105" w:val="left" w:leader="none"/>
          <w:tab w:pos="1106" w:val="left" w:leader="none"/>
        </w:tabs>
        <w:spacing w:line="240" w:lineRule="auto" w:before="53" w:after="0"/>
        <w:ind w:left="1105" w:right="0" w:hanging="567"/>
        <w:jc w:val="left"/>
        <w:rPr>
          <w:sz w:val="18"/>
        </w:rPr>
      </w:pPr>
      <w:r>
        <w:rPr>
          <w:sz w:val="18"/>
        </w:rPr>
        <w:t>多个肢体缺失</w:t>
      </w:r>
    </w:p>
    <w:p>
      <w:pPr>
        <w:pStyle w:val="BodyText"/>
        <w:ind w:left="1076"/>
      </w:pPr>
      <w:r>
        <w:rPr/>
        <w:t>指因疾病或意外伤害导致两个或两个以上肢体自腕关节或踝关节近端（靠近躯干端）以上完全性断离。</w:t>
      </w:r>
    </w:p>
    <w:p>
      <w:pPr>
        <w:pStyle w:val="ListParagraph"/>
        <w:numPr>
          <w:ilvl w:val="1"/>
          <w:numId w:val="9"/>
        </w:numPr>
        <w:tabs>
          <w:tab w:pos="1105" w:val="left" w:leader="none"/>
          <w:tab w:pos="1106" w:val="left" w:leader="none"/>
        </w:tabs>
        <w:spacing w:line="240" w:lineRule="auto" w:before="117" w:after="0"/>
        <w:ind w:left="1105" w:right="0" w:hanging="567"/>
        <w:jc w:val="left"/>
        <w:rPr>
          <w:sz w:val="18"/>
        </w:rPr>
      </w:pPr>
      <w:r>
        <w:rPr>
          <w:sz w:val="18"/>
        </w:rPr>
        <w:t>急性或亚急性重症肝炎</w:t>
      </w:r>
    </w:p>
    <w:p>
      <w:pPr>
        <w:pStyle w:val="BodyText"/>
        <w:spacing w:line="360" w:lineRule="auto" w:before="104"/>
        <w:ind w:left="1112" w:right="174"/>
      </w:pPr>
      <w:r>
        <w:rPr/>
        <w:t>指因肝炎病毒感染引起肝脏组织弥漫性坏死，导致急性肝功能衰竭，且经血清学或病毒学检查证实，并须满足下列全部条件：</w:t>
      </w:r>
    </w:p>
    <w:p>
      <w:pPr>
        <w:pStyle w:val="BodyText"/>
        <w:spacing w:before="25"/>
        <w:ind w:left="1131"/>
      </w:pPr>
      <w:r>
        <w:rPr>
          <w:w w:val="95"/>
        </w:rPr>
        <w:t>（</w:t>
      </w:r>
      <w:r>
        <w:rPr>
          <w:rFonts w:ascii="Arial" w:eastAsia="Arial"/>
          <w:w w:val="95"/>
        </w:rPr>
        <w:t>1</w:t>
      </w:r>
      <w:r>
        <w:rPr>
          <w:w w:val="95"/>
        </w:rPr>
        <w:t>）重度黄疸或黄疸迅速加重；</w:t>
      </w:r>
    </w:p>
    <w:p>
      <w:pPr>
        <w:pStyle w:val="BodyText"/>
        <w:spacing w:before="102"/>
        <w:ind w:left="1131"/>
      </w:pPr>
      <w:r>
        <w:rPr>
          <w:w w:val="95"/>
        </w:rPr>
        <w:t>（</w:t>
      </w:r>
      <w:r>
        <w:rPr>
          <w:rFonts w:ascii="Arial" w:eastAsia="Arial"/>
          <w:w w:val="95"/>
        </w:rPr>
        <w:t>2</w:t>
      </w:r>
      <w:r>
        <w:rPr>
          <w:w w:val="95"/>
        </w:rPr>
        <w:t>）肝性脑病；</w:t>
      </w:r>
    </w:p>
    <w:p>
      <w:pPr>
        <w:pStyle w:val="BodyText"/>
        <w:spacing w:before="102"/>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4"/>
        <w:ind w:left="1131"/>
      </w:pPr>
      <w:r>
        <w:rPr>
          <w:w w:val="95"/>
        </w:rPr>
        <w:t>（</w:t>
      </w:r>
      <w:r>
        <w:rPr>
          <w:rFonts w:ascii="Arial" w:eastAsia="Arial"/>
          <w:w w:val="95"/>
        </w:rPr>
        <w:t>4</w:t>
      </w:r>
      <w:r>
        <w:rPr>
          <w:w w:val="95"/>
        </w:rPr>
        <w:t>）肝功能指标进行性恶化。</w:t>
      </w:r>
    </w:p>
    <w:p>
      <w:pPr>
        <w:pStyle w:val="ListParagraph"/>
        <w:numPr>
          <w:ilvl w:val="1"/>
          <w:numId w:val="9"/>
        </w:numPr>
        <w:tabs>
          <w:tab w:pos="1105" w:val="left" w:leader="none"/>
          <w:tab w:pos="1106" w:val="left" w:leader="none"/>
        </w:tabs>
        <w:spacing w:line="240" w:lineRule="auto" w:before="104" w:after="0"/>
        <w:ind w:left="1105" w:right="0" w:hanging="567"/>
        <w:jc w:val="left"/>
        <w:rPr>
          <w:sz w:val="18"/>
        </w:rPr>
      </w:pPr>
      <w:r>
        <w:rPr>
          <w:sz w:val="18"/>
        </w:rPr>
        <w:t>良性脑肿瘤</w:t>
      </w:r>
    </w:p>
    <w:p>
      <w:pPr>
        <w:pStyle w:val="BodyText"/>
        <w:spacing w:line="348" w:lineRule="auto" w:before="104"/>
        <w:ind w:left="1112" w:right="151"/>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6"/>
        <w:ind w:left="1131"/>
      </w:pPr>
      <w:r>
        <w:rPr>
          <w:w w:val="95"/>
        </w:rPr>
        <w:t>（</w:t>
      </w:r>
      <w:r>
        <w:rPr>
          <w:rFonts w:ascii="Arial" w:eastAsia="Arial"/>
          <w:w w:val="95"/>
        </w:rPr>
        <w:t>1</w:t>
      </w:r>
      <w:r>
        <w:rPr>
          <w:w w:val="95"/>
        </w:rPr>
        <w:t>）实际实施了开颅进行的脑肿瘤完全切除或部分切除的手术；</w:t>
      </w:r>
    </w:p>
    <w:p>
      <w:pPr>
        <w:pStyle w:val="BodyText"/>
        <w:spacing w:before="101"/>
        <w:ind w:left="1131"/>
      </w:pPr>
      <w:r>
        <w:rPr>
          <w:w w:val="95"/>
        </w:rPr>
        <w:t>（</w:t>
      </w:r>
      <w:r>
        <w:rPr>
          <w:rFonts w:ascii="Arial" w:eastAsia="Arial"/>
          <w:w w:val="95"/>
        </w:rPr>
        <w:t>2</w:t>
      </w:r>
      <w:r>
        <w:rPr>
          <w:w w:val="95"/>
        </w:rPr>
        <w:t>）实际实施了对脑肿瘤进行的放射治疗。</w:t>
      </w:r>
    </w:p>
    <w:p>
      <w:pPr>
        <w:pStyle w:val="Heading3"/>
      </w:pPr>
      <w:r>
        <w:rPr>
          <w:w w:val="95"/>
        </w:rPr>
        <w:t>脑垂体瘤、脑囊肿、脑血管性疾病不在保障范围内。</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慢性肝功能衰竭失代偿期</w:t>
      </w:r>
    </w:p>
    <w:p>
      <w:pPr>
        <w:pStyle w:val="BodyText"/>
        <w:spacing w:before="104"/>
        <w:ind w:left="1112"/>
      </w:pPr>
      <w:r>
        <w:rPr/>
        <w:t>指因慢性肝脏疾病导致肝功能衰竭。须满足下列全部条件：</w:t>
      </w:r>
    </w:p>
    <w:p>
      <w:pPr>
        <w:pStyle w:val="BodyText"/>
        <w:spacing w:before="116"/>
        <w:ind w:left="1071"/>
      </w:pPr>
      <w:r>
        <w:rPr/>
        <w:t>（</w:t>
      </w:r>
      <w:r>
        <w:rPr>
          <w:rFonts w:ascii="Arial" w:eastAsia="Arial"/>
        </w:rPr>
        <w:t>1</w:t>
      </w:r>
      <w:r>
        <w:rPr/>
        <w:t>）持续性黄疸；</w:t>
      </w:r>
    </w:p>
    <w:p>
      <w:pPr>
        <w:pStyle w:val="BodyText"/>
        <w:spacing w:before="101"/>
        <w:ind w:left="1071"/>
      </w:pPr>
      <w:r>
        <w:rPr/>
        <w:t>（</w:t>
      </w:r>
      <w:r>
        <w:rPr>
          <w:rFonts w:ascii="Arial" w:eastAsia="Arial"/>
        </w:rPr>
        <w:t>2</w:t>
      </w:r>
      <w:r>
        <w:rPr/>
        <w:t>）腹水；</w:t>
      </w:r>
    </w:p>
    <w:p>
      <w:pPr>
        <w:pStyle w:val="BodyText"/>
        <w:spacing w:before="101"/>
        <w:ind w:left="1071"/>
      </w:pPr>
      <w:r>
        <w:rPr/>
        <w:t>（</w:t>
      </w:r>
      <w:r>
        <w:rPr>
          <w:rFonts w:ascii="Arial" w:eastAsia="Arial"/>
        </w:rPr>
        <w:t>3</w:t>
      </w:r>
      <w:r>
        <w:rPr/>
        <w:t>）肝性脑病；</w:t>
      </w:r>
    </w:p>
    <w:p>
      <w:pPr>
        <w:spacing w:line="340" w:lineRule="auto" w:before="101"/>
        <w:ind w:left="1112" w:right="4794" w:hanging="41"/>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9"/>
        </w:numPr>
        <w:tabs>
          <w:tab w:pos="1106" w:val="left" w:leader="none"/>
        </w:tabs>
        <w:spacing w:line="240" w:lineRule="auto" w:before="41" w:after="0"/>
        <w:ind w:left="1105" w:right="0" w:hanging="567"/>
        <w:jc w:val="left"/>
        <w:rPr>
          <w:sz w:val="18"/>
        </w:rPr>
      </w:pPr>
      <w:r>
        <w:rPr>
          <w:sz w:val="18"/>
        </w:rPr>
        <w:t>脑炎后遗症或脑膜炎后遗症</w:t>
      </w:r>
    </w:p>
    <w:p>
      <w:pPr>
        <w:pStyle w:val="BodyText"/>
        <w:spacing w:line="338" w:lineRule="auto" w:before="104"/>
        <w:ind w:left="1112" w:right="81"/>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9"/>
        </w:numPr>
        <w:tabs>
          <w:tab w:pos="1529" w:val="left" w:leader="none"/>
          <w:tab w:pos="1530" w:val="left" w:leader="none"/>
        </w:tabs>
        <w:spacing w:line="240" w:lineRule="auto" w:before="40" w:after="0"/>
        <w:ind w:left="1530" w:right="0" w:hanging="425"/>
        <w:jc w:val="left"/>
        <w:rPr>
          <w:rFonts w:ascii="Arial" w:eastAsia="Arial"/>
          <w:sz w:val="18"/>
        </w:rPr>
      </w:pPr>
      <w:r>
        <w:rPr>
          <w:w w:val="95"/>
          <w:sz w:val="18"/>
        </w:rPr>
        <w:t>一肢或一肢以上</w:t>
      </w:r>
      <w:r>
        <w:rPr>
          <w:b/>
          <w:w w:val="95"/>
          <w:sz w:val="18"/>
        </w:rPr>
        <w:t>肢体机能完全丧失</w:t>
      </w:r>
      <w:r>
        <w:rPr>
          <w:w w:val="95"/>
          <w:sz w:val="18"/>
        </w:rPr>
        <w:t>；</w:t>
      </w:r>
    </w:p>
    <w:p>
      <w:pPr>
        <w:pStyle w:val="Heading3"/>
        <w:numPr>
          <w:ilvl w:val="2"/>
          <w:numId w:val="9"/>
        </w:numPr>
        <w:tabs>
          <w:tab w:pos="1529" w:val="left" w:leader="none"/>
          <w:tab w:pos="1530" w:val="left" w:leader="none"/>
        </w:tabs>
        <w:spacing w:line="240" w:lineRule="auto" w:before="101" w:after="0"/>
        <w:ind w:left="1530" w:right="0" w:hanging="425"/>
        <w:jc w:val="left"/>
        <w:rPr>
          <w:rFonts w:ascii="Arial" w:eastAsia="Arial"/>
          <w:b w:val="0"/>
        </w:rPr>
      </w:pPr>
      <w:r>
        <w:rPr>
          <w:w w:val="95"/>
        </w:rPr>
        <w:t>语言能力或咀嚼吞咽能力完全丧失</w:t>
      </w:r>
      <w:r>
        <w:rPr>
          <w:b w:val="0"/>
          <w:w w:val="95"/>
        </w:rPr>
        <w:t>；</w:t>
      </w:r>
    </w:p>
    <w:p>
      <w:pPr>
        <w:pStyle w:val="ListParagraph"/>
        <w:numPr>
          <w:ilvl w:val="2"/>
          <w:numId w:val="9"/>
        </w:numPr>
        <w:tabs>
          <w:tab w:pos="1526" w:val="left" w:leader="none"/>
        </w:tabs>
        <w:spacing w:line="240" w:lineRule="auto" w:before="104" w:after="0"/>
        <w:ind w:left="1525" w:right="0" w:hanging="420"/>
        <w:jc w:val="left"/>
        <w:rPr>
          <w:rFonts w:ascii="Arial" w:eastAsia="Arial"/>
          <w:sz w:val="18"/>
        </w:rPr>
      </w:pPr>
      <w:r>
        <w:rPr>
          <w:w w:val="95"/>
          <w:sz w:val="18"/>
        </w:rPr>
        <w:t>自主生活能力完全丧失，无法独立完成</w:t>
      </w:r>
      <w:r>
        <w:rPr>
          <w:b/>
          <w:w w:val="95"/>
          <w:sz w:val="18"/>
        </w:rPr>
        <w:t>六项基本日常生活活动</w:t>
      </w:r>
      <w:r>
        <w:rPr>
          <w:w w:val="95"/>
          <w:sz w:val="18"/>
        </w:rPr>
        <w:t>中的三项或三项以上。</w:t>
      </w:r>
    </w:p>
    <w:p>
      <w:pPr>
        <w:pStyle w:val="ListParagraph"/>
        <w:numPr>
          <w:ilvl w:val="1"/>
          <w:numId w:val="9"/>
        </w:numPr>
        <w:tabs>
          <w:tab w:pos="1106" w:val="left" w:leader="none"/>
        </w:tabs>
        <w:spacing w:line="240" w:lineRule="auto" w:before="104" w:after="0"/>
        <w:ind w:left="1105" w:right="0" w:hanging="567"/>
        <w:jc w:val="left"/>
        <w:rPr>
          <w:sz w:val="18"/>
        </w:rPr>
      </w:pPr>
      <w:r>
        <w:rPr>
          <w:sz w:val="18"/>
        </w:rPr>
        <w:t>深度昏迷</w:t>
      </w:r>
    </w:p>
    <w:p>
      <w:pPr>
        <w:pStyle w:val="BodyText"/>
        <w:spacing w:line="340" w:lineRule="auto"/>
        <w:ind w:left="1131" w:right="430"/>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分以下，且已经持续使用呼吸机及其他生命维持系统 </w:t>
      </w:r>
      <w:r>
        <w:rPr>
          <w:rFonts w:ascii="Arial" w:eastAsia="Arial"/>
        </w:rPr>
        <w:t>96 </w:t>
      </w:r>
      <w:r>
        <w:rPr/>
        <w:t>小时以上。</w:t>
      </w:r>
    </w:p>
    <w:p>
      <w:pPr>
        <w:pStyle w:val="Heading3"/>
        <w:spacing w:before="19"/>
      </w:pPr>
      <w:r>
        <w:rPr>
          <w:w w:val="95"/>
        </w:rPr>
        <w:t>因酗酒或药物滥用导致的深度昏迷不在保障范围内。</w:t>
      </w:r>
    </w:p>
    <w:p>
      <w:pPr>
        <w:pStyle w:val="ListParagraph"/>
        <w:numPr>
          <w:ilvl w:val="1"/>
          <w:numId w:val="9"/>
        </w:numPr>
        <w:tabs>
          <w:tab w:pos="1156" w:val="left" w:leader="none"/>
        </w:tabs>
        <w:spacing w:line="240" w:lineRule="auto" w:before="119" w:after="0"/>
        <w:ind w:left="1155" w:right="0" w:hanging="617"/>
        <w:jc w:val="left"/>
        <w:rPr>
          <w:sz w:val="18"/>
        </w:rPr>
      </w:pPr>
      <w:r>
        <w:rPr>
          <w:sz w:val="18"/>
        </w:rPr>
        <w:t>双耳失聪</w:t>
      </w:r>
    </w:p>
    <w:p>
      <w:pPr>
        <w:pStyle w:val="BodyText"/>
        <w:spacing w:before="105"/>
        <w:ind w:left="1102"/>
      </w:pPr>
      <w:r>
        <w:rPr/>
        <w:t>指双耳均于被保险人出生满三周岁后出现因疾病或意外伤害导致双耳听力</w:t>
      </w:r>
      <w:r>
        <w:rPr>
          <w:b/>
        </w:rPr>
        <w:t>永久不可逆性</w:t>
      </w:r>
      <w:r>
        <w:rPr/>
        <w:t>（见释义）丧失，在 </w:t>
      </w:r>
      <w:r>
        <w:rPr>
          <w:rFonts w:ascii="Arial" w:eastAsia="Arial"/>
        </w:rPr>
        <w:t>500 </w:t>
      </w:r>
      <w:r>
        <w:rPr/>
        <w:t>赫</w:t>
      </w:r>
    </w:p>
    <w:p>
      <w:pPr>
        <w:pStyle w:val="BodyText"/>
        <w:spacing w:line="338" w:lineRule="auto" w:before="102"/>
        <w:ind w:left="1102" w:right="233"/>
      </w:pPr>
      <w:r>
        <w:rPr/>
        <w:t>兹、</w:t>
      </w:r>
      <w:r>
        <w:rPr>
          <w:rFonts w:ascii="Arial" w:eastAsia="Arial"/>
        </w:rPr>
        <w:t>1000 </w:t>
      </w:r>
      <w:r>
        <w:rPr>
          <w:spacing w:val="-12"/>
        </w:rPr>
        <w:t>赫兹和 </w:t>
      </w:r>
      <w:r>
        <w:rPr>
          <w:rFonts w:ascii="Arial" w:eastAsia="Arial"/>
        </w:rPr>
        <w:t>2000 </w:t>
      </w:r>
      <w:r>
        <w:rPr>
          <w:spacing w:val="-5"/>
        </w:rPr>
        <w:t>赫兹语音频率下，平均听阈大于 </w:t>
      </w:r>
      <w:r>
        <w:rPr>
          <w:rFonts w:ascii="Arial" w:eastAsia="Arial"/>
        </w:rPr>
        <w:t>90 </w:t>
      </w:r>
      <w:r>
        <w:rPr>
          <w:spacing w:val="-2"/>
        </w:rPr>
        <w:t>分贝，且经纯音听力测试、声导抗检测或听觉诱发电位检测等证实。</w:t>
      </w:r>
    </w:p>
    <w:p>
      <w:pPr>
        <w:pStyle w:val="Heading3"/>
        <w:spacing w:before="43"/>
        <w:ind w:left="1210"/>
      </w:pPr>
      <w:r>
        <w:rPr>
          <w:w w:val="95"/>
        </w:rPr>
        <w:t>申请理赔时被保险人需提供理赔当时的听力丧失诊断及检查证据。</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双目失明</w:t>
      </w:r>
    </w:p>
    <w:p>
      <w:pPr>
        <w:pStyle w:val="BodyText"/>
        <w:spacing w:line="357" w:lineRule="auto" w:before="104"/>
        <w:ind w:left="1102" w:right="179"/>
      </w:pPr>
      <w:r>
        <w:rPr/>
        <w:t>指双目均于被保险人出生满三周岁后出现因疾病或意外伤害导致双眼视力</w:t>
      </w:r>
      <w:r>
        <w:rPr>
          <w:b/>
        </w:rPr>
        <w:t>永久不可逆性</w:t>
      </w:r>
      <w:r>
        <w:rPr/>
        <w:t>丧失，双眼中较好眼须满足下列至少一项条件：</w:t>
      </w:r>
    </w:p>
    <w:p>
      <w:pPr>
        <w:spacing w:after="0" w:line="357" w:lineRule="auto"/>
        <w:sectPr>
          <w:pgSz w:w="11910" w:h="16840"/>
          <w:pgMar w:header="672" w:footer="767" w:top="860" w:bottom="960" w:left="880" w:right="740"/>
        </w:sectPr>
      </w:pPr>
    </w:p>
    <w:p>
      <w:pPr>
        <w:pStyle w:val="BodyText"/>
        <w:spacing w:before="9"/>
        <w:ind w:left="0"/>
        <w:rPr>
          <w:sz w:val="13"/>
        </w:rPr>
      </w:pPr>
    </w:p>
    <w:p>
      <w:pPr>
        <w:pStyle w:val="BodyText"/>
        <w:spacing w:before="53"/>
        <w:ind w:left="1210"/>
        <w:jc w:val="both"/>
      </w:pPr>
      <w:r>
        <w:rPr>
          <w:w w:val="95"/>
        </w:rPr>
        <w:t>（</w:t>
      </w:r>
      <w:r>
        <w:rPr>
          <w:rFonts w:ascii="Arial" w:eastAsia="Arial"/>
          <w:w w:val="95"/>
        </w:rPr>
        <w:t>1</w:t>
      </w:r>
      <w:r>
        <w:rPr>
          <w:w w:val="95"/>
        </w:rPr>
        <w:t>）眼球缺失或摘除；</w:t>
      </w:r>
    </w:p>
    <w:p>
      <w:pPr>
        <w:pStyle w:val="BodyText"/>
        <w:spacing w:before="103"/>
        <w:ind w:left="1210"/>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10"/>
        <w:jc w:val="both"/>
      </w:pPr>
      <w:r>
        <w:rPr/>
        <w:t>（</w:t>
      </w:r>
      <w:r>
        <w:rPr>
          <w:rFonts w:ascii="Arial" w:eastAsia="Arial"/>
        </w:rPr>
        <w:t>3</w:t>
      </w:r>
      <w:r>
        <w:rPr/>
        <w:t>）视野半径小于 </w:t>
      </w:r>
      <w:r>
        <w:rPr>
          <w:rFonts w:ascii="Arial" w:eastAsia="Arial"/>
        </w:rPr>
        <w:t>5 </w:t>
      </w:r>
      <w:r>
        <w:rPr/>
        <w:t>度。</w:t>
      </w:r>
    </w:p>
    <w:p>
      <w:pPr>
        <w:pStyle w:val="Heading3"/>
        <w:ind w:left="1210"/>
        <w:jc w:val="both"/>
        <w:rPr>
          <w:b w:val="0"/>
        </w:rPr>
      </w:pPr>
      <w:r>
        <w:rPr>
          <w:w w:val="95"/>
        </w:rPr>
        <w:t>申请理赔时，被保险人需提供理赔当时的视力丧失诊断及检查证据</w:t>
      </w:r>
      <w:r>
        <w:rPr>
          <w:b w:val="0"/>
          <w:w w:val="95"/>
        </w:rPr>
        <w:t>。</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瘫痪</w:t>
      </w:r>
    </w:p>
    <w:p>
      <w:pPr>
        <w:pStyle w:val="BodyText"/>
        <w:spacing w:before="104"/>
        <w:ind w:left="1112"/>
        <w:jc w:val="both"/>
      </w:pPr>
      <w:r>
        <w:rPr/>
        <w:t>指因疾病或意外伤害导致两肢或两肢以上肢体机能永久完全丧失。肢体机能永久完全丧失，指疾病确诊 </w:t>
      </w:r>
      <w:r>
        <w:rPr>
          <w:rFonts w:ascii="Arial" w:eastAsia="Arial"/>
        </w:rPr>
        <w:t>180 </w:t>
      </w:r>
      <w:r>
        <w:rPr/>
        <w:t>日后或</w:t>
      </w:r>
    </w:p>
    <w:p>
      <w:pPr>
        <w:pStyle w:val="BodyText"/>
        <w:spacing w:before="104"/>
        <w:ind w:left="1112"/>
        <w:jc w:val="both"/>
      </w:pPr>
      <w:r>
        <w:rPr/>
        <w:t>意外伤害发生 </w:t>
      </w:r>
      <w:r>
        <w:rPr>
          <w:rFonts w:ascii="Arial" w:eastAsia="Arial"/>
        </w:rPr>
        <w:t>180 </w:t>
      </w:r>
      <w:r>
        <w:rPr/>
        <w:t>日后，每肢三大关节中的两大关节仍然完全僵硬，或不能随意识活动。</w:t>
      </w:r>
    </w:p>
    <w:p>
      <w:pPr>
        <w:pStyle w:val="ListParagraph"/>
        <w:numPr>
          <w:ilvl w:val="1"/>
          <w:numId w:val="9"/>
        </w:numPr>
        <w:tabs>
          <w:tab w:pos="1106" w:val="left" w:leader="none"/>
        </w:tabs>
        <w:spacing w:line="240" w:lineRule="auto" w:before="104" w:after="0"/>
        <w:ind w:left="1105" w:right="0" w:hanging="567"/>
        <w:jc w:val="left"/>
        <w:rPr>
          <w:sz w:val="18"/>
        </w:rPr>
      </w:pPr>
      <w:r>
        <w:rPr>
          <w:sz w:val="18"/>
        </w:rPr>
        <w:t>心脏瓣膜手术</w:t>
      </w:r>
    </w:p>
    <w:p>
      <w:pPr>
        <w:pStyle w:val="BodyText"/>
        <w:spacing w:before="104"/>
        <w:ind w:left="1112"/>
        <w:jc w:val="both"/>
      </w:pPr>
      <w:r>
        <w:rPr/>
        <w:t>指为治疗心脏瓣膜疾病，实际实施了开胸进行的心脏瓣膜置换或修复的手术。</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严重阿尔茨海默病</w:t>
      </w:r>
    </w:p>
    <w:p>
      <w:pPr>
        <w:pStyle w:val="BodyText"/>
        <w:spacing w:line="345" w:lineRule="auto" w:before="104"/>
        <w:ind w:left="1112" w:right="141"/>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w:t>
      </w:r>
      <w:r>
        <w:rPr>
          <w:b/>
        </w:rPr>
        <w:t>六项基本日常生活活动中</w:t>
      </w:r>
      <w:r>
        <w:rPr/>
        <w:t>的三项或三项以上。</w:t>
      </w:r>
    </w:p>
    <w:p>
      <w:pPr>
        <w:pStyle w:val="Heading3"/>
        <w:spacing w:before="35"/>
      </w:pPr>
      <w:r>
        <w:rPr>
          <w:w w:val="95"/>
        </w:rPr>
        <w:t>神经官能症和精神疾病不在保障范围内。</w:t>
      </w:r>
    </w:p>
    <w:p>
      <w:pPr>
        <w:pStyle w:val="ListParagraph"/>
        <w:numPr>
          <w:ilvl w:val="1"/>
          <w:numId w:val="9"/>
        </w:numPr>
        <w:tabs>
          <w:tab w:pos="1106" w:val="left" w:leader="none"/>
        </w:tabs>
        <w:spacing w:line="240" w:lineRule="auto" w:before="116" w:after="0"/>
        <w:ind w:left="1105" w:right="0" w:hanging="567"/>
        <w:jc w:val="left"/>
        <w:rPr>
          <w:sz w:val="18"/>
        </w:rPr>
      </w:pPr>
      <w:r>
        <w:rPr>
          <w:sz w:val="18"/>
        </w:rPr>
        <w:t>严重脑损伤</w:t>
      </w:r>
    </w:p>
    <w:p>
      <w:pPr>
        <w:pStyle w:val="BodyText"/>
        <w:spacing w:line="338" w:lineRule="auto" w:before="103"/>
        <w:ind w:left="1112" w:right="114"/>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21"/>
        <w:ind w:left="1112"/>
        <w:jc w:val="both"/>
      </w:pPr>
      <w:r>
        <w:rPr>
          <w:rFonts w:ascii="Arial" w:eastAsia="Arial"/>
        </w:rPr>
        <w:t>180 </w:t>
      </w:r>
      <w:r>
        <w:rPr/>
        <w:t>日后，仍遗留下列一种或一种以上障碍：</w:t>
      </w:r>
    </w:p>
    <w:p>
      <w:pPr>
        <w:spacing w:before="102"/>
        <w:ind w:left="1011"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w:t>
      </w:r>
    </w:p>
    <w:p>
      <w:pPr>
        <w:spacing w:before="102"/>
        <w:ind w:left="1011"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w:t>
      </w:r>
    </w:p>
    <w:p>
      <w:pPr>
        <w:spacing w:before="102"/>
        <w:ind w:left="1011"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中的三项或三项以上。</w:t>
      </w:r>
    </w:p>
    <w:p>
      <w:pPr>
        <w:pStyle w:val="ListParagraph"/>
        <w:numPr>
          <w:ilvl w:val="1"/>
          <w:numId w:val="9"/>
        </w:numPr>
        <w:tabs>
          <w:tab w:pos="1106" w:val="left" w:leader="none"/>
        </w:tabs>
        <w:spacing w:line="240" w:lineRule="auto" w:before="107" w:after="0"/>
        <w:ind w:left="1105" w:right="0" w:hanging="567"/>
        <w:jc w:val="left"/>
        <w:rPr>
          <w:sz w:val="18"/>
        </w:rPr>
      </w:pPr>
      <w:r>
        <w:rPr>
          <w:sz w:val="18"/>
        </w:rPr>
        <w:t>严重帕金森病</w:t>
      </w:r>
    </w:p>
    <w:p>
      <w:pPr>
        <w:pStyle w:val="BodyText"/>
        <w:spacing w:before="102"/>
        <w:ind w:left="1112"/>
        <w:jc w:val="both"/>
      </w:pPr>
      <w:r>
        <w:rPr/>
        <w:t>是一种中枢神经系统的退行性疾病，临床表现为震颤麻痹、共济失调等。须满足下列全部条件：</w:t>
      </w:r>
    </w:p>
    <w:p>
      <w:pPr>
        <w:pStyle w:val="BodyText"/>
        <w:spacing w:before="117"/>
        <w:ind w:left="1011"/>
        <w:jc w:val="both"/>
      </w:pPr>
      <w:r>
        <w:rPr/>
        <w:t>（</w:t>
      </w:r>
      <w:r>
        <w:rPr>
          <w:rFonts w:ascii="Arial" w:eastAsia="Arial"/>
        </w:rPr>
        <w:t>1</w:t>
      </w:r>
      <w:r>
        <w:rPr/>
        <w:t>）药物治疗无法控制病情；</w:t>
      </w:r>
    </w:p>
    <w:p>
      <w:pPr>
        <w:spacing w:line="338" w:lineRule="auto" w:before="101"/>
        <w:ind w:left="1112" w:right="2148" w:hanging="101"/>
        <w:jc w:val="left"/>
        <w:rPr>
          <w:b/>
          <w:sz w:val="18"/>
        </w:rPr>
      </w:pPr>
      <w:r>
        <w:rPr>
          <w:sz w:val="18"/>
        </w:rPr>
        <w:t>（</w:t>
      </w:r>
      <w:r>
        <w:rPr>
          <w:rFonts w:ascii="Arial" w:eastAsia="Arial"/>
          <w:sz w:val="18"/>
        </w:rPr>
        <w:t>2</w:t>
      </w:r>
      <w:r>
        <w:rPr>
          <w:sz w:val="18"/>
        </w:rPr>
        <w:t>）自主生活能力完全丧失，无法独立完成</w:t>
      </w:r>
      <w:r>
        <w:rPr>
          <w:b/>
          <w:sz w:val="18"/>
        </w:rPr>
        <w:t>六项基本日常生活活动</w:t>
      </w:r>
      <w:r>
        <w:rPr>
          <w:sz w:val="18"/>
        </w:rPr>
        <w:t>中的三项或三项以上。</w:t>
      </w:r>
      <w:r>
        <w:rPr>
          <w:b/>
          <w:w w:val="95"/>
          <w:sz w:val="18"/>
        </w:rPr>
        <w:t>继发性帕金森综合征不在保障范围内。</w:t>
      </w:r>
    </w:p>
    <w:p>
      <w:pPr>
        <w:pStyle w:val="ListParagraph"/>
        <w:numPr>
          <w:ilvl w:val="1"/>
          <w:numId w:val="9"/>
        </w:numPr>
        <w:tabs>
          <w:tab w:pos="1106" w:val="left" w:leader="none"/>
        </w:tabs>
        <w:spacing w:line="240" w:lineRule="auto" w:before="43" w:after="0"/>
        <w:ind w:left="1105" w:right="0" w:hanging="567"/>
        <w:jc w:val="left"/>
        <w:rPr>
          <w:sz w:val="18"/>
        </w:rPr>
      </w:pPr>
      <w:r>
        <w:rPr>
          <w:spacing w:val="-1"/>
          <w:sz w:val="18"/>
        </w:rPr>
        <w:t>严重Ⅲ度烧伤</w:t>
      </w:r>
    </w:p>
    <w:p>
      <w:pPr>
        <w:pStyle w:val="BodyText"/>
        <w:spacing w:line="340" w:lineRule="auto" w:before="104"/>
        <w:ind w:left="1112" w:right="262"/>
      </w:pPr>
      <w:r>
        <w:rPr>
          <w:spacing w:val="-2"/>
        </w:rPr>
        <w:t>指烧伤程度为Ⅲ度，且Ⅲ度烧伤的面积达到全身体表面积的 </w:t>
      </w:r>
      <w:r>
        <w:rPr>
          <w:rFonts w:ascii="Arial" w:hAnsi="Arial" w:eastAsia="Arial"/>
        </w:rPr>
        <w:t>20%</w:t>
      </w:r>
      <w:r>
        <w:rPr>
          <w:spacing w:val="-24"/>
        </w:rPr>
        <w:t>或 </w:t>
      </w:r>
      <w:r>
        <w:rPr>
          <w:rFonts w:ascii="Arial" w:hAnsi="Arial" w:eastAsia="Arial"/>
        </w:rPr>
        <w:t>20%</w:t>
      </w:r>
      <w:r>
        <w:rPr>
          <w:spacing w:val="-1"/>
        </w:rPr>
        <w:t>以上。体表面积根据《中国新九分法》计算。</w:t>
      </w:r>
    </w:p>
    <w:p>
      <w:pPr>
        <w:pStyle w:val="ListParagraph"/>
        <w:numPr>
          <w:ilvl w:val="1"/>
          <w:numId w:val="9"/>
        </w:numPr>
        <w:tabs>
          <w:tab w:pos="1106" w:val="left" w:leader="none"/>
        </w:tabs>
        <w:spacing w:line="240" w:lineRule="auto" w:before="41" w:after="0"/>
        <w:ind w:left="1105" w:right="0" w:hanging="567"/>
        <w:jc w:val="left"/>
        <w:rPr>
          <w:sz w:val="18"/>
        </w:rPr>
      </w:pPr>
      <w:r>
        <w:rPr>
          <w:spacing w:val="-1"/>
          <w:sz w:val="18"/>
        </w:rPr>
        <w:t>严重原发性肺动脉高压</w:t>
      </w:r>
    </w:p>
    <w:p>
      <w:pPr>
        <w:pStyle w:val="BodyText"/>
        <w:spacing w:line="357" w:lineRule="auto" w:before="104"/>
        <w:ind w:right="357"/>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9"/>
        </w:numPr>
        <w:tabs>
          <w:tab w:pos="1106" w:val="left" w:leader="none"/>
        </w:tabs>
        <w:spacing w:line="240" w:lineRule="auto" w:before="5" w:after="0"/>
        <w:ind w:left="1105" w:right="0" w:hanging="567"/>
        <w:jc w:val="left"/>
        <w:rPr>
          <w:sz w:val="18"/>
        </w:rPr>
      </w:pPr>
      <w:r>
        <w:rPr>
          <w:spacing w:val="-1"/>
          <w:sz w:val="18"/>
        </w:rPr>
        <w:t>严重运动神经元病</w:t>
      </w:r>
    </w:p>
    <w:p>
      <w:pPr>
        <w:pStyle w:val="BodyText"/>
        <w:spacing w:line="357" w:lineRule="auto"/>
        <w:ind w:left="1076" w:right="205"/>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ListParagraph"/>
        <w:numPr>
          <w:ilvl w:val="1"/>
          <w:numId w:val="9"/>
        </w:numPr>
        <w:tabs>
          <w:tab w:pos="1106" w:val="left" w:leader="none"/>
        </w:tabs>
        <w:spacing w:line="240" w:lineRule="auto" w:before="30" w:after="0"/>
        <w:ind w:left="1105" w:right="0" w:hanging="567"/>
        <w:jc w:val="left"/>
        <w:rPr>
          <w:sz w:val="18"/>
        </w:rPr>
      </w:pPr>
      <w:r>
        <w:rPr>
          <w:sz w:val="18"/>
        </w:rPr>
        <w:t>语言能力丧失</w:t>
      </w:r>
    </w:p>
    <w:p>
      <w:pPr>
        <w:pStyle w:val="BodyText"/>
        <w:spacing w:line="338" w:lineRule="auto" w:before="103"/>
        <w:ind w:left="1112" w:right="180"/>
      </w:pPr>
      <w:r>
        <w:rPr/>
        <w:t>指被保险人出生满三周岁后出现因疾病或意外伤害导致完全丧失语言能力，经过积极治疗至少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0"/>
        <w:jc w:val="both"/>
      </w:pPr>
      <w:r>
        <w:rPr>
          <w:w w:val="95"/>
        </w:rPr>
        <w:t>精神心理因素所致的语言能力丧失不在保障范围内。</w:t>
      </w:r>
    </w:p>
    <w:p>
      <w:pPr>
        <w:spacing w:after="0"/>
        <w:jc w:val="both"/>
        <w:sectPr>
          <w:pgSz w:w="11910" w:h="16840"/>
          <w:pgMar w:header="672" w:footer="767" w:top="860" w:bottom="960" w:left="880" w:right="740"/>
        </w:sectPr>
      </w:pPr>
    </w:p>
    <w:p>
      <w:pPr>
        <w:pStyle w:val="BodyText"/>
        <w:spacing w:before="5"/>
        <w:ind w:left="0"/>
        <w:rPr>
          <w:b/>
          <w:sz w:val="14"/>
        </w:rPr>
      </w:pPr>
    </w:p>
    <w:p>
      <w:pPr>
        <w:spacing w:before="44"/>
        <w:ind w:left="1112" w:right="0" w:firstLine="0"/>
        <w:jc w:val="left"/>
        <w:rPr>
          <w:b/>
          <w:sz w:val="18"/>
        </w:rPr>
      </w:pPr>
      <w:r>
        <w:rPr>
          <w:b/>
          <w:sz w:val="18"/>
        </w:rPr>
        <w:t>申请理赔时，被保险人需提供理赔当时的语言能力丧失诊断及检查证据 。</w:t>
      </w:r>
    </w:p>
    <w:p>
      <w:pPr>
        <w:pStyle w:val="ListParagraph"/>
        <w:numPr>
          <w:ilvl w:val="1"/>
          <w:numId w:val="9"/>
        </w:numPr>
        <w:tabs>
          <w:tab w:pos="1106" w:val="left" w:leader="none"/>
        </w:tabs>
        <w:spacing w:line="240" w:lineRule="auto" w:before="119" w:after="0"/>
        <w:ind w:left="1105" w:right="0" w:hanging="567"/>
        <w:jc w:val="left"/>
        <w:rPr>
          <w:sz w:val="18"/>
        </w:rPr>
      </w:pPr>
      <w:r>
        <w:rPr>
          <w:sz w:val="18"/>
        </w:rPr>
        <w:t>重型再生障碍性贫血</w:t>
      </w:r>
    </w:p>
    <w:p>
      <w:pPr>
        <w:pStyle w:val="BodyText"/>
        <w:spacing w:before="102"/>
        <w:ind w:left="1112"/>
      </w:pPr>
      <w:r>
        <w:rPr/>
        <w:t>指因骨髓造血功能慢性持续性衰竭导致的贫血、中性粒细胞减少及血小板减少。须满足下列全部条件：</w:t>
      </w:r>
    </w:p>
    <w:p>
      <w:pPr>
        <w:pStyle w:val="BodyText"/>
        <w:spacing w:before="117"/>
        <w:ind w:left="1011"/>
        <w:jc w:val="both"/>
      </w:pPr>
      <w:r>
        <w:rPr/>
        <w:t>（</w:t>
      </w:r>
      <w:r>
        <w:rPr>
          <w:rFonts w:ascii="Arial" w:eastAsia="Arial"/>
        </w:rPr>
        <w:t>1</w:t>
      </w:r>
      <w:r>
        <w:rPr/>
        <w:t>）骨髓穿刺检查或骨髓活检结果支持诊断；</w:t>
      </w:r>
    </w:p>
    <w:p>
      <w:pPr>
        <w:pStyle w:val="BodyText"/>
        <w:spacing w:before="102"/>
        <w:ind w:left="1011"/>
        <w:jc w:val="both"/>
      </w:pPr>
      <w:r>
        <w:rPr/>
        <w:t>（</w:t>
      </w:r>
      <w:r>
        <w:rPr>
          <w:rFonts w:ascii="Arial" w:eastAsia="Arial"/>
        </w:rPr>
        <w:t>2</w:t>
      </w:r>
      <w:r>
        <w:rPr/>
        <w:t>）外周血象须具备以下三项条件：</w:t>
      </w:r>
    </w:p>
    <w:p>
      <w:pPr>
        <w:pStyle w:val="BodyText"/>
        <w:spacing w:before="102"/>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4"/>
        <w:ind w:left="1611"/>
      </w:pPr>
      <w:r>
        <w:rPr/>
        <w:t>② 网织红细胞＜</w:t>
      </w:r>
      <w:r>
        <w:rPr>
          <w:rFonts w:ascii="Arial" w:hAnsi="Arial" w:eastAsia="Arial"/>
        </w:rPr>
        <w:t>1%</w:t>
      </w:r>
      <w:r>
        <w:rPr/>
        <w:t>；</w:t>
      </w:r>
    </w:p>
    <w:p>
      <w:pPr>
        <w:pStyle w:val="BodyText"/>
        <w:spacing w:before="101"/>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9"/>
        </w:numPr>
        <w:tabs>
          <w:tab w:pos="1106" w:val="left" w:leader="none"/>
        </w:tabs>
        <w:spacing w:line="240" w:lineRule="auto" w:before="104" w:after="0"/>
        <w:ind w:left="1105" w:right="0" w:hanging="567"/>
        <w:jc w:val="left"/>
        <w:rPr>
          <w:sz w:val="18"/>
        </w:rPr>
      </w:pPr>
      <w:r>
        <w:rPr>
          <w:sz w:val="18"/>
        </w:rPr>
        <w:t>主动脉手术</w:t>
      </w:r>
    </w:p>
    <w:p>
      <w:pPr>
        <w:pStyle w:val="BodyText"/>
        <w:spacing w:line="357" w:lineRule="auto" w:before="104"/>
        <w:ind w:left="1112" w:right="172"/>
      </w:pPr>
      <w:r>
        <w:rPr/>
        <w:t>指为治疗主动脉疾病，实际实施了开胸或开腹进行的切除、置换、修补病损主动脉血管的手术。主动脉指胸主动脉和腹主动脉，不包括胸主动脉和腹主动脉的分支血管。</w:t>
      </w:r>
    </w:p>
    <w:p>
      <w:pPr>
        <w:pStyle w:val="Heading3"/>
        <w:spacing w:before="26"/>
      </w:pPr>
      <w:r>
        <w:rPr>
          <w:w w:val="95"/>
        </w:rPr>
        <w:t>动脉内血管成形术不在保障范围内。</w:t>
      </w:r>
    </w:p>
    <w:p>
      <w:pPr>
        <w:pStyle w:val="ListParagraph"/>
        <w:numPr>
          <w:ilvl w:val="1"/>
          <w:numId w:val="9"/>
        </w:numPr>
        <w:tabs>
          <w:tab w:pos="1106" w:val="left" w:leader="none"/>
        </w:tabs>
        <w:spacing w:line="240" w:lineRule="auto" w:before="119" w:after="0"/>
        <w:ind w:left="1105" w:right="0" w:hanging="567"/>
        <w:jc w:val="left"/>
        <w:rPr>
          <w:sz w:val="18"/>
        </w:rPr>
      </w:pPr>
      <w:r>
        <w:rPr>
          <w:spacing w:val="-1"/>
          <w:sz w:val="18"/>
        </w:rPr>
        <w:t>严重多发性硬化</w:t>
      </w:r>
    </w:p>
    <w:p>
      <w:pPr>
        <w:pStyle w:val="BodyText"/>
        <w:spacing w:line="357" w:lineRule="auto" w:before="104"/>
        <w:ind w:right="181"/>
        <w:jc w:val="both"/>
      </w:pPr>
      <w:r>
        <w:rPr/>
        <w:t>多发性硬化是一种中枢神经系统脱髓鞘性疾病。该病必须经本公司认可的医院的神经科专科医师确诊。本保障仅对多发性硬化造成神经系统功能的永久性损害予以理赔。所谓神经系统功能的永久性损害是指诊断为多发性硬化后， 被保险人已持续 </w:t>
      </w:r>
      <w:r>
        <w:rPr>
          <w:rFonts w:ascii="Arial" w:eastAsia="Arial"/>
        </w:rPr>
        <w:t>180 </w:t>
      </w:r>
      <w:r>
        <w:rPr/>
        <w:t>天无法独立完成</w:t>
      </w:r>
      <w:r>
        <w:rPr>
          <w:b/>
        </w:rPr>
        <w:t>六项基本日常生活活动</w:t>
      </w:r>
      <w:r>
        <w:rPr/>
        <w:t>中的三项或三项以上。</w:t>
      </w:r>
    </w:p>
    <w:p>
      <w:pPr>
        <w:pStyle w:val="ListParagraph"/>
        <w:numPr>
          <w:ilvl w:val="1"/>
          <w:numId w:val="9"/>
        </w:numPr>
        <w:tabs>
          <w:tab w:pos="1106" w:val="left" w:leader="none"/>
        </w:tabs>
        <w:spacing w:line="240" w:lineRule="auto" w:before="5" w:after="0"/>
        <w:ind w:left="1105" w:right="0" w:hanging="567"/>
        <w:jc w:val="left"/>
        <w:rPr>
          <w:sz w:val="18"/>
        </w:rPr>
      </w:pPr>
      <w:r>
        <w:rPr>
          <w:spacing w:val="-5"/>
          <w:sz w:val="18"/>
        </w:rPr>
        <w:t>因职业关系导致的 </w:t>
      </w:r>
      <w:r>
        <w:rPr>
          <w:rFonts w:ascii="Arial" w:eastAsia="Arial"/>
          <w:sz w:val="18"/>
        </w:rPr>
        <w:t>HIV</w:t>
      </w:r>
      <w:r>
        <w:rPr>
          <w:rFonts w:ascii="Arial" w:eastAsia="Arial"/>
          <w:spacing w:val="-11"/>
          <w:sz w:val="18"/>
        </w:rPr>
        <w:t> </w:t>
      </w:r>
      <w:r>
        <w:rPr>
          <w:sz w:val="18"/>
        </w:rPr>
        <w:t>感染</w:t>
      </w:r>
    </w:p>
    <w:p>
      <w:pPr>
        <w:pStyle w:val="BodyText"/>
        <w:spacing w:before="104"/>
        <w:ind w:left="1112"/>
      </w:pPr>
      <w:r>
        <w:rPr/>
        <w:t>被保险人在其常规职业工作过程中遭遇外伤，或者职业需要处理血液或者其他体液时感染上人类免疫缺陷病毒</w:t>
      </w:r>
    </w:p>
    <w:p>
      <w:pPr>
        <w:pStyle w:val="BodyText"/>
        <w:spacing w:before="117"/>
        <w:ind w:left="1112"/>
      </w:pPr>
      <w:r>
        <w:rPr/>
        <w:t>（</w:t>
      </w:r>
      <w:r>
        <w:rPr>
          <w:rFonts w:ascii="Arial" w:eastAsia="Arial"/>
        </w:rPr>
        <w:t>HIV</w:t>
      </w:r>
      <w:r>
        <w:rPr/>
        <w:t>）。</w:t>
      </w:r>
    </w:p>
    <w:p>
      <w:pPr>
        <w:pStyle w:val="BodyText"/>
        <w:spacing w:before="101"/>
        <w:ind w:left="1112"/>
      </w:pPr>
      <w:r>
        <w:rPr/>
        <w:t>理赔必须符合下列所有条件：</w:t>
      </w:r>
    </w:p>
    <w:p>
      <w:pPr>
        <w:pStyle w:val="BodyText"/>
        <w:spacing w:before="114"/>
        <w:ind w:left="1112"/>
      </w:pPr>
      <w:r>
        <w:rPr/>
        <w:t>（</w:t>
      </w:r>
      <w:r>
        <w:rPr>
          <w:rFonts w:ascii="Arial" w:eastAsia="Arial"/>
        </w:rPr>
        <w:t>1</w:t>
      </w:r>
      <w:r>
        <w:rPr/>
        <w:t>）感染必须是在被保险人正在从事其职业工作中发生，该职业必须属于以下列表内的职业；</w:t>
      </w:r>
    </w:p>
    <w:p>
      <w:pPr>
        <w:pStyle w:val="BodyText"/>
        <w:spacing w:line="340" w:lineRule="auto" w:before="102"/>
        <w:ind w:left="1112" w:right="220"/>
      </w:pPr>
      <w:r>
        <w:rPr/>
        <w:t>（</w:t>
      </w:r>
      <w:r>
        <w:rPr>
          <w:rFonts w:ascii="Arial" w:eastAsia="Arial"/>
        </w:rPr>
        <w:t>2</w:t>
      </w:r>
      <w:r>
        <w:rPr/>
        <w:t>）</w:t>
      </w:r>
      <w:r>
        <w:rPr>
          <w:spacing w:val="-3"/>
        </w:rPr>
        <w:t>必须提供被保险人在所报事故发生后的 </w:t>
      </w:r>
      <w:r>
        <w:rPr>
          <w:rFonts w:ascii="Arial" w:eastAsia="Arial"/>
        </w:rPr>
        <w:t>5 </w:t>
      </w:r>
      <w:r>
        <w:rPr>
          <w:spacing w:val="-3"/>
        </w:rPr>
        <w:t>天以内进行的检查报告，该报告必须显示被保险人血液 </w:t>
      </w:r>
      <w:r>
        <w:rPr>
          <w:rFonts w:ascii="Arial" w:eastAsia="Arial"/>
        </w:rPr>
        <w:t>HIV </w:t>
      </w:r>
      <w:r>
        <w:rPr/>
        <w:t>病毒阴性和</w:t>
      </w:r>
      <w:r>
        <w:rPr>
          <w:rFonts w:ascii="Arial" w:eastAsia="Arial"/>
        </w:rPr>
        <w:t>/</w:t>
      </w:r>
      <w:r>
        <w:rPr>
          <w:spacing w:val="-23"/>
        </w:rPr>
        <w:t>或 </w:t>
      </w:r>
      <w:r>
        <w:rPr>
          <w:rFonts w:ascii="Arial" w:eastAsia="Arial"/>
        </w:rPr>
        <w:t>HIV </w:t>
      </w:r>
      <w:r>
        <w:rPr/>
        <w:t>抗体阴性；</w:t>
      </w:r>
    </w:p>
    <w:p>
      <w:pPr>
        <w:pStyle w:val="BodyText"/>
        <w:spacing w:before="17"/>
        <w:ind w:left="1112"/>
        <w:rPr>
          <w:rFonts w:ascii="Arial" w:eastAsia="Arial"/>
        </w:rPr>
      </w:pPr>
      <w:r>
        <w:rPr/>
        <w:t>（</w:t>
      </w:r>
      <w:r>
        <w:rPr>
          <w:rFonts w:ascii="Arial" w:eastAsia="Arial"/>
        </w:rPr>
        <w:t>3</w:t>
      </w:r>
      <w:r>
        <w:rPr/>
        <w:t>）</w:t>
      </w:r>
      <w:r>
        <w:rPr>
          <w:spacing w:val="-5"/>
        </w:rPr>
        <w:t>必须在事故发生后的 </w:t>
      </w:r>
      <w:r>
        <w:rPr>
          <w:rFonts w:ascii="Arial" w:eastAsia="Arial"/>
        </w:rPr>
        <w:t>6 </w:t>
      </w:r>
      <w:r>
        <w:rPr>
          <w:spacing w:val="-6"/>
        </w:rPr>
        <w:t>个月内证实被保险人体内存在 </w:t>
      </w:r>
      <w:r>
        <w:rPr>
          <w:rFonts w:ascii="Arial" w:eastAsia="Arial"/>
        </w:rPr>
        <w:t>HIV </w:t>
      </w:r>
      <w:r>
        <w:rPr>
          <w:spacing w:val="-10"/>
        </w:rPr>
        <w:t>病毒或者 </w:t>
      </w:r>
      <w:r>
        <w:rPr>
          <w:rFonts w:ascii="Arial" w:eastAsia="Arial"/>
        </w:rPr>
        <w:t>HIV </w:t>
      </w:r>
      <w:r>
        <w:rPr>
          <w:spacing w:val="-7"/>
        </w:rPr>
        <w:t>抗体，即血液 </w:t>
      </w:r>
      <w:r>
        <w:rPr>
          <w:rFonts w:ascii="Arial" w:eastAsia="Arial"/>
        </w:rPr>
        <w:t>HIV </w:t>
      </w:r>
      <w:r>
        <w:rPr/>
        <w:t>病毒阳性和</w:t>
      </w:r>
      <w:r>
        <w:rPr>
          <w:rFonts w:ascii="Arial" w:eastAsia="Arial"/>
        </w:rPr>
        <w:t>/</w:t>
      </w:r>
      <w:r>
        <w:rPr>
          <w:spacing w:val="-23"/>
        </w:rPr>
        <w:t>或 </w:t>
      </w:r>
      <w:r>
        <w:rPr>
          <w:rFonts w:ascii="Arial" w:eastAsia="Arial"/>
        </w:rPr>
        <w:t>HIV</w:t>
      </w:r>
    </w:p>
    <w:p>
      <w:pPr>
        <w:pStyle w:val="BodyText"/>
        <w:spacing w:before="102"/>
        <w:ind w:left="1112"/>
      </w:pPr>
      <w:r>
        <w:rPr/>
        <w:t>抗体阳性。</w:t>
      </w:r>
    </w:p>
    <w:p>
      <w:pPr>
        <w:pStyle w:val="BodyText"/>
        <w:spacing w:before="115"/>
        <w:ind w:left="1112"/>
        <w:rPr>
          <w:rFonts w:ascii="Arial" w:eastAsia="Arial"/>
        </w:rPr>
      </w:pPr>
      <w:r>
        <w:rPr/>
        <w:t>职业限制如下所示</w:t>
      </w:r>
      <w:r>
        <w:rPr>
          <w:rFonts w:ascii="Arial" w:eastAsia="Arial"/>
        </w:rPr>
        <w:t>:</w:t>
      </w:r>
    </w:p>
    <w:p>
      <w:pPr>
        <w:pStyle w:val="BodyText"/>
        <w:spacing w:before="9"/>
        <w:ind w:left="0"/>
        <w:rPr>
          <w:rFonts w:ascii="Arial"/>
          <w:sz w:val="10"/>
        </w:rPr>
      </w:pPr>
    </w:p>
    <w:tbl>
      <w:tblPr>
        <w:tblW w:w="0" w:type="auto"/>
        <w:jc w:val="left"/>
        <w:tblInd w:w="2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2345"/>
      </w:tblGrid>
      <w:tr>
        <w:trPr>
          <w:trHeight w:val="366" w:hRule="atLeast"/>
        </w:trPr>
        <w:tc>
          <w:tcPr>
            <w:tcW w:w="2345" w:type="dxa"/>
          </w:tcPr>
          <w:p>
            <w:pPr>
              <w:pStyle w:val="TableParagraph"/>
              <w:spacing w:line="223" w:lineRule="exact"/>
              <w:ind w:left="329" w:right="346"/>
              <w:jc w:val="center"/>
              <w:rPr>
                <w:sz w:val="18"/>
              </w:rPr>
            </w:pPr>
            <w:r>
              <w:rPr>
                <w:sz w:val="18"/>
              </w:rPr>
              <w:t>医生和牙科医生</w:t>
            </w:r>
          </w:p>
        </w:tc>
        <w:tc>
          <w:tcPr>
            <w:tcW w:w="2345" w:type="dxa"/>
          </w:tcPr>
          <w:p>
            <w:pPr>
              <w:pStyle w:val="TableParagraph"/>
              <w:spacing w:line="223" w:lineRule="exact"/>
              <w:ind w:left="327" w:right="346"/>
              <w:jc w:val="center"/>
              <w:rPr>
                <w:sz w:val="18"/>
              </w:rPr>
            </w:pPr>
            <w:r>
              <w:rPr>
                <w:sz w:val="18"/>
              </w:rPr>
              <w:t>护士</w:t>
            </w:r>
          </w:p>
        </w:tc>
      </w:tr>
      <w:tr>
        <w:trPr>
          <w:trHeight w:val="369" w:hRule="atLeast"/>
        </w:trPr>
        <w:tc>
          <w:tcPr>
            <w:tcW w:w="2345" w:type="dxa"/>
          </w:tcPr>
          <w:p>
            <w:pPr>
              <w:pStyle w:val="TableParagraph"/>
              <w:spacing w:line="225" w:lineRule="exact"/>
              <w:ind w:left="329" w:right="346"/>
              <w:jc w:val="center"/>
              <w:rPr>
                <w:sz w:val="18"/>
              </w:rPr>
            </w:pPr>
            <w:r>
              <w:rPr>
                <w:sz w:val="18"/>
              </w:rPr>
              <w:t>实验室工作人员</w:t>
            </w:r>
          </w:p>
        </w:tc>
        <w:tc>
          <w:tcPr>
            <w:tcW w:w="2345" w:type="dxa"/>
          </w:tcPr>
          <w:p>
            <w:pPr>
              <w:pStyle w:val="TableParagraph"/>
              <w:spacing w:line="225" w:lineRule="exact"/>
              <w:ind w:left="327" w:right="346"/>
              <w:jc w:val="center"/>
              <w:rPr>
                <w:sz w:val="18"/>
              </w:rPr>
            </w:pPr>
            <w:r>
              <w:rPr>
                <w:sz w:val="18"/>
              </w:rPr>
              <w:t>医院护工</w:t>
            </w:r>
          </w:p>
        </w:tc>
      </w:tr>
      <w:tr>
        <w:trPr>
          <w:trHeight w:val="354" w:hRule="atLeast"/>
        </w:trPr>
        <w:tc>
          <w:tcPr>
            <w:tcW w:w="2345" w:type="dxa"/>
          </w:tcPr>
          <w:p>
            <w:pPr>
              <w:pStyle w:val="TableParagraph"/>
              <w:spacing w:line="218" w:lineRule="exact"/>
              <w:ind w:left="329" w:right="346"/>
              <w:jc w:val="center"/>
              <w:rPr>
                <w:sz w:val="18"/>
              </w:rPr>
            </w:pPr>
            <w:r>
              <w:rPr>
                <w:sz w:val="18"/>
              </w:rPr>
              <w:t>医生助理和牙医助理</w:t>
            </w:r>
          </w:p>
        </w:tc>
        <w:tc>
          <w:tcPr>
            <w:tcW w:w="2345" w:type="dxa"/>
          </w:tcPr>
          <w:p>
            <w:pPr>
              <w:pStyle w:val="TableParagraph"/>
              <w:spacing w:line="218" w:lineRule="exact"/>
              <w:ind w:left="328" w:right="346"/>
              <w:jc w:val="center"/>
              <w:rPr>
                <w:sz w:val="18"/>
              </w:rPr>
            </w:pPr>
            <w:r>
              <w:rPr>
                <w:sz w:val="18"/>
              </w:rPr>
              <w:t>救护车工作人员</w:t>
            </w:r>
          </w:p>
        </w:tc>
      </w:tr>
      <w:tr>
        <w:trPr>
          <w:trHeight w:val="366" w:hRule="atLeast"/>
        </w:trPr>
        <w:tc>
          <w:tcPr>
            <w:tcW w:w="2345" w:type="dxa"/>
          </w:tcPr>
          <w:p>
            <w:pPr>
              <w:pStyle w:val="TableParagraph"/>
              <w:spacing w:line="223" w:lineRule="exact"/>
              <w:ind w:left="329" w:right="346"/>
              <w:jc w:val="center"/>
              <w:rPr>
                <w:sz w:val="18"/>
              </w:rPr>
            </w:pPr>
            <w:r>
              <w:rPr>
                <w:sz w:val="18"/>
              </w:rPr>
              <w:t>助产士</w:t>
            </w:r>
          </w:p>
        </w:tc>
        <w:tc>
          <w:tcPr>
            <w:tcW w:w="2345" w:type="dxa"/>
          </w:tcPr>
          <w:p>
            <w:pPr>
              <w:pStyle w:val="TableParagraph"/>
              <w:spacing w:line="223" w:lineRule="exact"/>
              <w:ind w:left="327" w:right="346"/>
              <w:jc w:val="center"/>
              <w:rPr>
                <w:sz w:val="18"/>
              </w:rPr>
            </w:pPr>
            <w:r>
              <w:rPr>
                <w:sz w:val="18"/>
              </w:rPr>
              <w:t>消防队员</w:t>
            </w:r>
          </w:p>
        </w:tc>
      </w:tr>
      <w:tr>
        <w:trPr>
          <w:trHeight w:val="383" w:hRule="atLeast"/>
        </w:trPr>
        <w:tc>
          <w:tcPr>
            <w:tcW w:w="2345" w:type="dxa"/>
          </w:tcPr>
          <w:p>
            <w:pPr>
              <w:pStyle w:val="TableParagraph"/>
              <w:spacing w:line="232" w:lineRule="exact"/>
              <w:ind w:left="327" w:right="346"/>
              <w:jc w:val="center"/>
              <w:rPr>
                <w:sz w:val="18"/>
              </w:rPr>
            </w:pPr>
            <w:r>
              <w:rPr>
                <w:sz w:val="18"/>
              </w:rPr>
              <w:t>警察</w:t>
            </w:r>
          </w:p>
        </w:tc>
        <w:tc>
          <w:tcPr>
            <w:tcW w:w="2345" w:type="dxa"/>
          </w:tcPr>
          <w:p>
            <w:pPr>
              <w:pStyle w:val="TableParagraph"/>
              <w:spacing w:line="232" w:lineRule="exact"/>
              <w:ind w:left="327" w:right="346"/>
              <w:jc w:val="center"/>
              <w:rPr>
                <w:sz w:val="18"/>
              </w:rPr>
            </w:pPr>
            <w:r>
              <w:rPr>
                <w:sz w:val="18"/>
              </w:rPr>
              <w:t>狱警</w:t>
            </w:r>
          </w:p>
        </w:tc>
      </w:tr>
    </w:tbl>
    <w:p>
      <w:pPr>
        <w:spacing w:before="0"/>
        <w:ind w:left="1112" w:right="0" w:firstLine="0"/>
        <w:jc w:val="left"/>
        <w:rPr>
          <w:sz w:val="18"/>
        </w:rPr>
      </w:pPr>
      <w:r>
        <w:rPr>
          <w:w w:val="95"/>
          <w:sz w:val="18"/>
        </w:rPr>
        <w:t>我们承担本项疾病责任不受合同责任免除中“被保险人</w:t>
      </w:r>
      <w:r>
        <w:rPr>
          <w:b/>
          <w:w w:val="95"/>
          <w:sz w:val="18"/>
        </w:rPr>
        <w:t>感染艾滋病病毒或患艾滋病</w:t>
      </w:r>
      <w:r>
        <w:rPr>
          <w:w w:val="95"/>
          <w:sz w:val="18"/>
        </w:rPr>
        <w:t>”的限制。</w:t>
      </w:r>
    </w:p>
    <w:p>
      <w:pPr>
        <w:pStyle w:val="ListParagraph"/>
        <w:numPr>
          <w:ilvl w:val="1"/>
          <w:numId w:val="9"/>
        </w:numPr>
        <w:tabs>
          <w:tab w:pos="1106" w:val="left" w:leader="none"/>
        </w:tabs>
        <w:spacing w:line="240" w:lineRule="auto" w:before="119" w:after="0"/>
        <w:ind w:left="1105" w:right="0" w:hanging="567"/>
        <w:jc w:val="left"/>
        <w:rPr>
          <w:sz w:val="18"/>
        </w:rPr>
      </w:pPr>
      <w:r>
        <w:rPr>
          <w:sz w:val="18"/>
        </w:rPr>
        <w:t>特发性慢性肾上腺皮质功能减退</w:t>
      </w:r>
    </w:p>
    <w:p>
      <w:pPr>
        <w:pStyle w:val="BodyText"/>
        <w:spacing w:line="357" w:lineRule="auto" w:before="103"/>
        <w:ind w:left="1112" w:right="174"/>
      </w:pPr>
      <w:r>
        <w:rPr/>
        <w:t>指自身免疫性肾上腺炎（既往称：特发性肾上腺皮质萎缩）导致肾上腺萎缩和慢性肾上腺皮质功能减退。必须满足所有以下条件：</w:t>
      </w:r>
    </w:p>
    <w:p>
      <w:pPr>
        <w:pStyle w:val="BodyText"/>
        <w:spacing w:before="26"/>
        <w:ind w:left="1112"/>
      </w:pPr>
      <w:r>
        <w:rPr/>
        <w:t>（</w:t>
      </w:r>
      <w:r>
        <w:rPr>
          <w:rFonts w:ascii="Arial" w:eastAsia="Arial"/>
        </w:rPr>
        <w:t>1</w:t>
      </w:r>
      <w:r>
        <w:rPr/>
        <w:t>）明确诊断，符合所有以下诊断标准；</w:t>
      </w:r>
    </w:p>
    <w:p>
      <w:pPr>
        <w:pStyle w:val="BodyText"/>
        <w:spacing w:before="102"/>
        <w:ind w:left="1112"/>
      </w:pPr>
      <w:r>
        <w:rPr/>
        <w:t>① 血浆促肾上腺皮质激素</w:t>
      </w:r>
      <w:r>
        <w:rPr>
          <w:rFonts w:ascii="Arial" w:hAnsi="Arial" w:eastAsia="Arial"/>
        </w:rPr>
        <w:t>(ACTH)</w:t>
      </w:r>
      <w:r>
        <w:rPr/>
        <w:t>水平测定大于 </w:t>
      </w:r>
      <w:r>
        <w:rPr>
          <w:rFonts w:ascii="Arial" w:hAnsi="Arial" w:eastAsia="Arial"/>
        </w:rPr>
        <w:t>100pg/ml</w:t>
      </w:r>
      <w:r>
        <w:rPr/>
        <w:t>；</w:t>
      </w:r>
    </w:p>
    <w:p>
      <w:pPr>
        <w:pStyle w:val="BodyText"/>
        <w:spacing w:line="338" w:lineRule="auto" w:before="104"/>
        <w:ind w:left="1112" w:right="312"/>
      </w:pPr>
      <w:r>
        <w:rPr>
          <w:spacing w:val="-10"/>
        </w:rPr>
        <w:t>② 血浆和尿游离皮质醇及尿 </w:t>
      </w:r>
      <w:r>
        <w:rPr>
          <w:rFonts w:ascii="Arial" w:hAnsi="Arial" w:eastAsia="Arial"/>
        </w:rPr>
        <w:t>17 </w:t>
      </w:r>
      <w:r>
        <w:rPr/>
        <w:t>羟皮质类固醇、</w:t>
      </w:r>
      <w:r>
        <w:rPr>
          <w:rFonts w:ascii="Arial" w:hAnsi="Arial" w:eastAsia="Arial"/>
        </w:rPr>
        <w:t>17 </w:t>
      </w:r>
      <w:r>
        <w:rPr>
          <w:spacing w:val="-3"/>
        </w:rPr>
        <w:t>酮皮质类固醇测定、血浆肾素活性、血管紧张素 </w:t>
      </w:r>
      <w:r>
        <w:rPr>
          <w:rFonts w:ascii="Arial" w:hAnsi="Arial" w:eastAsia="Arial"/>
        </w:rPr>
        <w:t>II </w:t>
      </w:r>
      <w:r>
        <w:rPr/>
        <w:t>和醛固酮测定，显示为原发性肾上腺皮质功能减退症；</w:t>
      </w:r>
    </w:p>
    <w:p>
      <w:pPr>
        <w:pStyle w:val="BodyText"/>
        <w:spacing w:before="40"/>
        <w:ind w:left="1112"/>
      </w:pPr>
      <w:r>
        <w:rPr/>
        <w:t>③ 促肾上腺皮质激素</w:t>
      </w:r>
      <w:r>
        <w:rPr>
          <w:rFonts w:ascii="Arial" w:hAnsi="Arial" w:eastAsia="Arial"/>
        </w:rPr>
        <w:t>(ACTH)</w:t>
      </w:r>
      <w:r>
        <w:rPr/>
        <w:t>刺激试验显示为原发性肾上腺皮质功能减退症。</w:t>
      </w:r>
    </w:p>
    <w:p>
      <w:pPr>
        <w:pStyle w:val="BodyText"/>
        <w:spacing w:before="101"/>
        <w:ind w:left="1112"/>
      </w:pPr>
      <w:r>
        <w:rPr/>
        <w:t>（</w:t>
      </w:r>
      <w:r>
        <w:rPr>
          <w:rFonts w:ascii="Arial" w:eastAsia="Arial"/>
        </w:rPr>
        <w:t>2</w:t>
      </w:r>
      <w:r>
        <w:rPr/>
        <w:t>）已经采用皮质类固醇替代治疗 </w:t>
      </w:r>
      <w:r>
        <w:rPr>
          <w:rFonts w:ascii="Arial" w:eastAsia="Arial"/>
        </w:rPr>
        <w:t>180 </w:t>
      </w:r>
      <w:r>
        <w:rPr/>
        <w:t>天以上。</w:t>
      </w:r>
    </w:p>
    <w:p>
      <w:pPr>
        <w:spacing w:after="0"/>
        <w:sectPr>
          <w:pgSz w:w="11910" w:h="16840"/>
          <w:pgMar w:header="672" w:footer="767" w:top="860" w:bottom="960" w:left="880" w:right="740"/>
        </w:sectPr>
      </w:pPr>
    </w:p>
    <w:p>
      <w:pPr>
        <w:pStyle w:val="BodyText"/>
        <w:spacing w:before="9"/>
        <w:ind w:left="0"/>
        <w:rPr>
          <w:sz w:val="13"/>
        </w:rPr>
      </w:pPr>
    </w:p>
    <w:p>
      <w:pPr>
        <w:pStyle w:val="Heading3"/>
        <w:spacing w:line="340" w:lineRule="auto" w:before="53"/>
        <w:ind w:right="179"/>
        <w:jc w:val="both"/>
      </w:pPr>
      <w:r>
        <w:rPr/>
        <w:t>本保障仅包括由自身免疫功能紊乱所导致的慢性肾上腺功能减退，其他成因（包括但不限于：肾上腺结核、</w:t>
      </w:r>
      <w:r>
        <w:rPr>
          <w:rFonts w:ascii="Arial" w:eastAsia="Arial"/>
        </w:rPr>
        <w:t>HIV</w:t>
      </w:r>
      <w:r>
        <w:rPr>
          <w:rFonts w:ascii="Arial" w:eastAsia="Arial"/>
          <w:spacing w:val="-33"/>
        </w:rPr>
        <w:t> </w:t>
      </w:r>
      <w:r>
        <w:rPr/>
        <w:t>感</w:t>
      </w:r>
      <w:r>
        <w:rPr>
          <w:w w:val="95"/>
        </w:rPr>
        <w:t>染或艾滋病、感染、肿瘤）所致的原发性肾上腺皮质功能减退和继发性肾上腺皮质功能减退均不在保障范围内。</w:t>
      </w:r>
    </w:p>
    <w:p>
      <w:pPr>
        <w:pStyle w:val="ListParagraph"/>
        <w:numPr>
          <w:ilvl w:val="1"/>
          <w:numId w:val="9"/>
        </w:numPr>
        <w:tabs>
          <w:tab w:pos="1106" w:val="left" w:leader="none"/>
        </w:tabs>
        <w:spacing w:line="240" w:lineRule="auto" w:before="41" w:after="0"/>
        <w:ind w:left="1105" w:right="0" w:hanging="567"/>
        <w:jc w:val="left"/>
        <w:rPr>
          <w:sz w:val="18"/>
        </w:rPr>
      </w:pPr>
      <w:r>
        <w:rPr>
          <w:sz w:val="18"/>
        </w:rPr>
        <w:t>严重冠状动脉粥样硬化性心脏病</w:t>
      </w:r>
    </w:p>
    <w:p>
      <w:pPr>
        <w:pStyle w:val="BodyText"/>
        <w:spacing w:before="104"/>
        <w:ind w:left="1112"/>
        <w:jc w:val="both"/>
      </w:pPr>
      <w:r>
        <w:rPr/>
        <w:t>指经冠状动脉造影检查明确诊断为主要血管严重狭窄性病变，须满足下列至少一项条件：</w:t>
      </w:r>
    </w:p>
    <w:p>
      <w:pPr>
        <w:pStyle w:val="BodyText"/>
        <w:spacing w:before="115"/>
        <w:ind w:left="1112"/>
        <w:jc w:val="both"/>
      </w:pPr>
      <w:r>
        <w:rPr/>
        <w:t>（</w:t>
      </w:r>
      <w:r>
        <w:rPr>
          <w:rFonts w:ascii="Arial" w:eastAsia="Arial"/>
        </w:rPr>
        <w:t>1</w:t>
      </w:r>
      <w:r>
        <w:rPr/>
        <w:t>）左冠状动脉主干和右冠状动脉中，一支血管管腔堵塞 </w:t>
      </w:r>
      <w:r>
        <w:rPr>
          <w:rFonts w:ascii="Arial" w:eastAsia="Arial"/>
        </w:rPr>
        <w:t>75%</w:t>
      </w:r>
      <w:r>
        <w:rPr/>
        <w:t>以上，另一支血管管腔堵塞 </w:t>
      </w:r>
      <w:r>
        <w:rPr>
          <w:rFonts w:ascii="Arial" w:eastAsia="Arial"/>
        </w:rPr>
        <w:t>60%</w:t>
      </w:r>
      <w:r>
        <w:rPr/>
        <w:t>以上；</w:t>
      </w:r>
    </w:p>
    <w:p>
      <w:pPr>
        <w:spacing w:line="340" w:lineRule="auto" w:before="102"/>
        <w:ind w:left="1112" w:right="338" w:firstLine="0"/>
        <w:jc w:val="left"/>
        <w:rPr>
          <w:b/>
          <w:sz w:val="18"/>
        </w:rPr>
      </w:pPr>
      <w:r>
        <w:rPr>
          <w:sz w:val="18"/>
        </w:rPr>
        <w:t>（</w:t>
      </w:r>
      <w:r>
        <w:rPr>
          <w:rFonts w:ascii="Arial" w:eastAsia="Arial"/>
          <w:sz w:val="18"/>
        </w:rPr>
        <w:t>2</w:t>
      </w:r>
      <w:r>
        <w:rPr>
          <w:sz w:val="18"/>
        </w:rPr>
        <w:t>）</w:t>
      </w:r>
      <w:r>
        <w:rPr>
          <w:spacing w:val="-2"/>
          <w:sz w:val="18"/>
        </w:rPr>
        <w:t>左前降支、左旋支和右冠状动脉中，至少一支血管管腔堵塞 </w:t>
      </w:r>
      <w:r>
        <w:rPr>
          <w:rFonts w:ascii="Arial" w:eastAsia="Arial"/>
          <w:sz w:val="18"/>
        </w:rPr>
        <w:t>75%</w:t>
      </w:r>
      <w:r>
        <w:rPr>
          <w:spacing w:val="-5"/>
          <w:sz w:val="18"/>
        </w:rPr>
        <w:t>以上，其他两支血管管腔堵塞 </w:t>
      </w:r>
      <w:r>
        <w:rPr>
          <w:rFonts w:ascii="Arial" w:eastAsia="Arial"/>
          <w:sz w:val="18"/>
        </w:rPr>
        <w:t>60%</w:t>
      </w:r>
      <w:r>
        <w:rPr>
          <w:sz w:val="18"/>
        </w:rPr>
        <w:t>以上。</w:t>
      </w:r>
      <w:r>
        <w:rPr>
          <w:b/>
          <w:w w:val="95"/>
          <w:sz w:val="18"/>
        </w:rPr>
        <w:t>左前降支的分支血管、左旋支的分支血管及右冠状动脉的分支血管的狭窄不作为本保障的衡量指标。</w:t>
      </w:r>
    </w:p>
    <w:p>
      <w:pPr>
        <w:pStyle w:val="ListParagraph"/>
        <w:numPr>
          <w:ilvl w:val="1"/>
          <w:numId w:val="9"/>
        </w:numPr>
        <w:tabs>
          <w:tab w:pos="1106" w:val="left" w:leader="none"/>
        </w:tabs>
        <w:spacing w:line="240" w:lineRule="auto" w:before="41" w:after="0"/>
        <w:ind w:left="1105" w:right="0" w:hanging="567"/>
        <w:jc w:val="left"/>
        <w:rPr>
          <w:sz w:val="18"/>
        </w:rPr>
      </w:pPr>
      <w:r>
        <w:rPr>
          <w:sz w:val="18"/>
        </w:rPr>
        <w:t>脊髓灰质炎</w:t>
      </w:r>
    </w:p>
    <w:p>
      <w:pPr>
        <w:pStyle w:val="BodyText"/>
        <w:spacing w:line="348" w:lineRule="auto" w:before="104"/>
        <w:ind w:left="1112" w:right="174"/>
        <w:jc w:val="both"/>
      </w:pPr>
      <w:r>
        <w:rPr/>
        <w:t>指由脊髓灰质炎病毒感染所致的一种急性病毒性传染病，其临床表现多样。本保障仅限于脊髓灰质炎造成的神经系</w:t>
      </w:r>
      <w:r>
        <w:rPr>
          <w:spacing w:val="-1"/>
        </w:rPr>
        <w:t>统功能损害导致被保险人一肢或一肢以上肢体机能永久完全丧失的情况。肢体机能永久完全丧失，指疾病确诊 </w:t>
      </w:r>
      <w:r>
        <w:rPr>
          <w:rFonts w:ascii="Arial" w:eastAsia="Arial"/>
        </w:rPr>
        <w:t>180 </w:t>
      </w:r>
      <w:r>
        <w:rPr/>
        <w:t>天后，每肢三大关节中的两大关节仍然完全僵硬，或不能随意识活动。</w:t>
      </w:r>
    </w:p>
    <w:p>
      <w:pPr>
        <w:pStyle w:val="ListParagraph"/>
        <w:numPr>
          <w:ilvl w:val="1"/>
          <w:numId w:val="9"/>
        </w:numPr>
        <w:tabs>
          <w:tab w:pos="1106" w:val="left" w:leader="none"/>
        </w:tabs>
        <w:spacing w:line="240" w:lineRule="auto" w:before="36" w:after="0"/>
        <w:ind w:left="1105" w:right="0" w:hanging="567"/>
        <w:jc w:val="left"/>
        <w:rPr>
          <w:sz w:val="18"/>
        </w:rPr>
      </w:pPr>
      <w:r>
        <w:rPr>
          <w:sz w:val="18"/>
        </w:rPr>
        <w:t>全身性（型）重症肌无力</w:t>
      </w:r>
    </w:p>
    <w:p>
      <w:pPr>
        <w:pStyle w:val="BodyText"/>
        <w:spacing w:line="357" w:lineRule="auto" w:before="104"/>
        <w:ind w:left="1112" w:right="170"/>
        <w:jc w:val="both"/>
      </w:pPr>
      <w:r>
        <w:rPr/>
        <w:t>是一种神经与肌肉接头部位传递障碍的自身免疫性疾病，临床特征是局部或全身横纹肌于活动时易于疲劳无力，颅神经眼外肌最易累及，也可涉及呼吸肌、下肢近端肌群以至全身肌肉。该病必须由本公司认可的医院的</w:t>
      </w:r>
      <w:r>
        <w:rPr>
          <w:b/>
        </w:rPr>
        <w:t>专科医生</w:t>
      </w:r>
      <w:r>
        <w:rPr/>
        <w:t>明确诊断，且须满足下列全部条件：</w:t>
      </w:r>
    </w:p>
    <w:p>
      <w:pPr>
        <w:pStyle w:val="BodyText"/>
        <w:spacing w:before="26"/>
        <w:ind w:left="1112"/>
        <w:jc w:val="both"/>
      </w:pPr>
      <w:r>
        <w:rPr/>
        <w:t>（</w:t>
      </w:r>
      <w:r>
        <w:rPr>
          <w:rFonts w:ascii="Arial" w:eastAsia="Arial"/>
        </w:rPr>
        <w:t>1</w:t>
      </w:r>
      <w:r>
        <w:rPr/>
        <w:t>）经药物治疗或胸腺手术治疗一年以上仍无法控制病情；</w:t>
      </w:r>
    </w:p>
    <w:p>
      <w:pPr>
        <w:spacing w:before="101"/>
        <w:ind w:left="1112" w:right="0" w:firstLine="0"/>
        <w:jc w:val="both"/>
        <w:rPr>
          <w:sz w:val="18"/>
        </w:rPr>
      </w:pPr>
      <w:r>
        <w:rPr>
          <w:w w:val="95"/>
          <w:sz w:val="18"/>
        </w:rPr>
        <w:t>（</w:t>
      </w:r>
      <w:r>
        <w:rPr>
          <w:rFonts w:ascii="Arial" w:eastAsia="Arial"/>
          <w:w w:val="95"/>
          <w:sz w:val="18"/>
        </w:rPr>
        <w:t>2</w:t>
      </w:r>
      <w:r>
        <w:rPr>
          <w:w w:val="95"/>
          <w:sz w:val="18"/>
        </w:rPr>
        <w:t>）自主生活能力完全丧失，无法独立完成</w:t>
      </w:r>
      <w:r>
        <w:rPr>
          <w:b/>
          <w:w w:val="95"/>
          <w:sz w:val="18"/>
        </w:rPr>
        <w:t>六项基本日常生活活动</w:t>
      </w:r>
      <w:r>
        <w:rPr>
          <w:w w:val="95"/>
          <w:sz w:val="18"/>
        </w:rPr>
        <w:t>中的三项或三项以上。</w:t>
      </w:r>
    </w:p>
    <w:p>
      <w:pPr>
        <w:pStyle w:val="ListParagraph"/>
        <w:numPr>
          <w:ilvl w:val="1"/>
          <w:numId w:val="9"/>
        </w:numPr>
        <w:tabs>
          <w:tab w:pos="1106" w:val="left" w:leader="none"/>
        </w:tabs>
        <w:spacing w:line="240" w:lineRule="auto" w:before="106" w:after="0"/>
        <w:ind w:left="1105" w:right="0" w:hanging="567"/>
        <w:jc w:val="left"/>
        <w:rPr>
          <w:sz w:val="18"/>
        </w:rPr>
      </w:pPr>
      <w:r>
        <w:rPr>
          <w:sz w:val="18"/>
        </w:rPr>
        <w:t>严重原发性心肌病</w:t>
      </w:r>
    </w:p>
    <w:p>
      <w:pPr>
        <w:pStyle w:val="BodyText"/>
        <w:spacing w:line="350" w:lineRule="auto" w:before="104"/>
        <w:ind w:left="1112" w:right="173"/>
        <w:jc w:val="both"/>
      </w:pP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w:t>
      </w:r>
      <w:r>
        <w:rPr>
          <w:spacing w:val="-4"/>
        </w:rPr>
        <w:t>标准判定，心功能状态已达到 </w:t>
      </w:r>
      <w:r>
        <w:rPr>
          <w:rFonts w:ascii="Arial" w:eastAsia="Arial"/>
        </w:rPr>
        <w:t>IV </w:t>
      </w:r>
      <w:r>
        <w:rPr/>
        <w:t>级），</w:t>
      </w:r>
      <w:r>
        <w:rPr>
          <w:spacing w:val="-4"/>
        </w:rPr>
        <w:t>且有相关住院医疗记录显示 </w:t>
      </w:r>
      <w:r>
        <w:rPr>
          <w:rFonts w:ascii="Arial" w:eastAsia="Arial"/>
        </w:rPr>
        <w:t>IV </w:t>
      </w:r>
      <w:r>
        <w:rPr>
          <w:spacing w:val="-5"/>
        </w:rPr>
        <w:t>级心功能衰竭状态已持续至少 </w:t>
      </w:r>
      <w:r>
        <w:rPr>
          <w:rFonts w:ascii="Arial" w:eastAsia="Arial"/>
        </w:rPr>
        <w:t>180 </w:t>
      </w:r>
      <w:r>
        <w:rPr/>
        <w:t>日。本病</w:t>
      </w:r>
      <w:r>
        <w:rPr>
          <w:w w:val="95"/>
        </w:rPr>
        <w:t>须经</w:t>
      </w:r>
      <w:r>
        <w:rPr>
          <w:b/>
          <w:w w:val="95"/>
        </w:rPr>
        <w:t>专科医生</w:t>
      </w:r>
      <w:r>
        <w:rPr>
          <w:spacing w:val="-1"/>
          <w:w w:val="95"/>
        </w:rPr>
        <w:t>明确诊断。理赔时需提供超声心动图或其它支持性检查结果及诊断报告。</w:t>
      </w:r>
    </w:p>
    <w:p>
      <w:pPr>
        <w:pStyle w:val="Heading3"/>
        <w:spacing w:before="34"/>
        <w:jc w:val="both"/>
      </w:pPr>
      <w:r>
        <w:rPr>
          <w:w w:val="95"/>
        </w:rPr>
        <w:t>继发于全身性疾病或其它器官系统疾病及酒精滥用造成的心肌病变不在保障范围内。</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严重克罗恩病（</w:t>
      </w:r>
      <w:r>
        <w:rPr>
          <w:rFonts w:ascii="Arial" w:eastAsia="Arial"/>
          <w:sz w:val="18"/>
        </w:rPr>
        <w:t>Crohn`s</w:t>
      </w:r>
      <w:r>
        <w:rPr>
          <w:rFonts w:ascii="Arial" w:eastAsia="Arial"/>
          <w:spacing w:val="-13"/>
          <w:sz w:val="18"/>
        </w:rPr>
        <w:t> </w:t>
      </w:r>
      <w:r>
        <w:rPr>
          <w:sz w:val="18"/>
        </w:rPr>
        <w:t>病）</w:t>
      </w:r>
    </w:p>
    <w:p>
      <w:pPr>
        <w:pStyle w:val="BodyText"/>
        <w:spacing w:line="357" w:lineRule="auto" w:before="105"/>
        <w:ind w:left="1112" w:right="173"/>
        <w:jc w:val="both"/>
      </w:pPr>
      <w:r>
        <w:rPr/>
        <w:t>是一种慢性肉芽肿性肠炎，具有特征性的克隆病病理组织学变化。诊断必须由病理检查结果证实。被保险人所患的克隆病必须已经造成瘘管形成并伴有肠梗阻或肠穿孔。</w:t>
      </w:r>
    </w:p>
    <w:p>
      <w:pPr>
        <w:pStyle w:val="ListParagraph"/>
        <w:numPr>
          <w:ilvl w:val="1"/>
          <w:numId w:val="9"/>
        </w:numPr>
        <w:tabs>
          <w:tab w:pos="1106" w:val="left" w:leader="none"/>
        </w:tabs>
        <w:spacing w:line="240" w:lineRule="auto" w:before="29" w:after="0"/>
        <w:ind w:left="1105" w:right="0" w:hanging="567"/>
        <w:jc w:val="left"/>
        <w:rPr>
          <w:sz w:val="18"/>
        </w:rPr>
      </w:pPr>
      <w:r>
        <w:rPr>
          <w:sz w:val="18"/>
        </w:rPr>
        <w:t>严重溃疡性结肠炎</w:t>
      </w:r>
    </w:p>
    <w:p>
      <w:pPr>
        <w:pStyle w:val="BodyText"/>
        <w:spacing w:line="357" w:lineRule="auto" w:before="104"/>
        <w:ind w:left="1112" w:right="174"/>
        <w:jc w:val="both"/>
      </w:pPr>
      <w:r>
        <w:rPr/>
        <w:t>是指伴有致命性电解质紊乱的急性暴发性溃疡性结肠炎，病变累及全结肠，表现为严重的血便和系统性症状体征， 治疗通常采取全结肠切除和回肠造瘘术。溃疡性结肠炎必须根据组织病理学特点诊断，并且被保险人已经接受了结肠切除和</w:t>
      </w:r>
      <w:r>
        <w:rPr>
          <w:rFonts w:ascii="Arial" w:eastAsia="Arial"/>
        </w:rPr>
        <w:t>/</w:t>
      </w:r>
      <w:r>
        <w:rPr/>
        <w:t>或回肠造瘘术。</w:t>
      </w:r>
    </w:p>
    <w:p>
      <w:pPr>
        <w:pStyle w:val="ListParagraph"/>
        <w:numPr>
          <w:ilvl w:val="1"/>
          <w:numId w:val="9"/>
        </w:numPr>
        <w:tabs>
          <w:tab w:pos="1106" w:val="left" w:leader="none"/>
        </w:tabs>
        <w:spacing w:line="240" w:lineRule="auto" w:before="5" w:after="0"/>
        <w:ind w:left="1105" w:right="0" w:hanging="567"/>
        <w:jc w:val="left"/>
        <w:rPr>
          <w:sz w:val="18"/>
        </w:rPr>
      </w:pPr>
      <w:r>
        <w:rPr>
          <w:sz w:val="18"/>
        </w:rPr>
        <w:t>植物人状态</w:t>
      </w:r>
    </w:p>
    <w:p>
      <w:pPr>
        <w:pStyle w:val="BodyText"/>
        <w:spacing w:line="357" w:lineRule="auto" w:before="104"/>
        <w:ind w:left="1112" w:right="172"/>
        <w:jc w:val="both"/>
      </w:pPr>
      <w:r>
        <w:rPr/>
        <w:t>指被保险人因意外事故或疾病导致大脑皮质功能丧失，人呈无意识状态，但脑干功能仍然保留，需要持续依赖外界生命支持系统维持生命的临床状态。该病须由本公司认可的医院的神经科</w:t>
      </w:r>
      <w:r>
        <w:rPr>
          <w:b/>
        </w:rPr>
        <w:t>专科医生</w:t>
      </w:r>
      <w:r>
        <w:rPr/>
        <w:t>明确诊断并证明有永久性神经系统损害。植物人状态必须持续 </w:t>
      </w:r>
      <w:r>
        <w:rPr>
          <w:rFonts w:ascii="Arial" w:eastAsia="Arial"/>
        </w:rPr>
        <w:t>180 </w:t>
      </w:r>
      <w:r>
        <w:rPr/>
        <w:t>天以上方可申请理赔。</w:t>
      </w:r>
    </w:p>
    <w:p>
      <w:pPr>
        <w:pStyle w:val="Heading3"/>
        <w:spacing w:before="6"/>
        <w:jc w:val="both"/>
      </w:pPr>
      <w:r>
        <w:rPr>
          <w:w w:val="95"/>
        </w:rPr>
        <w:t>由于酗酒或滥用药物所致的植物人状态不属于本保障范围内。</w:t>
      </w:r>
    </w:p>
    <w:p>
      <w:pPr>
        <w:pStyle w:val="ListParagraph"/>
        <w:numPr>
          <w:ilvl w:val="1"/>
          <w:numId w:val="9"/>
        </w:numPr>
        <w:tabs>
          <w:tab w:pos="1106" w:val="left" w:leader="none"/>
        </w:tabs>
        <w:spacing w:line="240" w:lineRule="auto" w:before="116" w:after="0"/>
        <w:ind w:left="1105" w:right="0" w:hanging="567"/>
        <w:jc w:val="left"/>
        <w:rPr>
          <w:sz w:val="18"/>
        </w:rPr>
      </w:pPr>
      <w:r>
        <w:rPr>
          <w:sz w:val="18"/>
        </w:rPr>
        <w:t>主动脉夹层</w:t>
      </w:r>
    </w:p>
    <w:p>
      <w:pPr>
        <w:pStyle w:val="BodyText"/>
        <w:spacing w:line="348" w:lineRule="auto" w:before="104"/>
        <w:ind w:left="1112" w:right="119"/>
        <w:jc w:val="both"/>
      </w:pPr>
      <w:r>
        <w:rPr/>
        <w:t>是指主动脉壁在受到某些病理因素的破坏后，高速、高压的主动脉血流将其内膜撕裂，以致主动脉腔内的血流通过</w:t>
      </w:r>
      <w:r>
        <w:rPr>
          <w:spacing w:val="-2"/>
        </w:rPr>
        <w:t>主动脉内膜的破裂口进入主动脉内壁而形成血肿。被保险人需通过 </w:t>
      </w:r>
      <w:r>
        <w:rPr>
          <w:rFonts w:ascii="Arial" w:eastAsia="Arial"/>
        </w:rPr>
        <w:t>X </w:t>
      </w:r>
      <w:r>
        <w:rPr/>
        <w:t>线断层扫描（</w:t>
      </w:r>
      <w:r>
        <w:rPr>
          <w:rFonts w:ascii="Arial" w:eastAsia="Arial"/>
        </w:rPr>
        <w:t>CT</w:t>
      </w:r>
      <w:r>
        <w:rPr/>
        <w:t>）、磁共振扫描（</w:t>
      </w:r>
      <w:r>
        <w:rPr>
          <w:rFonts w:ascii="Arial" w:eastAsia="Arial"/>
        </w:rPr>
        <w:t>MRI</w:t>
      </w:r>
      <w:r>
        <w:rPr/>
        <w:t>）、磁</w:t>
      </w:r>
      <w:r>
        <w:rPr>
          <w:w w:val="95"/>
        </w:rPr>
        <w:t>共振血管检验法（</w:t>
      </w:r>
      <w:r>
        <w:rPr>
          <w:rFonts w:ascii="Arial" w:eastAsia="Arial"/>
          <w:w w:val="95"/>
        </w:rPr>
        <w:t>MRA</w:t>
      </w:r>
      <w:r>
        <w:rPr>
          <w:w w:val="95"/>
        </w:rPr>
        <w:t>）或血管扫描等检查，并且经本公司认可医院的</w:t>
      </w:r>
      <w:r>
        <w:rPr>
          <w:b/>
          <w:w w:val="95"/>
        </w:rPr>
        <w:t>专科医生</w:t>
      </w:r>
      <w:r>
        <w:rPr>
          <w:spacing w:val="-1"/>
          <w:w w:val="95"/>
        </w:rPr>
        <w:t>认可有必要进行紧急修补手术。</w:t>
      </w:r>
    </w:p>
    <w:p>
      <w:pPr>
        <w:pStyle w:val="ListParagraph"/>
        <w:numPr>
          <w:ilvl w:val="1"/>
          <w:numId w:val="9"/>
        </w:numPr>
        <w:tabs>
          <w:tab w:pos="1106" w:val="left" w:leader="none"/>
        </w:tabs>
        <w:spacing w:line="240" w:lineRule="auto" w:before="14" w:after="0"/>
        <w:ind w:left="1105" w:right="0" w:hanging="567"/>
        <w:jc w:val="left"/>
        <w:rPr>
          <w:sz w:val="18"/>
        </w:rPr>
      </w:pPr>
      <w:r>
        <w:rPr>
          <w:spacing w:val="-5"/>
          <w:sz w:val="18"/>
        </w:rPr>
        <w:t>系统性红斑狼疮 </w:t>
      </w:r>
      <w:r>
        <w:rPr>
          <w:sz w:val="18"/>
        </w:rPr>
        <w:t>－（并发）</w:t>
      </w:r>
      <w:r>
        <w:rPr>
          <w:rFonts w:ascii="Arial" w:eastAsia="Arial"/>
          <w:sz w:val="18"/>
        </w:rPr>
        <w:t>III</w:t>
      </w:r>
      <w:r>
        <w:rPr>
          <w:rFonts w:ascii="Arial" w:eastAsia="Arial"/>
          <w:spacing w:val="-12"/>
          <w:sz w:val="18"/>
        </w:rPr>
        <w:t> </w:t>
      </w:r>
      <w:r>
        <w:rPr>
          <w:sz w:val="18"/>
        </w:rPr>
        <w:t>型或以上狼疮性肾炎</w:t>
      </w:r>
    </w:p>
    <w:p>
      <w:pPr>
        <w:spacing w:after="0" w:line="240" w:lineRule="auto"/>
        <w:jc w:val="left"/>
        <w:rPr>
          <w:sz w:val="18"/>
        </w:rPr>
        <w:sectPr>
          <w:pgSz w:w="11910" w:h="16840"/>
          <w:pgMar w:header="672" w:footer="767" w:top="860" w:bottom="960" w:left="880" w:right="740"/>
        </w:sectPr>
      </w:pPr>
    </w:p>
    <w:p>
      <w:pPr>
        <w:pStyle w:val="BodyText"/>
        <w:spacing w:before="5"/>
        <w:ind w:left="0"/>
        <w:rPr>
          <w:sz w:val="14"/>
        </w:rPr>
      </w:pPr>
    </w:p>
    <w:p>
      <w:pPr>
        <w:pStyle w:val="BodyText"/>
        <w:spacing w:line="360" w:lineRule="auto" w:before="44"/>
        <w:ind w:left="1112" w:right="95"/>
      </w:pPr>
      <w:r>
        <w:rPr/>
        <w:t>系统性红斑狼疮是一种由多因素引起，累及多系统的自身免疫性疾病。本保障所指的系统性红斑狼疮仅限于累及肾脏的情况，即：经肾脏活检确认的，符合 </w:t>
      </w:r>
      <w:r>
        <w:rPr>
          <w:rFonts w:ascii="Arial" w:eastAsia="Arial"/>
        </w:rPr>
        <w:t>WHO </w:t>
      </w:r>
      <w:r>
        <w:rPr/>
        <w:t>诊断标准定义 </w:t>
      </w:r>
      <w:r>
        <w:rPr>
          <w:rFonts w:ascii="Arial" w:eastAsia="Arial"/>
        </w:rPr>
        <w:t>III </w:t>
      </w:r>
      <w:r>
        <w:rPr/>
        <w:t>型或 </w:t>
      </w:r>
      <w:r>
        <w:rPr>
          <w:rFonts w:ascii="Arial" w:eastAsia="Arial"/>
        </w:rPr>
        <w:t>III </w:t>
      </w:r>
      <w:r>
        <w:rPr/>
        <w:t>型以上狼疮性肾炎，并伴有持续性蛋白尿</w:t>
      </w:r>
    </w:p>
    <w:p>
      <w:pPr>
        <w:spacing w:line="338" w:lineRule="auto" w:before="1"/>
        <w:ind w:left="1112" w:right="139" w:firstLine="0"/>
        <w:jc w:val="left"/>
        <w:rPr>
          <w:b/>
          <w:sz w:val="18"/>
        </w:rPr>
      </w:pPr>
      <w:r>
        <w:rPr>
          <w:w w:val="95"/>
          <w:sz w:val="18"/>
        </w:rPr>
        <w:t>（尿蛋白</w:t>
      </w:r>
      <w:r>
        <w:rPr>
          <w:rFonts w:ascii="Arial" w:eastAsia="Arial"/>
          <w:w w:val="95"/>
          <w:sz w:val="18"/>
        </w:rPr>
        <w:t>++</w:t>
      </w:r>
      <w:r>
        <w:rPr>
          <w:w w:val="95"/>
          <w:sz w:val="18"/>
        </w:rPr>
        <w:t>以上）的系统性红斑狼疮。该病必须由本公司认可的医院的风湿科</w:t>
      </w:r>
      <w:r>
        <w:rPr>
          <w:b/>
          <w:w w:val="95"/>
          <w:sz w:val="18"/>
        </w:rPr>
        <w:t>专科医生</w:t>
      </w:r>
      <w:r>
        <w:rPr>
          <w:spacing w:val="-2"/>
          <w:w w:val="95"/>
          <w:sz w:val="18"/>
        </w:rPr>
        <w:t>确诊。</w:t>
      </w:r>
      <w:r>
        <w:rPr>
          <w:b/>
          <w:w w:val="95"/>
          <w:sz w:val="18"/>
        </w:rPr>
        <w:t>其他类型的红斑性狼    疮，如盘状狼疮、仅累及血液及关节的狼疮不在保障范围內。</w:t>
      </w:r>
    </w:p>
    <w:p>
      <w:pPr>
        <w:pStyle w:val="BodyText"/>
        <w:spacing w:before="40"/>
        <w:ind w:left="1112"/>
      </w:pPr>
      <w:r>
        <w:rPr/>
        <w:t>世界卫生组织（</w:t>
      </w:r>
      <w:r>
        <w:rPr>
          <w:rFonts w:ascii="Arial" w:eastAsia="Arial"/>
        </w:rPr>
        <w:t>WHO</w:t>
      </w:r>
      <w:r>
        <w:rPr/>
        <w:t>）狼疮性肾炎分型：</w:t>
      </w:r>
    </w:p>
    <w:p>
      <w:pPr>
        <w:pStyle w:val="BodyText"/>
        <w:spacing w:before="8"/>
        <w:ind w:left="0"/>
        <w:rPr>
          <w:sz w:val="9"/>
        </w:rPr>
      </w:pPr>
    </w:p>
    <w:tbl>
      <w:tblPr>
        <w:tblW w:w="0" w:type="auto"/>
        <w:jc w:val="left"/>
        <w:tblInd w:w="3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2088"/>
      </w:tblGrid>
      <w:tr>
        <w:trPr>
          <w:trHeight w:val="354" w:hRule="atLeast"/>
        </w:trPr>
        <w:tc>
          <w:tcPr>
            <w:tcW w:w="2088" w:type="dxa"/>
          </w:tcPr>
          <w:p>
            <w:pPr>
              <w:pStyle w:val="TableParagraph"/>
              <w:spacing w:line="228" w:lineRule="exact"/>
              <w:ind w:left="291" w:right="305"/>
              <w:jc w:val="center"/>
              <w:rPr>
                <w:sz w:val="18"/>
              </w:rPr>
            </w:pPr>
            <w:r>
              <w:rPr>
                <w:rFonts w:ascii="Arial" w:eastAsia="Arial"/>
                <w:sz w:val="18"/>
              </w:rPr>
              <w:t>I </w:t>
            </w:r>
            <w:r>
              <w:rPr>
                <w:sz w:val="18"/>
              </w:rPr>
              <w:t>型</w:t>
            </w:r>
          </w:p>
        </w:tc>
        <w:tc>
          <w:tcPr>
            <w:tcW w:w="2088" w:type="dxa"/>
          </w:tcPr>
          <w:p>
            <w:pPr>
              <w:pStyle w:val="TableParagraph"/>
              <w:spacing w:line="215" w:lineRule="exact"/>
              <w:ind w:left="289" w:right="307"/>
              <w:jc w:val="center"/>
              <w:rPr>
                <w:sz w:val="18"/>
              </w:rPr>
            </w:pPr>
            <w:r>
              <w:rPr>
                <w:sz w:val="18"/>
              </w:rPr>
              <w:t>微小病变型</w:t>
            </w:r>
          </w:p>
        </w:tc>
      </w:tr>
      <w:tr>
        <w:trPr>
          <w:trHeight w:val="354" w:hRule="atLeast"/>
        </w:trPr>
        <w:tc>
          <w:tcPr>
            <w:tcW w:w="2088" w:type="dxa"/>
          </w:tcPr>
          <w:p>
            <w:pPr>
              <w:pStyle w:val="TableParagraph"/>
              <w:spacing w:line="228" w:lineRule="exact"/>
              <w:ind w:left="290" w:right="307"/>
              <w:jc w:val="center"/>
              <w:rPr>
                <w:sz w:val="18"/>
              </w:rPr>
            </w:pPr>
            <w:r>
              <w:rPr>
                <w:rFonts w:ascii="Arial" w:eastAsia="Arial"/>
                <w:sz w:val="18"/>
              </w:rPr>
              <w:t>II </w:t>
            </w:r>
            <w:r>
              <w:rPr>
                <w:sz w:val="18"/>
              </w:rPr>
              <w:t>型</w:t>
            </w:r>
          </w:p>
        </w:tc>
        <w:tc>
          <w:tcPr>
            <w:tcW w:w="2088" w:type="dxa"/>
          </w:tcPr>
          <w:p>
            <w:pPr>
              <w:pStyle w:val="TableParagraph"/>
              <w:spacing w:line="215" w:lineRule="exact"/>
              <w:ind w:left="289" w:right="307"/>
              <w:jc w:val="center"/>
              <w:rPr>
                <w:sz w:val="18"/>
              </w:rPr>
            </w:pPr>
            <w:r>
              <w:rPr>
                <w:sz w:val="18"/>
              </w:rPr>
              <w:t>系膜病变型</w:t>
            </w:r>
          </w:p>
        </w:tc>
      </w:tr>
      <w:tr>
        <w:trPr>
          <w:trHeight w:val="354" w:hRule="atLeast"/>
        </w:trPr>
        <w:tc>
          <w:tcPr>
            <w:tcW w:w="2088" w:type="dxa"/>
          </w:tcPr>
          <w:p>
            <w:pPr>
              <w:pStyle w:val="TableParagraph"/>
              <w:spacing w:line="228" w:lineRule="exact"/>
              <w:ind w:left="291" w:right="305"/>
              <w:jc w:val="center"/>
              <w:rPr>
                <w:sz w:val="18"/>
              </w:rPr>
            </w:pPr>
            <w:r>
              <w:rPr>
                <w:rFonts w:ascii="Arial" w:eastAsia="Arial"/>
                <w:sz w:val="18"/>
              </w:rPr>
              <w:t>III </w:t>
            </w:r>
            <w:r>
              <w:rPr>
                <w:sz w:val="18"/>
              </w:rPr>
              <w:t>型</w:t>
            </w:r>
          </w:p>
        </w:tc>
        <w:tc>
          <w:tcPr>
            <w:tcW w:w="2088" w:type="dxa"/>
          </w:tcPr>
          <w:p>
            <w:pPr>
              <w:pStyle w:val="TableParagraph"/>
              <w:spacing w:line="215" w:lineRule="exact"/>
              <w:ind w:left="291" w:right="307"/>
              <w:jc w:val="center"/>
              <w:rPr>
                <w:sz w:val="18"/>
              </w:rPr>
            </w:pPr>
            <w:r>
              <w:rPr>
                <w:sz w:val="18"/>
              </w:rPr>
              <w:t>局灶及节段增生型</w:t>
            </w:r>
          </w:p>
        </w:tc>
      </w:tr>
      <w:tr>
        <w:trPr>
          <w:trHeight w:val="354" w:hRule="atLeast"/>
        </w:trPr>
        <w:tc>
          <w:tcPr>
            <w:tcW w:w="2088" w:type="dxa"/>
          </w:tcPr>
          <w:p>
            <w:pPr>
              <w:pStyle w:val="TableParagraph"/>
              <w:spacing w:line="228" w:lineRule="exact"/>
              <w:ind w:left="291" w:right="305"/>
              <w:jc w:val="center"/>
              <w:rPr>
                <w:sz w:val="18"/>
              </w:rPr>
            </w:pPr>
            <w:r>
              <w:rPr>
                <w:rFonts w:ascii="Arial" w:eastAsia="Arial"/>
                <w:sz w:val="18"/>
              </w:rPr>
              <w:t>IV </w:t>
            </w:r>
            <w:r>
              <w:rPr>
                <w:sz w:val="18"/>
              </w:rPr>
              <w:t>型</w:t>
            </w:r>
          </w:p>
        </w:tc>
        <w:tc>
          <w:tcPr>
            <w:tcW w:w="2088" w:type="dxa"/>
          </w:tcPr>
          <w:p>
            <w:pPr>
              <w:pStyle w:val="TableParagraph"/>
              <w:spacing w:line="215" w:lineRule="exact"/>
              <w:ind w:left="289" w:right="307"/>
              <w:jc w:val="center"/>
              <w:rPr>
                <w:sz w:val="18"/>
              </w:rPr>
            </w:pPr>
            <w:r>
              <w:rPr>
                <w:sz w:val="18"/>
              </w:rPr>
              <w:t>弥漫增生型</w:t>
            </w:r>
          </w:p>
        </w:tc>
      </w:tr>
      <w:tr>
        <w:trPr>
          <w:trHeight w:val="354" w:hRule="atLeast"/>
        </w:trPr>
        <w:tc>
          <w:tcPr>
            <w:tcW w:w="2088" w:type="dxa"/>
          </w:tcPr>
          <w:p>
            <w:pPr>
              <w:pStyle w:val="TableParagraph"/>
              <w:spacing w:line="228" w:lineRule="exact"/>
              <w:ind w:left="290" w:right="307"/>
              <w:jc w:val="center"/>
              <w:rPr>
                <w:sz w:val="18"/>
              </w:rPr>
            </w:pPr>
            <w:r>
              <w:rPr>
                <w:rFonts w:ascii="Arial" w:eastAsia="Arial"/>
                <w:sz w:val="18"/>
              </w:rPr>
              <w:t>V </w:t>
            </w:r>
            <w:r>
              <w:rPr>
                <w:sz w:val="18"/>
              </w:rPr>
              <w:t>型</w:t>
            </w:r>
          </w:p>
        </w:tc>
        <w:tc>
          <w:tcPr>
            <w:tcW w:w="2088" w:type="dxa"/>
          </w:tcPr>
          <w:p>
            <w:pPr>
              <w:pStyle w:val="TableParagraph"/>
              <w:spacing w:line="215" w:lineRule="exact"/>
              <w:ind w:left="291" w:right="307"/>
              <w:jc w:val="center"/>
              <w:rPr>
                <w:sz w:val="18"/>
              </w:rPr>
            </w:pPr>
            <w:r>
              <w:rPr>
                <w:sz w:val="18"/>
              </w:rPr>
              <w:t>膜型</w:t>
            </w:r>
          </w:p>
        </w:tc>
      </w:tr>
      <w:tr>
        <w:trPr>
          <w:trHeight w:val="354" w:hRule="atLeast"/>
        </w:trPr>
        <w:tc>
          <w:tcPr>
            <w:tcW w:w="2088" w:type="dxa"/>
          </w:tcPr>
          <w:p>
            <w:pPr>
              <w:pStyle w:val="TableParagraph"/>
              <w:spacing w:line="228" w:lineRule="exact"/>
              <w:ind w:left="291" w:right="305"/>
              <w:jc w:val="center"/>
              <w:rPr>
                <w:sz w:val="18"/>
              </w:rPr>
            </w:pPr>
            <w:r>
              <w:rPr>
                <w:rFonts w:ascii="Arial" w:eastAsia="Arial"/>
                <w:sz w:val="18"/>
              </w:rPr>
              <w:t>VI </w:t>
            </w:r>
            <w:r>
              <w:rPr>
                <w:sz w:val="18"/>
              </w:rPr>
              <w:t>型</w:t>
            </w:r>
          </w:p>
        </w:tc>
        <w:tc>
          <w:tcPr>
            <w:tcW w:w="2088" w:type="dxa"/>
          </w:tcPr>
          <w:p>
            <w:pPr>
              <w:pStyle w:val="TableParagraph"/>
              <w:spacing w:line="215" w:lineRule="exact"/>
              <w:ind w:left="291" w:right="307"/>
              <w:jc w:val="center"/>
              <w:rPr>
                <w:sz w:val="18"/>
              </w:rPr>
            </w:pPr>
            <w:r>
              <w:rPr>
                <w:sz w:val="18"/>
              </w:rPr>
              <w:t>肾小球硬化型</w:t>
            </w:r>
          </w:p>
        </w:tc>
      </w:tr>
    </w:tbl>
    <w:p>
      <w:pPr>
        <w:pStyle w:val="ListParagraph"/>
        <w:numPr>
          <w:ilvl w:val="1"/>
          <w:numId w:val="9"/>
        </w:numPr>
        <w:tabs>
          <w:tab w:pos="1106" w:val="left" w:leader="none"/>
        </w:tabs>
        <w:spacing w:line="240" w:lineRule="auto" w:before="0" w:after="0"/>
        <w:ind w:left="1105" w:right="0" w:hanging="567"/>
        <w:jc w:val="left"/>
        <w:rPr>
          <w:sz w:val="18"/>
        </w:rPr>
      </w:pPr>
      <w:r>
        <w:rPr>
          <w:sz w:val="18"/>
        </w:rPr>
        <w:t>非阿尔茨海默病所致严重痴呆</w:t>
      </w:r>
    </w:p>
    <w:p>
      <w:pPr>
        <w:pStyle w:val="BodyText"/>
        <w:spacing w:line="357" w:lineRule="auto" w:before="104"/>
        <w:ind w:left="1112" w:right="167"/>
        <w:jc w:val="both"/>
      </w:pPr>
      <w:r>
        <w:rPr/>
        <w:t>指因阿尔茨海默病以外的脑的器质性疾病造成脑功能衰竭导致</w:t>
      </w:r>
      <w:r>
        <w:rPr>
          <w:b/>
        </w:rPr>
        <w:t>永久不可逆</w:t>
      </w:r>
      <w:r>
        <w:rPr/>
        <w:t>性的严重痴呆，临床表现为明显的认知能力障碍、行为异常和社交能力减退。被保险人自主生活能力完全丧失，无法独立完成</w:t>
      </w:r>
      <w:r>
        <w:rPr>
          <w:b/>
        </w:rPr>
        <w:t>六项基本日常生活活动</w:t>
      </w:r>
      <w:r>
        <w:rPr/>
        <w:t>中的三项或三项以上。导致痴呆的疾病必须经本公司认可的医院的</w:t>
      </w:r>
      <w:r>
        <w:rPr>
          <w:b/>
        </w:rPr>
        <w:t>专科医生</w:t>
      </w:r>
      <w:r>
        <w:rPr/>
        <w:t>明确诊断，并且由完整的临床、实验室和影像学检查结果证实。</w:t>
      </w:r>
    </w:p>
    <w:p>
      <w:pPr>
        <w:pStyle w:val="Heading3"/>
        <w:spacing w:before="26"/>
      </w:pPr>
      <w:r>
        <w:rPr>
          <w:w w:val="95"/>
        </w:rPr>
        <w:t>神经官能症</w:t>
      </w:r>
      <w:r>
        <w:rPr>
          <w:rFonts w:ascii="Arial" w:eastAsia="Arial"/>
          <w:w w:val="95"/>
        </w:rPr>
        <w:t>,</w:t>
      </w:r>
      <w:r>
        <w:rPr>
          <w:w w:val="95"/>
        </w:rPr>
        <w:t>精神疾病及酒精中毒所致脑损害不在保障范围内。</w:t>
      </w:r>
    </w:p>
    <w:p>
      <w:pPr>
        <w:pStyle w:val="ListParagraph"/>
        <w:numPr>
          <w:ilvl w:val="1"/>
          <w:numId w:val="9"/>
        </w:numPr>
        <w:tabs>
          <w:tab w:pos="1106" w:val="left" w:leader="none"/>
        </w:tabs>
        <w:spacing w:line="240" w:lineRule="auto" w:before="104" w:after="0"/>
        <w:ind w:left="1105" w:right="0" w:hanging="567"/>
        <w:jc w:val="left"/>
        <w:rPr>
          <w:sz w:val="18"/>
        </w:rPr>
      </w:pPr>
      <w:r>
        <w:rPr>
          <w:sz w:val="18"/>
        </w:rPr>
        <w:t>严重类风湿性关节炎</w:t>
      </w:r>
    </w:p>
    <w:p>
      <w:pPr>
        <w:pStyle w:val="BodyText"/>
        <w:spacing w:before="104"/>
        <w:ind w:left="1112"/>
      </w:pPr>
      <w:r>
        <w:rPr/>
        <w:t>类风湿性关节炎为广泛分布的慢性进行性多关节病变，表现为关节严重变形，侵犯至少三个主要关节或关节组</w:t>
      </w:r>
    </w:p>
    <w:p>
      <w:pPr>
        <w:pStyle w:val="BodyText"/>
        <w:spacing w:line="357" w:lineRule="auto" w:before="117"/>
        <w:ind w:left="1112" w:right="167"/>
        <w:jc w:val="both"/>
      </w:pPr>
      <w:r>
        <w:rPr/>
        <w:t>【如：双手（多手指）关节、双足（多足趾）关节、双腕关节、双膝关节和双髋关节】。类风湿性关节炎必须明确诊断并且由本公司认可医院的专科医师确认被保险人在无他人协助下无法独立完成</w:t>
      </w:r>
      <w:r>
        <w:rPr>
          <w:b/>
        </w:rPr>
        <w:t>六项基本日常生活活动</w:t>
      </w:r>
      <w:r>
        <w:rPr/>
        <w:t>中的三项或三项以上。上述畸形及功能异常须持续至少达 </w:t>
      </w:r>
      <w:r>
        <w:rPr>
          <w:rFonts w:ascii="Arial" w:eastAsia="Arial"/>
        </w:rPr>
        <w:t>180 </w:t>
      </w:r>
      <w:r>
        <w:rPr/>
        <w:t>天。</w:t>
      </w:r>
    </w:p>
    <w:p>
      <w:pPr>
        <w:pStyle w:val="ListParagraph"/>
        <w:numPr>
          <w:ilvl w:val="1"/>
          <w:numId w:val="9"/>
        </w:numPr>
        <w:tabs>
          <w:tab w:pos="1106" w:val="left" w:leader="none"/>
        </w:tabs>
        <w:spacing w:line="240" w:lineRule="auto" w:before="6" w:after="0"/>
        <w:ind w:left="1105" w:right="0" w:hanging="567"/>
        <w:jc w:val="left"/>
        <w:rPr>
          <w:sz w:val="18"/>
        </w:rPr>
      </w:pPr>
      <w:r>
        <w:rPr>
          <w:sz w:val="18"/>
        </w:rPr>
        <w:t>慢性呼吸功能衰竭终末期肺病</w:t>
      </w:r>
    </w:p>
    <w:p>
      <w:pPr>
        <w:pStyle w:val="BodyText"/>
        <w:spacing w:line="360" w:lineRule="auto" w:before="105"/>
        <w:ind w:left="1112" w:right="350"/>
      </w:pPr>
      <w:r>
        <w:rPr/>
        <w:t>指被保险人必须经本公司认可的医院的呼吸科专科医师确诊因慢性肺部疾病导致</w:t>
      </w:r>
      <w:r>
        <w:rPr>
          <w:b/>
        </w:rPr>
        <w:t>永久不可逆</w:t>
      </w:r>
      <w:r>
        <w:rPr/>
        <w:t>性的慢性呼吸功能衰竭，其诊断标准包括以下各项：</w:t>
      </w:r>
    </w:p>
    <w:p>
      <w:pPr>
        <w:pStyle w:val="BodyText"/>
        <w:spacing w:before="25"/>
        <w:ind w:left="1112"/>
        <w:jc w:val="both"/>
      </w:pPr>
      <w:r>
        <w:rPr/>
        <w:t>（</w:t>
      </w:r>
      <w:r>
        <w:rPr>
          <w:rFonts w:ascii="Arial" w:eastAsia="Arial"/>
        </w:rPr>
        <w:t>1</w:t>
      </w:r>
      <w:r>
        <w:rPr/>
        <w:t>）休息时出现呼吸困难；</w:t>
      </w:r>
    </w:p>
    <w:p>
      <w:pPr>
        <w:pStyle w:val="BodyText"/>
        <w:spacing w:before="102"/>
        <w:ind w:left="1112"/>
        <w:jc w:val="both"/>
      </w:pPr>
      <w:r>
        <w:rPr/>
        <w:t>（</w:t>
      </w:r>
      <w:r>
        <w:rPr>
          <w:rFonts w:ascii="Arial" w:eastAsia="Arial"/>
        </w:rPr>
        <w:t>2</w:t>
      </w:r>
      <w:r>
        <w:rPr/>
        <w:t>）动脉血氧饱和度（</w:t>
      </w:r>
      <w:r>
        <w:rPr>
          <w:rFonts w:ascii="Arial" w:eastAsia="Arial"/>
        </w:rPr>
        <w:t>SaO2</w:t>
      </w:r>
      <w:r>
        <w:rPr/>
        <w:t>）</w:t>
      </w:r>
      <w:r>
        <w:rPr>
          <w:rFonts w:ascii="Arial" w:eastAsia="Arial"/>
        </w:rPr>
        <w:t>&lt;80</w:t>
      </w:r>
      <w:r>
        <w:rPr/>
        <w:t>％；</w:t>
      </w:r>
    </w:p>
    <w:p>
      <w:pPr>
        <w:pStyle w:val="BodyText"/>
        <w:spacing w:before="102"/>
        <w:ind w:left="1112"/>
        <w:jc w:val="both"/>
      </w:pPr>
      <w:r>
        <w:rPr/>
        <w:t>（</w:t>
      </w:r>
      <w:r>
        <w:rPr>
          <w:rFonts w:ascii="Arial" w:eastAsia="Arial"/>
        </w:rPr>
        <w:t>3</w:t>
      </w:r>
      <w:r>
        <w:rPr/>
        <w:t>）肺功能测试其 </w:t>
      </w:r>
      <w:r>
        <w:rPr>
          <w:rFonts w:ascii="Arial" w:eastAsia="Arial"/>
        </w:rPr>
        <w:t>FEV1 </w:t>
      </w:r>
      <w:r>
        <w:rPr/>
        <w:t>持续低于 </w:t>
      </w:r>
      <w:r>
        <w:rPr>
          <w:rFonts w:ascii="Arial" w:eastAsia="Arial"/>
        </w:rPr>
        <w:t>1 </w:t>
      </w:r>
      <w:r>
        <w:rPr/>
        <w:t>升。</w:t>
      </w:r>
    </w:p>
    <w:p>
      <w:pPr>
        <w:pStyle w:val="BodyText"/>
        <w:spacing w:before="104"/>
        <w:ind w:left="1112"/>
        <w:jc w:val="both"/>
      </w:pPr>
      <w:r>
        <w:rPr/>
        <w:t>（</w:t>
      </w:r>
      <w:r>
        <w:rPr>
          <w:rFonts w:ascii="Arial" w:eastAsia="Arial"/>
        </w:rPr>
        <w:t>4</w:t>
      </w:r>
      <w:r>
        <w:rPr/>
        <w:t>）因慢性阻塞性肺病或慢性呼吸功能不全所致缺氧必须接受持续的输氧治疗。</w:t>
      </w:r>
    </w:p>
    <w:p>
      <w:pPr>
        <w:pStyle w:val="ListParagraph"/>
        <w:numPr>
          <w:ilvl w:val="1"/>
          <w:numId w:val="9"/>
        </w:numPr>
        <w:tabs>
          <w:tab w:pos="1106" w:val="left" w:leader="none"/>
        </w:tabs>
        <w:spacing w:line="240" w:lineRule="auto" w:before="104" w:after="0"/>
        <w:ind w:left="1105" w:right="0" w:hanging="567"/>
        <w:jc w:val="left"/>
        <w:rPr>
          <w:sz w:val="18"/>
        </w:rPr>
      </w:pPr>
      <w:r>
        <w:rPr>
          <w:sz w:val="18"/>
        </w:rPr>
        <w:t>肾髓质囊性病</w:t>
      </w:r>
    </w:p>
    <w:p>
      <w:pPr>
        <w:pStyle w:val="BodyText"/>
        <w:spacing w:before="104"/>
        <w:ind w:left="1112"/>
        <w:jc w:val="both"/>
      </w:pPr>
      <w:r>
        <w:rPr/>
        <w:t>肾髓质囊性病的诊断须同时符合下列要求：</w:t>
      </w:r>
    </w:p>
    <w:p>
      <w:pPr>
        <w:pStyle w:val="BodyText"/>
        <w:spacing w:before="114"/>
        <w:ind w:left="1112"/>
        <w:jc w:val="both"/>
      </w:pPr>
      <w:r>
        <w:rPr/>
        <w:t>（</w:t>
      </w:r>
      <w:r>
        <w:rPr>
          <w:rFonts w:ascii="Arial" w:eastAsia="Arial"/>
        </w:rPr>
        <w:t>1</w:t>
      </w:r>
      <w:r>
        <w:rPr/>
        <w:t>）肾髓质有囊肿、肾小管萎缩及间质纤维化等病理改变；</w:t>
      </w:r>
    </w:p>
    <w:p>
      <w:pPr>
        <w:pStyle w:val="BodyText"/>
        <w:spacing w:before="101"/>
        <w:ind w:left="1112"/>
        <w:jc w:val="both"/>
      </w:pPr>
      <w:r>
        <w:rPr/>
        <w:t>（</w:t>
      </w:r>
      <w:r>
        <w:rPr>
          <w:rFonts w:ascii="Arial" w:eastAsia="Arial"/>
        </w:rPr>
        <w:t>2</w:t>
      </w:r>
      <w:r>
        <w:rPr/>
        <w:t>）肾功能衰竭；</w:t>
      </w:r>
    </w:p>
    <w:p>
      <w:pPr>
        <w:pStyle w:val="BodyText"/>
        <w:spacing w:before="101"/>
        <w:ind w:left="1112"/>
        <w:jc w:val="both"/>
      </w:pPr>
      <w:r>
        <w:rPr/>
        <w:t>（</w:t>
      </w:r>
      <w:r>
        <w:rPr>
          <w:rFonts w:ascii="Arial" w:eastAsia="Arial"/>
        </w:rPr>
        <w:t>3</w:t>
      </w:r>
      <w:r>
        <w:rPr/>
        <w:t>）诊断须由肾组织活检确定。</w:t>
      </w:r>
    </w:p>
    <w:p>
      <w:pPr>
        <w:spacing w:before="104"/>
        <w:ind w:left="1112" w:right="0" w:firstLine="0"/>
        <w:jc w:val="both"/>
        <w:rPr>
          <w:sz w:val="18"/>
        </w:rPr>
      </w:pPr>
      <w:r>
        <w:rPr>
          <w:w w:val="95"/>
          <w:sz w:val="18"/>
        </w:rPr>
        <w:t>我们承担本项疾病责任不受合同责任免除中“</w:t>
      </w:r>
      <w:r>
        <w:rPr>
          <w:b/>
          <w:w w:val="95"/>
          <w:sz w:val="18"/>
        </w:rPr>
        <w:t>遗传性疾病</w:t>
      </w:r>
      <w:r>
        <w:rPr>
          <w:w w:val="95"/>
          <w:sz w:val="18"/>
        </w:rPr>
        <w:t>，</w:t>
      </w:r>
      <w:r>
        <w:rPr>
          <w:b/>
          <w:w w:val="95"/>
          <w:sz w:val="18"/>
        </w:rPr>
        <w:t>先天性畸形、变形或染色体异常</w:t>
      </w:r>
      <w:r>
        <w:rPr>
          <w:w w:val="95"/>
          <w:sz w:val="18"/>
        </w:rPr>
        <w:t>”的限制。</w:t>
      </w:r>
    </w:p>
    <w:p>
      <w:pPr>
        <w:pStyle w:val="ListParagraph"/>
        <w:numPr>
          <w:ilvl w:val="1"/>
          <w:numId w:val="9"/>
        </w:numPr>
        <w:tabs>
          <w:tab w:pos="1106" w:val="left" w:leader="none"/>
        </w:tabs>
        <w:spacing w:line="240" w:lineRule="auto" w:before="116" w:after="0"/>
        <w:ind w:left="1105" w:right="0" w:hanging="567"/>
        <w:jc w:val="left"/>
        <w:rPr>
          <w:sz w:val="18"/>
        </w:rPr>
      </w:pPr>
      <w:r>
        <w:rPr>
          <w:sz w:val="18"/>
        </w:rPr>
        <w:t>重症急性坏死性筋膜炎</w:t>
      </w:r>
    </w:p>
    <w:p>
      <w:pPr>
        <w:pStyle w:val="BodyText"/>
        <w:spacing w:line="357" w:lineRule="auto" w:before="104"/>
        <w:ind w:left="1112" w:right="172"/>
      </w:pPr>
      <w:r>
        <w:rPr/>
        <w:t>是一种由细菌侵入皮下组织和筋膜引起的急性坏死性软组织感染，可伴有毒血症、败血症、中毒性休克、弥漫性血管内凝血及多器官衰竭。必须满足以下所有条件：</w:t>
      </w:r>
    </w:p>
    <w:p>
      <w:pPr>
        <w:pStyle w:val="BodyText"/>
        <w:spacing w:before="26"/>
        <w:ind w:left="1112"/>
        <w:jc w:val="both"/>
      </w:pPr>
      <w:r>
        <w:rPr/>
        <w:t>（</w:t>
      </w:r>
      <w:r>
        <w:rPr>
          <w:rFonts w:ascii="Arial" w:eastAsia="Arial"/>
        </w:rPr>
        <w:t>1</w:t>
      </w:r>
      <w:r>
        <w:rPr/>
        <w:t>）细菌培养和临床表现符合坏死性筋膜炎诊断标准；</w:t>
      </w:r>
    </w:p>
    <w:p>
      <w:pPr>
        <w:pStyle w:val="BodyText"/>
        <w:spacing w:before="103"/>
        <w:ind w:left="1112"/>
        <w:jc w:val="both"/>
      </w:pPr>
      <w:r>
        <w:rPr/>
        <w:t>（</w:t>
      </w:r>
      <w:r>
        <w:rPr>
          <w:rFonts w:ascii="Arial" w:eastAsia="Arial"/>
        </w:rPr>
        <w:t>2</w:t>
      </w:r>
      <w:r>
        <w:rPr/>
        <w:t>）病情迅速恶化，有脓毒血症表现；</w:t>
      </w:r>
    </w:p>
    <w:p>
      <w:pPr>
        <w:pStyle w:val="BodyText"/>
        <w:spacing w:before="101"/>
        <w:ind w:left="1112"/>
        <w:jc w:val="both"/>
      </w:pPr>
      <w:r>
        <w:rPr/>
        <w:t>（</w:t>
      </w:r>
      <w:r>
        <w:rPr>
          <w:rFonts w:ascii="Arial" w:eastAsia="Arial"/>
        </w:rPr>
        <w:t>3</w:t>
      </w:r>
      <w:r>
        <w:rPr/>
        <w:t>）受感染肢体被截肢（自腕关节或踝关节近端）。</w:t>
      </w:r>
    </w:p>
    <w:p>
      <w:pPr>
        <w:spacing w:after="0"/>
        <w:jc w:val="both"/>
        <w:sectPr>
          <w:pgSz w:w="11910" w:h="16840"/>
          <w:pgMar w:header="672" w:footer="767" w:top="860" w:bottom="960" w:left="880" w:right="740"/>
        </w:sectPr>
      </w:pPr>
    </w:p>
    <w:p>
      <w:pPr>
        <w:pStyle w:val="BodyText"/>
        <w:spacing w:before="9"/>
        <w:ind w:left="0"/>
        <w:rPr>
          <w:sz w:val="13"/>
        </w:rPr>
      </w:pPr>
    </w:p>
    <w:p>
      <w:pPr>
        <w:pStyle w:val="ListParagraph"/>
        <w:numPr>
          <w:ilvl w:val="1"/>
          <w:numId w:val="9"/>
        </w:numPr>
        <w:tabs>
          <w:tab w:pos="1106" w:val="left" w:leader="none"/>
        </w:tabs>
        <w:spacing w:line="240" w:lineRule="auto" w:before="53" w:after="0"/>
        <w:ind w:left="1105" w:right="0" w:hanging="567"/>
        <w:jc w:val="left"/>
        <w:rPr>
          <w:sz w:val="18"/>
        </w:rPr>
      </w:pPr>
      <w:r>
        <w:rPr>
          <w:sz w:val="18"/>
        </w:rPr>
        <w:t>进行性核上性麻痹</w:t>
      </w:r>
    </w:p>
    <w:p>
      <w:pPr>
        <w:pStyle w:val="BodyText"/>
        <w:spacing w:line="357" w:lineRule="auto" w:before="103"/>
        <w:ind w:left="1112" w:right="62"/>
      </w:pPr>
      <w:r>
        <w:rPr/>
        <w:t>一种隐袭起病、逐渐加重的神经系统变性疾病。本疾病必须由本公司认可的医院的神经科</w:t>
      </w:r>
      <w:r>
        <w:rPr>
          <w:b/>
        </w:rPr>
        <w:t>专科医生</w:t>
      </w:r>
      <w:r>
        <w:rPr/>
        <w:t>确诊，并满足 以下全部临床特征：</w:t>
      </w:r>
    </w:p>
    <w:p>
      <w:pPr>
        <w:pStyle w:val="ListParagraph"/>
        <w:numPr>
          <w:ilvl w:val="0"/>
          <w:numId w:val="10"/>
        </w:numPr>
        <w:tabs>
          <w:tab w:pos="1624" w:val="left" w:leader="none"/>
        </w:tabs>
        <w:spacing w:line="240" w:lineRule="auto" w:before="26" w:after="0"/>
        <w:ind w:left="1623" w:right="0" w:hanging="511"/>
        <w:jc w:val="left"/>
        <w:rPr>
          <w:sz w:val="18"/>
        </w:rPr>
      </w:pPr>
      <w:r>
        <w:rPr>
          <w:sz w:val="18"/>
        </w:rPr>
        <w:t>步态共济失调；</w:t>
      </w:r>
    </w:p>
    <w:p>
      <w:pPr>
        <w:pStyle w:val="ListParagraph"/>
        <w:numPr>
          <w:ilvl w:val="0"/>
          <w:numId w:val="10"/>
        </w:numPr>
        <w:tabs>
          <w:tab w:pos="1624" w:val="left" w:leader="none"/>
        </w:tabs>
        <w:spacing w:line="240" w:lineRule="auto" w:before="102" w:after="0"/>
        <w:ind w:left="1623" w:right="0" w:hanging="511"/>
        <w:jc w:val="left"/>
        <w:rPr>
          <w:sz w:val="18"/>
        </w:rPr>
      </w:pPr>
      <w:r>
        <w:rPr>
          <w:sz w:val="18"/>
        </w:rPr>
        <w:t>对称性眼球垂直运动障碍；</w:t>
      </w:r>
    </w:p>
    <w:p>
      <w:pPr>
        <w:pStyle w:val="ListParagraph"/>
        <w:numPr>
          <w:ilvl w:val="0"/>
          <w:numId w:val="10"/>
        </w:numPr>
        <w:tabs>
          <w:tab w:pos="1624" w:val="left" w:leader="none"/>
        </w:tabs>
        <w:spacing w:line="240" w:lineRule="auto" w:before="104" w:after="0"/>
        <w:ind w:left="1623" w:right="0" w:hanging="511"/>
        <w:jc w:val="left"/>
        <w:rPr>
          <w:sz w:val="18"/>
        </w:rPr>
      </w:pPr>
      <w:r>
        <w:rPr>
          <w:sz w:val="18"/>
        </w:rPr>
        <w:t>假性球麻痹（构音障碍和吞咽困难）。</w:t>
      </w:r>
    </w:p>
    <w:p>
      <w:pPr>
        <w:pStyle w:val="ListParagraph"/>
        <w:numPr>
          <w:ilvl w:val="1"/>
          <w:numId w:val="9"/>
        </w:numPr>
        <w:tabs>
          <w:tab w:pos="1106" w:val="left" w:leader="none"/>
        </w:tabs>
        <w:spacing w:line="240" w:lineRule="auto" w:before="104" w:after="0"/>
        <w:ind w:left="1105" w:right="0" w:hanging="567"/>
        <w:jc w:val="left"/>
        <w:rPr>
          <w:sz w:val="18"/>
        </w:rPr>
      </w:pPr>
      <w:r>
        <w:rPr>
          <w:sz w:val="18"/>
        </w:rPr>
        <w:t>胰腺移植</w:t>
      </w:r>
    </w:p>
    <w:p>
      <w:pPr>
        <w:spacing w:line="360" w:lineRule="auto" w:before="104"/>
        <w:ind w:left="1105" w:right="892" w:firstLine="7"/>
        <w:jc w:val="left"/>
        <w:rPr>
          <w:b/>
          <w:sz w:val="18"/>
        </w:rPr>
      </w:pPr>
      <w:r>
        <w:rPr>
          <w:sz w:val="18"/>
        </w:rPr>
        <w:t>指因胰腺功能衰竭，已经实施了在全身麻醉下进行的胰腺的异体器官移植手术（供体必须是人体器官）。</w:t>
      </w:r>
      <w:r>
        <w:rPr>
          <w:b/>
          <w:w w:val="95"/>
          <w:sz w:val="18"/>
        </w:rPr>
        <w:t>单纯胰岛移植、部分胰腺组织或细胞的移植不在保障范围内。</w:t>
      </w:r>
    </w:p>
    <w:p>
      <w:pPr>
        <w:pStyle w:val="ListParagraph"/>
        <w:numPr>
          <w:ilvl w:val="1"/>
          <w:numId w:val="9"/>
        </w:numPr>
        <w:tabs>
          <w:tab w:pos="1106" w:val="left" w:leader="none"/>
        </w:tabs>
        <w:spacing w:line="240" w:lineRule="auto" w:before="29" w:after="0"/>
        <w:ind w:left="1105" w:right="0" w:hanging="567"/>
        <w:jc w:val="left"/>
        <w:rPr>
          <w:sz w:val="18"/>
        </w:rPr>
      </w:pPr>
      <w:r>
        <w:rPr>
          <w:spacing w:val="-1"/>
          <w:sz w:val="18"/>
        </w:rPr>
        <w:t>脑皮质坏死</w:t>
      </w:r>
    </w:p>
    <w:p>
      <w:pPr>
        <w:pStyle w:val="BodyText"/>
        <w:spacing w:line="357" w:lineRule="auto" w:before="104"/>
        <w:ind w:left="1112" w:right="174"/>
      </w:pPr>
      <w:r>
        <w:rPr/>
        <w:t>指脑皮质广泛坏死，仅存脑干无损。诊断必须由本公司认可的医院的神经科专科医师确认，临床情况必须有至少一个月的书面记载。</w:t>
      </w:r>
    </w:p>
    <w:p>
      <w:pPr>
        <w:pStyle w:val="ListParagraph"/>
        <w:numPr>
          <w:ilvl w:val="1"/>
          <w:numId w:val="9"/>
        </w:numPr>
        <w:tabs>
          <w:tab w:pos="1106" w:val="left" w:leader="none"/>
        </w:tabs>
        <w:spacing w:line="240" w:lineRule="auto" w:before="29" w:after="0"/>
        <w:ind w:left="1105" w:right="0" w:hanging="567"/>
        <w:jc w:val="left"/>
        <w:rPr>
          <w:sz w:val="18"/>
        </w:rPr>
      </w:pPr>
      <w:r>
        <w:rPr>
          <w:sz w:val="18"/>
        </w:rPr>
        <w:t>破裂脑动脉瘤夹闭手术</w:t>
      </w:r>
    </w:p>
    <w:p>
      <w:pPr>
        <w:pStyle w:val="BodyText"/>
        <w:spacing w:before="105"/>
        <w:ind w:left="1112"/>
      </w:pPr>
      <w:r>
        <w:rPr/>
        <w:t>指因脑动脉瘤破裂造成蛛网膜下腔出血，被保险人实际接受了在全麻下进行的开颅动脉瘤夹闭手术。</w:t>
      </w:r>
    </w:p>
    <w:p>
      <w:pPr>
        <w:pStyle w:val="Heading3"/>
        <w:spacing w:before="117"/>
      </w:pPr>
      <w:r>
        <w:rPr>
          <w:w w:val="95"/>
        </w:rPr>
        <w:t>脑动脉瘤（未破裂）预防性手术、颅骨打孔手术、动脉瘤栓塞手术、血管内手术及其他颅脑手术不在保障范围内。</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丝虫病所致象皮肿</w:t>
      </w:r>
    </w:p>
    <w:p>
      <w:pPr>
        <w:pStyle w:val="BodyText"/>
        <w:spacing w:line="348" w:lineRule="auto" w:before="104"/>
        <w:ind w:left="1112" w:right="45"/>
      </w:pPr>
      <w:r>
        <w:rPr/>
        <w:t>指因丝虫感染导致淋巴管阻塞而造成身体组织出现严重淋巴水肿，达到国际淋巴学会淋巴水肿分期第 </w:t>
      </w:r>
      <w:r>
        <w:rPr>
          <w:rFonts w:ascii="Arial" w:eastAsia="Arial"/>
        </w:rPr>
        <w:t>III </w:t>
      </w:r>
      <w:r>
        <w:rPr/>
        <w:t>期，其临床表现为肢体非凹陷性水肿伴畸形增大，硬皮症及疣状增生。此病症须经本公司认可的医院的</w:t>
      </w:r>
      <w:r>
        <w:rPr>
          <w:b/>
        </w:rPr>
        <w:t>专科医生</w:t>
      </w:r>
      <w:r>
        <w:rPr/>
        <w:t>根据临床表现和微丝蚴的化验结果确诊。</w:t>
      </w:r>
    </w:p>
    <w:p>
      <w:pPr>
        <w:pStyle w:val="Heading3"/>
        <w:spacing w:before="33"/>
      </w:pPr>
      <w:r>
        <w:rPr>
          <w:w w:val="95"/>
        </w:rPr>
        <w:t>急性淋巴管炎或其它原因引起的淋巴水肿并不在保障范围内。</w:t>
      </w:r>
    </w:p>
    <w:p>
      <w:pPr>
        <w:pStyle w:val="ListParagraph"/>
        <w:numPr>
          <w:ilvl w:val="1"/>
          <w:numId w:val="9"/>
        </w:numPr>
        <w:tabs>
          <w:tab w:pos="1106" w:val="left" w:leader="none"/>
        </w:tabs>
        <w:spacing w:line="240" w:lineRule="auto" w:before="119" w:after="0"/>
        <w:ind w:left="1105" w:right="0" w:hanging="567"/>
        <w:jc w:val="left"/>
        <w:rPr>
          <w:sz w:val="18"/>
        </w:rPr>
      </w:pPr>
      <w:r>
        <w:rPr>
          <w:sz w:val="18"/>
        </w:rPr>
        <w:t>急性坏死性胰腺炎开腹手术</w:t>
      </w:r>
    </w:p>
    <w:p>
      <w:pPr>
        <w:pStyle w:val="BodyText"/>
        <w:spacing w:line="357" w:lineRule="auto" w:before="104"/>
        <w:ind w:left="1112" w:right="172"/>
      </w:pPr>
      <w:r>
        <w:rPr/>
        <w:t>指胰酶在胰腺内激活后引起胰腺组织自身消化的急性化学性炎症，并伴有胰腺功能障碍。本病必须经认可医院的</w:t>
      </w:r>
      <w:r>
        <w:rPr>
          <w:b/>
        </w:rPr>
        <w:t>专</w:t>
      </w:r>
      <w:r>
        <w:rPr>
          <w:b/>
          <w:w w:val="95"/>
        </w:rPr>
        <w:t>科医生</w:t>
      </w:r>
      <w:r>
        <w:rPr>
          <w:w w:val="95"/>
        </w:rPr>
        <w:t>明确诊断，并已经接受了外科剖腹手术治疗，以进行坏死组织清除、坏死病灶切除或胰腺切除。</w:t>
      </w:r>
    </w:p>
    <w:p>
      <w:pPr>
        <w:pStyle w:val="Heading3"/>
        <w:spacing w:before="26"/>
      </w:pPr>
      <w:r>
        <w:rPr>
          <w:w w:val="95"/>
        </w:rPr>
        <w:t>因酗酒或饮酒过量所致的急性坏死性胰腺炎以及腹腔镜手术不在本合同保障范围内。</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感染性心内膜炎导致的心脏瓣膜病</w:t>
      </w:r>
    </w:p>
    <w:p>
      <w:pPr>
        <w:pStyle w:val="BodyText"/>
        <w:spacing w:before="104"/>
        <w:ind w:left="1112"/>
      </w:pPr>
      <w:r>
        <w:rPr/>
        <w:t>是指由感染性微生物导致的心脏内膜炎症，并须符合下</w:t>
      </w:r>
      <w:r>
        <w:rPr>
          <w:rFonts w:ascii="Arial" w:eastAsia="Arial"/>
          <w:w w:val="115"/>
        </w:rPr>
        <w:t>列</w:t>
      </w:r>
      <w:r>
        <w:rPr/>
        <w:t>所有条件：</w:t>
      </w:r>
    </w:p>
    <w:p>
      <w:pPr>
        <w:pStyle w:val="BodyText"/>
        <w:spacing w:before="104"/>
        <w:ind w:left="1112"/>
      </w:pPr>
      <w:r>
        <w:rPr/>
        <w:t>（</w:t>
      </w:r>
      <w:r>
        <w:rPr>
          <w:rFonts w:ascii="Arial" w:eastAsia="Arial"/>
        </w:rPr>
        <w:t>1</w:t>
      </w:r>
      <w:r>
        <w:rPr/>
        <w:t>）血液细菌培养结果呈阳性，证明感染性微生物的存在；</w:t>
      </w:r>
    </w:p>
    <w:p>
      <w:pPr>
        <w:pStyle w:val="BodyText"/>
        <w:spacing w:before="102"/>
        <w:ind w:left="1112"/>
      </w:pPr>
      <w:r>
        <w:rPr/>
        <w:t>（</w:t>
      </w:r>
      <w:r>
        <w:rPr>
          <w:rFonts w:ascii="Arial" w:eastAsia="Arial"/>
        </w:rPr>
        <w:t>2</w:t>
      </w:r>
      <w:r>
        <w:rPr/>
        <w:t>）感染性心内膜炎导致最少中度的心脏瓣膜关闭</w:t>
      </w:r>
      <w:r>
        <w:rPr>
          <w:rFonts w:ascii="Arial" w:eastAsia="Arial"/>
        </w:rPr>
        <w:t>不</w:t>
      </w:r>
      <w:r>
        <w:rPr/>
        <w:t>全（即返流部分面积达 </w:t>
      </w:r>
      <w:r>
        <w:rPr>
          <w:rFonts w:ascii="Arial" w:eastAsia="Arial"/>
        </w:rPr>
        <w:t>20%</w:t>
      </w:r>
      <w:r>
        <w:rPr/>
        <w:t>或以上）或中度的心脏瓣膜狭窄</w:t>
      </w:r>
    </w:p>
    <w:p>
      <w:pPr>
        <w:pStyle w:val="BodyText"/>
        <w:spacing w:before="102"/>
        <w:ind w:left="1112"/>
      </w:pPr>
      <w:r>
        <w:rPr/>
        <w:t>（即心脏瓣膜面积为正常值的 </w:t>
      </w:r>
      <w:r>
        <w:rPr>
          <w:rFonts w:ascii="Arial" w:eastAsia="Arial"/>
        </w:rPr>
        <w:t>30%</w:t>
      </w:r>
      <w:r>
        <w:rPr/>
        <w:t>或以下）；</w:t>
      </w:r>
    </w:p>
    <w:p>
      <w:pPr>
        <w:pStyle w:val="BodyText"/>
        <w:spacing w:line="340" w:lineRule="auto" w:before="102"/>
        <w:ind w:left="1112" w:right="253"/>
      </w:pPr>
      <w:r>
        <w:rPr/>
        <w:t>（</w:t>
      </w:r>
      <w:r>
        <w:rPr>
          <w:rFonts w:ascii="Arial" w:eastAsia="Arial"/>
        </w:rPr>
        <w:t>3</w:t>
      </w:r>
      <w:r>
        <w:rPr/>
        <w:t>）感染性心内膜炎的诊断及瓣膜受损的严重程度必须由本公司认可医院的心脏病专科注册医生确定，并提供超声心动图或放射影像学检查结果报告以支持诊断。</w:t>
      </w:r>
    </w:p>
    <w:p>
      <w:pPr>
        <w:pStyle w:val="ListParagraph"/>
        <w:numPr>
          <w:ilvl w:val="1"/>
          <w:numId w:val="9"/>
        </w:numPr>
        <w:tabs>
          <w:tab w:pos="1106" w:val="left" w:leader="none"/>
        </w:tabs>
        <w:spacing w:line="240" w:lineRule="auto" w:before="42" w:after="0"/>
        <w:ind w:left="1105" w:right="0" w:hanging="567"/>
        <w:jc w:val="left"/>
        <w:rPr>
          <w:sz w:val="18"/>
        </w:rPr>
      </w:pPr>
      <w:r>
        <w:rPr>
          <w:sz w:val="18"/>
        </w:rPr>
        <w:t>系统性硬皮病</w:t>
      </w:r>
    </w:p>
    <w:p>
      <w:pPr>
        <w:pStyle w:val="BodyText"/>
        <w:spacing w:line="357" w:lineRule="auto" w:before="104"/>
        <w:ind w:left="1112" w:right="174"/>
      </w:pPr>
      <w:r>
        <w:rPr/>
        <w:t>指一种以局限性或弥漫性皮肤增厚和皮肤、血管、内脏器官异常纤维化为特征的结缔组织病。本病须经专科医师明确诊断，并须满足下列至少一项条件：</w:t>
      </w:r>
    </w:p>
    <w:p>
      <w:pPr>
        <w:pStyle w:val="BodyText"/>
        <w:spacing w:before="26"/>
        <w:ind w:left="1112"/>
      </w:pPr>
      <w:r>
        <w:rPr/>
        <w:t>（</w:t>
      </w:r>
      <w:r>
        <w:rPr>
          <w:rFonts w:ascii="Arial" w:eastAsia="Arial"/>
        </w:rPr>
        <w:t>1</w:t>
      </w:r>
      <w:r>
        <w:rPr/>
        <w:t>）肺脏：肺部病变进而发展为肺间质纤维化和肺动脉高压；</w:t>
      </w:r>
    </w:p>
    <w:p>
      <w:pPr>
        <w:pStyle w:val="BodyText"/>
        <w:spacing w:before="103"/>
        <w:ind w:left="1112"/>
      </w:pPr>
      <w:r>
        <w:rPr/>
        <w:t>（</w:t>
      </w:r>
      <w:r>
        <w:rPr>
          <w:rFonts w:ascii="Arial" w:eastAsia="Arial"/>
        </w:rPr>
        <w:t>2</w:t>
      </w:r>
      <w:r>
        <w:rPr/>
        <w:t>）心脏：心功能受损达到美国纽约心脏病学会心功能状态分级 </w:t>
      </w:r>
      <w:r>
        <w:rPr>
          <w:rFonts w:ascii="Arial" w:eastAsia="Arial"/>
        </w:rPr>
        <w:t>IV </w:t>
      </w:r>
      <w:r>
        <w:rPr/>
        <w:t>级；</w:t>
      </w:r>
    </w:p>
    <w:p>
      <w:pPr>
        <w:spacing w:line="338" w:lineRule="auto" w:before="101"/>
        <w:ind w:left="1112" w:right="3673" w:firstLine="0"/>
        <w:jc w:val="left"/>
        <w:rPr>
          <w:b/>
          <w:sz w:val="18"/>
        </w:rPr>
      </w:pPr>
      <w:r>
        <w:rPr>
          <w:sz w:val="18"/>
        </w:rPr>
        <w:t>（</w:t>
      </w:r>
      <w:r>
        <w:rPr>
          <w:rFonts w:ascii="Arial" w:eastAsia="Arial"/>
          <w:sz w:val="18"/>
        </w:rPr>
        <w:t>3</w:t>
      </w:r>
      <w:r>
        <w:rPr>
          <w:sz w:val="18"/>
        </w:rPr>
        <w:t>）肾脏：肾脏受损导致双肾功能慢性不可逆衰竭，达到尿毒症期。</w:t>
      </w:r>
      <w:r>
        <w:rPr>
          <w:b/>
          <w:w w:val="95"/>
          <w:sz w:val="18"/>
        </w:rPr>
        <w:t>下列疾病不在保障范围内：</w:t>
      </w:r>
    </w:p>
    <w:p>
      <w:pPr>
        <w:pStyle w:val="Heading3"/>
        <w:spacing w:before="40"/>
      </w:pPr>
      <w:r>
        <w:rPr>
          <w:w w:val="95"/>
        </w:rPr>
        <w:t>（</w:t>
      </w:r>
      <w:r>
        <w:rPr>
          <w:rFonts w:ascii="Arial" w:eastAsia="Arial"/>
          <w:w w:val="95"/>
        </w:rPr>
        <w:t>1</w:t>
      </w:r>
      <w:r>
        <w:rPr>
          <w:w w:val="95"/>
        </w:rPr>
        <w:t>）局部性硬皮病（如：带状硬皮病、硬斑病）；</w:t>
      </w:r>
    </w:p>
    <w:p>
      <w:pPr>
        <w:spacing w:before="103"/>
        <w:ind w:left="1112" w:right="0" w:firstLine="0"/>
        <w:jc w:val="left"/>
        <w:rPr>
          <w:b/>
          <w:sz w:val="18"/>
        </w:rPr>
      </w:pPr>
      <w:r>
        <w:rPr>
          <w:b/>
          <w:w w:val="95"/>
          <w:sz w:val="18"/>
        </w:rPr>
        <w:t>（</w:t>
      </w:r>
      <w:r>
        <w:rPr>
          <w:rFonts w:ascii="Arial" w:eastAsia="Arial"/>
          <w:b/>
          <w:w w:val="95"/>
          <w:sz w:val="18"/>
        </w:rPr>
        <w:t>2</w:t>
      </w:r>
      <w:r>
        <w:rPr>
          <w:b/>
          <w:w w:val="95"/>
          <w:sz w:val="18"/>
        </w:rPr>
        <w:t>）嗜酸性粒细胞性筋膜炎；</w:t>
      </w:r>
    </w:p>
    <w:p>
      <w:pPr>
        <w:spacing w:before="101"/>
        <w:ind w:left="1112" w:right="0" w:firstLine="0"/>
        <w:jc w:val="left"/>
        <w:rPr>
          <w:b/>
          <w:sz w:val="18"/>
        </w:rPr>
      </w:pPr>
      <w:r>
        <w:rPr>
          <w:b/>
          <w:sz w:val="18"/>
        </w:rPr>
        <w:t>（</w:t>
      </w:r>
      <w:r>
        <w:rPr>
          <w:rFonts w:ascii="Arial" w:eastAsia="Arial"/>
          <w:b/>
          <w:sz w:val="18"/>
        </w:rPr>
        <w:t>3</w:t>
      </w:r>
      <w:r>
        <w:rPr>
          <w:b/>
          <w:sz w:val="18"/>
        </w:rPr>
        <w:t>）</w:t>
      </w:r>
      <w:r>
        <w:rPr>
          <w:rFonts w:ascii="Arial" w:eastAsia="Arial"/>
          <w:b/>
          <w:sz w:val="18"/>
        </w:rPr>
        <w:t>CREST </w:t>
      </w:r>
      <w:r>
        <w:rPr>
          <w:b/>
          <w:sz w:val="18"/>
        </w:rPr>
        <w:t>综合征。</w:t>
      </w:r>
    </w:p>
    <w:p>
      <w:pPr>
        <w:spacing w:after="0"/>
        <w:jc w:val="left"/>
        <w:rPr>
          <w:sz w:val="18"/>
        </w:rPr>
        <w:sectPr>
          <w:pgSz w:w="11910" w:h="16840"/>
          <w:pgMar w:header="672" w:footer="767" w:top="860" w:bottom="960" w:left="880" w:right="740"/>
        </w:sectPr>
      </w:pPr>
    </w:p>
    <w:p>
      <w:pPr>
        <w:pStyle w:val="BodyText"/>
        <w:spacing w:before="9"/>
        <w:ind w:left="0"/>
        <w:rPr>
          <w:b/>
          <w:sz w:val="13"/>
        </w:rPr>
      </w:pPr>
    </w:p>
    <w:p>
      <w:pPr>
        <w:pStyle w:val="ListParagraph"/>
        <w:numPr>
          <w:ilvl w:val="1"/>
          <w:numId w:val="9"/>
        </w:numPr>
        <w:tabs>
          <w:tab w:pos="1106" w:val="left" w:leader="none"/>
        </w:tabs>
        <w:spacing w:line="240" w:lineRule="auto" w:before="53" w:after="0"/>
        <w:ind w:left="1105" w:right="0" w:hanging="567"/>
        <w:jc w:val="left"/>
        <w:rPr>
          <w:sz w:val="18"/>
        </w:rPr>
      </w:pPr>
      <w:r>
        <w:rPr>
          <w:sz w:val="18"/>
        </w:rPr>
        <w:t>原发性硬化性胆管炎</w:t>
      </w:r>
    </w:p>
    <w:p>
      <w:pPr>
        <w:pStyle w:val="BodyText"/>
        <w:spacing w:line="357" w:lineRule="auto" w:before="103"/>
        <w:ind w:left="1112" w:right="353"/>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26"/>
        <w:ind w:left="1112"/>
      </w:pPr>
      <w:r>
        <w:rPr/>
        <w:t>（</w:t>
      </w:r>
      <w:r>
        <w:rPr>
          <w:rFonts w:ascii="Arial" w:eastAsia="Arial"/>
        </w:rPr>
        <w:t>1</w:t>
      </w:r>
      <w:r>
        <w:rPr/>
        <w:t>）总胆红素和直接胆红素同时升高，血清 </w:t>
      </w:r>
      <w:r>
        <w:rPr>
          <w:rFonts w:ascii="Arial" w:eastAsia="Arial"/>
        </w:rPr>
        <w:t>ALP&gt;200U/L</w:t>
      </w:r>
      <w:r>
        <w:rPr/>
        <w:t>；</w:t>
      </w:r>
    </w:p>
    <w:p>
      <w:pPr>
        <w:pStyle w:val="BodyText"/>
        <w:spacing w:before="102"/>
        <w:ind w:left="1112"/>
      </w:pPr>
      <w:r>
        <w:rPr/>
        <w:t>（</w:t>
      </w:r>
      <w:r>
        <w:rPr>
          <w:rFonts w:ascii="Arial" w:eastAsia="Arial"/>
        </w:rPr>
        <w:t>2</w:t>
      </w:r>
      <w:r>
        <w:rPr/>
        <w:t>）持续性黄疸病史；</w:t>
      </w:r>
    </w:p>
    <w:p>
      <w:pPr>
        <w:pStyle w:val="BodyText"/>
        <w:spacing w:before="104"/>
        <w:ind w:left="1112"/>
      </w:pPr>
      <w:r>
        <w:rPr/>
        <w:t>（</w:t>
      </w:r>
      <w:r>
        <w:rPr>
          <w:rFonts w:ascii="Arial" w:eastAsia="Arial"/>
        </w:rPr>
        <w:t>3</w:t>
      </w:r>
      <w:r>
        <w:rPr/>
        <w:t>）出现胆汁性肝硬化或门脉高压。</w:t>
      </w:r>
    </w:p>
    <w:p>
      <w:pPr>
        <w:pStyle w:val="Heading3"/>
      </w:pPr>
      <w:r>
        <w:rPr>
          <w:w w:val="95"/>
        </w:rPr>
        <w:t>因肿瘤或胆管损伤等继发性的硬化性胆管炎不在保障范围内。</w:t>
      </w:r>
    </w:p>
    <w:p>
      <w:pPr>
        <w:pStyle w:val="ListParagraph"/>
        <w:numPr>
          <w:ilvl w:val="1"/>
          <w:numId w:val="9"/>
        </w:numPr>
        <w:tabs>
          <w:tab w:pos="1106" w:val="left" w:leader="none"/>
        </w:tabs>
        <w:spacing w:line="240" w:lineRule="auto" w:before="116" w:after="0"/>
        <w:ind w:left="1105" w:right="0" w:hanging="567"/>
        <w:jc w:val="left"/>
        <w:rPr>
          <w:sz w:val="18"/>
        </w:rPr>
      </w:pPr>
      <w:r>
        <w:rPr>
          <w:sz w:val="18"/>
        </w:rPr>
        <w:t>经输血导致的人类免疫缺陷病毒感染</w:t>
      </w:r>
    </w:p>
    <w:p>
      <w:pPr>
        <w:pStyle w:val="BodyText"/>
        <w:spacing w:before="104"/>
        <w:ind w:left="1112"/>
      </w:pPr>
      <w:r>
        <w:rPr/>
        <w:t>被保险人因输血而感染上人类免疫缺陷病毒</w:t>
      </w:r>
      <w:r>
        <w:rPr>
          <w:rFonts w:ascii="Arial" w:eastAsia="Arial"/>
        </w:rPr>
        <w:t>(HIV)</w:t>
      </w:r>
      <w:r>
        <w:rPr/>
        <w:t>，并且满足下列全部条件：</w:t>
      </w:r>
    </w:p>
    <w:p>
      <w:pPr>
        <w:pStyle w:val="BodyText"/>
        <w:spacing w:line="340" w:lineRule="auto" w:before="102"/>
        <w:ind w:left="1112" w:right="381"/>
      </w:pPr>
      <w:r>
        <w:rPr/>
        <w:t>（</w:t>
      </w:r>
      <w:r>
        <w:rPr>
          <w:rFonts w:ascii="Arial" w:eastAsia="Arial"/>
        </w:rPr>
        <w:t>1</w:t>
      </w:r>
      <w:r>
        <w:rPr/>
        <w:t>）</w:t>
      </w:r>
      <w:r>
        <w:rPr>
          <w:spacing w:val="-2"/>
        </w:rPr>
        <w:t>造成感染的输血事件发生在本合同生效日或复效日之后，血清出现 </w:t>
      </w:r>
      <w:r>
        <w:rPr>
          <w:rFonts w:ascii="Arial" w:eastAsia="Arial"/>
        </w:rPr>
        <w:t>HIV </w:t>
      </w:r>
      <w:r>
        <w:rPr>
          <w:spacing w:val="-5"/>
        </w:rPr>
        <w:t>感染必须发生在接受输血后 </w:t>
      </w:r>
      <w:r>
        <w:rPr>
          <w:rFonts w:ascii="Arial" w:eastAsia="Arial"/>
        </w:rPr>
        <w:t>180 </w:t>
      </w:r>
      <w:r>
        <w:rPr/>
        <w:t>天内；</w:t>
      </w:r>
    </w:p>
    <w:p>
      <w:pPr>
        <w:pStyle w:val="BodyText"/>
        <w:spacing w:line="338" w:lineRule="auto" w:before="39"/>
        <w:ind w:left="1112" w:right="253"/>
      </w:pPr>
      <w:r>
        <w:rPr/>
        <w:t>（</w:t>
      </w:r>
      <w:r>
        <w:rPr>
          <w:rFonts w:ascii="Arial" w:eastAsia="Arial"/>
        </w:rPr>
        <w:t>2</w:t>
      </w:r>
      <w:r>
        <w:rPr/>
        <w:t>）输血在医疗上是必须的，或者是治疗的一部分。提供输血治疗的输血中心或医院应为正规医疗机构，并出具该项输血感染属医疗责任事故的报告，或者法院终审裁定为医疗责任；</w:t>
      </w:r>
    </w:p>
    <w:p>
      <w:pPr>
        <w:pStyle w:val="BodyText"/>
        <w:spacing w:before="41"/>
        <w:ind w:left="1112"/>
      </w:pPr>
      <w:r>
        <w:rPr/>
        <w:t>（</w:t>
      </w:r>
      <w:r>
        <w:rPr>
          <w:rFonts w:ascii="Arial" w:eastAsia="Arial"/>
        </w:rPr>
        <w:t>3</w:t>
      </w:r>
      <w:r>
        <w:rPr/>
        <w:t>）病情须对生命造成威胁并且在索赔当时的医疗技术条件下尚无已知的治愈方法。</w:t>
      </w:r>
    </w:p>
    <w:p>
      <w:pPr>
        <w:pStyle w:val="Heading3"/>
        <w:spacing w:line="338" w:lineRule="auto" w:before="104"/>
        <w:ind w:right="59"/>
      </w:pPr>
      <w:r>
        <w:rPr/>
        <w:t>任何因其他传播方式（包括：性传播或静脉注射毒品）导致的 </w:t>
      </w:r>
      <w:r>
        <w:rPr>
          <w:rFonts w:ascii="Arial" w:eastAsia="Arial"/>
        </w:rPr>
        <w:t>HIV </w:t>
      </w:r>
      <w:r>
        <w:rPr/>
        <w:t>感染不在本保单保障范围内。保险公司必须拥有</w:t>
      </w:r>
      <w:r>
        <w:rPr>
          <w:w w:val="95"/>
        </w:rPr>
        <w:t>获得使用被保险人的所有血液样本的权利和能够对这些样本进行独立检验的权利。保单条款中一般除外责任中的</w:t>
      </w:r>
    </w:p>
    <w:p>
      <w:pPr>
        <w:spacing w:before="41"/>
        <w:ind w:left="1112" w:right="0" w:firstLine="0"/>
        <w:jc w:val="left"/>
        <w:rPr>
          <w:b/>
          <w:sz w:val="18"/>
        </w:rPr>
      </w:pPr>
      <w:r>
        <w:rPr>
          <w:rFonts w:ascii="Arial" w:eastAsia="Arial"/>
          <w:b/>
          <w:sz w:val="18"/>
        </w:rPr>
        <w:t>HIV </w:t>
      </w:r>
      <w:r>
        <w:rPr>
          <w:b/>
          <w:sz w:val="18"/>
        </w:rPr>
        <w:t>规定，不适用于本条。</w:t>
      </w:r>
    </w:p>
    <w:p>
      <w:pPr>
        <w:pStyle w:val="ListParagraph"/>
        <w:numPr>
          <w:ilvl w:val="1"/>
          <w:numId w:val="9"/>
        </w:numPr>
        <w:tabs>
          <w:tab w:pos="1106" w:val="left" w:leader="none"/>
        </w:tabs>
        <w:spacing w:line="240" w:lineRule="auto" w:before="104" w:after="0"/>
        <w:ind w:left="1105" w:right="0" w:hanging="567"/>
        <w:jc w:val="left"/>
        <w:rPr>
          <w:sz w:val="18"/>
        </w:rPr>
      </w:pPr>
      <w:r>
        <w:rPr>
          <w:spacing w:val="-1"/>
          <w:sz w:val="18"/>
        </w:rPr>
        <w:t>严重克</w:t>
      </w:r>
      <w:r>
        <w:rPr>
          <w:rFonts w:ascii="Arial" w:eastAsia="Arial"/>
          <w:sz w:val="18"/>
        </w:rPr>
        <w:t>-</w:t>
      </w:r>
      <w:r>
        <w:rPr>
          <w:sz w:val="18"/>
        </w:rPr>
        <w:t>雅二氏病</w:t>
      </w:r>
    </w:p>
    <w:p>
      <w:pPr>
        <w:pStyle w:val="BodyText"/>
        <w:spacing w:line="357" w:lineRule="auto" w:before="104"/>
        <w:ind w:left="1112" w:right="174"/>
      </w:pPr>
      <w:r>
        <w:rPr/>
        <w:t>是一种由动物源性的中枢神经系统变性性疾病，大脑呈海绵状改变伴神经元缺失和胶质化。临床表现为进行性痴 呆、不随意运动及抽搐、行动困难等等。传染性海绵状脑病必须由本公司认可的医院的神经专科医师基于致病蛋白</w:t>
      </w:r>
      <w:r>
        <w:rPr>
          <w:spacing w:val="-1"/>
        </w:rPr>
        <w:t>的发现而明确诊断。理赔时需提供脑电图、脑脊液报告、电脑断层扫描</w:t>
      </w:r>
      <w:r>
        <w:rPr/>
        <w:t>（</w:t>
      </w:r>
      <w:r>
        <w:rPr>
          <w:rFonts w:ascii="Arial" w:eastAsia="Arial"/>
        </w:rPr>
        <w:t>CT</w:t>
      </w:r>
      <w:r>
        <w:rPr/>
        <w:t>）或核磁共振（</w:t>
      </w:r>
      <w:r>
        <w:rPr>
          <w:rFonts w:ascii="Arial" w:eastAsia="Arial"/>
        </w:rPr>
        <w:t>MRI</w:t>
      </w:r>
      <w:r>
        <w:rPr/>
        <w:t>）报告。</w:t>
      </w:r>
    </w:p>
    <w:p>
      <w:pPr>
        <w:pStyle w:val="Heading3"/>
        <w:spacing w:before="3"/>
      </w:pPr>
      <w:r>
        <w:rPr>
          <w:w w:val="95"/>
        </w:rPr>
        <w:t>疑似病例不在本保险责任保障范围内。</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脑外科手术</w:t>
      </w:r>
    </w:p>
    <w:p>
      <w:pPr>
        <w:pStyle w:val="BodyText"/>
        <w:spacing w:line="357" w:lineRule="auto" w:before="104"/>
        <w:ind w:left="1112" w:right="174"/>
      </w:pPr>
      <w:r>
        <w:rPr/>
        <w:t>因颅内动脉瘤、帕金森病、癫痫的治疗需要，在全麻下进行脑部颅骨切开手术（以切开硬脑膜为准）。手术必须是在本公司认可的医院内由神经专科医师认为是医疗必须的情况下进行。</w:t>
      </w:r>
    </w:p>
    <w:p>
      <w:pPr>
        <w:pStyle w:val="Heading3"/>
        <w:spacing w:line="357" w:lineRule="auto" w:before="28"/>
        <w:ind w:right="165"/>
      </w:pPr>
      <w:r>
        <w:rPr>
          <w:w w:val="95"/>
        </w:rPr>
        <w:t>不需手术切开或切除组织的治疗（如伽玛射线、脑血管神经放射介入治疗如栓塞形成、血栓溶解及立体定位活检）   及因意外而需要进行的脑部外科手术均不在本附加合同保障范围内。</w:t>
      </w:r>
    </w:p>
    <w:p>
      <w:pPr>
        <w:pStyle w:val="ListParagraph"/>
        <w:numPr>
          <w:ilvl w:val="1"/>
          <w:numId w:val="9"/>
        </w:numPr>
        <w:tabs>
          <w:tab w:pos="1106" w:val="left" w:leader="none"/>
        </w:tabs>
        <w:spacing w:line="240" w:lineRule="auto" w:before="28" w:after="0"/>
        <w:ind w:left="1105" w:right="0" w:hanging="567"/>
        <w:jc w:val="left"/>
        <w:rPr>
          <w:sz w:val="18"/>
        </w:rPr>
      </w:pPr>
      <w:r>
        <w:rPr>
          <w:spacing w:val="-1"/>
          <w:sz w:val="18"/>
        </w:rPr>
        <w:t>一肢及单眼缺失</w:t>
      </w:r>
    </w:p>
    <w:p>
      <w:pPr>
        <w:pStyle w:val="BodyText"/>
        <w:spacing w:line="357" w:lineRule="auto" w:before="104"/>
        <w:ind w:left="1112" w:right="894"/>
      </w:pPr>
      <w:r>
        <w:rPr/>
        <w:t>因疾病或意外伤害导致单眼视力丧失及任何一肢自腕关节或踝关节近端（靠近躯干端）以上完全性断离。</w:t>
      </w:r>
      <w:r>
        <w:rPr>
          <w:w w:val="95"/>
        </w:rPr>
        <w:t>单眼视力丧失指单眼视力</w:t>
      </w:r>
      <w:r>
        <w:rPr>
          <w:b/>
          <w:w w:val="95"/>
        </w:rPr>
        <w:t>永久不可逆</w:t>
      </w:r>
      <w:r>
        <w:rPr>
          <w:w w:val="95"/>
        </w:rPr>
        <w:t>性丧失，患眼须满足下列至少一项条件：</w:t>
      </w:r>
    </w:p>
    <w:p>
      <w:pPr>
        <w:pStyle w:val="BodyText"/>
        <w:spacing w:before="29"/>
        <w:ind w:left="1112"/>
      </w:pPr>
      <w:r>
        <w:rPr/>
        <w:t>（</w:t>
      </w:r>
      <w:r>
        <w:rPr>
          <w:rFonts w:ascii="Arial" w:eastAsia="Arial"/>
        </w:rPr>
        <w:t>1</w:t>
      </w:r>
      <w:r>
        <w:rPr/>
        <w:t>）眼球缺失或摘除；</w:t>
      </w:r>
    </w:p>
    <w:p>
      <w:pPr>
        <w:pStyle w:val="BodyText"/>
        <w:spacing w:before="102"/>
        <w:ind w:left="1112"/>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ind w:left="1112"/>
      </w:pPr>
      <w:r>
        <w:rPr/>
        <w:t>（</w:t>
      </w:r>
      <w:r>
        <w:rPr>
          <w:rFonts w:ascii="Arial" w:eastAsia="Arial"/>
        </w:rPr>
        <w:t>3</w:t>
      </w:r>
      <w:r>
        <w:rPr/>
        <w:t>）视野半径小于 </w:t>
      </w:r>
      <w:r>
        <w:rPr>
          <w:rFonts w:ascii="Arial" w:eastAsia="Arial"/>
        </w:rPr>
        <w:t>5 </w:t>
      </w:r>
      <w:r>
        <w:rPr/>
        <w:t>度。</w:t>
      </w:r>
    </w:p>
    <w:p>
      <w:pPr>
        <w:pStyle w:val="Heading3"/>
        <w:spacing w:before="102"/>
      </w:pPr>
      <w:r>
        <w:rPr/>
        <w:t>被保险人在 </w:t>
      </w:r>
      <w:r>
        <w:rPr>
          <w:rFonts w:ascii="Arial" w:eastAsia="Arial"/>
        </w:rPr>
        <w:t>3 </w:t>
      </w:r>
      <w:r>
        <w:rPr/>
        <w:t>周岁之前因疾病导致单眼视力丧失不在保障范围内。</w:t>
      </w:r>
    </w:p>
    <w:p>
      <w:pPr>
        <w:pStyle w:val="ListParagraph"/>
        <w:numPr>
          <w:ilvl w:val="1"/>
          <w:numId w:val="9"/>
        </w:numPr>
        <w:tabs>
          <w:tab w:pos="1106" w:val="left" w:leader="none"/>
        </w:tabs>
        <w:spacing w:line="240" w:lineRule="auto" w:before="107" w:after="0"/>
        <w:ind w:left="1105" w:right="0" w:hanging="567"/>
        <w:jc w:val="left"/>
        <w:rPr>
          <w:sz w:val="18"/>
        </w:rPr>
      </w:pPr>
      <w:r>
        <w:rPr>
          <w:sz w:val="18"/>
        </w:rPr>
        <w:t>糖尿病导致的双脚截除</w:t>
      </w:r>
    </w:p>
    <w:p>
      <w:pPr>
        <w:pStyle w:val="BodyText"/>
        <w:spacing w:line="360" w:lineRule="auto" w:before="101"/>
        <w:ind w:left="1112" w:right="172"/>
      </w:pPr>
      <w:r>
        <w:rPr/>
        <w:t>因糖尿病引起的神经及血管病变而经本公司认可的医院的内分泌科</w:t>
      </w:r>
      <w:r>
        <w:rPr>
          <w:b/>
        </w:rPr>
        <w:t>专科医生</w:t>
      </w:r>
      <w:r>
        <w:rPr/>
        <w:t>确认，由足踝或以上位置截除双脚是维持生命的唯一方法。</w:t>
      </w:r>
    </w:p>
    <w:p>
      <w:pPr>
        <w:pStyle w:val="Heading3"/>
        <w:spacing w:before="24"/>
      </w:pPr>
      <w:r>
        <w:rPr>
          <w:w w:val="95"/>
        </w:rPr>
        <w:t>切除一只或多只脚趾或因任何其他原因引起的截除术并不在保障范围内。</w:t>
      </w:r>
    </w:p>
    <w:p>
      <w:pPr>
        <w:pStyle w:val="ListParagraph"/>
        <w:numPr>
          <w:ilvl w:val="1"/>
          <w:numId w:val="9"/>
        </w:numPr>
        <w:tabs>
          <w:tab w:pos="1106" w:val="left" w:leader="none"/>
        </w:tabs>
        <w:spacing w:line="240" w:lineRule="auto" w:before="117" w:after="0"/>
        <w:ind w:left="1105" w:right="0" w:hanging="567"/>
        <w:jc w:val="left"/>
        <w:rPr>
          <w:sz w:val="18"/>
        </w:rPr>
      </w:pPr>
      <w:r>
        <w:rPr>
          <w:sz w:val="18"/>
        </w:rPr>
        <w:t>骨髓纤维化</w:t>
      </w:r>
    </w:p>
    <w:p>
      <w:pPr>
        <w:spacing w:after="0" w:line="240" w:lineRule="auto"/>
        <w:jc w:val="left"/>
        <w:rPr>
          <w:sz w:val="18"/>
        </w:rPr>
        <w:sectPr>
          <w:headerReference w:type="default" r:id="rId8"/>
          <w:pgSz w:w="11910" w:h="16840"/>
          <w:pgMar w:header="672" w:footer="767" w:top="860" w:bottom="960" w:left="880" w:right="740"/>
        </w:sectPr>
      </w:pPr>
    </w:p>
    <w:p>
      <w:pPr>
        <w:pStyle w:val="BodyText"/>
        <w:spacing w:before="5"/>
        <w:ind w:left="0"/>
        <w:rPr>
          <w:sz w:val="14"/>
        </w:rPr>
      </w:pPr>
    </w:p>
    <w:p>
      <w:pPr>
        <w:pStyle w:val="BodyText"/>
        <w:spacing w:line="357" w:lineRule="auto" w:before="44"/>
        <w:ind w:left="1112" w:right="174"/>
        <w:jc w:val="both"/>
      </w:pPr>
      <w:r>
        <w:rPr/>
        <w:t>一种因纤维组织取代正常骨髓从而导致贫血、白血球及血小板含量过低及脾脏肿大的疾病。病况必须恶化至永久性及严重程度导致被保人需最少每月进行输血。骨髓纤维化的诊断必须由我们认可的医院的专科医师作出。理赔时需提供骨髓穿刺检查诊断报告。</w:t>
      </w:r>
    </w:p>
    <w:p>
      <w:pPr>
        <w:pStyle w:val="ListParagraph"/>
        <w:numPr>
          <w:ilvl w:val="1"/>
          <w:numId w:val="9"/>
        </w:numPr>
        <w:tabs>
          <w:tab w:pos="1106" w:val="left" w:leader="none"/>
        </w:tabs>
        <w:spacing w:line="240" w:lineRule="auto" w:before="28" w:after="0"/>
        <w:ind w:left="1105" w:right="0" w:hanging="567"/>
        <w:jc w:val="left"/>
        <w:rPr>
          <w:sz w:val="18"/>
        </w:rPr>
      </w:pPr>
      <w:r>
        <w:rPr>
          <w:sz w:val="18"/>
        </w:rPr>
        <w:t>严重获得性或继发性肺泡蛋白质沉积症</w:t>
      </w:r>
    </w:p>
    <w:p>
      <w:pPr>
        <w:pStyle w:val="BodyText"/>
        <w:spacing w:line="357" w:lineRule="auto" w:before="104"/>
        <w:ind w:left="1112" w:right="174"/>
      </w:pPr>
      <w:r>
        <w:rPr/>
        <w:t>因获得性或继发性原因或导致双肺肺泡和细支气管腔内充满不可溶性富磷脂蛋白的疾病。理赔时须满足下列所有条件：</w:t>
      </w:r>
    </w:p>
    <w:p>
      <w:pPr>
        <w:pStyle w:val="BodyText"/>
        <w:spacing w:before="29"/>
        <w:ind w:left="1112"/>
      </w:pPr>
      <w:r>
        <w:rPr/>
        <w:t>（</w:t>
      </w:r>
      <w:r>
        <w:rPr>
          <w:rFonts w:ascii="Arial" w:eastAsia="Arial"/>
        </w:rPr>
        <w:t>1</w:t>
      </w:r>
      <w:r>
        <w:rPr/>
        <w:t>）支气管镜活检或开胸肺活检病理检查证实肺泡内充满有过碘酸雪夫（</w:t>
      </w:r>
      <w:r>
        <w:rPr>
          <w:rFonts w:ascii="Arial" w:eastAsia="Arial"/>
        </w:rPr>
        <w:t>PAS</w:t>
      </w:r>
      <w:r>
        <w:rPr/>
        <w:t>）染色阳性的蛋白样物质；</w:t>
      </w:r>
    </w:p>
    <w:p>
      <w:pPr>
        <w:pStyle w:val="BodyText"/>
        <w:spacing w:before="102"/>
        <w:ind w:left="1112"/>
      </w:pPr>
      <w:r>
        <w:rPr/>
        <w:t>（</w:t>
      </w:r>
      <w:r>
        <w:rPr>
          <w:rFonts w:ascii="Arial" w:eastAsia="Arial"/>
        </w:rPr>
        <w:t>2</w:t>
      </w:r>
      <w:r>
        <w:rPr/>
        <w:t>）被保人因中重度呼吸困难或低氧血症而实际已行全身麻醉下的全肺灌洗治疗。</w:t>
      </w:r>
    </w:p>
    <w:p>
      <w:pPr>
        <w:pStyle w:val="ListParagraph"/>
        <w:numPr>
          <w:ilvl w:val="1"/>
          <w:numId w:val="9"/>
        </w:numPr>
        <w:tabs>
          <w:tab w:pos="1106" w:val="left" w:leader="none"/>
        </w:tabs>
        <w:spacing w:line="240" w:lineRule="auto" w:before="104" w:after="0"/>
        <w:ind w:left="1105" w:right="0" w:hanging="567"/>
        <w:jc w:val="left"/>
        <w:rPr>
          <w:sz w:val="18"/>
        </w:rPr>
      </w:pPr>
      <w:r>
        <w:rPr>
          <w:sz w:val="18"/>
        </w:rPr>
        <w:t>肺淋巴管肌瘤病</w:t>
      </w:r>
    </w:p>
    <w:p>
      <w:pPr>
        <w:pStyle w:val="BodyText"/>
        <w:spacing w:line="357" w:lineRule="auto" w:before="104"/>
        <w:ind w:left="1112" w:right="174"/>
      </w:pPr>
      <w:r>
        <w:rPr/>
        <w:t>是一种弥漫性肺部疾病，主要病理改变为肺间质、支气管、血管和淋巴管内出现未成熟的平滑肌异常增生，同时需满足下列全部条件：</w:t>
      </w:r>
    </w:p>
    <w:p>
      <w:pPr>
        <w:pStyle w:val="BodyText"/>
        <w:spacing w:before="26"/>
        <w:ind w:left="1112"/>
        <w:jc w:val="both"/>
      </w:pPr>
      <w:r>
        <w:rPr/>
        <w:t>（</w:t>
      </w:r>
      <w:r>
        <w:rPr>
          <w:rFonts w:ascii="Arial" w:eastAsia="Arial"/>
        </w:rPr>
        <w:t>1</w:t>
      </w:r>
      <w:r>
        <w:rPr/>
        <w:t>）经组织病理学诊断；</w:t>
      </w:r>
    </w:p>
    <w:p>
      <w:pPr>
        <w:pStyle w:val="BodyText"/>
        <w:spacing w:before="103"/>
        <w:ind w:left="1112"/>
        <w:jc w:val="both"/>
      </w:pPr>
      <w:r>
        <w:rPr/>
        <w:t>（</w:t>
      </w:r>
      <w:r>
        <w:rPr>
          <w:rFonts w:ascii="Arial" w:eastAsia="Arial"/>
        </w:rPr>
        <w:t>2</w:t>
      </w:r>
      <w:r>
        <w:rPr/>
        <w:t>）</w:t>
      </w:r>
      <w:r>
        <w:rPr>
          <w:rFonts w:ascii="Arial" w:eastAsia="Arial"/>
        </w:rPr>
        <w:t>CT </w:t>
      </w:r>
      <w:r>
        <w:rPr/>
        <w:t>显示双肺弥漫性囊性改变；</w:t>
      </w:r>
    </w:p>
    <w:p>
      <w:pPr>
        <w:pStyle w:val="BodyText"/>
        <w:spacing w:before="102"/>
        <w:ind w:left="1112"/>
        <w:jc w:val="both"/>
      </w:pPr>
      <w:r>
        <w:rPr/>
        <w:t>（</w:t>
      </w:r>
      <w:r>
        <w:rPr>
          <w:rFonts w:ascii="Arial" w:eastAsia="Arial"/>
        </w:rPr>
        <w:t>3</w:t>
      </w:r>
      <w:r>
        <w:rPr/>
        <w:t>）休息时出现呼吸困难；</w:t>
      </w:r>
    </w:p>
    <w:p>
      <w:pPr>
        <w:pStyle w:val="BodyText"/>
        <w:spacing w:before="102"/>
        <w:ind w:left="1112"/>
        <w:jc w:val="both"/>
      </w:pPr>
      <w:r>
        <w:rPr>
          <w:w w:val="95"/>
        </w:rPr>
        <w:t>（</w:t>
      </w:r>
      <w:r>
        <w:rPr>
          <w:rFonts w:ascii="Arial" w:eastAsia="Arial"/>
          <w:w w:val="95"/>
        </w:rPr>
        <w:t>4</w:t>
      </w:r>
      <w:r>
        <w:rPr>
          <w:w w:val="95"/>
        </w:rPr>
        <w:t>）经并经本公司认可医院的</w:t>
      </w:r>
      <w:r>
        <w:rPr>
          <w:b/>
          <w:w w:val="95"/>
        </w:rPr>
        <w:t>专科医生</w:t>
      </w:r>
      <w:r>
        <w:rPr>
          <w:w w:val="95"/>
        </w:rPr>
        <w:t>认可有必要进行肺移植手术。</w:t>
      </w:r>
    </w:p>
    <w:p>
      <w:pPr>
        <w:pStyle w:val="ListParagraph"/>
        <w:numPr>
          <w:ilvl w:val="1"/>
          <w:numId w:val="9"/>
        </w:numPr>
        <w:tabs>
          <w:tab w:pos="1106" w:val="left" w:leader="none"/>
        </w:tabs>
        <w:spacing w:line="240" w:lineRule="auto" w:before="104" w:after="0"/>
        <w:ind w:left="1105" w:right="0" w:hanging="567"/>
        <w:jc w:val="left"/>
        <w:rPr>
          <w:sz w:val="18"/>
        </w:rPr>
      </w:pPr>
      <w:r>
        <w:rPr>
          <w:sz w:val="18"/>
        </w:rPr>
        <w:t>严重肺源性心脏病</w:t>
      </w:r>
    </w:p>
    <w:p>
      <w:pPr>
        <w:pStyle w:val="BodyText"/>
        <w:spacing w:line="360" w:lineRule="auto" w:before="104"/>
        <w:ind w:left="1112" w:right="173"/>
      </w:pPr>
      <w:r>
        <w:rPr/>
        <w:t>指被保人因慢性肺部疾病导致慢性心功能损害造成</w:t>
      </w:r>
      <w:r>
        <w:rPr>
          <w:b/>
        </w:rPr>
        <w:t>永久不可逆</w:t>
      </w:r>
      <w:r>
        <w:rPr/>
        <w:t>性的心功能衰竭。心功能衰竭程度达到纽约心脏病学会的心功能分级标准之心功能 </w:t>
      </w:r>
      <w:r>
        <w:rPr>
          <w:rFonts w:ascii="Arial" w:eastAsia="Arial"/>
        </w:rPr>
        <w:t>IV </w:t>
      </w:r>
      <w:r>
        <w:rPr/>
        <w:t>级。被保险人</w:t>
      </w:r>
      <w:r>
        <w:rPr>
          <w:b/>
        </w:rPr>
        <w:t>永久不可逆</w:t>
      </w:r>
      <w:r>
        <w:rPr/>
        <w:t>性的体力活动能力受限，不能从事任何体力活动。</w:t>
      </w:r>
    </w:p>
    <w:p>
      <w:pPr>
        <w:pStyle w:val="BodyText"/>
        <w:spacing w:before="2"/>
        <w:ind w:left="0"/>
        <w:rPr>
          <w:sz w:val="24"/>
        </w:rPr>
      </w:pPr>
    </w:p>
    <w:p>
      <w:pPr>
        <w:pStyle w:val="Heading1"/>
        <w:tabs>
          <w:tab w:pos="1911" w:val="left" w:leader="none"/>
        </w:tabs>
        <w:spacing w:before="0"/>
      </w:pPr>
      <w:bookmarkStart w:name="_bookmark12" w:id="13"/>
      <w:bookmarkEnd w:id="13"/>
      <w:r>
        <w:rPr>
          <w:b w:val="0"/>
        </w:rPr>
      </w:r>
      <w:r>
        <w:rPr/>
        <w:t>第十</w:t>
      </w:r>
      <w:r>
        <w:rPr>
          <w:spacing w:val="-3"/>
        </w:rPr>
        <w:t>三</w:t>
      </w:r>
      <w:r>
        <w:rPr/>
        <w:t>条</w:t>
        <w:tab/>
        <w:t>轻症</w:t>
      </w:r>
      <w:r>
        <w:rPr>
          <w:spacing w:val="-3"/>
        </w:rPr>
        <w:t>疾</w:t>
      </w:r>
      <w:r>
        <w:rPr/>
        <w:t>病释义</w:t>
      </w:r>
    </w:p>
    <w:p>
      <w:pPr>
        <w:pStyle w:val="ListParagraph"/>
        <w:numPr>
          <w:ilvl w:val="1"/>
          <w:numId w:val="11"/>
        </w:numPr>
        <w:tabs>
          <w:tab w:pos="1105" w:val="left" w:leader="none"/>
          <w:tab w:pos="1106" w:val="left" w:leader="none"/>
        </w:tabs>
        <w:spacing w:line="240" w:lineRule="auto" w:before="138" w:after="0"/>
        <w:ind w:left="1105" w:right="0" w:hanging="567"/>
        <w:jc w:val="left"/>
        <w:rPr>
          <w:sz w:val="18"/>
        </w:rPr>
      </w:pPr>
      <w:r>
        <w:rPr>
          <w:sz w:val="18"/>
        </w:rPr>
        <w:t>非危及生命的（极早期的）恶性病变</w:t>
      </w:r>
    </w:p>
    <w:p>
      <w:pPr>
        <w:pStyle w:val="BodyText"/>
        <w:ind w:left="1071"/>
        <w:jc w:val="both"/>
      </w:pPr>
      <w:r>
        <w:rPr/>
        <w:t>指被保险人生前经组织病理学检查被明确诊断为下列恶性病变，并且接受了相应的治疗。</w:t>
      </w:r>
    </w:p>
    <w:p>
      <w:pPr>
        <w:pStyle w:val="BodyText"/>
        <w:spacing w:before="119"/>
        <w:ind w:left="1071"/>
        <w:jc w:val="both"/>
      </w:pPr>
      <w:r>
        <w:rPr/>
        <w:t>（</w:t>
      </w:r>
      <w:r>
        <w:rPr>
          <w:rFonts w:ascii="Arial" w:eastAsia="Arial"/>
        </w:rPr>
        <w:t>1</w:t>
      </w:r>
      <w:r>
        <w:rPr/>
        <w:t>）原位癌；</w:t>
      </w:r>
    </w:p>
    <w:p>
      <w:pPr>
        <w:pStyle w:val="BodyText"/>
        <w:ind w:left="1071"/>
        <w:jc w:val="both"/>
      </w:pPr>
      <w:r>
        <w:rPr/>
        <w:t>（</w:t>
      </w:r>
      <w:r>
        <w:rPr>
          <w:rFonts w:ascii="Arial" w:eastAsia="Arial"/>
        </w:rPr>
        <w:t>2</w:t>
      </w:r>
      <w:r>
        <w:rPr/>
        <w:t>）相当于 </w:t>
      </w:r>
      <w:r>
        <w:rPr>
          <w:rFonts w:ascii="Arial" w:eastAsia="Arial"/>
        </w:rPr>
        <w:t>Binet </w:t>
      </w:r>
      <w:r>
        <w:rPr/>
        <w:t>分期方案 </w:t>
      </w:r>
      <w:r>
        <w:rPr>
          <w:rFonts w:ascii="Arial" w:eastAsia="Arial"/>
        </w:rPr>
        <w:t>A </w:t>
      </w:r>
      <w:r>
        <w:rPr/>
        <w:t>期程度的的慢性淋巴细胞白血病；</w:t>
      </w:r>
    </w:p>
    <w:p>
      <w:pPr>
        <w:pStyle w:val="BodyText"/>
        <w:spacing w:before="107"/>
        <w:ind w:left="1071"/>
        <w:jc w:val="both"/>
      </w:pPr>
      <w:r>
        <w:rPr/>
        <w:t>（</w:t>
      </w:r>
      <w:r>
        <w:rPr>
          <w:rFonts w:ascii="Arial" w:eastAsia="Arial"/>
        </w:rPr>
        <w:t>3</w:t>
      </w:r>
      <w:r>
        <w:rPr/>
        <w:t>）相当于 </w:t>
      </w:r>
      <w:r>
        <w:rPr>
          <w:rFonts w:ascii="Arial" w:eastAsia="Arial"/>
        </w:rPr>
        <w:t>Ann Arbor </w:t>
      </w:r>
      <w:r>
        <w:rPr/>
        <w:t>分期方案 </w:t>
      </w:r>
      <w:r>
        <w:rPr>
          <w:rFonts w:ascii="Arial" w:eastAsia="Arial"/>
        </w:rPr>
        <w:t>I </w:t>
      </w:r>
      <w:r>
        <w:rPr/>
        <w:t>期程度的何杰金氏病；</w:t>
      </w:r>
    </w:p>
    <w:p>
      <w:pPr>
        <w:pStyle w:val="BodyText"/>
        <w:spacing w:before="107"/>
        <w:ind w:left="1071"/>
        <w:jc w:val="both"/>
      </w:pPr>
      <w:r>
        <w:rPr/>
        <w:t>（</w:t>
      </w:r>
      <w:r>
        <w:rPr>
          <w:rFonts w:ascii="Arial" w:eastAsia="Arial"/>
        </w:rPr>
        <w:t>4</w:t>
      </w:r>
      <w:r>
        <w:rPr/>
        <w:t>）皮肤癌（不包括恶性黑色素瘤及已发生转移的皮肤癌）；</w:t>
      </w:r>
    </w:p>
    <w:p>
      <w:pPr>
        <w:pStyle w:val="BodyText"/>
        <w:spacing w:before="107"/>
        <w:ind w:left="1071"/>
        <w:jc w:val="both"/>
      </w:pPr>
      <w:r>
        <w:rPr/>
        <w:t>（</w:t>
      </w:r>
      <w:r>
        <w:rPr>
          <w:rFonts w:ascii="Arial" w:eastAsia="Arial"/>
        </w:rPr>
        <w:t>5</w:t>
      </w:r>
      <w:r>
        <w:rPr/>
        <w:t>）</w:t>
      </w:r>
      <w:r>
        <w:rPr>
          <w:rFonts w:ascii="Arial" w:eastAsia="Arial"/>
        </w:rPr>
        <w:t>TNM </w:t>
      </w:r>
      <w:r>
        <w:rPr/>
        <w:t>分期为 </w:t>
      </w:r>
      <w:r>
        <w:rPr>
          <w:rFonts w:ascii="Arial" w:eastAsia="Arial"/>
        </w:rPr>
        <w:t>T1N0M0 </w:t>
      </w:r>
      <w:r>
        <w:rPr/>
        <w:t>的前列腺癌。</w:t>
      </w:r>
    </w:p>
    <w:p>
      <w:pPr>
        <w:pStyle w:val="ListParagraph"/>
        <w:numPr>
          <w:ilvl w:val="1"/>
          <w:numId w:val="11"/>
        </w:numPr>
        <w:tabs>
          <w:tab w:pos="1105" w:val="left" w:leader="none"/>
          <w:tab w:pos="1106" w:val="left" w:leader="none"/>
        </w:tabs>
        <w:spacing w:line="240" w:lineRule="auto" w:before="107" w:after="0"/>
        <w:ind w:left="1105" w:right="0" w:hanging="567"/>
        <w:jc w:val="left"/>
        <w:rPr>
          <w:sz w:val="18"/>
        </w:rPr>
      </w:pPr>
      <w:r>
        <w:rPr>
          <w:sz w:val="18"/>
        </w:rPr>
        <w:t>不典型的急性心肌梗塞：</w:t>
      </w:r>
    </w:p>
    <w:p>
      <w:pPr>
        <w:pStyle w:val="BodyText"/>
        <w:spacing w:line="357" w:lineRule="auto" w:before="107"/>
        <w:ind w:left="1102" w:right="365"/>
      </w:pPr>
      <w:r>
        <w:rPr/>
        <w:t>指被临床诊断为急性心肌梗塞并接受了急性心肌梗塞治疗虽然未达到重大疾病“急性心肌梗塞”的给付标准，但满足下列全部条件：</w:t>
      </w:r>
    </w:p>
    <w:p>
      <w:pPr>
        <w:pStyle w:val="BodyText"/>
        <w:spacing w:before="31"/>
        <w:ind w:left="1071"/>
      </w:pPr>
      <w:r>
        <w:rPr/>
        <w:t>（</w:t>
      </w:r>
      <w:r>
        <w:rPr>
          <w:rFonts w:ascii="Arial" w:eastAsia="Arial"/>
        </w:rPr>
        <w:t>1</w:t>
      </w:r>
      <w:r>
        <w:rPr/>
        <w:t>）心肌酶或肌钙蛋白有诊断意义的升高，或呈符合急性心肌梗塞的动态性变化；</w:t>
      </w:r>
    </w:p>
    <w:p>
      <w:pPr>
        <w:pStyle w:val="BodyText"/>
        <w:ind w:left="1071"/>
      </w:pPr>
      <w:r>
        <w:rPr/>
        <w:t>（</w:t>
      </w:r>
      <w:r>
        <w:rPr>
          <w:rFonts w:ascii="Arial" w:eastAsia="Arial"/>
        </w:rPr>
        <w:t>2</w:t>
      </w:r>
      <w:r>
        <w:rPr/>
        <w:t>）心电图有损伤性的 ST 段改变但未出现病理 Q 波。</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z w:val="18"/>
        </w:rPr>
        <w:t>冠状动脉介入手术</w:t>
      </w:r>
    </w:p>
    <w:p>
      <w:pPr>
        <w:pStyle w:val="BodyText"/>
        <w:spacing w:line="360" w:lineRule="auto" w:before="104"/>
        <w:ind w:left="1102" w:right="362"/>
      </w:pPr>
      <w:r>
        <w:rPr/>
        <w:t>为了治疗明显的冠状动脉狭窄性疾病，首次实际实施了冠状动脉球囊扩张成形术、冠状动脉支架植入术、冠状动脉粥肿斑块切除术或激光冠状动脉成形术。</w:t>
      </w:r>
    </w:p>
    <w:p>
      <w:pPr>
        <w:pStyle w:val="ListParagraph"/>
        <w:numPr>
          <w:ilvl w:val="1"/>
          <w:numId w:val="11"/>
        </w:numPr>
        <w:tabs>
          <w:tab w:pos="1105" w:val="left" w:leader="none"/>
          <w:tab w:pos="1106" w:val="left" w:leader="none"/>
        </w:tabs>
        <w:spacing w:line="240" w:lineRule="auto" w:before="29" w:after="0"/>
        <w:ind w:left="1105" w:right="0" w:hanging="567"/>
        <w:jc w:val="left"/>
        <w:rPr>
          <w:sz w:val="18"/>
        </w:rPr>
      </w:pPr>
      <w:r>
        <w:rPr>
          <w:sz w:val="18"/>
        </w:rPr>
        <w:t>微创冠状动脉搭桥术</w:t>
      </w:r>
    </w:p>
    <w:p>
      <w:pPr>
        <w:pStyle w:val="BodyText"/>
        <w:spacing w:line="357" w:lineRule="auto"/>
        <w:ind w:left="1102" w:right="543"/>
        <w:jc w:val="both"/>
      </w:pPr>
      <w:r>
        <w:rPr/>
        <w:t>微创冠状动脉搭桥手术是指确实透过微型的开胸手术（于肋骨之间开一个细小的切口），进行冠状动脉搭桥手术，以矫正一条或以上冠状动脉狭窄或闭塞。微创进行直接的冠状动脉搭桥手术亦可称“锁孔”式冠状动脉手术。有关程序为医疗所需及由本公司认可医院的心脏专科医生进行。</w:t>
      </w:r>
    </w:p>
    <w:p>
      <w:pPr>
        <w:pStyle w:val="ListParagraph"/>
        <w:numPr>
          <w:ilvl w:val="1"/>
          <w:numId w:val="11"/>
        </w:numPr>
        <w:tabs>
          <w:tab w:pos="1105" w:val="left" w:leader="none"/>
          <w:tab w:pos="1106" w:val="left" w:leader="none"/>
        </w:tabs>
        <w:spacing w:line="240" w:lineRule="auto" w:before="29" w:after="0"/>
        <w:ind w:left="1105" w:right="0" w:hanging="567"/>
        <w:jc w:val="left"/>
        <w:rPr>
          <w:sz w:val="18"/>
        </w:rPr>
      </w:pPr>
      <w:r>
        <w:rPr>
          <w:sz w:val="18"/>
        </w:rPr>
        <w:t>颈动脉狭窄介入治疗</w:t>
      </w:r>
    </w:p>
    <w:p>
      <w:pPr>
        <w:pStyle w:val="BodyText"/>
        <w:spacing w:before="107"/>
        <w:ind w:left="1102"/>
        <w:jc w:val="both"/>
      </w:pPr>
      <w:r>
        <w:rPr/>
        <w:t>颈动脉血管介入治疗术是对一条或以上的颈动脉经由血管造影术证明有 50%或以上狹窄的治疗。理赔时必须同时符</w:t>
      </w:r>
    </w:p>
    <w:p>
      <w:pPr>
        <w:spacing w:after="0"/>
        <w:jc w:val="both"/>
        <w:sectPr>
          <w:pgSz w:w="11910" w:h="16840"/>
          <w:pgMar w:header="672" w:footer="767" w:top="860" w:bottom="960" w:left="880" w:right="740"/>
        </w:sectPr>
      </w:pPr>
    </w:p>
    <w:p>
      <w:pPr>
        <w:pStyle w:val="BodyText"/>
        <w:spacing w:before="5"/>
        <w:ind w:left="0"/>
        <w:rPr>
          <w:sz w:val="14"/>
        </w:rPr>
      </w:pPr>
    </w:p>
    <w:p>
      <w:pPr>
        <w:pStyle w:val="BodyText"/>
        <w:spacing w:before="44"/>
        <w:ind w:left="1102"/>
      </w:pPr>
      <w:r>
        <w:rPr/>
        <w:t>合下列所有条件：</w:t>
      </w:r>
    </w:p>
    <w:p>
      <w:pPr>
        <w:pStyle w:val="BodyText"/>
        <w:spacing w:before="119"/>
        <w:ind w:left="1071"/>
      </w:pPr>
      <w:r>
        <w:rPr>
          <w:w w:val="95"/>
        </w:rPr>
        <w:t>（</w:t>
      </w:r>
      <w:r>
        <w:rPr>
          <w:rFonts w:ascii="Arial" w:eastAsia="Arial"/>
          <w:w w:val="95"/>
        </w:rPr>
        <w:t>1</w:t>
      </w:r>
      <w:r>
        <w:rPr>
          <w:w w:val="95"/>
        </w:rPr>
        <w:t>）确实已行血管介入治疗以减轻症狀，包括血管成形术及/或进行植入支架或颈动脉粥肿斑块清除手术；</w:t>
      </w:r>
    </w:p>
    <w:p>
      <w:pPr>
        <w:pStyle w:val="BodyText"/>
        <w:spacing w:before="104"/>
        <w:ind w:left="1071"/>
      </w:pPr>
      <w:r>
        <w:rPr/>
        <w:t>（</w:t>
      </w:r>
      <w:r>
        <w:rPr>
          <w:rFonts w:ascii="Arial" w:eastAsia="Arial"/>
        </w:rPr>
        <w:t>2</w:t>
      </w:r>
      <w:r>
        <w:rPr/>
        <w:t>）诊断及治疗均须在本公司认可的医院内由专科医师认为是医疗必须的情况下进行。</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z w:val="18"/>
        </w:rPr>
        <w:t>特定周围动脉狭窄的血管介入治疗</w:t>
      </w:r>
    </w:p>
    <w:p>
      <w:pPr>
        <w:pStyle w:val="BodyText"/>
        <w:ind w:left="1102"/>
      </w:pPr>
      <w:r>
        <w:rPr/>
        <w:t>周围动脉疾病的血管介入治疗是指一条或以上的下列血管经血管造影术证明有 50%或以上狹窄的治疗：</w:t>
      </w:r>
    </w:p>
    <w:p>
      <w:pPr>
        <w:pStyle w:val="BodyText"/>
        <w:spacing w:before="119"/>
        <w:ind w:left="1071"/>
      </w:pPr>
      <w:r>
        <w:rPr/>
        <w:t>（</w:t>
      </w:r>
      <w:r>
        <w:rPr>
          <w:rFonts w:ascii="Arial" w:eastAsia="Arial"/>
        </w:rPr>
        <w:t>1</w:t>
      </w:r>
      <w:r>
        <w:rPr/>
        <w:t>）为下肢或上肢供血的动脉；</w:t>
      </w:r>
    </w:p>
    <w:p>
      <w:pPr>
        <w:pStyle w:val="BodyText"/>
        <w:spacing w:before="107"/>
        <w:ind w:left="1071"/>
      </w:pPr>
      <w:r>
        <w:rPr/>
        <w:t>（</w:t>
      </w:r>
      <w:r>
        <w:rPr>
          <w:rFonts w:ascii="Arial" w:eastAsia="Arial"/>
        </w:rPr>
        <w:t>2</w:t>
      </w:r>
      <w:r>
        <w:rPr/>
        <w:t>）肾动脉；</w:t>
      </w:r>
    </w:p>
    <w:p>
      <w:pPr>
        <w:pStyle w:val="BodyText"/>
        <w:spacing w:before="107"/>
        <w:ind w:left="1071"/>
      </w:pPr>
      <w:r>
        <w:rPr/>
        <w:t>（</w:t>
      </w:r>
      <w:r>
        <w:rPr>
          <w:rFonts w:ascii="Arial" w:eastAsia="Arial"/>
        </w:rPr>
        <w:t>3</w:t>
      </w:r>
      <w:r>
        <w:rPr/>
        <w:t>）肠系膜动脉。</w:t>
      </w:r>
    </w:p>
    <w:p>
      <w:pPr>
        <w:pStyle w:val="BodyText"/>
        <w:spacing w:before="107"/>
        <w:ind w:left="1102"/>
      </w:pPr>
      <w:r>
        <w:rPr/>
        <w:t>必须符合下列所有理赔标准：</w:t>
      </w:r>
    </w:p>
    <w:p>
      <w:pPr>
        <w:pStyle w:val="BodyText"/>
        <w:spacing w:before="119"/>
        <w:ind w:left="1071"/>
      </w:pPr>
      <w:r>
        <w:rPr/>
        <w:t>（</w:t>
      </w:r>
      <w:r>
        <w:rPr>
          <w:rFonts w:ascii="Arial" w:eastAsia="Arial"/>
        </w:rPr>
        <w:t>1</w:t>
      </w:r>
      <w:r>
        <w:rPr/>
        <w:t>）确实已行血管介入治疗以减轻症狀，包括血管成形术及/或进行植入支架或动脉粥肿斑块清除手术；</w:t>
      </w:r>
    </w:p>
    <w:p>
      <w:pPr>
        <w:pStyle w:val="BodyText"/>
        <w:ind w:left="1071"/>
      </w:pPr>
      <w:r>
        <w:rPr>
          <w:w w:val="95"/>
        </w:rPr>
        <w:t>（</w:t>
      </w:r>
      <w:r>
        <w:rPr>
          <w:rFonts w:ascii="Arial" w:eastAsia="Arial"/>
          <w:w w:val="95"/>
        </w:rPr>
        <w:t>2</w:t>
      </w:r>
      <w:r>
        <w:rPr>
          <w:w w:val="95"/>
        </w:rPr>
        <w:t>）诊断及治疗均须在本公司认可的医院内由专科医师认为是医疗必须的情况下进行。</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z w:val="18"/>
        </w:rPr>
        <w:t>轻微脑中风</w:t>
      </w:r>
    </w:p>
    <w:p>
      <w:pPr>
        <w:pStyle w:val="BodyText"/>
        <w:spacing w:line="357" w:lineRule="auto"/>
        <w:ind w:left="1102" w:right="268"/>
      </w:pPr>
      <w:r>
        <w:rPr/>
        <w:t>指首次实际发生了脑血管的突发病变出现神经系统功能障碍表现，头颅断层扫描（CT）</w:t>
      </w:r>
      <w:r>
        <w:rPr>
          <w:spacing w:val="-2"/>
        </w:rPr>
        <w:t>、核磁共振</w:t>
      </w:r>
      <w:r>
        <w:rPr/>
        <w:t>（MRI）等影像</w:t>
      </w:r>
      <w:r>
        <w:rPr>
          <w:spacing w:val="-2"/>
        </w:rPr>
        <w:t>学检查证实存在对应病灶，确诊为脑出血、脑栓塞或脑梗塞，在确诊 </w:t>
      </w:r>
      <w:r>
        <w:rPr/>
        <w:t>180</w:t>
      </w:r>
      <w:r>
        <w:rPr>
          <w:spacing w:val="-8"/>
        </w:rPr>
        <w:t> 天后仍然遗留神经系统功能障碍。后遗的功能障碍虽未达到重大疾病“脑中风后遗症”的给付标准，但是仍遗留下列全部障碍：</w:t>
      </w:r>
    </w:p>
    <w:p>
      <w:pPr>
        <w:pStyle w:val="BodyText"/>
        <w:spacing w:before="29"/>
        <w:ind w:left="1102"/>
      </w:pPr>
      <w:r>
        <w:rPr/>
        <w:t>（</w:t>
      </w:r>
      <w:r>
        <w:rPr>
          <w:rFonts w:ascii="Arial" w:eastAsia="Arial"/>
        </w:rPr>
        <w:t>1</w:t>
      </w:r>
      <w:r>
        <w:rPr/>
        <w:t>） 一肢或一肢以上肢体肌力 III 级或 III 级以下的运动功能障碍；</w:t>
      </w:r>
    </w:p>
    <w:p>
      <w:pPr>
        <w:pStyle w:val="BodyText"/>
        <w:spacing w:line="343" w:lineRule="auto" w:before="107"/>
        <w:ind w:left="1102" w:right="2962"/>
      </w:pPr>
      <w:r>
        <w:rPr/>
        <w:t>（</w:t>
      </w:r>
      <w:r>
        <w:rPr>
          <w:rFonts w:ascii="Arial" w:eastAsia="Arial"/>
        </w:rPr>
        <w:t>2</w:t>
      </w:r>
      <w:r>
        <w:rPr/>
        <w:t>）被保险人仍然无法独立完成六项基本日常生活活动中的一项或一项以上。有关诊断必须由本公司认可医院的神经专科医师确认。</w:t>
      </w:r>
    </w:p>
    <w:p>
      <w:pPr>
        <w:pStyle w:val="ListParagraph"/>
        <w:numPr>
          <w:ilvl w:val="1"/>
          <w:numId w:val="11"/>
        </w:numPr>
        <w:tabs>
          <w:tab w:pos="1105" w:val="left" w:leader="none"/>
          <w:tab w:pos="1106" w:val="left" w:leader="none"/>
        </w:tabs>
        <w:spacing w:line="240" w:lineRule="auto" w:before="42" w:after="0"/>
        <w:ind w:left="1105" w:right="0" w:hanging="567"/>
        <w:jc w:val="left"/>
        <w:rPr>
          <w:sz w:val="18"/>
        </w:rPr>
      </w:pPr>
      <w:r>
        <w:rPr>
          <w:sz w:val="18"/>
        </w:rPr>
        <w:t>心脏瓣膜介入手术</w:t>
      </w:r>
    </w:p>
    <w:p>
      <w:pPr>
        <w:pStyle w:val="BodyText"/>
        <w:spacing w:line="360" w:lineRule="auto"/>
        <w:ind w:left="1102" w:right="363"/>
      </w:pPr>
      <w:r>
        <w:rPr/>
        <w:t>为了治疗心脏瓣膜疾病，首次实际实施了非开胸的经胸壁打孔内镜手术或经皮经导管介入手术进行的心脏瓣膜置换或修复手术。诊断及治疗均须在本公司认可的医院内由专科医师认为是医疗必须的情况下进行。</w:t>
      </w:r>
    </w:p>
    <w:p>
      <w:pPr>
        <w:pStyle w:val="ListParagraph"/>
        <w:numPr>
          <w:ilvl w:val="1"/>
          <w:numId w:val="11"/>
        </w:numPr>
        <w:tabs>
          <w:tab w:pos="1105" w:val="left" w:leader="none"/>
          <w:tab w:pos="1106" w:val="left" w:leader="none"/>
        </w:tabs>
        <w:spacing w:line="240" w:lineRule="auto" w:before="27" w:after="0"/>
        <w:ind w:left="1105" w:right="0" w:hanging="567"/>
        <w:jc w:val="left"/>
        <w:rPr>
          <w:sz w:val="18"/>
        </w:rPr>
      </w:pPr>
      <w:r>
        <w:rPr>
          <w:sz w:val="18"/>
        </w:rPr>
        <w:t>单眼视力丧失</w:t>
      </w:r>
    </w:p>
    <w:p>
      <w:pPr>
        <w:pStyle w:val="BodyText"/>
        <w:spacing w:before="107"/>
        <w:ind w:left="1102"/>
      </w:pPr>
      <w:r>
        <w:rPr/>
        <w:t>指因疾病或意外伤害导致单眼视力永久不可逆性丧失，患眼须满足下列至少一项条件：</w:t>
      </w:r>
    </w:p>
    <w:p>
      <w:pPr>
        <w:pStyle w:val="BodyText"/>
        <w:spacing w:before="120"/>
        <w:ind w:left="1071"/>
      </w:pPr>
      <w:r>
        <w:rPr/>
        <w:t>（</w:t>
      </w:r>
      <w:r>
        <w:rPr>
          <w:rFonts w:ascii="Arial" w:eastAsia="Arial"/>
        </w:rPr>
        <w:t>1</w:t>
      </w:r>
      <w:r>
        <w:rPr/>
        <w:t>）眼球缺失或摘除；</w:t>
      </w:r>
    </w:p>
    <w:p>
      <w:pPr>
        <w:pStyle w:val="BodyText"/>
        <w:ind w:left="107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ind w:left="1071"/>
      </w:pPr>
      <w:r>
        <w:rPr/>
        <w:t>（</w:t>
      </w:r>
      <w:r>
        <w:rPr>
          <w:rFonts w:ascii="Arial" w:eastAsia="Arial"/>
        </w:rPr>
        <w:t>3</w:t>
      </w:r>
      <w:r>
        <w:rPr/>
        <w:t>）视野半径小于 </w:t>
      </w:r>
      <w:r>
        <w:rPr>
          <w:rFonts w:ascii="Arial" w:eastAsia="Arial"/>
        </w:rPr>
        <w:t>5 </w:t>
      </w:r>
      <w:r>
        <w:rPr/>
        <w:t>度。</w:t>
      </w:r>
    </w:p>
    <w:p>
      <w:pPr>
        <w:pStyle w:val="BodyText"/>
        <w:ind w:left="1071"/>
      </w:pPr>
      <w:r>
        <w:rPr/>
        <w:t>诊断须在本公司认可的医院内由眼科专科医师确认。</w:t>
      </w:r>
    </w:p>
    <w:p>
      <w:pPr>
        <w:pStyle w:val="ListParagraph"/>
        <w:numPr>
          <w:ilvl w:val="1"/>
          <w:numId w:val="11"/>
        </w:numPr>
        <w:tabs>
          <w:tab w:pos="1106" w:val="left" w:leader="none"/>
        </w:tabs>
        <w:spacing w:line="240" w:lineRule="auto" w:before="116" w:after="0"/>
        <w:ind w:left="1105" w:right="0" w:hanging="567"/>
        <w:jc w:val="left"/>
        <w:rPr>
          <w:sz w:val="18"/>
        </w:rPr>
      </w:pPr>
      <w:r>
        <w:rPr>
          <w:sz w:val="18"/>
        </w:rPr>
        <w:t>主动脉内手术</w:t>
      </w:r>
    </w:p>
    <w:p>
      <w:pPr>
        <w:pStyle w:val="BodyText"/>
        <w:spacing w:line="360" w:lineRule="auto"/>
        <w:ind w:left="1102" w:right="212"/>
      </w:pPr>
      <w:r>
        <w:rPr/>
        <w:t>为了治疗主动脉疾病实际实施了经皮经导管进行的动脉内手术。主动脉指胸主动脉和腹主动脉，不包括胸主动脉和腹主动脉的分支血管。</w:t>
      </w:r>
    </w:p>
    <w:p>
      <w:pPr>
        <w:pStyle w:val="BodyText"/>
        <w:spacing w:before="29"/>
        <w:ind w:left="1102"/>
      </w:pPr>
      <w:r>
        <w:rPr/>
        <w:t>诊断及治疗均须在本公司认可的医院内由专科医师认为是医疗必须的情况下进行。</w:t>
      </w:r>
    </w:p>
    <w:p>
      <w:pPr>
        <w:pStyle w:val="ListParagraph"/>
        <w:numPr>
          <w:ilvl w:val="1"/>
          <w:numId w:val="11"/>
        </w:numPr>
        <w:tabs>
          <w:tab w:pos="1106" w:val="left" w:leader="none"/>
        </w:tabs>
        <w:spacing w:line="240" w:lineRule="auto" w:before="117" w:after="0"/>
        <w:ind w:left="1105" w:right="0" w:hanging="567"/>
        <w:jc w:val="left"/>
        <w:rPr>
          <w:sz w:val="18"/>
        </w:rPr>
      </w:pPr>
      <w:r>
        <w:rPr>
          <w:sz w:val="18"/>
        </w:rPr>
        <w:t>脑垂体瘤介入治疗和/或放射治疗</w:t>
      </w:r>
    </w:p>
    <w:p>
      <w:pPr>
        <w:pStyle w:val="BodyText"/>
        <w:spacing w:line="340" w:lineRule="auto" w:before="107"/>
        <w:ind w:left="1102" w:right="213"/>
      </w:pPr>
      <w:r>
        <w:rPr/>
        <w:t>指经头颅断层扫描（</w:t>
      </w:r>
      <w:r>
        <w:rPr>
          <w:rFonts w:ascii="Arial" w:eastAsia="Arial"/>
        </w:rPr>
        <w:t>CT</w:t>
      </w:r>
      <w:r>
        <w:rPr/>
        <w:t>）、核磁共振（</w:t>
      </w:r>
      <w:r>
        <w:rPr>
          <w:rFonts w:ascii="Arial" w:eastAsia="Arial"/>
        </w:rPr>
        <w:t>MRI</w:t>
      </w:r>
      <w:r>
        <w:rPr/>
        <w:t>）或其他影像学检查被确诊为脑垂体瘤，并首次实际接受了介入或放射治疗。</w:t>
      </w:r>
    </w:p>
    <w:p>
      <w:pPr>
        <w:pStyle w:val="BodyText"/>
        <w:spacing w:before="44"/>
        <w:ind w:left="1071"/>
      </w:pPr>
      <w:r>
        <w:rPr/>
        <w:t>诊断及治疗均须在本公司认可的医院内由专科医师认为是医疗必须的情况下进行。</w:t>
      </w:r>
    </w:p>
    <w:p>
      <w:pPr>
        <w:pStyle w:val="ListParagraph"/>
        <w:numPr>
          <w:ilvl w:val="1"/>
          <w:numId w:val="11"/>
        </w:numPr>
        <w:tabs>
          <w:tab w:pos="1106" w:val="left" w:leader="none"/>
        </w:tabs>
        <w:spacing w:line="240" w:lineRule="auto" w:before="116" w:after="0"/>
        <w:ind w:left="1105" w:right="0" w:hanging="567"/>
        <w:jc w:val="left"/>
        <w:rPr>
          <w:sz w:val="18"/>
        </w:rPr>
      </w:pPr>
      <w:r>
        <w:rPr>
          <w:sz w:val="18"/>
        </w:rPr>
        <w:t>颅内动脉瘤的血管介入治疗</w:t>
      </w:r>
    </w:p>
    <w:p>
      <w:pPr>
        <w:pStyle w:val="BodyText"/>
        <w:spacing w:line="360" w:lineRule="auto"/>
        <w:ind w:left="1102" w:right="196"/>
      </w:pPr>
      <w:r>
        <w:rPr/>
        <w:t>经影像学检查，确认颅内动脉瘤诊断成立。并确实进行了血管介入治疗，包括但不限于：经血管內动脉瘤栓塞术、经血管內盘绕治疗术、血管成形术、支架植入术、 流量分流器置入术。</w:t>
      </w:r>
    </w:p>
    <w:p>
      <w:pPr>
        <w:pStyle w:val="BodyText"/>
        <w:spacing w:line="357" w:lineRule="auto" w:before="29"/>
        <w:ind w:left="1071" w:right="208"/>
      </w:pPr>
      <w:r>
        <w:rPr/>
        <w:t>该诊断必须是经影像学检查结果支持，并由本公司认可医院的神经专科注册医生确认。有关治疗、手术亦必须为医疗必须且由本公司认可医院的神经专科注册医生进行。</w:t>
      </w:r>
    </w:p>
    <w:p>
      <w:pPr>
        <w:pStyle w:val="ListParagraph"/>
        <w:numPr>
          <w:ilvl w:val="1"/>
          <w:numId w:val="11"/>
        </w:numPr>
        <w:tabs>
          <w:tab w:pos="1106" w:val="left" w:leader="none"/>
        </w:tabs>
        <w:spacing w:line="240" w:lineRule="auto" w:before="31" w:after="0"/>
        <w:ind w:left="1105" w:right="0" w:hanging="567"/>
        <w:jc w:val="left"/>
        <w:rPr>
          <w:sz w:val="18"/>
        </w:rPr>
      </w:pPr>
      <w:r>
        <w:rPr>
          <w:spacing w:val="-5"/>
          <w:sz w:val="18"/>
        </w:rPr>
        <w:t>意外导致的较小面积的 </w:t>
      </w:r>
      <w:r>
        <w:rPr>
          <w:sz w:val="18"/>
        </w:rPr>
        <w:t>III</w:t>
      </w:r>
      <w:r>
        <w:rPr>
          <w:spacing w:val="-12"/>
          <w:sz w:val="18"/>
        </w:rPr>
        <w:t> 度烧伤</w:t>
      </w:r>
    </w:p>
    <w:p>
      <w:pPr>
        <w:spacing w:after="0" w:line="240" w:lineRule="auto"/>
        <w:jc w:val="left"/>
        <w:rPr>
          <w:sz w:val="18"/>
        </w:rPr>
        <w:sectPr>
          <w:pgSz w:w="11910" w:h="16840"/>
          <w:pgMar w:header="672" w:footer="767" w:top="860" w:bottom="960" w:left="880" w:right="740"/>
        </w:sectPr>
      </w:pPr>
    </w:p>
    <w:p>
      <w:pPr>
        <w:pStyle w:val="BodyText"/>
        <w:spacing w:before="12"/>
        <w:ind w:left="0"/>
        <w:rPr>
          <w:sz w:val="13"/>
        </w:rPr>
      </w:pPr>
    </w:p>
    <w:p>
      <w:pPr>
        <w:pStyle w:val="BodyText"/>
        <w:spacing w:line="340" w:lineRule="auto" w:before="53"/>
        <w:ind w:left="1071" w:right="201"/>
      </w:pPr>
      <w:r>
        <w:rPr>
          <w:spacing w:val="-2"/>
        </w:rPr>
        <w:t>指烧伤程度为Ⅲ度，且Ⅲ度烧伤的面积大于全身体表面积的 </w:t>
      </w:r>
      <w:r>
        <w:rPr>
          <w:rFonts w:ascii="Arial" w:hAnsi="Arial" w:eastAsia="Arial"/>
        </w:rPr>
        <w:t>5%</w:t>
      </w:r>
      <w:r>
        <w:rPr>
          <w:spacing w:val="-9"/>
        </w:rPr>
        <w:t>，但小于 </w:t>
      </w:r>
      <w:r>
        <w:rPr>
          <w:rFonts w:ascii="Arial" w:hAnsi="Arial" w:eastAsia="Arial"/>
        </w:rPr>
        <w:t>20</w:t>
      </w:r>
      <w:r>
        <w:rPr>
          <w:spacing w:val="-1"/>
        </w:rPr>
        <w:t>％。体表面积须由本公司认可医院的专</w:t>
      </w:r>
      <w:r>
        <w:rPr>
          <w:spacing w:val="-7"/>
        </w:rPr>
        <w:t>科医生根据 《中国新九分法》计算。</w:t>
      </w:r>
    </w:p>
    <w:p>
      <w:pPr>
        <w:pStyle w:val="ListParagraph"/>
        <w:numPr>
          <w:ilvl w:val="1"/>
          <w:numId w:val="11"/>
        </w:numPr>
        <w:tabs>
          <w:tab w:pos="1106" w:val="left" w:leader="none"/>
        </w:tabs>
        <w:spacing w:line="240" w:lineRule="auto" w:before="42" w:after="0"/>
        <w:ind w:left="1105" w:right="0" w:hanging="567"/>
        <w:jc w:val="left"/>
        <w:rPr>
          <w:sz w:val="18"/>
        </w:rPr>
      </w:pPr>
      <w:r>
        <w:rPr>
          <w:sz w:val="18"/>
        </w:rPr>
        <w:t>意外受伤所需的面部重建手术</w:t>
      </w:r>
    </w:p>
    <w:p>
      <w:pPr>
        <w:pStyle w:val="BodyText"/>
        <w:spacing w:line="340" w:lineRule="auto" w:before="107"/>
        <w:ind w:left="1071" w:right="206"/>
        <w:jc w:val="both"/>
      </w:pPr>
      <w:r>
        <w:rPr/>
        <w:t>被保人因意外伤害导致面部受伤而确实进</w:t>
      </w:r>
      <w:r>
        <w:rPr>
          <w:rFonts w:ascii="Arial" w:eastAsia="Arial"/>
        </w:rPr>
        <w:t>行</w:t>
      </w:r>
      <w:r>
        <w:rPr/>
        <w:t>整形或者重建手术（颈部以上的面部构造</w:t>
      </w:r>
      <w:r>
        <w:rPr>
          <w:rFonts w:ascii="Arial" w:eastAsia="Arial"/>
        </w:rPr>
        <w:t>不</w:t>
      </w:r>
      <w:r>
        <w:rPr/>
        <w:t>完整、缺掉或者受损而对</w:t>
      </w:r>
      <w:r>
        <w:rPr>
          <w:spacing w:val="-126"/>
        </w:rPr>
        <w:t>其</w:t>
      </w:r>
      <w:r>
        <w:rPr/>
        <w:t>形态及外观进</w:t>
      </w:r>
      <w:r>
        <w:rPr>
          <w:rFonts w:ascii="Arial" w:eastAsia="Arial"/>
        </w:rPr>
        <w:t>行</w:t>
      </w:r>
      <w:r>
        <w:rPr/>
        <w:t>修复或者重建），同时必须由本公司认可医院的专科医生证实该面部毁容所进</w:t>
      </w:r>
      <w:r>
        <w:rPr>
          <w:rFonts w:ascii="Arial" w:eastAsia="Arial"/>
        </w:rPr>
        <w:t>行</w:t>
      </w:r>
      <w:r>
        <w:rPr/>
        <w:t>的治疗是医疗所 必须。</w:t>
      </w:r>
    </w:p>
    <w:p>
      <w:pPr>
        <w:pStyle w:val="Heading3"/>
        <w:spacing w:before="42"/>
        <w:ind w:left="1071"/>
      </w:pPr>
      <w:r>
        <w:rPr>
          <w:w w:val="95"/>
        </w:rPr>
        <w:t>因纯粹整容原因、独立的牙齿修复、独立的鼻骨折断或者独立的皮肤伤口所进行的手术均不在保障范围内。</w:t>
      </w:r>
    </w:p>
    <w:p>
      <w:pPr>
        <w:pStyle w:val="ListParagraph"/>
        <w:numPr>
          <w:ilvl w:val="1"/>
          <w:numId w:val="11"/>
        </w:numPr>
        <w:tabs>
          <w:tab w:pos="1106" w:val="left" w:leader="none"/>
        </w:tabs>
        <w:spacing w:line="240" w:lineRule="auto" w:before="120" w:after="0"/>
        <w:ind w:left="1105" w:right="0" w:hanging="567"/>
        <w:jc w:val="left"/>
        <w:rPr>
          <w:sz w:val="18"/>
        </w:rPr>
      </w:pPr>
      <w:r>
        <w:rPr>
          <w:sz w:val="18"/>
        </w:rPr>
        <w:t>单个肢体缺失</w:t>
      </w:r>
    </w:p>
    <w:p>
      <w:pPr>
        <w:pStyle w:val="BodyText"/>
        <w:spacing w:before="107"/>
        <w:ind w:left="1071"/>
      </w:pPr>
      <w:r>
        <w:rPr/>
        <w:t>指因疾病或意外伤害导致一个肢体自腕关节或踝关节近端（靠近躯干端）以上完全性断离。</w:t>
      </w:r>
    </w:p>
    <w:p>
      <w:pPr>
        <w:pStyle w:val="ListParagraph"/>
        <w:numPr>
          <w:ilvl w:val="1"/>
          <w:numId w:val="11"/>
        </w:numPr>
        <w:tabs>
          <w:tab w:pos="1106" w:val="left" w:leader="none"/>
        </w:tabs>
        <w:spacing w:line="240" w:lineRule="auto" w:before="119" w:after="0"/>
        <w:ind w:left="1105" w:right="0" w:hanging="567"/>
        <w:jc w:val="left"/>
        <w:rPr>
          <w:sz w:val="18"/>
        </w:rPr>
      </w:pPr>
      <w:r>
        <w:rPr>
          <w:sz w:val="18"/>
        </w:rPr>
        <w:t>因肾上腺皮质腺瘤切除肾上腺</w:t>
      </w:r>
    </w:p>
    <w:p>
      <w:pPr>
        <w:pStyle w:val="BodyText"/>
        <w:spacing w:line="360" w:lineRule="auto"/>
        <w:ind w:left="1071" w:right="199"/>
      </w:pPr>
      <w:r>
        <w:rPr/>
        <w:t>因肾上腺皮质腺瘤所导致的醛固酮分泌过多而产生的继发性恶性高血压而实际接受了肾上腺切除术治疗。 诊断及治疗均须在本公司认可的医院内由专科医师认为是医疗必须的情况下进行。</w:t>
      </w:r>
    </w:p>
    <w:p>
      <w:pPr>
        <w:pStyle w:val="ListParagraph"/>
        <w:numPr>
          <w:ilvl w:val="1"/>
          <w:numId w:val="11"/>
        </w:numPr>
        <w:tabs>
          <w:tab w:pos="1106" w:val="left" w:leader="none"/>
        </w:tabs>
        <w:spacing w:line="240" w:lineRule="auto" w:before="27" w:after="0"/>
        <w:ind w:left="1105" w:right="0" w:hanging="567"/>
        <w:jc w:val="left"/>
        <w:rPr>
          <w:sz w:val="18"/>
        </w:rPr>
      </w:pPr>
      <w:r>
        <w:rPr>
          <w:sz w:val="18"/>
        </w:rPr>
        <w:t>糖尿病视网膜晚期增生性病变</w:t>
      </w:r>
    </w:p>
    <w:p>
      <w:pPr>
        <w:pStyle w:val="BodyText"/>
        <w:spacing w:before="107"/>
        <w:ind w:left="1071"/>
      </w:pPr>
      <w:r>
        <w:rPr/>
        <w:t>因糖尿病而并发视网膜晚期增生性血管病变，并必须符合下列所有理赔条件：</w:t>
      </w:r>
    </w:p>
    <w:p>
      <w:pPr>
        <w:pStyle w:val="BodyText"/>
        <w:spacing w:before="119"/>
        <w:ind w:left="1071"/>
      </w:pPr>
      <w:r>
        <w:rPr/>
        <w:t>（</w:t>
      </w:r>
      <w:r>
        <w:rPr>
          <w:rFonts w:ascii="Arial" w:eastAsia="Arial"/>
        </w:rPr>
        <w:t>1</w:t>
      </w:r>
      <w:r>
        <w:rPr/>
        <w:t>）确诊糖尿病视网膜病变时被保人已患有糖尿病；</w:t>
      </w:r>
    </w:p>
    <w:p>
      <w:pPr>
        <w:pStyle w:val="BodyText"/>
        <w:ind w:left="1071"/>
      </w:pPr>
      <w:r>
        <w:rPr/>
        <w:t>（</w:t>
      </w:r>
      <w:r>
        <w:rPr>
          <w:rFonts w:ascii="Arial" w:eastAsia="Arial"/>
        </w:rPr>
        <w:t>2</w:t>
      </w:r>
      <w:r>
        <w:rPr/>
        <w:t>）以 </w:t>
      </w:r>
      <w:r>
        <w:rPr>
          <w:rFonts w:ascii="Arial" w:eastAsia="Arial"/>
        </w:rPr>
        <w:t>Snellen </w:t>
      </w:r>
      <w:r>
        <w:rPr/>
        <w:t>视力检查表的标准，双眼最佳矫正视力为 </w:t>
      </w:r>
      <w:r>
        <w:rPr>
          <w:rFonts w:ascii="Arial" w:eastAsia="Arial"/>
        </w:rPr>
        <w:t>6/18 </w:t>
      </w:r>
      <w:r>
        <w:rPr/>
        <w:t>或更差；</w:t>
      </w:r>
    </w:p>
    <w:p>
      <w:pPr>
        <w:pStyle w:val="BodyText"/>
        <w:spacing w:before="104"/>
        <w:ind w:left="1071"/>
      </w:pPr>
      <w:r>
        <w:rPr/>
        <w:t>（</w:t>
      </w:r>
      <w:r>
        <w:rPr>
          <w:rFonts w:ascii="Arial" w:eastAsia="Arial"/>
        </w:rPr>
        <w:t>3</w:t>
      </w:r>
      <w:r>
        <w:rPr/>
        <w:t>）被保人已确实进行了激光治疗等以改善视力障碍；</w:t>
      </w:r>
    </w:p>
    <w:p>
      <w:pPr>
        <w:pStyle w:val="BodyText"/>
        <w:spacing w:line="340" w:lineRule="auto" w:before="107"/>
        <w:ind w:left="1071" w:right="209"/>
      </w:pPr>
      <w:r>
        <w:rPr/>
        <w:t>（</w:t>
      </w:r>
      <w:r>
        <w:rPr>
          <w:rFonts w:ascii="Arial" w:eastAsia="Arial"/>
        </w:rPr>
        <w:t>4</w:t>
      </w:r>
      <w:r>
        <w:rPr/>
        <w:t>）糖尿病视网膜病变的诊断、视力障碍的程度及治疗的医疗之必要性必须由本公司认可医院的眼科专科注册医生确定。</w:t>
      </w:r>
    </w:p>
    <w:p>
      <w:pPr>
        <w:pStyle w:val="ListParagraph"/>
        <w:numPr>
          <w:ilvl w:val="1"/>
          <w:numId w:val="11"/>
        </w:numPr>
        <w:tabs>
          <w:tab w:pos="1106" w:val="left" w:leader="none"/>
        </w:tabs>
        <w:spacing w:line="240" w:lineRule="auto" w:before="44" w:after="0"/>
        <w:ind w:left="1105" w:right="0" w:hanging="567"/>
        <w:jc w:val="left"/>
        <w:rPr>
          <w:sz w:val="18"/>
        </w:rPr>
      </w:pPr>
      <w:r>
        <w:rPr>
          <w:sz w:val="18"/>
        </w:rPr>
        <w:t>胆总管小肠吻合术</w:t>
      </w:r>
    </w:p>
    <w:p>
      <w:pPr>
        <w:pStyle w:val="BodyText"/>
        <w:spacing w:before="104"/>
        <w:ind w:left="1071"/>
      </w:pPr>
      <w:r>
        <w:rPr/>
        <w:t>因疾病或胆道损伤导致实际接受涉及胆总管小肠吻合术的胆道重建手术。</w:t>
      </w:r>
    </w:p>
    <w:p>
      <w:pPr>
        <w:spacing w:line="362" w:lineRule="auto" w:before="119"/>
        <w:ind w:left="1071" w:right="2734" w:firstLine="0"/>
        <w:jc w:val="left"/>
        <w:rPr>
          <w:b/>
          <w:sz w:val="18"/>
        </w:rPr>
      </w:pPr>
      <w:r>
        <w:rPr>
          <w:sz w:val="18"/>
        </w:rPr>
        <w:t>诊断及治疗均须在本公司认可的医院内由专科医师认为是医疗必须的情况下进行。</w:t>
      </w:r>
      <w:r>
        <w:rPr>
          <w:b/>
          <w:w w:val="95"/>
          <w:sz w:val="18"/>
        </w:rPr>
        <w:t>因胆道闭锁等先天性疾病而导致进行的胆道手术并不在本保障范围內。</w:t>
      </w:r>
    </w:p>
    <w:p>
      <w:pPr>
        <w:pStyle w:val="ListParagraph"/>
        <w:numPr>
          <w:ilvl w:val="1"/>
          <w:numId w:val="11"/>
        </w:numPr>
        <w:tabs>
          <w:tab w:pos="1106" w:val="left" w:leader="none"/>
        </w:tabs>
        <w:spacing w:line="240" w:lineRule="auto" w:before="28" w:after="0"/>
        <w:ind w:left="1105" w:right="0" w:hanging="567"/>
        <w:jc w:val="left"/>
        <w:rPr>
          <w:sz w:val="18"/>
        </w:rPr>
      </w:pPr>
      <w:r>
        <w:rPr>
          <w:sz w:val="18"/>
        </w:rPr>
        <w:t>大脑內分流器植入</w:t>
      </w:r>
    </w:p>
    <w:p>
      <w:pPr>
        <w:pStyle w:val="BodyText"/>
        <w:spacing w:before="107"/>
        <w:ind w:left="1071"/>
      </w:pPr>
      <w:r>
        <w:rPr/>
        <w:t>为缓解已升高的脑脊液压力而确实已在脑室进行分流器植入手术。</w:t>
      </w:r>
    </w:p>
    <w:p>
      <w:pPr>
        <w:pStyle w:val="BodyText"/>
        <w:spacing w:before="119"/>
        <w:ind w:left="1071"/>
      </w:pPr>
      <w:r>
        <w:rPr/>
        <w:t>诊断及治疗均须在本公司认可的医院内由脑神经科专科医师认为是医疗必须的情况下进行。</w:t>
      </w:r>
    </w:p>
    <w:p>
      <w:pPr>
        <w:pStyle w:val="ListParagraph"/>
        <w:numPr>
          <w:ilvl w:val="1"/>
          <w:numId w:val="11"/>
        </w:numPr>
        <w:tabs>
          <w:tab w:pos="1106" w:val="left" w:leader="none"/>
        </w:tabs>
        <w:spacing w:line="240" w:lineRule="auto" w:before="119" w:after="0"/>
        <w:ind w:left="1105" w:right="0" w:hanging="567"/>
        <w:jc w:val="left"/>
        <w:rPr>
          <w:sz w:val="18"/>
        </w:rPr>
      </w:pPr>
      <w:r>
        <w:rPr>
          <w:sz w:val="18"/>
        </w:rPr>
        <w:t>早期原发性心肌病</w:t>
      </w:r>
    </w:p>
    <w:p>
      <w:pPr>
        <w:pStyle w:val="BodyText"/>
        <w:spacing w:before="107"/>
        <w:ind w:left="1071"/>
      </w:pPr>
      <w:r>
        <w:rPr/>
        <w:t>被诊断为原发性心肌病，并符合下列所有条件：</w:t>
      </w:r>
    </w:p>
    <w:p>
      <w:pPr>
        <w:pStyle w:val="BodyText"/>
        <w:spacing w:line="340" w:lineRule="auto" w:before="119"/>
        <w:ind w:left="1071" w:right="154"/>
      </w:pPr>
      <w:r>
        <w:rPr/>
        <w:t>（</w:t>
      </w:r>
      <w:r>
        <w:rPr>
          <w:rFonts w:ascii="Arial" w:eastAsia="Arial"/>
        </w:rPr>
        <w:t>1</w:t>
      </w:r>
      <w:r>
        <w:rPr/>
        <w:t>）导致心室功能受损，其受损程度达到美国纽约心脏病学会心脏功能分级的第 </w:t>
      </w:r>
      <w:r>
        <w:rPr>
          <w:rFonts w:ascii="Arial" w:eastAsia="Arial"/>
        </w:rPr>
        <w:t>III </w:t>
      </w:r>
      <w:r>
        <w:rPr/>
        <w:t>级，或其同等级別，即：体力活动明显受限，休息时无症状，轻于日常的活动即可引起充血性心力衰竭的症状。</w:t>
      </w:r>
    </w:p>
    <w:p>
      <w:pPr>
        <w:pStyle w:val="BodyText"/>
        <w:spacing w:before="41"/>
        <w:ind w:left="1071"/>
      </w:pPr>
      <w:r>
        <w:rPr/>
        <w:t>（</w:t>
      </w:r>
      <w:r>
        <w:rPr>
          <w:rFonts w:ascii="Arial" w:eastAsia="Arial"/>
        </w:rPr>
        <w:t>2</w:t>
      </w:r>
      <w:r>
        <w:rPr/>
        <w:t>）左室射血分数 </w:t>
      </w:r>
      <w:r>
        <w:rPr>
          <w:rFonts w:ascii="Arial" w:eastAsia="Arial"/>
        </w:rPr>
        <w:t>LVEF &lt;35%</w:t>
      </w:r>
      <w:r>
        <w:rPr/>
        <w:t>。</w:t>
      </w:r>
    </w:p>
    <w:p>
      <w:pPr>
        <w:pStyle w:val="BodyText"/>
        <w:spacing w:line="343" w:lineRule="auto" w:before="107"/>
        <w:ind w:left="1071" w:right="654"/>
      </w:pPr>
      <w:r>
        <w:rPr/>
        <w:t>（</w:t>
      </w:r>
      <w:r>
        <w:rPr>
          <w:rFonts w:ascii="Arial" w:eastAsia="Arial"/>
        </w:rPr>
        <w:t>3</w:t>
      </w:r>
      <w:r>
        <w:rPr/>
        <w:t>）原发性心肌病的诊断必须由本公司认可医院的心脏专科注册医师确认，并提供心脏超声检查结果报告。本保障范围内的心肌病包括扩张型心肌病、肥厚型心肌病及限制型心肌病。</w:t>
      </w:r>
    </w:p>
    <w:p>
      <w:pPr>
        <w:pStyle w:val="Heading3"/>
        <w:spacing w:before="42"/>
        <w:ind w:left="1071"/>
      </w:pPr>
      <w:r>
        <w:rPr>
          <w:w w:val="95"/>
        </w:rPr>
        <w:t>继发于全身性疾病或其它器官系统疾病及酒精滥用造成的心肌病变不在保障范围内。</w:t>
      </w:r>
    </w:p>
    <w:p>
      <w:pPr>
        <w:pStyle w:val="ListParagraph"/>
        <w:numPr>
          <w:ilvl w:val="1"/>
          <w:numId w:val="11"/>
        </w:numPr>
        <w:tabs>
          <w:tab w:pos="1106" w:val="left" w:leader="none"/>
        </w:tabs>
        <w:spacing w:line="240" w:lineRule="auto" w:before="120" w:after="0"/>
        <w:ind w:left="1105" w:right="0" w:hanging="567"/>
        <w:jc w:val="left"/>
        <w:rPr>
          <w:sz w:val="18"/>
        </w:rPr>
      </w:pPr>
      <w:r>
        <w:rPr>
          <w:sz w:val="18"/>
        </w:rPr>
        <w:t>早期象皮病</w:t>
      </w:r>
    </w:p>
    <w:p>
      <w:pPr>
        <w:pStyle w:val="BodyText"/>
        <w:spacing w:line="357" w:lineRule="auto" w:before="107"/>
        <w:ind w:left="1071" w:right="206"/>
      </w:pPr>
      <w:r>
        <w:rPr/>
        <w:t>指因丝虫感染导致淋巴管阻塞而造成身体组织出现严重淋巴水肿。此病症须经本公司认可医院的专科医生根据临床表现和微丝蚴的化验结果确诊。</w:t>
      </w:r>
    </w:p>
    <w:p>
      <w:pPr>
        <w:pStyle w:val="Heading3"/>
        <w:spacing w:before="31"/>
        <w:ind w:left="1071"/>
      </w:pPr>
      <w:r>
        <w:rPr>
          <w:w w:val="95"/>
        </w:rPr>
        <w:t>急性淋巴管炎或其它原因引起的淋巴水肿并不在保障范围內。</w:t>
      </w:r>
    </w:p>
    <w:p>
      <w:pPr>
        <w:pStyle w:val="ListParagraph"/>
        <w:numPr>
          <w:ilvl w:val="1"/>
          <w:numId w:val="11"/>
        </w:numPr>
        <w:tabs>
          <w:tab w:pos="1106" w:val="left" w:leader="none"/>
        </w:tabs>
        <w:spacing w:line="240" w:lineRule="auto" w:before="119" w:after="0"/>
        <w:ind w:left="1105" w:right="0" w:hanging="567"/>
        <w:jc w:val="left"/>
        <w:rPr>
          <w:sz w:val="18"/>
        </w:rPr>
      </w:pPr>
      <w:r>
        <w:rPr>
          <w:sz w:val="18"/>
        </w:rPr>
        <w:t>早期运动神经元疾病</w:t>
      </w:r>
    </w:p>
    <w:p>
      <w:pPr>
        <w:pStyle w:val="BodyText"/>
        <w:spacing w:line="357" w:lineRule="auto"/>
        <w:ind w:left="1071" w:right="208"/>
      </w:pPr>
      <w:r>
        <w:rPr/>
        <w:t>是一组中枢神经系统运动神经元的进行性变性疾病，包括进行性脊肌萎缩症、进行性延髓麻痹症、原发性侧索硬化症、肌萎缩性侧索硬化症。</w:t>
      </w:r>
    </w:p>
    <w:p>
      <w:pPr>
        <w:spacing w:after="0" w:line="357" w:lineRule="auto"/>
        <w:sectPr>
          <w:pgSz w:w="11910" w:h="16840"/>
          <w:pgMar w:header="672" w:footer="767" w:top="860" w:bottom="960" w:left="880" w:right="740"/>
        </w:sectPr>
      </w:pPr>
    </w:p>
    <w:p>
      <w:pPr>
        <w:pStyle w:val="BodyText"/>
        <w:spacing w:before="12"/>
        <w:ind w:left="0"/>
        <w:rPr>
          <w:sz w:val="13"/>
        </w:rPr>
      </w:pPr>
    </w:p>
    <w:p>
      <w:pPr>
        <w:pStyle w:val="BodyText"/>
        <w:spacing w:line="340" w:lineRule="auto" w:before="53"/>
        <w:ind w:left="1071" w:right="201"/>
      </w:pPr>
      <w:r>
        <w:rPr/>
        <w:t>必须为严重及及永久性神经损伤的运动功能障碍。 被保人满足至少 </w:t>
      </w:r>
      <w:r>
        <w:rPr>
          <w:rFonts w:ascii="Arial" w:eastAsia="Arial"/>
        </w:rPr>
        <w:t>180 </w:t>
      </w:r>
      <w:r>
        <w:rPr/>
        <w:t>天无法独立完成六项基本日常生活活动中的两项或两项以上的条件。</w:t>
      </w:r>
    </w:p>
    <w:p>
      <w:pPr>
        <w:pStyle w:val="BodyText"/>
        <w:spacing w:before="42"/>
        <w:ind w:left="1071"/>
      </w:pPr>
      <w:r>
        <w:rPr/>
        <w:t>疾病诊断及严重程度必须由本公司认可医院的神经专科注册医生确认。</w:t>
      </w:r>
    </w:p>
    <w:p>
      <w:pPr>
        <w:pStyle w:val="ListParagraph"/>
        <w:numPr>
          <w:ilvl w:val="1"/>
          <w:numId w:val="11"/>
        </w:numPr>
        <w:tabs>
          <w:tab w:pos="1106" w:val="left" w:leader="none"/>
        </w:tabs>
        <w:spacing w:line="240" w:lineRule="auto" w:before="119" w:after="0"/>
        <w:ind w:left="1105" w:right="0" w:hanging="567"/>
        <w:jc w:val="left"/>
        <w:rPr>
          <w:sz w:val="18"/>
        </w:rPr>
      </w:pPr>
      <w:r>
        <w:rPr>
          <w:sz w:val="18"/>
        </w:rPr>
        <w:t>心脏起搏器或除颤器植入</w:t>
      </w:r>
    </w:p>
    <w:p>
      <w:pPr>
        <w:pStyle w:val="BodyText"/>
        <w:spacing w:line="357" w:lineRule="auto"/>
        <w:ind w:left="1071" w:right="206"/>
        <w:jc w:val="both"/>
      </w:pPr>
      <w:r>
        <w:rPr/>
        <w:t>因严重心律失常而确实已行植入永久性心脏起搏器或除顫器的手术。理赔时须提供完整病历资料及手术记录以证实此严重心律失常并不能以其他方法治疗。诊断及治疗均须在本公司认可的医院内由专科医师认为是医疗必须的情况下进行。</w:t>
      </w:r>
    </w:p>
    <w:p>
      <w:pPr>
        <w:pStyle w:val="ListParagraph"/>
        <w:numPr>
          <w:ilvl w:val="1"/>
          <w:numId w:val="11"/>
        </w:numPr>
        <w:tabs>
          <w:tab w:pos="1106" w:val="left" w:leader="none"/>
        </w:tabs>
        <w:spacing w:line="240" w:lineRule="auto" w:before="31" w:after="0"/>
        <w:ind w:left="1105" w:right="0" w:hanging="567"/>
        <w:jc w:val="left"/>
        <w:rPr>
          <w:sz w:val="18"/>
        </w:rPr>
      </w:pPr>
      <w:r>
        <w:rPr>
          <w:sz w:val="18"/>
        </w:rPr>
        <w:t>病毒性肝炎导致的肝硬化</w:t>
      </w:r>
    </w:p>
    <w:p>
      <w:pPr>
        <w:pStyle w:val="BodyText"/>
        <w:ind w:left="1071"/>
      </w:pPr>
      <w:r>
        <w:rPr/>
        <w:t>因肝炎病毒感染的肝脏慢性炎症并发展为肝硬化。理赔时须满足下列全部条件：</w:t>
      </w:r>
    </w:p>
    <w:p>
      <w:pPr>
        <w:pStyle w:val="BodyText"/>
        <w:spacing w:before="119"/>
        <w:ind w:left="1071"/>
      </w:pPr>
      <w:r>
        <w:rPr/>
        <w:t>（</w:t>
      </w:r>
      <w:r>
        <w:rPr>
          <w:rFonts w:ascii="Arial" w:eastAsia="Arial"/>
        </w:rPr>
        <w:t>1</w:t>
      </w:r>
      <w:r>
        <w:rPr/>
        <w:t>）被保人有感染慢性肝炎病毒的血清学及实验室检查报告等临床证据；</w:t>
      </w:r>
    </w:p>
    <w:p>
      <w:pPr>
        <w:pStyle w:val="BodyText"/>
        <w:spacing w:line="340" w:lineRule="auto" w:before="104"/>
        <w:ind w:left="1071" w:right="205"/>
      </w:pPr>
      <w:r>
        <w:rPr/>
        <w:t>（</w:t>
      </w:r>
      <w:r>
        <w:rPr>
          <w:rFonts w:ascii="Arial" w:eastAsia="Arial"/>
        </w:rPr>
        <w:t>2</w:t>
      </w:r>
      <w:r>
        <w:rPr/>
        <w:t>）必须由本公司认可医院的消化科专科医生基于肝脏组织病理学检查报告、临床表现及病史对肝炎病毒感染导致肝硬化做出肯定的诊断；</w:t>
      </w:r>
    </w:p>
    <w:p>
      <w:pPr>
        <w:spacing w:line="340" w:lineRule="auto" w:before="43"/>
        <w:ind w:left="1071" w:right="129" w:firstLine="0"/>
        <w:jc w:val="left"/>
        <w:rPr>
          <w:sz w:val="18"/>
        </w:rPr>
      </w:pPr>
      <w:r>
        <w:rPr>
          <w:sz w:val="18"/>
        </w:rPr>
        <w:t>（</w:t>
      </w:r>
      <w:r>
        <w:rPr>
          <w:rFonts w:ascii="Arial" w:eastAsia="Arial"/>
          <w:sz w:val="18"/>
        </w:rPr>
        <w:t>3</w:t>
      </w:r>
      <w:r>
        <w:rPr>
          <w:sz w:val="18"/>
        </w:rPr>
        <w:t>）病理学检查报告证明肝脏病变按 </w:t>
      </w:r>
      <w:r>
        <w:rPr>
          <w:rFonts w:ascii="Arial" w:eastAsia="Arial"/>
          <w:b/>
          <w:sz w:val="18"/>
        </w:rPr>
        <w:t>Metavir </w:t>
      </w:r>
      <w:r>
        <w:rPr>
          <w:b/>
          <w:sz w:val="18"/>
        </w:rPr>
        <w:t>分级表</w:t>
      </w:r>
      <w:r>
        <w:rPr>
          <w:sz w:val="18"/>
        </w:rPr>
        <w:t>（见释义） 中属 </w:t>
      </w:r>
      <w:r>
        <w:rPr>
          <w:rFonts w:ascii="Arial" w:eastAsia="Arial"/>
          <w:sz w:val="18"/>
        </w:rPr>
        <w:t>F4 </w:t>
      </w:r>
      <w:r>
        <w:rPr>
          <w:sz w:val="18"/>
        </w:rPr>
        <w:t>阶段或 </w:t>
      </w:r>
      <w:r>
        <w:rPr>
          <w:rFonts w:ascii="Arial" w:eastAsia="Arial"/>
          <w:b/>
          <w:sz w:val="18"/>
        </w:rPr>
        <w:t>Knodell </w:t>
      </w:r>
      <w:r>
        <w:rPr>
          <w:b/>
          <w:sz w:val="18"/>
        </w:rPr>
        <w:t>肝纤维化标准</w:t>
      </w:r>
      <w:r>
        <w:rPr>
          <w:rFonts w:ascii="Arial" w:eastAsia="Arial"/>
          <w:sz w:val="18"/>
        </w:rPr>
        <w:t>(</w:t>
      </w:r>
      <w:r>
        <w:rPr>
          <w:sz w:val="18"/>
        </w:rPr>
        <w:t>见释义</w:t>
      </w:r>
      <w:r>
        <w:rPr>
          <w:rFonts w:ascii="Arial" w:eastAsia="Arial"/>
          <w:sz w:val="18"/>
        </w:rPr>
        <w:t>) </w:t>
      </w:r>
      <w:r>
        <w:rPr>
          <w:sz w:val="18"/>
        </w:rPr>
        <w:t>达到 </w:t>
      </w:r>
      <w:r>
        <w:rPr>
          <w:rFonts w:ascii="Arial" w:eastAsia="Arial"/>
          <w:sz w:val="18"/>
        </w:rPr>
        <w:t>4 </w:t>
      </w:r>
      <w:r>
        <w:rPr>
          <w:sz w:val="18"/>
        </w:rPr>
        <w:t>分。</w:t>
      </w:r>
    </w:p>
    <w:p>
      <w:pPr>
        <w:pStyle w:val="Heading3"/>
        <w:spacing w:before="19"/>
        <w:ind w:left="1071"/>
      </w:pPr>
      <w:r>
        <w:rPr>
          <w:w w:val="95"/>
        </w:rPr>
        <w:t>由酒精或药物滥用而引起或有关的肝病并不受此保障。</w:t>
      </w:r>
    </w:p>
    <w:p>
      <w:pPr>
        <w:pStyle w:val="ListParagraph"/>
        <w:numPr>
          <w:ilvl w:val="1"/>
          <w:numId w:val="11"/>
        </w:numPr>
        <w:tabs>
          <w:tab w:pos="1106" w:val="left" w:leader="none"/>
        </w:tabs>
        <w:spacing w:line="240" w:lineRule="auto" w:before="119" w:after="0"/>
        <w:ind w:left="1105" w:right="0" w:hanging="567"/>
        <w:jc w:val="left"/>
        <w:rPr>
          <w:sz w:val="18"/>
        </w:rPr>
      </w:pPr>
      <w:r>
        <w:rPr>
          <w:sz w:val="18"/>
        </w:rPr>
        <w:t>湿性年龄相关性黄斑变性</w:t>
      </w:r>
    </w:p>
    <w:p>
      <w:pPr>
        <w:pStyle w:val="BodyText"/>
        <w:spacing w:line="348" w:lineRule="auto"/>
        <w:ind w:left="1071" w:right="196"/>
        <w:jc w:val="both"/>
      </w:pPr>
      <w:r>
        <w:rPr/>
        <w:t>又称为新生血管性年龄相关性黄斑变性或“渗出性”年龄相关性黄斑变性，发生脉络膜新生血管（</w:t>
      </w:r>
      <w:r>
        <w:rPr>
          <w:rFonts w:ascii="Arial" w:hAnsi="Arial" w:eastAsia="Arial"/>
        </w:rPr>
        <w:t>CNV</w:t>
      </w:r>
      <w:r>
        <w:rPr/>
        <w:t>）异常生长穿透玻璃膜进入视网膜，新生血管渗漏，渗出及出血。该病必须由荧光素眼底血管造影检查提示黄斑区新生血管形成，并且必须由医院的眼科专科医生确诊为湿性年龄相关性黄斑变性。</w:t>
      </w:r>
    </w:p>
    <w:p>
      <w:pPr>
        <w:pStyle w:val="BodyText"/>
        <w:spacing w:before="36"/>
        <w:ind w:left="1071"/>
      </w:pPr>
      <w:r>
        <w:rPr/>
        <w:t>被保险人申请理赔时须提供近 </w:t>
      </w:r>
      <w:r>
        <w:rPr>
          <w:rFonts w:ascii="Arial" w:eastAsia="Arial"/>
        </w:rPr>
        <w:t>3 </w:t>
      </w:r>
      <w:r>
        <w:rPr/>
        <w:t>个月内视力改变显示病情恶化的相关检查报告、诊断证明及病历报告。</w:t>
      </w:r>
    </w:p>
    <w:p>
      <w:pPr>
        <w:pStyle w:val="ListParagraph"/>
        <w:numPr>
          <w:ilvl w:val="1"/>
          <w:numId w:val="11"/>
        </w:numPr>
        <w:tabs>
          <w:tab w:pos="1106" w:val="left" w:leader="none"/>
        </w:tabs>
        <w:spacing w:line="240" w:lineRule="auto" w:before="107" w:after="0"/>
        <w:ind w:left="1105" w:right="0" w:hanging="567"/>
        <w:jc w:val="left"/>
        <w:rPr>
          <w:sz w:val="18"/>
        </w:rPr>
      </w:pPr>
      <w:r>
        <w:rPr>
          <w:sz w:val="18"/>
        </w:rPr>
        <w:t>左和/或右肝叶切除术</w:t>
      </w:r>
    </w:p>
    <w:p>
      <w:pPr>
        <w:pStyle w:val="BodyText"/>
        <w:spacing w:line="362" w:lineRule="auto" w:before="107"/>
        <w:ind w:left="1071" w:right="2195"/>
      </w:pPr>
      <w:r>
        <w:rPr/>
        <w:t>被保人因疾病或意外导致必须以部份肝脏切除术切除最少一整叶左肝脏或一整叶右肝脏。诊断及治疗均须在本公司认可的医院内由专科医师认为是医疗必须的情况下进行。</w:t>
      </w:r>
    </w:p>
    <w:p>
      <w:pPr>
        <w:pStyle w:val="Heading3"/>
        <w:spacing w:before="28"/>
        <w:ind w:left="1071"/>
      </w:pPr>
      <w:r>
        <w:rPr>
          <w:w w:val="95"/>
        </w:rPr>
        <w:t>因酒精或者滥用药物引致的疾病或者紊乱及／或者因捐赠肝脏而所需的肝脏手术均不在保障范围内。</w:t>
      </w:r>
    </w:p>
    <w:p>
      <w:pPr>
        <w:pStyle w:val="ListParagraph"/>
        <w:numPr>
          <w:ilvl w:val="1"/>
          <w:numId w:val="11"/>
        </w:numPr>
        <w:tabs>
          <w:tab w:pos="1106" w:val="left" w:leader="none"/>
        </w:tabs>
        <w:spacing w:line="240" w:lineRule="auto" w:before="120" w:after="0"/>
        <w:ind w:left="1105" w:right="0" w:hanging="567"/>
        <w:jc w:val="left"/>
        <w:rPr>
          <w:sz w:val="18"/>
        </w:rPr>
      </w:pPr>
      <w:r>
        <w:rPr>
          <w:sz w:val="18"/>
        </w:rPr>
        <w:t>单耳失聪</w:t>
      </w:r>
    </w:p>
    <w:p>
      <w:pPr>
        <w:pStyle w:val="BodyText"/>
        <w:ind w:left="1071"/>
      </w:pPr>
      <w:r>
        <w:rPr/>
        <w:t>指因疾病或者意外伤害导致单耳听力永久不可逆性丧失，在 </w:t>
      </w:r>
      <w:r>
        <w:rPr>
          <w:rFonts w:ascii="Arial" w:eastAsia="Arial"/>
        </w:rPr>
        <w:t>500 </w:t>
      </w:r>
      <w:r>
        <w:rPr/>
        <w:t>赫兹、</w:t>
      </w:r>
      <w:r>
        <w:rPr>
          <w:rFonts w:ascii="Arial" w:eastAsia="Arial"/>
        </w:rPr>
        <w:t>1000 </w:t>
      </w:r>
      <w:r>
        <w:rPr/>
        <w:t>赫兹和 </w:t>
      </w:r>
      <w:r>
        <w:rPr>
          <w:rFonts w:ascii="Arial" w:eastAsia="Arial"/>
        </w:rPr>
        <w:t>2000 </w:t>
      </w:r>
      <w:r>
        <w:rPr/>
        <w:t>赫兹语音频率下，平均</w:t>
      </w:r>
    </w:p>
    <w:p>
      <w:pPr>
        <w:pStyle w:val="BodyText"/>
        <w:spacing w:line="340" w:lineRule="auto" w:before="103"/>
        <w:ind w:left="1071" w:right="2558"/>
      </w:pPr>
      <w:r>
        <w:rPr/>
        <w:t>听阈大于 </w:t>
      </w:r>
      <w:r>
        <w:rPr>
          <w:rFonts w:ascii="Arial" w:eastAsia="Arial"/>
        </w:rPr>
        <w:t>90 </w:t>
      </w:r>
      <w:r>
        <w:rPr/>
        <w:t>分贝，且经纯音听力测试、声导抗检测或者听觉诱发电位检测等证实。该诊断必须由本公司认可医院的专科注册医生确认。</w:t>
      </w:r>
    </w:p>
    <w:p>
      <w:pPr>
        <w:pStyle w:val="Heading3"/>
        <w:spacing w:before="43"/>
        <w:ind w:left="1071"/>
      </w:pPr>
      <w:r>
        <w:rPr/>
        <w:t>被保险人在 </w:t>
      </w:r>
      <w:r>
        <w:rPr>
          <w:rFonts w:ascii="Arial" w:eastAsia="Arial"/>
        </w:rPr>
        <w:t>3 </w:t>
      </w:r>
      <w:r>
        <w:rPr/>
        <w:t>周岁之前因疾病导致的单耳失聪不在保障范围内。</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中度严重细菌性脑膜炎</w:t>
      </w:r>
    </w:p>
    <w:p>
      <w:pPr>
        <w:pStyle w:val="BodyText"/>
        <w:spacing w:line="338" w:lineRule="auto"/>
        <w:ind w:left="1071" w:right="198"/>
      </w:pPr>
      <w:r>
        <w:rPr/>
        <w:t>指细菌感染性脑（脊髓）膜炎导致神经系统永久性的中度功能障碍，即：疾病首次确诊 </w:t>
      </w:r>
      <w:r>
        <w:rPr>
          <w:rFonts w:ascii="Arial" w:eastAsia="Arial"/>
        </w:rPr>
        <w:t>180 </w:t>
      </w:r>
      <w:r>
        <w:rPr/>
        <w:t>天后，仍遗留下列全部障碍：</w:t>
      </w:r>
    </w:p>
    <w:p>
      <w:pPr>
        <w:pStyle w:val="BodyText"/>
        <w:spacing w:before="45"/>
        <w:ind w:left="1071"/>
      </w:pPr>
      <w:r>
        <w:rPr/>
        <w:t>（</w:t>
      </w:r>
      <w:r>
        <w:rPr>
          <w:rFonts w:ascii="Arial" w:eastAsia="Arial"/>
        </w:rPr>
        <w:t>1</w:t>
      </w:r>
      <w:r>
        <w:rPr/>
        <w:t>）一肢或一肢以上肢体肌力 </w:t>
      </w:r>
      <w:r>
        <w:rPr>
          <w:rFonts w:ascii="Arial" w:eastAsia="Arial"/>
        </w:rPr>
        <w:t>III </w:t>
      </w:r>
      <w:r>
        <w:rPr/>
        <w:t>级或 </w:t>
      </w:r>
      <w:r>
        <w:rPr>
          <w:rFonts w:ascii="Arial" w:eastAsia="Arial"/>
        </w:rPr>
        <w:t>III </w:t>
      </w:r>
      <w:r>
        <w:rPr/>
        <w:t>级以下的运动功能障碍；</w:t>
      </w:r>
    </w:p>
    <w:p>
      <w:pPr>
        <w:pStyle w:val="BodyText"/>
        <w:ind w:left="1071"/>
      </w:pPr>
      <w:r>
        <w:rPr/>
        <w:t>（</w:t>
      </w:r>
      <w:r>
        <w:rPr>
          <w:rFonts w:ascii="Arial" w:eastAsia="Arial"/>
        </w:rPr>
        <w:t>2</w:t>
      </w:r>
      <w:r>
        <w:rPr/>
        <w:t>）自主生活能力部分丧失，无法独立完成六项基本日常生活活动中的一项或一项以上。</w:t>
      </w:r>
    </w:p>
    <w:p>
      <w:pPr>
        <w:pStyle w:val="BodyText"/>
        <w:spacing w:line="357" w:lineRule="auto" w:before="107"/>
        <w:ind w:left="1071" w:right="207"/>
      </w:pPr>
      <w:r>
        <w:rPr/>
        <w:t>诊断必须由本公司认可医院的神经专科医生确定，並必须由适当的检查证明疾病原因为急性脑（脊髓）膜受细菌感染。</w:t>
      </w:r>
    </w:p>
    <w:p>
      <w:pPr>
        <w:pStyle w:val="ListParagraph"/>
        <w:numPr>
          <w:ilvl w:val="1"/>
          <w:numId w:val="11"/>
        </w:numPr>
        <w:tabs>
          <w:tab w:pos="1106" w:val="left" w:leader="none"/>
        </w:tabs>
        <w:spacing w:line="240" w:lineRule="auto" w:before="31" w:after="0"/>
        <w:ind w:left="1105" w:right="0" w:hanging="567"/>
        <w:jc w:val="left"/>
        <w:rPr>
          <w:sz w:val="18"/>
        </w:rPr>
      </w:pPr>
      <w:r>
        <w:rPr>
          <w:sz w:val="18"/>
        </w:rPr>
        <w:t>中度严重脑部损伤</w:t>
      </w:r>
    </w:p>
    <w:p>
      <w:pPr>
        <w:pStyle w:val="BodyText"/>
        <w:spacing w:line="340" w:lineRule="auto"/>
        <w:ind w:left="1071" w:right="198"/>
        <w:jc w:val="both"/>
      </w:pPr>
      <w:r>
        <w:rPr/>
        <w:t>指因头部遭受机械性外力伤害，引起脑重要部位损伤，并且由头颅断层扫描（</w:t>
      </w:r>
      <w:r>
        <w:rPr>
          <w:rFonts w:ascii="Arial" w:hAnsi="Arial" w:eastAsia="Arial"/>
        </w:rPr>
        <w:t>CT</w:t>
      </w:r>
      <w:r>
        <w:rPr/>
        <w:t>）、核磁共振检查（</w:t>
      </w:r>
      <w:r>
        <w:rPr>
          <w:rFonts w:ascii="Arial" w:hAnsi="Arial" w:eastAsia="Arial"/>
        </w:rPr>
        <w:t>MRI</w:t>
      </w:r>
      <w:r>
        <w:rPr/>
        <w:t>）或正电子发射断层扫描（</w:t>
      </w:r>
      <w:r>
        <w:rPr>
          <w:rFonts w:ascii="Arial" w:hAnsi="Arial" w:eastAsia="Arial"/>
        </w:rPr>
        <w:t>PET</w:t>
      </w:r>
      <w:r>
        <w:rPr/>
        <w:t>）等影像学检查证实。头部外伤导致神经系统功能障碍，虽然未达到重大疾病“严重脑损伤”的给付标准，但是符合以下条件之一：</w:t>
      </w:r>
    </w:p>
    <w:p>
      <w:pPr>
        <w:pStyle w:val="BodyText"/>
        <w:spacing w:before="41"/>
        <w:ind w:left="1071"/>
      </w:pPr>
      <w:r>
        <w:rPr/>
        <w:t>（</w:t>
      </w:r>
      <w:r>
        <w:rPr>
          <w:rFonts w:ascii="Arial" w:eastAsia="Arial"/>
        </w:rPr>
        <w:t>1</w:t>
      </w:r>
      <w:r>
        <w:rPr/>
        <w:t>）被保险人接受了全麻下颅骨切开颅内血肿清除术（颅骨钻孔术除外）；</w:t>
      </w:r>
    </w:p>
    <w:p>
      <w:pPr>
        <w:spacing w:after="0"/>
        <w:sectPr>
          <w:pgSz w:w="11910" w:h="16840"/>
          <w:pgMar w:header="672" w:footer="767" w:top="860" w:bottom="960" w:left="880" w:right="740"/>
        </w:sectPr>
      </w:pPr>
    </w:p>
    <w:p>
      <w:pPr>
        <w:pStyle w:val="BodyText"/>
        <w:spacing w:before="12"/>
        <w:ind w:left="0"/>
        <w:rPr>
          <w:sz w:val="13"/>
        </w:rPr>
      </w:pPr>
    </w:p>
    <w:p>
      <w:pPr>
        <w:pStyle w:val="BodyText"/>
        <w:spacing w:before="53"/>
        <w:ind w:left="1071"/>
      </w:pPr>
      <w:r>
        <w:rPr/>
        <w:t>（</w:t>
      </w:r>
      <w:r>
        <w:rPr>
          <w:rFonts w:ascii="Arial" w:eastAsia="Arial"/>
        </w:rPr>
        <w:t>2</w:t>
      </w:r>
      <w:r>
        <w:rPr/>
        <w:t>）在外伤 </w:t>
      </w:r>
      <w:r>
        <w:rPr>
          <w:rFonts w:ascii="Arial" w:eastAsia="Arial"/>
        </w:rPr>
        <w:t>180 </w:t>
      </w:r>
      <w:r>
        <w:rPr/>
        <w:t>天后仍然遗留一肢或一肢以上肢体肌力 </w:t>
      </w:r>
      <w:r>
        <w:rPr>
          <w:rFonts w:ascii="Arial" w:eastAsia="Arial"/>
        </w:rPr>
        <w:t>III </w:t>
      </w:r>
      <w:r>
        <w:rPr/>
        <w:t>级或 </w:t>
      </w:r>
      <w:r>
        <w:rPr>
          <w:rFonts w:ascii="Arial" w:eastAsia="Arial"/>
        </w:rPr>
        <w:t>III </w:t>
      </w:r>
      <w:r>
        <w:rPr/>
        <w:t>级以下的运动功能障碍。</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中度严重肾脏疾病</w:t>
      </w:r>
    </w:p>
    <w:p>
      <w:pPr>
        <w:pStyle w:val="BodyText"/>
        <w:ind w:left="1071"/>
      </w:pPr>
      <w:r>
        <w:rPr/>
        <w:t>中度严重肾脏疾病是指慢性肾功能衰竭。必须符合下列所有条件：</w:t>
      </w:r>
    </w:p>
    <w:p>
      <w:pPr>
        <w:pStyle w:val="BodyText"/>
        <w:spacing w:before="119"/>
        <w:ind w:left="1071"/>
      </w:pPr>
      <w:r>
        <w:rPr/>
        <w:t>（</w:t>
      </w:r>
      <w:r>
        <w:rPr>
          <w:rFonts w:ascii="Arial" w:eastAsia="Arial"/>
        </w:rPr>
        <w:t>1</w:t>
      </w:r>
      <w:r>
        <w:rPr/>
        <w:t>）肾小球滤过率</w:t>
      </w:r>
      <w:r>
        <w:rPr>
          <w:rFonts w:ascii="Arial" w:eastAsia="Arial"/>
        </w:rPr>
        <w:t>(GFR)&lt; 25ml/min%</w:t>
      </w:r>
      <w:r>
        <w:rPr/>
        <w:t>，或 内生肌酐清除率（</w:t>
      </w:r>
      <w:r>
        <w:rPr>
          <w:rFonts w:ascii="Arial" w:eastAsia="Arial"/>
        </w:rPr>
        <w:t>Ccr</w:t>
      </w:r>
      <w:r>
        <w:rPr/>
        <w:t>） </w:t>
      </w:r>
      <w:r>
        <w:rPr>
          <w:rFonts w:ascii="Arial" w:eastAsia="Arial"/>
        </w:rPr>
        <w:t>&lt;25ml/min</w:t>
      </w:r>
      <w:r>
        <w:rPr/>
        <w:t>；</w:t>
      </w:r>
    </w:p>
    <w:p>
      <w:pPr>
        <w:pStyle w:val="BodyText"/>
        <w:ind w:left="1071"/>
      </w:pPr>
      <w:r>
        <w:rPr/>
        <w:t>（</w:t>
      </w:r>
      <w:r>
        <w:rPr>
          <w:rFonts w:ascii="Arial" w:eastAsia="Arial"/>
        </w:rPr>
        <w:t>2</w:t>
      </w:r>
      <w:r>
        <w:rPr/>
        <w:t>）血肌酐（</w:t>
      </w:r>
      <w:r>
        <w:rPr>
          <w:rFonts w:ascii="Arial" w:eastAsia="Arial"/>
        </w:rPr>
        <w:t>Scr</w:t>
      </w:r>
      <w:r>
        <w:rPr/>
        <w:t>）</w:t>
      </w:r>
      <w:r>
        <w:rPr>
          <w:rFonts w:ascii="Arial" w:eastAsia="Arial"/>
        </w:rPr>
        <w:t>&gt; 5mg/dl </w:t>
      </w:r>
      <w:r>
        <w:rPr/>
        <w:t>或 </w:t>
      </w:r>
      <w:r>
        <w:rPr>
          <w:rFonts w:ascii="Arial" w:eastAsia="Arial"/>
        </w:rPr>
        <w:t>&gt;442umol/L</w:t>
      </w:r>
      <w:r>
        <w:rPr/>
        <w:t>；</w:t>
      </w:r>
    </w:p>
    <w:p>
      <w:pPr>
        <w:pStyle w:val="BodyText"/>
        <w:ind w:left="1071"/>
      </w:pPr>
      <w:r>
        <w:rPr/>
        <w:t>（</w:t>
      </w:r>
      <w:r>
        <w:rPr>
          <w:rFonts w:ascii="Arial" w:eastAsia="Arial"/>
        </w:rPr>
        <w:t>3</w:t>
      </w:r>
      <w:r>
        <w:rPr/>
        <w:t>）连续维持至少 </w:t>
      </w:r>
      <w:r>
        <w:rPr>
          <w:rFonts w:ascii="Arial" w:eastAsia="Arial"/>
        </w:rPr>
        <w:t>180 </w:t>
      </w:r>
      <w:r>
        <w:rPr/>
        <w:t>天；</w:t>
      </w:r>
    </w:p>
    <w:p>
      <w:pPr>
        <w:pStyle w:val="BodyText"/>
        <w:ind w:left="1071"/>
      </w:pPr>
      <w:r>
        <w:rPr/>
        <w:t>（</w:t>
      </w:r>
      <w:r>
        <w:rPr>
          <w:rFonts w:ascii="Arial" w:eastAsia="Arial"/>
        </w:rPr>
        <w:t>4</w:t>
      </w:r>
      <w:r>
        <w:rPr/>
        <w:t>）慢性肾功能损害的诊断必须由本公司认可医院的泌尿科或肾病科专科注册医生确定。</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中度严重重症肌无力症</w:t>
      </w:r>
    </w:p>
    <w:p>
      <w:pPr>
        <w:pStyle w:val="BodyText"/>
        <w:spacing w:line="340" w:lineRule="auto"/>
        <w:ind w:left="1071" w:right="198"/>
      </w:pPr>
      <w:r>
        <w:rPr/>
        <w:t>必须由本公司认可的医院的专科医生明确诊断为重症肌无力，且须满足疾病首次确诊 </w:t>
      </w:r>
      <w:r>
        <w:rPr>
          <w:rFonts w:ascii="Arial" w:eastAsia="Arial"/>
        </w:rPr>
        <w:t>180 </w:t>
      </w:r>
      <w:r>
        <w:rPr/>
        <w:t>天后被保人仍符合按美国重症肌无力基金会的临床分类 界定为第 </w:t>
      </w:r>
      <w:r>
        <w:rPr>
          <w:rFonts w:ascii="Arial" w:eastAsia="Arial"/>
        </w:rPr>
        <w:t>III </w:t>
      </w:r>
      <w:r>
        <w:rPr/>
        <w:t>级及以上。</w:t>
      </w:r>
    </w:p>
    <w:p>
      <w:pPr>
        <w:pStyle w:val="ListParagraph"/>
        <w:numPr>
          <w:ilvl w:val="1"/>
          <w:numId w:val="11"/>
        </w:numPr>
        <w:tabs>
          <w:tab w:pos="1106" w:val="left" w:leader="none"/>
        </w:tabs>
        <w:spacing w:line="240" w:lineRule="auto" w:before="19" w:after="0"/>
        <w:ind w:left="1105" w:right="0" w:hanging="567"/>
        <w:jc w:val="left"/>
        <w:rPr>
          <w:sz w:val="18"/>
        </w:rPr>
      </w:pPr>
      <w:r>
        <w:rPr>
          <w:sz w:val="18"/>
        </w:rPr>
        <w:t>中度严重帕金森病</w:t>
      </w:r>
    </w:p>
    <w:p>
      <w:pPr>
        <w:pStyle w:val="BodyText"/>
        <w:spacing w:line="360" w:lineRule="auto"/>
        <w:ind w:left="1071" w:right="205"/>
      </w:pPr>
      <w:r>
        <w:rPr/>
        <w:t>指经由本公司认可医院的神经专科医师作出明确之诊断为原发性帕金森病。该诊断必须同时符合下列所有理赔条件：</w:t>
      </w:r>
    </w:p>
    <w:p>
      <w:pPr>
        <w:pStyle w:val="BodyText"/>
        <w:spacing w:before="27"/>
        <w:ind w:left="1071"/>
      </w:pPr>
      <w:r>
        <w:rPr/>
        <w:t>（</w:t>
      </w:r>
      <w:r>
        <w:rPr>
          <w:rFonts w:ascii="Arial" w:eastAsia="Arial"/>
        </w:rPr>
        <w:t>1</w:t>
      </w:r>
      <w:r>
        <w:rPr/>
        <w:t>）无法通过药物控制；</w:t>
      </w:r>
    </w:p>
    <w:p>
      <w:pPr>
        <w:pStyle w:val="BodyText"/>
        <w:ind w:left="1071"/>
      </w:pPr>
      <w:r>
        <w:rPr/>
        <w:t>（</w:t>
      </w:r>
      <w:r>
        <w:rPr>
          <w:rFonts w:ascii="Arial" w:eastAsia="Arial"/>
        </w:rPr>
        <w:t>2</w:t>
      </w:r>
      <w:r>
        <w:rPr/>
        <w:t>）出现逐步退化客观征状；</w:t>
      </w:r>
    </w:p>
    <w:p>
      <w:pPr>
        <w:pStyle w:val="BodyText"/>
        <w:ind w:left="1071"/>
      </w:pPr>
      <w:r>
        <w:rPr/>
        <w:t>（</w:t>
      </w:r>
      <w:r>
        <w:rPr>
          <w:rFonts w:ascii="Arial" w:eastAsia="Arial"/>
        </w:rPr>
        <w:t>3</w:t>
      </w:r>
      <w:r>
        <w:rPr/>
        <w:t>）被保人满足至少 </w:t>
      </w:r>
      <w:r>
        <w:rPr>
          <w:rFonts w:ascii="Arial" w:eastAsia="Arial"/>
        </w:rPr>
        <w:t>180 </w:t>
      </w:r>
      <w:r>
        <w:rPr/>
        <w:t>天无法独立完成六项基本日常生活活动中的两项或两项以上的条件。</w:t>
      </w:r>
    </w:p>
    <w:p>
      <w:pPr>
        <w:pStyle w:val="ListParagraph"/>
        <w:numPr>
          <w:ilvl w:val="1"/>
          <w:numId w:val="11"/>
        </w:numPr>
        <w:tabs>
          <w:tab w:pos="1106" w:val="left" w:leader="none"/>
        </w:tabs>
        <w:spacing w:line="240" w:lineRule="auto" w:before="106" w:after="0"/>
        <w:ind w:left="1105" w:right="0" w:hanging="567"/>
        <w:jc w:val="left"/>
        <w:rPr>
          <w:sz w:val="18"/>
        </w:rPr>
      </w:pPr>
      <w:r>
        <w:rPr>
          <w:spacing w:val="-1"/>
          <w:sz w:val="18"/>
        </w:rPr>
        <w:t>嗜铬細胞瘤</w:t>
      </w:r>
    </w:p>
    <w:p>
      <w:pPr>
        <w:pStyle w:val="BodyText"/>
        <w:spacing w:line="357" w:lineRule="auto"/>
        <w:ind w:left="1071" w:right="208"/>
      </w:pPr>
      <w:r>
        <w:rPr/>
        <w:t>是指肾上腺或嗜铬外组织出现神经内分泌肿瘤，并分泌过多的儿茶酚胺类。嗜铬细胞瘤的诊断必须由本公司认可医院的内分泌专科注册医生确定。</w:t>
      </w:r>
    </w:p>
    <w:p>
      <w:pPr>
        <w:pStyle w:val="ListParagraph"/>
        <w:numPr>
          <w:ilvl w:val="1"/>
          <w:numId w:val="11"/>
        </w:numPr>
        <w:tabs>
          <w:tab w:pos="1106" w:val="left" w:leader="none"/>
        </w:tabs>
        <w:spacing w:line="240" w:lineRule="auto" w:before="31" w:after="0"/>
        <w:ind w:left="1105" w:right="0" w:hanging="567"/>
        <w:jc w:val="left"/>
        <w:rPr>
          <w:sz w:val="18"/>
        </w:rPr>
      </w:pPr>
      <w:r>
        <w:rPr>
          <w:sz w:val="18"/>
        </w:rPr>
        <w:t>中度严重类风湿性关节炎</w:t>
      </w:r>
    </w:p>
    <w:p>
      <w:pPr>
        <w:pStyle w:val="BodyText"/>
        <w:ind w:left="1071"/>
      </w:pPr>
      <w:r>
        <w:rPr/>
        <w:t>根据美国风湿病学院的诊断标准，由风湿科专科注册医师明确诊断并符合下列所有理赔条件：</w:t>
      </w:r>
    </w:p>
    <w:p>
      <w:pPr>
        <w:pStyle w:val="BodyText"/>
        <w:spacing w:line="338" w:lineRule="auto" w:before="119"/>
        <w:ind w:left="1071" w:right="204"/>
      </w:pPr>
      <w:r>
        <w:rPr/>
        <w:t>（</w:t>
      </w:r>
      <w:r>
        <w:rPr>
          <w:rFonts w:ascii="Arial" w:eastAsia="Arial"/>
        </w:rPr>
        <w:t>1</w:t>
      </w:r>
      <w:r>
        <w:rPr/>
        <w:t>）关节广泛受损，并经临床证实出现最少 </w:t>
      </w:r>
      <w:r>
        <w:rPr>
          <w:rFonts w:ascii="Arial" w:eastAsia="Arial"/>
        </w:rPr>
        <w:t>2 </w:t>
      </w:r>
      <w:r>
        <w:rPr/>
        <w:t>个下列关节位置严重变形：手部、手腕、肘部、膝部、髋部、踝部、颈椎或脚部；</w:t>
      </w:r>
    </w:p>
    <w:p>
      <w:pPr>
        <w:pStyle w:val="BodyText"/>
        <w:spacing w:before="46"/>
        <w:ind w:left="1071"/>
      </w:pPr>
      <w:r>
        <w:rPr/>
        <w:t>（</w:t>
      </w:r>
      <w:r>
        <w:rPr>
          <w:rFonts w:ascii="Arial" w:eastAsia="Arial"/>
        </w:rPr>
        <w:t>2</w:t>
      </w:r>
      <w:r>
        <w:rPr/>
        <w:t>）被保人满足至少 </w:t>
      </w:r>
      <w:r>
        <w:rPr>
          <w:rFonts w:ascii="Arial" w:eastAsia="Arial"/>
        </w:rPr>
        <w:t>180 </w:t>
      </w:r>
      <w:r>
        <w:rPr/>
        <w:t>天无法独立完成六项基本日常生活活动中的两项或两项以上的条件。</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中度严重系统性红斑狼疮</w:t>
      </w:r>
    </w:p>
    <w:p>
      <w:pPr>
        <w:pStyle w:val="BodyText"/>
        <w:ind w:left="1071"/>
      </w:pPr>
      <w:r>
        <w:rPr/>
        <w:t>本保障所指的系统性红斑狼疮必须符合下列所有理赔条件：</w:t>
      </w:r>
    </w:p>
    <w:p>
      <w:pPr>
        <w:pStyle w:val="BodyText"/>
        <w:spacing w:before="119"/>
        <w:ind w:left="1071"/>
      </w:pPr>
      <w:r>
        <w:rPr/>
        <w:t>（</w:t>
      </w:r>
      <w:r>
        <w:rPr>
          <w:rFonts w:ascii="Arial" w:eastAsia="Arial"/>
        </w:rPr>
        <w:t>1</w:t>
      </w:r>
      <w:r>
        <w:rPr/>
        <w:t>）在下列 </w:t>
      </w:r>
      <w:r>
        <w:rPr>
          <w:rFonts w:ascii="Arial" w:eastAsia="Arial"/>
        </w:rPr>
        <w:t>5 </w:t>
      </w:r>
      <w:r>
        <w:rPr/>
        <w:t>项情况中出现最少 </w:t>
      </w:r>
      <w:r>
        <w:rPr>
          <w:rFonts w:ascii="Arial" w:eastAsia="Arial"/>
        </w:rPr>
        <w:t>2 </w:t>
      </w:r>
      <w:r>
        <w:rPr/>
        <w:t>项：</w:t>
      </w:r>
    </w:p>
    <w:p>
      <w:pPr>
        <w:pStyle w:val="BodyText"/>
        <w:spacing w:line="362" w:lineRule="auto" w:before="104"/>
        <w:ind w:left="1472" w:right="4674"/>
      </w:pPr>
      <w:r>
        <w:rPr/>
        <w:t>关节炎：非磨损性关节炎，需涉及两个或以上关节； 浆膜炎：胸膜炎或心包炎；</w:t>
      </w:r>
    </w:p>
    <w:p>
      <w:pPr>
        <w:pStyle w:val="BodyText"/>
        <w:spacing w:line="343" w:lineRule="auto" w:before="27"/>
        <w:ind w:left="1472" w:right="3484"/>
      </w:pPr>
      <w:r>
        <w:rPr/>
        <w:t>肾病：</w:t>
      </w:r>
      <w:r>
        <w:rPr>
          <w:rFonts w:ascii="Arial" w:eastAsia="Arial"/>
        </w:rPr>
        <w:t>24 </w:t>
      </w:r>
      <w:r>
        <w:rPr/>
        <w:t>小时尿蛋白定量达到 </w:t>
      </w:r>
      <w:r>
        <w:rPr>
          <w:rFonts w:ascii="Arial" w:eastAsia="Arial"/>
        </w:rPr>
        <w:t>0.5 </w:t>
      </w:r>
      <w:r>
        <w:rPr/>
        <w:t>克，或尿液检查出现细胞管型； 血液学异常：溶血性贫血、白细胞减少、或血小板减少；</w:t>
      </w:r>
    </w:p>
    <w:p>
      <w:pPr>
        <w:pStyle w:val="BodyText"/>
        <w:spacing w:before="41"/>
        <w:ind w:left="1472"/>
      </w:pPr>
      <w:r>
        <w:rPr/>
        <w:t>抗核抗体阳性、或抗 </w:t>
      </w:r>
      <w:r>
        <w:rPr>
          <w:rFonts w:ascii="Arial" w:eastAsia="Arial"/>
        </w:rPr>
        <w:t>dsDNA </w:t>
      </w:r>
      <w:r>
        <w:rPr/>
        <w:t>阳性，或抗 </w:t>
      </w:r>
      <w:r>
        <w:rPr>
          <w:rFonts w:ascii="Arial" w:eastAsia="Arial"/>
        </w:rPr>
        <w:t>Smith </w:t>
      </w:r>
      <w:r>
        <w:rPr/>
        <w:t>抗体阳性。</w:t>
      </w:r>
    </w:p>
    <w:p>
      <w:pPr>
        <w:pStyle w:val="BodyText"/>
        <w:ind w:left="1071"/>
      </w:pPr>
      <w:r>
        <w:rPr>
          <w:w w:val="95"/>
        </w:rPr>
        <w:t>（</w:t>
      </w:r>
      <w:r>
        <w:rPr>
          <w:rFonts w:ascii="Arial" w:eastAsia="Arial"/>
          <w:w w:val="95"/>
        </w:rPr>
        <w:t>2</w:t>
      </w:r>
      <w:r>
        <w:rPr>
          <w:w w:val="95"/>
        </w:rPr>
        <w:t>）系统性红斑狼疮的诊断必须由本公司认可医院的风湿科或免疫系统专科医生确定。</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中度严重溃疡性结肠炎</w:t>
      </w:r>
    </w:p>
    <w:p>
      <w:pPr>
        <w:pStyle w:val="BodyText"/>
        <w:spacing w:before="107"/>
        <w:ind w:left="1071"/>
      </w:pPr>
      <w:r>
        <w:rPr/>
        <w:t>本保障所指的溃疡性结肠炎须满足下列所有理赔条件：</w:t>
      </w:r>
    </w:p>
    <w:p>
      <w:pPr>
        <w:pStyle w:val="BodyText"/>
        <w:spacing w:before="119"/>
        <w:ind w:left="1071"/>
      </w:pPr>
      <w:r>
        <w:rPr/>
        <w:t>（</w:t>
      </w:r>
      <w:r>
        <w:rPr>
          <w:rFonts w:ascii="Arial" w:eastAsia="Arial"/>
        </w:rPr>
        <w:t>1</w:t>
      </w:r>
      <w:r>
        <w:rPr/>
        <w:t>）须经由内窥镜检查证实该疾病侵犯全部结肠及直肠；</w:t>
      </w:r>
    </w:p>
    <w:p>
      <w:pPr>
        <w:pStyle w:val="BodyText"/>
        <w:ind w:left="1071"/>
      </w:pPr>
      <w:r>
        <w:rPr/>
        <w:t>（</w:t>
      </w:r>
      <w:r>
        <w:rPr>
          <w:rFonts w:ascii="Arial" w:eastAsia="Arial"/>
        </w:rPr>
        <w:t>2</w:t>
      </w:r>
      <w:r>
        <w:rPr/>
        <w:t>）活检病理学组织切片检查证实为溃疡性结肠炎；</w:t>
      </w:r>
    </w:p>
    <w:p>
      <w:pPr>
        <w:pStyle w:val="BodyText"/>
        <w:ind w:left="1071"/>
      </w:pPr>
      <w:r>
        <w:rPr/>
        <w:t>（</w:t>
      </w:r>
      <w:r>
        <w:rPr>
          <w:rFonts w:ascii="Arial" w:eastAsia="Arial"/>
        </w:rPr>
        <w:t>3</w:t>
      </w:r>
      <w:r>
        <w:rPr/>
        <w:t>）经专科医生以类固醇或免疫抑制剂连续治疗至少 </w:t>
      </w:r>
      <w:r>
        <w:rPr>
          <w:rFonts w:ascii="Arial" w:eastAsia="Arial"/>
        </w:rPr>
        <w:t>180 </w:t>
      </w:r>
      <w:r>
        <w:rPr/>
        <w:t>天。</w:t>
      </w:r>
    </w:p>
    <w:p>
      <w:pPr>
        <w:pStyle w:val="BodyText"/>
        <w:ind w:left="1071"/>
      </w:pPr>
      <w:r>
        <w:rPr/>
        <w:t>诊断及治疗均须在本公司认可的医院内由专科医师认为是医疗必须的情况下进行。</w:t>
      </w:r>
    </w:p>
    <w:p>
      <w:pPr>
        <w:pStyle w:val="ListParagraph"/>
        <w:numPr>
          <w:ilvl w:val="1"/>
          <w:numId w:val="11"/>
        </w:numPr>
        <w:tabs>
          <w:tab w:pos="1106" w:val="left" w:leader="none"/>
        </w:tabs>
        <w:spacing w:line="240" w:lineRule="auto" w:before="117" w:after="0"/>
        <w:ind w:left="1105" w:right="0" w:hanging="567"/>
        <w:jc w:val="left"/>
        <w:rPr>
          <w:sz w:val="18"/>
        </w:rPr>
      </w:pPr>
      <w:r>
        <w:rPr>
          <w:sz w:val="18"/>
        </w:rPr>
        <w:t>中度严重克隆病</w:t>
      </w:r>
    </w:p>
    <w:p>
      <w:pPr>
        <w:pStyle w:val="BodyText"/>
        <w:ind w:left="1071"/>
      </w:pPr>
      <w:r>
        <w:rPr/>
        <w:t>克隆病是一种慢性肉芽肿性肠炎，具有特征性的克隆病病理组织学变化。诊断必须由本公司认可医院的专科注册医</w:t>
      </w:r>
    </w:p>
    <w:p>
      <w:pPr>
        <w:spacing w:after="0"/>
        <w:sectPr>
          <w:pgSz w:w="11910" w:h="16840"/>
          <w:pgMar w:header="672" w:footer="767" w:top="860" w:bottom="960" w:left="880" w:right="740"/>
        </w:sectPr>
      </w:pPr>
    </w:p>
    <w:p>
      <w:pPr>
        <w:pStyle w:val="BodyText"/>
        <w:spacing w:before="9"/>
        <w:ind w:left="0"/>
        <w:rPr>
          <w:sz w:val="13"/>
        </w:rPr>
      </w:pPr>
    </w:p>
    <w:p>
      <w:pPr>
        <w:pStyle w:val="BodyText"/>
        <w:spacing w:line="340" w:lineRule="auto" w:before="53"/>
        <w:ind w:left="1071" w:right="199"/>
      </w:pPr>
      <w:r>
        <w:rPr/>
        <w:t>生经内窥镜及肠病理活检结果证实，同时经专科医生以类固醇或免疫抑制剂连续治疗至少 </w:t>
      </w:r>
      <w:r>
        <w:rPr>
          <w:rFonts w:ascii="Arial" w:eastAsia="Arial"/>
        </w:rPr>
        <w:t>180 </w:t>
      </w:r>
      <w:r>
        <w:rPr/>
        <w:t>天，方符合理赔条件。</w:t>
      </w:r>
    </w:p>
    <w:p>
      <w:pPr>
        <w:pStyle w:val="ListParagraph"/>
        <w:numPr>
          <w:ilvl w:val="1"/>
          <w:numId w:val="11"/>
        </w:numPr>
        <w:tabs>
          <w:tab w:pos="1106" w:val="left" w:leader="none"/>
        </w:tabs>
        <w:spacing w:line="240" w:lineRule="auto" w:before="41" w:after="0"/>
        <w:ind w:left="1105" w:right="0" w:hanging="567"/>
        <w:jc w:val="left"/>
        <w:rPr>
          <w:sz w:val="18"/>
        </w:rPr>
      </w:pPr>
      <w:r>
        <w:rPr>
          <w:sz w:val="18"/>
        </w:rPr>
        <w:t>心包膜切除术</w:t>
      </w:r>
    </w:p>
    <w:p>
      <w:pPr>
        <w:pStyle w:val="BodyText"/>
        <w:spacing w:line="360" w:lineRule="auto"/>
        <w:ind w:left="1071" w:right="206"/>
      </w:pPr>
      <w:r>
        <w:rPr/>
        <w:t>因心包膜疾病导致已经接受心包膜切除术。手术必须由本公司认可医院的心脏科注册医生认为是医学上必须的情况下进行。</w:t>
      </w:r>
    </w:p>
    <w:p>
      <w:pPr>
        <w:pStyle w:val="ListParagraph"/>
        <w:numPr>
          <w:ilvl w:val="1"/>
          <w:numId w:val="11"/>
        </w:numPr>
        <w:tabs>
          <w:tab w:pos="1106" w:val="left" w:leader="none"/>
        </w:tabs>
        <w:spacing w:line="240" w:lineRule="auto" w:before="27" w:after="0"/>
        <w:ind w:left="1105" w:right="0" w:hanging="567"/>
        <w:jc w:val="left"/>
        <w:rPr>
          <w:sz w:val="18"/>
        </w:rPr>
      </w:pPr>
      <w:r>
        <w:rPr>
          <w:sz w:val="18"/>
        </w:rPr>
        <w:t>单肾切除手术</w:t>
      </w:r>
    </w:p>
    <w:p>
      <w:pPr>
        <w:pStyle w:val="BodyText"/>
        <w:spacing w:line="340" w:lineRule="auto" w:before="107"/>
        <w:ind w:left="1071" w:right="207"/>
      </w:pPr>
      <w:r>
        <w:rPr/>
        <w:t>因肾脏疾病或外伤而确实已经接受手术切除左肾和</w:t>
      </w:r>
      <w:r>
        <w:rPr>
          <w:rFonts w:ascii="Arial" w:eastAsia="Arial"/>
        </w:rPr>
        <w:t>/</w:t>
      </w:r>
      <w:r>
        <w:rPr/>
        <w:t>或右肾。手术必须被本公司认可医院的专科注册医生视为必要的。</w:t>
      </w:r>
    </w:p>
    <w:p>
      <w:pPr>
        <w:pStyle w:val="Heading3"/>
        <w:spacing w:before="41"/>
        <w:ind w:left="1071"/>
      </w:pPr>
      <w:r>
        <w:rPr>
          <w:w w:val="95"/>
        </w:rPr>
        <w:t>因捐赠肾脏而所需的手术不在本保障范围内。</w:t>
      </w:r>
    </w:p>
    <w:p>
      <w:pPr>
        <w:pStyle w:val="ListParagraph"/>
        <w:numPr>
          <w:ilvl w:val="1"/>
          <w:numId w:val="11"/>
        </w:numPr>
        <w:tabs>
          <w:tab w:pos="1106" w:val="left" w:leader="none"/>
        </w:tabs>
        <w:spacing w:line="240" w:lineRule="auto" w:before="119" w:after="0"/>
        <w:ind w:left="1105" w:right="0" w:hanging="567"/>
        <w:jc w:val="left"/>
        <w:rPr>
          <w:sz w:val="18"/>
        </w:rPr>
      </w:pPr>
      <w:r>
        <w:rPr>
          <w:sz w:val="18"/>
        </w:rPr>
        <w:t>单肺切除手术</w:t>
      </w:r>
    </w:p>
    <w:p>
      <w:pPr>
        <w:pStyle w:val="BodyText"/>
        <w:spacing w:line="362" w:lineRule="auto" w:before="107"/>
        <w:ind w:left="1071" w:right="2195"/>
      </w:pPr>
      <w:r>
        <w:rPr/>
        <w:t>单肺切除手术是指受保人因疾病或意外而确实已经接受手术完全切除了左全肺或右全肺。手术必须被本公司认可医院的专科注册医生视为必要的。</w:t>
      </w:r>
    </w:p>
    <w:p>
      <w:pPr>
        <w:pStyle w:val="Heading3"/>
        <w:spacing w:before="28"/>
        <w:ind w:left="1071"/>
      </w:pPr>
      <w:r>
        <w:rPr>
          <w:w w:val="95"/>
        </w:rPr>
        <w:t>一个肺进行部份切除不在此保障范围内。因捐赠肺脏而所需的手术不在本保障范围内。</w:t>
      </w:r>
    </w:p>
    <w:p>
      <w:pPr>
        <w:pStyle w:val="BodyText"/>
        <w:spacing w:before="0"/>
        <w:ind w:left="0"/>
        <w:rPr>
          <w:b/>
        </w:rPr>
      </w:pPr>
    </w:p>
    <w:p>
      <w:pPr>
        <w:pStyle w:val="BodyText"/>
        <w:spacing w:before="1"/>
        <w:ind w:left="0"/>
        <w:rPr>
          <w:b/>
          <w:sz w:val="15"/>
        </w:rPr>
      </w:pPr>
    </w:p>
    <w:p>
      <w:pPr>
        <w:tabs>
          <w:tab w:pos="1911" w:val="left" w:leader="none"/>
        </w:tabs>
        <w:spacing w:before="0"/>
        <w:ind w:left="471" w:right="0" w:firstLine="0"/>
        <w:jc w:val="left"/>
        <w:rPr>
          <w:b/>
          <w:sz w:val="21"/>
        </w:rPr>
      </w:pPr>
      <w:r>
        <w:rPr>
          <w:b/>
          <w:sz w:val="21"/>
        </w:rPr>
        <w:t>第十</w:t>
      </w:r>
      <w:r>
        <w:rPr>
          <w:b/>
          <w:spacing w:val="-3"/>
          <w:sz w:val="21"/>
        </w:rPr>
        <w:t>四</w:t>
      </w:r>
      <w:r>
        <w:rPr>
          <w:b/>
          <w:sz w:val="21"/>
        </w:rPr>
        <w:t>条</w:t>
        <w:tab/>
        <w:t>释义</w:t>
      </w:r>
    </w:p>
    <w:p>
      <w:pPr>
        <w:pStyle w:val="ListParagraph"/>
        <w:numPr>
          <w:ilvl w:val="1"/>
          <w:numId w:val="12"/>
        </w:numPr>
        <w:tabs>
          <w:tab w:pos="1106" w:val="left" w:leader="none"/>
        </w:tabs>
        <w:spacing w:line="348" w:lineRule="auto" w:before="139" w:after="0"/>
        <w:ind w:left="1105" w:right="361" w:hanging="567"/>
        <w:jc w:val="both"/>
        <w:rPr>
          <w:sz w:val="18"/>
        </w:rPr>
      </w:pPr>
      <w:r>
        <w:rPr>
          <w:sz w:val="18"/>
        </w:rPr>
        <w:t>意外伤害事故：指遭受外来的、突发的、非本意的、非疾病的使被保险人身体受到伤害的客观事件。此类意外伤害事故不包括无明确外来意外伤害原因导致的后果，如过敏（见释义）、原发性感染（见释义）、细菌性食物中</w:t>
      </w:r>
      <w:r>
        <w:rPr>
          <w:spacing w:val="-1"/>
          <w:sz w:val="18"/>
        </w:rPr>
        <w:t>毒、猝死等。</w:t>
      </w:r>
    </w:p>
    <w:p>
      <w:pPr>
        <w:pStyle w:val="ListParagraph"/>
        <w:numPr>
          <w:ilvl w:val="1"/>
          <w:numId w:val="12"/>
        </w:numPr>
        <w:tabs>
          <w:tab w:pos="1105" w:val="left" w:leader="none"/>
          <w:tab w:pos="1106" w:val="left" w:leader="none"/>
        </w:tabs>
        <w:spacing w:line="240" w:lineRule="auto" w:before="36" w:after="0"/>
        <w:ind w:left="1105" w:right="0" w:hanging="567"/>
        <w:jc w:val="left"/>
        <w:rPr>
          <w:sz w:val="18"/>
        </w:rPr>
      </w:pPr>
      <w:r>
        <w:rPr>
          <w:spacing w:val="-3"/>
          <w:sz w:val="18"/>
        </w:rPr>
        <w:t>等待期：本附加合同生效日起或每一次复效日起 </w:t>
      </w:r>
      <w:r>
        <w:rPr>
          <w:rFonts w:ascii="Arial" w:eastAsia="Arial"/>
          <w:sz w:val="18"/>
        </w:rPr>
        <w:t>180</w:t>
      </w:r>
      <w:r>
        <w:rPr>
          <w:rFonts w:ascii="Arial" w:eastAsia="Arial"/>
          <w:spacing w:val="-10"/>
          <w:sz w:val="18"/>
        </w:rPr>
        <w:t> </w:t>
      </w:r>
      <w:r>
        <w:rPr>
          <w:sz w:val="18"/>
        </w:rPr>
        <w:t>日内</w:t>
      </w:r>
      <w:r>
        <w:rPr>
          <w:spacing w:val="-3"/>
          <w:sz w:val="18"/>
        </w:rPr>
        <w:t>（</w:t>
      </w:r>
      <w:r>
        <w:rPr>
          <w:spacing w:val="-16"/>
          <w:sz w:val="18"/>
        </w:rPr>
        <w:t>含第 </w:t>
      </w:r>
      <w:r>
        <w:rPr>
          <w:rFonts w:ascii="Arial" w:eastAsia="Arial"/>
          <w:sz w:val="18"/>
        </w:rPr>
        <w:t>180</w:t>
      </w:r>
      <w:r>
        <w:rPr>
          <w:rFonts w:ascii="Arial" w:eastAsia="Arial"/>
          <w:spacing w:val="-10"/>
          <w:sz w:val="18"/>
        </w:rPr>
        <w:t> </w:t>
      </w:r>
      <w:r>
        <w:rPr>
          <w:sz w:val="18"/>
        </w:rPr>
        <w:t>日）为等待期。</w:t>
      </w:r>
    </w:p>
    <w:p>
      <w:pPr>
        <w:pStyle w:val="ListParagraph"/>
        <w:numPr>
          <w:ilvl w:val="1"/>
          <w:numId w:val="12"/>
        </w:numPr>
        <w:tabs>
          <w:tab w:pos="1105" w:val="left" w:leader="none"/>
          <w:tab w:pos="1106" w:val="left" w:leader="none"/>
        </w:tabs>
        <w:spacing w:line="340" w:lineRule="auto" w:before="106" w:after="0"/>
        <w:ind w:left="1105" w:right="361" w:hanging="567"/>
        <w:jc w:val="left"/>
        <w:rPr>
          <w:sz w:val="18"/>
        </w:rPr>
      </w:pPr>
      <w:r>
        <w:rPr>
          <w:sz w:val="18"/>
        </w:rPr>
        <w:t>首次发病：指被保险人自出生之日起第一次出现疾病的前兆，或异常的身体状况，或异常的检查结果，或已经显现足以促使一般普通谨慎人士引起注意并寻求诊断、治疗或护理的病症。</w:t>
      </w:r>
    </w:p>
    <w:p>
      <w:pPr>
        <w:pStyle w:val="ListParagraph"/>
        <w:numPr>
          <w:ilvl w:val="1"/>
          <w:numId w:val="12"/>
        </w:numPr>
        <w:tabs>
          <w:tab w:pos="1105" w:val="left" w:leader="none"/>
          <w:tab w:pos="1106" w:val="left" w:leader="none"/>
        </w:tabs>
        <w:spacing w:line="240" w:lineRule="auto" w:before="41" w:after="0"/>
        <w:ind w:left="1105" w:right="0" w:hanging="567"/>
        <w:jc w:val="left"/>
        <w:rPr>
          <w:sz w:val="18"/>
        </w:rPr>
      </w:pPr>
      <w:r>
        <w:rPr>
          <w:sz w:val="18"/>
        </w:rPr>
        <w:t>专科医生：专科医生应当同时满足以下四项资格条件：</w:t>
      </w:r>
    </w:p>
    <w:p>
      <w:pPr>
        <w:pStyle w:val="ListParagraph"/>
        <w:numPr>
          <w:ilvl w:val="2"/>
          <w:numId w:val="12"/>
        </w:numPr>
        <w:tabs>
          <w:tab w:pos="1671" w:val="left" w:leader="none"/>
          <w:tab w:pos="1672" w:val="left" w:leader="none"/>
        </w:tabs>
        <w:spacing w:line="240" w:lineRule="auto" w:before="106" w:after="0"/>
        <w:ind w:left="1671" w:right="0" w:hanging="530"/>
        <w:jc w:val="left"/>
        <w:rPr>
          <w:sz w:val="18"/>
        </w:rPr>
      </w:pPr>
      <w:r>
        <w:rPr>
          <w:w w:val="95"/>
          <w:sz w:val="18"/>
        </w:rPr>
        <w:t>具有有效的中华人民共和国《医师资格证书》；</w:t>
      </w:r>
    </w:p>
    <w:p>
      <w:pPr>
        <w:pStyle w:val="ListParagraph"/>
        <w:numPr>
          <w:ilvl w:val="2"/>
          <w:numId w:val="12"/>
        </w:numPr>
        <w:tabs>
          <w:tab w:pos="1671" w:val="left" w:leader="none"/>
          <w:tab w:pos="1672" w:val="left" w:leader="none"/>
        </w:tabs>
        <w:spacing w:line="240" w:lineRule="auto" w:before="106" w:after="0"/>
        <w:ind w:left="1671" w:right="0" w:hanging="530"/>
        <w:jc w:val="left"/>
        <w:rPr>
          <w:sz w:val="18"/>
        </w:rPr>
      </w:pPr>
      <w:r>
        <w:rPr>
          <w:sz w:val="18"/>
        </w:rPr>
        <w:t>具有有效的中华人民共和国《医师执业证书》，并按期到相关部门登记注册；</w:t>
      </w:r>
    </w:p>
    <w:p>
      <w:pPr>
        <w:pStyle w:val="ListParagraph"/>
        <w:numPr>
          <w:ilvl w:val="2"/>
          <w:numId w:val="12"/>
        </w:numPr>
        <w:tabs>
          <w:tab w:pos="1671" w:val="left" w:leader="none"/>
          <w:tab w:pos="1672" w:val="left" w:leader="none"/>
        </w:tabs>
        <w:spacing w:line="240" w:lineRule="auto" w:before="106" w:after="0"/>
        <w:ind w:left="1671" w:right="0" w:hanging="530"/>
        <w:jc w:val="left"/>
        <w:rPr>
          <w:sz w:val="18"/>
        </w:rPr>
      </w:pPr>
      <w:r>
        <w:rPr>
          <w:w w:val="95"/>
          <w:sz w:val="18"/>
        </w:rPr>
        <w:t>具有有效的中华人民共和国主治医师或主治医师以上职称的《医师职称证书》；</w:t>
      </w:r>
    </w:p>
    <w:p>
      <w:pPr>
        <w:pStyle w:val="ListParagraph"/>
        <w:numPr>
          <w:ilvl w:val="2"/>
          <w:numId w:val="12"/>
        </w:numPr>
        <w:tabs>
          <w:tab w:pos="1671" w:val="left" w:leader="none"/>
          <w:tab w:pos="1672" w:val="left" w:leader="none"/>
        </w:tabs>
        <w:spacing w:line="240" w:lineRule="auto" w:before="106" w:after="0"/>
        <w:ind w:left="1671" w:right="0" w:hanging="530"/>
        <w:jc w:val="left"/>
        <w:rPr>
          <w:sz w:val="18"/>
        </w:rPr>
      </w:pPr>
      <w:r>
        <w:rPr>
          <w:w w:val="95"/>
          <w:sz w:val="18"/>
        </w:rPr>
        <w:t>在二级或二级以上医院的相应科室从事临床工作三年以上。</w:t>
      </w:r>
    </w:p>
    <w:p>
      <w:pPr>
        <w:pStyle w:val="ListParagraph"/>
        <w:numPr>
          <w:ilvl w:val="1"/>
          <w:numId w:val="12"/>
        </w:numPr>
        <w:tabs>
          <w:tab w:pos="1105" w:val="left" w:leader="none"/>
          <w:tab w:pos="1106" w:val="left" w:leader="none"/>
        </w:tabs>
        <w:spacing w:line="240" w:lineRule="auto" w:before="106" w:after="0"/>
        <w:ind w:left="1105" w:right="0" w:hanging="567"/>
        <w:jc w:val="left"/>
        <w:rPr>
          <w:sz w:val="18"/>
        </w:rPr>
      </w:pPr>
      <w:r>
        <w:rPr>
          <w:sz w:val="18"/>
        </w:rPr>
        <w:t>轻症疾病：指本附加合同第十三条所约定的疾病、疾病状态或手术。</w:t>
      </w:r>
    </w:p>
    <w:p>
      <w:pPr>
        <w:pStyle w:val="ListParagraph"/>
        <w:numPr>
          <w:ilvl w:val="1"/>
          <w:numId w:val="12"/>
        </w:numPr>
        <w:tabs>
          <w:tab w:pos="1105" w:val="left" w:leader="none"/>
          <w:tab w:pos="1106" w:val="left" w:leader="none"/>
        </w:tabs>
        <w:spacing w:line="240" w:lineRule="auto" w:before="106" w:after="0"/>
        <w:ind w:left="1105" w:right="0" w:hanging="567"/>
        <w:jc w:val="left"/>
        <w:rPr>
          <w:sz w:val="18"/>
        </w:rPr>
      </w:pPr>
      <w:r>
        <w:rPr>
          <w:sz w:val="18"/>
        </w:rPr>
        <w:t>重大疾病：指本附加合同第十二条所约定的疾病、疾病状态或手术。</w:t>
      </w:r>
    </w:p>
    <w:p>
      <w:pPr>
        <w:pStyle w:val="ListParagraph"/>
        <w:numPr>
          <w:ilvl w:val="1"/>
          <w:numId w:val="12"/>
        </w:numPr>
        <w:tabs>
          <w:tab w:pos="1105" w:val="left" w:leader="none"/>
          <w:tab w:pos="1106" w:val="left" w:leader="none"/>
        </w:tabs>
        <w:spacing w:line="240" w:lineRule="auto" w:before="106" w:after="0"/>
        <w:ind w:left="1105" w:right="0" w:hanging="567"/>
        <w:jc w:val="left"/>
        <w:rPr>
          <w:sz w:val="18"/>
        </w:rPr>
      </w:pPr>
      <w:r>
        <w:rPr>
          <w:sz w:val="18"/>
        </w:rPr>
        <w:t>现金价值：指保险单所具有的价值，通常体现为解除合同时，根据精算原理计算的，由我们退还的那部分金额。</w:t>
      </w:r>
    </w:p>
    <w:p>
      <w:pPr>
        <w:pStyle w:val="ListParagraph"/>
        <w:numPr>
          <w:ilvl w:val="1"/>
          <w:numId w:val="12"/>
        </w:numPr>
        <w:tabs>
          <w:tab w:pos="1105" w:val="left" w:leader="none"/>
          <w:tab w:pos="1106" w:val="left" w:leader="none"/>
        </w:tabs>
        <w:spacing w:line="348" w:lineRule="auto" w:before="106" w:after="0"/>
        <w:ind w:left="1078" w:right="208" w:hanging="540"/>
        <w:jc w:val="left"/>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w:t>
      </w:r>
      <w:r>
        <w:rPr>
          <w:spacing w:val="-1"/>
          <w:sz w:val="18"/>
        </w:rPr>
        <w:t>品。</w:t>
      </w:r>
    </w:p>
    <w:p>
      <w:pPr>
        <w:pStyle w:val="ListParagraph"/>
        <w:numPr>
          <w:ilvl w:val="1"/>
          <w:numId w:val="12"/>
        </w:numPr>
        <w:tabs>
          <w:tab w:pos="1105" w:val="left" w:leader="none"/>
          <w:tab w:pos="1106" w:val="left" w:leader="none"/>
        </w:tabs>
        <w:spacing w:line="340" w:lineRule="auto" w:before="36" w:after="0"/>
        <w:ind w:left="1078" w:right="361" w:hanging="540"/>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2"/>
        </w:numPr>
        <w:tabs>
          <w:tab w:pos="1106" w:val="left" w:leader="none"/>
        </w:tabs>
        <w:spacing w:line="240" w:lineRule="auto" w:before="42" w:after="0"/>
        <w:ind w:left="1105" w:right="0" w:hanging="567"/>
        <w:jc w:val="left"/>
        <w:rPr>
          <w:sz w:val="18"/>
        </w:rPr>
      </w:pPr>
      <w:r>
        <w:rPr>
          <w:sz w:val="18"/>
        </w:rPr>
        <w:t>无合法有效驾驶证驾驶：是指下列情形之一：</w:t>
      </w:r>
    </w:p>
    <w:p>
      <w:pPr>
        <w:pStyle w:val="ListParagraph"/>
        <w:numPr>
          <w:ilvl w:val="2"/>
          <w:numId w:val="12"/>
        </w:numPr>
        <w:tabs>
          <w:tab w:pos="1813" w:val="left" w:leader="none"/>
          <w:tab w:pos="1814" w:val="left" w:leader="none"/>
        </w:tabs>
        <w:spacing w:line="240" w:lineRule="auto" w:before="106" w:after="0"/>
        <w:ind w:left="1813" w:right="0" w:hanging="531"/>
        <w:jc w:val="left"/>
        <w:rPr>
          <w:sz w:val="18"/>
        </w:rPr>
      </w:pPr>
      <w:r>
        <w:rPr>
          <w:w w:val="95"/>
          <w:sz w:val="18"/>
        </w:rPr>
        <w:t>没有取得驾驶资格；</w:t>
      </w:r>
    </w:p>
    <w:p>
      <w:pPr>
        <w:pStyle w:val="ListParagraph"/>
        <w:numPr>
          <w:ilvl w:val="2"/>
          <w:numId w:val="12"/>
        </w:numPr>
        <w:tabs>
          <w:tab w:pos="1813" w:val="left" w:leader="none"/>
          <w:tab w:pos="1814" w:val="left" w:leader="none"/>
        </w:tabs>
        <w:spacing w:line="240" w:lineRule="auto" w:before="106" w:after="0"/>
        <w:ind w:left="1813" w:right="0" w:hanging="531"/>
        <w:jc w:val="left"/>
        <w:rPr>
          <w:sz w:val="18"/>
        </w:rPr>
      </w:pPr>
      <w:r>
        <w:rPr>
          <w:w w:val="95"/>
          <w:sz w:val="18"/>
        </w:rPr>
        <w:t>驾驶与驾驶证准驾车型不相符合的车辆；</w:t>
      </w:r>
    </w:p>
    <w:p>
      <w:pPr>
        <w:pStyle w:val="ListParagraph"/>
        <w:numPr>
          <w:ilvl w:val="2"/>
          <w:numId w:val="12"/>
        </w:numPr>
        <w:tabs>
          <w:tab w:pos="1813" w:val="left" w:leader="none"/>
          <w:tab w:pos="1814" w:val="left" w:leader="none"/>
        </w:tabs>
        <w:spacing w:line="240" w:lineRule="auto" w:before="106" w:after="0"/>
        <w:ind w:left="1813" w:right="0" w:hanging="531"/>
        <w:jc w:val="left"/>
        <w:rPr>
          <w:sz w:val="18"/>
        </w:rPr>
      </w:pPr>
      <w:r>
        <w:rPr>
          <w:w w:val="95"/>
          <w:sz w:val="18"/>
        </w:rPr>
        <w:t>持审验不合格的驾驶证驾驶；</w:t>
      </w:r>
    </w:p>
    <w:p>
      <w:pPr>
        <w:pStyle w:val="ListParagraph"/>
        <w:numPr>
          <w:ilvl w:val="2"/>
          <w:numId w:val="12"/>
        </w:numPr>
        <w:tabs>
          <w:tab w:pos="1813" w:val="left" w:leader="none"/>
          <w:tab w:pos="1814" w:val="left" w:leader="none"/>
        </w:tabs>
        <w:spacing w:line="240" w:lineRule="auto" w:before="106" w:after="0"/>
        <w:ind w:left="1813" w:right="0" w:hanging="531"/>
        <w:jc w:val="left"/>
        <w:rPr>
          <w:sz w:val="18"/>
        </w:rPr>
      </w:pPr>
      <w:r>
        <w:rPr>
          <w:sz w:val="18"/>
        </w:rPr>
        <w:t>持学习驾驶证学习驾车时，无教练员随车指导，或不按指定时间、路线学习驾车。</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无有效行驶证：是指下列情形之一：</w:t>
      </w:r>
    </w:p>
    <w:p>
      <w:pPr>
        <w:pStyle w:val="BodyText"/>
        <w:ind w:left="1102"/>
      </w:pPr>
      <w:r>
        <w:rPr/>
        <w:t>（</w:t>
      </w:r>
      <w:r>
        <w:rPr>
          <w:rFonts w:ascii="Arial" w:eastAsia="Arial"/>
        </w:rPr>
        <w:t>1</w:t>
      </w:r>
      <w:r>
        <w:rPr/>
        <w:t>）没有机动车行驶证或已被依法注销登记；</w:t>
      </w:r>
    </w:p>
    <w:p>
      <w:pPr>
        <w:spacing w:after="0"/>
        <w:sectPr>
          <w:pgSz w:w="11910" w:h="16840"/>
          <w:pgMar w:header="672" w:footer="767" w:top="860" w:bottom="960" w:left="880" w:right="740"/>
        </w:sectPr>
      </w:pPr>
    </w:p>
    <w:p>
      <w:pPr>
        <w:pStyle w:val="BodyText"/>
        <w:spacing w:before="12"/>
        <w:ind w:left="0"/>
        <w:rPr>
          <w:sz w:val="13"/>
        </w:rPr>
      </w:pPr>
    </w:p>
    <w:p>
      <w:pPr>
        <w:pStyle w:val="BodyText"/>
        <w:spacing w:before="53"/>
        <w:ind w:left="1102"/>
      </w:pPr>
      <w:r>
        <w:rPr/>
        <w:t>（</w:t>
      </w:r>
      <w:r>
        <w:rPr>
          <w:rFonts w:ascii="Arial" w:eastAsia="Arial"/>
        </w:rPr>
        <w:t>2</w:t>
      </w:r>
      <w:r>
        <w:rPr/>
        <w:t>）未依法按时进行或通过机动车安全技术检验。</w:t>
      </w:r>
    </w:p>
    <w:p>
      <w:pPr>
        <w:pStyle w:val="ListParagraph"/>
        <w:numPr>
          <w:ilvl w:val="1"/>
          <w:numId w:val="12"/>
        </w:numPr>
        <w:tabs>
          <w:tab w:pos="1106" w:val="left" w:leader="none"/>
        </w:tabs>
        <w:spacing w:line="340" w:lineRule="auto" w:before="106" w:after="0"/>
        <w:ind w:left="1078" w:right="361" w:hanging="540"/>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2"/>
        </w:numPr>
        <w:tabs>
          <w:tab w:pos="1131" w:val="left" w:leader="none"/>
          <w:tab w:pos="1132" w:val="left" w:leader="none"/>
        </w:tabs>
        <w:spacing w:line="350" w:lineRule="auto" w:before="41" w:after="0"/>
        <w:ind w:left="1102" w:right="137" w:hanging="631"/>
        <w:jc w:val="left"/>
        <w:rPr>
          <w:sz w:val="18"/>
        </w:rPr>
      </w:pPr>
      <w:r>
        <w:rPr>
          <w:spacing w:val="-2"/>
          <w:sz w:val="18"/>
        </w:rPr>
        <w:t>感染艾滋病病毒或患艾滋病：艾滋病病毒指人类免疫缺陷病毒，英文缩写为 </w:t>
      </w:r>
      <w:r>
        <w:rPr>
          <w:sz w:val="18"/>
        </w:rPr>
        <w:t>HIV</w:t>
      </w:r>
      <w:r>
        <w:rPr>
          <w:spacing w:val="-1"/>
          <w:sz w:val="18"/>
        </w:rPr>
        <w:t>。艾滋病指人类免疫缺陷病毒引起</w:t>
      </w:r>
      <w:r>
        <w:rPr>
          <w:spacing w:val="-4"/>
          <w:sz w:val="18"/>
        </w:rPr>
        <w:t>的获得性免疫缺陷综合征，英文缩写为 </w:t>
      </w:r>
      <w:r>
        <w:rPr>
          <w:sz w:val="18"/>
        </w:rPr>
        <w:t>AIDS</w:t>
      </w:r>
      <w:r>
        <w:rPr>
          <w:spacing w:val="-1"/>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2"/>
        </w:numPr>
        <w:tabs>
          <w:tab w:pos="1131" w:val="left" w:leader="none"/>
          <w:tab w:pos="1132" w:val="left" w:leader="none"/>
        </w:tabs>
        <w:spacing w:line="340" w:lineRule="auto" w:before="34" w:after="0"/>
        <w:ind w:left="1102" w:right="154" w:hanging="631"/>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2"/>
        </w:numPr>
        <w:tabs>
          <w:tab w:pos="1131" w:val="left" w:leader="none"/>
          <w:tab w:pos="1132" w:val="left" w:leader="none"/>
        </w:tabs>
        <w:spacing w:line="340" w:lineRule="auto" w:before="41" w:after="0"/>
        <w:ind w:left="1102" w:right="155" w:hanging="631"/>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先天性畸形、变形或染色体异常：指被保险人出生时就具有的畸形、变形或染色体异常。先天性畸形、变形和染色体异常依照世界卫生组织《疾病和有关健康问题的国际统计分类》（ICD-10）确定。</w:t>
      </w:r>
    </w:p>
    <w:p>
      <w:pPr>
        <w:pStyle w:val="ListParagraph"/>
        <w:numPr>
          <w:ilvl w:val="1"/>
          <w:numId w:val="12"/>
        </w:numPr>
        <w:tabs>
          <w:tab w:pos="1131" w:val="left" w:leader="none"/>
          <w:tab w:pos="1132" w:val="left" w:leader="none"/>
        </w:tabs>
        <w:spacing w:line="340" w:lineRule="auto" w:before="41" w:after="0"/>
        <w:ind w:left="1102" w:right="155" w:hanging="631"/>
        <w:jc w:val="left"/>
        <w:rPr>
          <w:sz w:val="18"/>
        </w:rPr>
      </w:pPr>
      <w:r>
        <w:rPr>
          <w:sz w:val="18"/>
        </w:rPr>
        <w:t>有效身份证件：是指依据法律规定，由有权机构制作颁发的证明身份的证件、文件等，如：居民身份证、户口簿、护照、军人证等。</w:t>
      </w:r>
    </w:p>
    <w:p>
      <w:pPr>
        <w:pStyle w:val="ListParagraph"/>
        <w:numPr>
          <w:ilvl w:val="1"/>
          <w:numId w:val="12"/>
        </w:numPr>
        <w:tabs>
          <w:tab w:pos="1131" w:val="left" w:leader="none"/>
          <w:tab w:pos="1132" w:val="left" w:leader="none"/>
        </w:tabs>
        <w:spacing w:line="240" w:lineRule="auto" w:before="41" w:after="0"/>
        <w:ind w:left="1131" w:right="0" w:hanging="660"/>
        <w:jc w:val="left"/>
        <w:rPr>
          <w:sz w:val="18"/>
        </w:rPr>
      </w:pPr>
      <w:r>
        <w:rPr>
          <w:sz w:val="18"/>
        </w:rPr>
        <w:t>犹豫期：是指您在书面签收保险合同之日起的十五日内（含第十五日）。</w:t>
      </w:r>
    </w:p>
    <w:p>
      <w:pPr>
        <w:pStyle w:val="ListParagraph"/>
        <w:numPr>
          <w:ilvl w:val="1"/>
          <w:numId w:val="12"/>
        </w:numPr>
        <w:tabs>
          <w:tab w:pos="1131" w:val="left" w:leader="none"/>
          <w:tab w:pos="1132" w:val="left" w:leader="none"/>
        </w:tabs>
        <w:spacing w:line="340" w:lineRule="auto" w:before="107" w:after="0"/>
        <w:ind w:left="1102" w:right="153" w:hanging="631"/>
        <w:jc w:val="left"/>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1"/>
          <w:numId w:val="12"/>
        </w:numPr>
        <w:tabs>
          <w:tab w:pos="1131" w:val="left" w:leader="none"/>
          <w:tab w:pos="1132" w:val="left" w:leader="none"/>
        </w:tabs>
        <w:spacing w:line="340" w:lineRule="auto" w:before="41" w:after="0"/>
        <w:ind w:left="1102" w:right="155" w:hanging="631"/>
        <w:jc w:val="left"/>
        <w:rPr>
          <w:sz w:val="18"/>
        </w:rPr>
      </w:pPr>
      <w:r>
        <w:rPr>
          <w:sz w:val="18"/>
        </w:rPr>
        <w:t>肢体机能完全丧失：指肢体的三大关节中的两大关节僵硬，或不能随意识活动。肢体是指包括肩关节的整个上肢或包括髋关节的肢体整个下肢</w:t>
      </w:r>
    </w:p>
    <w:p>
      <w:pPr>
        <w:pStyle w:val="ListParagraph"/>
        <w:numPr>
          <w:ilvl w:val="1"/>
          <w:numId w:val="12"/>
        </w:numPr>
        <w:tabs>
          <w:tab w:pos="1132" w:val="left" w:leader="none"/>
        </w:tabs>
        <w:spacing w:line="348" w:lineRule="auto" w:before="43" w:after="0"/>
        <w:ind w:left="1102" w:right="155" w:hanging="631"/>
        <w:jc w:val="both"/>
        <w:rPr>
          <w:sz w:val="18"/>
        </w:rPr>
      </w:pPr>
      <w:r>
        <w:rPr>
          <w:sz w:val="18"/>
        </w:rPr>
        <w:t>语言能力或咀嚼吞咽能力完全丧失：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1"/>
          <w:numId w:val="12"/>
        </w:numPr>
        <w:tabs>
          <w:tab w:pos="1131" w:val="left" w:leader="none"/>
          <w:tab w:pos="1132" w:val="left" w:leader="none"/>
        </w:tabs>
        <w:spacing w:line="240" w:lineRule="auto" w:before="35" w:after="0"/>
        <w:ind w:left="1131" w:right="0" w:hanging="660"/>
        <w:jc w:val="left"/>
        <w:rPr>
          <w:sz w:val="18"/>
        </w:rPr>
      </w:pPr>
      <w:r>
        <w:rPr>
          <w:sz w:val="18"/>
        </w:rPr>
        <w:t>六项基本日常生活活动指：</w:t>
      </w:r>
    </w:p>
    <w:p>
      <w:pPr>
        <w:pStyle w:val="BodyText"/>
        <w:ind w:left="1112"/>
      </w:pPr>
      <w:r>
        <w:rPr/>
        <w:t>（</w:t>
      </w:r>
      <w:r>
        <w:rPr>
          <w:rFonts w:ascii="Arial" w:eastAsia="Arial"/>
        </w:rPr>
        <w:t>1</w:t>
      </w:r>
      <w:r>
        <w:rPr/>
        <w:t>）穿衣：自己能够穿衣及脱衣；</w:t>
      </w:r>
    </w:p>
    <w:p>
      <w:pPr>
        <w:pStyle w:val="BodyText"/>
        <w:ind w:left="1112"/>
      </w:pPr>
      <w:r>
        <w:rPr/>
        <w:t>（</w:t>
      </w:r>
      <w:r>
        <w:rPr>
          <w:rFonts w:ascii="Arial" w:eastAsia="Arial"/>
        </w:rPr>
        <w:t>2</w:t>
      </w:r>
      <w:r>
        <w:rPr/>
        <w:t>）移动：自己从一个房间到另一个房间；</w:t>
      </w:r>
    </w:p>
    <w:p>
      <w:pPr>
        <w:pStyle w:val="BodyText"/>
        <w:ind w:left="1112"/>
      </w:pPr>
      <w:r>
        <w:rPr/>
        <w:t>（</w:t>
      </w:r>
      <w:r>
        <w:rPr>
          <w:rFonts w:ascii="Arial" w:eastAsia="Arial"/>
        </w:rPr>
        <w:t>3</w:t>
      </w:r>
      <w:r>
        <w:rPr/>
        <w:t>）行动：自己上下床或上下轮椅；</w:t>
      </w:r>
    </w:p>
    <w:p>
      <w:pPr>
        <w:pStyle w:val="BodyText"/>
        <w:spacing w:before="107"/>
        <w:ind w:left="1112"/>
      </w:pPr>
      <w:r>
        <w:rPr/>
        <w:t>（</w:t>
      </w:r>
      <w:r>
        <w:rPr>
          <w:rFonts w:ascii="Arial" w:eastAsia="Arial"/>
        </w:rPr>
        <w:t>4</w:t>
      </w:r>
      <w:r>
        <w:rPr/>
        <w:t>）如厕：自己控制进行大小便；</w:t>
      </w:r>
    </w:p>
    <w:p>
      <w:pPr>
        <w:pStyle w:val="BodyText"/>
        <w:spacing w:before="107"/>
        <w:ind w:left="1112"/>
      </w:pPr>
      <w:r>
        <w:rPr/>
        <w:t>（</w:t>
      </w:r>
      <w:r>
        <w:rPr>
          <w:rFonts w:ascii="Arial" w:eastAsia="Arial"/>
        </w:rPr>
        <w:t>5</w:t>
      </w:r>
      <w:r>
        <w:rPr/>
        <w:t>）进食：自己从已准备好的碗或碟中取食物放入口中；</w:t>
      </w:r>
    </w:p>
    <w:p>
      <w:pPr>
        <w:pStyle w:val="BodyText"/>
        <w:spacing w:before="107"/>
        <w:ind w:left="1112"/>
      </w:pPr>
      <w:r>
        <w:rPr/>
        <w:t>（</w:t>
      </w:r>
      <w:r>
        <w:rPr>
          <w:rFonts w:ascii="Arial" w:eastAsia="Arial"/>
        </w:rPr>
        <w:t>6</w:t>
      </w:r>
      <w:r>
        <w:rPr/>
        <w:t>）洗澡：自己进行淋浴或盆浴</w:t>
      </w:r>
    </w:p>
    <w:p>
      <w:pPr>
        <w:pStyle w:val="ListParagraph"/>
        <w:numPr>
          <w:ilvl w:val="1"/>
          <w:numId w:val="12"/>
        </w:numPr>
        <w:tabs>
          <w:tab w:pos="1131" w:val="left" w:leader="none"/>
          <w:tab w:pos="1132" w:val="left" w:leader="none"/>
        </w:tabs>
        <w:spacing w:line="240" w:lineRule="auto" w:before="104" w:after="0"/>
        <w:ind w:left="1131" w:right="0" w:hanging="660"/>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ListParagraph"/>
        <w:numPr>
          <w:ilvl w:val="1"/>
          <w:numId w:val="12"/>
        </w:numPr>
        <w:tabs>
          <w:tab w:pos="1131" w:val="left" w:leader="none"/>
          <w:tab w:pos="1132" w:val="left" w:leader="none"/>
        </w:tabs>
        <w:spacing w:line="240" w:lineRule="auto" w:before="106" w:after="0"/>
        <w:ind w:left="1131" w:right="0" w:hanging="660"/>
        <w:jc w:val="left"/>
        <w:rPr>
          <w:sz w:val="18"/>
        </w:rPr>
      </w:pPr>
      <w:r>
        <w:rPr>
          <w:sz w:val="18"/>
        </w:rPr>
        <w:t>Metavir</w:t>
      </w:r>
      <w:r>
        <w:rPr>
          <w:spacing w:val="-12"/>
          <w:sz w:val="18"/>
        </w:rPr>
        <w:t> 分级表</w:t>
      </w:r>
    </w:p>
    <w:p>
      <w:pPr>
        <w:pStyle w:val="BodyText"/>
        <w:ind w:left="1102"/>
      </w:pPr>
      <w:r>
        <w:rPr/>
        <w:t>F0：无纤维化</w:t>
      </w:r>
    </w:p>
    <w:p>
      <w:pPr>
        <w:pStyle w:val="BodyText"/>
        <w:spacing w:before="119"/>
        <w:ind w:left="1102"/>
      </w:pPr>
      <w:r>
        <w:rPr/>
        <w:t>F1：肝门束扩大，但未形成间隔</w:t>
      </w:r>
    </w:p>
    <w:p>
      <w:pPr>
        <w:pStyle w:val="BodyText"/>
        <w:spacing w:line="362" w:lineRule="auto" w:before="119"/>
        <w:ind w:left="1102" w:right="6483"/>
      </w:pPr>
      <w:r>
        <w:rPr/>
        <w:t>F2</w:t>
      </w:r>
      <w:r>
        <w:rPr>
          <w:spacing w:val="-1"/>
        </w:rPr>
        <w:t>：肝门束扩大，有小的间隔形成F3：间隔很多，无肝硬化     F4：肝硬化</w:t>
      </w:r>
    </w:p>
    <w:p>
      <w:pPr>
        <w:pStyle w:val="ListParagraph"/>
        <w:numPr>
          <w:ilvl w:val="1"/>
          <w:numId w:val="12"/>
        </w:numPr>
        <w:tabs>
          <w:tab w:pos="1131" w:val="left" w:leader="none"/>
          <w:tab w:pos="1132" w:val="left" w:leader="none"/>
        </w:tabs>
        <w:spacing w:line="240" w:lineRule="auto" w:before="28" w:after="0"/>
        <w:ind w:left="1131" w:right="0" w:hanging="660"/>
        <w:jc w:val="left"/>
        <w:rPr>
          <w:sz w:val="18"/>
        </w:rPr>
      </w:pPr>
      <w:r>
        <w:rPr>
          <w:sz w:val="18"/>
        </w:rPr>
        <w:t>Knodell 肝纤维化标准：</w:t>
      </w:r>
    </w:p>
    <w:p>
      <w:pPr>
        <w:pStyle w:val="BodyText"/>
        <w:spacing w:line="362" w:lineRule="auto" w:before="107"/>
        <w:ind w:left="1102" w:right="856"/>
      </w:pPr>
      <w:r>
        <w:rPr>
          <w:spacing w:val="-7"/>
        </w:rPr>
        <w:t>炎症评分包括 </w:t>
      </w:r>
      <w:r>
        <w:rPr/>
        <w:t>3</w:t>
      </w:r>
      <w:r>
        <w:rPr>
          <w:spacing w:val="-8"/>
        </w:rPr>
        <w:t> 个方面：门周和桥接坏死</w:t>
      </w:r>
      <w:r>
        <w:rPr/>
        <w:t>（0-10</w:t>
      </w:r>
      <w:r>
        <w:rPr>
          <w:spacing w:val="-7"/>
        </w:rPr>
        <w:t> 分)、小叶内退行性变</w:t>
      </w:r>
      <w:r>
        <w:rPr/>
        <w:t>（0-4</w:t>
      </w:r>
      <w:r>
        <w:rPr>
          <w:spacing w:val="-22"/>
        </w:rPr>
        <w:t> 分</w:t>
      </w:r>
      <w:r>
        <w:rPr/>
        <w:t>）</w:t>
      </w:r>
      <w:r>
        <w:rPr>
          <w:spacing w:val="-1"/>
        </w:rPr>
        <w:t>、门脉炎症</w:t>
      </w:r>
      <w:r>
        <w:rPr/>
        <w:t>（0-4</w:t>
      </w:r>
      <w:r>
        <w:rPr>
          <w:spacing w:val="-23"/>
        </w:rPr>
        <w:t> 分</w:t>
      </w:r>
      <w:r>
        <w:rPr/>
        <w:t>）。结果以总分表示：</w:t>
      </w:r>
    </w:p>
    <w:p>
      <w:pPr>
        <w:pStyle w:val="BodyText"/>
        <w:spacing w:before="28"/>
        <w:ind w:left="1102"/>
      </w:pPr>
      <w:r>
        <w:rPr/>
        <w:t>0 分 无炎症;</w:t>
      </w:r>
    </w:p>
    <w:p>
      <w:pPr>
        <w:pStyle w:val="BodyText"/>
        <w:spacing w:before="119"/>
        <w:ind w:left="1102"/>
      </w:pPr>
      <w:r>
        <w:rPr/>
        <w:t>1-4 分 微小炎症;</w:t>
      </w:r>
    </w:p>
    <w:p>
      <w:pPr>
        <w:pStyle w:val="BodyText"/>
        <w:spacing w:before="116"/>
        <w:ind w:left="1102"/>
      </w:pPr>
      <w:r>
        <w:rPr/>
        <w:t>5-8 分 轻度炎症;</w:t>
      </w:r>
    </w:p>
    <w:p>
      <w:pPr>
        <w:pStyle w:val="BodyText"/>
        <w:spacing w:before="119"/>
        <w:ind w:left="1102"/>
      </w:pPr>
      <w:r>
        <w:rPr/>
        <w:t>9-12 分 中度炎症;</w:t>
      </w:r>
    </w:p>
    <w:p>
      <w:pPr>
        <w:spacing w:after="0"/>
        <w:sectPr>
          <w:pgSz w:w="11910" w:h="16840"/>
          <w:pgMar w:header="672" w:footer="767" w:top="860" w:bottom="960" w:left="880" w:right="740"/>
        </w:sectPr>
      </w:pPr>
    </w:p>
    <w:p>
      <w:pPr>
        <w:pStyle w:val="BodyText"/>
        <w:spacing w:before="5"/>
        <w:ind w:left="0"/>
        <w:rPr>
          <w:sz w:val="14"/>
        </w:rPr>
      </w:pPr>
    </w:p>
    <w:p>
      <w:pPr>
        <w:pStyle w:val="BodyText"/>
        <w:spacing w:before="44"/>
        <w:ind w:left="1122"/>
      </w:pPr>
      <w:r>
        <w:rPr/>
        <w:t>13-18 分 显著炎症。</w:t>
      </w:r>
    </w:p>
    <w:p>
      <w:pPr>
        <w:pStyle w:val="BodyText"/>
        <w:spacing w:before="119"/>
        <w:ind w:left="1122"/>
      </w:pPr>
      <w:r>
        <w:rPr/>
        <w:t>纤维化评分为 0-4 分，4 分为纤维化。</w:t>
      </w:r>
    </w:p>
    <w:p>
      <w:pPr>
        <w:pStyle w:val="ListParagraph"/>
        <w:numPr>
          <w:ilvl w:val="1"/>
          <w:numId w:val="12"/>
        </w:numPr>
        <w:tabs>
          <w:tab w:pos="1151" w:val="left" w:leader="none"/>
          <w:tab w:pos="1152" w:val="left" w:leader="none"/>
        </w:tabs>
        <w:spacing w:line="240" w:lineRule="auto" w:before="117" w:after="0"/>
        <w:ind w:left="1151" w:right="0" w:hanging="660"/>
        <w:jc w:val="left"/>
        <w:rPr>
          <w:sz w:val="18"/>
        </w:rPr>
      </w:pPr>
      <w:r>
        <w:rPr>
          <w:sz w:val="18"/>
        </w:rPr>
        <w:t>过敏：指过敏原如食物、药物、花粉、粉尘等导致人体异常的免疫反应，以医院诊断为准。</w:t>
      </w:r>
    </w:p>
    <w:p>
      <w:pPr>
        <w:pStyle w:val="ListParagraph"/>
        <w:numPr>
          <w:ilvl w:val="1"/>
          <w:numId w:val="12"/>
        </w:numPr>
        <w:tabs>
          <w:tab w:pos="1151" w:val="left" w:leader="none"/>
          <w:tab w:pos="1152" w:val="left" w:leader="none"/>
        </w:tabs>
        <w:spacing w:line="240" w:lineRule="auto" w:before="106" w:after="0"/>
        <w:ind w:left="1151" w:right="0" w:hanging="660"/>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48;mso-wrap-distance-left:0;mso-wrap-distance-right:0" from="48.119999pt,12.713243pt" to="575.279999pt,12.713243pt" stroked="true" strokeweight=".48pt" strokecolor="#000000">
            <v:stroke dashstyle="shortdot"/>
            <w10:wrap type="topAndBottom"/>
          </v:line>
        </w:pict>
      </w:r>
    </w:p>
    <w:p>
      <w:pPr>
        <w:spacing w:before="39"/>
        <w:ind w:left="4973" w:right="4976" w:firstLine="0"/>
        <w:jc w:val="center"/>
        <w:rPr>
          <w:sz w:val="20"/>
        </w:rPr>
      </w:pPr>
      <w:r>
        <w:rPr>
          <w:w w:val="95"/>
          <w:sz w:val="20"/>
        </w:rPr>
        <w:t>以下空白</w:t>
      </w:r>
    </w:p>
    <w:sectPr>
      <w:pgSz w:w="11910" w:h="16840"/>
      <w:pgMar w:header="672" w:footer="767" w:top="860" w:bottom="96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337585pt;width:32.7pt;height:11pt;mso-position-horizontal-relative:page;mso-position-vertical-relative:page;z-index:-23824" type="#_x0000_t202" filled="false" stroked="false">
          <v:textbox inset="0,0,0,0">
            <w:txbxContent>
              <w:p>
                <w:pPr>
                  <w:spacing w:before="15"/>
                  <w:ind w:left="20" w:right="0" w:firstLine="0"/>
                  <w:jc w:val="left"/>
                  <w:rPr>
                    <w:rFonts w:ascii="Arial"/>
                    <w:sz w:val="16"/>
                  </w:rPr>
                </w:pPr>
                <w:r>
                  <w:rPr>
                    <w:rFonts w:ascii="Arial"/>
                    <w:sz w:val="16"/>
                  </w:rPr>
                  <w:t>ACI14-C</w:t>
                </w:r>
              </w:p>
            </w:txbxContent>
          </v:textbox>
          <w10:wrap type="none"/>
        </v:shape>
      </w:pict>
    </w:r>
    <w:r>
      <w:rPr/>
      <w:pict>
        <v:shape style="position:absolute;margin-left:423.899994pt;margin-top:792.451416pt;width:117pt;height:10.95pt;mso-position-horizontal-relative:page;mso-position-vertical-relative:page;z-index:-23800" type="#_x0000_t202" filled="false" stroked="false">
          <v:textbox inset="0,0,0,0">
            <w:txbxContent>
              <w:p>
                <w:pPr>
                  <w:spacing w:line="198" w:lineRule="exact" w:before="0"/>
                  <w:ind w:left="20" w:right="0" w:firstLine="0"/>
                  <w:jc w:val="left"/>
                  <w:rPr>
                    <w:sz w:val="16"/>
                  </w:rPr>
                </w:pPr>
                <w:r>
                  <w:rPr>
                    <w:sz w:val="16"/>
                  </w:rPr>
                  <w:t>中美联泰大都会人寿</w:t>
                </w:r>
                <w:r>
                  <w:rPr>
                    <w:rFonts w:ascii="Times New Roman" w:eastAsia="Times New Roman"/>
                    <w:sz w:val="16"/>
                  </w:rPr>
                  <w:t>[2016]343 </w:t>
                </w:r>
                <w:r>
                  <w:rPr>
                    <w:sz w:val="16"/>
                  </w:rPr>
                  <w:t>号</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820007pt;margin-top:34.570618pt;width:122.25pt;height:10.050pt;mso-position-horizontal-relative:page;mso-position-vertical-relative:page;z-index:-2377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820007pt;margin-top:34.570618pt;width:122.25pt;height:10.050pt;mso-position-horizontal-relative:page;mso-position-vertical-relative:page;z-index:-23752"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4"/>
      <w:numFmt w:val="decimal"/>
      <w:lvlText w:val="%1"/>
      <w:lvlJc w:val="left"/>
      <w:pPr>
        <w:ind w:left="1105" w:hanging="567"/>
        <w:jc w:val="left"/>
      </w:pPr>
      <w:rPr>
        <w:rFonts w:hint="default"/>
      </w:rPr>
    </w:lvl>
    <w:lvl w:ilvl="1">
      <w:start w:val="1"/>
      <w:numFmt w:val="decimal"/>
      <w:lvlText w:val="%1.%2"/>
      <w:lvlJc w:val="left"/>
      <w:pPr>
        <w:ind w:left="1105" w:hanging="567"/>
        <w:jc w:val="right"/>
      </w:pPr>
      <w:rPr>
        <w:rFonts w:hint="default" w:ascii="Arial" w:hAnsi="Arial" w:eastAsia="Arial" w:cs="Arial"/>
        <w:spacing w:val="-1"/>
        <w:w w:val="99"/>
        <w:sz w:val="18"/>
        <w:szCs w:val="18"/>
      </w:rPr>
    </w:lvl>
    <w:lvl w:ilvl="2">
      <w:start w:val="1"/>
      <w:numFmt w:val="decimal"/>
      <w:lvlText w:val="(%3)"/>
      <w:lvlJc w:val="left"/>
      <w:pPr>
        <w:ind w:left="1671" w:hanging="531"/>
        <w:jc w:val="left"/>
      </w:pPr>
      <w:rPr>
        <w:rFonts w:hint="default" w:ascii="Arial" w:hAnsi="Arial" w:eastAsia="Arial" w:cs="Arial"/>
        <w:w w:val="99"/>
        <w:sz w:val="18"/>
        <w:szCs w:val="18"/>
      </w:rPr>
    </w:lvl>
    <w:lvl w:ilvl="3">
      <w:start w:val="0"/>
      <w:numFmt w:val="bullet"/>
      <w:lvlText w:val="•"/>
      <w:lvlJc w:val="left"/>
      <w:pPr>
        <w:ind w:left="2878" w:hanging="531"/>
      </w:pPr>
      <w:rPr>
        <w:rFonts w:hint="default"/>
      </w:rPr>
    </w:lvl>
    <w:lvl w:ilvl="4">
      <w:start w:val="0"/>
      <w:numFmt w:val="bullet"/>
      <w:lvlText w:val="•"/>
      <w:lvlJc w:val="left"/>
      <w:pPr>
        <w:ind w:left="3937" w:hanging="531"/>
      </w:pPr>
      <w:rPr>
        <w:rFonts w:hint="default"/>
      </w:rPr>
    </w:lvl>
    <w:lvl w:ilvl="5">
      <w:start w:val="0"/>
      <w:numFmt w:val="bullet"/>
      <w:lvlText w:val="•"/>
      <w:lvlJc w:val="left"/>
      <w:pPr>
        <w:ind w:left="4995" w:hanging="531"/>
      </w:pPr>
      <w:rPr>
        <w:rFonts w:hint="default"/>
      </w:rPr>
    </w:lvl>
    <w:lvl w:ilvl="6">
      <w:start w:val="0"/>
      <w:numFmt w:val="bullet"/>
      <w:lvlText w:val="•"/>
      <w:lvlJc w:val="left"/>
      <w:pPr>
        <w:ind w:left="6054" w:hanging="531"/>
      </w:pPr>
      <w:rPr>
        <w:rFonts w:hint="default"/>
      </w:rPr>
    </w:lvl>
    <w:lvl w:ilvl="7">
      <w:start w:val="0"/>
      <w:numFmt w:val="bullet"/>
      <w:lvlText w:val="•"/>
      <w:lvlJc w:val="left"/>
      <w:pPr>
        <w:ind w:left="7113" w:hanging="531"/>
      </w:pPr>
      <w:rPr>
        <w:rFonts w:hint="default"/>
      </w:rPr>
    </w:lvl>
    <w:lvl w:ilvl="8">
      <w:start w:val="0"/>
      <w:numFmt w:val="bullet"/>
      <w:lvlText w:val="•"/>
      <w:lvlJc w:val="left"/>
      <w:pPr>
        <w:ind w:left="8171" w:hanging="531"/>
      </w:pPr>
      <w:rPr>
        <w:rFonts w:hint="default"/>
      </w:rPr>
    </w:lvl>
  </w:abstractNum>
  <w:abstractNum w:abstractNumId="10">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618" w:hanging="567"/>
      </w:pPr>
      <w:rPr>
        <w:rFonts w:hint="default"/>
      </w:rPr>
    </w:lvl>
    <w:lvl w:ilvl="3">
      <w:start w:val="0"/>
      <w:numFmt w:val="bullet"/>
      <w:lvlText w:val="•"/>
      <w:lvlJc w:val="left"/>
      <w:pPr>
        <w:ind w:left="3577" w:hanging="567"/>
      </w:pPr>
      <w:rPr>
        <w:rFonts w:hint="default"/>
      </w:rPr>
    </w:lvl>
    <w:lvl w:ilvl="4">
      <w:start w:val="0"/>
      <w:numFmt w:val="bullet"/>
      <w:lvlText w:val="•"/>
      <w:lvlJc w:val="left"/>
      <w:pPr>
        <w:ind w:left="4536" w:hanging="567"/>
      </w:pPr>
      <w:rPr>
        <w:rFonts w:hint="default"/>
      </w:rPr>
    </w:lvl>
    <w:lvl w:ilvl="5">
      <w:start w:val="0"/>
      <w:numFmt w:val="bullet"/>
      <w:lvlText w:val="•"/>
      <w:lvlJc w:val="left"/>
      <w:pPr>
        <w:ind w:left="5495" w:hanging="567"/>
      </w:pPr>
      <w:rPr>
        <w:rFonts w:hint="default"/>
      </w:rPr>
    </w:lvl>
    <w:lvl w:ilvl="6">
      <w:start w:val="0"/>
      <w:numFmt w:val="bullet"/>
      <w:lvlText w:val="•"/>
      <w:lvlJc w:val="left"/>
      <w:pPr>
        <w:ind w:left="6453" w:hanging="567"/>
      </w:pPr>
      <w:rPr>
        <w:rFonts w:hint="default"/>
      </w:rPr>
    </w:lvl>
    <w:lvl w:ilvl="7">
      <w:start w:val="0"/>
      <w:numFmt w:val="bullet"/>
      <w:lvlText w:val="•"/>
      <w:lvlJc w:val="left"/>
      <w:pPr>
        <w:ind w:left="7412" w:hanging="567"/>
      </w:pPr>
      <w:rPr>
        <w:rFonts w:hint="default"/>
      </w:rPr>
    </w:lvl>
    <w:lvl w:ilvl="8">
      <w:start w:val="0"/>
      <w:numFmt w:val="bullet"/>
      <w:lvlText w:val="•"/>
      <w:lvlJc w:val="left"/>
      <w:pPr>
        <w:ind w:left="8371" w:hanging="567"/>
      </w:pPr>
      <w:rPr>
        <w:rFonts w:hint="default"/>
      </w:rPr>
    </w:lvl>
  </w:abstractNum>
  <w:abstractNum w:abstractNumId="9">
    <w:multiLevelType w:val="hybridMultilevel"/>
    <w:lvl w:ilvl="0">
      <w:start w:val="1"/>
      <w:numFmt w:val="decimal"/>
      <w:lvlText w:val="（%1）"/>
      <w:lvlJc w:val="left"/>
      <w:pPr>
        <w:ind w:left="1623" w:hanging="512"/>
        <w:jc w:val="left"/>
      </w:pPr>
      <w:rPr>
        <w:rFonts w:hint="default" w:ascii="宋体" w:hAnsi="宋体" w:eastAsia="宋体" w:cs="宋体"/>
        <w:spacing w:val="-1"/>
        <w:w w:val="99"/>
        <w:sz w:val="18"/>
        <w:szCs w:val="18"/>
      </w:rPr>
    </w:lvl>
    <w:lvl w:ilvl="1">
      <w:start w:val="0"/>
      <w:numFmt w:val="bullet"/>
      <w:lvlText w:val="•"/>
      <w:lvlJc w:val="left"/>
      <w:pPr>
        <w:ind w:left="2486" w:hanging="512"/>
      </w:pPr>
      <w:rPr>
        <w:rFonts w:hint="default"/>
      </w:rPr>
    </w:lvl>
    <w:lvl w:ilvl="2">
      <w:start w:val="0"/>
      <w:numFmt w:val="bullet"/>
      <w:lvlText w:val="•"/>
      <w:lvlJc w:val="left"/>
      <w:pPr>
        <w:ind w:left="3353" w:hanging="512"/>
      </w:pPr>
      <w:rPr>
        <w:rFonts w:hint="default"/>
      </w:rPr>
    </w:lvl>
    <w:lvl w:ilvl="3">
      <w:start w:val="0"/>
      <w:numFmt w:val="bullet"/>
      <w:lvlText w:val="•"/>
      <w:lvlJc w:val="left"/>
      <w:pPr>
        <w:ind w:left="4220" w:hanging="512"/>
      </w:pPr>
      <w:rPr>
        <w:rFonts w:hint="default"/>
      </w:rPr>
    </w:lvl>
    <w:lvl w:ilvl="4">
      <w:start w:val="0"/>
      <w:numFmt w:val="bullet"/>
      <w:lvlText w:val="•"/>
      <w:lvlJc w:val="left"/>
      <w:pPr>
        <w:ind w:left="5087" w:hanging="512"/>
      </w:pPr>
      <w:rPr>
        <w:rFonts w:hint="default"/>
      </w:rPr>
    </w:lvl>
    <w:lvl w:ilvl="5">
      <w:start w:val="0"/>
      <w:numFmt w:val="bullet"/>
      <w:lvlText w:val="•"/>
      <w:lvlJc w:val="left"/>
      <w:pPr>
        <w:ind w:left="5954" w:hanging="512"/>
      </w:pPr>
      <w:rPr>
        <w:rFonts w:hint="default"/>
      </w:rPr>
    </w:lvl>
    <w:lvl w:ilvl="6">
      <w:start w:val="0"/>
      <w:numFmt w:val="bullet"/>
      <w:lvlText w:val="•"/>
      <w:lvlJc w:val="left"/>
      <w:pPr>
        <w:ind w:left="6821" w:hanging="512"/>
      </w:pPr>
      <w:rPr>
        <w:rFonts w:hint="default"/>
      </w:rPr>
    </w:lvl>
    <w:lvl w:ilvl="7">
      <w:start w:val="0"/>
      <w:numFmt w:val="bullet"/>
      <w:lvlText w:val="•"/>
      <w:lvlJc w:val="left"/>
      <w:pPr>
        <w:ind w:left="7688" w:hanging="512"/>
      </w:pPr>
      <w:rPr>
        <w:rFonts w:hint="default"/>
      </w:rPr>
    </w:lvl>
    <w:lvl w:ilvl="8">
      <w:start w:val="0"/>
      <w:numFmt w:val="bullet"/>
      <w:lvlText w:val="•"/>
      <w:lvlJc w:val="left"/>
      <w:pPr>
        <w:ind w:left="8555" w:hanging="512"/>
      </w:pPr>
      <w:rPr>
        <w:rFonts w:hint="default"/>
      </w:rPr>
    </w:lvl>
  </w:abstractNum>
  <w:abstractNum w:abstractNumId="8">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530" w:hanging="425"/>
        <w:jc w:val="left"/>
      </w:pPr>
      <w:rPr>
        <w:rFonts w:hint="default"/>
        <w:w w:val="99"/>
      </w:rPr>
    </w:lvl>
    <w:lvl w:ilvl="3">
      <w:start w:val="0"/>
      <w:numFmt w:val="bullet"/>
      <w:lvlText w:val="•"/>
      <w:lvlJc w:val="left"/>
      <w:pPr>
        <w:ind w:left="1560" w:hanging="425"/>
      </w:pPr>
      <w:rPr>
        <w:rFonts w:hint="default"/>
      </w:rPr>
    </w:lvl>
    <w:lvl w:ilvl="4">
      <w:start w:val="0"/>
      <w:numFmt w:val="bullet"/>
      <w:lvlText w:val="•"/>
      <w:lvlJc w:val="left"/>
      <w:pPr>
        <w:ind w:left="2806" w:hanging="425"/>
      </w:pPr>
      <w:rPr>
        <w:rFonts w:hint="default"/>
      </w:rPr>
    </w:lvl>
    <w:lvl w:ilvl="5">
      <w:start w:val="0"/>
      <w:numFmt w:val="bullet"/>
      <w:lvlText w:val="•"/>
      <w:lvlJc w:val="left"/>
      <w:pPr>
        <w:ind w:left="4053" w:hanging="425"/>
      </w:pPr>
      <w:rPr>
        <w:rFonts w:hint="default"/>
      </w:rPr>
    </w:lvl>
    <w:lvl w:ilvl="6">
      <w:start w:val="0"/>
      <w:numFmt w:val="bullet"/>
      <w:lvlText w:val="•"/>
      <w:lvlJc w:val="left"/>
      <w:pPr>
        <w:ind w:left="5300" w:hanging="425"/>
      </w:pPr>
      <w:rPr>
        <w:rFonts w:hint="default"/>
      </w:rPr>
    </w:lvl>
    <w:lvl w:ilvl="7">
      <w:start w:val="0"/>
      <w:numFmt w:val="bullet"/>
      <w:lvlText w:val="•"/>
      <w:lvlJc w:val="left"/>
      <w:pPr>
        <w:ind w:left="6547" w:hanging="425"/>
      </w:pPr>
      <w:rPr>
        <w:rFonts w:hint="default"/>
      </w:rPr>
    </w:lvl>
    <w:lvl w:ilvl="8">
      <w:start w:val="0"/>
      <w:numFmt w:val="bullet"/>
      <w:lvlText w:val="•"/>
      <w:lvlJc w:val="left"/>
      <w:pPr>
        <w:ind w:left="7794" w:hanging="425"/>
      </w:pPr>
      <w:rPr>
        <w:rFonts w:hint="default"/>
      </w:rPr>
    </w:lvl>
  </w:abstractNum>
  <w:abstractNum w:abstractNumId="7">
    <w:multiLevelType w:val="hybridMultilevel"/>
    <w:lvl w:ilvl="0">
      <w:start w:val="11"/>
      <w:numFmt w:val="decimal"/>
      <w:lvlText w:val="%1"/>
      <w:lvlJc w:val="left"/>
      <w:pPr>
        <w:ind w:left="1105" w:hanging="569"/>
        <w:jc w:val="left"/>
      </w:pPr>
      <w:rPr>
        <w:rFonts w:hint="default"/>
      </w:rPr>
    </w:lvl>
    <w:lvl w:ilvl="1">
      <w:start w:val="1"/>
      <w:numFmt w:val="decimal"/>
      <w:lvlText w:val="%1.%2"/>
      <w:lvlJc w:val="left"/>
      <w:pPr>
        <w:ind w:left="1105" w:hanging="569"/>
        <w:jc w:val="left"/>
      </w:pPr>
      <w:rPr>
        <w:rFonts w:hint="default" w:ascii="Arial" w:hAnsi="Arial" w:eastAsia="Arial" w:cs="Arial"/>
        <w:spacing w:val="-1"/>
        <w:w w:val="99"/>
        <w:sz w:val="18"/>
        <w:szCs w:val="18"/>
      </w:rPr>
    </w:lvl>
    <w:lvl w:ilvl="2">
      <w:start w:val="1"/>
      <w:numFmt w:val="decimal"/>
      <w:lvlText w:val="(%3)"/>
      <w:lvlJc w:val="left"/>
      <w:pPr>
        <w:ind w:left="1530" w:hanging="449"/>
        <w:jc w:val="right"/>
      </w:pPr>
      <w:rPr>
        <w:rFonts w:hint="default" w:ascii="Arial" w:hAnsi="Arial" w:eastAsia="Arial" w:cs="Arial"/>
        <w:w w:val="99"/>
        <w:sz w:val="18"/>
        <w:szCs w:val="18"/>
      </w:rPr>
    </w:lvl>
    <w:lvl w:ilvl="3">
      <w:start w:val="0"/>
      <w:numFmt w:val="bullet"/>
      <w:lvlText w:val="•"/>
      <w:lvlJc w:val="left"/>
      <w:pPr>
        <w:ind w:left="3484" w:hanging="449"/>
      </w:pPr>
      <w:rPr>
        <w:rFonts w:hint="default"/>
      </w:rPr>
    </w:lvl>
    <w:lvl w:ilvl="4">
      <w:start w:val="0"/>
      <w:numFmt w:val="bullet"/>
      <w:lvlText w:val="•"/>
      <w:lvlJc w:val="left"/>
      <w:pPr>
        <w:ind w:left="4456" w:hanging="449"/>
      </w:pPr>
      <w:rPr>
        <w:rFonts w:hint="default"/>
      </w:rPr>
    </w:lvl>
    <w:lvl w:ilvl="5">
      <w:start w:val="0"/>
      <w:numFmt w:val="bullet"/>
      <w:lvlText w:val="•"/>
      <w:lvlJc w:val="left"/>
      <w:pPr>
        <w:ind w:left="5428" w:hanging="449"/>
      </w:pPr>
      <w:rPr>
        <w:rFonts w:hint="default"/>
      </w:rPr>
    </w:lvl>
    <w:lvl w:ilvl="6">
      <w:start w:val="0"/>
      <w:numFmt w:val="bullet"/>
      <w:lvlText w:val="•"/>
      <w:lvlJc w:val="left"/>
      <w:pPr>
        <w:ind w:left="6400" w:hanging="449"/>
      </w:pPr>
      <w:rPr>
        <w:rFonts w:hint="default"/>
      </w:rPr>
    </w:lvl>
    <w:lvl w:ilvl="7">
      <w:start w:val="0"/>
      <w:numFmt w:val="bullet"/>
      <w:lvlText w:val="•"/>
      <w:lvlJc w:val="left"/>
      <w:pPr>
        <w:ind w:left="7372" w:hanging="449"/>
      </w:pPr>
      <w:rPr>
        <w:rFonts w:hint="default"/>
      </w:rPr>
    </w:lvl>
    <w:lvl w:ilvl="8">
      <w:start w:val="0"/>
      <w:numFmt w:val="bullet"/>
      <w:lvlText w:val="•"/>
      <w:lvlJc w:val="left"/>
      <w:pPr>
        <w:ind w:left="8344" w:hanging="449"/>
      </w:pPr>
      <w:rPr>
        <w:rFonts w:hint="default"/>
      </w:rPr>
    </w:lvl>
  </w:abstractNum>
  <w:abstractNum w:abstractNumId="6">
    <w:multiLevelType w:val="hybridMultilevel"/>
    <w:lvl w:ilvl="0">
      <w:start w:val="10"/>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530" w:hanging="449"/>
        <w:jc w:val="left"/>
      </w:pPr>
      <w:rPr>
        <w:rFonts w:hint="default" w:ascii="Arial" w:hAnsi="Arial" w:eastAsia="Arial" w:cs="Arial"/>
        <w:w w:val="99"/>
        <w:sz w:val="18"/>
        <w:szCs w:val="18"/>
      </w:rPr>
    </w:lvl>
    <w:lvl w:ilvl="3">
      <w:start w:val="0"/>
      <w:numFmt w:val="bullet"/>
      <w:lvlText w:val="•"/>
      <w:lvlJc w:val="left"/>
      <w:pPr>
        <w:ind w:left="3484" w:hanging="449"/>
      </w:pPr>
      <w:rPr>
        <w:rFonts w:hint="default"/>
      </w:rPr>
    </w:lvl>
    <w:lvl w:ilvl="4">
      <w:start w:val="0"/>
      <w:numFmt w:val="bullet"/>
      <w:lvlText w:val="•"/>
      <w:lvlJc w:val="left"/>
      <w:pPr>
        <w:ind w:left="4456" w:hanging="449"/>
      </w:pPr>
      <w:rPr>
        <w:rFonts w:hint="default"/>
      </w:rPr>
    </w:lvl>
    <w:lvl w:ilvl="5">
      <w:start w:val="0"/>
      <w:numFmt w:val="bullet"/>
      <w:lvlText w:val="•"/>
      <w:lvlJc w:val="left"/>
      <w:pPr>
        <w:ind w:left="5428" w:hanging="449"/>
      </w:pPr>
      <w:rPr>
        <w:rFonts w:hint="default"/>
      </w:rPr>
    </w:lvl>
    <w:lvl w:ilvl="6">
      <w:start w:val="0"/>
      <w:numFmt w:val="bullet"/>
      <w:lvlText w:val="•"/>
      <w:lvlJc w:val="left"/>
      <w:pPr>
        <w:ind w:left="6400" w:hanging="449"/>
      </w:pPr>
      <w:rPr>
        <w:rFonts w:hint="default"/>
      </w:rPr>
    </w:lvl>
    <w:lvl w:ilvl="7">
      <w:start w:val="0"/>
      <w:numFmt w:val="bullet"/>
      <w:lvlText w:val="•"/>
      <w:lvlJc w:val="left"/>
      <w:pPr>
        <w:ind w:left="7372" w:hanging="449"/>
      </w:pPr>
      <w:rPr>
        <w:rFonts w:hint="default"/>
      </w:rPr>
    </w:lvl>
    <w:lvl w:ilvl="8">
      <w:start w:val="0"/>
      <w:numFmt w:val="bullet"/>
      <w:lvlText w:val="•"/>
      <w:lvlJc w:val="left"/>
      <w:pPr>
        <w:ind w:left="8344" w:hanging="449"/>
      </w:pPr>
      <w:rPr>
        <w:rFonts w:hint="default"/>
      </w:rPr>
    </w:lvl>
  </w:abstractNum>
  <w:abstractNum w:abstractNumId="5">
    <w:multiLevelType w:val="hybridMultilevel"/>
    <w:lvl w:ilvl="0">
      <w:start w:val="8"/>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551" w:hanging="447"/>
        <w:jc w:val="left"/>
      </w:pPr>
      <w:rPr>
        <w:rFonts w:hint="default" w:ascii="Arial" w:hAnsi="Arial" w:eastAsia="Arial" w:cs="Arial"/>
        <w:w w:val="99"/>
        <w:sz w:val="18"/>
        <w:szCs w:val="18"/>
      </w:rPr>
    </w:lvl>
    <w:lvl w:ilvl="3">
      <w:start w:val="0"/>
      <w:numFmt w:val="bullet"/>
      <w:lvlText w:val="•"/>
      <w:lvlJc w:val="left"/>
      <w:pPr>
        <w:ind w:left="3499" w:hanging="447"/>
      </w:pPr>
      <w:rPr>
        <w:rFonts w:hint="default"/>
      </w:rPr>
    </w:lvl>
    <w:lvl w:ilvl="4">
      <w:start w:val="0"/>
      <w:numFmt w:val="bullet"/>
      <w:lvlText w:val="•"/>
      <w:lvlJc w:val="left"/>
      <w:pPr>
        <w:ind w:left="4469" w:hanging="447"/>
      </w:pPr>
      <w:rPr>
        <w:rFonts w:hint="default"/>
      </w:rPr>
    </w:lvl>
    <w:lvl w:ilvl="5">
      <w:start w:val="0"/>
      <w:numFmt w:val="bullet"/>
      <w:lvlText w:val="•"/>
      <w:lvlJc w:val="left"/>
      <w:pPr>
        <w:ind w:left="5439" w:hanging="447"/>
      </w:pPr>
      <w:rPr>
        <w:rFonts w:hint="default"/>
      </w:rPr>
    </w:lvl>
    <w:lvl w:ilvl="6">
      <w:start w:val="0"/>
      <w:numFmt w:val="bullet"/>
      <w:lvlText w:val="•"/>
      <w:lvlJc w:val="left"/>
      <w:pPr>
        <w:ind w:left="6409" w:hanging="447"/>
      </w:pPr>
      <w:rPr>
        <w:rFonts w:hint="default"/>
      </w:rPr>
    </w:lvl>
    <w:lvl w:ilvl="7">
      <w:start w:val="0"/>
      <w:numFmt w:val="bullet"/>
      <w:lvlText w:val="•"/>
      <w:lvlJc w:val="left"/>
      <w:pPr>
        <w:ind w:left="7379" w:hanging="447"/>
      </w:pPr>
      <w:rPr>
        <w:rFonts w:hint="default"/>
      </w:rPr>
    </w:lvl>
    <w:lvl w:ilvl="8">
      <w:start w:val="0"/>
      <w:numFmt w:val="bullet"/>
      <w:lvlText w:val="•"/>
      <w:lvlJc w:val="left"/>
      <w:pPr>
        <w:ind w:left="8349" w:hanging="447"/>
      </w:pPr>
      <w:rPr>
        <w:rFonts w:hint="default"/>
      </w:rPr>
    </w:lvl>
  </w:abstractNum>
  <w:abstractNum w:abstractNumId="4">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551" w:hanging="416"/>
        <w:jc w:val="left"/>
      </w:pPr>
      <w:rPr>
        <w:rFonts w:hint="default" w:ascii="Arial" w:hAnsi="Arial" w:eastAsia="Arial" w:cs="Arial"/>
        <w:spacing w:val="-6"/>
        <w:w w:val="99"/>
        <w:sz w:val="18"/>
        <w:szCs w:val="18"/>
      </w:rPr>
    </w:lvl>
    <w:lvl w:ilvl="3">
      <w:start w:val="0"/>
      <w:numFmt w:val="bullet"/>
      <w:lvlText w:val="•"/>
      <w:lvlJc w:val="left"/>
      <w:pPr>
        <w:ind w:left="3499" w:hanging="416"/>
      </w:pPr>
      <w:rPr>
        <w:rFonts w:hint="default"/>
      </w:rPr>
    </w:lvl>
    <w:lvl w:ilvl="4">
      <w:start w:val="0"/>
      <w:numFmt w:val="bullet"/>
      <w:lvlText w:val="•"/>
      <w:lvlJc w:val="left"/>
      <w:pPr>
        <w:ind w:left="4469" w:hanging="416"/>
      </w:pPr>
      <w:rPr>
        <w:rFonts w:hint="default"/>
      </w:rPr>
    </w:lvl>
    <w:lvl w:ilvl="5">
      <w:start w:val="0"/>
      <w:numFmt w:val="bullet"/>
      <w:lvlText w:val="•"/>
      <w:lvlJc w:val="left"/>
      <w:pPr>
        <w:ind w:left="5439" w:hanging="416"/>
      </w:pPr>
      <w:rPr>
        <w:rFonts w:hint="default"/>
      </w:rPr>
    </w:lvl>
    <w:lvl w:ilvl="6">
      <w:start w:val="0"/>
      <w:numFmt w:val="bullet"/>
      <w:lvlText w:val="•"/>
      <w:lvlJc w:val="left"/>
      <w:pPr>
        <w:ind w:left="6409" w:hanging="416"/>
      </w:pPr>
      <w:rPr>
        <w:rFonts w:hint="default"/>
      </w:rPr>
    </w:lvl>
    <w:lvl w:ilvl="7">
      <w:start w:val="0"/>
      <w:numFmt w:val="bullet"/>
      <w:lvlText w:val="•"/>
      <w:lvlJc w:val="left"/>
      <w:pPr>
        <w:ind w:left="7379" w:hanging="416"/>
      </w:pPr>
      <w:rPr>
        <w:rFonts w:hint="default"/>
      </w:rPr>
    </w:lvl>
    <w:lvl w:ilvl="8">
      <w:start w:val="0"/>
      <w:numFmt w:val="bullet"/>
      <w:lvlText w:val="•"/>
      <w:lvlJc w:val="left"/>
      <w:pPr>
        <w:ind w:left="8349" w:hanging="416"/>
      </w:pPr>
      <w:rPr>
        <w:rFonts w:hint="default"/>
      </w:rPr>
    </w:lvl>
  </w:abstractNum>
  <w:abstractNum w:abstractNumId="3">
    <w:multiLevelType w:val="hybridMultilevel"/>
    <w:lvl w:ilvl="0">
      <w:start w:val="5"/>
      <w:numFmt w:val="decimal"/>
      <w:lvlText w:val="%1"/>
      <w:lvlJc w:val="left"/>
      <w:pPr>
        <w:ind w:left="1047" w:hanging="562"/>
        <w:jc w:val="left"/>
      </w:pPr>
      <w:rPr>
        <w:rFonts w:hint="default"/>
      </w:rPr>
    </w:lvl>
    <w:lvl w:ilvl="1">
      <w:start w:val="1"/>
      <w:numFmt w:val="decimal"/>
      <w:lvlText w:val="%1.%2"/>
      <w:lvlJc w:val="left"/>
      <w:pPr>
        <w:ind w:left="1047" w:hanging="562"/>
        <w:jc w:val="left"/>
      </w:pPr>
      <w:rPr>
        <w:rFonts w:hint="default" w:ascii="Arial" w:hAnsi="Arial" w:eastAsia="Arial" w:cs="Arial"/>
        <w:spacing w:val="-1"/>
        <w:w w:val="99"/>
        <w:sz w:val="18"/>
        <w:szCs w:val="18"/>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2">
    <w:multiLevelType w:val="hybridMultilevel"/>
    <w:lvl w:ilvl="0">
      <w:start w:val="4"/>
      <w:numFmt w:val="decimal"/>
      <w:lvlText w:val="%1"/>
      <w:lvlJc w:val="left"/>
      <w:pPr>
        <w:ind w:left="1551" w:hanging="480"/>
        <w:jc w:val="left"/>
      </w:pPr>
      <w:rPr>
        <w:rFonts w:hint="default"/>
      </w:rPr>
    </w:lvl>
    <w:lvl w:ilvl="1">
      <w:start w:val="1"/>
      <w:numFmt w:val="decimal"/>
      <w:lvlText w:val="%1.%2"/>
      <w:lvlJc w:val="left"/>
      <w:pPr>
        <w:ind w:left="1551" w:hanging="480"/>
        <w:jc w:val="left"/>
      </w:pPr>
      <w:rPr>
        <w:rFonts w:hint="default"/>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0"/>
      <w:numFmt w:val="bullet"/>
      <w:lvlText w:val="•"/>
      <w:lvlJc w:val="left"/>
      <w:pPr>
        <w:ind w:left="4178" w:hanging="480"/>
      </w:pPr>
      <w:rPr>
        <w:rFonts w:hint="default"/>
      </w:rPr>
    </w:lvl>
    <w:lvl w:ilvl="4">
      <w:start w:val="0"/>
      <w:numFmt w:val="bullet"/>
      <w:lvlText w:val="•"/>
      <w:lvlJc w:val="left"/>
      <w:pPr>
        <w:ind w:left="5051" w:hanging="480"/>
      </w:pPr>
      <w:rPr>
        <w:rFonts w:hint="default"/>
      </w:rPr>
    </w:lvl>
    <w:lvl w:ilvl="5">
      <w:start w:val="0"/>
      <w:numFmt w:val="bullet"/>
      <w:lvlText w:val="•"/>
      <w:lvlJc w:val="left"/>
      <w:pPr>
        <w:ind w:left="5924" w:hanging="480"/>
      </w:pPr>
      <w:rPr>
        <w:rFonts w:hint="default"/>
      </w:rPr>
    </w:lvl>
    <w:lvl w:ilvl="6">
      <w:start w:val="0"/>
      <w:numFmt w:val="bullet"/>
      <w:lvlText w:val="•"/>
      <w:lvlJc w:val="left"/>
      <w:pPr>
        <w:ind w:left="6797" w:hanging="480"/>
      </w:pPr>
      <w:rPr>
        <w:rFonts w:hint="default"/>
      </w:rPr>
    </w:lvl>
    <w:lvl w:ilvl="7">
      <w:start w:val="0"/>
      <w:numFmt w:val="bullet"/>
      <w:lvlText w:val="•"/>
      <w:lvlJc w:val="left"/>
      <w:pPr>
        <w:ind w:left="7670" w:hanging="480"/>
      </w:pPr>
      <w:rPr>
        <w:rFonts w:hint="default"/>
      </w:rPr>
    </w:lvl>
    <w:lvl w:ilvl="8">
      <w:start w:val="0"/>
      <w:numFmt w:val="bullet"/>
      <w:lvlText w:val="•"/>
      <w:lvlJc w:val="left"/>
      <w:pPr>
        <w:ind w:left="8543" w:hanging="480"/>
      </w:pPr>
      <w:rPr>
        <w:rFonts w:hint="default"/>
      </w:rPr>
    </w:lvl>
  </w:abstractNum>
  <w:abstractNum w:abstractNumId="1">
    <w:multiLevelType w:val="hybridMultilevel"/>
    <w:lvl w:ilvl="0">
      <w:start w:val="4"/>
      <w:numFmt w:val="decimal"/>
      <w:lvlText w:val="%1"/>
      <w:lvlJc w:val="left"/>
      <w:pPr>
        <w:ind w:left="1105" w:hanging="548"/>
        <w:jc w:val="left"/>
      </w:pPr>
      <w:rPr>
        <w:rFonts w:hint="default"/>
      </w:rPr>
    </w:lvl>
    <w:lvl w:ilvl="1">
      <w:start w:val="1"/>
      <w:numFmt w:val="decimal"/>
      <w:lvlText w:val="%1.%2"/>
      <w:lvlJc w:val="left"/>
      <w:pPr>
        <w:ind w:left="1105" w:hanging="548"/>
        <w:jc w:val="left"/>
      </w:pPr>
      <w:rPr>
        <w:rFonts w:hint="default" w:ascii="Arial" w:hAnsi="Arial" w:eastAsia="Arial" w:cs="Arial"/>
        <w:w w:val="99"/>
        <w:sz w:val="18"/>
        <w:szCs w:val="18"/>
      </w:rPr>
    </w:lvl>
    <w:lvl w:ilvl="2">
      <w:start w:val="0"/>
      <w:numFmt w:val="bullet"/>
      <w:lvlText w:val="•"/>
      <w:lvlJc w:val="left"/>
      <w:pPr>
        <w:ind w:left="2937" w:hanging="548"/>
      </w:pPr>
      <w:rPr>
        <w:rFonts w:hint="default"/>
      </w:rPr>
    </w:lvl>
    <w:lvl w:ilvl="3">
      <w:start w:val="0"/>
      <w:numFmt w:val="bullet"/>
      <w:lvlText w:val="•"/>
      <w:lvlJc w:val="left"/>
      <w:pPr>
        <w:ind w:left="3856" w:hanging="548"/>
      </w:pPr>
      <w:rPr>
        <w:rFonts w:hint="default"/>
      </w:rPr>
    </w:lvl>
    <w:lvl w:ilvl="4">
      <w:start w:val="0"/>
      <w:numFmt w:val="bullet"/>
      <w:lvlText w:val="•"/>
      <w:lvlJc w:val="left"/>
      <w:pPr>
        <w:ind w:left="4775" w:hanging="548"/>
      </w:pPr>
      <w:rPr>
        <w:rFonts w:hint="default"/>
      </w:rPr>
    </w:lvl>
    <w:lvl w:ilvl="5">
      <w:start w:val="0"/>
      <w:numFmt w:val="bullet"/>
      <w:lvlText w:val="•"/>
      <w:lvlJc w:val="left"/>
      <w:pPr>
        <w:ind w:left="5694" w:hanging="548"/>
      </w:pPr>
      <w:rPr>
        <w:rFonts w:hint="default"/>
      </w:rPr>
    </w:lvl>
    <w:lvl w:ilvl="6">
      <w:start w:val="0"/>
      <w:numFmt w:val="bullet"/>
      <w:lvlText w:val="•"/>
      <w:lvlJc w:val="left"/>
      <w:pPr>
        <w:ind w:left="6613" w:hanging="548"/>
      </w:pPr>
      <w:rPr>
        <w:rFonts w:hint="default"/>
      </w:rPr>
    </w:lvl>
    <w:lvl w:ilvl="7">
      <w:start w:val="0"/>
      <w:numFmt w:val="bullet"/>
      <w:lvlText w:val="•"/>
      <w:lvlJc w:val="left"/>
      <w:pPr>
        <w:ind w:left="7532" w:hanging="548"/>
      </w:pPr>
      <w:rPr>
        <w:rFonts w:hint="default"/>
      </w:rPr>
    </w:lvl>
    <w:lvl w:ilvl="8">
      <w:start w:val="0"/>
      <w:numFmt w:val="bullet"/>
      <w:lvlText w:val="•"/>
      <w:lvlJc w:val="left"/>
      <w:pPr>
        <w:ind w:left="8451" w:hanging="548"/>
      </w:pPr>
      <w:rPr>
        <w:rFonts w:hint="default"/>
      </w:rPr>
    </w:lvl>
  </w:abstractNum>
  <w:abstractNum w:abstractNumId="0">
    <w:multiLevelType w:val="hybridMultilevel"/>
    <w:lvl w:ilvl="0">
      <w:start w:val="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105"/>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12"/>
      <w:ind w:left="320" w:right="410"/>
      <w:jc w:val="center"/>
      <w:outlineLvl w:val="2"/>
    </w:pPr>
    <w:rPr>
      <w:rFonts w:ascii="宋体" w:hAnsi="宋体" w:eastAsia="宋体" w:cs="宋体"/>
      <w:sz w:val="20"/>
      <w:szCs w:val="20"/>
    </w:rPr>
  </w:style>
  <w:style w:styleId="Heading3" w:type="paragraph">
    <w:name w:val="Heading 3"/>
    <w:basedOn w:val="Normal"/>
    <w:uiPriority w:val="1"/>
    <w:qFormat/>
    <w:pPr>
      <w:spacing w:before="101"/>
      <w:ind w:left="1112"/>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105"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2018-10-20T03:36:38Z</dcterms:created>
  <dcterms:modified xsi:type="dcterms:W3CDTF">2018-10-20T03:36:38Z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Microsoft® Word 2010</vt:lpwstr>
  </property>
  <property fmtid="{D5CDD505-2E9C-101B-9397-08002B2CF9AE}" pid="4" name="LastSaved">
    <vt:filetime>2018-10-19T00:00:00Z</vt:filetime>
  </property>
</Properties>
</file>