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rFonts w:ascii="Times New Roman"/>
          <w:sz w:val="30"/>
        </w:rPr>
      </w:pPr>
    </w:p>
    <w:p>
      <w:pPr>
        <w:spacing w:before="0"/>
        <w:ind w:left="360" w:right="0" w:firstLine="0"/>
        <w:jc w:val="left"/>
        <w:rPr>
          <w:b/>
          <w:sz w:val="32"/>
        </w:rPr>
      </w:pPr>
      <w:r>
        <w:rPr>
          <w:b/>
          <w:color w:val="003E7D"/>
          <w:w w:val="95"/>
          <w:sz w:val="32"/>
        </w:rPr>
        <w:t>中美联泰大都会人寿保险有限公司</w:t>
      </w:r>
    </w:p>
    <w:p>
      <w:pPr>
        <w:spacing w:before="216"/>
        <w:ind w:left="380" w:right="0" w:firstLine="0"/>
        <w:jc w:val="left"/>
        <w:rPr>
          <w:b/>
          <w:sz w:val="28"/>
        </w:rPr>
      </w:pPr>
      <w:r>
        <w:rPr>
          <w:b/>
          <w:w w:val="95"/>
          <w:sz w:val="28"/>
        </w:rPr>
        <w:t>附加关爱多长期重大疾病保险条款</w:t>
      </w:r>
    </w:p>
    <w:p>
      <w:pPr>
        <w:spacing w:before="18"/>
        <w:ind w:left="380" w:right="0" w:firstLine="0"/>
        <w:jc w:val="left"/>
        <w:rPr>
          <w:sz w:val="16"/>
        </w:rPr>
      </w:pPr>
      <w:r>
        <w:rPr>
          <w:sz w:val="16"/>
        </w:rPr>
        <w:t>中美联泰大都会人寿保险有限公司（以下简称“我们”）</w:t>
      </w:r>
    </w:p>
    <w:p>
      <w:pPr>
        <w:pStyle w:val="Heading3"/>
      </w:pPr>
      <w:r>
        <w:rPr/>
        <w:br w:type="column"/>
      </w:r>
      <w:r>
        <w:rPr/>
        <w:t>中美联泰大都会</w:t>
      </w:r>
      <w:r>
        <w:rPr>
          <w:rFonts w:ascii="Calibri" w:eastAsia="Calibri"/>
        </w:rPr>
        <w:t>[2017]</w:t>
      </w:r>
      <w:r>
        <w:rPr/>
        <w:t>疾病保险 </w:t>
      </w:r>
      <w:r>
        <w:rPr>
          <w:rFonts w:ascii="Calibri" w:eastAsia="Calibri"/>
        </w:rPr>
        <w:t>013 </w:t>
      </w:r>
      <w:r>
        <w:rPr/>
        <w:t>号</w:t>
      </w:r>
    </w:p>
    <w:p>
      <w:pPr>
        <w:pStyle w:val="BodyText"/>
        <w:spacing w:before="0"/>
        <w:ind w:left="145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pStyle w:val="BodyText"/>
        <w:spacing w:before="0"/>
        <w:ind w:left="319" w:right="410"/>
        <w:jc w:val="center"/>
      </w:pPr>
      <w:r>
        <w:rPr/>
        <w:t>请扫描以查询验证条款</w:t>
      </w:r>
    </w:p>
    <w:p>
      <w:pPr>
        <w:spacing w:after="0"/>
        <w:jc w:val="center"/>
        <w:sectPr>
          <w:footerReference w:type="default" r:id="rId5"/>
          <w:type w:val="continuous"/>
          <w:pgSz w:w="11910" w:h="16840"/>
          <w:pgMar w:footer="766" w:top="740" w:bottom="960" w:left="880" w:right="720"/>
          <w:cols w:num="2" w:equalWidth="0">
            <w:col w:w="5163" w:space="999"/>
            <w:col w:w="4148"/>
          </w:cols>
        </w:sectPr>
      </w:pPr>
    </w:p>
    <w:p>
      <w:pPr>
        <w:pStyle w:val="BodyText"/>
        <w:spacing w:before="9"/>
        <w:ind w:left="0"/>
        <w:rPr>
          <w:sz w:val="5"/>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9"/>
        <w:ind w:left="0"/>
        <w:rPr>
          <w:sz w:val="22"/>
        </w:rPr>
      </w:pPr>
    </w:p>
    <w:p>
      <w:pPr>
        <w:spacing w:before="14"/>
        <w:ind w:left="1754" w:right="1770" w:firstLine="0"/>
        <w:jc w:val="center"/>
        <w:rPr>
          <w:b/>
          <w:sz w:val="28"/>
        </w:rPr>
      </w:pPr>
      <w:r>
        <w:rPr>
          <w:b/>
          <w:sz w:val="28"/>
        </w:rPr>
        <w:t>阅 读 指 南</w:t>
      </w:r>
    </w:p>
    <w:p>
      <w:pPr>
        <w:pStyle w:val="Heading1"/>
        <w:spacing w:line="460" w:lineRule="auto" w:before="130"/>
        <w:ind w:left="1756" w:right="1770"/>
        <w:jc w:val="center"/>
      </w:pPr>
      <w:r>
        <w:rPr/>
        <w:t>本阅读指南为帮助您理解本条款而设，对保险合同内容的解释以条款为准您拥有的重要权利</w:t>
      </w:r>
    </w:p>
    <w:p>
      <w:pPr>
        <w:pStyle w:val="Heading2"/>
        <w:spacing w:before="62"/>
      </w:pPr>
      <w:r>
        <w:rPr/>
        <w:t>您有权一并解除主合同和本附加合同</w:t>
      </w:r>
    </w:p>
    <w:p>
      <w:pPr>
        <w:spacing w:line="355" w:lineRule="auto" w:before="135"/>
        <w:ind w:left="538" w:right="209" w:firstLine="0"/>
        <w:jc w:val="left"/>
        <w:rPr>
          <w:sz w:val="21"/>
        </w:rPr>
      </w:pPr>
      <w:r>
        <w:rPr>
          <w:spacing w:val="-7"/>
          <w:sz w:val="21"/>
        </w:rPr>
        <w:t>您有权在签收保险合同后 </w:t>
      </w:r>
      <w:r>
        <w:rPr>
          <w:sz w:val="21"/>
        </w:rPr>
        <w:t>15</w:t>
      </w:r>
      <w:r>
        <w:rPr>
          <w:spacing w:val="-7"/>
          <w:sz w:val="21"/>
        </w:rPr>
        <w:t> 日内解除合同，并获取全额退还的保险费......................第十二条</w:t>
      </w:r>
      <w:r>
        <w:rPr>
          <w:spacing w:val="-3"/>
          <w:sz w:val="21"/>
        </w:rPr>
        <w:t>您指定的受益人可以享受保险合同项下的保障利益.........................................第四条</w:t>
      </w:r>
    </w:p>
    <w:p>
      <w:pPr>
        <w:spacing w:before="154"/>
        <w:ind w:left="1756" w:right="1770" w:firstLine="0"/>
        <w:jc w:val="center"/>
        <w:rPr>
          <w:b/>
          <w:sz w:val="21"/>
        </w:rPr>
      </w:pPr>
      <w:r>
        <w:rPr>
          <w:b/>
          <w:sz w:val="21"/>
        </w:rPr>
        <w:t>您应当特别注意的事项</w:t>
      </w:r>
    </w:p>
    <w:p>
      <w:pPr>
        <w:pStyle w:val="BodyText"/>
        <w:spacing w:before="4"/>
        <w:ind w:left="0"/>
        <w:rPr>
          <w:b/>
          <w:sz w:val="19"/>
        </w:rPr>
      </w:pPr>
    </w:p>
    <w:p>
      <w:pPr>
        <w:spacing w:line="357" w:lineRule="auto" w:before="0"/>
        <w:ind w:left="538" w:right="207" w:firstLine="0"/>
        <w:jc w:val="left"/>
        <w:rPr>
          <w:sz w:val="21"/>
        </w:rPr>
      </w:pPr>
      <w:r>
        <w:rPr>
          <w:sz w:val="21"/>
        </w:rPr>
        <w:t>在特定情况下，我们不承担保险责任，并作了显著标识，请您注意.....第四、五、十一、十三、十四、十五条</w:t>
      </w:r>
    </w:p>
    <w:p>
      <w:pPr>
        <w:spacing w:line="355" w:lineRule="auto" w:before="32"/>
        <w:ind w:left="538" w:right="207" w:firstLine="0"/>
        <w:jc w:val="left"/>
        <w:rPr>
          <w:sz w:val="21"/>
        </w:rPr>
      </w:pPr>
      <w:r>
        <w:rPr>
          <w:spacing w:val="-3"/>
          <w:sz w:val="21"/>
        </w:rPr>
        <w:t>解除合同会给您造成一定的损失，请您慎重抉择.........................................第十二条我们对一些重要术语进行了解释，并作了显著标识，请您注意...........第十三、十四、十五、十六条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26"/>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2"/>
        <w:gridCol w:w="1087"/>
        <w:gridCol w:w="2677"/>
      </w:tblGrid>
      <w:tr>
        <w:trPr>
          <w:trHeight w:val="437"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2" w:type="dxa"/>
          </w:tcPr>
          <w:p>
            <w:pPr>
              <w:pStyle w:val="TableParagraph"/>
              <w:spacing w:line="281" w:lineRule="exact"/>
              <w:ind w:left="72"/>
              <w:rPr>
                <w:b/>
                <w:sz w:val="28"/>
              </w:rPr>
            </w:pPr>
            <w:r>
              <w:rPr>
                <w:b/>
                <w:w w:val="99"/>
                <w:sz w:val="28"/>
              </w:rPr>
              <w:t>录</w:t>
            </w:r>
          </w:p>
        </w:tc>
        <w:tc>
          <w:tcPr>
            <w:tcW w:w="3764" w:type="dxa"/>
            <w:gridSpan w:val="2"/>
          </w:tcPr>
          <w:p>
            <w:pPr>
              <w:pStyle w:val="TableParagraph"/>
              <w:rPr>
                <w:rFonts w:ascii="Times New Roman"/>
                <w:sz w:val="20"/>
              </w:rPr>
            </w:pPr>
          </w:p>
        </w:tc>
      </w:tr>
      <w:tr>
        <w:trPr>
          <w:trHeight w:val="466" w:hRule="atLeast"/>
        </w:trPr>
        <w:tc>
          <w:tcPr>
            <w:tcW w:w="892"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3"/>
              <w:ind w:left="142"/>
              <w:rPr>
                <w:sz w:val="21"/>
              </w:rPr>
            </w:pPr>
            <w:hyperlink w:history="true" w:anchor="_bookmark9">
              <w:r>
                <w:rPr>
                  <w:sz w:val="21"/>
                </w:rPr>
                <w:t>第十条</w:t>
              </w:r>
            </w:hyperlink>
          </w:p>
        </w:tc>
        <w:tc>
          <w:tcPr>
            <w:tcW w:w="2677" w:type="dxa"/>
          </w:tcPr>
          <w:p>
            <w:pPr>
              <w:pStyle w:val="TableParagraph"/>
              <w:spacing w:before="93"/>
              <w:ind w:left="106"/>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1">
              <w:r>
                <w:rPr>
                  <w:sz w:val="21"/>
                </w:rPr>
                <w:t>第二条</w:t>
              </w:r>
            </w:hyperlink>
          </w:p>
        </w:tc>
        <w:tc>
          <w:tcPr>
            <w:tcW w:w="2761" w:type="dxa"/>
          </w:tcPr>
          <w:p>
            <w:pPr>
              <w:pStyle w:val="TableParagraph"/>
              <w:spacing w:before="34"/>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2"/>
              <w:rPr>
                <w:sz w:val="21"/>
              </w:rPr>
            </w:pPr>
            <w:hyperlink w:history="true" w:anchor="_bookmark10">
              <w:r>
                <w:rPr>
                  <w:sz w:val="21"/>
                </w:rPr>
                <w:t>第十一条</w:t>
              </w:r>
            </w:hyperlink>
          </w:p>
        </w:tc>
        <w:tc>
          <w:tcPr>
            <w:tcW w:w="2677" w:type="dxa"/>
          </w:tcPr>
          <w:p>
            <w:pPr>
              <w:pStyle w:val="TableParagraph"/>
              <w:spacing w:before="34"/>
              <w:ind w:left="315"/>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11">
              <w:r>
                <w:rPr>
                  <w:sz w:val="21"/>
                </w:rPr>
                <w:t>第十二条</w:t>
              </w:r>
            </w:hyperlink>
          </w:p>
        </w:tc>
        <w:tc>
          <w:tcPr>
            <w:tcW w:w="2677" w:type="dxa"/>
          </w:tcPr>
          <w:p>
            <w:pPr>
              <w:pStyle w:val="TableParagraph"/>
              <w:spacing w:before="36"/>
              <w:ind w:left="315"/>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2"/>
              <w:rPr>
                <w:sz w:val="21"/>
              </w:rPr>
            </w:pPr>
            <w:hyperlink w:history="true" w:anchor="_bookmark12">
              <w:r>
                <w:rPr>
                  <w:sz w:val="21"/>
                </w:rPr>
                <w:t>第十三条</w:t>
              </w:r>
            </w:hyperlink>
          </w:p>
        </w:tc>
        <w:tc>
          <w:tcPr>
            <w:tcW w:w="2677" w:type="dxa"/>
          </w:tcPr>
          <w:p>
            <w:pPr>
              <w:pStyle w:val="TableParagraph"/>
              <w:spacing w:before="34"/>
              <w:ind w:left="315"/>
              <w:rPr>
                <w:sz w:val="21"/>
              </w:rPr>
            </w:pPr>
            <w:hyperlink w:history="true" w:anchor="_bookmark12">
              <w:r>
                <w:rPr>
                  <w:sz w:val="21"/>
                </w:rPr>
                <w:t>重大疾病的释义</w:t>
              </w:r>
            </w:hyperlink>
          </w:p>
        </w:tc>
      </w:tr>
      <w:tr>
        <w:trPr>
          <w:trHeight w:val="410"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13">
              <w:r>
                <w:rPr>
                  <w:sz w:val="21"/>
                </w:rPr>
                <w:t>第十四条</w:t>
              </w:r>
            </w:hyperlink>
          </w:p>
        </w:tc>
        <w:tc>
          <w:tcPr>
            <w:tcW w:w="2677" w:type="dxa"/>
          </w:tcPr>
          <w:p>
            <w:pPr>
              <w:pStyle w:val="TableParagraph"/>
              <w:spacing w:before="36"/>
              <w:ind w:left="315"/>
              <w:rPr>
                <w:sz w:val="21"/>
              </w:rPr>
            </w:pPr>
            <w:hyperlink w:history="true" w:anchor="_bookmark13">
              <w:r>
                <w:rPr>
                  <w:sz w:val="21"/>
                </w:rPr>
                <w:t>中症疾病释义</w:t>
              </w:r>
            </w:hyperlink>
          </w:p>
        </w:tc>
      </w:tr>
      <w:tr>
        <w:trPr>
          <w:trHeight w:val="409" w:hRule="atLeast"/>
        </w:trPr>
        <w:tc>
          <w:tcPr>
            <w:tcW w:w="892"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14">
              <w:r>
                <w:rPr>
                  <w:sz w:val="21"/>
                </w:rPr>
                <w:t>第十五条</w:t>
              </w:r>
            </w:hyperlink>
          </w:p>
        </w:tc>
        <w:tc>
          <w:tcPr>
            <w:tcW w:w="2677" w:type="dxa"/>
          </w:tcPr>
          <w:p>
            <w:pPr>
              <w:pStyle w:val="TableParagraph"/>
              <w:spacing w:before="36"/>
              <w:ind w:left="315"/>
              <w:rPr>
                <w:sz w:val="21"/>
              </w:rPr>
            </w:pPr>
            <w:hyperlink w:history="true" w:anchor="_bookmark14">
              <w:r>
                <w:rPr>
                  <w:sz w:val="21"/>
                </w:rPr>
                <w:t>轻症疾病释义</w:t>
              </w:r>
            </w:hyperlink>
          </w:p>
        </w:tc>
      </w:tr>
      <w:tr>
        <w:trPr>
          <w:trHeight w:val="409" w:hRule="atLeast"/>
        </w:trPr>
        <w:tc>
          <w:tcPr>
            <w:tcW w:w="892" w:type="dxa"/>
          </w:tcPr>
          <w:p>
            <w:pPr>
              <w:pStyle w:val="TableParagraph"/>
              <w:spacing w:before="34"/>
              <w:ind w:left="50"/>
              <w:rPr>
                <w:sz w:val="21"/>
              </w:rPr>
            </w:pPr>
            <w:hyperlink w:history="true" w:anchor="_bookmark6">
              <w:r>
                <w:rPr>
                  <w:sz w:val="21"/>
                </w:rPr>
                <w:t>第七条</w:t>
              </w:r>
            </w:hyperlink>
          </w:p>
        </w:tc>
        <w:tc>
          <w:tcPr>
            <w:tcW w:w="2761" w:type="dxa"/>
          </w:tcPr>
          <w:p>
            <w:pPr>
              <w:pStyle w:val="TableParagraph"/>
              <w:spacing w:before="34"/>
              <w:ind w:left="209"/>
              <w:rPr>
                <w:sz w:val="21"/>
              </w:rPr>
            </w:pPr>
            <w:hyperlink w:history="true" w:anchor="_bookmark6">
              <w:r>
                <w:rPr>
                  <w:sz w:val="21"/>
                </w:rPr>
                <w:t>基本保险金额</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2"/>
              <w:rPr>
                <w:sz w:val="21"/>
              </w:rPr>
            </w:pPr>
            <w:hyperlink w:history="true" w:anchor="_bookmark15">
              <w:r>
                <w:rPr>
                  <w:sz w:val="21"/>
                </w:rPr>
                <w:t>第十六条</w:t>
              </w:r>
            </w:hyperlink>
          </w:p>
        </w:tc>
        <w:tc>
          <w:tcPr>
            <w:tcW w:w="2677" w:type="dxa"/>
          </w:tcPr>
          <w:p>
            <w:pPr>
              <w:pStyle w:val="TableParagraph"/>
              <w:spacing w:before="34"/>
              <w:ind w:left="315"/>
              <w:rPr>
                <w:sz w:val="21"/>
              </w:rPr>
            </w:pPr>
            <w:hyperlink w:history="true" w:anchor="_bookmark15">
              <w:r>
                <w:rPr>
                  <w:sz w:val="21"/>
                </w:rPr>
                <w:t>释义</w:t>
              </w:r>
            </w:hyperlink>
          </w:p>
        </w:tc>
      </w:tr>
      <w:tr>
        <w:trPr>
          <w:trHeight w:val="410" w:hRule="atLeast"/>
        </w:trPr>
        <w:tc>
          <w:tcPr>
            <w:tcW w:w="892" w:type="dxa"/>
          </w:tcPr>
          <w:p>
            <w:pPr>
              <w:pStyle w:val="TableParagraph"/>
              <w:spacing w:before="36"/>
              <w:ind w:left="50"/>
              <w:rPr>
                <w:sz w:val="21"/>
              </w:rPr>
            </w:pPr>
            <w:hyperlink w:history="true" w:anchor="_bookmark7">
              <w:r>
                <w:rPr>
                  <w:sz w:val="21"/>
                </w:rPr>
                <w:t>第八条</w:t>
              </w:r>
            </w:hyperlink>
          </w:p>
        </w:tc>
        <w:tc>
          <w:tcPr>
            <w:tcW w:w="2761" w:type="dxa"/>
          </w:tcPr>
          <w:p>
            <w:pPr>
              <w:pStyle w:val="TableParagraph"/>
              <w:spacing w:before="36"/>
              <w:ind w:left="209"/>
              <w:rPr>
                <w:sz w:val="21"/>
              </w:rPr>
            </w:pPr>
            <w:hyperlink w:history="true" w:anchor="_bookmark7">
              <w:r>
                <w:rPr>
                  <w:sz w:val="21"/>
                </w:rPr>
                <w:t>受益人</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7" w:type="dxa"/>
          </w:tcPr>
          <w:p>
            <w:pPr>
              <w:pStyle w:val="TableParagraph"/>
              <w:rPr>
                <w:rFonts w:ascii="Times New Roman"/>
                <w:sz w:val="20"/>
              </w:rPr>
            </w:pPr>
          </w:p>
        </w:tc>
      </w:tr>
      <w:tr>
        <w:trPr>
          <w:trHeight w:val="310" w:hRule="atLeast"/>
        </w:trPr>
        <w:tc>
          <w:tcPr>
            <w:tcW w:w="892" w:type="dxa"/>
          </w:tcPr>
          <w:p>
            <w:pPr>
              <w:pStyle w:val="TableParagraph"/>
              <w:spacing w:line="255" w:lineRule="exact" w:before="36"/>
              <w:ind w:left="50"/>
              <w:rPr>
                <w:sz w:val="21"/>
              </w:rPr>
            </w:pPr>
            <w:hyperlink w:history="true" w:anchor="_bookmark8">
              <w:r>
                <w:rPr>
                  <w:sz w:val="21"/>
                </w:rPr>
                <w:t>第九条</w:t>
              </w:r>
            </w:hyperlink>
          </w:p>
        </w:tc>
        <w:tc>
          <w:tcPr>
            <w:tcW w:w="2761" w:type="dxa"/>
          </w:tcPr>
          <w:p>
            <w:pPr>
              <w:pStyle w:val="TableParagraph"/>
              <w:spacing w:line="255" w:lineRule="exact" w:before="36"/>
              <w:ind w:left="209"/>
              <w:rPr>
                <w:sz w:val="21"/>
              </w:rPr>
            </w:pPr>
            <w:hyperlink w:history="true" w:anchor="_bookmark8">
              <w:r>
                <w:rPr>
                  <w:sz w:val="21"/>
                </w:rPr>
                <w:t>保险金申请</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7" w:type="dxa"/>
          </w:tcPr>
          <w:p>
            <w:pPr>
              <w:pStyle w:val="TableParagraph"/>
              <w:rPr>
                <w:rFonts w:ascii="Times New Roman"/>
                <w:sz w:val="20"/>
              </w:rPr>
            </w:pPr>
          </w:p>
        </w:tc>
      </w:tr>
    </w:tbl>
    <w:p>
      <w:pPr>
        <w:spacing w:after="0"/>
        <w:rPr>
          <w:rFonts w:ascii="Times New Roman"/>
          <w:sz w:val="20"/>
        </w:rPr>
        <w:sectPr>
          <w:type w:val="continuous"/>
          <w:pgSz w:w="11910" w:h="16840"/>
          <w:pgMar w:top="740" w:bottom="960" w:left="880" w:right="720"/>
        </w:sectPr>
      </w:pPr>
    </w:p>
    <w:p>
      <w:pPr>
        <w:pStyle w:val="BodyText"/>
        <w:spacing w:before="0"/>
        <w:ind w:left="0"/>
        <w:rPr>
          <w:sz w:val="20"/>
        </w:rPr>
      </w:pPr>
    </w:p>
    <w:p>
      <w:pPr>
        <w:pStyle w:val="BodyText"/>
        <w:spacing w:before="11"/>
        <w:ind w:left="0"/>
        <w:rPr>
          <w:sz w:val="21"/>
        </w:rPr>
      </w:pPr>
    </w:p>
    <w:p>
      <w:pPr>
        <w:pStyle w:val="Heading1"/>
        <w:spacing w:before="37"/>
      </w:pPr>
      <w:bookmarkStart w:name="_bookmark0" w:id="1"/>
      <w:bookmarkEnd w:id="1"/>
      <w:r>
        <w:rPr>
          <w:b w:val="0"/>
        </w:rPr>
      </w:r>
      <w:r>
        <w:rPr/>
        <w:t>第一条 附加保险合同的构成</w:t>
      </w:r>
    </w:p>
    <w:p>
      <w:pPr>
        <w:pStyle w:val="ListParagraph"/>
        <w:numPr>
          <w:ilvl w:val="1"/>
          <w:numId w:val="1"/>
        </w:numPr>
        <w:tabs>
          <w:tab w:pos="1105" w:val="left" w:leader="none"/>
          <w:tab w:pos="1106" w:val="left" w:leader="none"/>
        </w:tabs>
        <w:spacing w:line="340" w:lineRule="auto" w:before="139" w:after="0"/>
        <w:ind w:left="1105" w:right="162" w:hanging="567"/>
        <w:jc w:val="left"/>
        <w:rPr>
          <w:sz w:val="18"/>
        </w:rPr>
      </w:pPr>
      <w:r>
        <w:rPr>
          <w:sz w:val="18"/>
        </w:rPr>
        <w:t>本《中美联泰大都会人寿保险有限公司附加关爱多长期重大疾病保险》合同（以下简称“本附加合同”）必须附加</w:t>
      </w:r>
      <w:r>
        <w:rPr>
          <w:spacing w:val="-1"/>
          <w:sz w:val="18"/>
        </w:rPr>
        <w:t>于《中美联泰大都会人寿保险有限公司关爱多两全保险》</w:t>
      </w:r>
      <w:r>
        <w:rPr>
          <w:sz w:val="18"/>
        </w:rPr>
        <w:t>（以下简称“主合同”）；</w:t>
      </w:r>
    </w:p>
    <w:p>
      <w:pPr>
        <w:pStyle w:val="ListParagraph"/>
        <w:numPr>
          <w:ilvl w:val="1"/>
          <w:numId w:val="1"/>
        </w:numPr>
        <w:tabs>
          <w:tab w:pos="1105" w:val="left" w:leader="none"/>
          <w:tab w:pos="1106" w:val="left" w:leader="none"/>
        </w:tabs>
        <w:spacing w:line="240" w:lineRule="auto" w:before="41" w:after="0"/>
        <w:ind w:left="1105" w:right="0" w:hanging="567"/>
        <w:jc w:val="left"/>
        <w:rPr>
          <w:sz w:val="18"/>
        </w:rPr>
      </w:pPr>
      <w:r>
        <w:rPr>
          <w:sz w:val="18"/>
        </w:rPr>
        <w:t>主合同的相关条款也适用于本附加合同，若主合同与本附加合同条款互有冲突，则以本附加合同的条款为准。</w:t>
      </w:r>
    </w:p>
    <w:p>
      <w:pPr>
        <w:pStyle w:val="Heading1"/>
      </w:pPr>
      <w:bookmarkStart w:name="_bookmark1" w:id="2"/>
      <w:bookmarkEnd w:id="2"/>
      <w:r>
        <w:rPr>
          <w:b w:val="0"/>
        </w:rPr>
      </w:r>
      <w:r>
        <w:rPr/>
        <w:t>第二条 保险合同成立与生效</w:t>
      </w:r>
    </w:p>
    <w:p>
      <w:pPr>
        <w:pStyle w:val="ListParagraph"/>
        <w:numPr>
          <w:ilvl w:val="1"/>
          <w:numId w:val="2"/>
        </w:numPr>
        <w:tabs>
          <w:tab w:pos="1105" w:val="left" w:leader="none"/>
          <w:tab w:pos="1106" w:val="left" w:leader="none"/>
        </w:tabs>
        <w:spacing w:line="240" w:lineRule="auto" w:before="139" w:after="0"/>
        <w:ind w:left="1105" w:right="0" w:hanging="562"/>
        <w:jc w:val="left"/>
        <w:rPr>
          <w:sz w:val="18"/>
        </w:rPr>
      </w:pPr>
      <w:r>
        <w:rPr>
          <w:spacing w:val="-1"/>
          <w:sz w:val="18"/>
        </w:rPr>
        <w:t>本附加合同必须与主合同同时投保，且您不可以单独解除本附加合同。</w:t>
      </w:r>
    </w:p>
    <w:p>
      <w:pPr>
        <w:pStyle w:val="ListParagraph"/>
        <w:numPr>
          <w:ilvl w:val="1"/>
          <w:numId w:val="2"/>
        </w:numPr>
        <w:tabs>
          <w:tab w:pos="1105" w:val="left" w:leader="none"/>
          <w:tab w:pos="1106" w:val="left" w:leader="none"/>
        </w:tabs>
        <w:spacing w:line="240" w:lineRule="auto" w:before="106" w:after="0"/>
        <w:ind w:left="1105" w:right="0" w:hanging="567"/>
        <w:jc w:val="left"/>
        <w:rPr>
          <w:sz w:val="18"/>
        </w:rPr>
      </w:pPr>
      <w:r>
        <w:rPr>
          <w:sz w:val="18"/>
        </w:rPr>
        <w:t>主合同有关成立、生效、中止和终止的条款适用本附加合同。主合同效力中止（或终止</w:t>
      </w:r>
      <w:r>
        <w:rPr>
          <w:spacing w:val="2"/>
          <w:sz w:val="18"/>
        </w:rPr>
        <w:t>）</w:t>
      </w:r>
      <w:r>
        <w:rPr>
          <w:sz w:val="18"/>
        </w:rPr>
        <w:t>的，本附加合同同时中止</w:t>
      </w:r>
    </w:p>
    <w:p>
      <w:pPr>
        <w:pStyle w:val="BodyText"/>
        <w:spacing w:before="104"/>
        <w:jc w:val="both"/>
      </w:pPr>
      <w:r>
        <w:rPr/>
        <w:t>（或终止）。主合同无效的，本附加合同亦无效。</w:t>
      </w:r>
    </w:p>
    <w:p>
      <w:pPr>
        <w:pStyle w:val="Heading1"/>
        <w:spacing w:before="116"/>
      </w:pPr>
      <w:bookmarkStart w:name="_bookmark2" w:id="3"/>
      <w:bookmarkEnd w:id="3"/>
      <w:r>
        <w:rPr>
          <w:b w:val="0"/>
        </w:rPr>
      </w:r>
      <w:r>
        <w:rPr/>
        <w:t>第三条 承保范围</w:t>
      </w:r>
    </w:p>
    <w:p>
      <w:pPr>
        <w:pStyle w:val="BodyText"/>
        <w:tabs>
          <w:tab w:pos="1105" w:val="left" w:leader="none"/>
        </w:tabs>
        <w:spacing w:before="142"/>
        <w:ind w:left="538"/>
      </w:pPr>
      <w:r>
        <w:rPr>
          <w:rFonts w:ascii="Arial" w:eastAsia="Arial"/>
        </w:rPr>
        <w:t>3.1</w:t>
        <w:tab/>
      </w:r>
      <w:r>
        <w:rPr/>
        <w:t>您可为与您具有保险利益的，且符合我们规定的投保条件的人士（被保险人）投保本附加合同。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5" w:val="left" w:leader="none"/>
          <w:tab w:pos="1106" w:val="left" w:leader="none"/>
        </w:tabs>
        <w:spacing w:line="240" w:lineRule="auto" w:before="139" w:after="0"/>
        <w:ind w:left="1105" w:right="0" w:hanging="547"/>
        <w:jc w:val="left"/>
        <w:rPr>
          <w:sz w:val="18"/>
        </w:rPr>
      </w:pPr>
      <w:r>
        <w:rPr>
          <w:spacing w:val="-1"/>
          <w:sz w:val="18"/>
        </w:rPr>
        <w:t>无息返还保险费</w:t>
      </w:r>
    </w:p>
    <w:p>
      <w:pPr>
        <w:pStyle w:val="BodyText"/>
        <w:spacing w:line="357" w:lineRule="auto"/>
        <w:ind w:left="1102" w:right="163"/>
        <w:jc w:val="both"/>
      </w:pPr>
      <w:r>
        <w:rPr/>
        <w:t>在本附加合同保险期间内，若被保险人于</w:t>
      </w:r>
      <w:r>
        <w:rPr>
          <w:b/>
        </w:rPr>
        <w:t>等待期</w:t>
      </w:r>
      <w:r>
        <w:rPr/>
        <w:t>（见释义）内因疾病导致被保险人</w:t>
      </w:r>
      <w:r>
        <w:rPr>
          <w:b/>
        </w:rPr>
        <w:t>首次发病</w:t>
      </w:r>
      <w:r>
        <w:rPr/>
        <w:t>（见释义）或于等待期内经</w:t>
      </w:r>
      <w:r>
        <w:rPr>
          <w:b/>
        </w:rPr>
        <w:t>专科医生</w:t>
      </w:r>
      <w:r>
        <w:rPr/>
        <w:t>（见释义）首次确诊患有以下三类疾病中的任何一项或多项，我们将无息返还本附加合同及其主合同的已交保险费，本附加合同及其主合同效力终止：</w:t>
      </w:r>
    </w:p>
    <w:p>
      <w:pPr>
        <w:pStyle w:val="ListParagraph"/>
        <w:numPr>
          <w:ilvl w:val="2"/>
          <w:numId w:val="3"/>
        </w:numPr>
        <w:tabs>
          <w:tab w:pos="1954" w:val="left" w:leader="none"/>
          <w:tab w:pos="1955" w:val="left" w:leader="none"/>
        </w:tabs>
        <w:spacing w:line="240" w:lineRule="auto" w:before="28" w:after="0"/>
        <w:ind w:left="1954" w:right="0" w:hanging="530"/>
        <w:jc w:val="left"/>
        <w:rPr>
          <w:sz w:val="18"/>
        </w:rPr>
      </w:pPr>
      <w:r>
        <w:rPr>
          <w:w w:val="95"/>
          <w:sz w:val="18"/>
        </w:rPr>
        <w:t>本附加合同第十三条约定的八十项</w:t>
      </w:r>
      <w:r>
        <w:rPr>
          <w:b/>
          <w:w w:val="95"/>
          <w:sz w:val="18"/>
        </w:rPr>
        <w:t>重大疾病</w:t>
      </w:r>
      <w:r>
        <w:rPr>
          <w:w w:val="95"/>
          <w:sz w:val="18"/>
        </w:rPr>
        <w:t>（见释义）</w:t>
      </w:r>
      <w:r>
        <w:rPr>
          <w:spacing w:val="-2"/>
          <w:w w:val="95"/>
          <w:sz w:val="18"/>
        </w:rPr>
        <w:t>中的一项或多项；</w:t>
      </w:r>
    </w:p>
    <w:p>
      <w:pPr>
        <w:pStyle w:val="ListParagraph"/>
        <w:numPr>
          <w:ilvl w:val="2"/>
          <w:numId w:val="3"/>
        </w:numPr>
        <w:tabs>
          <w:tab w:pos="1954" w:val="left" w:leader="none"/>
          <w:tab w:pos="1955" w:val="left" w:leader="none"/>
        </w:tabs>
        <w:spacing w:line="240" w:lineRule="auto" w:before="106" w:after="0"/>
        <w:ind w:left="1954" w:right="0" w:hanging="530"/>
        <w:jc w:val="left"/>
        <w:rPr>
          <w:sz w:val="18"/>
        </w:rPr>
      </w:pPr>
      <w:r>
        <w:rPr>
          <w:w w:val="95"/>
          <w:sz w:val="18"/>
        </w:rPr>
        <w:t>本附加合同第十四条约定的二十项</w:t>
      </w:r>
      <w:r>
        <w:rPr>
          <w:b/>
          <w:w w:val="95"/>
          <w:sz w:val="18"/>
        </w:rPr>
        <w:t>中症疾病</w:t>
      </w:r>
      <w:r>
        <w:rPr>
          <w:w w:val="95"/>
          <w:sz w:val="18"/>
        </w:rPr>
        <w:t>（见释义）</w:t>
      </w:r>
      <w:r>
        <w:rPr>
          <w:spacing w:val="-2"/>
          <w:w w:val="95"/>
          <w:sz w:val="18"/>
        </w:rPr>
        <w:t>中的一项或多项；</w:t>
      </w:r>
    </w:p>
    <w:p>
      <w:pPr>
        <w:pStyle w:val="ListParagraph"/>
        <w:numPr>
          <w:ilvl w:val="2"/>
          <w:numId w:val="3"/>
        </w:numPr>
        <w:tabs>
          <w:tab w:pos="1954" w:val="left" w:leader="none"/>
          <w:tab w:pos="1955" w:val="left" w:leader="none"/>
        </w:tabs>
        <w:spacing w:line="240" w:lineRule="auto" w:before="106" w:after="0"/>
        <w:ind w:left="1954" w:right="0" w:hanging="530"/>
        <w:jc w:val="left"/>
        <w:rPr>
          <w:sz w:val="18"/>
        </w:rPr>
      </w:pPr>
      <w:r>
        <w:rPr>
          <w:w w:val="95"/>
          <w:sz w:val="18"/>
        </w:rPr>
        <w:t>本附加合同第十五条约定的二十项</w:t>
      </w:r>
      <w:r>
        <w:rPr>
          <w:b/>
          <w:w w:val="95"/>
          <w:sz w:val="18"/>
        </w:rPr>
        <w:t>轻症疾病</w:t>
      </w:r>
      <w:r>
        <w:rPr>
          <w:w w:val="95"/>
          <w:sz w:val="18"/>
        </w:rPr>
        <w:t>（见释义）</w:t>
      </w:r>
      <w:r>
        <w:rPr>
          <w:spacing w:val="-2"/>
          <w:w w:val="95"/>
          <w:sz w:val="18"/>
        </w:rPr>
        <w:t>中的一项或多项。</w:t>
      </w:r>
    </w:p>
    <w:p>
      <w:pPr>
        <w:pStyle w:val="ListParagraph"/>
        <w:numPr>
          <w:ilvl w:val="1"/>
          <w:numId w:val="3"/>
        </w:numPr>
        <w:tabs>
          <w:tab w:pos="1105" w:val="left" w:leader="none"/>
          <w:tab w:pos="1106" w:val="left" w:leader="none"/>
        </w:tabs>
        <w:spacing w:line="240" w:lineRule="auto" w:before="106" w:after="0"/>
        <w:ind w:left="1105" w:right="0" w:hanging="547"/>
        <w:jc w:val="left"/>
        <w:rPr>
          <w:sz w:val="18"/>
        </w:rPr>
      </w:pPr>
      <w:r>
        <w:rPr>
          <w:sz w:val="18"/>
        </w:rPr>
        <w:t>在本附加合同保险期间内，我们将承担以下保险责任：</w:t>
      </w:r>
    </w:p>
    <w:p>
      <w:pPr>
        <w:pStyle w:val="ListParagraph"/>
        <w:numPr>
          <w:ilvl w:val="2"/>
          <w:numId w:val="4"/>
        </w:numPr>
        <w:tabs>
          <w:tab w:pos="1530" w:val="left" w:leader="none"/>
        </w:tabs>
        <w:spacing w:line="240" w:lineRule="auto" w:before="106" w:after="0"/>
        <w:ind w:left="1530" w:right="0" w:hanging="425"/>
        <w:jc w:val="both"/>
        <w:rPr>
          <w:sz w:val="18"/>
        </w:rPr>
      </w:pPr>
      <w:r>
        <w:rPr>
          <w:sz w:val="18"/>
        </w:rPr>
        <w:t>重大疾病保险金</w:t>
      </w:r>
    </w:p>
    <w:p>
      <w:pPr>
        <w:pStyle w:val="BodyText"/>
        <w:spacing w:line="357" w:lineRule="auto"/>
        <w:ind w:left="1102" w:right="166"/>
        <w:jc w:val="both"/>
      </w:pPr>
      <w:r>
        <w:rPr/>
        <w:t>在本附加合同保险期间内，若被保险人因</w:t>
      </w:r>
      <w:r>
        <w:rPr>
          <w:b/>
        </w:rPr>
        <w:t>意外伤害事故</w:t>
      </w:r>
      <w:r>
        <w:rPr/>
        <w:t>（见释义）或于本附加合同等待期后因疾病导致被保险人首次发病并经专科医生首次确诊患有本附加合同约定的八十项重大疾病中的一项或多项，我们将按以下三项中的金额较大者给付重大疾病保险金，本附加合同及其主合同效力终止：</w:t>
      </w:r>
    </w:p>
    <w:p>
      <w:pPr>
        <w:pStyle w:val="ListParagraph"/>
        <w:numPr>
          <w:ilvl w:val="3"/>
          <w:numId w:val="4"/>
        </w:numPr>
        <w:tabs>
          <w:tab w:pos="1954" w:val="left" w:leader="none"/>
          <w:tab w:pos="1955" w:val="left" w:leader="none"/>
        </w:tabs>
        <w:spacing w:line="240" w:lineRule="auto" w:before="28" w:after="0"/>
        <w:ind w:left="1954" w:right="0" w:hanging="530"/>
        <w:jc w:val="left"/>
        <w:rPr>
          <w:sz w:val="18"/>
        </w:rPr>
      </w:pPr>
      <w:r>
        <w:rPr>
          <w:w w:val="95"/>
          <w:sz w:val="18"/>
        </w:rPr>
        <w:t>本附加合同载明的基本保险金额；</w:t>
      </w:r>
    </w:p>
    <w:p>
      <w:pPr>
        <w:pStyle w:val="ListParagraph"/>
        <w:numPr>
          <w:ilvl w:val="3"/>
          <w:numId w:val="4"/>
        </w:numPr>
        <w:tabs>
          <w:tab w:pos="1954" w:val="left" w:leader="none"/>
          <w:tab w:pos="1955" w:val="left" w:leader="none"/>
        </w:tabs>
        <w:spacing w:line="240" w:lineRule="auto" w:before="106" w:after="0"/>
        <w:ind w:left="1954" w:right="0" w:hanging="530"/>
        <w:jc w:val="left"/>
        <w:rPr>
          <w:sz w:val="18"/>
        </w:rPr>
      </w:pPr>
      <w:r>
        <w:rPr>
          <w:w w:val="95"/>
          <w:sz w:val="18"/>
        </w:rPr>
        <w:t>被保险人首次确诊时您已交本附加合同及其主合同的保险费之和；</w:t>
      </w:r>
    </w:p>
    <w:p>
      <w:pPr>
        <w:pStyle w:val="ListParagraph"/>
        <w:numPr>
          <w:ilvl w:val="3"/>
          <w:numId w:val="4"/>
        </w:numPr>
        <w:tabs>
          <w:tab w:pos="1954" w:val="left" w:leader="none"/>
          <w:tab w:pos="1955" w:val="left" w:leader="none"/>
        </w:tabs>
        <w:spacing w:line="240" w:lineRule="auto" w:before="106" w:after="0"/>
        <w:ind w:left="1954" w:right="0" w:hanging="530"/>
        <w:jc w:val="left"/>
        <w:rPr>
          <w:sz w:val="18"/>
        </w:rPr>
      </w:pPr>
      <w:r>
        <w:rPr>
          <w:w w:val="95"/>
          <w:sz w:val="18"/>
        </w:rPr>
        <w:t>被保险人首次确诊时本附加合同及其主合同的现金价值之和。</w:t>
      </w:r>
    </w:p>
    <w:p>
      <w:pPr>
        <w:pStyle w:val="Heading4"/>
        <w:spacing w:line="360" w:lineRule="auto"/>
        <w:ind w:left="1102" w:right="165"/>
      </w:pPr>
      <w:r>
        <w:rPr/>
        <w:t>若被保险人已经申请过中症疾病保险金且我们同意给付或已实际给付的，则我们在给付重大疾病保险金时，将扣除</w:t>
      </w:r>
      <w:r>
        <w:rPr>
          <w:w w:val="95"/>
        </w:rPr>
        <w:t>我们同意给付或已实际给付的中症疾病保险金。</w:t>
      </w:r>
    </w:p>
    <w:p>
      <w:pPr>
        <w:pStyle w:val="ListParagraph"/>
        <w:numPr>
          <w:ilvl w:val="2"/>
          <w:numId w:val="4"/>
        </w:numPr>
        <w:tabs>
          <w:tab w:pos="1552" w:val="left" w:leader="none"/>
        </w:tabs>
        <w:spacing w:line="240" w:lineRule="auto" w:before="27" w:after="0"/>
        <w:ind w:left="1551" w:right="0" w:hanging="480"/>
        <w:jc w:val="left"/>
        <w:rPr>
          <w:sz w:val="18"/>
        </w:rPr>
      </w:pPr>
      <w:r>
        <w:rPr>
          <w:sz w:val="18"/>
        </w:rPr>
        <w:t>中症疾病保险金</w:t>
      </w:r>
    </w:p>
    <w:p>
      <w:pPr>
        <w:pStyle w:val="BodyText"/>
        <w:spacing w:line="360" w:lineRule="auto"/>
        <w:ind w:left="1102" w:right="168"/>
      </w:pPr>
      <w:r>
        <w:rPr/>
        <w:t>在本附加合同保险期间内，若被保险人因意外伤害事故或于本附加合同等待期后因疾病导致被保险人首次发病并经专科医生首次确诊患有本附加合同约定的二十项中症疾病中的一项或多项，我们将按以下三项中的金额较大者的</w:t>
      </w:r>
    </w:p>
    <w:p>
      <w:pPr>
        <w:pStyle w:val="BodyText"/>
        <w:spacing w:before="24"/>
        <w:ind w:left="1102"/>
        <w:jc w:val="both"/>
      </w:pPr>
      <w:r>
        <w:rPr/>
        <w:t>20%给付中症疾病保险金，本项责任终止：</w:t>
      </w:r>
    </w:p>
    <w:p>
      <w:pPr>
        <w:pStyle w:val="ListParagraph"/>
        <w:numPr>
          <w:ilvl w:val="0"/>
          <w:numId w:val="5"/>
        </w:numPr>
        <w:tabs>
          <w:tab w:pos="1955" w:val="left" w:leader="none"/>
        </w:tabs>
        <w:spacing w:line="240" w:lineRule="auto" w:before="119" w:after="0"/>
        <w:ind w:left="1954" w:right="0" w:hanging="566"/>
        <w:jc w:val="left"/>
        <w:rPr>
          <w:sz w:val="18"/>
        </w:rPr>
      </w:pPr>
      <w:r>
        <w:rPr>
          <w:sz w:val="18"/>
        </w:rPr>
        <w:t>本附加合同载明的基本保险金额；</w:t>
      </w:r>
    </w:p>
    <w:p>
      <w:pPr>
        <w:pStyle w:val="ListParagraph"/>
        <w:numPr>
          <w:ilvl w:val="0"/>
          <w:numId w:val="5"/>
        </w:numPr>
        <w:tabs>
          <w:tab w:pos="1955" w:val="left" w:leader="none"/>
        </w:tabs>
        <w:spacing w:line="240" w:lineRule="auto" w:before="104" w:after="0"/>
        <w:ind w:left="1954" w:right="0" w:hanging="566"/>
        <w:jc w:val="left"/>
        <w:rPr>
          <w:sz w:val="18"/>
        </w:rPr>
      </w:pPr>
      <w:r>
        <w:rPr>
          <w:sz w:val="18"/>
        </w:rPr>
        <w:t>被保险人首次确诊时您已交本附加合同及其主合同的保险费之和；</w:t>
      </w:r>
    </w:p>
    <w:p>
      <w:pPr>
        <w:pStyle w:val="ListParagraph"/>
        <w:numPr>
          <w:ilvl w:val="0"/>
          <w:numId w:val="5"/>
        </w:numPr>
        <w:tabs>
          <w:tab w:pos="1955" w:val="left" w:leader="none"/>
        </w:tabs>
        <w:spacing w:line="240" w:lineRule="auto" w:before="104" w:after="0"/>
        <w:ind w:left="1954" w:right="0" w:hanging="566"/>
        <w:jc w:val="left"/>
        <w:rPr>
          <w:sz w:val="18"/>
        </w:rPr>
      </w:pPr>
      <w:r>
        <w:rPr>
          <w:sz w:val="18"/>
        </w:rPr>
        <w:t>被保险人首次确诊时本附加合同及其主合同的现金价值之和。</w:t>
      </w:r>
    </w:p>
    <w:p>
      <w:pPr>
        <w:pStyle w:val="ListParagraph"/>
        <w:numPr>
          <w:ilvl w:val="2"/>
          <w:numId w:val="4"/>
        </w:numPr>
        <w:tabs>
          <w:tab w:pos="1552" w:val="left" w:leader="none"/>
        </w:tabs>
        <w:spacing w:line="240" w:lineRule="auto" w:before="104" w:after="0"/>
        <w:ind w:left="1551" w:right="0" w:hanging="480"/>
        <w:jc w:val="both"/>
        <w:rPr>
          <w:sz w:val="18"/>
        </w:rPr>
      </w:pPr>
      <w:r>
        <w:rPr>
          <w:sz w:val="18"/>
        </w:rPr>
        <w:t>轻症疾病保险金</w:t>
      </w:r>
    </w:p>
    <w:p>
      <w:pPr>
        <w:pStyle w:val="BodyText"/>
        <w:spacing w:line="360" w:lineRule="auto"/>
        <w:ind w:left="1102" w:right="168"/>
      </w:pPr>
      <w:r>
        <w:rPr/>
        <w:t>在本附加合同保险期间内，若被保险人因意外伤害事故或于本附加合同等待期后因疾病导致被保险人首次发病并经专科医生首次确诊患有本附加合同约定的二十项轻症疾病中的一项或多项，我们将按以下三项中的金额较大者的</w:t>
      </w:r>
    </w:p>
    <w:p>
      <w:pPr>
        <w:pStyle w:val="BodyText"/>
        <w:spacing w:before="24"/>
        <w:ind w:left="1102"/>
        <w:jc w:val="both"/>
      </w:pPr>
      <w:r>
        <w:rPr/>
        <w:t>20%给付轻症疾病保险金，本项责任终止：</w:t>
      </w:r>
    </w:p>
    <w:p>
      <w:pPr>
        <w:spacing w:after="0"/>
        <w:jc w:val="both"/>
        <w:sectPr>
          <w:headerReference w:type="default" r:id="rId7"/>
          <w:pgSz w:w="11910" w:h="16840"/>
          <w:pgMar w:header="672" w:footer="766" w:top="860" w:bottom="960" w:left="880" w:right="680"/>
        </w:sectPr>
      </w:pPr>
    </w:p>
    <w:p>
      <w:pPr>
        <w:pStyle w:val="BodyText"/>
        <w:spacing w:before="9"/>
        <w:ind w:left="0"/>
        <w:rPr>
          <w:sz w:val="13"/>
        </w:rPr>
      </w:pPr>
    </w:p>
    <w:p>
      <w:pPr>
        <w:pStyle w:val="ListParagraph"/>
        <w:numPr>
          <w:ilvl w:val="0"/>
          <w:numId w:val="6"/>
        </w:numPr>
        <w:tabs>
          <w:tab w:pos="1955" w:val="left" w:leader="none"/>
        </w:tabs>
        <w:spacing w:line="240" w:lineRule="auto" w:before="53" w:after="0"/>
        <w:ind w:left="1954" w:right="0" w:hanging="566"/>
        <w:jc w:val="left"/>
        <w:rPr>
          <w:sz w:val="18"/>
        </w:rPr>
      </w:pPr>
      <w:r>
        <w:rPr>
          <w:sz w:val="18"/>
        </w:rPr>
        <w:t>本附加合同载明的基本保险金额；</w:t>
      </w:r>
    </w:p>
    <w:p>
      <w:pPr>
        <w:pStyle w:val="ListParagraph"/>
        <w:numPr>
          <w:ilvl w:val="0"/>
          <w:numId w:val="6"/>
        </w:numPr>
        <w:tabs>
          <w:tab w:pos="1955" w:val="left" w:leader="none"/>
        </w:tabs>
        <w:spacing w:line="240" w:lineRule="auto" w:before="106" w:after="0"/>
        <w:ind w:left="1954" w:right="0" w:hanging="566"/>
        <w:jc w:val="left"/>
        <w:rPr>
          <w:sz w:val="18"/>
        </w:rPr>
      </w:pPr>
      <w:r>
        <w:rPr>
          <w:sz w:val="18"/>
        </w:rPr>
        <w:t>被保险人首次确诊时已交本附加合同及其主合同的保险费之和；</w:t>
      </w:r>
    </w:p>
    <w:p>
      <w:pPr>
        <w:pStyle w:val="ListParagraph"/>
        <w:numPr>
          <w:ilvl w:val="0"/>
          <w:numId w:val="6"/>
        </w:numPr>
        <w:tabs>
          <w:tab w:pos="1955" w:val="left" w:leader="none"/>
        </w:tabs>
        <w:spacing w:line="240" w:lineRule="auto" w:before="104" w:after="0"/>
        <w:ind w:left="1954" w:right="0" w:hanging="566"/>
        <w:jc w:val="left"/>
        <w:rPr>
          <w:sz w:val="18"/>
        </w:rPr>
      </w:pPr>
      <w:r>
        <w:rPr>
          <w:sz w:val="18"/>
        </w:rPr>
        <w:t>被保险人首次确诊时本附加合同及其主合同的现金价值之和。</w:t>
      </w:r>
    </w:p>
    <w:p>
      <w:pPr>
        <w:pStyle w:val="ListParagraph"/>
        <w:numPr>
          <w:ilvl w:val="1"/>
          <w:numId w:val="4"/>
        </w:numPr>
        <w:tabs>
          <w:tab w:pos="1105" w:val="left" w:leader="none"/>
          <w:tab w:pos="1106" w:val="left" w:leader="none"/>
        </w:tabs>
        <w:spacing w:line="240" w:lineRule="auto" w:before="104" w:after="0"/>
        <w:ind w:left="1105" w:right="0" w:hanging="547"/>
        <w:jc w:val="left"/>
        <w:rPr>
          <w:rFonts w:ascii="Arial" w:eastAsia="Arial"/>
          <w:sz w:val="18"/>
        </w:rPr>
      </w:pPr>
      <w:r>
        <w:rPr>
          <w:sz w:val="18"/>
        </w:rPr>
        <w:t>保险费豁免</w:t>
      </w:r>
    </w:p>
    <w:p>
      <w:pPr>
        <w:pStyle w:val="BodyText"/>
        <w:spacing w:line="357" w:lineRule="auto"/>
        <w:ind w:left="1102" w:right="108"/>
        <w:jc w:val="both"/>
      </w:pPr>
      <w:r>
        <w:rPr/>
        <w:t>若您选择分期支付保险费，并且您于本附加合同交费期间内身故，或者您于本附加合同交费期间内</w:t>
      </w:r>
      <w:r>
        <w:rPr>
          <w:b/>
        </w:rPr>
        <w:t>全残</w:t>
      </w:r>
      <w:r>
        <w:rPr/>
        <w:t>（见释义） 且经过</w:t>
      </w:r>
      <w:r>
        <w:rPr>
          <w:b/>
        </w:rPr>
        <w:t>有资质的伤残鉴定机构</w:t>
      </w:r>
      <w:r>
        <w:rPr/>
        <w:t>（见释义）确认，我们将根据本附加合同的约定豁免自您身故或全残后的下一缴费日开始的本附加合同及其主合同的保险费，本附加合同及其主合同继续有效，豁免的保费视为已交。</w:t>
      </w:r>
    </w:p>
    <w:p>
      <w:pPr>
        <w:pStyle w:val="Heading4"/>
        <w:numPr>
          <w:ilvl w:val="1"/>
          <w:numId w:val="4"/>
        </w:numPr>
        <w:tabs>
          <w:tab w:pos="1105" w:val="left" w:leader="none"/>
          <w:tab w:pos="1106" w:val="left" w:leader="none"/>
        </w:tabs>
        <w:spacing w:line="240" w:lineRule="auto" w:before="29" w:after="0"/>
        <w:ind w:left="1105" w:right="0" w:hanging="547"/>
        <w:jc w:val="left"/>
        <w:rPr>
          <w:rFonts w:ascii="Arial" w:eastAsia="Arial"/>
        </w:rPr>
      </w:pPr>
      <w:r>
        <w:rPr>
          <w:w w:val="95"/>
        </w:rPr>
        <w:t>本附加合同终止后或效力中止期间，我们不承担保险责任。</w:t>
      </w:r>
    </w:p>
    <w:p>
      <w:pPr>
        <w:pStyle w:val="ListParagraph"/>
        <w:numPr>
          <w:ilvl w:val="1"/>
          <w:numId w:val="4"/>
        </w:numPr>
        <w:tabs>
          <w:tab w:pos="1105" w:val="left" w:leader="none"/>
          <w:tab w:pos="1106" w:val="left" w:leader="none"/>
        </w:tabs>
        <w:spacing w:line="240" w:lineRule="auto" w:before="107" w:after="0"/>
        <w:ind w:left="1105" w:right="0" w:hanging="547"/>
        <w:jc w:val="left"/>
        <w:rPr>
          <w:rFonts w:ascii="Arial" w:eastAsia="Arial"/>
          <w:b/>
          <w:sz w:val="18"/>
        </w:rPr>
      </w:pPr>
      <w:r>
        <w:rPr>
          <w:b/>
          <w:w w:val="95"/>
          <w:sz w:val="18"/>
        </w:rPr>
        <w:t>若我们同意给付或已实际给付重大疾病保险金，我们将不再承担给付中症疾病保险金或轻症疾病保险金的责任。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7"/>
        </w:numPr>
        <w:tabs>
          <w:tab w:pos="1105" w:val="left" w:leader="none"/>
          <w:tab w:pos="1106" w:val="left" w:leader="none"/>
        </w:tabs>
        <w:spacing w:line="240" w:lineRule="auto" w:before="139" w:after="0"/>
        <w:ind w:left="1105" w:right="0" w:hanging="562"/>
        <w:jc w:val="left"/>
        <w:rPr>
          <w:b/>
          <w:sz w:val="18"/>
        </w:rPr>
      </w:pPr>
      <w:r>
        <w:rPr>
          <w:b/>
          <w:w w:val="95"/>
          <w:sz w:val="18"/>
        </w:rPr>
        <w:t>因下列情形之一，导致被保险人发生疾病、达到疾病状态、进行手术或身故的，我们不承担保险责任：</w:t>
      </w:r>
    </w:p>
    <w:p>
      <w:pPr>
        <w:pStyle w:val="ListParagraph"/>
        <w:numPr>
          <w:ilvl w:val="2"/>
          <w:numId w:val="7"/>
        </w:numPr>
        <w:tabs>
          <w:tab w:pos="1672" w:val="left" w:leader="none"/>
        </w:tabs>
        <w:spacing w:line="240" w:lineRule="auto" w:before="107" w:after="0"/>
        <w:ind w:left="1671" w:right="0" w:hanging="569"/>
        <w:jc w:val="left"/>
        <w:rPr>
          <w:b/>
          <w:sz w:val="18"/>
        </w:rPr>
      </w:pPr>
      <w:r>
        <w:rPr>
          <w:b/>
          <w:w w:val="95"/>
          <w:sz w:val="18"/>
        </w:rPr>
        <w:t>您对被保险人的故意杀害、故意伤害；</w:t>
      </w:r>
    </w:p>
    <w:p>
      <w:pPr>
        <w:pStyle w:val="ListParagraph"/>
        <w:numPr>
          <w:ilvl w:val="2"/>
          <w:numId w:val="7"/>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7"/>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7"/>
        </w:numPr>
        <w:tabs>
          <w:tab w:pos="1672" w:val="left" w:leader="none"/>
        </w:tabs>
        <w:spacing w:line="340" w:lineRule="auto" w:before="106" w:after="0"/>
        <w:ind w:left="1671" w:right="110"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7"/>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7"/>
        </w:numPr>
        <w:tabs>
          <w:tab w:pos="1672" w:val="left" w:leader="none"/>
        </w:tabs>
        <w:spacing w:line="240" w:lineRule="auto" w:before="106" w:after="0"/>
        <w:ind w:left="1671" w:right="0" w:hanging="566"/>
        <w:jc w:val="left"/>
        <w:rPr>
          <w:b/>
          <w:sz w:val="18"/>
        </w:rPr>
      </w:pPr>
      <w:r>
        <w:rPr>
          <w:b/>
          <w:w w:val="95"/>
          <w:sz w:val="18"/>
        </w:rPr>
        <w:t>核爆炸、核辐射或核污染；</w:t>
      </w:r>
    </w:p>
    <w:p>
      <w:pPr>
        <w:pStyle w:val="ListParagraph"/>
        <w:numPr>
          <w:ilvl w:val="2"/>
          <w:numId w:val="7"/>
        </w:numPr>
        <w:tabs>
          <w:tab w:pos="1672" w:val="left" w:leader="none"/>
        </w:tabs>
        <w:spacing w:line="340" w:lineRule="auto" w:before="106" w:after="0"/>
        <w:ind w:left="1671" w:right="103" w:hanging="566"/>
        <w:jc w:val="left"/>
        <w:rPr>
          <w:b/>
          <w:sz w:val="18"/>
        </w:rPr>
      </w:pPr>
      <w:r>
        <w:rPr>
          <w:b/>
          <w:sz w:val="18"/>
        </w:rPr>
        <w:t>被保险人感染艾滋病病毒或患艾滋病（见释义）（因职业关系导致的人类免疫缺陷病毒（</w:t>
      </w:r>
      <w:r>
        <w:rPr>
          <w:rFonts w:ascii="Arial" w:eastAsia="Arial"/>
          <w:b/>
          <w:sz w:val="18"/>
        </w:rPr>
        <w:t>HIV</w:t>
      </w:r>
      <w:r>
        <w:rPr>
          <w:b/>
          <w:sz w:val="18"/>
        </w:rPr>
        <w:t>）感染（见重</w:t>
      </w:r>
      <w:r>
        <w:rPr>
          <w:b/>
          <w:w w:val="95"/>
          <w:sz w:val="18"/>
        </w:rPr>
        <w:t>大疾病释义）、经输血导致的人类免疫缺陷病毒感染（见重大疾病释义）除外）；</w:t>
      </w:r>
    </w:p>
    <w:p>
      <w:pPr>
        <w:pStyle w:val="ListParagraph"/>
        <w:numPr>
          <w:ilvl w:val="2"/>
          <w:numId w:val="7"/>
        </w:numPr>
        <w:tabs>
          <w:tab w:pos="1672" w:val="left" w:leader="none"/>
        </w:tabs>
        <w:spacing w:line="240" w:lineRule="auto" w:before="42" w:after="0"/>
        <w:ind w:left="1671" w:right="0" w:hanging="566"/>
        <w:jc w:val="left"/>
        <w:rPr>
          <w:b/>
          <w:sz w:val="18"/>
        </w:rPr>
      </w:pPr>
      <w:r>
        <w:rPr>
          <w:b/>
          <w:w w:val="95"/>
          <w:sz w:val="18"/>
        </w:rPr>
        <w:t>遗传性疾病（见释义）、先天性畸形、变形或染色体异常（见释义）。</w:t>
      </w:r>
    </w:p>
    <w:p>
      <w:pPr>
        <w:pStyle w:val="ListParagraph"/>
        <w:numPr>
          <w:ilvl w:val="1"/>
          <w:numId w:val="7"/>
        </w:numPr>
        <w:tabs>
          <w:tab w:pos="1047" w:val="left" w:leader="none"/>
          <w:tab w:pos="1048" w:val="left" w:leader="none"/>
        </w:tabs>
        <w:spacing w:line="240" w:lineRule="auto" w:before="107" w:after="0"/>
        <w:ind w:left="1047" w:right="0" w:hanging="504"/>
        <w:jc w:val="left"/>
        <w:rPr>
          <w:b/>
          <w:sz w:val="18"/>
        </w:rPr>
      </w:pPr>
      <w:r>
        <w:rPr>
          <w:b/>
          <w:w w:val="95"/>
          <w:sz w:val="18"/>
        </w:rPr>
        <w:t>因下列情形之一，导致投保人身故或全残的，我们不承担保险费豁免的责任：</w:t>
      </w:r>
    </w:p>
    <w:p>
      <w:pPr>
        <w:pStyle w:val="ListParagraph"/>
        <w:numPr>
          <w:ilvl w:val="2"/>
          <w:numId w:val="7"/>
        </w:numPr>
        <w:tabs>
          <w:tab w:pos="1672" w:val="left" w:leader="none"/>
        </w:tabs>
        <w:spacing w:line="240" w:lineRule="auto" w:before="107" w:after="0"/>
        <w:ind w:left="1671" w:right="0" w:hanging="566"/>
        <w:jc w:val="left"/>
        <w:rPr>
          <w:b/>
          <w:sz w:val="18"/>
        </w:rPr>
      </w:pPr>
      <w:r>
        <w:rPr>
          <w:b/>
          <w:w w:val="95"/>
          <w:sz w:val="18"/>
        </w:rPr>
        <w:t>投保人自残或自伤；</w:t>
      </w:r>
    </w:p>
    <w:p>
      <w:pPr>
        <w:pStyle w:val="ListParagraph"/>
        <w:numPr>
          <w:ilvl w:val="2"/>
          <w:numId w:val="7"/>
        </w:numPr>
        <w:tabs>
          <w:tab w:pos="1672" w:val="left" w:leader="none"/>
        </w:tabs>
        <w:spacing w:line="240" w:lineRule="auto" w:before="107" w:after="0"/>
        <w:ind w:left="1671" w:right="0" w:hanging="566"/>
        <w:jc w:val="left"/>
        <w:rPr>
          <w:b/>
          <w:sz w:val="18"/>
        </w:rPr>
      </w:pPr>
      <w:r>
        <w:rPr>
          <w:b/>
          <w:w w:val="95"/>
          <w:sz w:val="18"/>
        </w:rPr>
        <w:t>投保人故意犯罪或者抗拒依法采取的刑事强制措施；</w:t>
      </w:r>
    </w:p>
    <w:p>
      <w:pPr>
        <w:pStyle w:val="ListParagraph"/>
        <w:numPr>
          <w:ilvl w:val="2"/>
          <w:numId w:val="7"/>
        </w:numPr>
        <w:tabs>
          <w:tab w:pos="1672" w:val="left" w:leader="none"/>
        </w:tabs>
        <w:spacing w:line="240" w:lineRule="auto" w:before="107" w:after="0"/>
        <w:ind w:left="1671" w:right="0" w:hanging="566"/>
        <w:jc w:val="left"/>
        <w:rPr>
          <w:b/>
          <w:sz w:val="18"/>
        </w:rPr>
      </w:pPr>
      <w:r>
        <w:rPr>
          <w:b/>
          <w:spacing w:val="-3"/>
          <w:sz w:val="18"/>
        </w:rPr>
        <w:t>投保人自本合同成立或者合同效力恢复之日起 </w:t>
      </w:r>
      <w:r>
        <w:rPr>
          <w:b/>
          <w:sz w:val="18"/>
        </w:rPr>
        <w:t>2</w:t>
      </w:r>
      <w:r>
        <w:rPr>
          <w:b/>
          <w:spacing w:val="-8"/>
          <w:sz w:val="18"/>
        </w:rPr>
        <w:t> 年内自杀，但投保人自杀时为无民事行为能力人的除外；</w:t>
      </w:r>
    </w:p>
    <w:p>
      <w:pPr>
        <w:pStyle w:val="ListParagraph"/>
        <w:numPr>
          <w:ilvl w:val="2"/>
          <w:numId w:val="7"/>
        </w:numPr>
        <w:tabs>
          <w:tab w:pos="1672" w:val="left" w:leader="none"/>
        </w:tabs>
        <w:spacing w:line="240" w:lineRule="auto" w:before="107" w:after="0"/>
        <w:ind w:left="1671" w:right="0" w:hanging="566"/>
        <w:jc w:val="left"/>
        <w:rPr>
          <w:b/>
          <w:sz w:val="18"/>
        </w:rPr>
      </w:pPr>
      <w:r>
        <w:rPr>
          <w:b/>
          <w:w w:val="95"/>
          <w:sz w:val="18"/>
        </w:rPr>
        <w:t>投保人主动吸食或注射毒品；</w:t>
      </w:r>
    </w:p>
    <w:p>
      <w:pPr>
        <w:pStyle w:val="ListParagraph"/>
        <w:numPr>
          <w:ilvl w:val="2"/>
          <w:numId w:val="7"/>
        </w:numPr>
        <w:tabs>
          <w:tab w:pos="1672" w:val="left" w:leader="none"/>
        </w:tabs>
        <w:spacing w:line="240" w:lineRule="auto" w:before="107" w:after="0"/>
        <w:ind w:left="1671" w:right="0" w:hanging="566"/>
        <w:jc w:val="left"/>
        <w:rPr>
          <w:b/>
          <w:sz w:val="18"/>
        </w:rPr>
      </w:pPr>
      <w:r>
        <w:rPr>
          <w:b/>
          <w:w w:val="95"/>
          <w:sz w:val="18"/>
        </w:rPr>
        <w:t>投保人酒后驾驶，无合法有效驾驶证驾驶，或驾驶无有效行驶证的机动车；</w:t>
      </w:r>
    </w:p>
    <w:p>
      <w:pPr>
        <w:pStyle w:val="ListParagraph"/>
        <w:numPr>
          <w:ilvl w:val="2"/>
          <w:numId w:val="7"/>
        </w:numPr>
        <w:tabs>
          <w:tab w:pos="1672" w:val="left" w:leader="none"/>
        </w:tabs>
        <w:spacing w:line="240" w:lineRule="auto" w:before="104" w:after="0"/>
        <w:ind w:left="1671" w:right="0" w:hanging="566"/>
        <w:jc w:val="left"/>
        <w:rPr>
          <w:b/>
          <w:sz w:val="18"/>
        </w:rPr>
      </w:pPr>
      <w:r>
        <w:rPr>
          <w:b/>
          <w:w w:val="95"/>
          <w:sz w:val="18"/>
        </w:rPr>
        <w:t>战争、军事冲突、暴乱或武装叛乱；</w:t>
      </w:r>
    </w:p>
    <w:p>
      <w:pPr>
        <w:pStyle w:val="ListParagraph"/>
        <w:numPr>
          <w:ilvl w:val="2"/>
          <w:numId w:val="7"/>
        </w:numPr>
        <w:tabs>
          <w:tab w:pos="1672" w:val="left" w:leader="none"/>
        </w:tabs>
        <w:spacing w:line="240" w:lineRule="auto" w:before="106" w:after="0"/>
        <w:ind w:left="1671" w:right="0" w:hanging="566"/>
        <w:jc w:val="left"/>
        <w:rPr>
          <w:b/>
          <w:sz w:val="18"/>
        </w:rPr>
      </w:pPr>
      <w:r>
        <w:rPr>
          <w:b/>
          <w:w w:val="95"/>
          <w:sz w:val="18"/>
        </w:rPr>
        <w:t>核爆炸、核辐射或核污染。</w:t>
      </w:r>
    </w:p>
    <w:p>
      <w:pPr>
        <w:pStyle w:val="ListParagraph"/>
        <w:numPr>
          <w:ilvl w:val="1"/>
          <w:numId w:val="7"/>
        </w:numPr>
        <w:tabs>
          <w:tab w:pos="1106" w:val="left" w:leader="none"/>
        </w:tabs>
        <w:spacing w:line="340" w:lineRule="auto" w:before="107" w:after="0"/>
        <w:ind w:left="1105" w:right="103" w:hanging="567"/>
        <w:jc w:val="both"/>
        <w:rPr>
          <w:sz w:val="18"/>
        </w:rPr>
      </w:pPr>
      <w:r>
        <w:rPr>
          <w:spacing w:val="2"/>
          <w:sz w:val="18"/>
        </w:rPr>
        <w:t>发生上述 </w:t>
      </w:r>
      <w:r>
        <w:rPr>
          <w:rFonts w:ascii="Arial" w:eastAsia="Arial"/>
          <w:sz w:val="18"/>
        </w:rPr>
        <w:t>5.1.1</w:t>
      </w:r>
      <w:r>
        <w:rPr>
          <w:rFonts w:ascii="Arial" w:eastAsia="Arial"/>
          <w:spacing w:val="43"/>
          <w:sz w:val="18"/>
        </w:rPr>
        <w:t> </w:t>
      </w:r>
      <w:r>
        <w:rPr>
          <w:sz w:val="18"/>
        </w:rPr>
        <w:t>情形导致被保险人发生疾病、达到疾病状态、进行手术或身故的，本附加合同及其主合同终止，您</w:t>
      </w:r>
      <w:r>
        <w:rPr>
          <w:spacing w:val="8"/>
          <w:sz w:val="18"/>
        </w:rPr>
        <w:t>已交足 </w:t>
      </w:r>
      <w:r>
        <w:rPr>
          <w:rFonts w:ascii="Arial" w:eastAsia="Arial"/>
          <w:sz w:val="18"/>
        </w:rPr>
        <w:t>2</w:t>
      </w:r>
      <w:r>
        <w:rPr>
          <w:rFonts w:ascii="Arial" w:eastAsia="Arial"/>
          <w:spacing w:val="3"/>
          <w:sz w:val="18"/>
        </w:rPr>
        <w:t> </w:t>
      </w:r>
      <w:r>
        <w:rPr>
          <w:spacing w:val="5"/>
          <w:sz w:val="18"/>
        </w:rPr>
        <w:t>年以上保险费的，我们按照相关法律规定向其他权利人退还本附加合同及其主合同的</w:t>
      </w:r>
      <w:r>
        <w:rPr>
          <w:b/>
          <w:spacing w:val="5"/>
          <w:sz w:val="18"/>
        </w:rPr>
        <w:t>现金价值</w:t>
      </w:r>
      <w:r>
        <w:rPr>
          <w:spacing w:val="5"/>
          <w:sz w:val="18"/>
        </w:rPr>
        <w:t>（</w:t>
      </w:r>
      <w:r>
        <w:rPr>
          <w:spacing w:val="0"/>
          <w:sz w:val="18"/>
        </w:rPr>
        <w:t>见释</w:t>
      </w:r>
      <w:r>
        <w:rPr>
          <w:spacing w:val="-1"/>
          <w:sz w:val="18"/>
        </w:rPr>
        <w:t>义</w:t>
      </w:r>
      <w:r>
        <w:rPr>
          <w:sz w:val="18"/>
        </w:rPr>
        <w:t>）。</w:t>
      </w:r>
    </w:p>
    <w:p>
      <w:pPr>
        <w:pStyle w:val="ListParagraph"/>
        <w:numPr>
          <w:ilvl w:val="1"/>
          <w:numId w:val="7"/>
        </w:numPr>
        <w:tabs>
          <w:tab w:pos="1105" w:val="left" w:leader="none"/>
          <w:tab w:pos="1106" w:val="left" w:leader="none"/>
        </w:tabs>
        <w:spacing w:line="340" w:lineRule="auto" w:before="44" w:after="0"/>
        <w:ind w:left="1105" w:right="108" w:hanging="567"/>
        <w:jc w:val="left"/>
        <w:rPr>
          <w:sz w:val="18"/>
        </w:rPr>
      </w:pPr>
      <w:r>
        <w:rPr>
          <w:spacing w:val="1"/>
          <w:sz w:val="18"/>
        </w:rPr>
        <w:t>发生上述除 </w:t>
      </w:r>
      <w:r>
        <w:rPr>
          <w:rFonts w:ascii="Arial" w:eastAsia="Arial"/>
          <w:sz w:val="18"/>
        </w:rPr>
        <w:t>5.1.1</w:t>
      </w:r>
      <w:r>
        <w:rPr>
          <w:rFonts w:ascii="Arial" w:eastAsia="Arial"/>
          <w:spacing w:val="43"/>
          <w:sz w:val="18"/>
        </w:rPr>
        <w:t> </w:t>
      </w:r>
      <w:r>
        <w:rPr>
          <w:sz w:val="18"/>
        </w:rPr>
        <w:t>外其他情形导致被保险人发生疾病、达到疾病状态、进行手术或身故的，本附加合同及其主合同</w:t>
      </w:r>
      <w:r>
        <w:rPr>
          <w:spacing w:val="-1"/>
          <w:sz w:val="18"/>
        </w:rPr>
        <w:t>终止，我们向您退还本附加合同及其主合同的现金价值。</w:t>
      </w:r>
    </w:p>
    <w:p>
      <w:pPr>
        <w:pStyle w:val="Heading1"/>
        <w:spacing w:before="40"/>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spacing w:val="-1"/>
        </w:rPr>
        <w:t>本附加合同的保险期间由您在投保时与我们约定，并在保险单上载明。</w:t>
      </w:r>
    </w:p>
    <w:p>
      <w:pPr>
        <w:pStyle w:val="Heading1"/>
        <w:ind w:left="519"/>
      </w:pPr>
      <w:bookmarkStart w:name="_bookmark6" w:id="7"/>
      <w:bookmarkEnd w:id="7"/>
      <w:r>
        <w:rPr>
          <w:b w:val="0"/>
        </w:rPr>
      </w:r>
      <w:r>
        <w:rPr/>
        <w:t>第七条 基本保险金额</w:t>
      </w:r>
    </w:p>
    <w:p>
      <w:pPr>
        <w:pStyle w:val="BodyText"/>
        <w:tabs>
          <w:tab w:pos="1131" w:val="left" w:leader="none"/>
        </w:tabs>
        <w:spacing w:before="139"/>
        <w:ind w:left="536"/>
      </w:pPr>
      <w:r>
        <w:rPr>
          <w:rFonts w:ascii="Arial" w:eastAsia="Arial"/>
        </w:rPr>
        <w:t>7.1</w:t>
        <w:tab/>
      </w:r>
      <w:r>
        <w:rPr/>
        <w:t>本附加合同的基本保险金额由您在投保时与我们约定，并在保险单上载明。</w:t>
      </w:r>
    </w:p>
    <w:p>
      <w:pPr>
        <w:pStyle w:val="Heading1"/>
      </w:pPr>
      <w:bookmarkStart w:name="_bookmark7" w:id="8"/>
      <w:bookmarkEnd w:id="8"/>
      <w:r>
        <w:rPr>
          <w:b w:val="0"/>
        </w:rPr>
      </w:r>
      <w:r>
        <w:rPr/>
        <w:t>第八条 受益人</w:t>
      </w:r>
    </w:p>
    <w:p>
      <w:pPr>
        <w:pStyle w:val="ListParagraph"/>
        <w:numPr>
          <w:ilvl w:val="1"/>
          <w:numId w:val="8"/>
        </w:numPr>
        <w:tabs>
          <w:tab w:pos="1105" w:val="left" w:leader="none"/>
          <w:tab w:pos="1106" w:val="left" w:leader="none"/>
        </w:tabs>
        <w:spacing w:line="240" w:lineRule="auto" w:before="141" w:after="0"/>
        <w:ind w:left="1105" w:right="0" w:hanging="567"/>
        <w:jc w:val="left"/>
        <w:rPr>
          <w:sz w:val="18"/>
        </w:rPr>
      </w:pPr>
      <w:r>
        <w:rPr>
          <w:spacing w:val="-1"/>
          <w:sz w:val="18"/>
        </w:rPr>
        <w:t>除另有约定外，本附加合同各项保险金的受益人均为被保险人本人。</w:t>
      </w:r>
    </w:p>
    <w:p>
      <w:pPr>
        <w:spacing w:after="0" w:line="240" w:lineRule="auto"/>
        <w:jc w:val="left"/>
        <w:rPr>
          <w:sz w:val="18"/>
        </w:rPr>
        <w:sectPr>
          <w:pgSz w:w="11910" w:h="16840"/>
          <w:pgMar w:header="672" w:footer="766" w:top="860" w:bottom="960" w:left="880" w:right="740"/>
        </w:sectPr>
      </w:pPr>
    </w:p>
    <w:p>
      <w:pPr>
        <w:pStyle w:val="BodyText"/>
        <w:spacing w:before="9"/>
        <w:ind w:left="0"/>
        <w:rPr>
          <w:sz w:val="13"/>
        </w:rPr>
      </w:pPr>
    </w:p>
    <w:p>
      <w:pPr>
        <w:pStyle w:val="ListParagraph"/>
        <w:numPr>
          <w:ilvl w:val="1"/>
          <w:numId w:val="8"/>
        </w:numPr>
        <w:tabs>
          <w:tab w:pos="1105" w:val="left" w:leader="none"/>
          <w:tab w:pos="1106" w:val="left" w:leader="none"/>
        </w:tabs>
        <w:spacing w:line="240" w:lineRule="auto" w:before="53" w:after="0"/>
        <w:ind w:left="1105" w:right="0" w:hanging="567"/>
        <w:jc w:val="left"/>
        <w:rPr>
          <w:sz w:val="18"/>
        </w:rPr>
      </w:pPr>
      <w:r>
        <w:rPr>
          <w:sz w:val="18"/>
        </w:rPr>
        <w:t>受益人为多人时，可以确定受益顺序和受益份额；如果没有确定份额，各受益人按照相等份额享有受益权。</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被保险人为无民事行为能力人或限制民事行为能力人的，可以由其监护人指定受益人。</w:t>
      </w:r>
    </w:p>
    <w:p>
      <w:pPr>
        <w:pStyle w:val="ListParagraph"/>
        <w:numPr>
          <w:ilvl w:val="1"/>
          <w:numId w:val="8"/>
        </w:numPr>
        <w:tabs>
          <w:tab w:pos="1105" w:val="left" w:leader="none"/>
          <w:tab w:pos="1106" w:val="left" w:leader="none"/>
        </w:tabs>
        <w:spacing w:line="340" w:lineRule="auto" w:before="104" w:after="0"/>
        <w:ind w:left="1105" w:right="114" w:hanging="567"/>
        <w:jc w:val="left"/>
        <w:rPr>
          <w:sz w:val="18"/>
        </w:rPr>
      </w:pPr>
      <w:r>
        <w:rPr>
          <w:sz w:val="18"/>
        </w:rPr>
        <w:t>您或者被保险人可以变更受益人并书面通知我们。我们收到变更受益人的书面通知后，在保险单或其他保险凭证上</w:t>
      </w:r>
      <w:r>
        <w:rPr>
          <w:spacing w:val="-1"/>
          <w:sz w:val="18"/>
        </w:rPr>
        <w:t>批注或附贴批单。</w:t>
      </w:r>
    </w:p>
    <w:p>
      <w:pPr>
        <w:pStyle w:val="ListParagraph"/>
        <w:numPr>
          <w:ilvl w:val="1"/>
          <w:numId w:val="8"/>
        </w:numPr>
        <w:tabs>
          <w:tab w:pos="1105" w:val="left" w:leader="none"/>
          <w:tab w:pos="1106" w:val="left" w:leader="none"/>
        </w:tabs>
        <w:spacing w:line="240" w:lineRule="auto" w:before="44" w:after="0"/>
        <w:ind w:left="1105" w:right="0" w:hanging="567"/>
        <w:jc w:val="left"/>
        <w:rPr>
          <w:sz w:val="18"/>
        </w:rPr>
      </w:pPr>
      <w:r>
        <w:rPr>
          <w:sz w:val="18"/>
        </w:rPr>
        <w:t>您在指定和变更受益人时，必须经过被保险人同意。</w:t>
      </w:r>
    </w:p>
    <w:p>
      <w:pPr>
        <w:pStyle w:val="ListParagraph"/>
        <w:numPr>
          <w:ilvl w:val="1"/>
          <w:numId w:val="8"/>
        </w:numPr>
        <w:tabs>
          <w:tab w:pos="1105" w:val="left" w:leader="none"/>
          <w:tab w:pos="1106" w:val="left" w:leader="none"/>
        </w:tabs>
        <w:spacing w:line="338" w:lineRule="auto" w:before="106" w:after="0"/>
        <w:ind w:left="1105" w:right="114" w:hanging="567"/>
        <w:jc w:val="left"/>
        <w:rPr>
          <w:sz w:val="18"/>
        </w:rPr>
      </w:pPr>
      <w:r>
        <w:rPr>
          <w:sz w:val="18"/>
        </w:rPr>
        <w:t>被保险人身故后，有下列情形之一的，保险金作为被保险人的遗产，由我们依照《中华人民共和国继承法》的规定</w:t>
      </w:r>
      <w:r>
        <w:rPr>
          <w:spacing w:val="-1"/>
          <w:sz w:val="18"/>
        </w:rPr>
        <w:t>履行给付保险金的义务：</w:t>
      </w:r>
    </w:p>
    <w:p>
      <w:pPr>
        <w:pStyle w:val="ListParagraph"/>
        <w:numPr>
          <w:ilvl w:val="2"/>
          <w:numId w:val="8"/>
        </w:numPr>
        <w:tabs>
          <w:tab w:pos="1552" w:val="left" w:leader="none"/>
        </w:tabs>
        <w:spacing w:line="240" w:lineRule="auto" w:before="45" w:after="0"/>
        <w:ind w:left="1551" w:right="0" w:hanging="415"/>
        <w:jc w:val="left"/>
        <w:rPr>
          <w:sz w:val="18"/>
        </w:rPr>
      </w:pPr>
      <w:r>
        <w:rPr>
          <w:w w:val="95"/>
          <w:sz w:val="18"/>
        </w:rPr>
        <w:t>没有指定受益人，或者受益人指定不明无法确定的；</w:t>
      </w:r>
    </w:p>
    <w:p>
      <w:pPr>
        <w:pStyle w:val="ListParagraph"/>
        <w:numPr>
          <w:ilvl w:val="2"/>
          <w:numId w:val="8"/>
        </w:numPr>
        <w:tabs>
          <w:tab w:pos="1552" w:val="left" w:leader="none"/>
        </w:tabs>
        <w:spacing w:line="240" w:lineRule="auto" w:before="106" w:after="0"/>
        <w:ind w:left="1551" w:right="0" w:hanging="415"/>
        <w:jc w:val="left"/>
        <w:rPr>
          <w:sz w:val="18"/>
        </w:rPr>
      </w:pPr>
      <w:r>
        <w:rPr>
          <w:w w:val="95"/>
          <w:sz w:val="18"/>
        </w:rPr>
        <w:t>受益人先于被保险人身故，没有其他受益人的；</w:t>
      </w:r>
    </w:p>
    <w:p>
      <w:pPr>
        <w:pStyle w:val="ListParagraph"/>
        <w:numPr>
          <w:ilvl w:val="2"/>
          <w:numId w:val="8"/>
        </w:numPr>
        <w:tabs>
          <w:tab w:pos="1552" w:val="left" w:leader="none"/>
        </w:tabs>
        <w:spacing w:line="240" w:lineRule="auto" w:before="106" w:after="0"/>
        <w:ind w:left="1551" w:right="0" w:hanging="415"/>
        <w:jc w:val="left"/>
        <w:rPr>
          <w:sz w:val="18"/>
        </w:rPr>
      </w:pPr>
      <w:r>
        <w:rPr>
          <w:w w:val="95"/>
          <w:sz w:val="18"/>
        </w:rPr>
        <w:t>受益人依法丧失受益权或者放弃收益权，没有其他受益人的。</w:t>
      </w:r>
    </w:p>
    <w:p>
      <w:pPr>
        <w:pStyle w:val="ListParagraph"/>
        <w:numPr>
          <w:ilvl w:val="1"/>
          <w:numId w:val="8"/>
        </w:numPr>
        <w:tabs>
          <w:tab w:pos="1105" w:val="left" w:leader="none"/>
          <w:tab w:pos="1106" w:val="left" w:leader="none"/>
        </w:tabs>
        <w:spacing w:line="240" w:lineRule="auto" w:before="104" w:after="0"/>
        <w:ind w:left="1105" w:right="0" w:hanging="567"/>
        <w:jc w:val="left"/>
        <w:rPr>
          <w:sz w:val="18"/>
        </w:rPr>
      </w:pPr>
      <w:r>
        <w:rPr>
          <w:sz w:val="18"/>
        </w:rPr>
        <w:t>受益人与被保险人在同一事件中身故，且不能确定身故先后顺序的，推定受益人身故在先。</w:t>
      </w:r>
    </w:p>
    <w:p>
      <w:pPr>
        <w:pStyle w:val="Heading1"/>
        <w:spacing w:before="106"/>
      </w:pPr>
      <w:bookmarkStart w:name="_bookmark8" w:id="9"/>
      <w:bookmarkEnd w:id="9"/>
      <w:r>
        <w:rPr>
          <w:b w:val="0"/>
        </w:rPr>
      </w:r>
      <w:r>
        <w:rPr/>
        <w:t>第九条 保险金申请</w:t>
      </w:r>
    </w:p>
    <w:p>
      <w:pPr>
        <w:pStyle w:val="ListParagraph"/>
        <w:numPr>
          <w:ilvl w:val="1"/>
          <w:numId w:val="9"/>
        </w:numPr>
        <w:tabs>
          <w:tab w:pos="1105" w:val="left" w:leader="none"/>
          <w:tab w:pos="1106" w:val="left" w:leader="none"/>
        </w:tabs>
        <w:spacing w:line="340" w:lineRule="auto" w:before="142" w:after="0"/>
        <w:ind w:left="1105" w:right="108" w:hanging="567"/>
        <w:jc w:val="left"/>
        <w:rPr>
          <w:sz w:val="18"/>
        </w:rPr>
      </w:pPr>
      <w:r>
        <w:rPr>
          <w:sz w:val="18"/>
        </w:rPr>
        <w:t>本附加合同下各项保险金的申请人为保险金受益人，在申请上述各项保险金时，申请人须填写保险金给付申请书， 并提供下列证明和资料：</w:t>
      </w:r>
    </w:p>
    <w:p>
      <w:pPr>
        <w:pStyle w:val="ListParagraph"/>
        <w:numPr>
          <w:ilvl w:val="2"/>
          <w:numId w:val="9"/>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9"/>
        </w:numPr>
        <w:tabs>
          <w:tab w:pos="1642" w:val="left" w:leader="none"/>
          <w:tab w:pos="1643" w:val="left" w:leader="none"/>
        </w:tabs>
        <w:spacing w:line="240" w:lineRule="auto" w:before="106" w:after="0"/>
        <w:ind w:left="1642" w:right="0" w:hanging="537"/>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9"/>
        </w:numPr>
        <w:tabs>
          <w:tab w:pos="1671" w:val="left" w:leader="none"/>
          <w:tab w:pos="1672" w:val="left" w:leader="none"/>
        </w:tabs>
        <w:spacing w:line="240" w:lineRule="auto" w:before="106" w:after="0"/>
        <w:ind w:left="1671" w:right="0" w:hanging="566"/>
        <w:jc w:val="left"/>
        <w:rPr>
          <w:sz w:val="18"/>
        </w:rPr>
      </w:pPr>
      <w:r>
        <w:rPr>
          <w:b/>
          <w:w w:val="95"/>
          <w:sz w:val="18"/>
        </w:rPr>
        <w:t>专科医生</w:t>
      </w:r>
      <w:r>
        <w:rPr>
          <w:spacing w:val="-1"/>
          <w:w w:val="95"/>
          <w:sz w:val="18"/>
        </w:rPr>
        <w:t>出具的被保险人病理组织学检查、血液检查、及其他科学方法检验报告的疾病诊断证明书；</w:t>
      </w:r>
    </w:p>
    <w:p>
      <w:pPr>
        <w:pStyle w:val="ListParagraph"/>
        <w:numPr>
          <w:ilvl w:val="2"/>
          <w:numId w:val="9"/>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9"/>
        </w:numPr>
        <w:tabs>
          <w:tab w:pos="1642" w:val="left" w:leader="none"/>
          <w:tab w:pos="1643" w:val="left" w:leader="none"/>
        </w:tabs>
        <w:spacing w:line="240" w:lineRule="auto" w:before="106" w:after="0"/>
        <w:ind w:left="1642" w:right="0" w:hanging="537"/>
        <w:jc w:val="left"/>
        <w:rPr>
          <w:sz w:val="18"/>
        </w:rPr>
      </w:pPr>
      <w:r>
        <w:rPr>
          <w:w w:val="95"/>
          <w:sz w:val="18"/>
        </w:rPr>
        <w:t>申请人与被保险人的相关关系证明（如有需要）。</w:t>
      </w:r>
    </w:p>
    <w:p>
      <w:pPr>
        <w:pStyle w:val="ListParagraph"/>
        <w:numPr>
          <w:ilvl w:val="1"/>
          <w:numId w:val="9"/>
        </w:numPr>
        <w:tabs>
          <w:tab w:pos="1105" w:val="left" w:leader="none"/>
          <w:tab w:pos="1106" w:val="left" w:leader="none"/>
        </w:tabs>
        <w:spacing w:line="240" w:lineRule="auto" w:before="103" w:after="0"/>
        <w:ind w:left="1105" w:right="0" w:hanging="567"/>
        <w:jc w:val="left"/>
        <w:rPr>
          <w:sz w:val="18"/>
        </w:rPr>
      </w:pPr>
      <w:r>
        <w:rPr>
          <w:sz w:val="18"/>
        </w:rPr>
        <w:t>保险金作为被保险人遗产时，必须提供可证明合法继承权的相关权利文件。</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pacing w:val="-1"/>
          <w:sz w:val="18"/>
        </w:rPr>
        <w:t>以上证明和资料不完整的，我们将及时一次性通知申请人补充提供有关的证明和资料。</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9"/>
        </w:numPr>
        <w:tabs>
          <w:tab w:pos="1105" w:val="left" w:leader="none"/>
          <w:tab w:pos="1106" w:val="left" w:leader="none"/>
        </w:tabs>
        <w:spacing w:line="240" w:lineRule="auto" w:before="106" w:after="0"/>
        <w:ind w:left="1105" w:right="0" w:hanging="567"/>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5" w:val="left" w:leader="none"/>
        </w:tabs>
        <w:spacing w:before="139"/>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10"/>
        </w:rPr>
        <w:t> </w:t>
      </w:r>
      <w:r>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0"/>
        </w:numPr>
        <w:tabs>
          <w:tab w:pos="1131" w:val="left" w:leader="none"/>
          <w:tab w:pos="1132" w:val="left" w:leader="none"/>
        </w:tabs>
        <w:spacing w:line="240" w:lineRule="auto" w:before="142" w:after="0"/>
        <w:ind w:left="1131" w:right="0" w:hanging="595"/>
        <w:jc w:val="left"/>
        <w:rPr>
          <w:sz w:val="18"/>
        </w:rPr>
      </w:pPr>
      <w:r>
        <w:rPr>
          <w:sz w:val="18"/>
        </w:rPr>
        <w:t>发生下列情况之一时，本附加合同即行终止：</w:t>
      </w:r>
    </w:p>
    <w:p>
      <w:pPr>
        <w:pStyle w:val="ListParagraph"/>
        <w:numPr>
          <w:ilvl w:val="2"/>
          <w:numId w:val="10"/>
        </w:numPr>
        <w:tabs>
          <w:tab w:pos="1642" w:val="left" w:leader="none"/>
          <w:tab w:pos="1643" w:val="left" w:leader="none"/>
        </w:tabs>
        <w:spacing w:line="240" w:lineRule="auto" w:before="107" w:after="0"/>
        <w:ind w:left="1642" w:right="0" w:hanging="561"/>
        <w:jc w:val="left"/>
        <w:rPr>
          <w:sz w:val="18"/>
        </w:rPr>
      </w:pPr>
      <w:r>
        <w:rPr>
          <w:w w:val="95"/>
          <w:sz w:val="18"/>
        </w:rPr>
        <w:t>主合同解除或终止；</w:t>
      </w:r>
    </w:p>
    <w:p>
      <w:pPr>
        <w:pStyle w:val="ListParagraph"/>
        <w:numPr>
          <w:ilvl w:val="2"/>
          <w:numId w:val="10"/>
        </w:numPr>
        <w:tabs>
          <w:tab w:pos="1642" w:val="left" w:leader="none"/>
          <w:tab w:pos="1643" w:val="left" w:leader="none"/>
        </w:tabs>
        <w:spacing w:line="240" w:lineRule="auto" w:before="104" w:after="0"/>
        <w:ind w:left="1642" w:right="0" w:hanging="561"/>
        <w:jc w:val="left"/>
        <w:rPr>
          <w:sz w:val="18"/>
        </w:rPr>
      </w:pPr>
      <w:r>
        <w:rPr>
          <w:w w:val="95"/>
          <w:sz w:val="18"/>
        </w:rPr>
        <w:t>本附加合同期满；</w:t>
      </w:r>
    </w:p>
    <w:p>
      <w:pPr>
        <w:pStyle w:val="ListParagraph"/>
        <w:numPr>
          <w:ilvl w:val="2"/>
          <w:numId w:val="10"/>
        </w:numPr>
        <w:tabs>
          <w:tab w:pos="1642" w:val="left" w:leader="none"/>
          <w:tab w:pos="1643" w:val="left" w:leader="none"/>
        </w:tabs>
        <w:spacing w:line="240" w:lineRule="auto" w:before="107"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1"/>
        </w:numPr>
        <w:tabs>
          <w:tab w:pos="1131" w:val="left" w:leader="none"/>
          <w:tab w:pos="1132" w:val="left" w:leader="none"/>
        </w:tabs>
        <w:spacing w:line="240" w:lineRule="auto" w:before="141" w:after="0"/>
        <w:ind w:left="1102" w:right="0" w:hanging="566"/>
        <w:jc w:val="left"/>
        <w:rPr>
          <w:sz w:val="18"/>
        </w:rPr>
      </w:pPr>
      <w:r>
        <w:rPr>
          <w:sz w:val="18"/>
        </w:rPr>
        <w:t>您可以申请同时解除主合同和本附加合同。如您申请解除，请填写保险合同终止申请书并向我们提供下列资料：</w:t>
      </w:r>
    </w:p>
    <w:p>
      <w:pPr>
        <w:pStyle w:val="ListParagraph"/>
        <w:numPr>
          <w:ilvl w:val="2"/>
          <w:numId w:val="11"/>
        </w:numPr>
        <w:tabs>
          <w:tab w:pos="1822" w:val="left" w:leader="none"/>
          <w:tab w:pos="1823" w:val="left" w:leader="none"/>
        </w:tabs>
        <w:spacing w:line="240" w:lineRule="auto" w:before="104" w:after="0"/>
        <w:ind w:left="1822" w:right="0" w:hanging="578"/>
        <w:jc w:val="left"/>
        <w:rPr>
          <w:sz w:val="18"/>
        </w:rPr>
      </w:pPr>
      <w:r>
        <w:rPr>
          <w:w w:val="95"/>
          <w:sz w:val="18"/>
        </w:rPr>
        <w:t>保险合同；</w:t>
      </w:r>
    </w:p>
    <w:p>
      <w:pPr>
        <w:pStyle w:val="ListParagraph"/>
        <w:numPr>
          <w:ilvl w:val="2"/>
          <w:numId w:val="11"/>
        </w:numPr>
        <w:tabs>
          <w:tab w:pos="1822" w:val="left" w:leader="none"/>
          <w:tab w:pos="1823" w:val="left" w:leader="none"/>
        </w:tabs>
        <w:spacing w:line="240" w:lineRule="auto" w:before="106" w:after="0"/>
        <w:ind w:left="1822" w:right="0" w:hanging="578"/>
        <w:jc w:val="left"/>
        <w:rPr>
          <w:sz w:val="18"/>
        </w:rPr>
      </w:pPr>
      <w:r>
        <w:rPr>
          <w:w w:val="95"/>
          <w:sz w:val="18"/>
        </w:rPr>
        <w:t>您的</w:t>
      </w:r>
      <w:r>
        <w:rPr>
          <w:b/>
          <w:w w:val="95"/>
          <w:sz w:val="18"/>
        </w:rPr>
        <w:t>有效身份证件</w:t>
      </w:r>
      <w:r>
        <w:rPr>
          <w:w w:val="95"/>
          <w:sz w:val="18"/>
        </w:rPr>
        <w:t>。</w:t>
      </w:r>
    </w:p>
    <w:p>
      <w:pPr>
        <w:pStyle w:val="ListParagraph"/>
        <w:numPr>
          <w:ilvl w:val="1"/>
          <w:numId w:val="11"/>
        </w:numPr>
        <w:tabs>
          <w:tab w:pos="1106" w:val="left" w:leader="none"/>
        </w:tabs>
        <w:spacing w:line="348" w:lineRule="auto" w:before="106" w:after="0"/>
        <w:ind w:left="1102" w:right="175" w:hanging="566"/>
        <w:jc w:val="both"/>
        <w:rPr>
          <w:sz w:val="18"/>
        </w:rPr>
      </w:pPr>
      <w:r>
        <w:rPr>
          <w:sz w:val="18"/>
        </w:rPr>
        <w:t>如您在</w:t>
      </w:r>
      <w:r>
        <w:rPr>
          <w:b/>
          <w:sz w:val="18"/>
        </w:rPr>
        <w:t>犹豫期</w:t>
      </w:r>
      <w:r>
        <w:rPr>
          <w:sz w:val="18"/>
        </w:rPr>
        <w:t>（见释义）</w:t>
      </w:r>
      <w:r>
        <w:rPr>
          <w:spacing w:val="-2"/>
          <w:sz w:val="18"/>
        </w:rPr>
        <w:t>内申请解除主合同和本附加合同，自我们收到保险合同终止申请书时起，主合同和本附加</w:t>
      </w:r>
      <w:r>
        <w:rPr>
          <w:spacing w:val="-2"/>
          <w:w w:val="95"/>
          <w:sz w:val="18"/>
        </w:rPr>
        <w:t>合同终止，</w:t>
      </w:r>
      <w:r>
        <w:rPr>
          <w:b/>
          <w:spacing w:val="-2"/>
          <w:w w:val="95"/>
          <w:sz w:val="18"/>
        </w:rPr>
        <w:t>我们自主合同和本附加合同生效日起自始不承担本附加合同的任何保险责任</w:t>
      </w:r>
      <w:r>
        <w:rPr>
          <w:spacing w:val="-2"/>
          <w:w w:val="95"/>
          <w:sz w:val="18"/>
        </w:rPr>
        <w:t>，并将自收到保险合同终止    </w:t>
      </w:r>
      <w:r>
        <w:rPr>
          <w:spacing w:val="-9"/>
          <w:sz w:val="18"/>
        </w:rPr>
        <w:t>申请书之日起 </w:t>
      </w:r>
      <w:r>
        <w:rPr>
          <w:rFonts w:ascii="Arial" w:eastAsia="Arial"/>
          <w:sz w:val="18"/>
        </w:rPr>
        <w:t>30</w:t>
      </w:r>
      <w:r>
        <w:rPr>
          <w:rFonts w:ascii="Arial" w:eastAsia="Arial"/>
          <w:spacing w:val="-10"/>
          <w:sz w:val="18"/>
        </w:rPr>
        <w:t> </w:t>
      </w:r>
      <w:r>
        <w:rPr>
          <w:spacing w:val="-1"/>
          <w:sz w:val="18"/>
        </w:rPr>
        <w:t>日内无息退还已收保险费。</w:t>
      </w:r>
    </w:p>
    <w:p>
      <w:pPr>
        <w:pStyle w:val="ListParagraph"/>
        <w:numPr>
          <w:ilvl w:val="1"/>
          <w:numId w:val="11"/>
        </w:numPr>
        <w:tabs>
          <w:tab w:pos="1105" w:val="left" w:leader="none"/>
          <w:tab w:pos="1106" w:val="left" w:leader="none"/>
        </w:tabs>
        <w:spacing w:line="340" w:lineRule="auto" w:before="16" w:after="0"/>
        <w:ind w:left="1102" w:right="180" w:hanging="566"/>
        <w:jc w:val="left"/>
        <w:rPr>
          <w:sz w:val="18"/>
        </w:rPr>
      </w:pPr>
      <w:r>
        <w:rPr>
          <w:sz w:val="18"/>
        </w:rPr>
        <w:t>如您在</w:t>
      </w:r>
      <w:r>
        <w:rPr>
          <w:b/>
          <w:sz w:val="18"/>
        </w:rPr>
        <w:t>犹豫期</w:t>
      </w:r>
      <w:r>
        <w:rPr>
          <w:spacing w:val="-1"/>
          <w:sz w:val="18"/>
        </w:rPr>
        <w:t>后申请解除主合同和本附加合同，自我们收到保险合同终止申请书时起，主合同和本附加合同终止。</w:t>
      </w:r>
      <w:r>
        <w:rPr>
          <w:spacing w:val="-4"/>
          <w:sz w:val="18"/>
        </w:rPr>
        <w:t>我们自收到保险合同终止申请书之日起 </w:t>
      </w:r>
      <w:r>
        <w:rPr>
          <w:rFonts w:ascii="Arial" w:eastAsia="Arial"/>
          <w:sz w:val="18"/>
        </w:rPr>
        <w:t>30</w:t>
      </w:r>
      <w:r>
        <w:rPr>
          <w:rFonts w:ascii="Arial" w:eastAsia="Arial"/>
          <w:spacing w:val="-10"/>
          <w:sz w:val="18"/>
        </w:rPr>
        <w:t> </w:t>
      </w:r>
      <w:r>
        <w:rPr>
          <w:spacing w:val="-1"/>
          <w:sz w:val="18"/>
        </w:rPr>
        <w:t>日内向您退还主合同和本附加合同的</w:t>
      </w:r>
      <w:r>
        <w:rPr>
          <w:b/>
          <w:sz w:val="18"/>
        </w:rPr>
        <w:t>现金价值</w:t>
      </w:r>
      <w:r>
        <w:rPr>
          <w:sz w:val="18"/>
        </w:rPr>
        <w:t>。</w:t>
      </w:r>
    </w:p>
    <w:p>
      <w:pPr>
        <w:pStyle w:val="ListParagraph"/>
        <w:numPr>
          <w:ilvl w:val="1"/>
          <w:numId w:val="11"/>
        </w:numPr>
        <w:tabs>
          <w:tab w:pos="1105" w:val="left" w:leader="none"/>
          <w:tab w:pos="1106" w:val="left" w:leader="none"/>
        </w:tabs>
        <w:spacing w:line="240" w:lineRule="auto" w:before="19" w:after="0"/>
        <w:ind w:left="1105" w:right="0" w:hanging="569"/>
        <w:jc w:val="left"/>
        <w:rPr>
          <w:sz w:val="18"/>
        </w:rPr>
      </w:pPr>
      <w:r>
        <w:rPr>
          <w:w w:val="95"/>
          <w:sz w:val="18"/>
        </w:rPr>
        <w:t>您</w:t>
      </w:r>
      <w:r>
        <w:rPr>
          <w:b/>
          <w:w w:val="95"/>
          <w:sz w:val="18"/>
        </w:rPr>
        <w:t>犹豫期</w:t>
      </w:r>
      <w:r>
        <w:rPr>
          <w:spacing w:val="-1"/>
          <w:w w:val="95"/>
          <w:sz w:val="18"/>
        </w:rPr>
        <w:t>后解除合同会遭受一定损失。</w:t>
      </w:r>
    </w:p>
    <w:p>
      <w:pPr>
        <w:spacing w:after="0" w:line="240" w:lineRule="auto"/>
        <w:jc w:val="left"/>
        <w:rPr>
          <w:sz w:val="18"/>
        </w:rPr>
        <w:sectPr>
          <w:pgSz w:w="11910" w:h="16840"/>
          <w:pgMar w:header="672" w:footer="766" w:top="860" w:bottom="960" w:left="880" w:right="740"/>
        </w:sectPr>
      </w:pPr>
    </w:p>
    <w:p>
      <w:pPr>
        <w:pStyle w:val="BodyText"/>
        <w:spacing w:before="1"/>
        <w:ind w:left="0"/>
        <w:rPr>
          <w:sz w:val="15"/>
        </w:rPr>
      </w:pPr>
    </w:p>
    <w:p>
      <w:pPr>
        <w:pStyle w:val="Heading1"/>
        <w:tabs>
          <w:tab w:pos="1623" w:val="left" w:leader="none"/>
        </w:tabs>
        <w:spacing w:before="36"/>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2"/>
        </w:numPr>
        <w:tabs>
          <w:tab w:pos="1105" w:val="left" w:leader="none"/>
          <w:tab w:pos="1106" w:val="left" w:leader="none"/>
        </w:tabs>
        <w:spacing w:line="240" w:lineRule="auto" w:before="142" w:after="0"/>
        <w:ind w:left="1105" w:right="0" w:hanging="567"/>
        <w:jc w:val="left"/>
        <w:rPr>
          <w:sz w:val="18"/>
        </w:rPr>
      </w:pPr>
      <w:r>
        <w:rPr>
          <w:sz w:val="18"/>
        </w:rPr>
        <w:t>恶性肿瘤</w:t>
      </w:r>
    </w:p>
    <w:p>
      <w:pPr>
        <w:pStyle w:val="BodyText"/>
        <w:spacing w:line="357" w:lineRule="auto" w:before="104"/>
        <w:ind w:left="1112" w:right="17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w w:val="95"/>
        </w:rPr>
        <w:t>类》</w:t>
      </w:r>
      <w:r>
        <w:rPr>
          <w:w w:val="95"/>
        </w:rPr>
        <w:t>（</w:t>
      </w:r>
      <w:r>
        <w:rPr>
          <w:rFonts w:ascii="Arial" w:eastAsia="Arial"/>
          <w:w w:val="95"/>
        </w:rPr>
        <w:t>ICD-10</w:t>
      </w:r>
      <w:r>
        <w:rPr>
          <w:w w:val="95"/>
        </w:rPr>
        <w:t>）的恶性肿瘤范畴。</w:t>
      </w:r>
    </w:p>
    <w:p>
      <w:pPr>
        <w:pStyle w:val="Heading4"/>
        <w:spacing w:before="3"/>
        <w:ind w:left="1112"/>
      </w:pPr>
      <w:r>
        <w:rPr>
          <w:w w:val="95"/>
        </w:rPr>
        <w:t>下列疾病不在保障范围内：</w:t>
      </w:r>
    </w:p>
    <w:p>
      <w:pPr>
        <w:spacing w:before="117"/>
        <w:ind w:left="1213" w:right="0" w:firstLine="0"/>
        <w:jc w:val="left"/>
        <w:rPr>
          <w:b/>
          <w:sz w:val="18"/>
        </w:rPr>
      </w:pPr>
      <w:r>
        <w:rPr>
          <w:b/>
          <w:w w:val="95"/>
          <w:sz w:val="18"/>
        </w:rPr>
        <w:t>（</w:t>
      </w:r>
      <w:r>
        <w:rPr>
          <w:rFonts w:ascii="Arial" w:eastAsia="Arial"/>
          <w:b/>
          <w:w w:val="95"/>
          <w:sz w:val="18"/>
        </w:rPr>
        <w:t>1</w:t>
      </w:r>
      <w:r>
        <w:rPr>
          <w:b/>
          <w:w w:val="95"/>
          <w:sz w:val="18"/>
        </w:rPr>
        <w:t>）原位癌（见释义）；</w:t>
      </w:r>
    </w:p>
    <w:p>
      <w:pPr>
        <w:spacing w:before="101"/>
        <w:ind w:left="1213"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1"/>
        <w:ind w:left="1213"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1"/>
        <w:ind w:left="1213"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3"/>
        <w:ind w:left="1213"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3"/>
        <w:ind w:left="1213"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2"/>
        </w:numPr>
        <w:tabs>
          <w:tab w:pos="1105" w:val="left" w:leader="none"/>
          <w:tab w:pos="1106" w:val="left" w:leader="none"/>
        </w:tabs>
        <w:spacing w:line="240" w:lineRule="auto" w:before="104" w:after="0"/>
        <w:ind w:left="1105" w:right="0" w:hanging="567"/>
        <w:jc w:val="left"/>
        <w:rPr>
          <w:sz w:val="18"/>
        </w:rPr>
      </w:pPr>
      <w:r>
        <w:rPr>
          <w:sz w:val="18"/>
        </w:rPr>
        <w:t>急性心肌梗塞</w:t>
      </w:r>
    </w:p>
    <w:p>
      <w:pPr>
        <w:pStyle w:val="BodyText"/>
        <w:spacing w:before="104"/>
        <w:ind w:left="1112"/>
      </w:pPr>
      <w:r>
        <w:rPr/>
        <w:t>指因冠状动脉阻塞导致的相应区域供血不足造成部分心肌坏死。须满足下列至少三项条件：</w:t>
      </w:r>
    </w:p>
    <w:p>
      <w:pPr>
        <w:pStyle w:val="BodyText"/>
        <w:spacing w:before="114"/>
        <w:ind w:left="1213"/>
      </w:pPr>
      <w:r>
        <w:rPr/>
        <w:t>（</w:t>
      </w:r>
      <w:r>
        <w:rPr>
          <w:rFonts w:ascii="Arial" w:eastAsia="Arial"/>
        </w:rPr>
        <w:t>1</w:t>
      </w:r>
      <w:r>
        <w:rPr/>
        <w:t>）典型临床表现，例如急性胸痛等；</w:t>
      </w:r>
    </w:p>
    <w:p>
      <w:pPr>
        <w:pStyle w:val="BodyText"/>
        <w:spacing w:before="101"/>
        <w:ind w:left="1213"/>
      </w:pPr>
      <w:r>
        <w:rPr/>
        <w:t>（</w:t>
      </w:r>
      <w:r>
        <w:rPr>
          <w:rFonts w:ascii="Arial" w:eastAsia="Arial"/>
        </w:rPr>
        <w:t>2</w:t>
      </w:r>
      <w:r>
        <w:rPr/>
        <w:t>）新近的心电图改变提示急性心肌梗塞；</w:t>
      </w:r>
    </w:p>
    <w:p>
      <w:pPr>
        <w:pStyle w:val="BodyText"/>
        <w:spacing w:before="104"/>
        <w:ind w:left="1213"/>
      </w:pPr>
      <w:r>
        <w:rPr/>
        <w:t>（</w:t>
      </w:r>
      <w:r>
        <w:rPr>
          <w:rFonts w:ascii="Arial" w:eastAsia="Arial"/>
        </w:rPr>
        <w:t>3</w:t>
      </w:r>
      <w:r>
        <w:rPr/>
        <w:t>）心肌酶或肌钙蛋白有诊断意义的升高，或呈符合急性心肌梗塞的动态性变化；</w:t>
      </w:r>
    </w:p>
    <w:p>
      <w:pPr>
        <w:pStyle w:val="BodyText"/>
        <w:spacing w:before="102"/>
        <w:ind w:left="1213"/>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2"/>
        </w:numPr>
        <w:tabs>
          <w:tab w:pos="1105" w:val="left" w:leader="none"/>
          <w:tab w:pos="1106" w:val="left" w:leader="none"/>
        </w:tabs>
        <w:spacing w:line="240" w:lineRule="auto" w:before="104" w:after="0"/>
        <w:ind w:left="1105" w:right="0" w:hanging="567"/>
        <w:jc w:val="left"/>
        <w:rPr>
          <w:sz w:val="18"/>
        </w:rPr>
      </w:pPr>
      <w:r>
        <w:rPr>
          <w:sz w:val="18"/>
        </w:rPr>
        <w:t>脑中风后遗症</w:t>
      </w:r>
    </w:p>
    <w:p>
      <w:pPr>
        <w:pStyle w:val="BodyText"/>
        <w:spacing w:line="357" w:lineRule="auto" w:before="104"/>
        <w:ind w:left="1112" w:right="174"/>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5"/>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2"/>
        </w:numPr>
        <w:tabs>
          <w:tab w:pos="1105" w:val="left" w:leader="none"/>
          <w:tab w:pos="1106" w:val="left" w:leader="none"/>
        </w:tabs>
        <w:spacing w:line="240" w:lineRule="auto" w:before="103" w:after="0"/>
        <w:ind w:left="1105" w:right="0" w:hanging="567"/>
        <w:jc w:val="left"/>
        <w:rPr>
          <w:sz w:val="18"/>
        </w:rPr>
      </w:pPr>
      <w:r>
        <w:rPr>
          <w:sz w:val="18"/>
        </w:rPr>
        <w:t>重大器官移植术或造血干细胞移植术</w:t>
      </w:r>
    </w:p>
    <w:p>
      <w:pPr>
        <w:pStyle w:val="BodyText"/>
        <w:spacing w:before="103"/>
        <w:ind w:left="1112"/>
      </w:pPr>
      <w:r>
        <w:rPr/>
        <w:t>重大器官移植术，指因相应器官功能衰竭，已经实施了肾脏、肝脏、心脏或肺脏的异体移植手术。</w:t>
      </w:r>
    </w:p>
    <w:p>
      <w:pPr>
        <w:pStyle w:val="BodyText"/>
        <w:spacing w:line="357" w:lineRule="auto" w:before="116"/>
        <w:ind w:left="1112" w:right="17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2"/>
        </w:numPr>
        <w:tabs>
          <w:tab w:pos="1105" w:val="left" w:leader="none"/>
          <w:tab w:pos="1106" w:val="left" w:leader="none"/>
        </w:tabs>
        <w:spacing w:line="240" w:lineRule="auto" w:before="28" w:after="0"/>
        <w:ind w:left="1105" w:right="0" w:hanging="567"/>
        <w:jc w:val="left"/>
        <w:rPr>
          <w:sz w:val="18"/>
        </w:rPr>
      </w:pPr>
      <w:r>
        <w:rPr>
          <w:sz w:val="18"/>
        </w:rPr>
        <w:t>冠状动脉搭桥术（或称冠状动脉旁路移植术）</w:t>
      </w:r>
    </w:p>
    <w:p>
      <w:pPr>
        <w:pStyle w:val="BodyText"/>
        <w:spacing w:before="104"/>
        <w:ind w:left="1112"/>
      </w:pPr>
      <w:r>
        <w:rPr/>
        <w:t>指为治疗严重的冠心病，实际实施了开胸进行的冠状动脉血管旁路移植的手术。</w:t>
      </w:r>
    </w:p>
    <w:p>
      <w:pPr>
        <w:pStyle w:val="Heading4"/>
        <w:spacing w:before="114"/>
        <w:ind w:left="1112"/>
      </w:pPr>
      <w:r>
        <w:rPr>
          <w:w w:val="95"/>
        </w:rPr>
        <w:t>冠状动脉支架植入术、心导管球囊扩张术、激光射频技术及其它非开胸的介入手术、腔镜手术不在保障范围内。</w:t>
      </w:r>
    </w:p>
    <w:p>
      <w:pPr>
        <w:pStyle w:val="ListParagraph"/>
        <w:numPr>
          <w:ilvl w:val="1"/>
          <w:numId w:val="12"/>
        </w:numPr>
        <w:tabs>
          <w:tab w:pos="1105" w:val="left" w:leader="none"/>
          <w:tab w:pos="1106" w:val="left" w:leader="none"/>
        </w:tabs>
        <w:spacing w:line="240" w:lineRule="auto" w:before="117" w:after="0"/>
        <w:ind w:left="1105" w:right="0" w:hanging="567"/>
        <w:jc w:val="left"/>
        <w:rPr>
          <w:sz w:val="18"/>
        </w:rPr>
      </w:pPr>
      <w:r>
        <w:rPr>
          <w:sz w:val="18"/>
        </w:rPr>
        <w:t>终末期肾病（或称慢性肾功能衰竭尿毒症期）</w:t>
      </w:r>
    </w:p>
    <w:p>
      <w:pPr>
        <w:pStyle w:val="BodyText"/>
        <w:spacing w:line="340" w:lineRule="auto" w:before="104"/>
        <w:ind w:left="1112" w:right="18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2"/>
        </w:numPr>
        <w:tabs>
          <w:tab w:pos="1105" w:val="left" w:leader="none"/>
          <w:tab w:pos="1106" w:val="left" w:leader="none"/>
        </w:tabs>
        <w:spacing w:line="240" w:lineRule="auto" w:before="41" w:after="0"/>
        <w:ind w:left="1105" w:right="0" w:hanging="567"/>
        <w:jc w:val="left"/>
        <w:rPr>
          <w:sz w:val="18"/>
        </w:rPr>
      </w:pPr>
      <w:r>
        <w:rPr>
          <w:sz w:val="18"/>
        </w:rPr>
        <w:t>多个肢体缺失</w:t>
      </w:r>
    </w:p>
    <w:p>
      <w:pPr>
        <w:pStyle w:val="BodyText"/>
        <w:ind w:left="1076"/>
      </w:pPr>
      <w:r>
        <w:rPr/>
        <w:t>指因疾病或意外伤害导致两个或两个以上肢体自腕关节或踝关节近端（靠近躯干端）以上完全性断离。</w:t>
      </w:r>
    </w:p>
    <w:p>
      <w:pPr>
        <w:pStyle w:val="ListParagraph"/>
        <w:numPr>
          <w:ilvl w:val="1"/>
          <w:numId w:val="12"/>
        </w:numPr>
        <w:tabs>
          <w:tab w:pos="1105"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57" w:lineRule="auto" w:before="104"/>
        <w:ind w:left="1112" w:right="174"/>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spacing w:after="0"/>
        <w:sectPr>
          <w:pgSz w:w="11910" w:h="16840"/>
          <w:pgMar w:header="672" w:footer="766" w:top="860" w:bottom="960" w:left="880" w:right="740"/>
        </w:sectPr>
      </w:pPr>
    </w:p>
    <w:p>
      <w:pPr>
        <w:pStyle w:val="BodyText"/>
        <w:spacing w:before="9"/>
        <w:ind w:left="0"/>
        <w:rPr>
          <w:sz w:val="13"/>
        </w:rPr>
      </w:pPr>
    </w:p>
    <w:p>
      <w:pPr>
        <w:pStyle w:val="BodyText"/>
        <w:spacing w:before="53"/>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pPr>
      <w:r>
        <w:rPr>
          <w:w w:val="95"/>
        </w:rPr>
        <w:t>（</w:t>
      </w:r>
      <w:r>
        <w:rPr>
          <w:rFonts w:ascii="Arial" w:eastAsia="Arial"/>
          <w:w w:val="95"/>
        </w:rPr>
        <w:t>4</w:t>
      </w:r>
      <w:r>
        <w:rPr>
          <w:w w:val="95"/>
        </w:rPr>
        <w:t>）肝功能指标进行性恶化。</w:t>
      </w:r>
    </w:p>
    <w:p>
      <w:pPr>
        <w:pStyle w:val="ListParagraph"/>
        <w:numPr>
          <w:ilvl w:val="1"/>
          <w:numId w:val="12"/>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before="104"/>
        <w:ind w:left="1112" w:right="15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jc w:val="both"/>
      </w:pPr>
      <w:r>
        <w:rPr>
          <w:w w:val="95"/>
        </w:rPr>
        <w:t>（</w:t>
      </w:r>
      <w:r>
        <w:rPr>
          <w:rFonts w:ascii="Arial" w:eastAsia="Arial"/>
          <w:w w:val="95"/>
        </w:rPr>
        <w:t>1</w:t>
      </w:r>
      <w:r>
        <w:rPr>
          <w:w w:val="95"/>
        </w:rPr>
        <w:t>）实际实施了开颅进行的脑肿瘤完全切除或部分切除的手术；</w:t>
      </w:r>
    </w:p>
    <w:p>
      <w:pPr>
        <w:pStyle w:val="BodyText"/>
        <w:spacing w:before="102"/>
        <w:ind w:left="1131"/>
        <w:jc w:val="both"/>
      </w:pPr>
      <w:r>
        <w:rPr>
          <w:w w:val="95"/>
        </w:rPr>
        <w:t>（</w:t>
      </w:r>
      <w:r>
        <w:rPr>
          <w:rFonts w:ascii="Arial" w:eastAsia="Arial"/>
          <w:w w:val="95"/>
        </w:rPr>
        <w:t>2</w:t>
      </w:r>
      <w:r>
        <w:rPr>
          <w:w w:val="95"/>
        </w:rPr>
        <w:t>）实际实施了对脑肿瘤进行的放射治疗。</w:t>
      </w:r>
    </w:p>
    <w:p>
      <w:pPr>
        <w:pStyle w:val="Heading4"/>
        <w:spacing w:before="102"/>
        <w:ind w:left="1112"/>
        <w:jc w:val="both"/>
      </w:pPr>
      <w:r>
        <w:rPr>
          <w:w w:val="95"/>
        </w:rPr>
        <w:t>脑垂体瘤、脑囊肿、脑血管性疾病不在保障范围内。</w:t>
      </w:r>
    </w:p>
    <w:p>
      <w:pPr>
        <w:pStyle w:val="ListParagraph"/>
        <w:numPr>
          <w:ilvl w:val="1"/>
          <w:numId w:val="12"/>
        </w:numPr>
        <w:tabs>
          <w:tab w:pos="1106" w:val="left" w:leader="none"/>
        </w:tabs>
        <w:spacing w:line="240" w:lineRule="auto" w:before="117" w:after="0"/>
        <w:ind w:left="1105" w:right="0" w:hanging="567"/>
        <w:jc w:val="left"/>
        <w:rPr>
          <w:sz w:val="18"/>
        </w:rPr>
      </w:pPr>
      <w:r>
        <w:rPr>
          <w:sz w:val="18"/>
        </w:rPr>
        <w:t>慢性肝功能衰竭失代偿期</w:t>
      </w:r>
    </w:p>
    <w:p>
      <w:pPr>
        <w:pStyle w:val="BodyText"/>
        <w:spacing w:before="104"/>
        <w:ind w:left="1112"/>
        <w:jc w:val="both"/>
      </w:pPr>
      <w:r>
        <w:rPr/>
        <w:t>指因慢性肝脏疾病导致肝功能衰竭。须满足下列全部条件：</w:t>
      </w:r>
    </w:p>
    <w:p>
      <w:pPr>
        <w:pStyle w:val="BodyText"/>
        <w:spacing w:before="115"/>
        <w:ind w:left="1071"/>
        <w:jc w:val="both"/>
      </w:pPr>
      <w:r>
        <w:rPr/>
        <w:t>（</w:t>
      </w:r>
      <w:r>
        <w:rPr>
          <w:rFonts w:ascii="Arial" w:eastAsia="Arial"/>
        </w:rPr>
        <w:t>1</w:t>
      </w:r>
      <w:r>
        <w:rPr/>
        <w:t>）持续性黄疸；</w:t>
      </w:r>
    </w:p>
    <w:p>
      <w:pPr>
        <w:pStyle w:val="BodyText"/>
        <w:spacing w:before="104"/>
        <w:ind w:left="1071"/>
        <w:jc w:val="both"/>
      </w:pPr>
      <w:r>
        <w:rPr/>
        <w:t>（</w:t>
      </w:r>
      <w:r>
        <w:rPr>
          <w:rFonts w:ascii="Arial" w:eastAsia="Arial"/>
        </w:rPr>
        <w:t>2</w:t>
      </w:r>
      <w:r>
        <w:rPr/>
        <w:t>）腹水；</w:t>
      </w:r>
    </w:p>
    <w:p>
      <w:pPr>
        <w:pStyle w:val="BodyText"/>
        <w:spacing w:before="102"/>
        <w:ind w:left="1071"/>
        <w:jc w:val="both"/>
      </w:pPr>
      <w:r>
        <w:rPr/>
        <w:t>（</w:t>
      </w:r>
      <w:r>
        <w:rPr>
          <w:rFonts w:ascii="Arial" w:eastAsia="Arial"/>
        </w:rPr>
        <w:t>3</w:t>
      </w:r>
      <w:r>
        <w:rPr/>
        <w:t>）肝性脑病；</w:t>
      </w:r>
    </w:p>
    <w:p>
      <w:pPr>
        <w:spacing w:line="338" w:lineRule="auto" w:before="102"/>
        <w:ind w:left="1112" w:right="4793" w:hanging="41"/>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2"/>
        </w:numPr>
        <w:tabs>
          <w:tab w:pos="1106" w:val="left" w:leader="none"/>
        </w:tabs>
        <w:spacing w:line="240" w:lineRule="auto" w:before="45" w:after="0"/>
        <w:ind w:left="1105" w:right="0" w:hanging="567"/>
        <w:jc w:val="left"/>
        <w:rPr>
          <w:sz w:val="18"/>
        </w:rPr>
      </w:pPr>
      <w:r>
        <w:rPr>
          <w:sz w:val="18"/>
        </w:rPr>
        <w:t>脑炎后遗症或脑膜炎后遗症</w:t>
      </w:r>
    </w:p>
    <w:p>
      <w:pPr>
        <w:pStyle w:val="BodyText"/>
        <w:spacing w:line="338" w:lineRule="auto" w:before="103"/>
        <w:ind w:left="1112" w:right="81"/>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2"/>
        </w:numPr>
        <w:tabs>
          <w:tab w:pos="1530" w:val="left" w:leader="none"/>
        </w:tabs>
        <w:spacing w:line="240" w:lineRule="auto" w:before="40" w:after="0"/>
        <w:ind w:left="1530" w:right="0" w:hanging="425"/>
        <w:jc w:val="both"/>
        <w:rPr>
          <w:sz w:val="18"/>
        </w:rPr>
      </w:pPr>
      <w:r>
        <w:rPr>
          <w:w w:val="95"/>
          <w:sz w:val="18"/>
        </w:rPr>
        <w:t>一肢或一肢以上肢体机能完全丧失；</w:t>
      </w:r>
    </w:p>
    <w:p>
      <w:pPr>
        <w:pStyle w:val="ListParagraph"/>
        <w:numPr>
          <w:ilvl w:val="2"/>
          <w:numId w:val="12"/>
        </w:numPr>
        <w:tabs>
          <w:tab w:pos="1530" w:val="left" w:leader="none"/>
        </w:tabs>
        <w:spacing w:line="240" w:lineRule="auto" w:before="102" w:after="0"/>
        <w:ind w:left="1530" w:right="0" w:hanging="425"/>
        <w:jc w:val="both"/>
        <w:rPr>
          <w:sz w:val="18"/>
        </w:rPr>
      </w:pPr>
      <w:r>
        <w:rPr>
          <w:w w:val="95"/>
          <w:sz w:val="18"/>
        </w:rPr>
        <w:t>语言能力或咀嚼吞咽能力完全丧失；</w:t>
      </w:r>
    </w:p>
    <w:p>
      <w:pPr>
        <w:pStyle w:val="ListParagraph"/>
        <w:numPr>
          <w:ilvl w:val="2"/>
          <w:numId w:val="12"/>
        </w:numPr>
        <w:tabs>
          <w:tab w:pos="1526" w:val="left" w:leader="none"/>
        </w:tabs>
        <w:spacing w:line="240" w:lineRule="auto" w:before="104" w:after="0"/>
        <w:ind w:left="1525" w:right="0" w:hanging="420"/>
        <w:jc w:val="both"/>
        <w:rPr>
          <w:sz w:val="18"/>
        </w:rPr>
      </w:pPr>
      <w:r>
        <w:rPr>
          <w:w w:val="95"/>
          <w:sz w:val="18"/>
        </w:rPr>
        <w:t>自主生活能力完全丧失，无法独立完成六项基本日常生活活动中的三项或三项以上。。</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深度昏迷</w:t>
      </w:r>
    </w:p>
    <w:p>
      <w:pPr>
        <w:pStyle w:val="BodyText"/>
        <w:spacing w:line="340" w:lineRule="auto"/>
        <w:ind w:left="1131" w:right="430"/>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分以下，且已经持续使用呼吸机及其他生命维持系统 </w:t>
      </w:r>
      <w:r>
        <w:rPr>
          <w:rFonts w:ascii="Arial" w:eastAsia="Arial"/>
        </w:rPr>
        <w:t>96 </w:t>
      </w:r>
      <w:r>
        <w:rPr/>
        <w:t>小时以上。</w:t>
      </w:r>
    </w:p>
    <w:p>
      <w:pPr>
        <w:pStyle w:val="Heading4"/>
        <w:spacing w:before="19"/>
        <w:ind w:left="1112"/>
        <w:jc w:val="both"/>
      </w:pPr>
      <w:r>
        <w:rPr>
          <w:w w:val="95"/>
        </w:rPr>
        <w:t>因酗酒或药物滥用导致的深度昏迷不在保障范围内。</w:t>
      </w:r>
    </w:p>
    <w:p>
      <w:pPr>
        <w:pStyle w:val="ListParagraph"/>
        <w:numPr>
          <w:ilvl w:val="1"/>
          <w:numId w:val="12"/>
        </w:numPr>
        <w:tabs>
          <w:tab w:pos="1156" w:val="left" w:leader="none"/>
        </w:tabs>
        <w:spacing w:line="240" w:lineRule="auto" w:before="119" w:after="0"/>
        <w:ind w:left="1155" w:right="0" w:hanging="617"/>
        <w:jc w:val="left"/>
        <w:rPr>
          <w:sz w:val="18"/>
        </w:rPr>
      </w:pPr>
      <w:r>
        <w:rPr>
          <w:sz w:val="18"/>
        </w:rPr>
        <w:t>双耳失聪</w:t>
      </w:r>
    </w:p>
    <w:p>
      <w:pPr>
        <w:pStyle w:val="BodyText"/>
        <w:spacing w:before="104"/>
        <w:ind w:left="1210"/>
        <w:jc w:val="both"/>
      </w:pPr>
      <w:r>
        <w:rPr/>
        <w:t>指因疾病或意外伤害导致双耳听力</w:t>
      </w:r>
      <w:r>
        <w:rPr>
          <w:b/>
        </w:rPr>
        <w:t>永久不可逆性</w:t>
      </w:r>
      <w:r>
        <w:rPr/>
        <w:t>（见释义）丧失，在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2"/>
        <w:ind w:left="1210"/>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2"/>
        </w:numPr>
        <w:tabs>
          <w:tab w:pos="1156" w:val="left" w:leader="none"/>
        </w:tabs>
        <w:spacing w:line="240" w:lineRule="auto" w:before="104" w:after="0"/>
        <w:ind w:left="1155" w:right="0" w:hanging="617"/>
        <w:jc w:val="left"/>
        <w:rPr>
          <w:sz w:val="18"/>
        </w:rPr>
      </w:pPr>
      <w:r>
        <w:rPr>
          <w:sz w:val="18"/>
        </w:rPr>
        <w:t>双目失明</w:t>
      </w:r>
    </w:p>
    <w:p>
      <w:pPr>
        <w:pStyle w:val="BodyText"/>
        <w:spacing w:before="104"/>
        <w:ind w:left="1112"/>
        <w:jc w:val="both"/>
      </w:pPr>
      <w:r>
        <w:rPr>
          <w:w w:val="95"/>
        </w:rPr>
        <w:t>指因疾病或意外伤害导致双眼视力</w:t>
      </w:r>
      <w:r>
        <w:rPr>
          <w:b/>
          <w:w w:val="95"/>
        </w:rPr>
        <w:t>永久不可逆性</w:t>
      </w:r>
      <w:r>
        <w:rPr>
          <w:w w:val="95"/>
        </w:rPr>
        <w:t>丧失，双眼中较好眼须满足下列至少一项条件：</w:t>
      </w:r>
    </w:p>
    <w:p>
      <w:pPr>
        <w:pStyle w:val="ListParagraph"/>
        <w:numPr>
          <w:ilvl w:val="0"/>
          <w:numId w:val="13"/>
        </w:numPr>
        <w:tabs>
          <w:tab w:pos="1722" w:val="left" w:leader="none"/>
        </w:tabs>
        <w:spacing w:line="240" w:lineRule="auto" w:before="114" w:after="0"/>
        <w:ind w:left="1722" w:right="0" w:hanging="512"/>
        <w:jc w:val="both"/>
        <w:rPr>
          <w:sz w:val="18"/>
        </w:rPr>
      </w:pPr>
      <w:r>
        <w:rPr>
          <w:sz w:val="18"/>
        </w:rPr>
        <w:t>眼球缺失或摘除；</w:t>
      </w:r>
    </w:p>
    <w:p>
      <w:pPr>
        <w:pStyle w:val="ListParagraph"/>
        <w:numPr>
          <w:ilvl w:val="0"/>
          <w:numId w:val="13"/>
        </w:numPr>
        <w:tabs>
          <w:tab w:pos="1722" w:val="left" w:leader="none"/>
        </w:tabs>
        <w:spacing w:line="240" w:lineRule="auto" w:before="104" w:after="0"/>
        <w:ind w:left="1722" w:right="0" w:hanging="512"/>
        <w:jc w:val="both"/>
        <w:rPr>
          <w:sz w:val="18"/>
        </w:rPr>
      </w:pPr>
      <w:r>
        <w:rPr>
          <w:spacing w:val="-7"/>
          <w:sz w:val="18"/>
        </w:rPr>
        <w:t>矫正视力低于 </w:t>
      </w:r>
      <w:r>
        <w:rPr>
          <w:rFonts w:ascii="Arial" w:eastAsia="Arial"/>
          <w:sz w:val="18"/>
        </w:rPr>
        <w:t>0.02</w:t>
      </w:r>
      <w:r>
        <w:rPr>
          <w:sz w:val="18"/>
        </w:rPr>
        <w:t>（</w:t>
      </w:r>
      <w:r>
        <w:rPr>
          <w:spacing w:val="-2"/>
          <w:sz w:val="18"/>
        </w:rPr>
        <w:t>采用国际标准视力表，如果使用其它视力表应进行换算</w:t>
      </w:r>
      <w:r>
        <w:rPr>
          <w:sz w:val="18"/>
        </w:rPr>
        <w:t>）；</w:t>
      </w:r>
    </w:p>
    <w:p>
      <w:pPr>
        <w:pStyle w:val="ListParagraph"/>
        <w:numPr>
          <w:ilvl w:val="0"/>
          <w:numId w:val="13"/>
        </w:numPr>
        <w:tabs>
          <w:tab w:pos="1722" w:val="left" w:leader="none"/>
        </w:tabs>
        <w:spacing w:line="240" w:lineRule="auto" w:before="102" w:after="0"/>
        <w:ind w:left="1722" w:right="0" w:hanging="512"/>
        <w:jc w:val="both"/>
        <w:rPr>
          <w:sz w:val="18"/>
        </w:rPr>
      </w:pPr>
      <w:r>
        <w:rPr>
          <w:spacing w:val="-7"/>
          <w:sz w:val="18"/>
        </w:rPr>
        <w:t>视野半径小于 </w:t>
      </w:r>
      <w:r>
        <w:rPr>
          <w:rFonts w:ascii="Arial" w:eastAsia="Arial"/>
          <w:sz w:val="18"/>
        </w:rPr>
        <w:t>5</w:t>
      </w:r>
      <w:r>
        <w:rPr>
          <w:rFonts w:ascii="Arial" w:eastAsia="Arial"/>
          <w:spacing w:val="-8"/>
          <w:sz w:val="18"/>
        </w:rPr>
        <w:t> </w:t>
      </w:r>
      <w:r>
        <w:rPr>
          <w:sz w:val="18"/>
        </w:rPr>
        <w:t>度。</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瘫痪</w:t>
      </w:r>
    </w:p>
    <w:p>
      <w:pPr>
        <w:pStyle w:val="BodyText"/>
        <w:spacing w:before="104"/>
        <w:ind w:left="1112"/>
        <w:jc w:val="both"/>
      </w:pPr>
      <w:r>
        <w:rPr/>
        <w:t>指因疾病或意外伤害导致两肢或两肢以上肢体机能永久完全丧失。肢体机能永久完全丧失，指疾病确诊 </w:t>
      </w:r>
      <w:r>
        <w:rPr>
          <w:rFonts w:ascii="Arial" w:eastAsia="Arial"/>
        </w:rPr>
        <w:t>180 </w:t>
      </w:r>
      <w:r>
        <w:rPr/>
        <w:t>天后或</w:t>
      </w:r>
    </w:p>
    <w:p>
      <w:pPr>
        <w:pStyle w:val="BodyText"/>
        <w:spacing w:before="102"/>
        <w:ind w:left="1112"/>
        <w:jc w:val="both"/>
      </w:pPr>
      <w:r>
        <w:rPr/>
        <w:t>意外伤害发生 </w:t>
      </w:r>
      <w:r>
        <w:rPr>
          <w:rFonts w:ascii="Arial" w:eastAsia="Arial"/>
        </w:rPr>
        <w:t>180 </w:t>
      </w:r>
      <w:r>
        <w:rPr/>
        <w:t>天后，每肢三大关节中的两大关节仍然完全僵硬，或不能随意识活动。</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心脏瓣膜手术</w:t>
      </w:r>
    </w:p>
    <w:p>
      <w:pPr>
        <w:pStyle w:val="BodyText"/>
        <w:spacing w:before="103"/>
        <w:ind w:left="1112"/>
        <w:jc w:val="both"/>
      </w:pPr>
      <w:r>
        <w:rPr/>
        <w:t>指为治疗心脏瓣膜疾病，实际实施了开胸进行的心脏瓣膜置换或修复的手术。</w:t>
      </w:r>
    </w:p>
    <w:p>
      <w:pPr>
        <w:pStyle w:val="ListParagraph"/>
        <w:numPr>
          <w:ilvl w:val="1"/>
          <w:numId w:val="12"/>
        </w:numPr>
        <w:tabs>
          <w:tab w:pos="1106" w:val="left" w:leader="none"/>
        </w:tabs>
        <w:spacing w:line="240" w:lineRule="auto" w:before="117" w:after="0"/>
        <w:ind w:left="1105" w:right="0" w:hanging="567"/>
        <w:jc w:val="left"/>
        <w:rPr>
          <w:sz w:val="18"/>
        </w:rPr>
      </w:pPr>
      <w:r>
        <w:rPr>
          <w:sz w:val="18"/>
        </w:rPr>
        <w:t>严重阿尔茨海默病</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45" w:lineRule="auto" w:before="44"/>
        <w:ind w:left="1112" w:right="141"/>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w:t>
      </w:r>
      <w:r>
        <w:rPr>
          <w:b/>
        </w:rPr>
        <w:t>六项基本日常生活活动中</w:t>
      </w:r>
      <w:r>
        <w:rPr/>
        <w:t>的三项或三项以上。</w:t>
      </w:r>
    </w:p>
    <w:p>
      <w:pPr>
        <w:pStyle w:val="Heading4"/>
        <w:spacing w:before="35"/>
        <w:ind w:left="1112"/>
      </w:pPr>
      <w:r>
        <w:rPr>
          <w:w w:val="95"/>
        </w:rPr>
        <w:t>神经官能症和精神疾病不在保障范围内。</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严重脑损伤</w:t>
      </w:r>
    </w:p>
    <w:p>
      <w:pPr>
        <w:pStyle w:val="BodyText"/>
        <w:spacing w:line="338" w:lineRule="auto" w:before="104"/>
        <w:ind w:left="1112" w:right="115"/>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9"/>
        <w:ind w:left="1112"/>
        <w:jc w:val="both"/>
      </w:pPr>
      <w:r>
        <w:rPr>
          <w:rFonts w:ascii="Arial" w:eastAsia="Arial"/>
        </w:rPr>
        <w:t>180 </w:t>
      </w:r>
      <w:r>
        <w:rPr/>
        <w:t>日后，仍遗留下列一种或一种以上障碍：</w:t>
      </w:r>
    </w:p>
    <w:p>
      <w:pPr>
        <w:spacing w:before="101"/>
        <w:ind w:left="1011"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w:t>
      </w:r>
    </w:p>
    <w:p>
      <w:pPr>
        <w:spacing w:before="104"/>
        <w:ind w:left="101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w:t>
      </w:r>
    </w:p>
    <w:p>
      <w:pPr>
        <w:spacing w:before="102"/>
        <w:ind w:left="101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中的三项或三项以上。</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严重帕金森病</w:t>
      </w:r>
    </w:p>
    <w:p>
      <w:pPr>
        <w:pStyle w:val="BodyText"/>
        <w:spacing w:before="104"/>
        <w:ind w:left="1112"/>
        <w:jc w:val="both"/>
      </w:pPr>
      <w:r>
        <w:rPr/>
        <w:t>是一种中枢神经系统的退行性疾病，临床表现为震颤麻痹、共济失调等。须满足下列全部条件：</w:t>
      </w:r>
    </w:p>
    <w:p>
      <w:pPr>
        <w:pStyle w:val="BodyText"/>
        <w:spacing w:before="114"/>
        <w:ind w:left="1011"/>
        <w:jc w:val="both"/>
      </w:pPr>
      <w:r>
        <w:rPr/>
        <w:t>（</w:t>
      </w:r>
      <w:r>
        <w:rPr>
          <w:rFonts w:ascii="Arial" w:eastAsia="Arial"/>
        </w:rPr>
        <w:t>1</w:t>
      </w:r>
      <w:r>
        <w:rPr/>
        <w:t>）药物治疗无法控制病情；</w:t>
      </w:r>
    </w:p>
    <w:p>
      <w:pPr>
        <w:spacing w:line="340" w:lineRule="auto" w:before="101"/>
        <w:ind w:left="1112" w:right="2148" w:hanging="101"/>
        <w:jc w:val="left"/>
        <w:rPr>
          <w:b/>
          <w:sz w:val="18"/>
        </w:rPr>
      </w:pPr>
      <w:r>
        <w:rPr>
          <w:sz w:val="18"/>
        </w:rPr>
        <w:t>（</w:t>
      </w:r>
      <w:r>
        <w:rPr>
          <w:rFonts w:ascii="Arial" w:eastAsia="Arial"/>
          <w:sz w:val="18"/>
        </w:rPr>
        <w:t>2</w:t>
      </w:r>
      <w:r>
        <w:rPr>
          <w:sz w:val="18"/>
        </w:rPr>
        <w:t>）自主生活能力完全丧失，无法独立完成</w:t>
      </w:r>
      <w:r>
        <w:rPr>
          <w:b/>
          <w:sz w:val="18"/>
        </w:rPr>
        <w:t>六项基本日常生活活动</w:t>
      </w:r>
      <w:r>
        <w:rPr>
          <w:sz w:val="18"/>
        </w:rPr>
        <w:t>中的三项或三项以上。</w:t>
      </w:r>
      <w:r>
        <w:rPr>
          <w:b/>
          <w:w w:val="95"/>
          <w:sz w:val="18"/>
        </w:rPr>
        <w:t>继发性帕金森综合征不在保障范围内。</w:t>
      </w:r>
    </w:p>
    <w:p>
      <w:pPr>
        <w:pStyle w:val="ListParagraph"/>
        <w:numPr>
          <w:ilvl w:val="1"/>
          <w:numId w:val="12"/>
        </w:numPr>
        <w:tabs>
          <w:tab w:pos="1106" w:val="left" w:leader="none"/>
        </w:tabs>
        <w:spacing w:line="240" w:lineRule="auto" w:before="41" w:after="0"/>
        <w:ind w:left="1105" w:right="0" w:hanging="567"/>
        <w:jc w:val="left"/>
        <w:rPr>
          <w:sz w:val="18"/>
        </w:rPr>
      </w:pPr>
      <w:r>
        <w:rPr>
          <w:spacing w:val="-1"/>
          <w:sz w:val="18"/>
        </w:rPr>
        <w:t>严重Ⅲ度烧伤</w:t>
      </w:r>
    </w:p>
    <w:p>
      <w:pPr>
        <w:pStyle w:val="BodyText"/>
        <w:spacing w:line="338" w:lineRule="auto" w:before="104"/>
        <w:ind w:left="1112" w:right="262"/>
      </w:pPr>
      <w:r>
        <w:rPr>
          <w:spacing w:val="-2"/>
        </w:rPr>
        <w:t>指烧伤程度为Ⅲ度，且Ⅲ度烧伤的面积达到全身体表面积的 </w:t>
      </w:r>
      <w:r>
        <w:rPr>
          <w:rFonts w:ascii="Arial" w:hAnsi="Arial" w:eastAsia="Arial"/>
        </w:rPr>
        <w:t>20%</w:t>
      </w:r>
      <w:r>
        <w:rPr>
          <w:spacing w:val="-24"/>
        </w:rPr>
        <w:t>或 </w:t>
      </w:r>
      <w:r>
        <w:rPr>
          <w:rFonts w:ascii="Arial" w:hAnsi="Arial" w:eastAsia="Arial"/>
        </w:rPr>
        <w:t>20%</w:t>
      </w:r>
      <w:r>
        <w:rPr>
          <w:spacing w:val="-1"/>
        </w:rPr>
        <w:t>以上。体表面积根据《中国新九分法》计算。</w:t>
      </w:r>
    </w:p>
    <w:p>
      <w:pPr>
        <w:pStyle w:val="ListParagraph"/>
        <w:numPr>
          <w:ilvl w:val="1"/>
          <w:numId w:val="12"/>
        </w:numPr>
        <w:tabs>
          <w:tab w:pos="1106" w:val="left" w:leader="none"/>
        </w:tabs>
        <w:spacing w:line="240" w:lineRule="auto" w:before="43" w:after="0"/>
        <w:ind w:left="1105" w:right="0" w:hanging="567"/>
        <w:jc w:val="left"/>
        <w:rPr>
          <w:sz w:val="18"/>
        </w:rPr>
      </w:pPr>
      <w:r>
        <w:rPr>
          <w:spacing w:val="-1"/>
          <w:sz w:val="18"/>
        </w:rPr>
        <w:t>严重原发性肺动脉高压</w:t>
      </w:r>
    </w:p>
    <w:p>
      <w:pPr>
        <w:pStyle w:val="BodyText"/>
        <w:spacing w:line="360" w:lineRule="auto" w:before="104"/>
        <w:ind w:left="1076" w:right="386"/>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2"/>
        </w:numPr>
        <w:tabs>
          <w:tab w:pos="1106" w:val="left" w:leader="none"/>
        </w:tabs>
        <w:spacing w:line="240" w:lineRule="auto" w:before="4" w:after="0"/>
        <w:ind w:left="1105" w:right="0" w:hanging="567"/>
        <w:jc w:val="left"/>
        <w:rPr>
          <w:sz w:val="18"/>
        </w:rPr>
      </w:pPr>
      <w:r>
        <w:rPr>
          <w:spacing w:val="-1"/>
          <w:sz w:val="18"/>
        </w:rPr>
        <w:t>严重运动神经元病</w:t>
      </w:r>
    </w:p>
    <w:p>
      <w:pPr>
        <w:pStyle w:val="BodyText"/>
        <w:spacing w:line="357" w:lineRule="auto" w:before="107"/>
        <w:ind w:left="1076" w:right="205"/>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ListParagraph"/>
        <w:numPr>
          <w:ilvl w:val="1"/>
          <w:numId w:val="12"/>
        </w:numPr>
        <w:tabs>
          <w:tab w:pos="1106" w:val="left" w:leader="none"/>
        </w:tabs>
        <w:spacing w:line="240" w:lineRule="auto" w:before="29" w:after="0"/>
        <w:ind w:left="1105" w:right="0" w:hanging="567"/>
        <w:jc w:val="left"/>
        <w:rPr>
          <w:sz w:val="18"/>
        </w:rPr>
      </w:pPr>
      <w:r>
        <w:rPr>
          <w:sz w:val="18"/>
        </w:rPr>
        <w:t>语言能力丧失</w:t>
      </w:r>
    </w:p>
    <w:p>
      <w:pPr>
        <w:pStyle w:val="BodyText"/>
        <w:spacing w:line="338" w:lineRule="auto" w:before="104"/>
        <w:ind w:left="1112" w:right="182"/>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4"/>
        <w:spacing w:before="43"/>
        <w:ind w:left="1112"/>
        <w:jc w:val="both"/>
      </w:pPr>
      <w:r>
        <w:rPr>
          <w:w w:val="95"/>
        </w:rPr>
        <w:t>精神心理因素所致的语言能力丧失不在保障范围内。</w:t>
      </w:r>
    </w:p>
    <w:p>
      <w:pPr>
        <w:pStyle w:val="ListParagraph"/>
        <w:numPr>
          <w:ilvl w:val="1"/>
          <w:numId w:val="12"/>
        </w:numPr>
        <w:tabs>
          <w:tab w:pos="1106" w:val="left" w:leader="none"/>
        </w:tabs>
        <w:spacing w:line="240" w:lineRule="auto" w:before="116" w:after="0"/>
        <w:ind w:left="1105" w:right="0" w:hanging="567"/>
        <w:jc w:val="left"/>
        <w:rPr>
          <w:sz w:val="18"/>
        </w:rPr>
      </w:pPr>
      <w:r>
        <w:rPr>
          <w:sz w:val="18"/>
        </w:rPr>
        <w:t>重型再生障碍性贫血</w:t>
      </w:r>
    </w:p>
    <w:p>
      <w:pPr>
        <w:pStyle w:val="BodyText"/>
        <w:spacing w:before="104"/>
        <w:ind w:left="1112"/>
        <w:jc w:val="both"/>
      </w:pPr>
      <w:r>
        <w:rPr/>
        <w:t>指因骨髓造血功能慢性持续性衰竭导致的贫血、中性粒细胞减少及血小板减少。须满足下列全部条件：</w:t>
      </w:r>
    </w:p>
    <w:p>
      <w:pPr>
        <w:pStyle w:val="BodyText"/>
        <w:spacing w:before="115"/>
        <w:ind w:left="1011"/>
        <w:jc w:val="both"/>
      </w:pPr>
      <w:r>
        <w:rPr/>
        <w:t>（</w:t>
      </w:r>
      <w:r>
        <w:rPr>
          <w:rFonts w:ascii="Arial" w:eastAsia="Arial"/>
        </w:rPr>
        <w:t>1</w:t>
      </w:r>
      <w:r>
        <w:rPr/>
        <w:t>）骨髓穿刺检查或骨髓活检结果支持诊断；</w:t>
      </w:r>
    </w:p>
    <w:p>
      <w:pPr>
        <w:pStyle w:val="BodyText"/>
        <w:spacing w:before="102"/>
        <w:ind w:left="1011"/>
        <w:jc w:val="both"/>
      </w:pPr>
      <w:r>
        <w:rPr/>
        <w:t>（</w:t>
      </w:r>
      <w:r>
        <w:rPr>
          <w:rFonts w:ascii="Arial" w:eastAsia="Arial"/>
        </w:rPr>
        <w:t>2</w:t>
      </w:r>
      <w:r>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4"/>
        <w:ind w:left="1611"/>
      </w:pPr>
      <w:r>
        <w:rPr/>
        <w:t>② 网织红细胞＜</w:t>
      </w:r>
      <w:r>
        <w:rPr>
          <w:rFonts w:ascii="Arial" w:hAnsi="Arial" w:eastAsia="Arial"/>
        </w:rPr>
        <w:t>1%</w:t>
      </w:r>
      <w:r>
        <w:rPr/>
        <w:t>；</w:t>
      </w:r>
    </w:p>
    <w:p>
      <w:pPr>
        <w:pStyle w:val="BodyText"/>
        <w:spacing w:before="101"/>
        <w:ind w:left="1408" w:right="6157"/>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主动脉手术</w:t>
      </w:r>
    </w:p>
    <w:p>
      <w:pPr>
        <w:pStyle w:val="BodyText"/>
        <w:spacing w:line="357" w:lineRule="auto" w:before="105"/>
        <w:ind w:left="1112" w:right="174"/>
      </w:pPr>
      <w:r>
        <w:rPr/>
        <w:t>指为治疗主动脉疾病，实际实施了开胸或开腹进行的切除、置换、修补病损主动脉血管的手术。主动脉指胸主动脉和腹主动脉，不包括胸主动脉和腹主动脉的分支血管。</w:t>
      </w:r>
    </w:p>
    <w:p>
      <w:pPr>
        <w:spacing w:after="0" w:line="357" w:lineRule="auto"/>
        <w:sectPr>
          <w:pgSz w:w="11910" w:h="16840"/>
          <w:pgMar w:header="672" w:footer="766" w:top="860" w:bottom="960" w:left="880" w:right="740"/>
        </w:sectPr>
      </w:pPr>
    </w:p>
    <w:p>
      <w:pPr>
        <w:pStyle w:val="BodyText"/>
        <w:spacing w:before="5"/>
        <w:ind w:left="0"/>
        <w:rPr>
          <w:sz w:val="14"/>
        </w:rPr>
      </w:pPr>
    </w:p>
    <w:p>
      <w:pPr>
        <w:pStyle w:val="Heading4"/>
        <w:spacing w:before="44"/>
        <w:ind w:left="1112"/>
      </w:pPr>
      <w:r>
        <w:rPr>
          <w:w w:val="95"/>
        </w:rPr>
        <w:t>动脉内血管成形术不在保障范围内。</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严重冠心病</w:t>
      </w:r>
    </w:p>
    <w:p>
      <w:pPr>
        <w:pStyle w:val="BodyText"/>
        <w:spacing w:line="348" w:lineRule="auto" w:before="101"/>
        <w:ind w:left="1112" w:right="174"/>
        <w:jc w:val="both"/>
      </w:pPr>
      <w:r>
        <w:rPr/>
        <w:t>指根据冠状动脉造影检查结果确诊的三支主要血管（左冠状动脉主干和右冠状动脉，或前降支、左旋支和右冠状动脉）严重狭窄性病变（</w:t>
      </w:r>
      <w:r>
        <w:rPr>
          <w:spacing w:val="-4"/>
        </w:rPr>
        <w:t>至少一支血管管腔直径减少 </w:t>
      </w:r>
      <w:r>
        <w:rPr>
          <w:rFonts w:ascii="Arial" w:eastAsia="Arial"/>
        </w:rPr>
        <w:t>75</w:t>
      </w:r>
      <w:r>
        <w:rPr>
          <w:spacing w:val="-4"/>
        </w:rPr>
        <w:t>％以上和其他两支血管管腔直径减少 </w:t>
      </w:r>
      <w:r>
        <w:rPr>
          <w:rFonts w:ascii="Arial" w:eastAsia="Arial"/>
        </w:rPr>
        <w:t>60</w:t>
      </w:r>
      <w:r>
        <w:rPr/>
        <w:t>％以上）。前降支、左旋支及右冠状动脉的分支血管的狭窄不作为本保障的衡量指标。</w:t>
      </w:r>
    </w:p>
    <w:p>
      <w:pPr>
        <w:pStyle w:val="ListParagraph"/>
        <w:numPr>
          <w:ilvl w:val="1"/>
          <w:numId w:val="12"/>
        </w:numPr>
        <w:tabs>
          <w:tab w:pos="1106" w:val="left" w:leader="none"/>
        </w:tabs>
        <w:spacing w:line="240" w:lineRule="auto" w:before="35" w:after="0"/>
        <w:ind w:left="1105" w:right="0" w:hanging="567"/>
        <w:jc w:val="left"/>
        <w:rPr>
          <w:sz w:val="18"/>
        </w:rPr>
      </w:pPr>
      <w:r>
        <w:rPr>
          <w:sz w:val="18"/>
        </w:rPr>
        <w:t>严重类风湿性关节炎</w:t>
      </w:r>
    </w:p>
    <w:p>
      <w:pPr>
        <w:pStyle w:val="BodyText"/>
        <w:spacing w:line="357" w:lineRule="auto" w:before="103"/>
        <w:ind w:left="1112" w:right="174"/>
        <w:jc w:val="both"/>
      </w:pPr>
      <w:r>
        <w:rPr/>
        <w:t>类风湿性关节炎系指以关节滑膜炎为特征的慢性全身性自身免疫性疾病，必须符合国际认可的该疾病的诊断标准。其诊断必须同时满足下列全部条件：</w:t>
      </w:r>
    </w:p>
    <w:p>
      <w:pPr>
        <w:pStyle w:val="ListParagraph"/>
        <w:numPr>
          <w:ilvl w:val="2"/>
          <w:numId w:val="12"/>
        </w:numPr>
        <w:tabs>
          <w:tab w:pos="1283" w:val="left" w:leader="none"/>
        </w:tabs>
        <w:spacing w:line="338" w:lineRule="auto" w:before="28" w:after="0"/>
        <w:ind w:left="1244" w:right="312" w:hanging="233"/>
        <w:jc w:val="left"/>
        <w:rPr>
          <w:sz w:val="18"/>
        </w:rPr>
      </w:pPr>
      <w:r>
        <w:rPr>
          <w:sz w:val="18"/>
        </w:rPr>
        <w:t>至少包括下列关节中的三组或以上有广泛受损和畸形改变</w:t>
      </w:r>
      <w:r>
        <w:rPr>
          <w:rFonts w:ascii="Arial" w:eastAsia="Arial"/>
          <w:sz w:val="18"/>
        </w:rPr>
        <w:t>:</w:t>
      </w:r>
      <w:r>
        <w:rPr>
          <w:sz w:val="18"/>
        </w:rPr>
        <w:t>手指关节、腕关节、肘关节、膝关节、髋关节、踝关节、脊椎关节或跖趾关节；</w:t>
      </w:r>
    </w:p>
    <w:p>
      <w:pPr>
        <w:pStyle w:val="ListParagraph"/>
        <w:numPr>
          <w:ilvl w:val="2"/>
          <w:numId w:val="12"/>
        </w:numPr>
        <w:tabs>
          <w:tab w:pos="1283" w:val="left" w:leader="none"/>
        </w:tabs>
        <w:spacing w:line="338" w:lineRule="auto" w:before="40" w:after="0"/>
        <w:ind w:left="1244" w:right="161" w:hanging="233"/>
        <w:jc w:val="left"/>
        <w:rPr>
          <w:sz w:val="18"/>
        </w:rPr>
      </w:pPr>
      <w:r>
        <w:rPr>
          <w:spacing w:val="-6"/>
          <w:sz w:val="18"/>
        </w:rPr>
        <w:t>手和腕的后前位 </w:t>
      </w:r>
      <w:r>
        <w:rPr>
          <w:rFonts w:ascii="Arial" w:eastAsia="Arial"/>
          <w:sz w:val="18"/>
        </w:rPr>
        <w:t>X</w:t>
      </w:r>
      <w:r>
        <w:rPr>
          <w:rFonts w:ascii="Arial" w:eastAsia="Arial"/>
          <w:spacing w:val="-13"/>
          <w:sz w:val="18"/>
        </w:rPr>
        <w:t> </w:t>
      </w:r>
      <w:r>
        <w:rPr>
          <w:sz w:val="18"/>
        </w:rPr>
        <w:t>线拍片检查可见类风湿性关节炎的典型变化，必须包括骨质侵蚀或受累关节及其邻近部位有明</w:t>
      </w:r>
      <w:r>
        <w:rPr>
          <w:w w:val="95"/>
          <w:sz w:val="18"/>
        </w:rPr>
        <w:t>确的骨质脱钙。</w:t>
      </w:r>
    </w:p>
    <w:p>
      <w:pPr>
        <w:pStyle w:val="ListParagraph"/>
        <w:numPr>
          <w:ilvl w:val="2"/>
          <w:numId w:val="12"/>
        </w:numPr>
        <w:tabs>
          <w:tab w:pos="1283" w:val="left" w:leader="none"/>
        </w:tabs>
        <w:spacing w:line="240" w:lineRule="auto" w:before="42" w:after="0"/>
        <w:ind w:left="1244" w:right="0" w:hanging="233"/>
        <w:jc w:val="left"/>
        <w:rPr>
          <w:sz w:val="18"/>
        </w:rPr>
      </w:pPr>
      <w:r>
        <w:rPr>
          <w:spacing w:val="-4"/>
          <w:sz w:val="18"/>
        </w:rPr>
        <w:t>关节的畸形改变至少持续 </w:t>
      </w:r>
      <w:r>
        <w:rPr>
          <w:rFonts w:ascii="Arial" w:eastAsia="Arial"/>
          <w:sz w:val="18"/>
        </w:rPr>
        <w:t>1</w:t>
      </w:r>
      <w:r>
        <w:rPr>
          <w:rFonts w:ascii="Arial" w:eastAsia="Arial"/>
          <w:spacing w:val="-12"/>
          <w:sz w:val="18"/>
        </w:rPr>
        <w:t> </w:t>
      </w:r>
      <w:r>
        <w:rPr>
          <w:sz w:val="18"/>
        </w:rPr>
        <w:t>年。</w:t>
      </w:r>
    </w:p>
    <w:p>
      <w:pPr>
        <w:pStyle w:val="ListParagraph"/>
        <w:numPr>
          <w:ilvl w:val="1"/>
          <w:numId w:val="12"/>
        </w:numPr>
        <w:tabs>
          <w:tab w:pos="1106" w:val="left" w:leader="none"/>
        </w:tabs>
        <w:spacing w:line="240" w:lineRule="auto" w:before="103" w:after="0"/>
        <w:ind w:left="1105" w:right="0" w:hanging="567"/>
        <w:jc w:val="left"/>
        <w:rPr>
          <w:sz w:val="18"/>
        </w:rPr>
      </w:pPr>
      <w:r>
        <w:rPr>
          <w:sz w:val="18"/>
        </w:rPr>
        <w:t>严重的原发性心肌病</w:t>
      </w:r>
    </w:p>
    <w:p>
      <w:pPr>
        <w:pStyle w:val="BodyText"/>
        <w:spacing w:line="340" w:lineRule="auto"/>
        <w:ind w:left="937" w:right="221"/>
      </w:pPr>
      <w:r>
        <w:rPr/>
        <w:t>是指被保险人因原发性心肌病而出现的心室功能障碍而使其出现明显的心功能衰竭</w:t>
      </w:r>
      <w:r>
        <w:rPr>
          <w:rFonts w:ascii="Arial" w:hAnsi="Arial" w:eastAsia="Arial"/>
        </w:rPr>
        <w:t>(</w:t>
      </w:r>
      <w:r>
        <w:rPr/>
        <w:t>纽约心脏病协会分类标准心功能至少达Ⅳ级</w:t>
      </w:r>
      <w:r>
        <w:rPr>
          <w:rFonts w:ascii="Arial" w:hAnsi="Arial" w:eastAsia="Arial"/>
        </w:rPr>
        <w:t>*)</w:t>
      </w:r>
      <w:r>
        <w:rPr/>
        <w:t>，须经国家机关认可的有合法资质的心脏专科医生确诊。本保障范围内的心肌病包括原发性扩张型心肌病、原发性肥厚型心肌病及原发性限制型心肌病。</w:t>
      </w:r>
    </w:p>
    <w:p>
      <w:pPr>
        <w:pStyle w:val="Heading4"/>
        <w:spacing w:before="41"/>
        <w:ind w:left="937"/>
      </w:pPr>
      <w:r>
        <w:rPr>
          <w:w w:val="95"/>
        </w:rPr>
        <w:t>继发于酒精滥用性的心肌病不在此保障范围之内。</w:t>
      </w:r>
    </w:p>
    <w:p>
      <w:pPr>
        <w:pStyle w:val="BodyText"/>
        <w:spacing w:line="340" w:lineRule="auto" w:before="119"/>
        <w:ind w:left="937" w:right="179" w:firstLine="50"/>
      </w:pPr>
      <w:r>
        <w:rPr>
          <w:rFonts w:ascii="Arial" w:hAnsi="Arial" w:eastAsia="Arial"/>
        </w:rPr>
        <w:t>* </w:t>
      </w:r>
      <w:r>
        <w:rPr/>
        <w:t>纽约心脏病协会分类标准心功能Ⅳ级是指不能从事任何体力活动，休息时仍有心悸、呼吸困难等心力衰竭表现，体力活动后加重。</w:t>
      </w:r>
    </w:p>
    <w:p>
      <w:pPr>
        <w:pStyle w:val="ListParagraph"/>
        <w:numPr>
          <w:ilvl w:val="1"/>
          <w:numId w:val="12"/>
        </w:numPr>
        <w:tabs>
          <w:tab w:pos="1106" w:val="left" w:leader="none"/>
        </w:tabs>
        <w:spacing w:line="240" w:lineRule="auto" w:before="42" w:after="0"/>
        <w:ind w:left="1105" w:right="0" w:hanging="567"/>
        <w:jc w:val="left"/>
        <w:rPr>
          <w:sz w:val="18"/>
        </w:rPr>
      </w:pPr>
      <w:r>
        <w:rPr>
          <w:sz w:val="18"/>
        </w:rPr>
        <w:t>坏死性筋膜炎</w:t>
      </w:r>
    </w:p>
    <w:p>
      <w:pPr>
        <w:pStyle w:val="BodyText"/>
        <w:spacing w:before="107"/>
        <w:ind w:left="937"/>
      </w:pPr>
      <w:r>
        <w:rPr/>
        <w:t>指符合以下所有条件的坏死性筋膜炎：</w:t>
      </w:r>
    </w:p>
    <w:p>
      <w:pPr>
        <w:pStyle w:val="BodyText"/>
        <w:spacing w:before="119"/>
        <w:ind w:left="937"/>
      </w:pPr>
      <w:r>
        <w:rPr>
          <w:w w:val="95"/>
        </w:rPr>
        <w:t>（</w:t>
      </w:r>
      <w:r>
        <w:rPr>
          <w:rFonts w:ascii="Arial" w:eastAsia="Arial"/>
          <w:w w:val="95"/>
        </w:rPr>
        <w:t>1</w:t>
      </w:r>
      <w:r>
        <w:rPr>
          <w:w w:val="95"/>
        </w:rPr>
        <w:t>）符合一般坏死性筋膜炎的临床标准；</w:t>
      </w:r>
    </w:p>
    <w:p>
      <w:pPr>
        <w:pStyle w:val="BodyText"/>
        <w:ind w:left="937"/>
      </w:pPr>
      <w:r>
        <w:rPr>
          <w:w w:val="95"/>
        </w:rPr>
        <w:t>（</w:t>
      </w:r>
      <w:r>
        <w:rPr>
          <w:rFonts w:ascii="Arial" w:eastAsia="Arial"/>
          <w:w w:val="95"/>
        </w:rPr>
        <w:t>2</w:t>
      </w:r>
      <w:r>
        <w:rPr>
          <w:w w:val="95"/>
        </w:rPr>
        <w:t>）所识别的细菌是引致坏死性筋膜炎的原因；</w:t>
      </w:r>
    </w:p>
    <w:p>
      <w:pPr>
        <w:pStyle w:val="BodyText"/>
        <w:spacing w:line="343" w:lineRule="auto"/>
        <w:ind w:left="937" w:right="3488"/>
      </w:pPr>
      <w:r>
        <w:rPr/>
        <w:t>（</w:t>
      </w:r>
      <w:r>
        <w:rPr>
          <w:rFonts w:ascii="Arial" w:eastAsia="Arial"/>
        </w:rPr>
        <w:t>3</w:t>
      </w:r>
      <w:r>
        <w:rPr/>
        <w:t>）广泛性肌肉及软组织损坏并导致受感染部位完全及永久性功能丧失。诊断必须由专科医生证实。</w:t>
      </w:r>
    </w:p>
    <w:p>
      <w:pPr>
        <w:pStyle w:val="ListParagraph"/>
        <w:numPr>
          <w:ilvl w:val="1"/>
          <w:numId w:val="12"/>
        </w:numPr>
        <w:tabs>
          <w:tab w:pos="1106" w:val="left" w:leader="none"/>
        </w:tabs>
        <w:spacing w:line="240" w:lineRule="auto" w:before="41" w:after="0"/>
        <w:ind w:left="1105" w:right="0" w:hanging="567"/>
        <w:jc w:val="left"/>
        <w:rPr>
          <w:sz w:val="18"/>
        </w:rPr>
      </w:pPr>
      <w:r>
        <w:rPr>
          <w:sz w:val="18"/>
        </w:rPr>
        <w:t>经输血导致的人类免疫缺陷病毒感染</w:t>
      </w:r>
    </w:p>
    <w:p>
      <w:pPr>
        <w:pStyle w:val="BodyText"/>
        <w:ind w:left="937"/>
      </w:pPr>
      <w:r>
        <w:rPr/>
        <w:t>指因医疗输血而感染上人类免疫缺陷病毒（</w:t>
      </w:r>
      <w:r>
        <w:rPr>
          <w:rFonts w:ascii="Arial" w:eastAsia="Arial"/>
        </w:rPr>
        <w:t>HIV</w:t>
      </w:r>
      <w:r>
        <w:rPr/>
        <w:t>），且须满足下列全部条件：</w:t>
      </w:r>
    </w:p>
    <w:p>
      <w:pPr>
        <w:pStyle w:val="BodyText"/>
        <w:ind w:left="937"/>
      </w:pPr>
      <w:r>
        <w:rPr>
          <w:w w:val="95"/>
        </w:rPr>
        <w:t>（</w:t>
      </w:r>
      <w:r>
        <w:rPr>
          <w:rFonts w:ascii="Arial" w:eastAsia="Arial"/>
          <w:w w:val="95"/>
        </w:rPr>
        <w:t>1</w:t>
      </w:r>
      <w:r>
        <w:rPr>
          <w:w w:val="95"/>
        </w:rPr>
        <w:t>）在保障起始日或复效日之后，被保险人因治疗必需而接受输血，并且因输血而感染人类免疫缺陷病毒；</w:t>
      </w:r>
    </w:p>
    <w:p>
      <w:pPr>
        <w:pStyle w:val="BodyText"/>
        <w:spacing w:line="340" w:lineRule="auto" w:before="107"/>
        <w:ind w:left="937" w:right="248"/>
      </w:pPr>
      <w:r>
        <w:rPr/>
        <w:t>（</w:t>
      </w:r>
      <w:r>
        <w:rPr>
          <w:rFonts w:ascii="Arial" w:eastAsia="Arial"/>
        </w:rPr>
        <w:t>2</w:t>
      </w:r>
      <w:r>
        <w:rPr/>
        <w:t>）提供输血治疗的输血中心或医院出具该项输血感染属医疗责任事故的报告，或者法院终审裁定为医疗责任并且不准上诉；</w:t>
      </w:r>
    </w:p>
    <w:p>
      <w:pPr>
        <w:pStyle w:val="BodyText"/>
        <w:spacing w:before="41"/>
        <w:ind w:left="937"/>
      </w:pPr>
      <w:r>
        <w:rPr>
          <w:w w:val="95"/>
        </w:rPr>
        <w:t>（</w:t>
      </w:r>
      <w:r>
        <w:rPr>
          <w:rFonts w:ascii="Arial" w:eastAsia="Arial"/>
          <w:w w:val="95"/>
        </w:rPr>
        <w:t>3</w:t>
      </w:r>
      <w:r>
        <w:rPr>
          <w:w w:val="95"/>
        </w:rPr>
        <w:t>）提供输血治疗的输血中心或医院必须拥有合法经营执照；</w:t>
      </w:r>
    </w:p>
    <w:p>
      <w:pPr>
        <w:pStyle w:val="BodyText"/>
        <w:ind w:left="937"/>
      </w:pPr>
      <w:r>
        <w:rPr>
          <w:w w:val="95"/>
        </w:rPr>
        <w:t>（</w:t>
      </w:r>
      <w:r>
        <w:rPr>
          <w:rFonts w:ascii="Arial" w:eastAsia="Arial"/>
          <w:w w:val="95"/>
        </w:rPr>
        <w:t>4</w:t>
      </w:r>
      <w:r>
        <w:rPr>
          <w:w w:val="95"/>
        </w:rPr>
        <w:t>）受感染的被保险人不是血友病患者。</w:t>
      </w:r>
    </w:p>
    <w:p>
      <w:pPr>
        <w:pStyle w:val="Heading4"/>
        <w:ind w:left="937"/>
      </w:pPr>
      <w:r>
        <w:rPr>
          <w:w w:val="95"/>
        </w:rPr>
        <w:t>任何因其他传播方式导致的人类免疫缺陷病毒感染不在保障范围内。</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严重克隆病</w:t>
      </w:r>
    </w:p>
    <w:p>
      <w:pPr>
        <w:pStyle w:val="BodyText"/>
        <w:spacing w:line="360" w:lineRule="auto" w:before="104"/>
        <w:ind w:left="937" w:right="168"/>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2"/>
        </w:numPr>
        <w:tabs>
          <w:tab w:pos="1106" w:val="left" w:leader="none"/>
        </w:tabs>
        <w:spacing w:line="240" w:lineRule="auto" w:before="29" w:after="0"/>
        <w:ind w:left="1105" w:right="0" w:hanging="567"/>
        <w:jc w:val="left"/>
        <w:rPr>
          <w:sz w:val="18"/>
        </w:rPr>
      </w:pPr>
      <w:r>
        <w:rPr>
          <w:sz w:val="18"/>
        </w:rPr>
        <w:t>严重溃疡性结肠炎</w:t>
      </w:r>
    </w:p>
    <w:p>
      <w:pPr>
        <w:pStyle w:val="BodyText"/>
        <w:spacing w:line="357" w:lineRule="auto"/>
        <w:ind w:left="937" w:right="169"/>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357" w:lineRule="auto"/>
        <w:jc w:val="both"/>
        <w:sectPr>
          <w:pgSz w:w="11910" w:h="16840"/>
          <w:pgMar w:header="672" w:footer="766" w:top="860" w:bottom="960" w:left="880" w:right="740"/>
        </w:sectPr>
      </w:pPr>
    </w:p>
    <w:p>
      <w:pPr>
        <w:pStyle w:val="BodyText"/>
        <w:spacing w:before="9"/>
        <w:ind w:left="0"/>
        <w:rPr>
          <w:sz w:val="13"/>
        </w:rPr>
      </w:pPr>
    </w:p>
    <w:p>
      <w:pPr>
        <w:pStyle w:val="ListParagraph"/>
        <w:numPr>
          <w:ilvl w:val="1"/>
          <w:numId w:val="12"/>
        </w:numPr>
        <w:tabs>
          <w:tab w:pos="1106" w:val="left" w:leader="none"/>
        </w:tabs>
        <w:spacing w:line="240" w:lineRule="auto" w:before="53" w:after="0"/>
        <w:ind w:left="1105" w:right="0" w:hanging="567"/>
        <w:jc w:val="left"/>
        <w:rPr>
          <w:sz w:val="18"/>
        </w:rPr>
      </w:pPr>
      <w:r>
        <w:rPr>
          <w:sz w:val="18"/>
        </w:rPr>
        <w:t>埃博拉病毒感染</w:t>
      </w:r>
    </w:p>
    <w:p>
      <w:pPr>
        <w:pStyle w:val="BodyText"/>
        <w:spacing w:line="357" w:lineRule="auto"/>
        <w:ind w:left="937" w:right="189"/>
      </w:pPr>
      <w:r>
        <w:rPr/>
        <w:t>受埃博拉病毒感染导致出血性发热。埃博拉病必须经国家机关认可的有合法资质的传染病专家确诊，并且埃博拉病毒</w:t>
      </w:r>
      <w:r>
        <w:rPr>
          <w:w w:val="95"/>
        </w:rPr>
        <w:t>的存在必须经过实验室检查证实。该病必须从症状开始后三十</w:t>
      </w:r>
      <w:r>
        <w:rPr>
          <w:rFonts w:ascii="Arial" w:eastAsia="Arial"/>
          <w:w w:val="95"/>
        </w:rPr>
        <w:t>(30)</w:t>
      </w:r>
      <w:r>
        <w:rPr>
          <w:w w:val="95"/>
        </w:rPr>
        <w:t>天后持续出现并发症。</w:t>
      </w:r>
    </w:p>
    <w:p>
      <w:pPr>
        <w:pStyle w:val="ListParagraph"/>
        <w:numPr>
          <w:ilvl w:val="1"/>
          <w:numId w:val="12"/>
        </w:numPr>
        <w:tabs>
          <w:tab w:pos="1106" w:val="left" w:leader="none"/>
        </w:tabs>
        <w:spacing w:line="240" w:lineRule="auto" w:before="7" w:after="0"/>
        <w:ind w:left="1105" w:right="0" w:hanging="567"/>
        <w:jc w:val="left"/>
        <w:rPr>
          <w:sz w:val="18"/>
        </w:rPr>
      </w:pPr>
      <w:r>
        <w:rPr>
          <w:sz w:val="18"/>
        </w:rPr>
        <w:t>夹层主动脉瘤</w:t>
      </w:r>
    </w:p>
    <w:p>
      <w:pPr>
        <w:pStyle w:val="BodyText"/>
        <w:spacing w:line="357" w:lineRule="auto"/>
        <w:ind w:left="937" w:right="189"/>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 并有必要进行紧急修补手术。</w:t>
      </w:r>
    </w:p>
    <w:p>
      <w:pPr>
        <w:pStyle w:val="ListParagraph"/>
        <w:numPr>
          <w:ilvl w:val="1"/>
          <w:numId w:val="12"/>
        </w:numPr>
        <w:tabs>
          <w:tab w:pos="1106" w:val="left" w:leader="none"/>
        </w:tabs>
        <w:spacing w:line="240" w:lineRule="auto" w:before="29" w:after="0"/>
        <w:ind w:left="1105" w:right="0" w:hanging="567"/>
        <w:jc w:val="left"/>
        <w:rPr>
          <w:sz w:val="18"/>
        </w:rPr>
      </w:pPr>
      <w:r>
        <w:rPr>
          <w:sz w:val="18"/>
        </w:rPr>
        <w:t>严重感染性心内膜炎</w:t>
      </w:r>
    </w:p>
    <w:p>
      <w:pPr>
        <w:pStyle w:val="BodyText"/>
        <w:spacing w:line="360" w:lineRule="auto" w:before="107"/>
        <w:ind w:left="937" w:right="369"/>
      </w:pPr>
      <w:r>
        <w:rPr/>
        <w:t>指因细菌、真菌和其他微生物（如病毒、立克次体、衣原体、螺旋体等）直接感染而产生心瓣膜或心室壁内膜的炎症，须经心脏专科医生确诊，并符合以下所有条件：</w:t>
      </w:r>
    </w:p>
    <w:p>
      <w:pPr>
        <w:pStyle w:val="BodyText"/>
        <w:spacing w:before="27"/>
        <w:ind w:left="937"/>
        <w:jc w:val="both"/>
      </w:pPr>
      <w:r>
        <w:rPr>
          <w:w w:val="95"/>
        </w:rPr>
        <w:t>（</w:t>
      </w:r>
      <w:r>
        <w:rPr>
          <w:rFonts w:ascii="Arial" w:eastAsia="Arial"/>
          <w:w w:val="95"/>
        </w:rPr>
        <w:t>1</w:t>
      </w:r>
      <w:r>
        <w:rPr>
          <w:w w:val="95"/>
        </w:rPr>
        <w:t>）血液培养测试结果为阳性，证实存在感染性微生物：</w:t>
      </w:r>
    </w:p>
    <w:p>
      <w:pPr>
        <w:pStyle w:val="ListParagraph"/>
        <w:numPr>
          <w:ilvl w:val="1"/>
          <w:numId w:val="14"/>
        </w:numPr>
        <w:tabs>
          <w:tab w:pos="1631" w:val="left" w:leader="none"/>
        </w:tabs>
        <w:spacing w:line="240" w:lineRule="auto" w:before="107" w:after="0"/>
        <w:ind w:left="1630" w:right="0" w:hanging="292"/>
        <w:jc w:val="left"/>
        <w:rPr>
          <w:sz w:val="18"/>
        </w:rPr>
      </w:pPr>
      <w:r>
        <w:rPr>
          <w:spacing w:val="-1"/>
          <w:sz w:val="18"/>
        </w:rPr>
        <w:t>微生物：在赘生物，栓塞的赘生物或心脏内脓疡培养或组织检查证实有微生物；或</w:t>
      </w:r>
    </w:p>
    <w:p>
      <w:pPr>
        <w:pStyle w:val="ListParagraph"/>
        <w:numPr>
          <w:ilvl w:val="1"/>
          <w:numId w:val="14"/>
        </w:numPr>
        <w:tabs>
          <w:tab w:pos="1631" w:val="left" w:leader="none"/>
        </w:tabs>
        <w:spacing w:line="240" w:lineRule="auto" w:before="106" w:after="0"/>
        <w:ind w:left="1630" w:right="0" w:hanging="292"/>
        <w:jc w:val="left"/>
        <w:rPr>
          <w:sz w:val="18"/>
        </w:rPr>
      </w:pPr>
      <w:r>
        <w:rPr>
          <w:spacing w:val="-1"/>
          <w:sz w:val="18"/>
        </w:rPr>
        <w:t>病理性病灶：组织检查证实赘生物或心脏内脓疡有活动性心内膜炎；或</w:t>
      </w:r>
    </w:p>
    <w:p>
      <w:pPr>
        <w:pStyle w:val="ListParagraph"/>
        <w:numPr>
          <w:ilvl w:val="1"/>
          <w:numId w:val="14"/>
        </w:numPr>
        <w:tabs>
          <w:tab w:pos="1631" w:val="left" w:leader="none"/>
        </w:tabs>
        <w:spacing w:line="240" w:lineRule="auto" w:before="106" w:after="0"/>
        <w:ind w:left="1630" w:right="0" w:hanging="292"/>
        <w:jc w:val="left"/>
        <w:rPr>
          <w:sz w:val="18"/>
        </w:rPr>
      </w:pPr>
      <w:r>
        <w:rPr>
          <w:spacing w:val="-1"/>
          <w:sz w:val="18"/>
        </w:rPr>
        <w:t>分别两侧血液培养证实有典型的微生物且与心内膜炎符合；或</w:t>
      </w:r>
    </w:p>
    <w:p>
      <w:pPr>
        <w:pStyle w:val="ListParagraph"/>
        <w:numPr>
          <w:ilvl w:val="1"/>
          <w:numId w:val="14"/>
        </w:numPr>
        <w:tabs>
          <w:tab w:pos="1631" w:val="left" w:leader="none"/>
        </w:tabs>
        <w:spacing w:line="240" w:lineRule="auto" w:before="106" w:after="0"/>
        <w:ind w:left="1630" w:right="0" w:hanging="292"/>
        <w:jc w:val="left"/>
        <w:rPr>
          <w:sz w:val="18"/>
        </w:rPr>
      </w:pPr>
      <w:r>
        <w:rPr>
          <w:spacing w:val="-1"/>
          <w:sz w:val="18"/>
        </w:rPr>
        <w:t>持续血液培养证实有微生物阳性反应，且与心内膜炎符合。</w:t>
      </w:r>
    </w:p>
    <w:p>
      <w:pPr>
        <w:pStyle w:val="BodyText"/>
        <w:spacing w:line="340" w:lineRule="auto"/>
        <w:ind w:left="937" w:right="162"/>
      </w:pPr>
      <w:r>
        <w:rPr/>
        <w:t>（</w:t>
      </w:r>
      <w:r>
        <w:rPr>
          <w:rFonts w:ascii="Arial" w:eastAsia="Arial"/>
        </w:rPr>
        <w:t>2</w:t>
      </w:r>
      <w:r>
        <w:rPr/>
        <w:t>）心内膜炎引起中度心瓣膜关闭不全（指返流指数 </w:t>
      </w:r>
      <w:r>
        <w:rPr>
          <w:rFonts w:ascii="Arial" w:eastAsia="Arial"/>
        </w:rPr>
        <w:t>20%</w:t>
      </w:r>
      <w:r>
        <w:rPr/>
        <w:t>或以上）或中度心瓣膜狭窄（指心瓣膜开口范围小于或等于正常的 </w:t>
      </w:r>
      <w:r>
        <w:rPr>
          <w:rFonts w:ascii="Arial" w:eastAsia="Arial"/>
        </w:rPr>
        <w:t>30%</w:t>
      </w:r>
      <w:r>
        <w:rPr/>
        <w:t>）；</w:t>
      </w:r>
    </w:p>
    <w:p>
      <w:pPr>
        <w:pStyle w:val="BodyText"/>
        <w:spacing w:before="20"/>
        <w:ind w:left="937"/>
        <w:jc w:val="both"/>
      </w:pPr>
      <w:r>
        <w:rPr>
          <w:w w:val="95"/>
        </w:rPr>
        <w:t>（</w:t>
      </w:r>
      <w:r>
        <w:rPr>
          <w:rFonts w:ascii="Arial" w:eastAsia="Arial"/>
          <w:w w:val="95"/>
        </w:rPr>
        <w:t>3</w:t>
      </w:r>
      <w:r>
        <w:rPr>
          <w:w w:val="95"/>
        </w:rPr>
        <w:t>）心内膜炎及心瓣膜损毁程度需经由心脏专科医师确诊。</w:t>
      </w:r>
    </w:p>
    <w:p>
      <w:pPr>
        <w:pStyle w:val="ListParagraph"/>
        <w:numPr>
          <w:ilvl w:val="1"/>
          <w:numId w:val="12"/>
        </w:numPr>
        <w:tabs>
          <w:tab w:pos="1106" w:val="left" w:leader="none"/>
        </w:tabs>
        <w:spacing w:line="240" w:lineRule="auto" w:before="107" w:after="0"/>
        <w:ind w:left="1105" w:right="0" w:hanging="567"/>
        <w:jc w:val="left"/>
        <w:rPr>
          <w:sz w:val="18"/>
        </w:rPr>
      </w:pPr>
      <w:r>
        <w:rPr>
          <w:sz w:val="18"/>
        </w:rPr>
        <w:t>严重心肌炎</w:t>
      </w:r>
    </w:p>
    <w:p>
      <w:pPr>
        <w:pStyle w:val="BodyText"/>
        <w:spacing w:before="107"/>
        <w:ind w:left="937"/>
        <w:jc w:val="both"/>
        <w:rPr>
          <w:rFonts w:ascii="Arial" w:eastAsia="Arial"/>
        </w:rPr>
      </w:pPr>
      <w:r>
        <w:rPr/>
        <w:t>指心肌局限性或弥漫性的急性或慢性炎症病变，导致心脏功能障碍，达到美国纽约心脏病学会心功能状态分级 </w:t>
      </w:r>
      <w:r>
        <w:rPr>
          <w:rFonts w:ascii="Arial" w:eastAsia="Arial"/>
        </w:rPr>
        <w:t>IV</w:t>
      </w:r>
    </w:p>
    <w:p>
      <w:pPr>
        <w:pStyle w:val="BodyText"/>
        <w:spacing w:before="105"/>
        <w:ind w:left="937"/>
        <w:jc w:val="both"/>
      </w:pPr>
      <w:r>
        <w:rPr/>
        <w:t>级，且持续至少 </w:t>
      </w:r>
      <w:r>
        <w:rPr>
          <w:rFonts w:ascii="Arial" w:eastAsia="Arial"/>
        </w:rPr>
        <w:t>90 </w:t>
      </w:r>
      <w:r>
        <w:rPr/>
        <w:t>天。</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多发性硬化症</w:t>
      </w:r>
    </w:p>
    <w:p>
      <w:pPr>
        <w:pStyle w:val="BodyText"/>
        <w:spacing w:line="348" w:lineRule="auto"/>
        <w:ind w:left="937" w:right="106"/>
        <w:jc w:val="both"/>
        <w:rPr>
          <w:rFonts w:ascii="Arial" w:eastAsia="Arial"/>
        </w:rPr>
      </w:pPr>
      <w:r>
        <w:rPr/>
        <w:t>指一种中枢神经系统脱髓鞘疾病，造成身体部位不可逆的功能障碍。临床表现为视力受损、截瘫、平衡失调、构音障</w:t>
      </w:r>
      <w:r>
        <w:rPr>
          <w:spacing w:val="-2"/>
        </w:rPr>
        <w:t>碍、大小便机能失调等症状，须经国家机关认可的有合法资质的神经专科医师确诊，并有 </w:t>
      </w:r>
      <w:r>
        <w:rPr>
          <w:rFonts w:ascii="Arial" w:eastAsia="Arial"/>
        </w:rPr>
        <w:t>CT </w:t>
      </w:r>
      <w:r>
        <w:rPr/>
        <w:t>或核磁共振检查结果诊</w:t>
      </w:r>
      <w:r>
        <w:rPr>
          <w:spacing w:val="-2"/>
        </w:rPr>
        <w:t>断报告。所谓身体部位不可逆的功能障碍指初次诊断为功能障碍后需持续 </w:t>
      </w:r>
      <w:r>
        <w:rPr>
          <w:rFonts w:ascii="Arial" w:eastAsia="Arial"/>
        </w:rPr>
        <w:t>180 </w:t>
      </w:r>
      <w:r>
        <w:rPr>
          <w:spacing w:val="-1"/>
        </w:rPr>
        <w:t>天以上。其诊断必须满足下列全部条件</w:t>
      </w:r>
      <w:r>
        <w:rPr>
          <w:rFonts w:ascii="Arial" w:eastAsia="Arial"/>
        </w:rPr>
        <w:t>:</w:t>
      </w:r>
    </w:p>
    <w:p>
      <w:pPr>
        <w:pStyle w:val="BodyText"/>
        <w:spacing w:before="13"/>
        <w:ind w:left="937"/>
        <w:jc w:val="both"/>
      </w:pPr>
      <w:r>
        <w:rPr>
          <w:w w:val="95"/>
        </w:rPr>
        <w:t>（</w:t>
      </w:r>
      <w:r>
        <w:rPr>
          <w:rFonts w:ascii="Arial" w:eastAsia="Arial"/>
          <w:w w:val="95"/>
        </w:rPr>
        <w:t>1</w:t>
      </w:r>
      <w:r>
        <w:rPr>
          <w:w w:val="95"/>
        </w:rPr>
        <w:t>）由于视神经、脑干和脊髓损伤而导致的临床表现；</w:t>
      </w:r>
    </w:p>
    <w:p>
      <w:pPr>
        <w:pStyle w:val="BodyText"/>
        <w:ind w:left="937"/>
        <w:jc w:val="both"/>
      </w:pPr>
      <w:r>
        <w:rPr>
          <w:w w:val="95"/>
        </w:rPr>
        <w:t>（</w:t>
      </w:r>
      <w:r>
        <w:rPr>
          <w:rFonts w:ascii="Arial" w:eastAsia="Arial"/>
          <w:w w:val="95"/>
        </w:rPr>
        <w:t>2</w:t>
      </w:r>
      <w:r>
        <w:rPr>
          <w:w w:val="95"/>
        </w:rPr>
        <w:t>）散在的身体损害的多样性；</w:t>
      </w:r>
    </w:p>
    <w:p>
      <w:pPr>
        <w:pStyle w:val="BodyText"/>
        <w:ind w:left="937"/>
        <w:jc w:val="both"/>
      </w:pPr>
      <w:r>
        <w:rPr>
          <w:w w:val="95"/>
        </w:rPr>
        <w:t>（</w:t>
      </w:r>
      <w:r>
        <w:rPr>
          <w:rFonts w:ascii="Arial" w:eastAsia="Arial"/>
          <w:w w:val="95"/>
        </w:rPr>
        <w:t>3</w:t>
      </w:r>
      <w:r>
        <w:rPr>
          <w:w w:val="95"/>
        </w:rPr>
        <w:t>）上述症状反复发作、恶化及神经损伤的病史记录。</w:t>
      </w:r>
    </w:p>
    <w:p>
      <w:pPr>
        <w:pStyle w:val="ListParagraph"/>
        <w:numPr>
          <w:ilvl w:val="1"/>
          <w:numId w:val="12"/>
        </w:numPr>
        <w:tabs>
          <w:tab w:pos="1106" w:val="left" w:leader="none"/>
        </w:tabs>
        <w:spacing w:line="240" w:lineRule="auto" w:before="106" w:after="0"/>
        <w:ind w:left="1105" w:right="0" w:hanging="567"/>
        <w:jc w:val="left"/>
        <w:rPr>
          <w:sz w:val="18"/>
        </w:rPr>
      </w:pPr>
      <w:r>
        <w:rPr>
          <w:spacing w:val="-1"/>
          <w:sz w:val="18"/>
        </w:rPr>
        <w:t>慢性呼吸功能衰竭终末期肺病</w:t>
      </w:r>
    </w:p>
    <w:p>
      <w:pPr>
        <w:pStyle w:val="BodyText"/>
        <w:spacing w:before="107"/>
        <w:ind w:left="937"/>
        <w:jc w:val="both"/>
      </w:pPr>
      <w:r>
        <w:rPr/>
        <w:t>指因慢性呼吸系统疾病导致呼吸功能衰竭，并须满足下列全部条件：</w:t>
      </w:r>
    </w:p>
    <w:p>
      <w:pPr>
        <w:pStyle w:val="BodyText"/>
        <w:spacing w:before="119"/>
        <w:ind w:left="937"/>
        <w:jc w:val="both"/>
      </w:pPr>
      <w:r>
        <w:rPr/>
        <w:t>（</w:t>
      </w:r>
      <w:r>
        <w:rPr>
          <w:rFonts w:ascii="Arial" w:eastAsia="Arial"/>
        </w:rPr>
        <w:t>1) </w:t>
      </w:r>
      <w:r>
        <w:rPr/>
        <w:t>第一秒末用力呼气量（</w:t>
      </w:r>
      <w:r>
        <w:rPr>
          <w:rFonts w:ascii="Arial" w:eastAsia="Arial"/>
        </w:rPr>
        <w:t>FEV1</w:t>
      </w:r>
      <w:r>
        <w:rPr/>
        <w:t>）小于 </w:t>
      </w:r>
      <w:r>
        <w:rPr>
          <w:rFonts w:ascii="Arial" w:eastAsia="Arial"/>
        </w:rPr>
        <w:t>1 </w:t>
      </w:r>
      <w:r>
        <w:rPr/>
        <w:t>升；</w:t>
      </w:r>
    </w:p>
    <w:p>
      <w:pPr>
        <w:pStyle w:val="BodyText"/>
        <w:ind w:left="937"/>
        <w:jc w:val="both"/>
      </w:pPr>
      <w:r>
        <w:rPr/>
        <w:t>（</w:t>
      </w:r>
      <w:r>
        <w:rPr>
          <w:rFonts w:ascii="Arial" w:eastAsia="Arial"/>
        </w:rPr>
        <w:t>2) </w:t>
      </w:r>
      <w:r>
        <w:rPr/>
        <w:t>气道内阻力增加，至少达到 </w:t>
      </w:r>
      <w:r>
        <w:rPr>
          <w:rFonts w:ascii="Arial" w:eastAsia="Arial"/>
        </w:rPr>
        <w:t>0.5 kPa/l/s</w:t>
      </w:r>
      <w:r>
        <w:rPr/>
        <w:t>；</w:t>
      </w:r>
    </w:p>
    <w:p>
      <w:pPr>
        <w:pStyle w:val="BodyText"/>
        <w:ind w:left="937"/>
        <w:jc w:val="both"/>
      </w:pPr>
      <w:r>
        <w:rPr/>
        <w:t>（</w:t>
      </w:r>
      <w:r>
        <w:rPr>
          <w:rFonts w:ascii="Arial" w:eastAsia="Arial"/>
        </w:rPr>
        <w:t>3) </w:t>
      </w:r>
      <w:r>
        <w:rPr/>
        <w:t>残气容积占肺总量</w:t>
      </w:r>
      <w:r>
        <w:rPr>
          <w:rFonts w:ascii="Arial" w:eastAsia="Arial"/>
        </w:rPr>
        <w:t>(TLC)</w:t>
      </w:r>
      <w:r>
        <w:rPr/>
        <w:t>的 </w:t>
      </w:r>
      <w:r>
        <w:rPr>
          <w:rFonts w:ascii="Arial" w:eastAsia="Arial"/>
        </w:rPr>
        <w:t>60%</w:t>
      </w:r>
      <w:r>
        <w:rPr/>
        <w:t>以上；</w:t>
      </w:r>
    </w:p>
    <w:p>
      <w:pPr>
        <w:pStyle w:val="BodyText"/>
        <w:ind w:left="937"/>
        <w:jc w:val="both"/>
      </w:pPr>
      <w:r>
        <w:rPr/>
        <w:t>（</w:t>
      </w:r>
      <w:r>
        <w:rPr>
          <w:rFonts w:ascii="Arial" w:eastAsia="Arial"/>
        </w:rPr>
        <w:t>4) </w:t>
      </w:r>
      <w:r>
        <w:rPr/>
        <w:t>胸内气体容积升高，超过 </w:t>
      </w:r>
      <w:r>
        <w:rPr>
          <w:rFonts w:ascii="Arial" w:eastAsia="Arial"/>
        </w:rPr>
        <w:t>170(</w:t>
      </w:r>
      <w:r>
        <w:rPr/>
        <w:t>基值的百分比</w:t>
      </w:r>
      <w:r>
        <w:rPr>
          <w:rFonts w:ascii="Arial" w:eastAsia="Arial"/>
        </w:rPr>
        <w:t>)</w:t>
      </w:r>
      <w:r>
        <w:rPr/>
        <w:t>；</w:t>
      </w:r>
    </w:p>
    <w:p>
      <w:pPr>
        <w:pStyle w:val="BodyText"/>
        <w:ind w:left="937"/>
        <w:jc w:val="both"/>
      </w:pPr>
      <w:r>
        <w:rPr/>
        <w:t>（</w:t>
      </w:r>
      <w:r>
        <w:rPr>
          <w:rFonts w:ascii="Arial" w:eastAsia="Arial"/>
        </w:rPr>
        <w:t>5) PaO2&lt;60mmHg</w:t>
      </w:r>
      <w:r>
        <w:rPr/>
        <w:t>，</w:t>
      </w:r>
      <w:r>
        <w:rPr>
          <w:rFonts w:ascii="Arial" w:eastAsia="Arial"/>
        </w:rPr>
        <w:t>PaCO2&gt;50mmHg</w:t>
      </w:r>
      <w:r>
        <w:rPr/>
        <w:t>。</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重症肌无力</w:t>
      </w:r>
    </w:p>
    <w:p>
      <w:pPr>
        <w:pStyle w:val="BodyText"/>
        <w:spacing w:line="360" w:lineRule="auto" w:before="107"/>
        <w:ind w:left="937" w:right="189"/>
      </w:pPr>
      <w:r>
        <w:rPr/>
        <w:t>指一种神经与肌肉接头部位传递障碍的自身免疫性疾病，临床特征是局部或全身肌肉于活动时易于疲劳无力，须经专科医生明确诊断，并满足下列全部条件：</w:t>
      </w:r>
    </w:p>
    <w:p>
      <w:pPr>
        <w:pStyle w:val="BodyText"/>
        <w:spacing w:before="30"/>
        <w:ind w:left="937"/>
        <w:jc w:val="both"/>
      </w:pPr>
      <w:r>
        <w:rPr>
          <w:rFonts w:ascii="Arial" w:eastAsia="Arial"/>
          <w:w w:val="95"/>
        </w:rPr>
        <w:t>(1)</w:t>
      </w:r>
      <w:r>
        <w:rPr>
          <w:w w:val="95"/>
        </w:rPr>
        <w:t>经药物治疗或胸腺手术治疗一年以上无法控制病情，症状缓解、复发及恶化交替出现；</w:t>
      </w:r>
    </w:p>
    <w:p>
      <w:pPr>
        <w:pStyle w:val="BodyText"/>
        <w:spacing w:before="105"/>
        <w:ind w:left="937"/>
        <w:jc w:val="both"/>
      </w:pPr>
      <w:r>
        <w:rPr>
          <w:rFonts w:ascii="Arial" w:eastAsia="Arial"/>
          <w:w w:val="95"/>
        </w:rPr>
        <w:t>(2)</w:t>
      </w:r>
      <w:r>
        <w:rPr>
          <w:w w:val="95"/>
        </w:rPr>
        <w:t>自主生活能力完全丧失，无法独立完成六项基本日常生活活动中的三项或三项以上。</w:t>
      </w:r>
    </w:p>
    <w:p>
      <w:pPr>
        <w:pStyle w:val="ListParagraph"/>
        <w:numPr>
          <w:ilvl w:val="1"/>
          <w:numId w:val="12"/>
        </w:numPr>
        <w:tabs>
          <w:tab w:pos="1106" w:val="left" w:leader="none"/>
        </w:tabs>
        <w:spacing w:line="240" w:lineRule="auto" w:before="107" w:after="0"/>
        <w:ind w:left="1105" w:right="0" w:hanging="567"/>
        <w:jc w:val="left"/>
        <w:rPr>
          <w:sz w:val="18"/>
        </w:rPr>
      </w:pPr>
      <w:r>
        <w:rPr>
          <w:sz w:val="18"/>
        </w:rPr>
        <w:t>系统性红斑狼疮</w:t>
      </w:r>
    </w:p>
    <w:p>
      <w:pPr>
        <w:spacing w:after="0" w:line="240" w:lineRule="auto"/>
        <w:jc w:val="left"/>
        <w:rPr>
          <w:sz w:val="18"/>
        </w:rPr>
        <w:sectPr>
          <w:pgSz w:w="11910" w:h="16840"/>
          <w:pgMar w:header="672" w:footer="766" w:top="860" w:bottom="960" w:left="880" w:right="720"/>
        </w:sectPr>
      </w:pPr>
    </w:p>
    <w:p>
      <w:pPr>
        <w:pStyle w:val="BodyText"/>
        <w:spacing w:before="5"/>
        <w:ind w:left="0"/>
        <w:rPr>
          <w:sz w:val="14"/>
        </w:rPr>
      </w:pPr>
    </w:p>
    <w:p>
      <w:pPr>
        <w:pStyle w:val="BodyText"/>
        <w:spacing w:line="345" w:lineRule="auto" w:before="44"/>
        <w:ind w:left="937" w:right="169"/>
        <w:rPr>
          <w:b/>
        </w:rPr>
      </w:pPr>
      <w:r>
        <w:rPr/>
        <w:t>是一种累及多脏器的自身免疫性的炎症性结缔组织病，多发于青年女性。该病必须由医院的风湿科专科医生确诊。本</w:t>
      </w:r>
      <w:r>
        <w:rPr>
          <w:spacing w:val="-2"/>
        </w:rPr>
        <w:t>附加合同所指的系统性红斑狼疮仅限于累及肾脏的情况，即经肾脏活检确认的，符合 </w:t>
      </w:r>
      <w:r>
        <w:rPr>
          <w:rFonts w:ascii="Arial" w:eastAsia="Arial"/>
        </w:rPr>
        <w:t>WHO</w:t>
      </w:r>
      <w:r>
        <w:rPr>
          <w:rFonts w:ascii="Arial" w:eastAsia="Arial"/>
          <w:spacing w:val="-10"/>
        </w:rPr>
        <w:t> </w:t>
      </w:r>
      <w:r>
        <w:rPr>
          <w:spacing w:val="-7"/>
        </w:rPr>
        <w:t>诊断标准定义 </w:t>
      </w:r>
      <w:r>
        <w:rPr>
          <w:rFonts w:ascii="Arial" w:eastAsia="Arial"/>
        </w:rPr>
        <w:t>III</w:t>
      </w:r>
      <w:r>
        <w:rPr>
          <w:rFonts w:ascii="Arial" w:eastAsia="Arial"/>
          <w:spacing w:val="-9"/>
        </w:rPr>
        <w:t> </w:t>
      </w:r>
      <w:r>
        <w:rPr>
          <w:spacing w:val="-15"/>
        </w:rPr>
        <w:t>型至 </w:t>
      </w:r>
      <w:r>
        <w:rPr>
          <w:rFonts w:ascii="Arial" w:eastAsia="Arial"/>
        </w:rPr>
        <w:t>V </w:t>
      </w:r>
      <w:r>
        <w:rPr/>
        <w:t>型狼疮性肾炎的诊断标准，并伴有持续性蛋白尿（尿蛋白</w:t>
      </w:r>
      <w:r>
        <w:rPr>
          <w:rFonts w:ascii="Arial" w:eastAsia="Arial"/>
        </w:rPr>
        <w:t>++</w:t>
      </w:r>
      <w:r>
        <w:rPr/>
        <w:t>以上）的系统性红斑狼疮。</w:t>
      </w:r>
      <w:r>
        <w:rPr>
          <w:b/>
        </w:rPr>
        <w:t>其他类型的红斑性狼疮，如</w:t>
      </w:r>
      <w:r>
        <w:rPr>
          <w:b/>
          <w:w w:val="95"/>
        </w:rPr>
        <w:t>盘状狼疮、仅累及血液及关节的狼疮不在保障范围内。</w:t>
      </w:r>
    </w:p>
    <w:p>
      <w:pPr>
        <w:pStyle w:val="BodyText"/>
        <w:spacing w:before="37"/>
        <w:ind w:left="937"/>
      </w:pPr>
      <w:r>
        <w:rPr/>
        <w:t>世界卫生组织（</w:t>
      </w:r>
      <w:r>
        <w:rPr>
          <w:rFonts w:ascii="Arial" w:eastAsia="Arial"/>
        </w:rPr>
        <w:t>WHO</w:t>
      </w:r>
      <w:r>
        <w:rPr/>
        <w:t>）狼疮性肾炎分型：</w:t>
      </w:r>
    </w:p>
    <w:p>
      <w:pPr>
        <w:pStyle w:val="ListParagraph"/>
        <w:numPr>
          <w:ilvl w:val="0"/>
          <w:numId w:val="15"/>
        </w:numPr>
        <w:tabs>
          <w:tab w:pos="1029" w:val="left" w:leader="none"/>
        </w:tabs>
        <w:spacing w:line="240" w:lineRule="auto" w:before="106" w:after="0"/>
        <w:ind w:left="1028" w:right="0" w:hanging="91"/>
        <w:jc w:val="left"/>
        <w:rPr>
          <w:sz w:val="18"/>
        </w:rPr>
      </w:pPr>
      <w:r>
        <w:rPr>
          <w:sz w:val="18"/>
        </w:rPr>
        <w:t>型（微小病变型）；</w:t>
      </w:r>
    </w:p>
    <w:p>
      <w:pPr>
        <w:pStyle w:val="ListParagraph"/>
        <w:numPr>
          <w:ilvl w:val="0"/>
          <w:numId w:val="15"/>
        </w:numPr>
        <w:tabs>
          <w:tab w:pos="1079" w:val="left" w:leader="none"/>
        </w:tabs>
        <w:spacing w:line="240" w:lineRule="auto" w:before="106" w:after="0"/>
        <w:ind w:left="1078" w:right="0" w:hanging="141"/>
        <w:jc w:val="left"/>
        <w:rPr>
          <w:sz w:val="18"/>
        </w:rPr>
      </w:pPr>
      <w:r>
        <w:rPr>
          <w:sz w:val="18"/>
        </w:rPr>
        <w:t>型（系膜病变型）；</w:t>
      </w:r>
    </w:p>
    <w:p>
      <w:pPr>
        <w:pStyle w:val="ListParagraph"/>
        <w:numPr>
          <w:ilvl w:val="0"/>
          <w:numId w:val="15"/>
        </w:numPr>
        <w:tabs>
          <w:tab w:pos="1130" w:val="left" w:leader="none"/>
        </w:tabs>
        <w:spacing w:line="240" w:lineRule="auto" w:before="106" w:after="0"/>
        <w:ind w:left="1129" w:right="0" w:hanging="192"/>
        <w:jc w:val="left"/>
        <w:rPr>
          <w:sz w:val="18"/>
        </w:rPr>
      </w:pPr>
      <w:r>
        <w:rPr>
          <w:sz w:val="18"/>
        </w:rPr>
        <w:t>型（局灶及节段增生型）；</w:t>
      </w:r>
    </w:p>
    <w:p>
      <w:pPr>
        <w:pStyle w:val="ListParagraph"/>
        <w:numPr>
          <w:ilvl w:val="0"/>
          <w:numId w:val="15"/>
        </w:numPr>
        <w:tabs>
          <w:tab w:pos="1149" w:val="left" w:leader="none"/>
        </w:tabs>
        <w:spacing w:line="240" w:lineRule="auto" w:before="106" w:after="0"/>
        <w:ind w:left="1148" w:right="0" w:hanging="211"/>
        <w:jc w:val="left"/>
        <w:rPr>
          <w:sz w:val="18"/>
        </w:rPr>
      </w:pPr>
      <w:r>
        <w:rPr>
          <w:sz w:val="18"/>
        </w:rPr>
        <w:t>型（弥漫增生型）；</w:t>
      </w:r>
    </w:p>
    <w:p>
      <w:pPr>
        <w:pStyle w:val="ListParagraph"/>
        <w:numPr>
          <w:ilvl w:val="0"/>
          <w:numId w:val="15"/>
        </w:numPr>
        <w:tabs>
          <w:tab w:pos="1099" w:val="left" w:leader="none"/>
        </w:tabs>
        <w:spacing w:line="240" w:lineRule="auto" w:before="106" w:after="0"/>
        <w:ind w:left="1098" w:right="0" w:hanging="161"/>
        <w:jc w:val="left"/>
        <w:rPr>
          <w:sz w:val="18"/>
        </w:rPr>
      </w:pPr>
      <w:r>
        <w:rPr>
          <w:sz w:val="18"/>
        </w:rPr>
        <w:t>型（膜型）。</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慢性复发性胰腺炎</w:t>
      </w:r>
    </w:p>
    <w:p>
      <w:pPr>
        <w:pStyle w:val="BodyText"/>
        <w:spacing w:line="348" w:lineRule="auto" w:before="107"/>
        <w:ind w:left="937" w:right="169"/>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4"/>
        <w:spacing w:before="36"/>
        <w:ind w:left="937"/>
      </w:pPr>
      <w:r>
        <w:rPr>
          <w:w w:val="95"/>
        </w:rPr>
        <w:t>酒精导致的慢性复发性胰腺炎除外。</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系统性硬皮病</w:t>
      </w:r>
    </w:p>
    <w:p>
      <w:pPr>
        <w:pStyle w:val="BodyText"/>
        <w:spacing w:line="360" w:lineRule="auto"/>
        <w:ind w:left="937" w:right="170"/>
      </w:pPr>
      <w:r>
        <w:rPr/>
        <w:t>指一种以局限性或弥漫性皮肤增厚和皮肤、血管、内脏器官异常纤维化为特征的结缔组织病。本病须经专科医师明确诊断，并须满足下列至少一项条件：</w:t>
      </w:r>
    </w:p>
    <w:p>
      <w:pPr>
        <w:pStyle w:val="BodyText"/>
        <w:spacing w:before="26"/>
        <w:ind w:left="937"/>
      </w:pPr>
      <w:r>
        <w:rPr>
          <w:w w:val="95"/>
        </w:rPr>
        <w:t>（</w:t>
      </w:r>
      <w:r>
        <w:rPr>
          <w:rFonts w:ascii="Arial" w:eastAsia="Arial"/>
          <w:w w:val="95"/>
        </w:rPr>
        <w:t>1</w:t>
      </w:r>
      <w:r>
        <w:rPr>
          <w:w w:val="95"/>
        </w:rPr>
        <w:t>）肺脏：肺部病变进而发展为肺间质纤维化和肺动脉高压；</w:t>
      </w:r>
    </w:p>
    <w:p>
      <w:pPr>
        <w:pStyle w:val="BodyText"/>
        <w:ind w:left="937"/>
      </w:pPr>
      <w:r>
        <w:rPr/>
        <w:t>（</w:t>
      </w:r>
      <w:r>
        <w:rPr>
          <w:rFonts w:ascii="Arial" w:eastAsia="Arial"/>
        </w:rPr>
        <w:t>2</w:t>
      </w:r>
      <w:r>
        <w:rPr/>
        <w:t>）心脏：心功能受损达到美国纽约心脏病学会心功能状态分级 </w:t>
      </w:r>
      <w:r>
        <w:rPr>
          <w:rFonts w:ascii="Arial" w:eastAsia="Arial"/>
        </w:rPr>
        <w:t>IV </w:t>
      </w:r>
      <w:r>
        <w:rPr/>
        <w:t>级；</w:t>
      </w:r>
    </w:p>
    <w:p>
      <w:pPr>
        <w:pStyle w:val="BodyText"/>
        <w:spacing w:before="107"/>
        <w:ind w:left="937"/>
      </w:pPr>
      <w:r>
        <w:rPr>
          <w:w w:val="95"/>
        </w:rPr>
        <w:t>（</w:t>
      </w:r>
      <w:r>
        <w:rPr>
          <w:rFonts w:ascii="Arial" w:eastAsia="Arial"/>
          <w:w w:val="95"/>
        </w:rPr>
        <w:t>3</w:t>
      </w:r>
      <w:r>
        <w:rPr>
          <w:w w:val="95"/>
        </w:rPr>
        <w:t>）肾脏：肾脏受损导致双肾功能慢性不可逆衰竭，达到尿毒症期。</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脊髓灰质炎</w:t>
      </w:r>
    </w:p>
    <w:p>
      <w:pPr>
        <w:pStyle w:val="BodyText"/>
        <w:spacing w:line="357" w:lineRule="auto"/>
        <w:ind w:left="937" w:right="168"/>
        <w:jc w:val="both"/>
      </w:pPr>
      <w:r>
        <w:rPr/>
        <w:t>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rPr>
        <w:t>180 </w:t>
      </w:r>
      <w:r>
        <w:rPr/>
        <w:t>天后，每肢三大关节中的两大关节仍然完全僵硬，或不能随意识活动。</w:t>
      </w:r>
    </w:p>
    <w:p>
      <w:pPr>
        <w:pStyle w:val="ListParagraph"/>
        <w:numPr>
          <w:ilvl w:val="1"/>
          <w:numId w:val="12"/>
        </w:numPr>
        <w:tabs>
          <w:tab w:pos="1106" w:val="left" w:leader="none"/>
        </w:tabs>
        <w:spacing w:line="240" w:lineRule="auto" w:before="5" w:after="0"/>
        <w:ind w:left="1105" w:right="0" w:hanging="567"/>
        <w:jc w:val="left"/>
        <w:rPr>
          <w:sz w:val="18"/>
        </w:rPr>
      </w:pPr>
      <w:r>
        <w:rPr>
          <w:sz w:val="18"/>
        </w:rPr>
        <w:t>严重克雅氏症</w:t>
      </w:r>
    </w:p>
    <w:p>
      <w:pPr>
        <w:pStyle w:val="BodyText"/>
        <w:spacing w:line="357" w:lineRule="auto"/>
        <w:ind w:left="937" w:right="169"/>
        <w:jc w:val="both"/>
        <w:rPr>
          <w:b/>
        </w:rPr>
      </w:pPr>
      <w:r>
        <w:rPr/>
        <w:t>指以快速进行性痴呆为特征的一种疾病及永久不能完成最少三项基本日常生活活动。诊断需由相关专科医生经适当检查，例如脑电图检查显示克雅氏症的特殊异常现象及磁共振扫描显示特定的脑退化现象。其他原因所致的痴呆需经由</w:t>
      </w:r>
      <w:r>
        <w:rPr>
          <w:w w:val="95"/>
        </w:rPr>
        <w:t>脊椎穿刺检查排除。</w:t>
      </w:r>
      <w:r>
        <w:rPr>
          <w:b/>
          <w:w w:val="95"/>
        </w:rPr>
        <w:t>若本症是因为人类生长激素治疗所致，并不在保障范围内。</w:t>
      </w:r>
    </w:p>
    <w:p>
      <w:pPr>
        <w:pStyle w:val="ListParagraph"/>
        <w:numPr>
          <w:ilvl w:val="1"/>
          <w:numId w:val="12"/>
        </w:numPr>
        <w:tabs>
          <w:tab w:pos="1106" w:val="left" w:leader="none"/>
        </w:tabs>
        <w:spacing w:line="240" w:lineRule="auto" w:before="32" w:after="0"/>
        <w:ind w:left="1105" w:right="0" w:hanging="567"/>
        <w:jc w:val="left"/>
        <w:rPr>
          <w:sz w:val="18"/>
        </w:rPr>
      </w:pPr>
      <w:r>
        <w:rPr>
          <w:sz w:val="18"/>
        </w:rPr>
        <w:t>肝豆状核变性</w:t>
      </w:r>
    </w:p>
    <w:p>
      <w:pPr>
        <w:pStyle w:val="BodyText"/>
        <w:spacing w:line="357" w:lineRule="auto" w:before="107"/>
        <w:ind w:left="937" w:right="169"/>
      </w:pPr>
      <w:r>
        <w:rPr/>
        <w:t>指一种常染色体隐性遗传的铜代谢缺陷病，以不同程度的肝细胞损害、脑退行性病变和角膜边缘有铜盐沉着环为其临床特征，并须满足下列全部条件：</w:t>
      </w:r>
    </w:p>
    <w:p>
      <w:pPr>
        <w:pStyle w:val="BodyText"/>
        <w:spacing w:before="31"/>
        <w:ind w:left="937"/>
      </w:pPr>
      <w:r>
        <w:rPr>
          <w:w w:val="95"/>
        </w:rPr>
        <w:t>（</w:t>
      </w:r>
      <w:r>
        <w:rPr>
          <w:rFonts w:ascii="Arial" w:eastAsia="Arial"/>
          <w:w w:val="95"/>
        </w:rPr>
        <w:t>1</w:t>
      </w:r>
      <w:r>
        <w:rPr>
          <w:w w:val="95"/>
        </w:rPr>
        <w:t>）典型症状；</w:t>
      </w:r>
    </w:p>
    <w:p>
      <w:pPr>
        <w:pStyle w:val="BodyText"/>
        <w:ind w:left="937"/>
      </w:pPr>
      <w:r>
        <w:rPr/>
        <w:t>（</w:t>
      </w:r>
      <w:r>
        <w:rPr>
          <w:rFonts w:ascii="Arial" w:eastAsia="Arial"/>
        </w:rPr>
        <w:t>2</w:t>
      </w:r>
      <w:r>
        <w:rPr/>
        <w:t>）角膜色素环（</w:t>
      </w:r>
      <w:r>
        <w:rPr>
          <w:rFonts w:ascii="Arial" w:eastAsia="Arial"/>
        </w:rPr>
        <w:t>K-F </w:t>
      </w:r>
      <w:r>
        <w:rPr/>
        <w:t>环）；</w:t>
      </w:r>
    </w:p>
    <w:p>
      <w:pPr>
        <w:pStyle w:val="BodyText"/>
        <w:ind w:left="937"/>
      </w:pPr>
      <w:r>
        <w:rPr>
          <w:w w:val="95"/>
        </w:rPr>
        <w:t>（</w:t>
      </w:r>
      <w:r>
        <w:rPr>
          <w:rFonts w:ascii="Arial" w:eastAsia="Arial"/>
          <w:w w:val="95"/>
        </w:rPr>
        <w:t>3</w:t>
      </w:r>
      <w:r>
        <w:rPr>
          <w:w w:val="95"/>
        </w:rPr>
        <w:t>）血清铜和血清铜蓝蛋白降低，尿铜增加；</w:t>
      </w:r>
    </w:p>
    <w:p>
      <w:pPr>
        <w:pStyle w:val="BodyText"/>
        <w:spacing w:before="104"/>
        <w:ind w:left="937"/>
      </w:pPr>
      <w:r>
        <w:rPr>
          <w:w w:val="95"/>
        </w:rPr>
        <w:t>（</w:t>
      </w:r>
      <w:r>
        <w:rPr>
          <w:rFonts w:ascii="Arial" w:eastAsia="Arial"/>
          <w:w w:val="95"/>
        </w:rPr>
        <w:t>4</w:t>
      </w:r>
      <w:r>
        <w:rPr>
          <w:w w:val="95"/>
        </w:rPr>
        <w:t>）经皮做肝脏活检来定量分析肝脏铜的含量</w:t>
      </w:r>
    </w:p>
    <w:p>
      <w:pPr>
        <w:pStyle w:val="ListParagraph"/>
        <w:numPr>
          <w:ilvl w:val="1"/>
          <w:numId w:val="12"/>
        </w:numPr>
        <w:tabs>
          <w:tab w:pos="1106" w:val="left" w:leader="none"/>
        </w:tabs>
        <w:spacing w:line="240" w:lineRule="auto" w:before="107" w:after="0"/>
        <w:ind w:left="1105" w:right="0" w:hanging="567"/>
        <w:jc w:val="left"/>
        <w:rPr>
          <w:sz w:val="18"/>
        </w:rPr>
      </w:pPr>
      <w:r>
        <w:rPr>
          <w:spacing w:val="-16"/>
          <w:sz w:val="18"/>
        </w:rPr>
        <w:t>严重 </w:t>
      </w:r>
      <w:r>
        <w:rPr>
          <w:rFonts w:ascii="Arial" w:eastAsia="Arial"/>
          <w:sz w:val="18"/>
        </w:rPr>
        <w:t>1</w:t>
      </w:r>
      <w:r>
        <w:rPr>
          <w:rFonts w:ascii="Arial" w:eastAsia="Arial"/>
          <w:spacing w:val="-9"/>
          <w:sz w:val="18"/>
        </w:rPr>
        <w:t> </w:t>
      </w:r>
      <w:r>
        <w:rPr>
          <w:sz w:val="18"/>
        </w:rPr>
        <w:t>型糖尿病</w:t>
      </w:r>
    </w:p>
    <w:p>
      <w:pPr>
        <w:pStyle w:val="BodyText"/>
        <w:spacing w:line="360" w:lineRule="auto" w:before="107"/>
        <w:ind w:left="937" w:right="169"/>
      </w:pPr>
      <w:r>
        <w:rPr/>
        <w:t>胰岛素依赖型糖尿病是由于胰岛素分泌绝对不足而引起以血浆葡萄糖水平增高为特征的代谢内分泌疾病，需持续利用外源性胰岛素治疗。必须明确诊断为胰岛素依赖型糖尿病（</w:t>
      </w:r>
      <w:r>
        <w:rPr>
          <w:rFonts w:ascii="Arial" w:eastAsia="Arial"/>
        </w:rPr>
        <w:t>1 </w:t>
      </w:r>
      <w:r>
        <w:rPr/>
        <w:t>型糖尿病）并满足下列至少一个条件：</w:t>
      </w:r>
    </w:p>
    <w:p>
      <w:pPr>
        <w:pStyle w:val="BodyText"/>
        <w:spacing w:before="4"/>
        <w:ind w:left="937"/>
      </w:pPr>
      <w:r>
        <w:rPr>
          <w:w w:val="95"/>
        </w:rPr>
        <w:t>（</w:t>
      </w:r>
      <w:r>
        <w:rPr>
          <w:rFonts w:ascii="Arial" w:eastAsia="Arial"/>
          <w:w w:val="95"/>
        </w:rPr>
        <w:t>1</w:t>
      </w:r>
      <w:r>
        <w:rPr>
          <w:w w:val="95"/>
        </w:rPr>
        <w:t>）出现增殖性糖尿病视网膜病变；</w:t>
      </w:r>
    </w:p>
    <w:p>
      <w:pPr>
        <w:pStyle w:val="BodyText"/>
        <w:ind w:left="937"/>
      </w:pPr>
      <w:r>
        <w:rPr>
          <w:w w:val="95"/>
        </w:rPr>
        <w:t>（</w:t>
      </w:r>
      <w:r>
        <w:rPr>
          <w:rFonts w:ascii="Arial" w:eastAsia="Arial"/>
          <w:w w:val="95"/>
        </w:rPr>
        <w:t>2</w:t>
      </w:r>
      <w:r>
        <w:rPr>
          <w:w w:val="95"/>
        </w:rPr>
        <w:t>）糖尿病肾病，且尿蛋白</w:t>
      </w:r>
      <w:r>
        <w:rPr>
          <w:rFonts w:ascii="Arial" w:eastAsia="Arial"/>
          <w:w w:val="95"/>
        </w:rPr>
        <w:t>&gt;0.5g/24h</w:t>
      </w:r>
      <w:r>
        <w:rPr>
          <w:w w:val="95"/>
        </w:rPr>
        <w:t>；</w:t>
      </w:r>
    </w:p>
    <w:p>
      <w:pPr>
        <w:spacing w:after="0"/>
        <w:sectPr>
          <w:pgSz w:w="11910" w:h="16840"/>
          <w:pgMar w:header="672" w:footer="766" w:top="860" w:bottom="960" w:left="880" w:right="740"/>
        </w:sectPr>
      </w:pPr>
    </w:p>
    <w:p>
      <w:pPr>
        <w:pStyle w:val="BodyText"/>
        <w:spacing w:before="9"/>
        <w:ind w:left="0"/>
        <w:rPr>
          <w:sz w:val="13"/>
        </w:rPr>
      </w:pPr>
    </w:p>
    <w:p>
      <w:pPr>
        <w:pStyle w:val="BodyText"/>
        <w:spacing w:before="53"/>
        <w:ind w:left="937"/>
      </w:pPr>
      <w:r>
        <w:rPr>
          <w:w w:val="95"/>
        </w:rPr>
        <w:t>（</w:t>
      </w:r>
      <w:r>
        <w:rPr>
          <w:rFonts w:ascii="Arial" w:eastAsia="Arial"/>
          <w:w w:val="95"/>
        </w:rPr>
        <w:t>3</w:t>
      </w:r>
      <w:r>
        <w:rPr>
          <w:w w:val="95"/>
        </w:rPr>
        <w:t>）因糖尿病足趾坏疽进行下肢踝关节以上的截断术。</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严重原发性硬化性胆管炎</w:t>
      </w:r>
    </w:p>
    <w:p>
      <w:pPr>
        <w:pStyle w:val="BodyText"/>
        <w:spacing w:line="360" w:lineRule="auto" w:before="104"/>
        <w:ind w:left="937" w:right="169"/>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30"/>
        <w:ind w:left="937"/>
      </w:pPr>
      <w:r>
        <w:rPr/>
        <w:t>（</w:t>
      </w:r>
      <w:r>
        <w:rPr>
          <w:rFonts w:ascii="Arial" w:eastAsia="Arial"/>
        </w:rPr>
        <w:t>1</w:t>
      </w:r>
      <w:r>
        <w:rPr/>
        <w:t>）总胆红素和直接胆红素同时升高，血清 </w:t>
      </w:r>
      <w:r>
        <w:rPr>
          <w:rFonts w:ascii="Arial" w:eastAsia="Arial"/>
        </w:rPr>
        <w:t>ALP&gt;200U/L</w:t>
      </w:r>
      <w:r>
        <w:rPr/>
        <w:t>；</w:t>
      </w:r>
    </w:p>
    <w:p>
      <w:pPr>
        <w:pStyle w:val="BodyText"/>
        <w:spacing w:before="107"/>
        <w:ind w:left="937"/>
      </w:pPr>
      <w:r>
        <w:rPr>
          <w:w w:val="95"/>
        </w:rPr>
        <w:t>（</w:t>
      </w:r>
      <w:r>
        <w:rPr>
          <w:rFonts w:ascii="Arial" w:eastAsia="Arial"/>
          <w:w w:val="95"/>
        </w:rPr>
        <w:t>2</w:t>
      </w:r>
      <w:r>
        <w:rPr>
          <w:w w:val="95"/>
        </w:rPr>
        <w:t>）持续性黄疸病史；</w:t>
      </w:r>
    </w:p>
    <w:p>
      <w:pPr>
        <w:pStyle w:val="BodyText"/>
        <w:spacing w:before="104"/>
        <w:ind w:left="937"/>
      </w:pPr>
      <w:r>
        <w:rPr>
          <w:w w:val="95"/>
        </w:rPr>
        <w:t>（</w:t>
      </w:r>
      <w:r>
        <w:rPr>
          <w:rFonts w:ascii="Arial" w:eastAsia="Arial"/>
          <w:w w:val="95"/>
        </w:rPr>
        <w:t>3</w:t>
      </w:r>
      <w:r>
        <w:rPr>
          <w:w w:val="95"/>
        </w:rPr>
        <w:t>）出现胆汁性肝硬化或门脉高压。</w:t>
      </w:r>
    </w:p>
    <w:p>
      <w:pPr>
        <w:pStyle w:val="Heading4"/>
        <w:ind w:left="937"/>
      </w:pPr>
      <w:r>
        <w:rPr>
          <w:w w:val="95"/>
        </w:rPr>
        <w:t>因肿瘤或胆管损伤等继发性的硬化性胆管炎不在保障范围内。</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胰腺移植</w:t>
      </w:r>
    </w:p>
    <w:p>
      <w:pPr>
        <w:spacing w:line="362" w:lineRule="auto" w:before="106"/>
        <w:ind w:left="937" w:right="3049" w:firstLine="0"/>
        <w:jc w:val="left"/>
        <w:rPr>
          <w:b/>
          <w:sz w:val="18"/>
        </w:rPr>
      </w:pPr>
      <w:r>
        <w:rPr>
          <w:sz w:val="18"/>
        </w:rPr>
        <w:t>指因胰腺功能衰竭，已经实施了在全身麻醉下进行的胰腺的异体器官移植手术。</w:t>
      </w:r>
      <w:r>
        <w:rPr>
          <w:b/>
          <w:w w:val="95"/>
          <w:sz w:val="18"/>
        </w:rPr>
        <w:t>单纯胰岛移植、部分胰腺组织或细胞的移植不在保障范围内。</w:t>
      </w:r>
    </w:p>
    <w:p>
      <w:pPr>
        <w:pStyle w:val="ListParagraph"/>
        <w:numPr>
          <w:ilvl w:val="1"/>
          <w:numId w:val="12"/>
        </w:numPr>
        <w:tabs>
          <w:tab w:pos="1106" w:val="left" w:leader="none"/>
        </w:tabs>
        <w:spacing w:line="240" w:lineRule="auto" w:before="28" w:after="0"/>
        <w:ind w:left="1105" w:right="0" w:hanging="567"/>
        <w:jc w:val="left"/>
        <w:rPr>
          <w:sz w:val="18"/>
        </w:rPr>
      </w:pPr>
      <w:r>
        <w:rPr>
          <w:sz w:val="18"/>
        </w:rPr>
        <w:t>丝虫病所致象皮肿</w:t>
      </w:r>
    </w:p>
    <w:p>
      <w:pPr>
        <w:pStyle w:val="BodyText"/>
        <w:spacing w:line="360" w:lineRule="auto" w:before="107"/>
        <w:ind w:left="937" w:right="169"/>
      </w:pPr>
      <w:r>
        <w:rPr/>
        <w:t>指末期丝虫病，按国际淋巴学会分级为三度淋巴液肿，其临床表现为肢体非凹陷性水肿伴畸形增大、硬皮症和疣状增生。此病症须经专科医生根据临床表现和微丝蚴的化验结果确诊。</w:t>
      </w:r>
    </w:p>
    <w:p>
      <w:pPr>
        <w:pStyle w:val="ListParagraph"/>
        <w:numPr>
          <w:ilvl w:val="1"/>
          <w:numId w:val="12"/>
        </w:numPr>
        <w:tabs>
          <w:tab w:pos="1106" w:val="left" w:leader="none"/>
        </w:tabs>
        <w:spacing w:line="240" w:lineRule="auto" w:before="27" w:after="0"/>
        <w:ind w:left="1105" w:right="0" w:hanging="567"/>
        <w:jc w:val="left"/>
        <w:rPr>
          <w:sz w:val="18"/>
        </w:rPr>
      </w:pPr>
      <w:r>
        <w:rPr>
          <w:sz w:val="18"/>
        </w:rPr>
        <w:t>植物人状态</w:t>
      </w:r>
    </w:p>
    <w:p>
      <w:pPr>
        <w:pStyle w:val="BodyText"/>
        <w:spacing w:line="348" w:lineRule="auto"/>
        <w:ind w:left="937" w:right="169"/>
      </w:pPr>
      <w:r>
        <w:rPr/>
        <w:t>指由于严重颅脑外伤造成大脑严重损害导致完全永久性的对自身和环境的意识丧失和中枢神经系统功能丧失，仅残存植物神经功能的疾病状态。诊断必须明确并且具有严重颅脑外伤和脑损害的证据。植物人状态必须持续 </w:t>
      </w:r>
      <w:r>
        <w:rPr>
          <w:rFonts w:ascii="Arial" w:eastAsia="Arial"/>
        </w:rPr>
        <w:t>30 </w:t>
      </w:r>
      <w:r>
        <w:rPr/>
        <w:t>天以上方可申请理赔。</w:t>
      </w:r>
    </w:p>
    <w:p>
      <w:pPr>
        <w:pStyle w:val="ListParagraph"/>
        <w:numPr>
          <w:ilvl w:val="1"/>
          <w:numId w:val="12"/>
        </w:numPr>
        <w:tabs>
          <w:tab w:pos="1106" w:val="left" w:leader="none"/>
        </w:tabs>
        <w:spacing w:line="240" w:lineRule="auto" w:before="38" w:after="0"/>
        <w:ind w:left="1105" w:right="0" w:hanging="567"/>
        <w:jc w:val="left"/>
        <w:rPr>
          <w:sz w:val="18"/>
        </w:rPr>
      </w:pPr>
      <w:r>
        <w:rPr>
          <w:sz w:val="18"/>
        </w:rPr>
        <w:t>破裂脑动脉瘤夹闭手术</w:t>
      </w:r>
    </w:p>
    <w:p>
      <w:pPr>
        <w:pStyle w:val="BodyText"/>
        <w:spacing w:before="104"/>
        <w:ind w:left="937"/>
      </w:pPr>
      <w:r>
        <w:rPr/>
        <w:t>指因脑动脉瘤破裂造成蛛网膜下腔出血，被保险人实际接受了在全麻下进行的开颅动脉瘤夹闭手术。</w:t>
      </w:r>
    </w:p>
    <w:p>
      <w:pPr>
        <w:pStyle w:val="Heading4"/>
        <w:spacing w:before="119"/>
        <w:ind w:left="937"/>
      </w:pPr>
      <w:r>
        <w:rPr>
          <w:w w:val="95"/>
        </w:rPr>
        <w:t>脑动脉瘤（未破裂）预防性手术、颅骨打孔手术、动脉瘤栓塞手术、血管内手术及其他颅脑手术不在保障范围内。</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因职业关系导致的人类免疫缺陷病毒感染</w:t>
      </w:r>
    </w:p>
    <w:p>
      <w:pPr>
        <w:pStyle w:val="BodyText"/>
        <w:spacing w:before="107"/>
        <w:ind w:left="937"/>
      </w:pPr>
      <w:r>
        <w:rPr/>
        <w:t>被保险人在其常规职业工作过程中遭遇外伤，或者职业需要处理血液或者其他体液时感染上人类免疫缺陷病毒</w:t>
      </w:r>
    </w:p>
    <w:p>
      <w:pPr>
        <w:pStyle w:val="BodyText"/>
        <w:spacing w:before="117"/>
        <w:ind w:left="937"/>
      </w:pPr>
      <w:r>
        <w:rPr/>
        <w:t>（</w:t>
      </w:r>
      <w:r>
        <w:rPr>
          <w:rFonts w:ascii="Arial" w:eastAsia="Arial"/>
        </w:rPr>
        <w:t>HIV</w:t>
      </w:r>
      <w:r>
        <w:rPr/>
        <w:t>）。须满足下列全部条件：</w:t>
      </w:r>
    </w:p>
    <w:p>
      <w:pPr>
        <w:pStyle w:val="BodyText"/>
        <w:spacing w:before="104"/>
        <w:ind w:left="937"/>
      </w:pPr>
      <w:r>
        <w:rPr>
          <w:w w:val="95"/>
        </w:rPr>
        <w:t>（</w:t>
      </w:r>
      <w:r>
        <w:rPr>
          <w:rFonts w:ascii="Arial" w:eastAsia="Arial"/>
          <w:w w:val="95"/>
        </w:rPr>
        <w:t>1</w:t>
      </w:r>
      <w:r>
        <w:rPr>
          <w:w w:val="95"/>
        </w:rPr>
        <w:t>）感染必须是在被保险人正在从事其职业工作中发生，该职业必须属于以下列表内的职业；</w:t>
      </w:r>
    </w:p>
    <w:p>
      <w:pPr>
        <w:pStyle w:val="BodyText"/>
        <w:spacing w:line="340" w:lineRule="auto"/>
        <w:ind w:left="937" w:right="109"/>
      </w:pPr>
      <w:r>
        <w:rPr/>
        <w:t>（</w:t>
      </w:r>
      <w:r>
        <w:rPr>
          <w:rFonts w:ascii="Arial" w:eastAsia="Arial"/>
        </w:rPr>
        <w:t>2</w:t>
      </w:r>
      <w:r>
        <w:rPr/>
        <w:t>）必须提供被保险人在所报事故发生后的 </w:t>
      </w:r>
      <w:r>
        <w:rPr>
          <w:rFonts w:ascii="Arial" w:eastAsia="Arial"/>
        </w:rPr>
        <w:t>5 </w:t>
      </w:r>
      <w:r>
        <w:rPr/>
        <w:t>天以内进行的检查报告，该报告必须显示被保险人血液 </w:t>
      </w:r>
      <w:r>
        <w:rPr>
          <w:rFonts w:ascii="Arial" w:eastAsia="Arial"/>
        </w:rPr>
        <w:t>HIV </w:t>
      </w:r>
      <w:r>
        <w:rPr/>
        <w:t>病毒阴性和</w:t>
      </w:r>
      <w:r>
        <w:rPr>
          <w:rFonts w:ascii="Arial" w:eastAsia="Arial"/>
        </w:rPr>
        <w:t>/</w:t>
      </w:r>
      <w:r>
        <w:rPr/>
        <w:t>或 </w:t>
      </w:r>
      <w:r>
        <w:rPr>
          <w:rFonts w:ascii="Arial" w:eastAsia="Arial"/>
        </w:rPr>
        <w:t>HIV </w:t>
      </w:r>
      <w:r>
        <w:rPr/>
        <w:t>抗体阴性；</w:t>
      </w:r>
    </w:p>
    <w:p>
      <w:pPr>
        <w:pStyle w:val="BodyText"/>
        <w:spacing w:before="19"/>
        <w:ind w:left="937"/>
        <w:rPr>
          <w:rFonts w:ascii="Arial" w:eastAsia="Arial"/>
        </w:rPr>
      </w:pPr>
      <w:r>
        <w:rPr/>
        <w:t>（</w:t>
      </w:r>
      <w:r>
        <w:rPr>
          <w:rFonts w:ascii="Arial" w:eastAsia="Arial"/>
        </w:rPr>
        <w:t>3</w:t>
      </w:r>
      <w:r>
        <w:rPr/>
        <w:t>）必须在事故发生后的 </w:t>
      </w:r>
      <w:r>
        <w:rPr>
          <w:rFonts w:ascii="Arial" w:eastAsia="Arial"/>
        </w:rPr>
        <w:t>6 </w:t>
      </w:r>
      <w:r>
        <w:rPr/>
        <w:t>个月内证实被保险人体内存在 </w:t>
      </w:r>
      <w:r>
        <w:rPr>
          <w:rFonts w:ascii="Arial" w:eastAsia="Arial"/>
        </w:rPr>
        <w:t>HIV </w:t>
      </w:r>
      <w:r>
        <w:rPr/>
        <w:t>病毒或者 </w:t>
      </w:r>
      <w:r>
        <w:rPr>
          <w:rFonts w:ascii="Arial" w:eastAsia="Arial"/>
        </w:rPr>
        <w:t>HIV </w:t>
      </w:r>
      <w:r>
        <w:rPr/>
        <w:t>抗体，即血液 </w:t>
      </w:r>
      <w:r>
        <w:rPr>
          <w:rFonts w:ascii="Arial" w:eastAsia="Arial"/>
        </w:rPr>
        <w:t>HIV </w:t>
      </w:r>
      <w:r>
        <w:rPr/>
        <w:t>病毒阳性和</w:t>
      </w:r>
      <w:r>
        <w:rPr>
          <w:rFonts w:ascii="Arial" w:eastAsia="Arial"/>
        </w:rPr>
        <w:t>/</w:t>
      </w:r>
      <w:r>
        <w:rPr/>
        <w:t>或 </w:t>
      </w:r>
      <w:r>
        <w:rPr>
          <w:rFonts w:ascii="Arial" w:eastAsia="Arial"/>
        </w:rPr>
        <w:t>HIV</w:t>
      </w:r>
    </w:p>
    <w:p>
      <w:pPr>
        <w:pStyle w:val="BodyText"/>
        <w:spacing w:before="104"/>
        <w:ind w:left="937"/>
      </w:pPr>
      <w:r>
        <w:rPr/>
        <w:t>抗体阳性。</w:t>
      </w:r>
    </w:p>
    <w:p>
      <w:pPr>
        <w:pStyle w:val="Heading4"/>
        <w:spacing w:line="340" w:lineRule="auto" w:before="120"/>
        <w:ind w:left="937" w:right="460"/>
      </w:pPr>
      <w:r>
        <w:rPr>
          <w:w w:val="95"/>
        </w:rPr>
        <w:t>职业限制如下所示</w:t>
      </w:r>
      <w:r>
        <w:rPr>
          <w:rFonts w:ascii="Arial" w:eastAsia="Arial"/>
          <w:spacing w:val="-3"/>
          <w:w w:val="95"/>
        </w:rPr>
        <w:t>:</w:t>
      </w:r>
      <w:r>
        <w:rPr>
          <w:w w:val="95"/>
        </w:rPr>
        <w:t>医生、护士、医疗机构实验室工作人员、医院护工、助产士、救护车工作人员、警察、消防队   员。</w:t>
      </w:r>
    </w:p>
    <w:p>
      <w:pPr>
        <w:pStyle w:val="ListParagraph"/>
        <w:numPr>
          <w:ilvl w:val="1"/>
          <w:numId w:val="12"/>
        </w:numPr>
        <w:tabs>
          <w:tab w:pos="1106" w:val="left" w:leader="none"/>
        </w:tabs>
        <w:spacing w:line="240" w:lineRule="auto" w:before="41" w:after="0"/>
        <w:ind w:left="1105" w:right="0" w:hanging="567"/>
        <w:jc w:val="left"/>
        <w:rPr>
          <w:sz w:val="18"/>
        </w:rPr>
      </w:pPr>
      <w:r>
        <w:rPr>
          <w:sz w:val="18"/>
        </w:rPr>
        <w:t>非阿尔茨海默病所致严重痴呆</w:t>
      </w:r>
    </w:p>
    <w:p>
      <w:pPr>
        <w:pStyle w:val="BodyText"/>
        <w:spacing w:line="357" w:lineRule="auto"/>
        <w:ind w:left="937" w:right="168"/>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4"/>
        <w:spacing w:before="29"/>
        <w:ind w:left="937"/>
      </w:pPr>
      <w:r>
        <w:rPr>
          <w:w w:val="95"/>
        </w:rPr>
        <w:t>神经官能症，精神疾病及酒精中毒所致脑损害不在保障范围内。</w:t>
      </w:r>
    </w:p>
    <w:p>
      <w:pPr>
        <w:pStyle w:val="ListParagraph"/>
        <w:numPr>
          <w:ilvl w:val="1"/>
          <w:numId w:val="12"/>
        </w:numPr>
        <w:tabs>
          <w:tab w:pos="1106" w:val="left" w:leader="none"/>
        </w:tabs>
        <w:spacing w:line="240" w:lineRule="auto" w:before="120" w:after="0"/>
        <w:ind w:left="1105" w:right="0" w:hanging="567"/>
        <w:jc w:val="left"/>
        <w:rPr>
          <w:sz w:val="18"/>
        </w:rPr>
      </w:pPr>
      <w:r>
        <w:rPr>
          <w:sz w:val="18"/>
        </w:rPr>
        <w:t>肺源性心脏病</w:t>
      </w:r>
    </w:p>
    <w:p>
      <w:pPr>
        <w:pStyle w:val="BodyText"/>
        <w:spacing w:line="360" w:lineRule="auto" w:before="107"/>
        <w:ind w:left="937" w:right="169"/>
      </w:pPr>
      <w:r>
        <w:rPr/>
        <w:t>指由于各种胸肺及支气管病变而继发的肺动脉高压，最后导致以右室肥大为特征的心脏病。须经呼吸专科医生确诊， 且必须同时满足如下诊断标准：</w:t>
      </w:r>
    </w:p>
    <w:p>
      <w:pPr>
        <w:pStyle w:val="ListParagraph"/>
        <w:numPr>
          <w:ilvl w:val="0"/>
          <w:numId w:val="16"/>
        </w:numPr>
        <w:tabs>
          <w:tab w:pos="1449" w:val="left" w:leader="none"/>
        </w:tabs>
        <w:spacing w:line="240" w:lineRule="auto" w:before="27" w:after="0"/>
        <w:ind w:left="1448" w:right="0" w:hanging="511"/>
        <w:jc w:val="left"/>
        <w:rPr>
          <w:sz w:val="18"/>
        </w:rPr>
      </w:pPr>
      <w:r>
        <w:rPr>
          <w:sz w:val="18"/>
        </w:rPr>
        <w:t>左心房压力增高（</w:t>
      </w:r>
      <w:r>
        <w:rPr>
          <w:spacing w:val="-12"/>
          <w:sz w:val="18"/>
        </w:rPr>
        <w:t>不低于 </w:t>
      </w:r>
      <w:r>
        <w:rPr>
          <w:rFonts w:ascii="Arial" w:eastAsia="Arial"/>
          <w:sz w:val="18"/>
        </w:rPr>
        <w:t>20</w:t>
      </w:r>
      <w:r>
        <w:rPr>
          <w:rFonts w:ascii="Arial" w:eastAsia="Arial"/>
          <w:spacing w:val="-10"/>
          <w:sz w:val="18"/>
        </w:rPr>
        <w:t> </w:t>
      </w:r>
      <w:r>
        <w:rPr>
          <w:sz w:val="18"/>
        </w:rPr>
        <w:t>个单位）；</w:t>
      </w:r>
    </w:p>
    <w:p>
      <w:pPr>
        <w:spacing w:after="0" w:line="240" w:lineRule="auto"/>
        <w:jc w:val="left"/>
        <w:rPr>
          <w:sz w:val="18"/>
        </w:rPr>
        <w:sectPr>
          <w:pgSz w:w="11910" w:h="16840"/>
          <w:pgMar w:header="672" w:footer="766" w:top="860" w:bottom="960" w:left="880" w:right="740"/>
        </w:sectPr>
      </w:pPr>
    </w:p>
    <w:p>
      <w:pPr>
        <w:pStyle w:val="BodyText"/>
        <w:spacing w:before="9"/>
        <w:ind w:left="0"/>
        <w:rPr>
          <w:sz w:val="13"/>
        </w:rPr>
      </w:pPr>
    </w:p>
    <w:p>
      <w:pPr>
        <w:pStyle w:val="ListParagraph"/>
        <w:numPr>
          <w:ilvl w:val="0"/>
          <w:numId w:val="16"/>
        </w:numPr>
        <w:tabs>
          <w:tab w:pos="1449" w:val="left" w:leader="none"/>
        </w:tabs>
        <w:spacing w:line="240" w:lineRule="auto" w:before="53" w:after="0"/>
        <w:ind w:left="1448" w:right="0" w:hanging="511"/>
        <w:jc w:val="left"/>
        <w:rPr>
          <w:sz w:val="18"/>
        </w:rPr>
      </w:pPr>
      <w:r>
        <w:rPr>
          <w:spacing w:val="-5"/>
          <w:sz w:val="18"/>
        </w:rPr>
        <w:t>肺血管阻力高于正常值 </w:t>
      </w:r>
      <w:r>
        <w:rPr>
          <w:rFonts w:ascii="Arial" w:eastAsia="Arial"/>
          <w:sz w:val="18"/>
        </w:rPr>
        <w:t>3</w:t>
      </w:r>
      <w:r>
        <w:rPr>
          <w:rFonts w:ascii="Arial" w:eastAsia="Arial"/>
          <w:spacing w:val="-10"/>
          <w:sz w:val="18"/>
        </w:rPr>
        <w:t> </w:t>
      </w:r>
      <w:r>
        <w:rPr>
          <w:sz w:val="18"/>
        </w:rPr>
        <w:t>个单位（</w:t>
      </w:r>
      <w:r>
        <w:rPr>
          <w:rFonts w:ascii="Arial" w:eastAsia="Arial"/>
          <w:sz w:val="18"/>
        </w:rPr>
        <w:t>Pulmonary</w:t>
      </w:r>
      <w:r>
        <w:rPr>
          <w:rFonts w:ascii="Arial" w:eastAsia="Arial"/>
          <w:spacing w:val="-3"/>
          <w:sz w:val="18"/>
        </w:rPr>
        <w:t> </w:t>
      </w:r>
      <w:r>
        <w:rPr>
          <w:rFonts w:ascii="Arial" w:eastAsia="Arial"/>
          <w:sz w:val="18"/>
        </w:rPr>
        <w:t>Resistance</w:t>
      </w:r>
      <w:r>
        <w:rPr>
          <w:sz w:val="18"/>
        </w:rPr>
        <w:t>）；</w:t>
      </w:r>
    </w:p>
    <w:p>
      <w:pPr>
        <w:pStyle w:val="ListParagraph"/>
        <w:numPr>
          <w:ilvl w:val="0"/>
          <w:numId w:val="16"/>
        </w:numPr>
        <w:tabs>
          <w:tab w:pos="1449" w:val="left" w:leader="none"/>
        </w:tabs>
        <w:spacing w:line="240" w:lineRule="auto" w:before="106" w:after="0"/>
        <w:ind w:left="1448" w:right="0" w:hanging="511"/>
        <w:jc w:val="left"/>
        <w:rPr>
          <w:sz w:val="18"/>
        </w:rPr>
      </w:pPr>
      <w:r>
        <w:rPr>
          <w:spacing w:val="-6"/>
          <w:sz w:val="18"/>
        </w:rPr>
        <w:t>肺动脉血压不低于 </w:t>
      </w:r>
      <w:r>
        <w:rPr>
          <w:rFonts w:ascii="Arial" w:eastAsia="Arial"/>
          <w:sz w:val="18"/>
        </w:rPr>
        <w:t>40</w:t>
      </w:r>
      <w:r>
        <w:rPr>
          <w:rFonts w:ascii="Arial" w:eastAsia="Arial"/>
          <w:spacing w:val="-10"/>
          <w:sz w:val="18"/>
        </w:rPr>
        <w:t> </w:t>
      </w:r>
      <w:r>
        <w:rPr>
          <w:spacing w:val="-2"/>
          <w:sz w:val="18"/>
        </w:rPr>
        <w:t>毫米汞柱；</w:t>
      </w:r>
    </w:p>
    <w:p>
      <w:pPr>
        <w:pStyle w:val="ListParagraph"/>
        <w:numPr>
          <w:ilvl w:val="0"/>
          <w:numId w:val="16"/>
        </w:numPr>
        <w:tabs>
          <w:tab w:pos="1449" w:val="left" w:leader="none"/>
        </w:tabs>
        <w:spacing w:line="240" w:lineRule="auto" w:before="104" w:after="0"/>
        <w:ind w:left="1448" w:right="0" w:hanging="511"/>
        <w:jc w:val="left"/>
        <w:rPr>
          <w:sz w:val="18"/>
        </w:rPr>
      </w:pPr>
      <w:r>
        <w:rPr>
          <w:spacing w:val="-5"/>
          <w:sz w:val="18"/>
        </w:rPr>
        <w:t>肺动脉楔压不低于 </w:t>
      </w:r>
      <w:r>
        <w:rPr>
          <w:rFonts w:ascii="Arial" w:eastAsia="Arial"/>
          <w:sz w:val="18"/>
        </w:rPr>
        <w:t>6</w:t>
      </w:r>
      <w:r>
        <w:rPr>
          <w:rFonts w:ascii="Arial" w:eastAsia="Arial"/>
          <w:spacing w:val="-9"/>
          <w:sz w:val="18"/>
        </w:rPr>
        <w:t> </w:t>
      </w:r>
      <w:r>
        <w:rPr>
          <w:spacing w:val="-2"/>
          <w:sz w:val="18"/>
        </w:rPr>
        <w:t>毫米汞柱；</w:t>
      </w:r>
    </w:p>
    <w:p>
      <w:pPr>
        <w:pStyle w:val="ListParagraph"/>
        <w:numPr>
          <w:ilvl w:val="0"/>
          <w:numId w:val="16"/>
        </w:numPr>
        <w:tabs>
          <w:tab w:pos="1449" w:val="left" w:leader="none"/>
        </w:tabs>
        <w:spacing w:line="240" w:lineRule="auto" w:before="107" w:after="0"/>
        <w:ind w:left="1448" w:right="0" w:hanging="511"/>
        <w:jc w:val="left"/>
        <w:rPr>
          <w:sz w:val="18"/>
        </w:rPr>
      </w:pPr>
      <w:r>
        <w:rPr>
          <w:spacing w:val="-3"/>
          <w:sz w:val="18"/>
        </w:rPr>
        <w:t>右心室心脏舒张期末压力不低于 </w:t>
      </w:r>
      <w:r>
        <w:rPr>
          <w:rFonts w:ascii="Arial" w:eastAsia="Arial"/>
          <w:sz w:val="18"/>
        </w:rPr>
        <w:t>8</w:t>
      </w:r>
      <w:r>
        <w:rPr>
          <w:rFonts w:ascii="Arial" w:eastAsia="Arial"/>
          <w:spacing w:val="-9"/>
          <w:sz w:val="18"/>
        </w:rPr>
        <w:t> </w:t>
      </w:r>
      <w:r>
        <w:rPr>
          <w:sz w:val="18"/>
        </w:rPr>
        <w:t>毫米汞柱；</w:t>
      </w:r>
    </w:p>
    <w:p>
      <w:pPr>
        <w:pStyle w:val="ListParagraph"/>
        <w:numPr>
          <w:ilvl w:val="0"/>
          <w:numId w:val="16"/>
        </w:numPr>
        <w:tabs>
          <w:tab w:pos="1449" w:val="left" w:leader="none"/>
        </w:tabs>
        <w:spacing w:line="240" w:lineRule="auto" w:before="107" w:after="0"/>
        <w:ind w:left="1448" w:right="0" w:hanging="511"/>
        <w:jc w:val="left"/>
        <w:rPr>
          <w:sz w:val="18"/>
        </w:rPr>
      </w:pPr>
      <w:r>
        <w:rPr>
          <w:sz w:val="18"/>
        </w:rPr>
        <w:t>右心室过度肥大、扩张，出现右心衰竭和呼吸困难。</w:t>
      </w:r>
    </w:p>
    <w:p>
      <w:pPr>
        <w:pStyle w:val="ListParagraph"/>
        <w:numPr>
          <w:ilvl w:val="1"/>
          <w:numId w:val="12"/>
        </w:numPr>
        <w:tabs>
          <w:tab w:pos="1106" w:val="left" w:leader="none"/>
        </w:tabs>
        <w:spacing w:line="240" w:lineRule="auto" w:before="107" w:after="0"/>
        <w:ind w:left="1105" w:right="0" w:hanging="567"/>
        <w:jc w:val="left"/>
        <w:rPr>
          <w:sz w:val="18"/>
        </w:rPr>
      </w:pPr>
      <w:r>
        <w:rPr>
          <w:sz w:val="18"/>
        </w:rPr>
        <w:t>嗜铬细胞瘤</w:t>
      </w:r>
    </w:p>
    <w:p>
      <w:pPr>
        <w:pStyle w:val="BodyText"/>
        <w:spacing w:line="316" w:lineRule="auto" w:before="47"/>
        <w:ind w:left="937" w:right="168"/>
      </w:pPr>
      <w:r>
        <w:rPr/>
        <w:t>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ListParagraph"/>
        <w:numPr>
          <w:ilvl w:val="1"/>
          <w:numId w:val="12"/>
        </w:numPr>
        <w:tabs>
          <w:tab w:pos="1106" w:val="left" w:leader="none"/>
        </w:tabs>
        <w:spacing w:line="240" w:lineRule="auto" w:before="59" w:after="0"/>
        <w:ind w:left="1105" w:right="0" w:hanging="567"/>
        <w:jc w:val="left"/>
        <w:rPr>
          <w:sz w:val="18"/>
        </w:rPr>
      </w:pPr>
      <w:r>
        <w:rPr>
          <w:sz w:val="18"/>
        </w:rPr>
        <w:t>严重哮喘</w:t>
      </w:r>
    </w:p>
    <w:p>
      <w:pPr>
        <w:pStyle w:val="BodyText"/>
        <w:ind w:left="937"/>
      </w:pPr>
      <w:r>
        <w:rPr/>
        <w:t>被保险人必须在过去两年内曾发生哮喘持续状态，并满足以下标准中的两项或两项以上标准：</w:t>
      </w:r>
    </w:p>
    <w:p>
      <w:pPr>
        <w:pStyle w:val="BodyText"/>
        <w:spacing w:before="119"/>
        <w:ind w:left="937"/>
      </w:pPr>
      <w:r>
        <w:rPr>
          <w:w w:val="95"/>
        </w:rPr>
        <w:t>（</w:t>
      </w:r>
      <w:r>
        <w:rPr>
          <w:rFonts w:ascii="Arial" w:eastAsia="Arial"/>
          <w:w w:val="95"/>
        </w:rPr>
        <w:t>1</w:t>
      </w:r>
      <w:r>
        <w:rPr>
          <w:w w:val="95"/>
        </w:rPr>
        <w:t>）运动耐受力永久并持续地减少并且轻微的运动能引起气促；</w:t>
      </w:r>
    </w:p>
    <w:p>
      <w:pPr>
        <w:pStyle w:val="BodyText"/>
        <w:spacing w:before="107"/>
        <w:ind w:left="937"/>
      </w:pPr>
      <w:r>
        <w:rPr>
          <w:w w:val="95"/>
        </w:rPr>
        <w:t>（</w:t>
      </w:r>
      <w:r>
        <w:rPr>
          <w:rFonts w:ascii="Arial" w:eastAsia="Arial"/>
          <w:w w:val="95"/>
        </w:rPr>
        <w:t>2</w:t>
      </w:r>
      <w:r>
        <w:rPr>
          <w:w w:val="95"/>
        </w:rPr>
        <w:t>）长期胸腔过渡膨胀而导致胸腔畸形；</w:t>
      </w:r>
    </w:p>
    <w:p>
      <w:pPr>
        <w:pStyle w:val="BodyText"/>
        <w:ind w:left="937"/>
      </w:pPr>
      <w:r>
        <w:rPr>
          <w:w w:val="95"/>
        </w:rPr>
        <w:t>（</w:t>
      </w:r>
      <w:r>
        <w:rPr>
          <w:rFonts w:ascii="Arial" w:eastAsia="Arial"/>
          <w:w w:val="95"/>
        </w:rPr>
        <w:t>3</w:t>
      </w:r>
      <w:r>
        <w:rPr>
          <w:w w:val="95"/>
        </w:rPr>
        <w:t>）在家及在静息状态下需要吸氧；</w:t>
      </w:r>
    </w:p>
    <w:p>
      <w:pPr>
        <w:pStyle w:val="BodyText"/>
        <w:ind w:left="937"/>
      </w:pPr>
      <w:r>
        <w:rPr/>
        <w:t>（</w:t>
      </w:r>
      <w:r>
        <w:rPr>
          <w:rFonts w:ascii="Arial" w:eastAsia="Arial"/>
        </w:rPr>
        <w:t>4</w:t>
      </w:r>
      <w:r>
        <w:rPr/>
        <w:t>）持续的每天服用类固醇药物（至少持续 </w:t>
      </w:r>
      <w:r>
        <w:rPr>
          <w:rFonts w:ascii="Arial" w:eastAsia="Arial"/>
        </w:rPr>
        <w:t>6 </w:t>
      </w:r>
      <w:r>
        <w:rPr/>
        <w:t>个月以上）。</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侵蚀性葡萄胎（或称恶性葡萄胎）</w:t>
      </w:r>
    </w:p>
    <w:p>
      <w:pPr>
        <w:pStyle w:val="BodyText"/>
        <w:ind w:left="937"/>
      </w:pPr>
      <w:r>
        <w:rPr/>
        <w:t>指异常增生的绒毛组织浸润性生长侵入子宫肌层或转移至其他器官或组织的葡萄胎，并已经进行化疗或手术治疗的。</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溶血性链球菌引起的坏疽</w:t>
      </w:r>
    </w:p>
    <w:p>
      <w:pPr>
        <w:pStyle w:val="BodyText"/>
        <w:spacing w:line="360" w:lineRule="auto"/>
        <w:ind w:left="937" w:right="169"/>
      </w:pPr>
      <w:r>
        <w:rPr/>
        <w:t>躯干或肢体的浅筋膜或涉及肌肉的深筋膜感染，呈暴发性进展，必须即刻手术清创。须在外科手术后进行组织培养证实溶血性链球菌坏疽并由专科医生确诊。</w:t>
      </w:r>
    </w:p>
    <w:p>
      <w:pPr>
        <w:pStyle w:val="ListParagraph"/>
        <w:numPr>
          <w:ilvl w:val="1"/>
          <w:numId w:val="12"/>
        </w:numPr>
        <w:tabs>
          <w:tab w:pos="1106" w:val="left" w:leader="none"/>
        </w:tabs>
        <w:spacing w:line="240" w:lineRule="auto" w:before="27" w:after="0"/>
        <w:ind w:left="1105" w:right="0" w:hanging="567"/>
        <w:jc w:val="left"/>
        <w:rPr>
          <w:sz w:val="18"/>
        </w:rPr>
      </w:pPr>
      <w:r>
        <w:rPr>
          <w:sz w:val="18"/>
        </w:rPr>
        <w:t>肾髓质囊性病</w:t>
      </w:r>
    </w:p>
    <w:p>
      <w:pPr>
        <w:pStyle w:val="BodyText"/>
        <w:spacing w:before="107"/>
        <w:ind w:left="937"/>
      </w:pPr>
      <w:r>
        <w:rPr/>
        <w:t>肾髓质囊性病的诊断须同时符合下列要求：</w:t>
      </w:r>
    </w:p>
    <w:p>
      <w:pPr>
        <w:pStyle w:val="BodyText"/>
        <w:spacing w:before="119"/>
        <w:ind w:left="937"/>
      </w:pPr>
      <w:r>
        <w:rPr>
          <w:w w:val="95"/>
        </w:rPr>
        <w:t>（</w:t>
      </w:r>
      <w:r>
        <w:rPr>
          <w:rFonts w:ascii="Arial" w:eastAsia="Arial"/>
          <w:w w:val="95"/>
        </w:rPr>
        <w:t>1</w:t>
      </w:r>
      <w:r>
        <w:rPr>
          <w:w w:val="95"/>
        </w:rPr>
        <w:t>）肾髓质有囊肿、肾小管萎缩及间质纤维化等病理改变；</w:t>
      </w:r>
    </w:p>
    <w:p>
      <w:pPr>
        <w:pStyle w:val="BodyText"/>
        <w:ind w:left="937"/>
      </w:pPr>
      <w:r>
        <w:rPr>
          <w:w w:val="95"/>
        </w:rPr>
        <w:t>（</w:t>
      </w:r>
      <w:r>
        <w:rPr>
          <w:rFonts w:ascii="Arial" w:eastAsia="Arial"/>
          <w:w w:val="95"/>
        </w:rPr>
        <w:t>2</w:t>
      </w:r>
      <w:r>
        <w:rPr>
          <w:w w:val="95"/>
        </w:rPr>
        <w:t>）贫血、多尿及肾功能衰竭等临床表现；</w:t>
      </w:r>
    </w:p>
    <w:p>
      <w:pPr>
        <w:pStyle w:val="BodyText"/>
        <w:spacing w:before="104"/>
        <w:ind w:left="937"/>
      </w:pPr>
      <w:r>
        <w:rPr>
          <w:w w:val="95"/>
        </w:rPr>
        <w:t>（</w:t>
      </w:r>
      <w:r>
        <w:rPr>
          <w:rFonts w:ascii="Arial" w:eastAsia="Arial"/>
          <w:w w:val="95"/>
        </w:rPr>
        <w:t>3</w:t>
      </w:r>
      <w:r>
        <w:rPr>
          <w:w w:val="95"/>
        </w:rPr>
        <w:t>）诊断须由肾组织活检确定。</w:t>
      </w:r>
    </w:p>
    <w:p>
      <w:pPr>
        <w:pStyle w:val="ListParagraph"/>
        <w:numPr>
          <w:ilvl w:val="1"/>
          <w:numId w:val="12"/>
        </w:numPr>
        <w:tabs>
          <w:tab w:pos="1106" w:val="left" w:leader="none"/>
        </w:tabs>
        <w:spacing w:line="240" w:lineRule="auto" w:before="107" w:after="0"/>
        <w:ind w:left="1105" w:right="0" w:hanging="567"/>
        <w:jc w:val="left"/>
        <w:rPr>
          <w:sz w:val="18"/>
        </w:rPr>
      </w:pPr>
      <w:r>
        <w:rPr>
          <w:sz w:val="18"/>
        </w:rPr>
        <w:t>肌营养不良症</w:t>
      </w:r>
    </w:p>
    <w:p>
      <w:pPr>
        <w:pStyle w:val="BodyText"/>
        <w:spacing w:line="340" w:lineRule="auto" w:before="107"/>
        <w:ind w:left="937" w:right="248"/>
      </w:pPr>
      <w:r>
        <w:rPr/>
        <w:t>指一组遗传性肌肉变性病变</w:t>
      </w:r>
      <w:r>
        <w:rPr>
          <w:rFonts w:ascii="Arial" w:eastAsia="Arial"/>
        </w:rPr>
        <w:t>, </w:t>
      </w:r>
      <w:r>
        <w:rPr/>
        <w:t>临床特征为与神经系统无关的骨骼肌肉对称地进行性无力和萎缩。其诊断需满足下列全部条件：</w:t>
      </w:r>
    </w:p>
    <w:p>
      <w:pPr>
        <w:pStyle w:val="BodyText"/>
        <w:spacing w:before="41"/>
        <w:ind w:left="937"/>
      </w:pPr>
      <w:r>
        <w:rPr>
          <w:w w:val="95"/>
        </w:rPr>
        <w:t>（</w:t>
      </w:r>
      <w:r>
        <w:rPr>
          <w:rFonts w:ascii="Arial" w:eastAsia="Arial"/>
          <w:w w:val="95"/>
        </w:rPr>
        <w:t>1</w:t>
      </w:r>
      <w:r>
        <w:rPr>
          <w:w w:val="95"/>
        </w:rPr>
        <w:t>）肌电图显示典型肌营养不良症的阳性改变；</w:t>
      </w:r>
    </w:p>
    <w:p>
      <w:pPr>
        <w:pStyle w:val="BodyText"/>
        <w:ind w:left="937"/>
      </w:pPr>
      <w:r>
        <w:rPr/>
        <w:t>（</w:t>
      </w:r>
      <w:r>
        <w:rPr>
          <w:rFonts w:ascii="Arial" w:eastAsia="Arial"/>
        </w:rPr>
        <w:t>2</w:t>
      </w:r>
      <w:r>
        <w:rPr/>
        <w:t>）肌肉活检的病理学诊断符合肌营养不良症的肌肉细胞变性</w:t>
      </w:r>
      <w:r>
        <w:rPr>
          <w:rFonts w:ascii="Arial" w:eastAsia="Arial"/>
        </w:rPr>
        <w:t>\</w:t>
      </w:r>
      <w:r>
        <w:rPr/>
        <w:t>坏死等阳性改变；</w:t>
      </w:r>
    </w:p>
    <w:p>
      <w:pPr>
        <w:pStyle w:val="BodyText"/>
        <w:spacing w:before="107"/>
        <w:ind w:left="937"/>
      </w:pPr>
      <w:r>
        <w:rPr>
          <w:w w:val="95"/>
        </w:rPr>
        <w:t>（</w:t>
      </w:r>
      <w:r>
        <w:rPr>
          <w:rFonts w:ascii="Arial" w:eastAsia="Arial"/>
          <w:w w:val="95"/>
        </w:rPr>
        <w:t>3</w:t>
      </w:r>
      <w:r>
        <w:rPr>
          <w:w w:val="95"/>
        </w:rPr>
        <w:t>）已导致被保险人持续超过三个月无法独立完成六项基本日常生活活动中的三项获三项以上。</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特发性慢性肾上腺皮质功能衰竭</w:t>
      </w:r>
    </w:p>
    <w:p>
      <w:pPr>
        <w:pStyle w:val="BodyText"/>
        <w:spacing w:line="360" w:lineRule="auto"/>
        <w:ind w:left="937" w:right="169"/>
      </w:pPr>
      <w:r>
        <w:rPr/>
        <w:t>指自身免疫性肾上腺炎（既往称：特发性肾上腺皮质萎缩）导致肾上腺萎缩和慢性肾上腺皮质功能减退。须满足下列全部条件：</w:t>
      </w:r>
    </w:p>
    <w:p>
      <w:pPr>
        <w:pStyle w:val="BodyText"/>
        <w:spacing w:before="27"/>
        <w:ind w:left="937"/>
      </w:pPr>
      <w:r>
        <w:rPr>
          <w:w w:val="95"/>
        </w:rPr>
        <w:t>（</w:t>
      </w:r>
      <w:r>
        <w:rPr>
          <w:rFonts w:ascii="Arial" w:eastAsia="Arial"/>
          <w:w w:val="95"/>
        </w:rPr>
        <w:t>1</w:t>
      </w:r>
      <w:r>
        <w:rPr>
          <w:w w:val="95"/>
        </w:rPr>
        <w:t>）明确诊断，符合所有以下诊断标准；</w:t>
      </w:r>
    </w:p>
    <w:p>
      <w:pPr>
        <w:pStyle w:val="BodyText"/>
        <w:spacing w:before="107"/>
        <w:ind w:left="937"/>
      </w:pPr>
      <w:r>
        <w:rPr/>
        <w:t>①血浆促肾上腺皮质激素（</w:t>
      </w:r>
      <w:r>
        <w:rPr>
          <w:rFonts w:ascii="Arial" w:hAnsi="Arial" w:eastAsia="Arial"/>
        </w:rPr>
        <w:t>ACTH)</w:t>
      </w:r>
      <w:r>
        <w:rPr/>
        <w:t>水平测定大于 </w:t>
      </w:r>
      <w:r>
        <w:rPr>
          <w:rFonts w:ascii="Arial" w:hAnsi="Arial" w:eastAsia="Arial"/>
        </w:rPr>
        <w:t>100pg/ml</w:t>
      </w:r>
      <w:r>
        <w:rPr/>
        <w:t>；</w:t>
      </w:r>
    </w:p>
    <w:p>
      <w:pPr>
        <w:pStyle w:val="BodyText"/>
        <w:spacing w:line="340" w:lineRule="auto" w:before="107"/>
        <w:ind w:left="937" w:right="59"/>
      </w:pPr>
      <w:r>
        <w:rPr/>
        <w:t>②血浆和尿游离皮质醇及尿 </w:t>
      </w:r>
      <w:r>
        <w:rPr>
          <w:rFonts w:ascii="Arial" w:hAnsi="Arial" w:eastAsia="Arial"/>
        </w:rPr>
        <w:t>17 </w:t>
      </w:r>
      <w:r>
        <w:rPr/>
        <w:t>羟皮质类固醇、</w:t>
      </w:r>
      <w:r>
        <w:rPr>
          <w:rFonts w:ascii="Arial" w:hAnsi="Arial" w:eastAsia="Arial"/>
        </w:rPr>
        <w:t>17 </w:t>
      </w:r>
      <w:r>
        <w:rPr/>
        <w:t>酮皮质类固醇测定、血浆肾素活性、血管紧张素 </w:t>
      </w:r>
      <w:r>
        <w:rPr>
          <w:rFonts w:ascii="Arial" w:hAnsi="Arial" w:eastAsia="Arial"/>
        </w:rPr>
        <w:t>II </w:t>
      </w:r>
      <w:r>
        <w:rPr/>
        <w:t>和醛固酮测定， 显示为原发性肾上腺皮质功能减退症；</w:t>
      </w:r>
    </w:p>
    <w:p>
      <w:pPr>
        <w:pStyle w:val="BodyText"/>
        <w:spacing w:before="41"/>
        <w:ind w:left="937"/>
      </w:pPr>
      <w:r>
        <w:rPr>
          <w:w w:val="95"/>
        </w:rPr>
        <w:t>③促肾上腺皮质激素（</w:t>
      </w:r>
      <w:r>
        <w:rPr>
          <w:rFonts w:ascii="Arial" w:hAnsi="Arial" w:eastAsia="Arial"/>
          <w:w w:val="95"/>
        </w:rPr>
        <w:t>ACTH)</w:t>
      </w:r>
      <w:r>
        <w:rPr>
          <w:w w:val="95"/>
        </w:rPr>
        <w:t>刺激试验显示为原发性肾上腺皮质功能减退症。</w:t>
      </w:r>
    </w:p>
    <w:p>
      <w:pPr>
        <w:pStyle w:val="BodyText"/>
        <w:ind w:left="937"/>
      </w:pPr>
      <w:r>
        <w:rPr/>
        <w:t>（</w:t>
      </w:r>
      <w:r>
        <w:rPr>
          <w:rFonts w:ascii="Arial" w:eastAsia="Arial"/>
        </w:rPr>
        <w:t>2</w:t>
      </w:r>
      <w:r>
        <w:rPr/>
        <w:t>）已经采用皮质类固醇替代治疗 </w:t>
      </w:r>
      <w:r>
        <w:rPr>
          <w:rFonts w:ascii="Arial" w:eastAsia="Arial"/>
        </w:rPr>
        <w:t>180 </w:t>
      </w:r>
      <w:r>
        <w:rPr/>
        <w:t>天以上。</w:t>
      </w:r>
    </w:p>
    <w:p>
      <w:pPr>
        <w:pStyle w:val="Heading4"/>
        <w:spacing w:line="340" w:lineRule="auto" w:before="107"/>
        <w:ind w:left="937" w:right="118"/>
      </w:pPr>
      <w:r>
        <w:rPr/>
        <w:t>肾上腺结核、</w:t>
      </w:r>
      <w:r>
        <w:rPr>
          <w:rFonts w:ascii="Arial" w:eastAsia="Arial"/>
        </w:rPr>
        <w:t>HIV </w:t>
      </w:r>
      <w:r>
        <w:rPr/>
        <w:t>感染或艾滋病、感染、肿瘤所致的原发性肾上腺皮质功能减退和继发性肾上腺皮质功能减退不在保</w:t>
      </w:r>
      <w:r>
        <w:rPr>
          <w:w w:val="95"/>
        </w:rPr>
        <w:t>障范围内。</w:t>
      </w:r>
    </w:p>
    <w:p>
      <w:pPr>
        <w:spacing w:after="0" w:line="340" w:lineRule="auto"/>
        <w:sectPr>
          <w:headerReference w:type="default" r:id="rId8"/>
          <w:pgSz w:w="11910" w:h="16840"/>
          <w:pgMar w:header="672" w:footer="766" w:top="860" w:bottom="960" w:left="880" w:right="740"/>
        </w:sectPr>
      </w:pPr>
    </w:p>
    <w:p>
      <w:pPr>
        <w:pStyle w:val="BodyText"/>
        <w:spacing w:before="9"/>
        <w:ind w:left="0"/>
        <w:rPr>
          <w:b/>
          <w:sz w:val="13"/>
        </w:rPr>
      </w:pPr>
    </w:p>
    <w:p>
      <w:pPr>
        <w:pStyle w:val="ListParagraph"/>
        <w:numPr>
          <w:ilvl w:val="1"/>
          <w:numId w:val="12"/>
        </w:numPr>
        <w:tabs>
          <w:tab w:pos="1106" w:val="left" w:leader="none"/>
        </w:tabs>
        <w:spacing w:line="240" w:lineRule="auto" w:before="53" w:after="0"/>
        <w:ind w:left="1105" w:right="0" w:hanging="567"/>
        <w:jc w:val="left"/>
        <w:rPr>
          <w:sz w:val="18"/>
        </w:rPr>
      </w:pPr>
      <w:r>
        <w:rPr>
          <w:sz w:val="18"/>
        </w:rPr>
        <w:t>进行性核上神经麻痹</w:t>
      </w:r>
    </w:p>
    <w:p>
      <w:pPr>
        <w:pStyle w:val="BodyText"/>
        <w:ind w:left="937"/>
        <w:jc w:val="both"/>
      </w:pPr>
      <w:r>
        <w:rPr/>
        <w:t>进行性核上神经麻痹症在不涉及任何其他因素下直接导致永久不能完成基本日常生活活动的其中最少 </w:t>
      </w:r>
      <w:r>
        <w:rPr>
          <w:rFonts w:ascii="Arial" w:eastAsia="Arial"/>
        </w:rPr>
        <w:t>3 </w:t>
      </w:r>
      <w:r>
        <w:rPr/>
        <w:t>项。必须由专</w:t>
      </w:r>
    </w:p>
    <w:p>
      <w:pPr>
        <w:pStyle w:val="BodyText"/>
        <w:spacing w:before="101"/>
        <w:ind w:left="937"/>
        <w:jc w:val="both"/>
      </w:pPr>
      <w:r>
        <w:rPr/>
        <w:t>科医生诊断为进行性并导致神经系统受损持续最少 </w:t>
      </w:r>
      <w:r>
        <w:rPr>
          <w:rFonts w:ascii="Arial" w:eastAsia="Arial"/>
        </w:rPr>
        <w:t>90 </w:t>
      </w:r>
      <w:r>
        <w:rPr/>
        <w:t>日，缤购适当的神经肌肉测试如肌电图（</w:t>
      </w:r>
      <w:r>
        <w:rPr>
          <w:rFonts w:ascii="Arial" w:eastAsia="Arial"/>
        </w:rPr>
        <w:t>EMG</w:t>
      </w:r>
      <w:r>
        <w:rPr/>
        <w:t>）作证据。</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小肠移植</w:t>
      </w:r>
    </w:p>
    <w:p>
      <w:pPr>
        <w:pStyle w:val="BodyText"/>
        <w:spacing w:line="360" w:lineRule="auto"/>
        <w:ind w:left="937" w:right="169"/>
      </w:pPr>
      <w:r>
        <w:rPr/>
        <w:t>指因肠道疾病或外伤，已经实施了在全身麻醉下进行的小肠的异体器官移植手术。此手术必须由专科医生认为是医学上必需的情况下进行。</w:t>
      </w:r>
    </w:p>
    <w:p>
      <w:pPr>
        <w:pStyle w:val="ListParagraph"/>
        <w:numPr>
          <w:ilvl w:val="1"/>
          <w:numId w:val="12"/>
        </w:numPr>
        <w:tabs>
          <w:tab w:pos="1106" w:val="left" w:leader="none"/>
        </w:tabs>
        <w:spacing w:line="240" w:lineRule="auto" w:before="27" w:after="0"/>
        <w:ind w:left="1105" w:right="0" w:hanging="567"/>
        <w:jc w:val="left"/>
        <w:rPr>
          <w:sz w:val="18"/>
        </w:rPr>
      </w:pPr>
      <w:r>
        <w:rPr>
          <w:sz w:val="18"/>
        </w:rPr>
        <w:t>失去一肢及一眼</w:t>
      </w:r>
    </w:p>
    <w:p>
      <w:pPr>
        <w:pStyle w:val="BodyText"/>
        <w:spacing w:before="107"/>
        <w:ind w:left="937"/>
      </w:pPr>
      <w:r>
        <w:rPr/>
        <w:t>因疾病或受伤导致不可复原及永久性完全丧失一眼视力及任何一肢于腕骨或踝骨部位或以上切断。</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自体造血干细胞移植</w:t>
      </w:r>
    </w:p>
    <w:p>
      <w:pPr>
        <w:pStyle w:val="BodyText"/>
        <w:spacing w:line="357" w:lineRule="auto"/>
        <w:ind w:left="937" w:right="169"/>
        <w:jc w:val="both"/>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ListParagraph"/>
        <w:numPr>
          <w:ilvl w:val="1"/>
          <w:numId w:val="12"/>
        </w:numPr>
        <w:tabs>
          <w:tab w:pos="1106" w:val="left" w:leader="none"/>
        </w:tabs>
        <w:spacing w:line="240" w:lineRule="auto" w:before="29" w:after="0"/>
        <w:ind w:left="1105" w:right="0" w:hanging="567"/>
        <w:jc w:val="left"/>
        <w:rPr>
          <w:sz w:val="18"/>
        </w:rPr>
      </w:pPr>
      <w:r>
        <w:rPr>
          <w:sz w:val="18"/>
        </w:rPr>
        <w:t>严重自身免疫性肝炎</w:t>
      </w:r>
    </w:p>
    <w:p>
      <w:pPr>
        <w:pStyle w:val="BodyText"/>
        <w:spacing w:line="360" w:lineRule="auto" w:before="107"/>
        <w:ind w:left="937" w:right="169"/>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27"/>
        <w:ind w:left="937"/>
        <w:jc w:val="both"/>
      </w:pPr>
      <w:r>
        <w:rPr/>
        <w:t>（一）高γ球蛋白血症；</w:t>
      </w:r>
    </w:p>
    <w:p>
      <w:pPr>
        <w:pStyle w:val="BodyText"/>
        <w:spacing w:before="119"/>
        <w:ind w:left="937"/>
        <w:jc w:val="both"/>
        <w:rPr>
          <w:rFonts w:ascii="Arial" w:eastAsia="Arial"/>
        </w:rPr>
      </w:pPr>
      <w:r>
        <w:rPr/>
        <w:t>（二）血液中存在高水平的自身免疫抗体，如 </w:t>
      </w:r>
      <w:r>
        <w:rPr>
          <w:rFonts w:ascii="Arial" w:eastAsia="Arial"/>
        </w:rPr>
        <w:t>ANA</w:t>
      </w:r>
      <w:r>
        <w:rPr/>
        <w:t>（抗核抗体）、</w:t>
      </w:r>
      <w:r>
        <w:rPr>
          <w:rFonts w:ascii="Arial" w:eastAsia="Arial"/>
        </w:rPr>
        <w:t>SMA</w:t>
      </w:r>
      <w:r>
        <w:rPr/>
        <w:t>（抗平滑肌抗体）、抗 </w:t>
      </w:r>
      <w:r>
        <w:rPr>
          <w:rFonts w:ascii="Arial" w:eastAsia="Arial"/>
        </w:rPr>
        <w:t>LKM1 </w:t>
      </w:r>
      <w:r>
        <w:rPr/>
        <w:t>抗体或抗</w:t>
      </w:r>
      <w:r>
        <w:rPr>
          <w:rFonts w:ascii="Arial" w:eastAsia="Arial"/>
        </w:rPr>
        <w:t>-</w:t>
      </w:r>
    </w:p>
    <w:p>
      <w:pPr>
        <w:pStyle w:val="BodyText"/>
        <w:spacing w:before="104"/>
        <w:ind w:left="937"/>
        <w:jc w:val="both"/>
      </w:pPr>
      <w:r>
        <w:rPr>
          <w:rFonts w:ascii="Arial" w:eastAsia="Arial"/>
        </w:rPr>
        <w:t>SLA/LP </w:t>
      </w:r>
      <w:r>
        <w:rPr/>
        <w:t>抗体；</w:t>
      </w:r>
    </w:p>
    <w:p>
      <w:pPr>
        <w:pStyle w:val="BodyText"/>
        <w:spacing w:before="104"/>
        <w:ind w:left="937"/>
        <w:jc w:val="both"/>
      </w:pPr>
      <w:r>
        <w:rPr/>
        <w:t>（三）肝脏活检证实免疫性肝炎；</w:t>
      </w:r>
    </w:p>
    <w:p>
      <w:pPr>
        <w:pStyle w:val="BodyText"/>
        <w:spacing w:before="119"/>
        <w:ind w:left="937"/>
        <w:jc w:val="both"/>
      </w:pPr>
      <w:r>
        <w:rPr/>
        <w:t>（四）临床已经出现腹水、食道静脉曲张和脾肿大等肝硬化表现。</w:t>
      </w:r>
    </w:p>
    <w:p>
      <w:pPr>
        <w:pStyle w:val="ListParagraph"/>
        <w:numPr>
          <w:ilvl w:val="1"/>
          <w:numId w:val="12"/>
        </w:numPr>
        <w:tabs>
          <w:tab w:pos="1106" w:val="left" w:leader="none"/>
        </w:tabs>
        <w:spacing w:line="240" w:lineRule="auto" w:before="119" w:after="0"/>
        <w:ind w:left="1105" w:right="0" w:hanging="567"/>
        <w:jc w:val="left"/>
        <w:rPr>
          <w:sz w:val="18"/>
        </w:rPr>
      </w:pPr>
      <w:r>
        <w:rPr>
          <w:sz w:val="18"/>
        </w:rPr>
        <w:t>严重肠道疾病并发症</w:t>
      </w:r>
    </w:p>
    <w:p>
      <w:pPr>
        <w:pStyle w:val="BodyText"/>
        <w:ind w:left="937"/>
        <w:jc w:val="both"/>
      </w:pPr>
      <w:r>
        <w:rPr/>
        <w:t>严重肠道疾病或外伤导致小肠损害并发症，满足以下所有条件：</w:t>
      </w:r>
    </w:p>
    <w:p>
      <w:pPr>
        <w:pStyle w:val="ListParagraph"/>
        <w:numPr>
          <w:ilvl w:val="0"/>
          <w:numId w:val="17"/>
        </w:numPr>
        <w:tabs>
          <w:tab w:pos="1449" w:val="left" w:leader="none"/>
        </w:tabs>
        <w:spacing w:line="240" w:lineRule="auto" w:before="119" w:after="0"/>
        <w:ind w:left="1448" w:right="0" w:hanging="511"/>
        <w:jc w:val="both"/>
        <w:rPr>
          <w:sz w:val="18"/>
        </w:rPr>
      </w:pPr>
      <w:r>
        <w:rPr>
          <w:sz w:val="18"/>
        </w:rPr>
        <w:t>至少切除了三分之二小肠；</w:t>
      </w:r>
    </w:p>
    <w:p>
      <w:pPr>
        <w:pStyle w:val="ListParagraph"/>
        <w:numPr>
          <w:ilvl w:val="0"/>
          <w:numId w:val="17"/>
        </w:numPr>
        <w:tabs>
          <w:tab w:pos="1449" w:val="left" w:leader="none"/>
        </w:tabs>
        <w:spacing w:line="240" w:lineRule="auto" w:before="106" w:after="0"/>
        <w:ind w:left="1448" w:right="0" w:hanging="511"/>
        <w:jc w:val="both"/>
        <w:rPr>
          <w:sz w:val="18"/>
        </w:rPr>
      </w:pPr>
      <w:r>
        <w:rPr>
          <w:sz w:val="18"/>
        </w:rPr>
        <w:t>完全场外营养支持三个月以上。</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严重瑞氏综合征</w:t>
      </w:r>
    </w:p>
    <w:p>
      <w:pPr>
        <w:pStyle w:val="BodyText"/>
        <w:spacing w:line="357" w:lineRule="auto"/>
        <w:ind w:left="937" w:right="168"/>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29"/>
        <w:ind w:left="937"/>
        <w:jc w:val="both"/>
      </w:pPr>
      <w:r>
        <w:rPr/>
        <w:t>（一）有脑水肿和颅内压升高的脑脊液检查和影像学检查证据；</w:t>
      </w:r>
    </w:p>
    <w:p>
      <w:pPr>
        <w:pStyle w:val="BodyText"/>
        <w:spacing w:before="120"/>
        <w:ind w:left="937"/>
        <w:jc w:val="both"/>
      </w:pPr>
      <w:r>
        <w:rPr/>
        <w:t>（二）血氨超过正常值的 </w:t>
      </w:r>
      <w:r>
        <w:rPr>
          <w:rFonts w:ascii="Arial" w:eastAsia="Arial"/>
        </w:rPr>
        <w:t>3 </w:t>
      </w:r>
      <w:r>
        <w:rPr/>
        <w:t>倍；</w:t>
      </w:r>
    </w:p>
    <w:p>
      <w:pPr>
        <w:pStyle w:val="BodyText"/>
        <w:ind w:left="937"/>
        <w:jc w:val="both"/>
      </w:pPr>
      <w:r>
        <w:rPr/>
        <w:t>（三）临床出现昏迷，病程至少达到疾病分期第 </w:t>
      </w:r>
      <w:r>
        <w:rPr>
          <w:rFonts w:ascii="Arial" w:eastAsia="Arial"/>
        </w:rPr>
        <w:t>3 </w:t>
      </w:r>
      <w:r>
        <w:rPr/>
        <w:t>期。</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肺淋巴管肌瘤病</w:t>
      </w:r>
    </w:p>
    <w:p>
      <w:pPr>
        <w:pStyle w:val="BodyText"/>
        <w:spacing w:line="360" w:lineRule="auto"/>
        <w:ind w:left="937" w:right="169"/>
      </w:pPr>
      <w:r>
        <w:rPr/>
        <w:t>是一种弥漫性肺部疾病，主要病理改变为肺间质、支气管、血管和淋巴管内出现未成熟的平滑肌异常增生，同时需满足下列条件：</w:t>
      </w:r>
    </w:p>
    <w:p>
      <w:pPr>
        <w:pStyle w:val="ListParagraph"/>
        <w:numPr>
          <w:ilvl w:val="0"/>
          <w:numId w:val="18"/>
        </w:numPr>
        <w:tabs>
          <w:tab w:pos="1449" w:val="left" w:leader="none"/>
        </w:tabs>
        <w:spacing w:line="240" w:lineRule="auto" w:before="27" w:after="0"/>
        <w:ind w:left="1448" w:right="0" w:hanging="511"/>
        <w:jc w:val="both"/>
        <w:rPr>
          <w:sz w:val="18"/>
        </w:rPr>
      </w:pPr>
      <w:r>
        <w:rPr>
          <w:sz w:val="18"/>
        </w:rPr>
        <w:t>经组织病理学诊断；</w:t>
      </w:r>
    </w:p>
    <w:p>
      <w:pPr>
        <w:pStyle w:val="ListParagraph"/>
        <w:numPr>
          <w:ilvl w:val="0"/>
          <w:numId w:val="18"/>
        </w:numPr>
        <w:tabs>
          <w:tab w:pos="1449" w:val="left" w:leader="none"/>
        </w:tabs>
        <w:spacing w:line="240" w:lineRule="auto" w:before="107" w:after="0"/>
        <w:ind w:left="1448" w:right="0" w:hanging="511"/>
        <w:jc w:val="both"/>
        <w:rPr>
          <w:sz w:val="18"/>
        </w:rPr>
      </w:pPr>
      <w:r>
        <w:rPr>
          <w:rFonts w:ascii="Arial" w:eastAsia="Arial"/>
          <w:sz w:val="18"/>
        </w:rPr>
        <w:t>CT</w:t>
      </w:r>
      <w:r>
        <w:rPr>
          <w:rFonts w:ascii="Arial" w:eastAsia="Arial"/>
          <w:spacing w:val="-13"/>
          <w:sz w:val="18"/>
        </w:rPr>
        <w:t> </w:t>
      </w:r>
      <w:r>
        <w:rPr>
          <w:sz w:val="18"/>
        </w:rPr>
        <w:t>显示双肺弥漫性囊性改变；</w:t>
      </w:r>
    </w:p>
    <w:p>
      <w:pPr>
        <w:pStyle w:val="ListParagraph"/>
        <w:numPr>
          <w:ilvl w:val="0"/>
          <w:numId w:val="18"/>
        </w:numPr>
        <w:tabs>
          <w:tab w:pos="1449" w:val="left" w:leader="none"/>
        </w:tabs>
        <w:spacing w:line="240" w:lineRule="auto" w:before="107" w:after="0"/>
        <w:ind w:left="1448" w:right="0" w:hanging="511"/>
        <w:jc w:val="both"/>
        <w:rPr>
          <w:sz w:val="18"/>
        </w:rPr>
      </w:pPr>
      <w:r>
        <w:rPr>
          <w:sz w:val="18"/>
        </w:rPr>
        <w:t>血气提示低氧血症。</w:t>
      </w:r>
    </w:p>
    <w:p>
      <w:pPr>
        <w:pStyle w:val="ListParagraph"/>
        <w:numPr>
          <w:ilvl w:val="1"/>
          <w:numId w:val="12"/>
        </w:numPr>
        <w:tabs>
          <w:tab w:pos="1106" w:val="left" w:leader="none"/>
        </w:tabs>
        <w:spacing w:line="240" w:lineRule="auto" w:before="107" w:after="0"/>
        <w:ind w:left="1105" w:right="0" w:hanging="567"/>
        <w:jc w:val="left"/>
        <w:rPr>
          <w:sz w:val="18"/>
        </w:rPr>
      </w:pPr>
      <w:r>
        <w:rPr>
          <w:sz w:val="18"/>
        </w:rPr>
        <w:t>肺泡蛋白质沉积症</w:t>
      </w:r>
    </w:p>
    <w:p>
      <w:pPr>
        <w:pStyle w:val="BodyText"/>
        <w:spacing w:line="338" w:lineRule="auto" w:before="107"/>
        <w:ind w:left="937" w:right="78"/>
      </w:pPr>
      <w:r>
        <w:rPr/>
        <w:t>指肺泡和细支气管腔内充满不可溶性富磷脂蛋白的疾病，胸部 </w:t>
      </w:r>
      <w:r>
        <w:rPr>
          <w:rFonts w:ascii="Arial" w:eastAsia="Arial"/>
        </w:rPr>
        <w:t>X </w:t>
      </w:r>
      <w:r>
        <w:rPr/>
        <w:t>线呈双肺弥漫性肺部磨玻璃影，病理学检查肺泡内充满有过碘酸雪夫（</w:t>
      </w:r>
      <w:r>
        <w:rPr>
          <w:rFonts w:ascii="Arial" w:eastAsia="Arial"/>
        </w:rPr>
        <w:t>PAS</w:t>
      </w:r>
      <w:r>
        <w:rPr/>
        <w:t>）染色阳性的蛋白样物质，并且接受了肺灌洗治疗。</w:t>
      </w:r>
    </w:p>
    <w:p>
      <w:pPr>
        <w:pStyle w:val="ListParagraph"/>
        <w:numPr>
          <w:ilvl w:val="1"/>
          <w:numId w:val="12"/>
        </w:numPr>
        <w:tabs>
          <w:tab w:pos="1106" w:val="left" w:leader="none"/>
        </w:tabs>
        <w:spacing w:line="240" w:lineRule="auto" w:before="24" w:after="0"/>
        <w:ind w:left="1105" w:right="0" w:hanging="567"/>
        <w:jc w:val="left"/>
        <w:rPr>
          <w:sz w:val="18"/>
        </w:rPr>
      </w:pPr>
      <w:r>
        <w:rPr>
          <w:sz w:val="18"/>
        </w:rPr>
        <w:t>疾病或外伤所致智力障碍</w:t>
      </w:r>
    </w:p>
    <w:p>
      <w:pPr>
        <w:spacing w:after="0" w:line="240" w:lineRule="auto"/>
        <w:jc w:val="left"/>
        <w:rPr>
          <w:sz w:val="18"/>
        </w:rPr>
        <w:sectPr>
          <w:pgSz w:w="11910" w:h="16840"/>
          <w:pgMar w:header="672" w:footer="766" w:top="860" w:bottom="960" w:left="880" w:right="740"/>
        </w:sectPr>
      </w:pPr>
    </w:p>
    <w:p>
      <w:pPr>
        <w:pStyle w:val="BodyText"/>
        <w:spacing w:before="9"/>
        <w:ind w:left="0"/>
        <w:rPr>
          <w:sz w:val="13"/>
        </w:rPr>
      </w:pPr>
    </w:p>
    <w:p>
      <w:pPr>
        <w:pStyle w:val="BodyText"/>
        <w:spacing w:line="345" w:lineRule="auto" w:before="53"/>
        <w:ind w:left="937" w:right="154"/>
      </w:pPr>
      <w:r>
        <w:rPr/>
        <w:t>因严重头部创伤或疾病造成被保险人智力低常（智力低于常态）。根据智商（</w:t>
      </w:r>
      <w:r>
        <w:rPr>
          <w:rFonts w:ascii="Arial" w:eastAsia="Arial"/>
        </w:rPr>
        <w:t>IQ</w:t>
      </w:r>
      <w:r>
        <w:rPr/>
        <w:t>），智力低常分为轻度（</w:t>
      </w:r>
      <w:r>
        <w:rPr>
          <w:rFonts w:ascii="Arial" w:eastAsia="Arial"/>
        </w:rPr>
        <w:t>IQ50- 70</w:t>
      </w:r>
      <w:r>
        <w:rPr/>
        <w:t>）；中度（</w:t>
      </w:r>
      <w:r>
        <w:rPr>
          <w:rFonts w:ascii="Arial" w:eastAsia="Arial"/>
        </w:rPr>
        <w:t>IQ35-50</w:t>
      </w:r>
      <w:r>
        <w:rPr/>
        <w:t>）；重度（</w:t>
      </w:r>
      <w:r>
        <w:rPr>
          <w:rFonts w:ascii="Arial" w:eastAsia="Arial"/>
        </w:rPr>
        <w:t>IQ20-35</w:t>
      </w:r>
      <w:r>
        <w:rPr/>
        <w:t>）和极重度（</w:t>
      </w:r>
      <w:r>
        <w:rPr>
          <w:rFonts w:ascii="Arial" w:eastAsia="Arial"/>
        </w:rPr>
        <w:t>IQ&lt;20</w:t>
      </w:r>
      <w:r>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p>
    <w:p>
      <w:pPr>
        <w:pStyle w:val="BodyText"/>
        <w:spacing w:before="37"/>
        <w:ind w:left="937"/>
      </w:pPr>
      <w:r>
        <w:rPr/>
        <w:t>理赔时必须满足下列全部条件：</w:t>
      </w:r>
    </w:p>
    <w:p>
      <w:pPr>
        <w:pStyle w:val="BodyText"/>
        <w:spacing w:line="340" w:lineRule="auto" w:before="119"/>
        <w:ind w:left="937" w:right="176"/>
      </w:pPr>
      <w:r>
        <w:rPr/>
        <w:t>（</w:t>
      </w:r>
      <w:r>
        <w:rPr>
          <w:rFonts w:ascii="Arial" w:eastAsia="Arial"/>
        </w:rPr>
        <w:t>1</w:t>
      </w:r>
      <w:r>
        <w:rPr/>
        <w:t>）造成被保险人智力低常（智力低于常态）的严重头部创伤或疾病（以入院日期为准）发生在被保险人 </w:t>
      </w:r>
      <w:r>
        <w:rPr>
          <w:rFonts w:ascii="Arial" w:eastAsia="Arial"/>
        </w:rPr>
        <w:t>6 </w:t>
      </w:r>
      <w:r>
        <w:rPr/>
        <w:t>周岁以后；</w:t>
      </w:r>
    </w:p>
    <w:p>
      <w:pPr>
        <w:pStyle w:val="BodyText"/>
        <w:spacing w:before="41"/>
        <w:ind w:left="937"/>
      </w:pPr>
      <w:r>
        <w:rPr>
          <w:w w:val="95"/>
        </w:rPr>
        <w:t>（</w:t>
      </w:r>
      <w:r>
        <w:rPr>
          <w:rFonts w:ascii="Arial" w:eastAsia="Arial"/>
          <w:w w:val="95"/>
        </w:rPr>
        <w:t>2</w:t>
      </w:r>
      <w:r>
        <w:rPr>
          <w:w w:val="95"/>
        </w:rPr>
        <w:t>）儿科主任医师确诊被保险人由于严重头部创伤或疾病造成智力低常；</w:t>
      </w:r>
    </w:p>
    <w:p>
      <w:pPr>
        <w:pStyle w:val="BodyText"/>
        <w:ind w:left="937"/>
      </w:pPr>
      <w:r>
        <w:rPr>
          <w:w w:val="95"/>
        </w:rPr>
        <w:t>（</w:t>
      </w:r>
      <w:r>
        <w:rPr>
          <w:rFonts w:ascii="Arial" w:eastAsia="Arial"/>
          <w:w w:val="95"/>
        </w:rPr>
        <w:t>3</w:t>
      </w:r>
      <w:r>
        <w:rPr>
          <w:w w:val="95"/>
        </w:rPr>
        <w:t>）专职合格心理检测工作者适时做的心理检测证实被保险人智力低常（轻度、中度、重度或极重度）；</w:t>
      </w:r>
    </w:p>
    <w:p>
      <w:pPr>
        <w:pStyle w:val="BodyText"/>
        <w:ind w:left="937"/>
      </w:pPr>
      <w:r>
        <w:rPr/>
        <w:t>（</w:t>
      </w:r>
      <w:r>
        <w:rPr>
          <w:rFonts w:ascii="Arial" w:eastAsia="Arial"/>
        </w:rPr>
        <w:t>4</w:t>
      </w:r>
      <w:r>
        <w:rPr/>
        <w:t>）被保险人的智力低常自确认日起持续 </w:t>
      </w:r>
      <w:r>
        <w:rPr>
          <w:rFonts w:ascii="Arial" w:eastAsia="Arial"/>
        </w:rPr>
        <w:t>180 </w:t>
      </w:r>
      <w:r>
        <w:rPr/>
        <w:t>天以上。</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颅脑手术</w:t>
      </w:r>
    </w:p>
    <w:p>
      <w:pPr>
        <w:spacing w:line="362" w:lineRule="auto" w:before="107"/>
        <w:ind w:left="937" w:right="2509" w:firstLine="0"/>
        <w:jc w:val="left"/>
        <w:rPr>
          <w:b/>
          <w:sz w:val="18"/>
        </w:rPr>
      </w:pPr>
      <w:r>
        <w:rPr>
          <w:sz w:val="18"/>
        </w:rPr>
        <w:t>指经神经外科医生明确诊断，且确已实施全麻下的开颅手术（不包括颅骨钻孔手术）。</w:t>
      </w:r>
      <w:r>
        <w:rPr>
          <w:b/>
          <w:w w:val="95"/>
          <w:sz w:val="18"/>
        </w:rPr>
        <w:t>因外伤而实施的脑外科手术不在保障范围之内。</w:t>
      </w:r>
    </w:p>
    <w:p>
      <w:pPr>
        <w:pStyle w:val="ListParagraph"/>
        <w:numPr>
          <w:ilvl w:val="1"/>
          <w:numId w:val="12"/>
        </w:numPr>
        <w:tabs>
          <w:tab w:pos="1106" w:val="left" w:leader="none"/>
        </w:tabs>
        <w:spacing w:line="240" w:lineRule="auto" w:before="28" w:after="0"/>
        <w:ind w:left="1105" w:right="0" w:hanging="567"/>
        <w:jc w:val="left"/>
        <w:rPr>
          <w:sz w:val="18"/>
        </w:rPr>
      </w:pPr>
      <w:r>
        <w:rPr>
          <w:sz w:val="18"/>
        </w:rPr>
        <w:t>严重川崎病</w:t>
      </w:r>
    </w:p>
    <w:p>
      <w:pPr>
        <w:pStyle w:val="BodyText"/>
        <w:spacing w:line="362" w:lineRule="auto" w:before="107"/>
        <w:ind w:left="937" w:right="3770"/>
        <w:jc w:val="both"/>
      </w:pPr>
      <w:r>
        <w:rPr/>
        <w:t>指一种原因未明的血管炎综合征，临床表现为急性发热，皮肤粘膜病损和淋巴结肿大。本病必须经专科医生明确诊断，且必须由血管造影或超声心动图检查证实，满足下列至少一项条件：</w:t>
      </w:r>
    </w:p>
    <w:p>
      <w:pPr>
        <w:pStyle w:val="BodyText"/>
        <w:spacing w:before="28"/>
        <w:ind w:left="937"/>
      </w:pPr>
      <w:r>
        <w:rPr>
          <w:rFonts w:ascii="Arial" w:eastAsia="Arial"/>
          <w:w w:val="95"/>
        </w:rPr>
        <w:t>1</w:t>
      </w:r>
      <w:r>
        <w:rPr>
          <w:w w:val="95"/>
        </w:rPr>
        <w:t>）伴有冠状动脉瘤，且冠状动脉瘤于最初急性发病后持续至少一百八十天；</w:t>
      </w:r>
    </w:p>
    <w:p>
      <w:pPr>
        <w:pStyle w:val="BodyText"/>
        <w:spacing w:before="107"/>
        <w:ind w:left="937"/>
      </w:pPr>
      <w:r>
        <w:rPr>
          <w:rFonts w:ascii="Arial" w:eastAsia="Arial"/>
          <w:w w:val="95"/>
        </w:rPr>
        <w:t>2</w:t>
      </w:r>
      <w:r>
        <w:rPr>
          <w:w w:val="95"/>
        </w:rPr>
        <w:t>）伴有冠状动脉瘤，且实际接受了对冠状动脉瘤进行的手术治疗。</w:t>
      </w:r>
    </w:p>
    <w:p>
      <w:pPr>
        <w:pStyle w:val="ListParagraph"/>
        <w:numPr>
          <w:ilvl w:val="1"/>
          <w:numId w:val="12"/>
        </w:numPr>
        <w:tabs>
          <w:tab w:pos="1106" w:val="left" w:leader="none"/>
        </w:tabs>
        <w:spacing w:line="240" w:lineRule="auto" w:before="104" w:after="0"/>
        <w:ind w:left="1105" w:right="0" w:hanging="567"/>
        <w:jc w:val="left"/>
        <w:rPr>
          <w:sz w:val="18"/>
        </w:rPr>
      </w:pPr>
      <w:r>
        <w:rPr>
          <w:sz w:val="18"/>
        </w:rPr>
        <w:t>重症手足口病</w:t>
      </w:r>
    </w:p>
    <w:p>
      <w:pPr>
        <w:pStyle w:val="BodyText"/>
        <w:spacing w:line="360" w:lineRule="auto"/>
        <w:ind w:left="937" w:right="169"/>
      </w:pPr>
      <w:r>
        <w:rPr/>
        <w:t>由肠道病毒引起的急性传染病，主要症状表现为手、足、口腔等部位的斑丘疹、疱疹。经我们认可的医疗机构的儿科专科医生确诊为患有手足口病，并伴有下列三项中的任意一项并发症：</w:t>
      </w:r>
    </w:p>
    <w:p>
      <w:pPr>
        <w:pStyle w:val="BodyText"/>
        <w:spacing w:before="29"/>
        <w:ind w:left="937"/>
      </w:pPr>
      <w:r>
        <w:rPr/>
        <w:t>（</w:t>
      </w:r>
      <w:r>
        <w:rPr>
          <w:rFonts w:ascii="Arial" w:eastAsia="Arial"/>
        </w:rPr>
        <w:t>1</w:t>
      </w:r>
      <w:r>
        <w:rPr/>
        <w:t>）有脑膜炎或脑炎并发症，且导致意识障碍或瘫痪的临床表现及实验室检查证据；</w:t>
      </w:r>
    </w:p>
    <w:p>
      <w:pPr>
        <w:pStyle w:val="BodyText"/>
        <w:spacing w:before="104"/>
        <w:ind w:left="937"/>
      </w:pPr>
      <w:r>
        <w:rPr>
          <w:w w:val="95"/>
        </w:rPr>
        <w:t>（</w:t>
      </w:r>
      <w:r>
        <w:rPr>
          <w:rFonts w:ascii="Arial" w:eastAsia="Arial"/>
          <w:w w:val="95"/>
        </w:rPr>
        <w:t>2</w:t>
      </w:r>
      <w:r>
        <w:rPr>
          <w:w w:val="95"/>
        </w:rPr>
        <w:t>）有肺炎或肺水肿并发症，且导致呼吸衰竭的临床表现及实验室检查证据；</w:t>
      </w:r>
    </w:p>
    <w:p>
      <w:pPr>
        <w:pStyle w:val="BodyText"/>
        <w:ind w:left="937"/>
      </w:pPr>
      <w:r>
        <w:rPr>
          <w:w w:val="95"/>
        </w:rPr>
        <w:t>（</w:t>
      </w:r>
      <w:r>
        <w:rPr>
          <w:rFonts w:ascii="Arial" w:eastAsia="Arial"/>
          <w:w w:val="95"/>
        </w:rPr>
        <w:t>3</w:t>
      </w:r>
      <w:r>
        <w:rPr>
          <w:w w:val="95"/>
        </w:rPr>
        <w:t>）有心肌炎并发症，且导致心脏扩大或心力衰竭的临床表现及实验室检查证据。</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骨生长不全症</w:t>
      </w:r>
    </w:p>
    <w:p>
      <w:pPr>
        <w:pStyle w:val="BodyText"/>
        <w:spacing w:line="340" w:lineRule="auto"/>
        <w:ind w:left="937" w:right="157"/>
        <w:jc w:val="both"/>
      </w:pPr>
      <w:r>
        <w:rPr>
          <w:spacing w:val="-2"/>
        </w:rPr>
        <w:t>指一种胶原病，特征为骨易碎，骨质疏松和易骨折。该病有 </w:t>
      </w:r>
      <w:r>
        <w:rPr>
          <w:rFonts w:ascii="Arial" w:eastAsia="Arial"/>
        </w:rPr>
        <w:t>4</w:t>
      </w:r>
      <w:r>
        <w:rPr>
          <w:rFonts w:ascii="Arial" w:eastAsia="Arial"/>
          <w:spacing w:val="-11"/>
        </w:rPr>
        <w:t> </w:t>
      </w:r>
      <w:r>
        <w:rPr/>
        <w:t>种类型：</w:t>
      </w:r>
      <w:r>
        <w:rPr>
          <w:rFonts w:ascii="Arial" w:eastAsia="Arial"/>
        </w:rPr>
        <w:t>I</w:t>
      </w:r>
      <w:r>
        <w:rPr>
          <w:rFonts w:ascii="Arial" w:eastAsia="Arial"/>
          <w:spacing w:val="-2"/>
        </w:rPr>
        <w:t> </w:t>
      </w:r>
      <w:r>
        <w:rPr/>
        <w:t>型、</w:t>
      </w:r>
      <w:r>
        <w:rPr>
          <w:rFonts w:ascii="Arial" w:eastAsia="Arial"/>
        </w:rPr>
        <w:t>II</w:t>
      </w:r>
      <w:r>
        <w:rPr>
          <w:rFonts w:ascii="Arial" w:eastAsia="Arial"/>
          <w:spacing w:val="-11"/>
        </w:rPr>
        <w:t> </w:t>
      </w:r>
      <w:r>
        <w:rPr/>
        <w:t>型、</w:t>
      </w:r>
      <w:r>
        <w:rPr>
          <w:rFonts w:ascii="Arial" w:eastAsia="Arial"/>
        </w:rPr>
        <w:t>III</w:t>
      </w:r>
      <w:r>
        <w:rPr>
          <w:rFonts w:ascii="Arial" w:eastAsia="Arial"/>
          <w:spacing w:val="-11"/>
        </w:rPr>
        <w:t> </w:t>
      </w:r>
      <w:r>
        <w:rPr/>
        <w:t>型、</w:t>
      </w:r>
      <w:r>
        <w:rPr>
          <w:rFonts w:ascii="Arial" w:eastAsia="Arial"/>
        </w:rPr>
        <w:t>IV</w:t>
      </w:r>
      <w:r>
        <w:rPr>
          <w:rFonts w:ascii="Arial" w:eastAsia="Arial"/>
          <w:spacing w:val="-12"/>
        </w:rPr>
        <w:t> </w:t>
      </w:r>
      <w:r>
        <w:rPr>
          <w:spacing w:val="-8"/>
        </w:rPr>
        <w:t>型。只保障 </w:t>
      </w:r>
      <w:r>
        <w:rPr>
          <w:rFonts w:ascii="Arial" w:eastAsia="Arial"/>
        </w:rPr>
        <w:t>III</w:t>
      </w:r>
      <w:r>
        <w:rPr>
          <w:rFonts w:ascii="Arial" w:eastAsia="Arial"/>
          <w:spacing w:val="-11"/>
        </w:rPr>
        <w:t> </w:t>
      </w:r>
      <w:r>
        <w:rPr/>
        <w:t>型成骨不全的情形。其主要临床特点有：发展迟缓、多发性骨折、进行性脊柱后侧凸及听力损害。</w:t>
      </w:r>
      <w:r>
        <w:rPr>
          <w:rFonts w:ascii="Arial" w:eastAsia="Arial"/>
        </w:rPr>
        <w:t>III</w:t>
      </w:r>
      <w:r>
        <w:rPr>
          <w:rFonts w:ascii="Arial" w:eastAsia="Arial"/>
          <w:spacing w:val="-8"/>
        </w:rPr>
        <w:t> </w:t>
      </w:r>
      <w:r>
        <w:rPr/>
        <w:t>型成骨不全的诊断必须根据身体检查，家族史，</w:t>
      </w:r>
      <w:r>
        <w:rPr>
          <w:rFonts w:ascii="Arial" w:eastAsia="Arial"/>
        </w:rPr>
        <w:t>X</w:t>
      </w:r>
      <w:r>
        <w:rPr>
          <w:rFonts w:ascii="Arial" w:eastAsia="Arial"/>
          <w:spacing w:val="-11"/>
        </w:rPr>
        <w:t> </w:t>
      </w:r>
      <w:r>
        <w:rPr/>
        <w:t>线检查和皮肤活检报告资料确诊。</w:t>
      </w:r>
    </w:p>
    <w:p>
      <w:pPr>
        <w:pStyle w:val="ListParagraph"/>
        <w:numPr>
          <w:ilvl w:val="1"/>
          <w:numId w:val="12"/>
        </w:numPr>
        <w:tabs>
          <w:tab w:pos="1106" w:val="left" w:leader="none"/>
        </w:tabs>
        <w:spacing w:line="240" w:lineRule="auto" w:before="22" w:after="0"/>
        <w:ind w:left="1105" w:right="0" w:hanging="567"/>
        <w:jc w:val="left"/>
        <w:rPr>
          <w:sz w:val="18"/>
        </w:rPr>
      </w:pPr>
      <w:r>
        <w:rPr>
          <w:sz w:val="18"/>
        </w:rPr>
        <w:t>婴儿进行性脊肌萎缩症</w:t>
      </w:r>
    </w:p>
    <w:p>
      <w:pPr>
        <w:pStyle w:val="BodyText"/>
        <w:spacing w:line="357" w:lineRule="auto"/>
        <w:ind w:left="937" w:right="170"/>
      </w:pPr>
      <w:r>
        <w:rPr/>
        <w:t>是累及脊髓前角细胞及延髓运动核的神经元退行性变性病。在出生后两年内出现的脊髓和脑干颅神经前角细胞进行性机能障碍，伴随肌肉无力和延髓机能障碍。</w:t>
      </w:r>
    </w:p>
    <w:p>
      <w:pPr>
        <w:pStyle w:val="BodyText"/>
        <w:spacing w:before="31"/>
        <w:ind w:left="937"/>
      </w:pPr>
      <w:r>
        <w:rPr/>
        <w:t>该病必须经由神经科医师通过肌肉活检而确诊。理赔时必须提供肌肉活检的病理报告。</w:t>
      </w:r>
    </w:p>
    <w:p>
      <w:pPr>
        <w:pStyle w:val="Heading4"/>
        <w:spacing w:line="340" w:lineRule="auto" w:before="119"/>
        <w:ind w:left="937" w:right="165"/>
      </w:pPr>
      <w:r>
        <w:rPr/>
        <w:t>其它类型的脊肌萎缩症如Ⅱ型中间型进行性脊肌萎缩症，Ⅲ型少年型脊肌萎缩症</w:t>
      </w:r>
      <w:r>
        <w:rPr>
          <w:rFonts w:ascii="Arial" w:hAnsi="Arial" w:eastAsia="Arial"/>
        </w:rPr>
        <w:t>(Kugelberg-Welander </w:t>
      </w:r>
      <w:r>
        <w:rPr/>
        <w:t>氏病</w:t>
      </w:r>
      <w:r>
        <w:rPr>
          <w:rFonts w:ascii="Arial" w:hAnsi="Arial" w:eastAsia="Arial"/>
        </w:rPr>
        <w:t>)</w:t>
      </w:r>
      <w:r>
        <w:rPr/>
        <w:t>不在本</w:t>
      </w:r>
      <w:r>
        <w:rPr>
          <w:w w:val="95"/>
        </w:rPr>
        <w:t>保障范围之内。</w:t>
      </w:r>
    </w:p>
    <w:p>
      <w:pPr>
        <w:pStyle w:val="ListParagraph"/>
        <w:numPr>
          <w:ilvl w:val="1"/>
          <w:numId w:val="12"/>
        </w:numPr>
        <w:tabs>
          <w:tab w:pos="1106" w:val="left" w:leader="none"/>
        </w:tabs>
        <w:spacing w:line="240" w:lineRule="auto" w:before="41" w:after="0"/>
        <w:ind w:left="1105" w:right="0" w:hanging="567"/>
        <w:jc w:val="left"/>
        <w:rPr>
          <w:sz w:val="18"/>
        </w:rPr>
      </w:pPr>
      <w:r>
        <w:rPr>
          <w:sz w:val="18"/>
        </w:rPr>
        <w:t>弥漫性血管内凝血</w:t>
      </w:r>
    </w:p>
    <w:p>
      <w:pPr>
        <w:pStyle w:val="BodyText"/>
        <w:spacing w:line="360" w:lineRule="auto"/>
        <w:ind w:left="937" w:right="169"/>
      </w:pPr>
      <w:r>
        <w:rPr/>
        <w:t>指血液凝固系统和纤溶系统的过度活动导致微血管血栓形成、血小板及凝血因子耗竭和严重出血，需要输注血浆和浓缩血小板进行治疗。本公司仅对并发于妊娠期的应用血浆和浓缩血小板进行治疗的弥漫性血管内凝血予以赔付。</w:t>
      </w:r>
    </w:p>
    <w:p>
      <w:pPr>
        <w:pStyle w:val="ListParagraph"/>
        <w:numPr>
          <w:ilvl w:val="1"/>
          <w:numId w:val="12"/>
        </w:numPr>
        <w:tabs>
          <w:tab w:pos="1106" w:val="left" w:leader="none"/>
        </w:tabs>
        <w:spacing w:line="240" w:lineRule="auto" w:before="26" w:after="0"/>
        <w:ind w:left="1105" w:right="0" w:hanging="567"/>
        <w:jc w:val="left"/>
        <w:rPr>
          <w:sz w:val="18"/>
        </w:rPr>
      </w:pPr>
      <w:r>
        <w:rPr>
          <w:sz w:val="18"/>
        </w:rPr>
        <w:t>重症骨髓增生异常综合征</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57" w:lineRule="auto" w:before="44"/>
        <w:ind w:left="937" w:right="169"/>
        <w:jc w:val="both"/>
      </w:pPr>
      <w:r>
        <w:rPr/>
        <w:t>骨髓增生异常综合征是起源于造血干细胞的一组骨髓克隆增生异常的疾病，表现为无效造血、难治性血细胞减少，有转化为急性髓性白血病的风险。被保险人根据外周血和骨髓活检被明确诊断为骨髓增生异常综合征，并且满足以下所有条件：</w:t>
      </w:r>
    </w:p>
    <w:p>
      <w:pPr>
        <w:pStyle w:val="BodyText"/>
        <w:spacing w:before="28"/>
        <w:ind w:left="937"/>
      </w:pPr>
      <w:r>
        <w:rPr/>
        <w:t>（</w:t>
      </w:r>
      <w:r>
        <w:rPr>
          <w:rFonts w:ascii="Arial" w:eastAsia="Arial"/>
        </w:rPr>
        <w:t>1</w:t>
      </w:r>
      <w:r>
        <w:rPr/>
        <w:t>）</w:t>
      </w:r>
      <w:r>
        <w:rPr>
          <w:rFonts w:ascii="Arial" w:eastAsia="Arial"/>
        </w:rPr>
        <w:t>FAB </w:t>
      </w:r>
      <w:r>
        <w:rPr/>
        <w:t>分类我难治性贫血伴原始细胞增多（</w:t>
      </w:r>
      <w:r>
        <w:rPr>
          <w:rFonts w:ascii="Arial" w:eastAsia="Arial"/>
        </w:rPr>
        <w:t>RAEB</w:t>
      </w:r>
      <w:r>
        <w:rPr/>
        <w:t>）</w:t>
      </w:r>
    </w:p>
    <w:p>
      <w:pPr>
        <w:pStyle w:val="BodyText"/>
        <w:ind w:left="937"/>
      </w:pPr>
      <w:r>
        <w:rPr>
          <w:w w:val="95"/>
        </w:rPr>
        <w:t>（</w:t>
      </w:r>
      <w:r>
        <w:rPr>
          <w:rFonts w:ascii="Arial" w:hAnsi="Arial" w:eastAsia="Arial"/>
          <w:w w:val="95"/>
        </w:rPr>
        <w:t>2</w:t>
      </w:r>
      <w:r>
        <w:rPr>
          <w:w w:val="95"/>
        </w:rPr>
        <w:t>）根据“骨髓增生异常综合征修订国际预后积分系统（</w:t>
      </w:r>
      <w:r>
        <w:rPr>
          <w:rFonts w:ascii="Arial" w:hAnsi="Arial" w:eastAsia="Arial"/>
          <w:w w:val="95"/>
        </w:rPr>
        <w:t>IPSS-R</w:t>
      </w:r>
      <w:r>
        <w:rPr>
          <w:w w:val="95"/>
        </w:rPr>
        <w:t>）”积分≥</w:t>
      </w:r>
      <w:r>
        <w:rPr>
          <w:rFonts w:ascii="Arial" w:hAnsi="Arial" w:eastAsia="Arial"/>
          <w:w w:val="95"/>
        </w:rPr>
        <w:t>3</w:t>
      </w:r>
      <w:r>
        <w:rPr>
          <w:w w:val="95"/>
        </w:rPr>
        <w:t>，属于中危及以上组。</w:t>
      </w:r>
    </w:p>
    <w:p>
      <w:pPr>
        <w:pStyle w:val="ListParagraph"/>
        <w:numPr>
          <w:ilvl w:val="1"/>
          <w:numId w:val="12"/>
        </w:numPr>
        <w:tabs>
          <w:tab w:pos="1106" w:val="left" w:leader="none"/>
        </w:tabs>
        <w:spacing w:line="240" w:lineRule="auto" w:before="106" w:after="0"/>
        <w:ind w:left="1105" w:right="0" w:hanging="567"/>
        <w:jc w:val="left"/>
        <w:rPr>
          <w:sz w:val="18"/>
        </w:rPr>
      </w:pPr>
      <w:r>
        <w:rPr>
          <w:sz w:val="18"/>
        </w:rPr>
        <w:t>严重慢性缩窄型心包炎</w:t>
      </w:r>
    </w:p>
    <w:p>
      <w:pPr>
        <w:pStyle w:val="BodyText"/>
        <w:spacing w:line="360" w:lineRule="auto"/>
        <w:ind w:left="937" w:right="168"/>
      </w:pPr>
      <w:r>
        <w:rPr/>
        <w:t>由于慢性心包炎症导致心包脏层和壁层广泛瘢痕粘连、增厚和钙化，心包腔闭塞，形成一个纤维瘢痕外壳，使心脏和大血管根部受压，阻碍心脏的舒张。</w:t>
      </w:r>
    </w:p>
    <w:p>
      <w:pPr>
        <w:pStyle w:val="BodyText"/>
        <w:spacing w:before="27"/>
        <w:ind w:left="937"/>
        <w:jc w:val="both"/>
      </w:pPr>
      <w:r>
        <w:rPr/>
        <w:t>被保险人被明确诊断为慢性缩窄性心包炎且必须满足以下所有条件：</w:t>
      </w:r>
    </w:p>
    <w:p>
      <w:pPr>
        <w:pStyle w:val="BodyText"/>
        <w:spacing w:before="119"/>
        <w:ind w:left="937"/>
        <w:jc w:val="both"/>
      </w:pPr>
      <w:r>
        <w:rPr/>
        <w:t>（</w:t>
      </w:r>
      <w:r>
        <w:rPr>
          <w:rFonts w:ascii="Arial" w:eastAsia="Arial"/>
        </w:rPr>
        <w:t>1</w:t>
      </w:r>
      <w:r>
        <w:rPr/>
        <w:t>）新功能衰竭达到美国纽约心脏病学会心功能状态分级 </w:t>
      </w:r>
      <w:r>
        <w:rPr>
          <w:rFonts w:ascii="Arial" w:eastAsia="Arial"/>
        </w:rPr>
        <w:t>IV </w:t>
      </w:r>
      <w:r>
        <w:rPr/>
        <w:t>级，并持续 </w:t>
      </w:r>
      <w:r>
        <w:rPr>
          <w:rFonts w:ascii="Arial" w:eastAsia="Arial"/>
        </w:rPr>
        <w:t>180 </w:t>
      </w:r>
      <w:r>
        <w:rPr/>
        <w:t>天以上；</w:t>
      </w:r>
    </w:p>
    <w:p>
      <w:pPr>
        <w:pStyle w:val="BodyText"/>
        <w:ind w:left="937"/>
        <w:jc w:val="both"/>
      </w:pPr>
      <w:r>
        <w:rPr/>
        <w:t>（</w:t>
      </w:r>
      <w:r>
        <w:rPr>
          <w:rFonts w:ascii="Arial" w:eastAsia="Arial"/>
        </w:rPr>
        <w:t>2</w:t>
      </w:r>
      <w:r>
        <w:rPr/>
        <w:t>）实际接收了以下任何一种手术路径的心包剥脱或心包切除手术：</w:t>
      </w:r>
    </w:p>
    <w:p>
      <w:pPr>
        <w:pStyle w:val="BodyText"/>
        <w:spacing w:before="107"/>
        <w:ind w:left="1408" w:right="4251"/>
        <w:jc w:val="center"/>
      </w:pPr>
      <w:r>
        <w:rPr/>
        <w:t>① 胸骨正中切口；②双侧前胸切口；③左前胸肋间切口。</w:t>
      </w:r>
    </w:p>
    <w:p>
      <w:pPr>
        <w:pStyle w:val="Heading4"/>
        <w:spacing w:before="119"/>
        <w:ind w:left="937"/>
        <w:jc w:val="both"/>
      </w:pPr>
      <w:r>
        <w:rPr>
          <w:w w:val="95"/>
        </w:rPr>
        <w:t>经胸腔镜、胸壁打孔进行的手术、心包粘连松解手术不在保障范围内。</w:t>
      </w:r>
    </w:p>
    <w:p>
      <w:pPr>
        <w:pStyle w:val="ListParagraph"/>
        <w:numPr>
          <w:ilvl w:val="1"/>
          <w:numId w:val="12"/>
        </w:numPr>
        <w:tabs>
          <w:tab w:pos="1106" w:val="left" w:leader="none"/>
        </w:tabs>
        <w:spacing w:line="240" w:lineRule="auto" w:before="119" w:after="0"/>
        <w:ind w:left="1105" w:right="0" w:hanging="567"/>
        <w:jc w:val="left"/>
        <w:rPr>
          <w:sz w:val="18"/>
        </w:rPr>
      </w:pPr>
      <w:r>
        <w:rPr>
          <w:spacing w:val="-1"/>
          <w:sz w:val="18"/>
        </w:rPr>
        <w:t>进行性多灶性白质脑病</w:t>
      </w:r>
    </w:p>
    <w:p>
      <w:pPr>
        <w:pStyle w:val="BodyText"/>
        <w:ind w:left="937"/>
        <w:jc w:val="both"/>
      </w:pPr>
      <w:r>
        <w:rPr/>
        <w:t>是一种亚急性脱髓鞘脑病，常常发生于免疫缺陷病人。必须根据脑组织活检确诊。</w:t>
      </w:r>
    </w:p>
    <w:p>
      <w:pPr>
        <w:tabs>
          <w:tab w:pos="1911" w:val="left" w:leader="none"/>
        </w:tabs>
        <w:spacing w:before="115"/>
        <w:ind w:left="471" w:right="0" w:firstLine="0"/>
        <w:jc w:val="left"/>
        <w:rPr>
          <w:sz w:val="21"/>
        </w:rPr>
      </w:pPr>
      <w:bookmarkStart w:name="_bookmark13" w:id="14"/>
      <w:bookmarkEnd w:id="14"/>
      <w:r>
        <w:rPr/>
      </w:r>
      <w:r>
        <w:rPr>
          <w:sz w:val="21"/>
        </w:rPr>
        <w:t>第十</w:t>
      </w:r>
      <w:r>
        <w:rPr>
          <w:spacing w:val="-3"/>
          <w:sz w:val="21"/>
        </w:rPr>
        <w:t>四</w:t>
      </w:r>
      <w:r>
        <w:rPr>
          <w:sz w:val="21"/>
        </w:rPr>
        <w:t>条</w:t>
        <w:tab/>
        <w:t>中症</w:t>
      </w:r>
      <w:r>
        <w:rPr>
          <w:spacing w:val="-3"/>
          <w:sz w:val="21"/>
        </w:rPr>
        <w:t>疾</w:t>
      </w:r>
      <w:r>
        <w:rPr>
          <w:sz w:val="21"/>
        </w:rPr>
        <w:t>病</w:t>
      </w:r>
      <w:r>
        <w:rPr>
          <w:spacing w:val="-3"/>
          <w:sz w:val="21"/>
        </w:rPr>
        <w:t>释</w:t>
      </w:r>
      <w:r>
        <w:rPr>
          <w:sz w:val="21"/>
        </w:rPr>
        <w:t>义</w:t>
      </w:r>
    </w:p>
    <w:p>
      <w:pPr>
        <w:pStyle w:val="ListParagraph"/>
        <w:numPr>
          <w:ilvl w:val="1"/>
          <w:numId w:val="19"/>
        </w:numPr>
        <w:tabs>
          <w:tab w:pos="1105" w:val="left" w:leader="none"/>
          <w:tab w:pos="1106" w:val="left" w:leader="none"/>
        </w:tabs>
        <w:spacing w:line="240" w:lineRule="auto" w:before="141" w:after="0"/>
        <w:ind w:left="1105" w:right="0" w:hanging="634"/>
        <w:jc w:val="left"/>
        <w:rPr>
          <w:sz w:val="18"/>
        </w:rPr>
      </w:pPr>
      <w:r>
        <w:rPr>
          <w:spacing w:val="-1"/>
          <w:sz w:val="18"/>
        </w:rPr>
        <w:t>不典型的急性心肌梗塞</w:t>
      </w:r>
    </w:p>
    <w:p>
      <w:pPr>
        <w:pStyle w:val="BodyText"/>
        <w:spacing w:line="360" w:lineRule="auto"/>
        <w:ind w:left="1102" w:right="363"/>
      </w:pPr>
      <w:r>
        <w:rPr/>
        <w:t>指被临床诊断为急性心肌梗塞并接受了急性心肌梗塞治疗，虽然未达到重大疾病“急性心肌梗塞”的给付标准， 但满足下列全部条件：</w:t>
      </w:r>
    </w:p>
    <w:p>
      <w:pPr>
        <w:pStyle w:val="BodyText"/>
        <w:spacing w:before="27"/>
        <w:ind w:left="1102"/>
      </w:pPr>
      <w:r>
        <w:rPr/>
        <w:t>（</w:t>
      </w:r>
      <w:r>
        <w:rPr>
          <w:rFonts w:ascii="Times New Roman" w:eastAsia="Times New Roman"/>
        </w:rPr>
        <w:t>1</w:t>
      </w:r>
      <w:r>
        <w:rPr/>
        <w:t>）肌钙蛋白有诊断意义的升高；</w:t>
      </w:r>
    </w:p>
    <w:p>
      <w:pPr>
        <w:pStyle w:val="BodyText"/>
        <w:ind w:left="1102"/>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ListParagraph"/>
        <w:numPr>
          <w:ilvl w:val="1"/>
          <w:numId w:val="19"/>
        </w:numPr>
        <w:tabs>
          <w:tab w:pos="1105" w:val="left" w:leader="none"/>
          <w:tab w:pos="1106" w:val="left" w:leader="none"/>
        </w:tabs>
        <w:spacing w:line="240" w:lineRule="auto" w:before="105" w:after="0"/>
        <w:ind w:left="1105" w:right="0" w:hanging="634"/>
        <w:jc w:val="left"/>
        <w:rPr>
          <w:sz w:val="18"/>
        </w:rPr>
      </w:pPr>
      <w:r>
        <w:rPr>
          <w:sz w:val="18"/>
        </w:rPr>
        <w:t>慢性肾功能障碍</w:t>
      </w:r>
    </w:p>
    <w:p>
      <w:pPr>
        <w:pStyle w:val="BodyText"/>
        <w:spacing w:line="360" w:lineRule="auto"/>
        <w:ind w:left="1071" w:right="5975"/>
      </w:pPr>
      <w:r>
        <w:rPr/>
        <w:t>指双肾功能达到慢性肾功能不全的晚期。必须满足下列全部条件：</w:t>
      </w:r>
    </w:p>
    <w:p>
      <w:pPr>
        <w:pStyle w:val="ListParagraph"/>
        <w:numPr>
          <w:ilvl w:val="2"/>
          <w:numId w:val="19"/>
        </w:numPr>
        <w:tabs>
          <w:tab w:pos="1372" w:val="left" w:leader="none"/>
        </w:tabs>
        <w:spacing w:line="340" w:lineRule="auto" w:before="29" w:after="0"/>
        <w:ind w:left="1071" w:right="199" w:firstLine="0"/>
        <w:jc w:val="left"/>
        <w:rPr>
          <w:rFonts w:ascii="Arial" w:eastAsia="Arial"/>
          <w:sz w:val="18"/>
        </w:rPr>
      </w:pPr>
      <w:r>
        <w:rPr>
          <w:sz w:val="18"/>
        </w:rPr>
        <w:t>肾小球滤过率（</w:t>
      </w:r>
      <w:r>
        <w:rPr>
          <w:spacing w:val="-13"/>
          <w:sz w:val="18"/>
        </w:rPr>
        <w:t>使用 </w:t>
      </w:r>
      <w:r>
        <w:rPr>
          <w:rFonts w:ascii="Arial" w:eastAsia="Arial"/>
          <w:sz w:val="18"/>
        </w:rPr>
        <w:t>MDRD</w:t>
      </w:r>
      <w:r>
        <w:rPr>
          <w:rFonts w:ascii="Arial" w:eastAsia="Arial"/>
          <w:spacing w:val="-9"/>
          <w:sz w:val="18"/>
        </w:rPr>
        <w:t> </w:t>
      </w:r>
      <w:r>
        <w:rPr>
          <w:spacing w:val="-10"/>
          <w:sz w:val="18"/>
        </w:rPr>
        <w:t>公式或 </w:t>
      </w:r>
      <w:r>
        <w:rPr>
          <w:rFonts w:ascii="Arial" w:eastAsia="Arial"/>
          <w:sz w:val="18"/>
        </w:rPr>
        <w:t>Cockcroft-Gault</w:t>
      </w:r>
      <w:r>
        <w:rPr>
          <w:rFonts w:ascii="Arial" w:eastAsia="Arial"/>
          <w:spacing w:val="-8"/>
          <w:sz w:val="18"/>
        </w:rPr>
        <w:t> </w:t>
      </w:r>
      <w:r>
        <w:rPr>
          <w:spacing w:val="-2"/>
          <w:sz w:val="18"/>
        </w:rPr>
        <w:t>公式计算的结果</w:t>
      </w:r>
      <w:r>
        <w:rPr>
          <w:sz w:val="18"/>
        </w:rPr>
        <w:t>），</w:t>
      </w:r>
      <w:r>
        <w:rPr>
          <w:spacing w:val="-13"/>
          <w:sz w:val="18"/>
        </w:rPr>
        <w:t>低于 </w:t>
      </w:r>
      <w:r>
        <w:rPr>
          <w:rFonts w:ascii="Arial" w:eastAsia="Arial"/>
          <w:sz w:val="18"/>
        </w:rPr>
        <w:t>25mL/min/1.73</w:t>
      </w:r>
      <w:r>
        <w:rPr>
          <w:rFonts w:ascii="Arial" w:eastAsia="Arial"/>
          <w:spacing w:val="28"/>
          <w:sz w:val="18"/>
        </w:rPr>
        <w:t> </w:t>
      </w:r>
      <w:r>
        <w:rPr>
          <w:sz w:val="18"/>
        </w:rPr>
        <w:t>平方米，且此状</w:t>
      </w:r>
      <w:r>
        <w:rPr>
          <w:spacing w:val="-7"/>
          <w:sz w:val="18"/>
        </w:rPr>
        <w:t>态须持续至少 </w:t>
      </w:r>
      <w:r>
        <w:rPr>
          <w:rFonts w:ascii="Arial" w:eastAsia="Arial"/>
          <w:sz w:val="18"/>
        </w:rPr>
        <w:t>90</w:t>
      </w:r>
      <w:r>
        <w:rPr>
          <w:rFonts w:ascii="Arial" w:eastAsia="Arial"/>
          <w:spacing w:val="-10"/>
          <w:sz w:val="18"/>
        </w:rPr>
        <w:t> </w:t>
      </w:r>
      <w:r>
        <w:rPr>
          <w:sz w:val="18"/>
        </w:rPr>
        <w:t>天；</w:t>
      </w:r>
    </w:p>
    <w:p>
      <w:pPr>
        <w:pStyle w:val="ListParagraph"/>
        <w:numPr>
          <w:ilvl w:val="2"/>
          <w:numId w:val="19"/>
        </w:numPr>
        <w:tabs>
          <w:tab w:pos="1343" w:val="left" w:leader="none"/>
        </w:tabs>
        <w:spacing w:line="240" w:lineRule="auto" w:before="22" w:after="0"/>
        <w:ind w:left="1342" w:right="0" w:hanging="271"/>
        <w:jc w:val="left"/>
        <w:rPr>
          <w:rFonts w:ascii="Arial" w:eastAsia="Arial"/>
          <w:sz w:val="18"/>
        </w:rPr>
      </w:pPr>
      <w:r>
        <w:rPr>
          <w:w w:val="95"/>
          <w:sz w:val="18"/>
        </w:rPr>
        <w:t>慢性肾功能障碍的诊断必须由泌尿科或肾脏科医师确认。</w:t>
      </w:r>
    </w:p>
    <w:p>
      <w:pPr>
        <w:pStyle w:val="ListParagraph"/>
        <w:numPr>
          <w:ilvl w:val="1"/>
          <w:numId w:val="19"/>
        </w:numPr>
        <w:tabs>
          <w:tab w:pos="1105" w:val="left" w:leader="none"/>
          <w:tab w:pos="1106" w:val="left" w:leader="none"/>
        </w:tabs>
        <w:spacing w:line="240" w:lineRule="auto" w:before="104" w:after="0"/>
        <w:ind w:left="1105" w:right="0" w:hanging="634"/>
        <w:jc w:val="left"/>
        <w:rPr>
          <w:sz w:val="18"/>
        </w:rPr>
      </w:pPr>
      <w:r>
        <w:rPr>
          <w:spacing w:val="-15"/>
          <w:sz w:val="18"/>
        </w:rPr>
        <w:t>昏迷 </w:t>
      </w:r>
      <w:r>
        <w:rPr>
          <w:sz w:val="18"/>
        </w:rPr>
        <w:t>48</w:t>
      </w:r>
      <w:r>
        <w:rPr>
          <w:spacing w:val="-15"/>
          <w:sz w:val="18"/>
        </w:rPr>
        <w:t> 小时</w:t>
      </w:r>
    </w:p>
    <w:p>
      <w:pPr>
        <w:pStyle w:val="BodyText"/>
        <w:spacing w:line="340" w:lineRule="auto"/>
        <w:ind w:left="1071" w:right="20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分以下，且已经持续使用呼吸机及其它生命维持系统达到 </w:t>
      </w:r>
      <w:r>
        <w:rPr>
          <w:rFonts w:ascii="Arial" w:eastAsia="Arial"/>
        </w:rPr>
        <w:t>48 </w:t>
      </w:r>
      <w:r>
        <w:rPr/>
        <w:t>小时。</w:t>
      </w:r>
    </w:p>
    <w:p>
      <w:pPr>
        <w:pStyle w:val="Heading4"/>
        <w:spacing w:before="22"/>
        <w:ind w:left="1071"/>
      </w:pPr>
      <w:r>
        <w:rPr>
          <w:w w:val="95"/>
        </w:rPr>
        <w:t>因酗酒或药物滥用导致的深度昏迷不在保障范围内。</w:t>
      </w:r>
    </w:p>
    <w:p>
      <w:pPr>
        <w:pStyle w:val="ListParagraph"/>
        <w:numPr>
          <w:ilvl w:val="1"/>
          <w:numId w:val="19"/>
        </w:numPr>
        <w:tabs>
          <w:tab w:pos="1105" w:val="left" w:leader="none"/>
          <w:tab w:pos="1106" w:val="left" w:leader="none"/>
        </w:tabs>
        <w:spacing w:line="240" w:lineRule="auto" w:before="117" w:after="0"/>
        <w:ind w:left="1105" w:right="0" w:hanging="634"/>
        <w:jc w:val="left"/>
        <w:rPr>
          <w:sz w:val="18"/>
        </w:rPr>
      </w:pPr>
      <w:r>
        <w:rPr>
          <w:sz w:val="18"/>
        </w:rPr>
        <w:t>慢性肺病</w:t>
      </w:r>
    </w:p>
    <w:p>
      <w:pPr>
        <w:pStyle w:val="BodyText"/>
        <w:ind w:left="1071"/>
      </w:pPr>
      <w:r>
        <w:rPr/>
        <w:t>指诊断为间质性肺纤维化的肺病，并需要接受间歇性氧气治疗及在接受适当的药物下的第一秒末用力呼气量</w:t>
      </w:r>
    </w:p>
    <w:p>
      <w:pPr>
        <w:pStyle w:val="BodyText"/>
        <w:spacing w:before="116"/>
        <w:ind w:left="1071"/>
      </w:pPr>
      <w:r>
        <w:rPr>
          <w:rFonts w:ascii="Arial" w:eastAsia="Arial"/>
        </w:rPr>
        <w:t>(FEV1</w:t>
      </w:r>
      <w:r>
        <w:rPr/>
        <w:t>）小于 </w:t>
      </w:r>
      <w:r>
        <w:rPr>
          <w:rFonts w:ascii="Arial" w:eastAsia="Arial"/>
        </w:rPr>
        <w:t>1.2 </w:t>
      </w:r>
      <w:r>
        <w:rPr/>
        <w:t>升。 诊断、严重程度及测试结果必须由专科医生确定。</w:t>
      </w:r>
    </w:p>
    <w:p>
      <w:pPr>
        <w:pStyle w:val="ListParagraph"/>
        <w:numPr>
          <w:ilvl w:val="1"/>
          <w:numId w:val="19"/>
        </w:numPr>
        <w:tabs>
          <w:tab w:pos="1105" w:val="left" w:leader="none"/>
          <w:tab w:pos="1106" w:val="left" w:leader="none"/>
        </w:tabs>
        <w:spacing w:line="240" w:lineRule="auto" w:before="106" w:after="0"/>
        <w:ind w:left="1105" w:right="0" w:hanging="634"/>
        <w:jc w:val="left"/>
        <w:rPr>
          <w:sz w:val="18"/>
        </w:rPr>
      </w:pPr>
      <w:r>
        <w:rPr>
          <w:sz w:val="18"/>
        </w:rPr>
        <w:t>单眼失明</w:t>
      </w:r>
    </w:p>
    <w:p>
      <w:pPr>
        <w:pStyle w:val="BodyText"/>
        <w:spacing w:before="104"/>
        <w:ind w:left="1071"/>
      </w:pPr>
      <w:r>
        <w:rPr/>
        <w:t>指因疾病或意外伤害导致单眼视力永久不可逆性丧失，须满足下列至少一项条件：</w:t>
      </w:r>
    </w:p>
    <w:p>
      <w:pPr>
        <w:pStyle w:val="BodyText"/>
        <w:spacing w:before="119"/>
        <w:ind w:left="1071"/>
      </w:pPr>
      <w:r>
        <w:rPr/>
        <w:t>（</w:t>
      </w:r>
      <w:r>
        <w:rPr>
          <w:rFonts w:ascii="Arial" w:eastAsia="Arial"/>
        </w:rPr>
        <w:t>1</w:t>
      </w:r>
      <w:r>
        <w:rPr/>
        <w:t>）眼球缺失或摘除；</w:t>
      </w:r>
    </w:p>
    <w:p>
      <w:pPr>
        <w:pStyle w:val="BodyText"/>
        <w:ind w:left="107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ind w:left="1071"/>
      </w:pPr>
      <w:r>
        <w:rPr/>
        <w:t>（</w:t>
      </w:r>
      <w:r>
        <w:rPr>
          <w:rFonts w:ascii="Arial" w:eastAsia="Arial"/>
        </w:rPr>
        <w:t>3</w:t>
      </w:r>
      <w:r>
        <w:rPr/>
        <w:t>）视野半径小于 </w:t>
      </w:r>
      <w:r>
        <w:rPr>
          <w:rFonts w:ascii="Arial" w:eastAsia="Arial"/>
        </w:rPr>
        <w:t>5 </w:t>
      </w:r>
      <w:r>
        <w:rPr/>
        <w:t>度。</w:t>
      </w:r>
    </w:p>
    <w:p>
      <w:pPr>
        <w:pStyle w:val="ListParagraph"/>
        <w:numPr>
          <w:ilvl w:val="1"/>
          <w:numId w:val="19"/>
        </w:numPr>
        <w:tabs>
          <w:tab w:pos="1105" w:val="left" w:leader="none"/>
          <w:tab w:pos="1106" w:val="left" w:leader="none"/>
        </w:tabs>
        <w:spacing w:line="240" w:lineRule="auto" w:before="106" w:after="0"/>
        <w:ind w:left="1105" w:right="0" w:hanging="634"/>
        <w:jc w:val="left"/>
        <w:rPr>
          <w:sz w:val="18"/>
        </w:rPr>
      </w:pPr>
      <w:r>
        <w:rPr>
          <w:sz w:val="18"/>
        </w:rPr>
        <w:t>中度严重帕金森病</w:t>
      </w:r>
    </w:p>
    <w:p>
      <w:pPr>
        <w:spacing w:after="0" w:line="240" w:lineRule="auto"/>
        <w:jc w:val="left"/>
        <w:rPr>
          <w:sz w:val="18"/>
        </w:rPr>
        <w:sectPr>
          <w:pgSz w:w="11910" w:h="16840"/>
          <w:pgMar w:header="672" w:footer="766" w:top="860" w:bottom="960" w:left="880" w:right="740"/>
        </w:sectPr>
      </w:pPr>
    </w:p>
    <w:p>
      <w:pPr>
        <w:pStyle w:val="BodyText"/>
        <w:spacing w:before="7"/>
        <w:ind w:left="0"/>
        <w:rPr>
          <w:sz w:val="14"/>
        </w:rPr>
      </w:pPr>
    </w:p>
    <w:p>
      <w:pPr>
        <w:pStyle w:val="BodyText"/>
        <w:spacing w:before="45"/>
        <w:ind w:left="1071"/>
      </w:pPr>
      <w:r>
        <w:rPr/>
        <w:t>是一种中枢神经系统的退行性疾病，临床表现为震颤麻痹、共济失调等。须满足下列全部条件：</w:t>
      </w:r>
    </w:p>
    <w:p>
      <w:pPr>
        <w:pStyle w:val="ListParagraph"/>
        <w:numPr>
          <w:ilvl w:val="2"/>
          <w:numId w:val="19"/>
        </w:numPr>
        <w:tabs>
          <w:tab w:pos="1343" w:val="left" w:leader="none"/>
        </w:tabs>
        <w:spacing w:line="240" w:lineRule="auto" w:before="120" w:after="0"/>
        <w:ind w:left="1071" w:right="0" w:firstLine="0"/>
        <w:jc w:val="left"/>
        <w:rPr>
          <w:rFonts w:ascii="Arial" w:eastAsia="Arial"/>
          <w:sz w:val="18"/>
        </w:rPr>
      </w:pPr>
      <w:r>
        <w:rPr>
          <w:w w:val="95"/>
          <w:sz w:val="18"/>
        </w:rPr>
        <w:t>药物治疗无法控制病情；</w:t>
      </w:r>
    </w:p>
    <w:p>
      <w:pPr>
        <w:pStyle w:val="ListParagraph"/>
        <w:numPr>
          <w:ilvl w:val="2"/>
          <w:numId w:val="19"/>
        </w:numPr>
        <w:tabs>
          <w:tab w:pos="1343" w:val="left" w:leader="none"/>
        </w:tabs>
        <w:spacing w:line="343" w:lineRule="auto" w:before="106" w:after="0"/>
        <w:ind w:left="1071" w:right="3185" w:firstLine="0"/>
        <w:jc w:val="left"/>
        <w:rPr>
          <w:rFonts w:ascii="Arial" w:eastAsia="Arial"/>
          <w:b/>
          <w:sz w:val="18"/>
        </w:rPr>
      </w:pPr>
      <w:r>
        <w:rPr>
          <w:sz w:val="18"/>
        </w:rPr>
        <w:t>自主生活能力严重丧失，无法独立完成六项基本日常生活活动中的两项。</w:t>
      </w:r>
      <w:r>
        <w:rPr>
          <w:b/>
          <w:w w:val="95"/>
          <w:sz w:val="18"/>
        </w:rPr>
        <w:t>继发性帕金森综合征不在保障范围内。</w:t>
      </w:r>
    </w:p>
    <w:p>
      <w:pPr>
        <w:pStyle w:val="ListParagraph"/>
        <w:numPr>
          <w:ilvl w:val="1"/>
          <w:numId w:val="19"/>
        </w:numPr>
        <w:tabs>
          <w:tab w:pos="1105" w:val="left" w:leader="none"/>
          <w:tab w:pos="1106" w:val="left" w:leader="none"/>
        </w:tabs>
        <w:spacing w:line="240" w:lineRule="auto" w:before="41" w:after="0"/>
        <w:ind w:left="1105" w:right="0" w:hanging="634"/>
        <w:jc w:val="left"/>
        <w:rPr>
          <w:sz w:val="18"/>
        </w:rPr>
      </w:pPr>
      <w:r>
        <w:rPr>
          <w:sz w:val="18"/>
        </w:rPr>
        <w:t>可逆性再生障碍性贫血</w:t>
      </w:r>
    </w:p>
    <w:p>
      <w:pPr>
        <w:pStyle w:val="BodyText"/>
        <w:spacing w:line="360" w:lineRule="auto"/>
        <w:ind w:left="1071" w:right="206"/>
      </w:pPr>
      <w:r>
        <w:rPr/>
        <w:t>指因急性可逆性的骨髓造血功能衰竭而导致贫血、中性粒细胞减少和血小板减少，必须由血液科医生的诊断，且病历资料显示接受了下列任一治疗：</w:t>
      </w:r>
    </w:p>
    <w:p>
      <w:pPr>
        <w:pStyle w:val="ListParagraph"/>
        <w:numPr>
          <w:ilvl w:val="2"/>
          <w:numId w:val="19"/>
        </w:numPr>
        <w:tabs>
          <w:tab w:pos="1343" w:val="left" w:leader="none"/>
        </w:tabs>
        <w:spacing w:line="240" w:lineRule="auto" w:before="27" w:after="0"/>
        <w:ind w:left="1342" w:right="0" w:hanging="271"/>
        <w:jc w:val="both"/>
        <w:rPr>
          <w:rFonts w:ascii="Arial" w:eastAsia="Arial"/>
          <w:sz w:val="18"/>
        </w:rPr>
      </w:pPr>
      <w:r>
        <w:rPr>
          <w:spacing w:val="-6"/>
          <w:sz w:val="18"/>
        </w:rPr>
        <w:t>骨髓刺激疗法至少 </w:t>
      </w:r>
      <w:r>
        <w:rPr>
          <w:rFonts w:ascii="Arial" w:eastAsia="Arial"/>
          <w:sz w:val="18"/>
        </w:rPr>
        <w:t>1</w:t>
      </w:r>
      <w:r>
        <w:rPr>
          <w:rFonts w:ascii="Arial" w:eastAsia="Arial"/>
          <w:spacing w:val="-9"/>
          <w:sz w:val="18"/>
        </w:rPr>
        <w:t> </w:t>
      </w:r>
      <w:r>
        <w:rPr>
          <w:sz w:val="18"/>
        </w:rPr>
        <w:t>个月；</w:t>
      </w:r>
    </w:p>
    <w:p>
      <w:pPr>
        <w:pStyle w:val="ListParagraph"/>
        <w:numPr>
          <w:ilvl w:val="2"/>
          <w:numId w:val="19"/>
        </w:numPr>
        <w:tabs>
          <w:tab w:pos="1343" w:val="left" w:leader="none"/>
        </w:tabs>
        <w:spacing w:line="240" w:lineRule="auto" w:before="107" w:after="0"/>
        <w:ind w:left="1342" w:right="0" w:hanging="271"/>
        <w:jc w:val="both"/>
        <w:rPr>
          <w:rFonts w:ascii="Arial" w:eastAsia="Arial"/>
          <w:sz w:val="18"/>
        </w:rPr>
      </w:pPr>
      <w:r>
        <w:rPr>
          <w:spacing w:val="-5"/>
          <w:sz w:val="18"/>
        </w:rPr>
        <w:t>免疫抑制剂治疗至少 </w:t>
      </w:r>
      <w:r>
        <w:rPr>
          <w:rFonts w:ascii="Arial" w:eastAsia="Arial"/>
          <w:sz w:val="18"/>
        </w:rPr>
        <w:t>1</w:t>
      </w:r>
      <w:r>
        <w:rPr>
          <w:rFonts w:ascii="Arial" w:eastAsia="Arial"/>
          <w:spacing w:val="-10"/>
          <w:sz w:val="18"/>
        </w:rPr>
        <w:t> </w:t>
      </w:r>
      <w:r>
        <w:rPr>
          <w:spacing w:val="-2"/>
          <w:sz w:val="18"/>
        </w:rPr>
        <w:t>个月；</w:t>
      </w:r>
    </w:p>
    <w:p>
      <w:pPr>
        <w:pStyle w:val="ListParagraph"/>
        <w:numPr>
          <w:ilvl w:val="2"/>
          <w:numId w:val="19"/>
        </w:numPr>
        <w:tabs>
          <w:tab w:pos="1343" w:val="left" w:leader="none"/>
        </w:tabs>
        <w:spacing w:line="240" w:lineRule="auto" w:before="107" w:after="0"/>
        <w:ind w:left="1342" w:right="0" w:hanging="271"/>
        <w:jc w:val="both"/>
        <w:rPr>
          <w:rFonts w:ascii="Arial" w:eastAsia="Arial"/>
          <w:sz w:val="18"/>
        </w:rPr>
      </w:pPr>
      <w:r>
        <w:rPr>
          <w:w w:val="95"/>
          <w:sz w:val="18"/>
        </w:rPr>
        <w:t>接受了骨髓移植。</w:t>
      </w:r>
    </w:p>
    <w:p>
      <w:pPr>
        <w:pStyle w:val="ListParagraph"/>
        <w:numPr>
          <w:ilvl w:val="1"/>
          <w:numId w:val="19"/>
        </w:numPr>
        <w:tabs>
          <w:tab w:pos="1105" w:val="left" w:leader="none"/>
          <w:tab w:pos="1106" w:val="left" w:leader="none"/>
        </w:tabs>
        <w:spacing w:line="240" w:lineRule="auto" w:before="107" w:after="0"/>
        <w:ind w:left="1105" w:right="0" w:hanging="634"/>
        <w:jc w:val="left"/>
        <w:rPr>
          <w:sz w:val="18"/>
        </w:rPr>
      </w:pPr>
      <w:r>
        <w:rPr>
          <w:sz w:val="18"/>
        </w:rPr>
        <w:t>中度严重溃疡性结肠炎</w:t>
      </w:r>
    </w:p>
    <w:p>
      <w:pPr>
        <w:pStyle w:val="BodyText"/>
        <w:spacing w:line="362" w:lineRule="auto" w:before="107"/>
        <w:ind w:left="1071" w:right="395"/>
      </w:pPr>
      <w:r>
        <w:rPr/>
        <w:t>指伴有致命性电解质紊乱的急性暴发性溃疡性结肠炎，病变累及全结肠，表现为严重的血便和系统性症状体征。本症须经专科医生连续以免疫抑制剂或免疫调节剂治疗 </w:t>
      </w:r>
      <w:r>
        <w:rPr>
          <w:rFonts w:ascii="Arial" w:eastAsia="Arial"/>
        </w:rPr>
        <w:t>3 </w:t>
      </w:r>
      <w:r>
        <w:rPr/>
        <w:t>个月以上，方符合赔偿条件。</w:t>
      </w:r>
    </w:p>
    <w:p>
      <w:pPr>
        <w:pStyle w:val="Heading4"/>
        <w:spacing w:before="3"/>
        <w:ind w:left="1071"/>
        <w:jc w:val="both"/>
      </w:pPr>
      <w:r>
        <w:rPr>
          <w:w w:val="95"/>
        </w:rPr>
        <w:t>溃疡性结肠炎只局限在直肠不在保障范围内。</w:t>
      </w:r>
    </w:p>
    <w:p>
      <w:pPr>
        <w:pStyle w:val="ListParagraph"/>
        <w:numPr>
          <w:ilvl w:val="1"/>
          <w:numId w:val="19"/>
        </w:numPr>
        <w:tabs>
          <w:tab w:pos="1105" w:val="left" w:leader="none"/>
          <w:tab w:pos="1106" w:val="left" w:leader="none"/>
        </w:tabs>
        <w:spacing w:line="240" w:lineRule="auto" w:before="116" w:after="0"/>
        <w:ind w:left="1105" w:right="0" w:hanging="634"/>
        <w:jc w:val="left"/>
        <w:rPr>
          <w:sz w:val="18"/>
        </w:rPr>
      </w:pPr>
      <w:r>
        <w:rPr>
          <w:sz w:val="18"/>
        </w:rPr>
        <w:t>中度肌营养不良症</w:t>
      </w:r>
    </w:p>
    <w:p>
      <w:pPr>
        <w:pStyle w:val="BodyText"/>
        <w:ind w:left="1071"/>
        <w:jc w:val="both"/>
      </w:pPr>
      <w:r>
        <w:rPr/>
        <w:t>指一组原发于肌肉的遗传性疾病，临床表现为与神经系统无关的肌肉无力和肌肉萎缩。须满足下列全部条件：</w:t>
      </w:r>
    </w:p>
    <w:p>
      <w:pPr>
        <w:pStyle w:val="BodyText"/>
        <w:spacing w:before="119"/>
        <w:ind w:left="1071"/>
        <w:jc w:val="both"/>
      </w:pPr>
      <w:r>
        <w:rPr/>
        <w:t>（</w:t>
      </w:r>
      <w:r>
        <w:rPr>
          <w:rFonts w:ascii="Arial" w:eastAsia="Arial"/>
        </w:rPr>
        <w:t>1</w:t>
      </w:r>
      <w:r>
        <w:rPr/>
        <w:t>）肌肉组织活检结果满足肌营养不良症的肌肉细胞变性、坏死等阳性改变；</w:t>
      </w:r>
    </w:p>
    <w:p>
      <w:pPr>
        <w:pStyle w:val="BodyText"/>
        <w:ind w:left="1071"/>
        <w:jc w:val="both"/>
      </w:pPr>
      <w:r>
        <w:rPr/>
        <w:t>（</w:t>
      </w:r>
      <w:r>
        <w:rPr>
          <w:rFonts w:ascii="Arial" w:eastAsia="Arial"/>
        </w:rPr>
        <w:t>2</w:t>
      </w:r>
      <w:r>
        <w:rPr/>
        <w:t>）自主生活能力严重丧失，无法独立完成六项基本日常生活活动中的两项或两项以上。</w:t>
      </w:r>
    </w:p>
    <w:p>
      <w:pPr>
        <w:pStyle w:val="ListParagraph"/>
        <w:numPr>
          <w:ilvl w:val="1"/>
          <w:numId w:val="19"/>
        </w:numPr>
        <w:tabs>
          <w:tab w:pos="1106" w:val="left" w:leader="none"/>
        </w:tabs>
        <w:spacing w:line="240" w:lineRule="auto" w:before="106" w:after="0"/>
        <w:ind w:left="1105" w:right="0" w:hanging="634"/>
        <w:jc w:val="left"/>
        <w:rPr>
          <w:sz w:val="18"/>
        </w:rPr>
      </w:pPr>
      <w:r>
        <w:rPr>
          <w:sz w:val="18"/>
        </w:rPr>
        <w:t>中度阿尔茨海默病</w:t>
      </w:r>
    </w:p>
    <w:p>
      <w:pPr>
        <w:pStyle w:val="BodyText"/>
        <w:spacing w:line="348" w:lineRule="auto"/>
        <w:ind w:left="1071" w:right="203"/>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）等影像学检查证实，且自主生活能力严重丧失，无法独立完成六项基本日常生活活动中的两项。</w:t>
      </w:r>
    </w:p>
    <w:p>
      <w:pPr>
        <w:pStyle w:val="Heading4"/>
        <w:spacing w:before="13"/>
        <w:ind w:left="1071"/>
        <w:jc w:val="both"/>
      </w:pPr>
      <w:r>
        <w:rPr>
          <w:w w:val="95"/>
        </w:rPr>
        <w:t>以下情况不在保障范围内：</w:t>
      </w:r>
    </w:p>
    <w:p>
      <w:pPr>
        <w:pStyle w:val="ListParagraph"/>
        <w:numPr>
          <w:ilvl w:val="2"/>
          <w:numId w:val="19"/>
        </w:numPr>
        <w:tabs>
          <w:tab w:pos="1343" w:val="left" w:leader="none"/>
        </w:tabs>
        <w:spacing w:line="240" w:lineRule="auto" w:before="119" w:after="0"/>
        <w:ind w:left="1342" w:right="0" w:hanging="271"/>
        <w:jc w:val="both"/>
        <w:rPr>
          <w:rFonts w:ascii="Arial" w:eastAsia="Arial"/>
          <w:b/>
          <w:sz w:val="18"/>
        </w:rPr>
      </w:pPr>
      <w:r>
        <w:rPr>
          <w:b/>
          <w:spacing w:val="-1"/>
          <w:w w:val="95"/>
          <w:sz w:val="18"/>
        </w:rPr>
        <w:t>与酒精，药物滥用或获得性免疫缺陷综合症</w:t>
      </w:r>
      <w:r>
        <w:rPr>
          <w:b/>
          <w:w w:val="95"/>
          <w:sz w:val="18"/>
        </w:rPr>
        <w:t>（</w:t>
      </w:r>
      <w:r>
        <w:rPr>
          <w:rFonts w:ascii="Arial" w:eastAsia="Arial"/>
          <w:b/>
          <w:w w:val="95"/>
          <w:sz w:val="18"/>
        </w:rPr>
        <w:t>AIDS</w:t>
      </w:r>
      <w:r>
        <w:rPr>
          <w:b/>
          <w:w w:val="95"/>
          <w:sz w:val="18"/>
        </w:rPr>
        <w:t>）相关的痴呆；</w:t>
      </w:r>
    </w:p>
    <w:p>
      <w:pPr>
        <w:pStyle w:val="ListParagraph"/>
        <w:numPr>
          <w:ilvl w:val="2"/>
          <w:numId w:val="19"/>
        </w:numPr>
        <w:tabs>
          <w:tab w:pos="1343" w:val="left" w:leader="none"/>
        </w:tabs>
        <w:spacing w:line="240" w:lineRule="auto" w:before="106" w:after="0"/>
        <w:ind w:left="1342" w:right="0" w:hanging="271"/>
        <w:jc w:val="both"/>
        <w:rPr>
          <w:rFonts w:ascii="Arial" w:eastAsia="Arial"/>
          <w:b/>
          <w:sz w:val="18"/>
        </w:rPr>
      </w:pPr>
      <w:r>
        <w:rPr>
          <w:b/>
          <w:w w:val="95"/>
          <w:sz w:val="18"/>
        </w:rPr>
        <w:t>神经官能症和精神疾病。</w:t>
      </w:r>
    </w:p>
    <w:p>
      <w:pPr>
        <w:pStyle w:val="ListParagraph"/>
        <w:numPr>
          <w:ilvl w:val="1"/>
          <w:numId w:val="19"/>
        </w:numPr>
        <w:tabs>
          <w:tab w:pos="1106" w:val="left" w:leader="none"/>
        </w:tabs>
        <w:spacing w:line="240" w:lineRule="auto" w:before="106" w:after="0"/>
        <w:ind w:left="1105" w:right="0" w:hanging="634"/>
        <w:jc w:val="left"/>
        <w:rPr>
          <w:sz w:val="18"/>
        </w:rPr>
      </w:pPr>
      <w:r>
        <w:rPr>
          <w:sz w:val="18"/>
        </w:rPr>
        <w:t>中度瘫痪</w:t>
      </w:r>
    </w:p>
    <w:p>
      <w:pPr>
        <w:pStyle w:val="BodyText"/>
        <w:ind w:left="1071"/>
        <w:jc w:val="both"/>
      </w:pPr>
      <w:r>
        <w:rPr/>
        <w:t>指因疾病或者意外伤害导致一肢肢体机能永久完全丧失。肢体机能永久完全丧失，指疾病确诊 </w:t>
      </w:r>
      <w:r>
        <w:rPr>
          <w:rFonts w:ascii="Arial" w:eastAsia="Arial"/>
        </w:rPr>
        <w:t>180  </w:t>
      </w:r>
      <w:r>
        <w:rPr/>
        <w:t>天后或意外伤</w:t>
      </w:r>
    </w:p>
    <w:p>
      <w:pPr>
        <w:pStyle w:val="BodyText"/>
        <w:spacing w:line="340" w:lineRule="auto" w:before="103"/>
        <w:ind w:left="1071" w:right="2644"/>
      </w:pPr>
      <w:r>
        <w:rPr/>
        <w:t>害发生 </w:t>
      </w:r>
      <w:r>
        <w:rPr>
          <w:rFonts w:ascii="Arial" w:eastAsia="Arial"/>
        </w:rPr>
        <w:t>180 </w:t>
      </w:r>
      <w:r>
        <w:rPr/>
        <w:t>天后，该肢三大关节中的两大关节仍然完全僵硬，或不能随意识活动。肢体是指包括肩关节的整个上肢或包括髋关节的整个下肢。</w:t>
      </w:r>
    </w:p>
    <w:p>
      <w:pPr>
        <w:pStyle w:val="Heading4"/>
        <w:spacing w:before="44"/>
        <w:ind w:left="1071"/>
      </w:pPr>
      <w:r>
        <w:rPr>
          <w:w w:val="95"/>
        </w:rPr>
        <w:t>自我伤害，局部瘫痪，病毒感染后的临时瘫痪，或由于心理疾病造成的机能丧失不在保障范围内。</w:t>
      </w:r>
    </w:p>
    <w:p>
      <w:pPr>
        <w:pStyle w:val="ListParagraph"/>
        <w:numPr>
          <w:ilvl w:val="1"/>
          <w:numId w:val="19"/>
        </w:numPr>
        <w:tabs>
          <w:tab w:pos="1106" w:val="left" w:leader="none"/>
        </w:tabs>
        <w:spacing w:line="240" w:lineRule="auto" w:before="119" w:after="0"/>
        <w:ind w:left="1105" w:right="0" w:hanging="634"/>
        <w:jc w:val="left"/>
        <w:rPr>
          <w:sz w:val="18"/>
        </w:rPr>
      </w:pPr>
      <w:r>
        <w:rPr>
          <w:sz w:val="18"/>
        </w:rPr>
        <w:t>早期运动神元病</w:t>
      </w:r>
    </w:p>
    <w:p>
      <w:pPr>
        <w:pStyle w:val="BodyText"/>
        <w:spacing w:line="360" w:lineRule="auto"/>
        <w:ind w:left="1071" w:right="206"/>
      </w:pPr>
      <w:r>
        <w:rPr/>
        <w:t>是一组中枢神经系统运动神经元的进行性变性疾病，进行性脊肌萎缩症、进行性延髓麻痹症、原发性侧索硬化症、肌萎缩性侧索硬化症。须满足自主生活能力严重丧失，无法独立完成六项基本日常生活活动中的两项。</w:t>
      </w:r>
    </w:p>
    <w:p>
      <w:pPr>
        <w:pStyle w:val="ListParagraph"/>
        <w:numPr>
          <w:ilvl w:val="1"/>
          <w:numId w:val="19"/>
        </w:numPr>
        <w:tabs>
          <w:tab w:pos="1106" w:val="left" w:leader="none"/>
        </w:tabs>
        <w:spacing w:line="240" w:lineRule="auto" w:before="27" w:after="0"/>
        <w:ind w:left="1105" w:right="0" w:hanging="634"/>
        <w:jc w:val="left"/>
        <w:rPr>
          <w:sz w:val="18"/>
        </w:rPr>
      </w:pPr>
      <w:r>
        <w:rPr>
          <w:sz w:val="18"/>
        </w:rPr>
        <w:t>中度严重脊髓灰质炎</w:t>
      </w:r>
    </w:p>
    <w:p>
      <w:pPr>
        <w:pStyle w:val="BodyText"/>
        <w:spacing w:line="352" w:lineRule="auto"/>
        <w:ind w:left="1071" w:right="207"/>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rPr>
        <w:t>180 </w:t>
      </w:r>
      <w:r>
        <w:rPr/>
        <w:t>天后，每肢三大关节中的至少一个大关节仍然完全僵硬，或不能随意识活动。</w:t>
      </w:r>
    </w:p>
    <w:p>
      <w:pPr>
        <w:pStyle w:val="ListParagraph"/>
        <w:numPr>
          <w:ilvl w:val="1"/>
          <w:numId w:val="19"/>
        </w:numPr>
        <w:tabs>
          <w:tab w:pos="1106" w:val="left" w:leader="none"/>
        </w:tabs>
        <w:spacing w:line="240" w:lineRule="auto" w:before="32" w:after="0"/>
        <w:ind w:left="1105" w:right="0" w:hanging="634"/>
        <w:jc w:val="left"/>
        <w:rPr>
          <w:sz w:val="18"/>
        </w:rPr>
      </w:pPr>
      <w:r>
        <w:rPr>
          <w:sz w:val="18"/>
        </w:rPr>
        <w:t>重度头部外伤</w:t>
      </w:r>
    </w:p>
    <w:p>
      <w:pPr>
        <w:pStyle w:val="BodyText"/>
        <w:spacing w:line="340" w:lineRule="auto" w:before="107"/>
        <w:ind w:left="1071" w:right="201"/>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spacing w:after="0" w:line="340" w:lineRule="auto"/>
        <w:sectPr>
          <w:pgSz w:w="11910" w:h="16840"/>
          <w:pgMar w:header="672" w:footer="766" w:top="860" w:bottom="960" w:left="880" w:right="740"/>
        </w:sectPr>
      </w:pPr>
    </w:p>
    <w:p>
      <w:pPr>
        <w:pStyle w:val="BodyText"/>
        <w:spacing w:before="9"/>
        <w:ind w:left="0"/>
        <w:rPr>
          <w:sz w:val="13"/>
        </w:rPr>
      </w:pPr>
    </w:p>
    <w:p>
      <w:pPr>
        <w:pStyle w:val="BodyText"/>
        <w:spacing w:before="53"/>
        <w:ind w:left="1071"/>
        <w:jc w:val="both"/>
      </w:pPr>
      <w:r>
        <w:rPr>
          <w:rFonts w:ascii="Arial" w:eastAsia="Arial"/>
        </w:rPr>
        <w:t>180 </w:t>
      </w:r>
      <w:r>
        <w:rPr/>
        <w:t>天后，仍严重丧失自主生活能力，无法独立完成六项基本日常生活活动中的二项或以上。</w:t>
      </w:r>
    </w:p>
    <w:p>
      <w:pPr>
        <w:pStyle w:val="ListParagraph"/>
        <w:numPr>
          <w:ilvl w:val="1"/>
          <w:numId w:val="19"/>
        </w:numPr>
        <w:tabs>
          <w:tab w:pos="1106" w:val="left" w:leader="none"/>
        </w:tabs>
        <w:spacing w:line="240" w:lineRule="auto" w:before="106" w:after="0"/>
        <w:ind w:left="1105" w:right="0" w:hanging="634"/>
        <w:jc w:val="left"/>
        <w:rPr>
          <w:sz w:val="18"/>
        </w:rPr>
      </w:pPr>
      <w:r>
        <w:rPr>
          <w:sz w:val="18"/>
        </w:rPr>
        <w:t>慢性肝功能衰竭</w:t>
      </w:r>
    </w:p>
    <w:p>
      <w:pPr>
        <w:pStyle w:val="BodyText"/>
        <w:spacing w:before="104"/>
        <w:ind w:left="1071"/>
        <w:jc w:val="both"/>
      </w:pPr>
      <w:r>
        <w:rPr/>
        <w:t>因慢性肝脏疾病导致肝功能衰竭。须满足下列至少两项条件，但不满足全部条件：</w:t>
      </w:r>
    </w:p>
    <w:p>
      <w:pPr>
        <w:pStyle w:val="BodyText"/>
        <w:spacing w:before="120"/>
        <w:ind w:left="1071"/>
        <w:jc w:val="both"/>
      </w:pPr>
      <w:r>
        <w:rPr/>
        <w:t>（</w:t>
      </w:r>
      <w:r>
        <w:rPr>
          <w:rFonts w:ascii="Arial" w:eastAsia="Arial"/>
        </w:rPr>
        <w:t>1</w:t>
      </w:r>
      <w:r>
        <w:rPr/>
        <w:t>）持续性黄疸；</w:t>
      </w:r>
    </w:p>
    <w:p>
      <w:pPr>
        <w:pStyle w:val="BodyText"/>
        <w:spacing w:before="107"/>
        <w:ind w:left="1071"/>
        <w:jc w:val="both"/>
      </w:pPr>
      <w:r>
        <w:rPr/>
        <w:t>（</w:t>
      </w:r>
      <w:r>
        <w:rPr>
          <w:rFonts w:ascii="Arial" w:eastAsia="Arial"/>
        </w:rPr>
        <w:t>2</w:t>
      </w:r>
      <w:r>
        <w:rPr/>
        <w:t>）腹水；</w:t>
      </w:r>
    </w:p>
    <w:p>
      <w:pPr>
        <w:pStyle w:val="BodyText"/>
        <w:spacing w:before="107"/>
        <w:ind w:left="1071"/>
        <w:jc w:val="both"/>
      </w:pPr>
      <w:r>
        <w:rPr/>
        <w:t>（</w:t>
      </w:r>
      <w:r>
        <w:rPr>
          <w:rFonts w:ascii="Arial" w:eastAsia="Arial"/>
        </w:rPr>
        <w:t>3</w:t>
      </w:r>
      <w:r>
        <w:rPr/>
        <w:t>）肝性脑病；</w:t>
      </w:r>
    </w:p>
    <w:p>
      <w:pPr>
        <w:spacing w:line="343" w:lineRule="auto" w:before="107"/>
        <w:ind w:left="1071" w:right="4794"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9"/>
        </w:numPr>
        <w:tabs>
          <w:tab w:pos="1106" w:val="left" w:leader="none"/>
        </w:tabs>
        <w:spacing w:line="240" w:lineRule="auto" w:before="42" w:after="0"/>
        <w:ind w:left="1105" w:right="0" w:hanging="634"/>
        <w:jc w:val="left"/>
        <w:rPr>
          <w:sz w:val="18"/>
        </w:rPr>
      </w:pPr>
      <w:r>
        <w:rPr>
          <w:sz w:val="18"/>
        </w:rPr>
        <w:t>中度严重克雅氏病</w:t>
      </w:r>
    </w:p>
    <w:p>
      <w:pPr>
        <w:pStyle w:val="BodyText"/>
        <w:spacing w:line="360" w:lineRule="auto"/>
        <w:ind w:left="1071" w:right="205"/>
      </w:pPr>
      <w:r>
        <w:rPr/>
        <w:t>指一种罕见的主要发生在老年人之间的可传播的脑病。受感染的人可以有睡眠紊乱，个性改变，共济失调，失语症，视觉丧失，物理，肌肉萎缩，肌阵挛，进行性痴呆等症状。</w:t>
      </w:r>
    </w:p>
    <w:p>
      <w:pPr>
        <w:spacing w:line="362" w:lineRule="auto" w:before="27"/>
        <w:ind w:left="1071" w:right="2915" w:firstLine="0"/>
        <w:jc w:val="left"/>
        <w:rPr>
          <w:b/>
          <w:sz w:val="18"/>
        </w:rPr>
      </w:pPr>
      <w:r>
        <w:rPr>
          <w:sz w:val="18"/>
        </w:rPr>
        <w:t>须满足自主生活能力严重丧失，无法独立完成六项基本日常生活活动中的两项。</w:t>
      </w:r>
      <w:r>
        <w:rPr>
          <w:b/>
          <w:w w:val="95"/>
          <w:sz w:val="18"/>
        </w:rPr>
        <w:t>因人类生长激素治疗所致疾病不在保障范围内。</w:t>
      </w:r>
    </w:p>
    <w:p>
      <w:pPr>
        <w:pStyle w:val="ListParagraph"/>
        <w:numPr>
          <w:ilvl w:val="1"/>
          <w:numId w:val="19"/>
        </w:numPr>
        <w:tabs>
          <w:tab w:pos="1106" w:val="left" w:leader="none"/>
        </w:tabs>
        <w:spacing w:line="240" w:lineRule="auto" w:before="27" w:after="0"/>
        <w:ind w:left="1105" w:right="0" w:hanging="634"/>
        <w:jc w:val="left"/>
        <w:rPr>
          <w:sz w:val="18"/>
        </w:rPr>
      </w:pPr>
      <w:r>
        <w:rPr>
          <w:sz w:val="18"/>
        </w:rPr>
        <w:t>中度重症肌无力</w:t>
      </w:r>
    </w:p>
    <w:p>
      <w:pPr>
        <w:pStyle w:val="BodyText"/>
        <w:spacing w:line="360" w:lineRule="auto"/>
        <w:ind w:left="1071" w:right="208"/>
      </w:pPr>
      <w:r>
        <w:rPr/>
        <w:t>指一种神经与肌肉接头部位传递障碍的自身免疫性疾病，临床特征是局部或全身肌肉于活动时易于疲劳无力，须经专科医生明确诊断，并满足下列全部条件：</w:t>
      </w:r>
    </w:p>
    <w:p>
      <w:pPr>
        <w:pStyle w:val="BodyText"/>
        <w:spacing w:before="27"/>
        <w:ind w:left="1071"/>
        <w:jc w:val="both"/>
      </w:pPr>
      <w:r>
        <w:rPr>
          <w:rFonts w:ascii="Arial" w:eastAsia="Arial"/>
          <w:w w:val="95"/>
        </w:rPr>
        <w:t>(1)</w:t>
      </w:r>
      <w:r>
        <w:rPr>
          <w:w w:val="95"/>
        </w:rPr>
        <w:t>经药物治疗或胸腺手术治疗一年以上无法控制病情，症状缓解、复发及恶化交替出现；</w:t>
      </w:r>
    </w:p>
    <w:p>
      <w:pPr>
        <w:pStyle w:val="BodyText"/>
        <w:spacing w:before="107"/>
        <w:ind w:left="1071"/>
        <w:jc w:val="both"/>
      </w:pPr>
      <w:r>
        <w:rPr>
          <w:rFonts w:ascii="Arial" w:eastAsia="Arial"/>
          <w:w w:val="95"/>
        </w:rPr>
        <w:t>(2)</w:t>
      </w:r>
      <w:r>
        <w:rPr>
          <w:w w:val="95"/>
        </w:rPr>
        <w:t>自主生活能力严重丧失，无法独立完成六项基本日常生活活动中的二项或二项以上。</w:t>
      </w:r>
    </w:p>
    <w:p>
      <w:pPr>
        <w:pStyle w:val="ListParagraph"/>
        <w:numPr>
          <w:ilvl w:val="1"/>
          <w:numId w:val="19"/>
        </w:numPr>
        <w:tabs>
          <w:tab w:pos="1106" w:val="left" w:leader="none"/>
        </w:tabs>
        <w:spacing w:line="240" w:lineRule="auto" w:before="107" w:after="0"/>
        <w:ind w:left="1105" w:right="0" w:hanging="634"/>
        <w:jc w:val="left"/>
        <w:rPr>
          <w:sz w:val="18"/>
        </w:rPr>
      </w:pPr>
      <w:r>
        <w:rPr>
          <w:sz w:val="18"/>
        </w:rPr>
        <w:t>急性出血坏死性胰腺炎</w:t>
      </w:r>
    </w:p>
    <w:p>
      <w:pPr>
        <w:pStyle w:val="BodyText"/>
        <w:spacing w:before="107"/>
        <w:ind w:left="1071"/>
        <w:jc w:val="both"/>
      </w:pPr>
      <w:r>
        <w:rPr/>
        <w:t>指急性胰脏实质性发炎及坏死，局灶性消化酵素胰脏脂肪坏死以及血管坏死导致出血，并符合下列所有条件</w:t>
      </w:r>
    </w:p>
    <w:p>
      <w:pPr>
        <w:pStyle w:val="ListParagraph"/>
        <w:numPr>
          <w:ilvl w:val="2"/>
          <w:numId w:val="19"/>
        </w:numPr>
        <w:tabs>
          <w:tab w:pos="1343" w:val="left" w:leader="none"/>
        </w:tabs>
        <w:spacing w:line="240" w:lineRule="auto" w:before="120" w:after="0"/>
        <w:ind w:left="1342" w:right="0" w:hanging="271"/>
        <w:jc w:val="both"/>
        <w:rPr>
          <w:rFonts w:ascii="Arial" w:eastAsia="Arial"/>
          <w:sz w:val="18"/>
        </w:rPr>
      </w:pPr>
      <w:r>
        <w:rPr>
          <w:w w:val="95"/>
          <w:sz w:val="18"/>
        </w:rPr>
        <w:t>必需经由手术清除坏死的组织或胰脏切除术；</w:t>
      </w:r>
    </w:p>
    <w:p>
      <w:pPr>
        <w:pStyle w:val="ListParagraph"/>
        <w:numPr>
          <w:ilvl w:val="2"/>
          <w:numId w:val="19"/>
        </w:numPr>
        <w:tabs>
          <w:tab w:pos="1343" w:val="left" w:leader="none"/>
        </w:tabs>
        <w:spacing w:line="240" w:lineRule="auto" w:before="106" w:after="0"/>
        <w:ind w:left="1342" w:right="0" w:hanging="271"/>
        <w:jc w:val="both"/>
        <w:rPr>
          <w:rFonts w:ascii="Arial" w:eastAsia="Arial"/>
          <w:sz w:val="18"/>
        </w:rPr>
      </w:pPr>
      <w:r>
        <w:rPr>
          <w:w w:val="95"/>
          <w:sz w:val="18"/>
        </w:rPr>
        <w:t>必需由肠胃病学专科医生以组织病理学的特征来确诊，</w:t>
      </w:r>
    </w:p>
    <w:p>
      <w:pPr>
        <w:pStyle w:val="Heading4"/>
        <w:spacing w:before="104"/>
        <w:ind w:left="1071"/>
        <w:jc w:val="both"/>
      </w:pPr>
      <w:r>
        <w:rPr>
          <w:w w:val="95"/>
        </w:rPr>
        <w:t>任何直接地或间接地、完全地或部分地由酗酒或滥用药物导致的胰脏炎并不在保障范围内。</w:t>
      </w:r>
    </w:p>
    <w:p>
      <w:pPr>
        <w:pStyle w:val="ListParagraph"/>
        <w:numPr>
          <w:ilvl w:val="1"/>
          <w:numId w:val="19"/>
        </w:numPr>
        <w:tabs>
          <w:tab w:pos="1106" w:val="left" w:leader="none"/>
        </w:tabs>
        <w:spacing w:line="240" w:lineRule="auto" w:before="120" w:after="0"/>
        <w:ind w:left="1105" w:right="0" w:hanging="634"/>
        <w:jc w:val="left"/>
        <w:rPr>
          <w:sz w:val="18"/>
        </w:rPr>
      </w:pPr>
      <w:r>
        <w:rPr>
          <w:sz w:val="18"/>
        </w:rPr>
        <w:t>中度听力受损</w:t>
      </w:r>
    </w:p>
    <w:p>
      <w:pPr>
        <w:pStyle w:val="BodyText"/>
        <w:spacing w:before="107"/>
        <w:ind w:left="1071"/>
        <w:jc w:val="both"/>
      </w:pPr>
      <w:r>
        <w:rPr/>
        <w:t>指因疾病或意外伤害导致双耳听力永久不可逆性丧失，在 </w:t>
      </w:r>
      <w:r>
        <w:rPr>
          <w:rFonts w:ascii="Arial" w:eastAsia="Arial"/>
        </w:rPr>
        <w:t>500 </w:t>
      </w:r>
      <w:r>
        <w:rPr/>
        <w:t>赫兹、</w:t>
      </w:r>
      <w:r>
        <w:rPr>
          <w:rFonts w:ascii="Arial" w:eastAsia="Arial"/>
        </w:rPr>
        <w:t>1000 </w:t>
      </w:r>
      <w:r>
        <w:rPr/>
        <w:t>赫兹和 </w:t>
      </w:r>
      <w:r>
        <w:rPr>
          <w:rFonts w:ascii="Arial" w:eastAsia="Arial"/>
        </w:rPr>
        <w:t>2000 </w:t>
      </w:r>
      <w:r>
        <w:rPr/>
        <w:t>赫兹语音频率下，平均听</w:t>
      </w:r>
    </w:p>
    <w:p>
      <w:pPr>
        <w:pStyle w:val="BodyText"/>
        <w:spacing w:before="104"/>
        <w:ind w:left="1071"/>
        <w:jc w:val="both"/>
      </w:pPr>
      <w:r>
        <w:rPr/>
        <w:t>阈大于 </w:t>
      </w:r>
      <w:r>
        <w:rPr>
          <w:rFonts w:ascii="Arial" w:eastAsia="Arial"/>
        </w:rPr>
        <w:t>70 </w:t>
      </w:r>
      <w:r>
        <w:rPr/>
        <w:t>分贝，且经纯音听力测试、声导抗检测或听觉诱发电位检测等证实。</w:t>
      </w:r>
    </w:p>
    <w:p>
      <w:pPr>
        <w:pStyle w:val="BodyText"/>
        <w:ind w:left="1071"/>
        <w:jc w:val="both"/>
      </w:pPr>
      <w:r>
        <w:rPr/>
        <w:t>被保险人申请理赔时年龄必须在三周岁以上，并且需提供理赔当时的听力丧失诊断及检查证据。</w:t>
      </w:r>
    </w:p>
    <w:p>
      <w:pPr>
        <w:pStyle w:val="ListParagraph"/>
        <w:numPr>
          <w:ilvl w:val="1"/>
          <w:numId w:val="19"/>
        </w:numPr>
        <w:tabs>
          <w:tab w:pos="1106" w:val="left" w:leader="none"/>
        </w:tabs>
        <w:spacing w:line="240" w:lineRule="auto" w:before="117" w:after="0"/>
        <w:ind w:left="1105" w:right="0" w:hanging="634"/>
        <w:jc w:val="left"/>
        <w:rPr>
          <w:sz w:val="18"/>
        </w:rPr>
      </w:pPr>
      <w:r>
        <w:rPr>
          <w:sz w:val="18"/>
        </w:rPr>
        <w:t>中度原发性肺动脉高压</w:t>
      </w:r>
    </w:p>
    <w:p>
      <w:pPr>
        <w:pStyle w:val="BodyText"/>
        <w:spacing w:line="360" w:lineRule="auto" w:before="107"/>
        <w:ind w:left="1071" w:right="208"/>
      </w:pPr>
      <w:r>
        <w:rPr/>
        <w:t>指由于原发性肺动脉高压进行性发展而导致右心室肥厚，已经造成永久不可逆性的体力活动能力受限，达到美国纽约心脏病学会心功能状态分级 </w:t>
      </w:r>
      <w:r>
        <w:rPr>
          <w:rFonts w:ascii="Arial" w:eastAsia="Arial"/>
        </w:rPr>
        <w:t>III </w:t>
      </w:r>
      <w:r>
        <w:rPr/>
        <w:t>级，且静息状态下肺动脉平均压超过 </w:t>
      </w:r>
      <w:r>
        <w:rPr>
          <w:rFonts w:ascii="Arial" w:eastAsia="Arial"/>
        </w:rPr>
        <w:t>25mmHg</w:t>
      </w:r>
      <w:r>
        <w:rPr/>
        <w:t>。</w:t>
      </w:r>
    </w:p>
    <w:p>
      <w:pPr>
        <w:pStyle w:val="Heading2"/>
        <w:tabs>
          <w:tab w:pos="1911" w:val="left" w:leader="none"/>
        </w:tabs>
        <w:spacing w:before="5"/>
        <w:ind w:left="471"/>
      </w:pPr>
      <w:bookmarkStart w:name="_bookmark14" w:id="15"/>
      <w:bookmarkEnd w:id="15"/>
      <w:r>
        <w:rPr/>
      </w:r>
      <w:r>
        <w:rPr/>
        <w:t>第十</w:t>
      </w:r>
      <w:r>
        <w:rPr>
          <w:spacing w:val="-3"/>
        </w:rPr>
        <w:t>五</w:t>
      </w:r>
      <w:r>
        <w:rPr/>
        <w:t>条</w:t>
        <w:tab/>
        <w:t>轻症</w:t>
      </w:r>
      <w:r>
        <w:rPr>
          <w:spacing w:val="-3"/>
        </w:rPr>
        <w:t>疾</w:t>
      </w:r>
      <w:r>
        <w:rPr/>
        <w:t>病</w:t>
      </w:r>
      <w:r>
        <w:rPr>
          <w:spacing w:val="-3"/>
        </w:rPr>
        <w:t>释</w:t>
      </w:r>
      <w:r>
        <w:rPr/>
        <w:t>义</w:t>
      </w:r>
    </w:p>
    <w:p>
      <w:pPr>
        <w:pStyle w:val="ListParagraph"/>
        <w:numPr>
          <w:ilvl w:val="1"/>
          <w:numId w:val="20"/>
        </w:numPr>
        <w:tabs>
          <w:tab w:pos="1105" w:val="left" w:leader="none"/>
          <w:tab w:pos="1106" w:val="left" w:leader="none"/>
        </w:tabs>
        <w:spacing w:line="240" w:lineRule="auto" w:before="139" w:after="0"/>
        <w:ind w:left="1105" w:right="0" w:hanging="634"/>
        <w:jc w:val="left"/>
        <w:rPr>
          <w:sz w:val="18"/>
        </w:rPr>
      </w:pPr>
      <w:r>
        <w:rPr>
          <w:sz w:val="18"/>
        </w:rPr>
        <w:t>原位癌</w:t>
      </w:r>
    </w:p>
    <w:p>
      <w:pPr>
        <w:pStyle w:val="BodyText"/>
        <w:spacing w:line="348" w:lineRule="auto"/>
        <w:ind w:left="1071" w:right="204"/>
        <w:jc w:val="both"/>
      </w:pPr>
      <w:r>
        <w:rPr/>
        <w:t>原位癌指异型增生的细胞在形态和生物学特性上与癌细胞相同，并累及上皮的全层，但没有突破基底膜向下浸润。须经病理学检查结果明确诊断，临床诊断属于世界卫生组织《疾病和有关健康问题的国际统计分类》（</w:t>
      </w:r>
      <w:r>
        <w:rPr>
          <w:rFonts w:ascii="Arial" w:eastAsia="Arial"/>
        </w:rPr>
        <w:t>ICD-10</w:t>
      </w:r>
      <w:r>
        <w:rPr/>
        <w:t>） 的原位癌范畴。</w:t>
      </w:r>
    </w:p>
    <w:p>
      <w:pPr>
        <w:pStyle w:val="BodyText"/>
        <w:spacing w:before="36"/>
        <w:ind w:left="1071"/>
      </w:pPr>
      <w:r>
        <w:rPr/>
        <w:t>被保险人必须经组织病理学检查被明确诊断为原位癌，并且接受了相应的治疗。</w:t>
      </w:r>
    </w:p>
    <w:p>
      <w:pPr>
        <w:pStyle w:val="Heading4"/>
        <w:spacing w:before="119"/>
        <w:ind w:left="1071"/>
      </w:pPr>
      <w:r>
        <w:rPr>
          <w:w w:val="95"/>
        </w:rPr>
        <w:t>原位癌必须在生前诊断。被保险人所患癌症在被诊断时已经超越原位癌阶段者不在本保障范围内。</w:t>
      </w:r>
    </w:p>
    <w:p>
      <w:pPr>
        <w:spacing w:line="343" w:lineRule="auto" w:before="119"/>
        <w:ind w:left="1071" w:right="770" w:firstLine="0"/>
        <w:jc w:val="left"/>
        <w:rPr>
          <w:b/>
          <w:sz w:val="18"/>
        </w:rPr>
      </w:pPr>
      <w:r>
        <w:rPr>
          <w:b/>
          <w:sz w:val="18"/>
        </w:rPr>
        <w:t>癌前病变（包括宫颈上皮内瘤样病变 </w:t>
      </w:r>
      <w:r>
        <w:rPr>
          <w:rFonts w:ascii="Arial" w:eastAsia="Arial"/>
          <w:b/>
          <w:sz w:val="18"/>
        </w:rPr>
        <w:t>CIN-1</w:t>
      </w:r>
      <w:r>
        <w:rPr>
          <w:b/>
          <w:sz w:val="18"/>
        </w:rPr>
        <w:t>，</w:t>
      </w:r>
      <w:r>
        <w:rPr>
          <w:rFonts w:ascii="Arial" w:eastAsia="Arial"/>
          <w:b/>
          <w:sz w:val="18"/>
        </w:rPr>
        <w:t>CIN-2</w:t>
      </w:r>
      <w:r>
        <w:rPr>
          <w:b/>
          <w:sz w:val="18"/>
        </w:rPr>
        <w:t>，重度不典型增生但非原位癌）不在本保障范围之内。</w:t>
      </w:r>
      <w:r>
        <w:rPr>
          <w:b/>
          <w:w w:val="95"/>
          <w:sz w:val="18"/>
        </w:rPr>
        <w:t>感染艾滋病病毒或患艾滋病期间所患原位癌不在保障范围内。</w:t>
      </w:r>
    </w:p>
    <w:p>
      <w:pPr>
        <w:pStyle w:val="ListParagraph"/>
        <w:numPr>
          <w:ilvl w:val="1"/>
          <w:numId w:val="20"/>
        </w:numPr>
        <w:tabs>
          <w:tab w:pos="1105" w:val="left" w:leader="none"/>
          <w:tab w:pos="1106" w:val="left" w:leader="none"/>
        </w:tabs>
        <w:spacing w:line="240" w:lineRule="auto" w:before="42" w:after="0"/>
        <w:ind w:left="1105" w:right="0" w:hanging="634"/>
        <w:jc w:val="left"/>
        <w:rPr>
          <w:sz w:val="18"/>
        </w:rPr>
      </w:pPr>
      <w:r>
        <w:rPr>
          <w:sz w:val="18"/>
        </w:rPr>
        <w:t>胆道重建手术</w:t>
      </w:r>
    </w:p>
    <w:p>
      <w:pPr>
        <w:spacing w:after="0" w:line="240" w:lineRule="auto"/>
        <w:jc w:val="left"/>
        <w:rPr>
          <w:sz w:val="18"/>
        </w:rPr>
        <w:sectPr>
          <w:pgSz w:w="11910" w:h="16840"/>
          <w:pgMar w:header="672" w:footer="766" w:top="860" w:bottom="960" w:left="880" w:right="740"/>
        </w:sectPr>
      </w:pPr>
    </w:p>
    <w:p>
      <w:pPr>
        <w:pStyle w:val="BodyText"/>
        <w:spacing w:before="7"/>
        <w:ind w:left="0"/>
        <w:rPr>
          <w:sz w:val="14"/>
        </w:rPr>
      </w:pPr>
    </w:p>
    <w:p>
      <w:pPr>
        <w:pStyle w:val="BodyText"/>
        <w:spacing w:line="300" w:lineRule="auto" w:before="45"/>
        <w:ind w:left="1071" w:right="206"/>
      </w:pPr>
      <w:r>
        <w:rPr/>
        <w:t>指因疾病或胆道创伤导致接受涉及胆总管小肠吻合术的胆道重建手术。手术必须在专科医生认为是医疗所需的情况下进</w:t>
      </w:r>
      <w:r>
        <w:rPr>
          <w:rFonts w:ascii="Malgun Gothic" w:eastAsia="Malgun Gothic" w:hint="eastAsia"/>
        </w:rPr>
        <w:t>行</w:t>
      </w:r>
      <w:r>
        <w:rPr/>
        <w:t>。</w:t>
      </w:r>
    </w:p>
    <w:p>
      <w:pPr>
        <w:pStyle w:val="Heading4"/>
        <w:spacing w:line="295" w:lineRule="exact" w:before="0"/>
        <w:ind w:left="1071"/>
      </w:pPr>
      <w:r>
        <w:rPr>
          <w:w w:val="95"/>
        </w:rPr>
        <w:t>胆道闭锁并</w:t>
      </w:r>
      <w:r>
        <w:rPr>
          <w:rFonts w:ascii="Malgun Gothic" w:eastAsia="Malgun Gothic" w:hint="eastAsia"/>
          <w:w w:val="95"/>
        </w:rPr>
        <w:t>不</w:t>
      </w:r>
      <w:r>
        <w:rPr>
          <w:w w:val="95"/>
        </w:rPr>
        <w:t>在保障范围内。</w:t>
      </w:r>
    </w:p>
    <w:p>
      <w:pPr>
        <w:pStyle w:val="ListParagraph"/>
        <w:numPr>
          <w:ilvl w:val="1"/>
          <w:numId w:val="20"/>
        </w:numPr>
        <w:tabs>
          <w:tab w:pos="1105" w:val="left" w:leader="none"/>
          <w:tab w:pos="1106" w:val="left" w:leader="none"/>
        </w:tabs>
        <w:spacing w:line="240" w:lineRule="auto" w:before="101" w:after="0"/>
        <w:ind w:left="1105" w:right="0" w:hanging="634"/>
        <w:jc w:val="left"/>
        <w:rPr>
          <w:sz w:val="18"/>
        </w:rPr>
      </w:pPr>
      <w:r>
        <w:rPr>
          <w:sz w:val="18"/>
        </w:rPr>
        <w:t>双侧卵巢或睾丸切除术</w:t>
      </w:r>
    </w:p>
    <w:p>
      <w:pPr>
        <w:spacing w:line="362" w:lineRule="auto" w:before="104"/>
        <w:ind w:left="1071" w:right="2555" w:firstLine="0"/>
        <w:jc w:val="left"/>
        <w:rPr>
          <w:b/>
          <w:sz w:val="18"/>
        </w:rPr>
      </w:pPr>
      <w:r>
        <w:rPr>
          <w:sz w:val="18"/>
        </w:rPr>
        <w:t>指为治疗疾病实际接受了经腹部切开或腹腔镜进行的双侧卵巢或睾丸完全切除手术。</w:t>
      </w:r>
      <w:r>
        <w:rPr>
          <w:b/>
          <w:w w:val="95"/>
          <w:sz w:val="18"/>
        </w:rPr>
        <w:t>部分卵巢或睾丸切除不在保障范围。</w:t>
      </w:r>
    </w:p>
    <w:p>
      <w:pPr>
        <w:pStyle w:val="ListParagraph"/>
        <w:numPr>
          <w:ilvl w:val="1"/>
          <w:numId w:val="20"/>
        </w:numPr>
        <w:tabs>
          <w:tab w:pos="1105" w:val="left" w:leader="none"/>
          <w:tab w:pos="1106" w:val="left" w:leader="none"/>
        </w:tabs>
        <w:spacing w:line="240" w:lineRule="auto" w:before="28" w:after="0"/>
        <w:ind w:left="1105" w:right="0" w:hanging="634"/>
        <w:jc w:val="left"/>
        <w:rPr>
          <w:sz w:val="18"/>
        </w:rPr>
      </w:pPr>
      <w:r>
        <w:rPr>
          <w:sz w:val="18"/>
        </w:rPr>
        <w:t>单侧肾脏切除</w:t>
      </w:r>
    </w:p>
    <w:p>
      <w:pPr>
        <w:pStyle w:val="BodyText"/>
        <w:spacing w:before="107"/>
        <w:ind w:left="1071"/>
      </w:pPr>
      <w:r>
        <w:rPr/>
        <w:t>指因疾病或意外事故实际实施的一侧肾脏切除术。</w:t>
      </w:r>
    </w:p>
    <w:p>
      <w:pPr>
        <w:pStyle w:val="Heading4"/>
        <w:spacing w:before="119"/>
        <w:ind w:left="1071"/>
      </w:pPr>
      <w:r>
        <w:rPr>
          <w:w w:val="95"/>
        </w:rPr>
        <w:t>肾脏部分切除手术和肾脏捐献引起的手术不在保障范围内。</w:t>
      </w:r>
    </w:p>
    <w:p>
      <w:pPr>
        <w:pStyle w:val="ListParagraph"/>
        <w:numPr>
          <w:ilvl w:val="1"/>
          <w:numId w:val="20"/>
        </w:numPr>
        <w:tabs>
          <w:tab w:pos="1105" w:val="left" w:leader="none"/>
          <w:tab w:pos="1106" w:val="left" w:leader="none"/>
        </w:tabs>
        <w:spacing w:line="240" w:lineRule="auto" w:before="119" w:after="0"/>
        <w:ind w:left="1105" w:right="0" w:hanging="634"/>
        <w:jc w:val="left"/>
        <w:rPr>
          <w:sz w:val="18"/>
        </w:rPr>
      </w:pPr>
      <w:r>
        <w:rPr>
          <w:sz w:val="18"/>
        </w:rPr>
        <w:t>单侧肺脏切除</w:t>
      </w:r>
    </w:p>
    <w:p>
      <w:pPr>
        <w:pStyle w:val="BodyText"/>
        <w:spacing w:before="107"/>
        <w:ind w:left="1071"/>
      </w:pPr>
      <w:r>
        <w:rPr/>
        <w:t>指因疾病或意外事故实际实施的一侧肺脏切除术。</w:t>
      </w:r>
    </w:p>
    <w:p>
      <w:pPr>
        <w:pStyle w:val="Heading4"/>
        <w:spacing w:before="120"/>
        <w:ind w:left="1071"/>
      </w:pPr>
      <w:r>
        <w:rPr>
          <w:w w:val="95"/>
        </w:rPr>
        <w:t>肺脏部分切除手术和肺脏捐献引起的手术不在保障范围内。</w:t>
      </w:r>
    </w:p>
    <w:p>
      <w:pPr>
        <w:pStyle w:val="ListParagraph"/>
        <w:numPr>
          <w:ilvl w:val="1"/>
          <w:numId w:val="20"/>
        </w:numPr>
        <w:tabs>
          <w:tab w:pos="1105" w:val="left" w:leader="none"/>
          <w:tab w:pos="1106" w:val="left" w:leader="none"/>
        </w:tabs>
        <w:spacing w:line="240" w:lineRule="auto" w:before="119" w:after="0"/>
        <w:ind w:left="1105" w:right="0" w:hanging="634"/>
        <w:jc w:val="left"/>
        <w:rPr>
          <w:sz w:val="18"/>
        </w:rPr>
      </w:pPr>
      <w:r>
        <w:rPr>
          <w:sz w:val="18"/>
        </w:rPr>
        <w:t>单个肢体缺失</w:t>
      </w:r>
    </w:p>
    <w:p>
      <w:pPr>
        <w:pStyle w:val="BodyText"/>
        <w:ind w:left="1071"/>
      </w:pPr>
      <w:r>
        <w:rPr/>
        <w:t>指因疾病或者意外伤害导致一个肢体自腕关节或踝关节近端（靠近躯干端）以上完全断离。</w:t>
      </w:r>
    </w:p>
    <w:p>
      <w:pPr>
        <w:pStyle w:val="ListParagraph"/>
        <w:numPr>
          <w:ilvl w:val="1"/>
          <w:numId w:val="20"/>
        </w:numPr>
        <w:tabs>
          <w:tab w:pos="1105" w:val="left" w:leader="none"/>
          <w:tab w:pos="1106" w:val="left" w:leader="none"/>
        </w:tabs>
        <w:spacing w:line="240" w:lineRule="auto" w:before="119" w:after="0"/>
        <w:ind w:left="1105" w:right="0" w:hanging="634"/>
        <w:jc w:val="left"/>
        <w:rPr>
          <w:sz w:val="18"/>
        </w:rPr>
      </w:pPr>
      <w:r>
        <w:rPr>
          <w:spacing w:val="-1"/>
          <w:sz w:val="18"/>
        </w:rPr>
        <w:t>微创冠状动脉搭桥手术</w:t>
      </w:r>
    </w:p>
    <w:p>
      <w:pPr>
        <w:pStyle w:val="BodyText"/>
        <w:spacing w:line="360" w:lineRule="auto"/>
        <w:ind w:left="1071" w:right="205"/>
        <w:jc w:val="both"/>
      </w:pPr>
      <w:r>
        <w:rPr/>
        <w:t>指为纠正冠状动脉的狭窄或堵塞，而实际实施的微创冠状动脉旁路移植手术。手术通过微创开胸术（肋骨间小切口）进行，且诊断须由冠状动脉血管造影检查确诊狭窄或堵塞。微创冠状动脉绕道也包括“锁孔”冠脉搭桥手术。必须满足下列全部条件：</w:t>
      </w:r>
    </w:p>
    <w:p>
      <w:pPr>
        <w:pStyle w:val="ListParagraph"/>
        <w:numPr>
          <w:ilvl w:val="2"/>
          <w:numId w:val="20"/>
        </w:numPr>
        <w:tabs>
          <w:tab w:pos="1343" w:val="left" w:leader="none"/>
        </w:tabs>
        <w:spacing w:line="240" w:lineRule="auto" w:before="29" w:after="0"/>
        <w:ind w:left="1342" w:right="0" w:hanging="271"/>
        <w:jc w:val="left"/>
        <w:rPr>
          <w:sz w:val="18"/>
        </w:rPr>
      </w:pPr>
      <w:r>
        <w:rPr>
          <w:spacing w:val="-3"/>
          <w:sz w:val="18"/>
        </w:rPr>
        <w:t>血管造影显示至少两支冠状动脉狭窄超过 </w:t>
      </w:r>
      <w:r>
        <w:rPr>
          <w:rFonts w:ascii="Arial" w:eastAsia="Arial"/>
          <w:sz w:val="18"/>
        </w:rPr>
        <w:t>50%</w:t>
      </w:r>
      <w:r>
        <w:rPr>
          <w:spacing w:val="-5"/>
          <w:sz w:val="18"/>
        </w:rPr>
        <w:t>或一支冠状动脉狭窄超过 </w:t>
      </w:r>
      <w:r>
        <w:rPr>
          <w:rFonts w:ascii="Arial" w:eastAsia="Arial"/>
          <w:sz w:val="18"/>
        </w:rPr>
        <w:t>70%</w:t>
      </w:r>
      <w:r>
        <w:rPr>
          <w:sz w:val="18"/>
        </w:rPr>
        <w:t>；</w:t>
      </w:r>
    </w:p>
    <w:p>
      <w:pPr>
        <w:pStyle w:val="ListParagraph"/>
        <w:numPr>
          <w:ilvl w:val="2"/>
          <w:numId w:val="20"/>
        </w:numPr>
        <w:tabs>
          <w:tab w:pos="1343" w:val="left" w:leader="none"/>
        </w:tabs>
        <w:spacing w:line="240" w:lineRule="auto" w:before="107" w:after="0"/>
        <w:ind w:left="1342" w:right="0" w:hanging="271"/>
        <w:jc w:val="left"/>
        <w:rPr>
          <w:sz w:val="18"/>
        </w:rPr>
      </w:pPr>
      <w:r>
        <w:rPr>
          <w:w w:val="95"/>
          <w:sz w:val="18"/>
        </w:rPr>
        <w:t>手术须由心脏专科医师进行，并确认该手术的必要性。</w:t>
      </w:r>
    </w:p>
    <w:p>
      <w:pPr>
        <w:pStyle w:val="ListParagraph"/>
        <w:numPr>
          <w:ilvl w:val="1"/>
          <w:numId w:val="20"/>
        </w:numPr>
        <w:tabs>
          <w:tab w:pos="1105" w:val="left" w:leader="none"/>
          <w:tab w:pos="1106" w:val="left" w:leader="none"/>
        </w:tabs>
        <w:spacing w:line="240" w:lineRule="auto" w:before="105" w:after="0"/>
        <w:ind w:left="1105" w:right="0" w:hanging="634"/>
        <w:jc w:val="left"/>
        <w:rPr>
          <w:sz w:val="18"/>
        </w:rPr>
      </w:pPr>
      <w:r>
        <w:rPr>
          <w:sz w:val="18"/>
        </w:rPr>
        <w:t>主动脉内手术（非开胸）</w:t>
      </w:r>
    </w:p>
    <w:p>
      <w:pPr>
        <w:pStyle w:val="BodyText"/>
        <w:spacing w:line="360" w:lineRule="auto" w:before="107"/>
        <w:ind w:left="1071" w:right="208"/>
      </w:pPr>
      <w:r>
        <w:rPr/>
        <w:t>指为治疗主动脉疾病，实际实施了经皮经导管进行的主动脉血管内手术。主动脉指胸主动脉和腹主动脉，不包括胸主动脉和腹主动脉的分支血管。</w:t>
      </w:r>
    </w:p>
    <w:p>
      <w:pPr>
        <w:pStyle w:val="ListParagraph"/>
        <w:numPr>
          <w:ilvl w:val="1"/>
          <w:numId w:val="20"/>
        </w:numPr>
        <w:tabs>
          <w:tab w:pos="1105" w:val="left" w:leader="none"/>
          <w:tab w:pos="1106" w:val="left" w:leader="none"/>
        </w:tabs>
        <w:spacing w:line="240" w:lineRule="auto" w:before="29" w:after="0"/>
        <w:ind w:left="1105" w:right="0" w:hanging="634"/>
        <w:jc w:val="left"/>
        <w:rPr>
          <w:sz w:val="18"/>
        </w:rPr>
      </w:pPr>
      <w:r>
        <w:rPr>
          <w:sz w:val="18"/>
        </w:rPr>
        <w:t>冠状动脉介入手术</w:t>
      </w:r>
    </w:p>
    <w:p>
      <w:pPr>
        <w:pStyle w:val="BodyText"/>
        <w:spacing w:line="360" w:lineRule="auto" w:before="103"/>
        <w:ind w:left="1071" w:right="208"/>
      </w:pPr>
      <w:r>
        <w:rPr/>
        <w:t>指为治疗严重的冠状动脉狭窄性疾病，首次实际实施了冠状动脉球囊扩张成形术、冠状动脉支架植入术、冠状动脉粥样斑块切除术或激光冠状动脉成形术。</w:t>
      </w:r>
    </w:p>
    <w:p>
      <w:pPr>
        <w:pStyle w:val="ListParagraph"/>
        <w:numPr>
          <w:ilvl w:val="1"/>
          <w:numId w:val="20"/>
        </w:numPr>
        <w:tabs>
          <w:tab w:pos="1106" w:val="left" w:leader="none"/>
        </w:tabs>
        <w:spacing w:line="240" w:lineRule="auto" w:before="29" w:after="0"/>
        <w:ind w:left="1105" w:right="0" w:hanging="634"/>
        <w:jc w:val="left"/>
        <w:rPr>
          <w:sz w:val="18"/>
        </w:rPr>
      </w:pPr>
      <w:r>
        <w:rPr>
          <w:sz w:val="18"/>
        </w:rPr>
        <w:t>心脏瓣膜介入手术</w:t>
      </w:r>
    </w:p>
    <w:p>
      <w:pPr>
        <w:pStyle w:val="BodyText"/>
        <w:spacing w:line="357" w:lineRule="auto" w:before="107"/>
        <w:ind w:left="1071" w:right="208"/>
      </w:pPr>
      <w:r>
        <w:rPr/>
        <w:t>指为治疗心脏瓣膜疾病，实际实施了非开胸的经胸壁打孔内镜手术或经皮经导管介入手术进行的心脏瓣膜置换或修复手术。</w:t>
      </w:r>
    </w:p>
    <w:p>
      <w:pPr>
        <w:pStyle w:val="ListParagraph"/>
        <w:numPr>
          <w:ilvl w:val="1"/>
          <w:numId w:val="20"/>
        </w:numPr>
        <w:tabs>
          <w:tab w:pos="1106" w:val="left" w:leader="none"/>
        </w:tabs>
        <w:spacing w:line="240" w:lineRule="auto" w:before="32" w:after="0"/>
        <w:ind w:left="1105" w:right="0" w:hanging="634"/>
        <w:jc w:val="left"/>
        <w:rPr>
          <w:sz w:val="18"/>
        </w:rPr>
      </w:pPr>
      <w:r>
        <w:rPr>
          <w:sz w:val="18"/>
        </w:rPr>
        <w:t>Ⅲ度房室传导阻滞-已放置心脏起搏器</w:t>
      </w:r>
    </w:p>
    <w:p>
      <w:pPr>
        <w:pStyle w:val="BodyText"/>
        <w:spacing w:line="360" w:lineRule="auto"/>
        <w:ind w:left="1071" w:right="208"/>
      </w:pPr>
      <w:r>
        <w:rPr/>
        <w:t>指心房激动在房室交界区、房室束及其分支内发生阻滞，不能正常地传到心室的心脏传导性疾病须满足下列所有条件：</w:t>
      </w:r>
    </w:p>
    <w:p>
      <w:pPr>
        <w:pStyle w:val="BodyText"/>
        <w:spacing w:before="26"/>
        <w:ind w:left="1071"/>
      </w:pPr>
      <w:r>
        <w:rPr/>
        <w:t>（</w:t>
      </w:r>
      <w:r>
        <w:rPr>
          <w:rFonts w:ascii="Arial" w:eastAsia="Arial"/>
        </w:rPr>
        <w:t>1</w:t>
      </w:r>
      <w:r>
        <w:rPr/>
        <w:t>）心电图显示房室搏动彼此独立，心室率</w:t>
      </w:r>
      <w:r>
        <w:rPr>
          <w:rFonts w:ascii="Arial" w:eastAsia="Arial"/>
        </w:rPr>
        <w:t>&lt;50 </w:t>
      </w:r>
      <w:r>
        <w:rPr/>
        <w:t>次</w:t>
      </w:r>
      <w:r>
        <w:rPr>
          <w:rFonts w:ascii="Arial" w:eastAsia="Arial"/>
        </w:rPr>
        <w:t>/</w:t>
      </w:r>
      <w:r>
        <w:rPr/>
        <w:t>分钟；</w:t>
      </w:r>
    </w:p>
    <w:p>
      <w:pPr>
        <w:pStyle w:val="BodyText"/>
        <w:ind w:left="1071"/>
      </w:pPr>
      <w:r>
        <w:rPr/>
        <w:t>（</w:t>
      </w:r>
      <w:r>
        <w:rPr>
          <w:rFonts w:ascii="Arial" w:eastAsia="Arial"/>
        </w:rPr>
        <w:t>2</w:t>
      </w:r>
      <w:r>
        <w:rPr/>
        <w:t>）出现阿</w:t>
      </w:r>
      <w:r>
        <w:rPr>
          <w:rFonts w:ascii="Arial" w:eastAsia="Arial"/>
        </w:rPr>
        <w:t>-</w:t>
      </w:r>
      <w:r>
        <w:rPr/>
        <w:t>斯综合征或心力衰竭的表现；</w:t>
      </w:r>
    </w:p>
    <w:p>
      <w:pPr>
        <w:pStyle w:val="BodyText"/>
        <w:ind w:left="1071"/>
      </w:pPr>
      <w:r>
        <w:rPr/>
        <w:t>（</w:t>
      </w:r>
      <w:r>
        <w:rPr>
          <w:rFonts w:ascii="Arial" w:eastAsia="Arial"/>
        </w:rPr>
        <w:t>3</w:t>
      </w:r>
      <w:r>
        <w:rPr/>
        <w:t>）必须持续性依赖心脏起搏器维持心脏正常功能，且已经放置心脏起搏器。</w:t>
      </w:r>
    </w:p>
    <w:p>
      <w:pPr>
        <w:pStyle w:val="ListParagraph"/>
        <w:numPr>
          <w:ilvl w:val="1"/>
          <w:numId w:val="20"/>
        </w:numPr>
        <w:tabs>
          <w:tab w:pos="1106" w:val="left" w:leader="none"/>
        </w:tabs>
        <w:spacing w:line="240" w:lineRule="auto" w:before="106" w:after="0"/>
        <w:ind w:left="1105" w:right="0" w:hanging="634"/>
        <w:jc w:val="left"/>
        <w:rPr>
          <w:sz w:val="18"/>
        </w:rPr>
      </w:pPr>
      <w:r>
        <w:rPr>
          <w:sz w:val="18"/>
        </w:rPr>
        <w:t>于颈动脉进行血管成形术或内膜切除术</w:t>
      </w:r>
    </w:p>
    <w:p>
      <w:pPr>
        <w:pStyle w:val="BodyText"/>
        <w:spacing w:line="340" w:lineRule="auto" w:before="104"/>
        <w:ind w:left="1071" w:right="199"/>
      </w:pPr>
      <w:r>
        <w:rPr/>
        <w:t>指根据颈动脉造影检查结果，确诊一条或以上颈动脉存在严重狭窄性病变（至少一支血管管腔直径减少 </w:t>
      </w:r>
      <w:r>
        <w:rPr>
          <w:rFonts w:ascii="Arial" w:eastAsia="Arial"/>
        </w:rPr>
        <w:t>50</w:t>
      </w:r>
      <w:r>
        <w:rPr/>
        <w:t>％以上）。本病须经国家机关认可的有合法资质的专科医生明确诊断，同时必须已经采取以下手术以减轻症状：</w:t>
      </w:r>
    </w:p>
    <w:p>
      <w:pPr>
        <w:pStyle w:val="ListParagraph"/>
        <w:numPr>
          <w:ilvl w:val="2"/>
          <w:numId w:val="20"/>
        </w:numPr>
        <w:tabs>
          <w:tab w:pos="1343" w:val="left" w:leader="none"/>
        </w:tabs>
        <w:spacing w:line="240" w:lineRule="auto" w:before="44" w:after="0"/>
        <w:ind w:left="1342" w:right="0" w:hanging="271"/>
        <w:jc w:val="left"/>
        <w:rPr>
          <w:sz w:val="18"/>
        </w:rPr>
      </w:pPr>
      <w:r>
        <w:rPr>
          <w:w w:val="95"/>
          <w:sz w:val="18"/>
        </w:rPr>
        <w:t>确实进行动脉内膜切除术；或</w:t>
      </w:r>
    </w:p>
    <w:p>
      <w:pPr>
        <w:pStyle w:val="ListParagraph"/>
        <w:numPr>
          <w:ilvl w:val="2"/>
          <w:numId w:val="20"/>
        </w:numPr>
        <w:tabs>
          <w:tab w:pos="1343" w:val="left" w:leader="none"/>
        </w:tabs>
        <w:spacing w:line="240" w:lineRule="auto" w:before="107" w:after="0"/>
        <w:ind w:left="1342" w:right="0" w:hanging="271"/>
        <w:jc w:val="left"/>
        <w:rPr>
          <w:sz w:val="18"/>
        </w:rPr>
      </w:pPr>
      <w:r>
        <w:rPr>
          <w:w w:val="95"/>
          <w:sz w:val="18"/>
        </w:rPr>
        <w:t>确实进行血管介入治疗，例如血管成形术及／或进行植入支架或动脉粥样瘤清除手术；</w:t>
      </w:r>
    </w:p>
    <w:p>
      <w:pPr>
        <w:pStyle w:val="ListParagraph"/>
        <w:numPr>
          <w:ilvl w:val="1"/>
          <w:numId w:val="20"/>
        </w:numPr>
        <w:tabs>
          <w:tab w:pos="1106" w:val="left" w:leader="none"/>
        </w:tabs>
        <w:spacing w:line="240" w:lineRule="auto" w:before="104" w:after="0"/>
        <w:ind w:left="1105" w:right="0" w:hanging="634"/>
        <w:jc w:val="left"/>
        <w:rPr>
          <w:sz w:val="18"/>
        </w:rPr>
      </w:pPr>
      <w:r>
        <w:rPr>
          <w:sz w:val="18"/>
        </w:rPr>
        <w:t>心包膜切除术</w:t>
      </w:r>
    </w:p>
    <w:p>
      <w:pPr>
        <w:spacing w:after="0" w:line="240" w:lineRule="auto"/>
        <w:jc w:val="left"/>
        <w:rPr>
          <w:sz w:val="18"/>
        </w:rPr>
        <w:sectPr>
          <w:pgSz w:w="11910" w:h="16840"/>
          <w:pgMar w:header="672" w:footer="766" w:top="860" w:bottom="960" w:left="880" w:right="740"/>
        </w:sectPr>
      </w:pPr>
    </w:p>
    <w:p>
      <w:pPr>
        <w:pStyle w:val="BodyText"/>
        <w:spacing w:before="7"/>
        <w:ind w:left="0"/>
        <w:rPr>
          <w:sz w:val="14"/>
        </w:rPr>
      </w:pPr>
    </w:p>
    <w:p>
      <w:pPr>
        <w:pStyle w:val="BodyText"/>
        <w:spacing w:line="360" w:lineRule="auto" w:before="45"/>
        <w:ind w:left="1071" w:right="207"/>
      </w:pPr>
      <w:r>
        <w:rPr/>
        <w:t>因心包膜疾病导致已接受心包膜切除术或已进行任何需要心脏小切口技术的手术。手术必须在心脏科医生认为是医学上必需的情况下进行。</w:t>
      </w:r>
    </w:p>
    <w:p>
      <w:pPr>
        <w:pStyle w:val="ListParagraph"/>
        <w:numPr>
          <w:ilvl w:val="1"/>
          <w:numId w:val="20"/>
        </w:numPr>
        <w:tabs>
          <w:tab w:pos="1106" w:val="left" w:leader="none"/>
        </w:tabs>
        <w:spacing w:line="240" w:lineRule="auto" w:before="27" w:after="0"/>
        <w:ind w:left="1105" w:right="0" w:hanging="634"/>
        <w:jc w:val="left"/>
        <w:rPr>
          <w:sz w:val="18"/>
        </w:rPr>
      </w:pPr>
      <w:r>
        <w:rPr>
          <w:sz w:val="18"/>
        </w:rPr>
        <w:t>脑炎或脑膜炎</w:t>
      </w:r>
    </w:p>
    <w:p>
      <w:pPr>
        <w:pStyle w:val="BodyText"/>
        <w:ind w:left="1071"/>
      </w:pPr>
      <w:r>
        <w:rPr/>
        <w:t>因感染脑炎或脑膜炎住院至少 </w:t>
      </w:r>
      <w:r>
        <w:rPr>
          <w:rFonts w:ascii="Arial" w:eastAsia="Arial"/>
        </w:rPr>
        <w:t>3 </w:t>
      </w:r>
      <w:r>
        <w:rPr/>
        <w:t>个月。诊断必须由专科医生证实。</w:t>
      </w:r>
    </w:p>
    <w:p>
      <w:pPr>
        <w:pStyle w:val="ListParagraph"/>
        <w:numPr>
          <w:ilvl w:val="1"/>
          <w:numId w:val="20"/>
        </w:numPr>
        <w:tabs>
          <w:tab w:pos="1106" w:val="left" w:leader="none"/>
        </w:tabs>
        <w:spacing w:line="240" w:lineRule="auto" w:before="106" w:after="0"/>
        <w:ind w:left="1105" w:right="0" w:hanging="634"/>
        <w:jc w:val="left"/>
        <w:rPr>
          <w:sz w:val="18"/>
        </w:rPr>
      </w:pPr>
      <w:r>
        <w:rPr>
          <w:sz w:val="18"/>
        </w:rPr>
        <w:t>硬脑膜下血肿手术</w:t>
      </w:r>
    </w:p>
    <w:p>
      <w:pPr>
        <w:pStyle w:val="BodyText"/>
        <w:spacing w:line="360" w:lineRule="auto"/>
        <w:ind w:left="1071" w:right="208"/>
      </w:pPr>
      <w:r>
        <w:rPr/>
        <w:t>为清除或引流因意外导致的血肿，需于头部进行开颅或钻孔手术。开颅或钻孔手术必须由专科医生认为是医学上必需的情况下进行。</w:t>
      </w:r>
    </w:p>
    <w:p>
      <w:pPr>
        <w:pStyle w:val="ListParagraph"/>
        <w:numPr>
          <w:ilvl w:val="1"/>
          <w:numId w:val="20"/>
        </w:numPr>
        <w:tabs>
          <w:tab w:pos="1106" w:val="left" w:leader="none"/>
        </w:tabs>
        <w:spacing w:line="240" w:lineRule="auto" w:before="26" w:after="0"/>
        <w:ind w:left="1105" w:right="0" w:hanging="634"/>
        <w:jc w:val="left"/>
        <w:rPr>
          <w:sz w:val="18"/>
        </w:rPr>
      </w:pPr>
      <w:r>
        <w:rPr>
          <w:sz w:val="18"/>
        </w:rPr>
        <w:t>严重阻塞性睡眠窒息症</w:t>
      </w:r>
    </w:p>
    <w:p>
      <w:pPr>
        <w:pStyle w:val="BodyText"/>
        <w:spacing w:line="340" w:lineRule="auto"/>
        <w:ind w:left="1071" w:right="204"/>
      </w:pPr>
      <w:r>
        <w:rPr/>
        <w:t>须由相关医学范畴的注册专科医生，经多导睡眠监测仪检查明确诊断为严重阻塞性睡眠呼吸暂停综合征</w:t>
      </w:r>
      <w:r>
        <w:rPr>
          <w:rFonts w:ascii="Arial" w:eastAsia="Arial"/>
        </w:rPr>
        <w:t>(OSA)</w:t>
      </w:r>
      <w:r>
        <w:rPr/>
        <w:t>，并必须符合以下两项条件：</w:t>
      </w:r>
    </w:p>
    <w:p>
      <w:pPr>
        <w:pStyle w:val="BodyText"/>
        <w:spacing w:before="41"/>
        <w:ind w:left="1071"/>
      </w:pPr>
      <w:r>
        <w:rPr>
          <w:rFonts w:ascii="Arial" w:eastAsia="Arial"/>
        </w:rPr>
        <w:t>(a)</w:t>
      </w:r>
      <w:r>
        <w:rPr/>
        <w:t>受保人必须现正接受持续气道正压呼吸器</w:t>
      </w:r>
      <w:r>
        <w:rPr>
          <w:rFonts w:ascii="Arial" w:eastAsia="Arial"/>
        </w:rPr>
        <w:t>(CPAP)</w:t>
      </w:r>
      <w:r>
        <w:rPr/>
        <w:t>之夜间治疗；及</w:t>
      </w:r>
    </w:p>
    <w:p>
      <w:pPr>
        <w:pStyle w:val="BodyText"/>
        <w:spacing w:before="107"/>
        <w:ind w:left="1071"/>
      </w:pPr>
      <w:r>
        <w:rPr>
          <w:rFonts w:ascii="Arial" w:eastAsia="Arial"/>
        </w:rPr>
        <w:t>(b)</w:t>
      </w:r>
      <w:r>
        <w:rPr/>
        <w:t>必须提供睡眠测试的文件证明，显示 </w:t>
      </w:r>
      <w:r>
        <w:rPr>
          <w:rFonts w:ascii="Arial" w:eastAsia="Arial"/>
        </w:rPr>
        <w:t>AHI &gt; 30 </w:t>
      </w:r>
      <w:r>
        <w:rPr/>
        <w:t>及夜间血氧饱和平均值</w:t>
      </w:r>
      <w:r>
        <w:rPr>
          <w:rFonts w:ascii="Arial" w:eastAsia="Arial"/>
        </w:rPr>
        <w:t>&lt; 85 </w:t>
      </w:r>
      <w:r>
        <w:rPr/>
        <w:t>。</w:t>
      </w:r>
    </w:p>
    <w:p>
      <w:pPr>
        <w:pStyle w:val="ListParagraph"/>
        <w:numPr>
          <w:ilvl w:val="1"/>
          <w:numId w:val="20"/>
        </w:numPr>
        <w:tabs>
          <w:tab w:pos="1106" w:val="left" w:leader="none"/>
        </w:tabs>
        <w:spacing w:line="240" w:lineRule="auto" w:before="107" w:after="0"/>
        <w:ind w:left="1105" w:right="0" w:hanging="634"/>
        <w:jc w:val="left"/>
        <w:rPr>
          <w:sz w:val="18"/>
        </w:rPr>
      </w:pPr>
      <w:r>
        <w:rPr>
          <w:sz w:val="18"/>
        </w:rPr>
        <w:t>较小面积Ⅲ度烧伤</w:t>
      </w:r>
    </w:p>
    <w:p>
      <w:pPr>
        <w:pStyle w:val="BodyText"/>
        <w:spacing w:line="340" w:lineRule="auto" w:before="107"/>
        <w:ind w:left="1071" w:right="201"/>
      </w:pPr>
      <w:r>
        <w:rPr>
          <w:spacing w:val="-2"/>
        </w:rPr>
        <w:t>指烧伤程度为Ⅲ度，且Ⅲ度烧伤的面积为全身体表面积的 </w:t>
      </w:r>
      <w:r>
        <w:rPr>
          <w:rFonts w:ascii="Arial" w:hAnsi="Arial" w:eastAsia="Arial"/>
        </w:rPr>
        <w:t>10</w:t>
      </w:r>
      <w:r>
        <w:rPr>
          <w:spacing w:val="-12"/>
        </w:rPr>
        <w:t>％或 </w:t>
      </w:r>
      <w:r>
        <w:rPr>
          <w:rFonts w:ascii="Arial" w:hAnsi="Arial" w:eastAsia="Arial"/>
        </w:rPr>
        <w:t>10%</w:t>
      </w:r>
      <w:r>
        <w:rPr>
          <w:spacing w:val="-5"/>
        </w:rPr>
        <w:t>以上，但尚未达到 </w:t>
      </w:r>
      <w:r>
        <w:rPr>
          <w:rFonts w:ascii="Arial" w:hAnsi="Arial" w:eastAsia="Arial"/>
        </w:rPr>
        <w:t>20%</w:t>
      </w:r>
      <w:r>
        <w:rPr/>
        <w:t>。体表面积根据《中国新九分法》计算。</w:t>
      </w:r>
    </w:p>
    <w:p>
      <w:pPr>
        <w:pStyle w:val="ListParagraph"/>
        <w:numPr>
          <w:ilvl w:val="1"/>
          <w:numId w:val="20"/>
        </w:numPr>
        <w:tabs>
          <w:tab w:pos="1106" w:val="left" w:leader="none"/>
        </w:tabs>
        <w:spacing w:line="240" w:lineRule="auto" w:before="41" w:after="0"/>
        <w:ind w:left="1105" w:right="0" w:hanging="634"/>
        <w:jc w:val="left"/>
        <w:rPr>
          <w:sz w:val="18"/>
        </w:rPr>
      </w:pPr>
      <w:r>
        <w:rPr>
          <w:sz w:val="18"/>
        </w:rPr>
        <w:t>因意外毁容而施行的面部整形手术</w:t>
      </w:r>
    </w:p>
    <w:p>
      <w:pPr>
        <w:pStyle w:val="BodyText"/>
        <w:spacing w:line="360" w:lineRule="auto"/>
        <w:ind w:left="1071" w:right="208"/>
      </w:pPr>
      <w:r>
        <w:rPr/>
        <w:t>指为修复意外伤害或暴力袭击造成的面部毁损，实际接受了在全身麻醉的情況下，由整形外科医生实施的对严重缺陷、缺失、损害或变形的面部形态和结构进行修复或重建的面部整形手术。</w:t>
      </w:r>
    </w:p>
    <w:p>
      <w:pPr>
        <w:spacing w:line="338" w:lineRule="auto" w:before="29"/>
        <w:ind w:left="1071" w:right="199" w:firstLine="0"/>
        <w:jc w:val="left"/>
        <w:rPr>
          <w:b/>
          <w:sz w:val="18"/>
        </w:rPr>
      </w:pPr>
      <w:r>
        <w:rPr>
          <w:sz w:val="18"/>
        </w:rPr>
        <w:t>面部整形手术必须在意外伤害后的 </w:t>
      </w:r>
      <w:r>
        <w:rPr>
          <w:rFonts w:ascii="Arial" w:eastAsia="Arial"/>
          <w:sz w:val="18"/>
        </w:rPr>
        <w:t>180 </w:t>
      </w:r>
      <w:r>
        <w:rPr>
          <w:sz w:val="18"/>
        </w:rPr>
        <w:t>天内实施。</w:t>
      </w:r>
      <w:r>
        <w:rPr>
          <w:b/>
          <w:sz w:val="18"/>
        </w:rPr>
        <w:t>因面部外伤后遗留的线条状瘢痕及色素沉着而施行的手术不在</w:t>
      </w:r>
      <w:r>
        <w:rPr>
          <w:b/>
          <w:w w:val="95"/>
          <w:sz w:val="18"/>
        </w:rPr>
        <w:t>保障范围内。</w:t>
      </w:r>
    </w:p>
    <w:p>
      <w:pPr>
        <w:pStyle w:val="BodyText"/>
        <w:spacing w:before="45"/>
        <w:ind w:left="1071"/>
      </w:pPr>
      <w:r>
        <w:rPr/>
        <w:t>意外伤害必须满足下列全部条件：</w:t>
      </w:r>
    </w:p>
    <w:p>
      <w:pPr>
        <w:pStyle w:val="BodyText"/>
        <w:spacing w:before="119"/>
        <w:ind w:left="1071"/>
      </w:pPr>
      <w:r>
        <w:rPr/>
        <w:t>（</w:t>
      </w:r>
      <w:r>
        <w:rPr>
          <w:rFonts w:ascii="Arial" w:eastAsia="Arial"/>
        </w:rPr>
        <w:t>1</w:t>
      </w:r>
      <w:r>
        <w:rPr/>
        <w:t>）由外在暴力引起并且造成表面可视性伤口和面部骨结构损害的，或面部皮肤三度或全层意外烧伤；</w:t>
      </w:r>
    </w:p>
    <w:p>
      <w:pPr>
        <w:pStyle w:val="BodyText"/>
        <w:ind w:left="1071"/>
      </w:pPr>
      <w:r>
        <w:rPr/>
        <w:t>（</w:t>
      </w:r>
      <w:r>
        <w:rPr>
          <w:rFonts w:ascii="Arial" w:eastAsia="Arial"/>
        </w:rPr>
        <w:t>2</w:t>
      </w:r>
      <w:r>
        <w:rPr/>
        <w:t>）是造成面部毁损的直接和独立的原因。</w:t>
      </w:r>
    </w:p>
    <w:p>
      <w:pPr>
        <w:pStyle w:val="ListParagraph"/>
        <w:numPr>
          <w:ilvl w:val="1"/>
          <w:numId w:val="20"/>
        </w:numPr>
        <w:tabs>
          <w:tab w:pos="1106" w:val="left" w:leader="none"/>
        </w:tabs>
        <w:spacing w:line="240" w:lineRule="auto" w:before="103" w:after="0"/>
        <w:ind w:left="1105" w:right="0" w:hanging="634"/>
        <w:jc w:val="left"/>
        <w:rPr>
          <w:sz w:val="18"/>
        </w:rPr>
      </w:pPr>
      <w:r>
        <w:rPr>
          <w:sz w:val="18"/>
        </w:rPr>
        <w:t>角膜移植</w:t>
      </w:r>
    </w:p>
    <w:p>
      <w:pPr>
        <w:pStyle w:val="BodyText"/>
        <w:spacing w:line="360" w:lineRule="auto"/>
        <w:ind w:left="1071" w:right="208"/>
      </w:pPr>
      <w:r>
        <w:rPr/>
        <w:t>指为增进视力或治疗某些角膜疾患，已经实施了异体的角膜移植手术。此手术必须由专科医生认为是医学上必需的情况下进行。</w:t>
      </w:r>
    </w:p>
    <w:p>
      <w:pPr>
        <w:pStyle w:val="ListParagraph"/>
        <w:numPr>
          <w:ilvl w:val="1"/>
          <w:numId w:val="20"/>
        </w:numPr>
        <w:tabs>
          <w:tab w:pos="1106" w:val="left" w:leader="none"/>
        </w:tabs>
        <w:spacing w:line="240" w:lineRule="auto" w:before="29" w:after="0"/>
        <w:ind w:left="1105" w:right="0" w:hanging="634"/>
        <w:jc w:val="left"/>
        <w:rPr>
          <w:sz w:val="18"/>
        </w:rPr>
      </w:pPr>
      <w:r>
        <w:rPr>
          <w:sz w:val="18"/>
        </w:rPr>
        <w:t>人工耳蜗手术</w:t>
      </w:r>
    </w:p>
    <w:p>
      <w:pPr>
        <w:pStyle w:val="BodyText"/>
        <w:spacing w:line="360" w:lineRule="auto" w:before="104"/>
        <w:ind w:left="1071" w:right="208"/>
      </w:pPr>
      <w:r>
        <w:rPr/>
        <w:t>指由于耳蜗的永久损害而实际实施了人工耳蜗植入手术。需经专科医师确认手术在医学上是必要的，且在植入手术之前已经符合下列全部条件：</w:t>
      </w:r>
    </w:p>
    <w:p>
      <w:pPr>
        <w:pStyle w:val="ListParagraph"/>
        <w:numPr>
          <w:ilvl w:val="2"/>
          <w:numId w:val="20"/>
        </w:numPr>
        <w:tabs>
          <w:tab w:pos="1343" w:val="left" w:leader="none"/>
        </w:tabs>
        <w:spacing w:line="240" w:lineRule="auto" w:before="30" w:after="0"/>
        <w:ind w:left="1342" w:right="0" w:hanging="271"/>
        <w:jc w:val="left"/>
        <w:rPr>
          <w:sz w:val="18"/>
        </w:rPr>
      </w:pPr>
      <w:r>
        <w:rPr>
          <w:spacing w:val="-10"/>
          <w:sz w:val="18"/>
        </w:rPr>
        <w:t>双耳持续 </w:t>
      </w:r>
      <w:r>
        <w:rPr>
          <w:rFonts w:ascii="Arial" w:eastAsia="Arial"/>
          <w:sz w:val="18"/>
        </w:rPr>
        <w:t>12</w:t>
      </w:r>
      <w:r>
        <w:rPr>
          <w:rFonts w:ascii="Arial" w:eastAsia="Arial"/>
          <w:spacing w:val="-10"/>
          <w:sz w:val="18"/>
        </w:rPr>
        <w:t> </w:t>
      </w:r>
      <w:r>
        <w:rPr>
          <w:spacing w:val="-1"/>
          <w:sz w:val="18"/>
        </w:rPr>
        <w:t>个月以上重度感音神经性耳聋；</w:t>
      </w:r>
    </w:p>
    <w:p>
      <w:pPr>
        <w:pStyle w:val="ListParagraph"/>
        <w:numPr>
          <w:ilvl w:val="2"/>
          <w:numId w:val="20"/>
        </w:numPr>
        <w:tabs>
          <w:tab w:pos="1343" w:val="left" w:leader="none"/>
        </w:tabs>
        <w:spacing w:line="240" w:lineRule="auto" w:before="106" w:after="0"/>
        <w:ind w:left="1342" w:right="0" w:hanging="271"/>
        <w:jc w:val="left"/>
        <w:rPr>
          <w:sz w:val="18"/>
        </w:rPr>
      </w:pPr>
      <w:r>
        <w:rPr>
          <w:w w:val="95"/>
          <w:sz w:val="18"/>
        </w:rPr>
        <w:t>使用相应的听力辅助设备效果不佳。</w:t>
      </w:r>
    </w:p>
    <w:p>
      <w:pPr>
        <w:pStyle w:val="Heading2"/>
        <w:tabs>
          <w:tab w:pos="1911" w:val="left" w:leader="none"/>
        </w:tabs>
        <w:spacing w:before="102"/>
        <w:ind w:left="471"/>
      </w:pPr>
      <w:bookmarkStart w:name="_bookmark15" w:id="16"/>
      <w:bookmarkEnd w:id="16"/>
      <w:r>
        <w:rPr/>
      </w:r>
      <w:r>
        <w:rPr/>
        <w:t>第十</w:t>
      </w:r>
      <w:r>
        <w:rPr>
          <w:spacing w:val="-3"/>
        </w:rPr>
        <w:t>六</w:t>
      </w:r>
      <w:r>
        <w:rPr/>
        <w:t>条</w:t>
        <w:tab/>
        <w:t>释义</w:t>
      </w:r>
    </w:p>
    <w:p>
      <w:pPr>
        <w:pStyle w:val="ListParagraph"/>
        <w:numPr>
          <w:ilvl w:val="1"/>
          <w:numId w:val="21"/>
        </w:numPr>
        <w:tabs>
          <w:tab w:pos="1105" w:val="left" w:leader="none"/>
          <w:tab w:pos="1106" w:val="left" w:leader="none"/>
        </w:tabs>
        <w:spacing w:line="240" w:lineRule="auto" w:before="141" w:after="0"/>
        <w:ind w:left="1105" w:right="0" w:hanging="567"/>
        <w:jc w:val="left"/>
        <w:rPr>
          <w:sz w:val="18"/>
        </w:rPr>
      </w:pPr>
      <w:r>
        <w:rPr>
          <w:spacing w:val="-3"/>
          <w:sz w:val="18"/>
        </w:rPr>
        <w:t>等待期：本附加合同生效日起或每一次复效日起 </w:t>
      </w:r>
      <w:r>
        <w:rPr>
          <w:rFonts w:ascii="Arial" w:eastAsia="Arial"/>
          <w:sz w:val="18"/>
        </w:rPr>
        <w:t>180</w:t>
      </w:r>
      <w:r>
        <w:rPr>
          <w:rFonts w:ascii="Arial" w:eastAsia="Arial"/>
          <w:spacing w:val="-10"/>
          <w:sz w:val="18"/>
        </w:rPr>
        <w:t> </w:t>
      </w:r>
      <w:r>
        <w:rPr>
          <w:sz w:val="18"/>
        </w:rPr>
        <w:t>日内</w:t>
      </w:r>
      <w:r>
        <w:rPr>
          <w:spacing w:val="-3"/>
          <w:sz w:val="18"/>
        </w:rPr>
        <w:t>（</w:t>
      </w:r>
      <w:r>
        <w:rPr>
          <w:spacing w:val="-16"/>
          <w:sz w:val="18"/>
        </w:rPr>
        <w:t>含第 </w:t>
      </w:r>
      <w:r>
        <w:rPr>
          <w:rFonts w:ascii="Arial" w:eastAsia="Arial"/>
          <w:sz w:val="18"/>
        </w:rPr>
        <w:t>180</w:t>
      </w:r>
      <w:r>
        <w:rPr>
          <w:rFonts w:ascii="Arial" w:eastAsia="Arial"/>
          <w:spacing w:val="-10"/>
          <w:sz w:val="18"/>
        </w:rPr>
        <w:t> </w:t>
      </w:r>
      <w:r>
        <w:rPr>
          <w:sz w:val="18"/>
        </w:rPr>
        <w:t>日）为等待期。</w:t>
      </w:r>
    </w:p>
    <w:p>
      <w:pPr>
        <w:pStyle w:val="ListParagraph"/>
        <w:numPr>
          <w:ilvl w:val="1"/>
          <w:numId w:val="21"/>
        </w:numPr>
        <w:tabs>
          <w:tab w:pos="1105" w:val="left" w:leader="none"/>
          <w:tab w:pos="1106" w:val="left" w:leader="none"/>
        </w:tabs>
        <w:spacing w:line="340" w:lineRule="auto" w:before="106" w:after="0"/>
        <w:ind w:left="1105" w:right="361" w:hanging="567"/>
        <w:jc w:val="left"/>
        <w:rPr>
          <w:sz w:val="18"/>
        </w:rPr>
      </w:pPr>
      <w:r>
        <w:rPr>
          <w:sz w:val="18"/>
        </w:rPr>
        <w:t>首次发病：指被保险人自出生之日起第一次出现疾病的前兆，或异常的身体状况，或异常的检查结果，或已经显现足以促使一般普通谨慎人士引起注意并寻求诊断、治疗或护理的病症。</w:t>
      </w:r>
    </w:p>
    <w:p>
      <w:pPr>
        <w:pStyle w:val="ListParagraph"/>
        <w:numPr>
          <w:ilvl w:val="1"/>
          <w:numId w:val="21"/>
        </w:numPr>
        <w:tabs>
          <w:tab w:pos="1105" w:val="left" w:leader="none"/>
          <w:tab w:pos="1106" w:val="left" w:leader="none"/>
        </w:tabs>
        <w:spacing w:line="240" w:lineRule="auto" w:before="41" w:after="0"/>
        <w:ind w:left="1105" w:right="0" w:hanging="567"/>
        <w:jc w:val="left"/>
        <w:rPr>
          <w:sz w:val="18"/>
        </w:rPr>
      </w:pPr>
      <w:r>
        <w:rPr>
          <w:sz w:val="18"/>
        </w:rPr>
        <w:t>专科医生：专科医生应当同时满足以下四项资格条件：</w:t>
      </w:r>
    </w:p>
    <w:p>
      <w:pPr>
        <w:pStyle w:val="ListParagraph"/>
        <w:numPr>
          <w:ilvl w:val="2"/>
          <w:numId w:val="21"/>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具有有效的中华人民共和国《医师资格证书》；</w:t>
      </w:r>
    </w:p>
    <w:p>
      <w:pPr>
        <w:pStyle w:val="ListParagraph"/>
        <w:numPr>
          <w:ilvl w:val="2"/>
          <w:numId w:val="21"/>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具有有效的中华人民共和国《医师执业证书》，并按期到相关部门登记注册；</w:t>
      </w:r>
    </w:p>
    <w:p>
      <w:pPr>
        <w:pStyle w:val="ListParagraph"/>
        <w:numPr>
          <w:ilvl w:val="2"/>
          <w:numId w:val="21"/>
        </w:numPr>
        <w:tabs>
          <w:tab w:pos="1671" w:val="left" w:leader="none"/>
          <w:tab w:pos="1672" w:val="left" w:leader="none"/>
        </w:tabs>
        <w:spacing w:line="240" w:lineRule="auto" w:before="107" w:after="0"/>
        <w:ind w:left="1671" w:right="0" w:hanging="530"/>
        <w:jc w:val="left"/>
        <w:rPr>
          <w:sz w:val="18"/>
        </w:rPr>
      </w:pPr>
      <w:r>
        <w:rPr>
          <w:sz w:val="18"/>
        </w:rPr>
        <w:t>具有有效的中华人民共和国主治医师或主治医师以上职称的《医师职称证书》；</w:t>
      </w:r>
    </w:p>
    <w:p>
      <w:pPr>
        <w:pStyle w:val="ListParagraph"/>
        <w:numPr>
          <w:ilvl w:val="2"/>
          <w:numId w:val="21"/>
        </w:numPr>
        <w:tabs>
          <w:tab w:pos="1671" w:val="left" w:leader="none"/>
          <w:tab w:pos="1672" w:val="left" w:leader="none"/>
        </w:tabs>
        <w:spacing w:line="240" w:lineRule="auto" w:before="104" w:after="0"/>
        <w:ind w:left="1671" w:right="0" w:hanging="530"/>
        <w:jc w:val="left"/>
        <w:rPr>
          <w:sz w:val="18"/>
        </w:rPr>
      </w:pPr>
      <w:r>
        <w:rPr>
          <w:w w:val="95"/>
          <w:sz w:val="18"/>
        </w:rPr>
        <w:t>在二级或二级以上医院的相应科室从事临床工作三年以上。</w:t>
      </w:r>
    </w:p>
    <w:p>
      <w:pPr>
        <w:spacing w:after="0" w:line="240" w:lineRule="auto"/>
        <w:jc w:val="left"/>
        <w:rPr>
          <w:sz w:val="18"/>
        </w:rPr>
        <w:sectPr>
          <w:pgSz w:w="11910" w:h="16840"/>
          <w:pgMar w:header="672" w:footer="766" w:top="860" w:bottom="960" w:left="880" w:right="740"/>
        </w:sectPr>
      </w:pPr>
    </w:p>
    <w:p>
      <w:pPr>
        <w:pStyle w:val="BodyText"/>
        <w:spacing w:before="12"/>
        <w:ind w:left="0"/>
        <w:rPr>
          <w:sz w:val="13"/>
        </w:rPr>
      </w:pPr>
    </w:p>
    <w:p>
      <w:pPr>
        <w:pStyle w:val="ListParagraph"/>
        <w:numPr>
          <w:ilvl w:val="1"/>
          <w:numId w:val="21"/>
        </w:numPr>
        <w:tabs>
          <w:tab w:pos="1105" w:val="left" w:leader="none"/>
          <w:tab w:pos="1106" w:val="left" w:leader="none"/>
        </w:tabs>
        <w:spacing w:line="240" w:lineRule="auto" w:before="53" w:after="0"/>
        <w:ind w:left="1105" w:right="0" w:hanging="567"/>
        <w:jc w:val="left"/>
        <w:rPr>
          <w:sz w:val="18"/>
        </w:rPr>
      </w:pPr>
      <w:r>
        <w:rPr>
          <w:sz w:val="18"/>
        </w:rPr>
        <w:t>重大疾病：指本附加合同第十三条所约定的疾病、疾病状态或手术。</w:t>
      </w:r>
    </w:p>
    <w:p>
      <w:pPr>
        <w:pStyle w:val="ListParagraph"/>
        <w:numPr>
          <w:ilvl w:val="1"/>
          <w:numId w:val="21"/>
        </w:numPr>
        <w:tabs>
          <w:tab w:pos="1105" w:val="left" w:leader="none"/>
          <w:tab w:pos="1106" w:val="left" w:leader="none"/>
        </w:tabs>
        <w:spacing w:line="240" w:lineRule="auto" w:before="107" w:after="0"/>
        <w:ind w:left="1105" w:right="0" w:hanging="567"/>
        <w:jc w:val="left"/>
        <w:rPr>
          <w:sz w:val="18"/>
        </w:rPr>
      </w:pPr>
      <w:r>
        <w:rPr>
          <w:spacing w:val="-1"/>
          <w:sz w:val="18"/>
        </w:rPr>
        <w:t>中症疾病：指本附加合同第十四条所约定的疾病、疾病状态或手术。</w:t>
      </w:r>
    </w:p>
    <w:p>
      <w:pPr>
        <w:pStyle w:val="ListParagraph"/>
        <w:numPr>
          <w:ilvl w:val="1"/>
          <w:numId w:val="21"/>
        </w:numPr>
        <w:tabs>
          <w:tab w:pos="1105" w:val="left" w:leader="none"/>
          <w:tab w:pos="1106" w:val="left" w:leader="none"/>
        </w:tabs>
        <w:spacing w:line="240" w:lineRule="auto" w:before="106" w:after="0"/>
        <w:ind w:left="1105" w:right="0" w:hanging="567"/>
        <w:jc w:val="left"/>
        <w:rPr>
          <w:sz w:val="18"/>
        </w:rPr>
      </w:pPr>
      <w:r>
        <w:rPr>
          <w:sz w:val="18"/>
        </w:rPr>
        <w:t>轻症疾病：指本附加合同第十五条所约定的疾病、疾病状态或手术。</w:t>
      </w:r>
    </w:p>
    <w:p>
      <w:pPr>
        <w:pStyle w:val="ListParagraph"/>
        <w:numPr>
          <w:ilvl w:val="1"/>
          <w:numId w:val="21"/>
        </w:numPr>
        <w:tabs>
          <w:tab w:pos="1106" w:val="left" w:leader="none"/>
        </w:tabs>
        <w:spacing w:line="348" w:lineRule="auto" w:before="106" w:after="0"/>
        <w:ind w:left="1105" w:right="352" w:hanging="567"/>
        <w:jc w:val="both"/>
        <w:rPr>
          <w:b/>
          <w:sz w:val="18"/>
        </w:rPr>
      </w:pPr>
      <w:r>
        <w:rPr>
          <w:sz w:val="18"/>
        </w:rPr>
        <w:t>意外伤害事故：指遭受外来的、突发的、非本意的、非疾病的使被保险人身体受到伤害的客观事件。</w:t>
      </w:r>
      <w:r>
        <w:rPr>
          <w:b/>
          <w:sz w:val="18"/>
        </w:rPr>
        <w:t>此类意外伤</w:t>
      </w:r>
      <w:r>
        <w:rPr>
          <w:b/>
          <w:w w:val="95"/>
          <w:sz w:val="18"/>
        </w:rPr>
        <w:t>害事故不包括无明确外来意外伤害原因导致的后果，如过敏（见释义）、原发性感染（见释义）、细菌性食物中   毒、猝死（见释义）等。</w:t>
      </w:r>
    </w:p>
    <w:p>
      <w:pPr>
        <w:pStyle w:val="ListParagraph"/>
        <w:numPr>
          <w:ilvl w:val="1"/>
          <w:numId w:val="21"/>
        </w:numPr>
        <w:tabs>
          <w:tab w:pos="1105" w:val="left" w:leader="none"/>
          <w:tab w:pos="1106" w:val="left" w:leader="none"/>
        </w:tabs>
        <w:spacing w:line="343" w:lineRule="auto" w:before="36" w:after="0"/>
        <w:ind w:left="1105" w:right="5849" w:hanging="567"/>
        <w:jc w:val="left"/>
        <w:rPr>
          <w:sz w:val="18"/>
        </w:rPr>
      </w:pPr>
      <w:r>
        <w:rPr>
          <w:sz w:val="18"/>
        </w:rPr>
        <w:t>全残：是指发生下列情况之一或多项者： 一、双目永久完全（</w:t>
      </w:r>
      <w:r>
        <w:rPr>
          <w:spacing w:val="-22"/>
          <w:sz w:val="18"/>
        </w:rPr>
        <w:t>注 </w:t>
      </w:r>
      <w:r>
        <w:rPr>
          <w:sz w:val="18"/>
        </w:rPr>
        <w:t>1）</w:t>
      </w:r>
      <w:r>
        <w:rPr>
          <w:spacing w:val="-2"/>
          <w:sz w:val="18"/>
        </w:rPr>
        <w:t>失明的</w:t>
      </w:r>
      <w:r>
        <w:rPr>
          <w:sz w:val="18"/>
        </w:rPr>
        <w:t>（</w:t>
      </w:r>
      <w:r>
        <w:rPr>
          <w:spacing w:val="-23"/>
          <w:sz w:val="18"/>
        </w:rPr>
        <w:t>注 </w:t>
      </w:r>
      <w:r>
        <w:rPr>
          <w:sz w:val="18"/>
        </w:rPr>
        <w:t>2）</w:t>
      </w:r>
    </w:p>
    <w:p>
      <w:pPr>
        <w:pStyle w:val="BodyText"/>
        <w:spacing w:line="362" w:lineRule="auto" w:before="42"/>
        <w:ind w:right="5221"/>
        <w:jc w:val="both"/>
      </w:pPr>
      <w:r>
        <w:rPr/>
        <w:t>二、两上肢腕关节以上或两下肢踝关节以上缺失的三、一上肢腕关节以上及一下肢踝关节以上缺失的四、一目永久完全失明及一上肢腕关节以上缺失的五、一目永久完全失明及一下肢踝关节以上缺失的六、四肢关节机能永久完全丧失的（注 3）</w:t>
      </w:r>
    </w:p>
    <w:p>
      <w:pPr>
        <w:pStyle w:val="BodyText"/>
        <w:spacing w:before="27"/>
      </w:pPr>
      <w:r>
        <w:rPr/>
        <w:t>七、咀嚼、吞咽机能永久完全丧失的（注 4）</w:t>
      </w:r>
    </w:p>
    <w:p>
      <w:pPr>
        <w:pStyle w:val="BodyText"/>
        <w:spacing w:line="360" w:lineRule="auto" w:before="119"/>
        <w:ind w:left="1386" w:right="191" w:hanging="284"/>
      </w:pPr>
      <w:r>
        <w:rPr/>
        <w:t>八、中枢神经系统机能或胸、腹部脏器机能极度障碍，终身不能从事任何工作，为维持生命必要的日常生活活动，全需他人扶助的（注 5）</w:t>
      </w:r>
    </w:p>
    <w:p>
      <w:pPr>
        <w:pStyle w:val="BodyText"/>
        <w:spacing w:before="25"/>
      </w:pPr>
      <w:r>
        <w:rPr/>
        <w:t>注：</w:t>
      </w:r>
    </w:p>
    <w:p>
      <w:pPr>
        <w:pStyle w:val="BodyText"/>
        <w:spacing w:line="360" w:lineRule="auto" w:before="47"/>
        <w:ind w:left="1386" w:right="152" w:hanging="284"/>
      </w:pPr>
      <w:r>
        <w:rPr/>
        <w:t>1、所谓永久完全系指自意外伤害之日起经过 180 日的治疗，机能仍然完全丧失，但眼球摘除等明显无法复原之情况，不在此限。</w:t>
      </w:r>
    </w:p>
    <w:p>
      <w:pPr>
        <w:pStyle w:val="BodyText"/>
        <w:spacing w:before="26"/>
        <w:ind w:left="1102"/>
      </w:pPr>
      <w:r>
        <w:rPr/>
        <w:t>2、失明包括眼球缺失或摘除、或不能辨别明暗、或仅能辨别眼前手动者，最佳矫正视力低于国际标准视力表</w:t>
      </w:r>
    </w:p>
    <w:p>
      <w:pPr>
        <w:pStyle w:val="BodyText"/>
        <w:spacing w:before="117"/>
        <w:ind w:left="1386"/>
      </w:pPr>
      <w:r>
        <w:rPr/>
        <w:t>0.02，或视野半径小于 5 度，并由保险公司指定有资格的眼科医师出具医疗诊断证明。</w:t>
      </w:r>
    </w:p>
    <w:p>
      <w:pPr>
        <w:pStyle w:val="BodyText"/>
        <w:spacing w:before="117"/>
        <w:ind w:left="1102"/>
      </w:pPr>
      <w:r>
        <w:rPr/>
        <w:t>3、关节机能的丧失系指关节永久完全僵硬、或麻痹、或关节不能随意识活动。</w:t>
      </w:r>
    </w:p>
    <w:p>
      <w:pPr>
        <w:pStyle w:val="BodyText"/>
        <w:spacing w:line="360" w:lineRule="auto" w:before="119"/>
        <w:ind w:left="1386" w:right="205" w:hanging="284"/>
      </w:pPr>
      <w:r>
        <w:rPr/>
        <w:t>4、咀嚼、吞咽机能的丧失系指由于牙齿以外的原因引起器质障碍或机能障碍，以致不能作咀嚼、吞咽运动，除流质食物外不能摄取或吞咽的状态。</w:t>
      </w:r>
    </w:p>
    <w:p>
      <w:pPr>
        <w:pStyle w:val="BodyText"/>
        <w:spacing w:line="360" w:lineRule="auto" w:before="26"/>
        <w:ind w:left="1386" w:right="199" w:hanging="284"/>
      </w:pPr>
      <w:r>
        <w:rPr/>
        <w:t>5、为维持生命必要之日常生活活动，全需他人扶助系指食物摄取、大小便始末、穿脱衣服、起居、步行、入浴等，皆不能自己为之，需要他人帮助。</w:t>
      </w:r>
    </w:p>
    <w:p>
      <w:pPr>
        <w:pStyle w:val="ListParagraph"/>
        <w:numPr>
          <w:ilvl w:val="1"/>
          <w:numId w:val="21"/>
        </w:numPr>
        <w:tabs>
          <w:tab w:pos="1105" w:val="left" w:leader="none"/>
          <w:tab w:pos="1106" w:val="left" w:leader="none"/>
        </w:tabs>
        <w:spacing w:line="340" w:lineRule="auto" w:before="29" w:after="0"/>
        <w:ind w:left="1078" w:right="207" w:hanging="540"/>
        <w:jc w:val="left"/>
        <w:rPr>
          <w:sz w:val="18"/>
        </w:rPr>
      </w:pPr>
      <w:r>
        <w:rPr>
          <w:sz w:val="18"/>
        </w:rPr>
        <w:t>有资质的伤残鉴定机构：是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21"/>
        </w:numPr>
        <w:tabs>
          <w:tab w:pos="1106" w:val="left" w:leader="none"/>
        </w:tabs>
        <w:spacing w:line="348" w:lineRule="auto" w:before="41" w:after="0"/>
        <w:ind w:left="1078" w:right="207" w:hanging="540"/>
        <w:jc w:val="left"/>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w:t>
      </w:r>
      <w:r>
        <w:rPr>
          <w:spacing w:val="-1"/>
          <w:sz w:val="18"/>
        </w:rPr>
        <w:t>品。</w:t>
      </w:r>
    </w:p>
    <w:p>
      <w:pPr>
        <w:pStyle w:val="ListParagraph"/>
        <w:numPr>
          <w:ilvl w:val="1"/>
          <w:numId w:val="21"/>
        </w:numPr>
        <w:tabs>
          <w:tab w:pos="1106" w:val="left" w:leader="none"/>
        </w:tabs>
        <w:spacing w:line="340" w:lineRule="auto" w:before="35" w:after="0"/>
        <w:ind w:left="1078" w:right="360" w:hanging="540"/>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21"/>
        </w:numPr>
        <w:tabs>
          <w:tab w:pos="1106" w:val="left" w:leader="none"/>
        </w:tabs>
        <w:spacing w:line="240" w:lineRule="auto" w:before="41" w:after="0"/>
        <w:ind w:left="1105" w:right="0" w:hanging="567"/>
        <w:jc w:val="left"/>
        <w:rPr>
          <w:sz w:val="18"/>
        </w:rPr>
      </w:pPr>
      <w:r>
        <w:rPr>
          <w:sz w:val="18"/>
        </w:rPr>
        <w:t>无合法有效驾驶证驾驶：是指下列情形之一：</w:t>
      </w:r>
    </w:p>
    <w:p>
      <w:pPr>
        <w:pStyle w:val="ListParagraph"/>
        <w:numPr>
          <w:ilvl w:val="2"/>
          <w:numId w:val="21"/>
        </w:numPr>
        <w:tabs>
          <w:tab w:pos="1813" w:val="left" w:leader="none"/>
          <w:tab w:pos="1814" w:val="left" w:leader="none"/>
        </w:tabs>
        <w:spacing w:line="240" w:lineRule="auto" w:before="106" w:after="0"/>
        <w:ind w:left="1813" w:right="0" w:hanging="531"/>
        <w:jc w:val="left"/>
        <w:rPr>
          <w:sz w:val="18"/>
        </w:rPr>
      </w:pPr>
      <w:r>
        <w:rPr>
          <w:w w:val="95"/>
          <w:sz w:val="18"/>
        </w:rPr>
        <w:t>没有取得驾驶资格；</w:t>
      </w:r>
    </w:p>
    <w:p>
      <w:pPr>
        <w:pStyle w:val="ListParagraph"/>
        <w:numPr>
          <w:ilvl w:val="2"/>
          <w:numId w:val="21"/>
        </w:numPr>
        <w:tabs>
          <w:tab w:pos="1813" w:val="left" w:leader="none"/>
          <w:tab w:pos="1814" w:val="left" w:leader="none"/>
        </w:tabs>
        <w:spacing w:line="240" w:lineRule="auto" w:before="106" w:after="0"/>
        <w:ind w:left="1813" w:right="0" w:hanging="531"/>
        <w:jc w:val="left"/>
        <w:rPr>
          <w:sz w:val="18"/>
        </w:rPr>
      </w:pPr>
      <w:r>
        <w:rPr>
          <w:w w:val="95"/>
          <w:sz w:val="18"/>
        </w:rPr>
        <w:t>驾驶与驾驶证准驾车型不相符合的车辆；</w:t>
      </w:r>
    </w:p>
    <w:p>
      <w:pPr>
        <w:pStyle w:val="ListParagraph"/>
        <w:numPr>
          <w:ilvl w:val="2"/>
          <w:numId w:val="21"/>
        </w:numPr>
        <w:tabs>
          <w:tab w:pos="1813" w:val="left" w:leader="none"/>
          <w:tab w:pos="1814" w:val="left" w:leader="none"/>
        </w:tabs>
        <w:spacing w:line="240" w:lineRule="auto" w:before="106" w:after="0"/>
        <w:ind w:left="1813" w:right="0" w:hanging="531"/>
        <w:jc w:val="left"/>
        <w:rPr>
          <w:sz w:val="18"/>
        </w:rPr>
      </w:pPr>
      <w:r>
        <w:rPr>
          <w:w w:val="95"/>
          <w:sz w:val="18"/>
        </w:rPr>
        <w:t>持审验不合格的驾驶证驾驶；</w:t>
      </w:r>
    </w:p>
    <w:p>
      <w:pPr>
        <w:pStyle w:val="ListParagraph"/>
        <w:numPr>
          <w:ilvl w:val="2"/>
          <w:numId w:val="21"/>
        </w:numPr>
        <w:tabs>
          <w:tab w:pos="1813" w:val="left" w:leader="none"/>
          <w:tab w:pos="1814" w:val="left" w:leader="none"/>
        </w:tabs>
        <w:spacing w:line="240" w:lineRule="auto" w:before="106" w:after="0"/>
        <w:ind w:left="1813" w:right="0" w:hanging="531"/>
        <w:jc w:val="left"/>
        <w:rPr>
          <w:sz w:val="18"/>
        </w:rPr>
      </w:pPr>
      <w:r>
        <w:rPr>
          <w:sz w:val="18"/>
        </w:rPr>
        <w:t>持学习驾驶证学习驾车时，无教练员随车指导，或不按指定时间、路线学习驾车；</w:t>
      </w:r>
    </w:p>
    <w:p>
      <w:pPr>
        <w:pStyle w:val="ListParagraph"/>
        <w:numPr>
          <w:ilvl w:val="2"/>
          <w:numId w:val="21"/>
        </w:numPr>
        <w:tabs>
          <w:tab w:pos="1813" w:val="left" w:leader="none"/>
          <w:tab w:pos="1814" w:val="left" w:leader="none"/>
        </w:tabs>
        <w:spacing w:line="240" w:lineRule="auto" w:before="106" w:after="0"/>
        <w:ind w:left="1813" w:right="0" w:hanging="531"/>
        <w:jc w:val="left"/>
        <w:rPr>
          <w:sz w:val="18"/>
        </w:rPr>
      </w:pPr>
      <w:r>
        <w:rPr>
          <w:w w:val="95"/>
          <w:sz w:val="18"/>
        </w:rPr>
        <w:t>公安交通管理部门规定的其他无有效驾驶证驾驶的情况。</w:t>
      </w:r>
    </w:p>
    <w:p>
      <w:pPr>
        <w:pStyle w:val="ListParagraph"/>
        <w:numPr>
          <w:ilvl w:val="1"/>
          <w:numId w:val="21"/>
        </w:numPr>
        <w:tabs>
          <w:tab w:pos="1106" w:val="left" w:leader="none"/>
        </w:tabs>
        <w:spacing w:line="240" w:lineRule="auto" w:before="106" w:after="0"/>
        <w:ind w:left="1105" w:right="0" w:hanging="567"/>
        <w:jc w:val="left"/>
        <w:rPr>
          <w:sz w:val="18"/>
        </w:rPr>
      </w:pPr>
      <w:r>
        <w:rPr>
          <w:sz w:val="18"/>
        </w:rPr>
        <w:t>无有效行驶证：是指下列情形之一：</w:t>
      </w:r>
    </w:p>
    <w:p>
      <w:pPr>
        <w:pStyle w:val="BodyText"/>
        <w:ind w:left="1102"/>
      </w:pPr>
      <w:r>
        <w:rPr/>
        <w:t>（</w:t>
      </w:r>
      <w:r>
        <w:rPr>
          <w:rFonts w:ascii="Arial" w:eastAsia="Arial"/>
        </w:rPr>
        <w:t>1</w:t>
      </w:r>
      <w:r>
        <w:rPr/>
        <w:t>）没有机动车行驶证或已被依法注销登记；</w:t>
      </w:r>
    </w:p>
    <w:p>
      <w:pPr>
        <w:spacing w:after="0"/>
        <w:sectPr>
          <w:pgSz w:w="11910" w:h="16840"/>
          <w:pgMar w:header="672" w:footer="766" w:top="860" w:bottom="960" w:left="880" w:right="740"/>
        </w:sectPr>
      </w:pPr>
    </w:p>
    <w:p>
      <w:pPr>
        <w:pStyle w:val="BodyText"/>
        <w:spacing w:before="12"/>
        <w:ind w:left="0"/>
        <w:rPr>
          <w:sz w:val="13"/>
        </w:rPr>
      </w:pPr>
    </w:p>
    <w:p>
      <w:pPr>
        <w:pStyle w:val="BodyText"/>
        <w:spacing w:before="53"/>
        <w:ind w:left="1122"/>
      </w:pPr>
      <w:r>
        <w:rPr/>
        <w:t>（</w:t>
      </w:r>
      <w:r>
        <w:rPr>
          <w:rFonts w:ascii="Arial" w:eastAsia="Arial"/>
        </w:rPr>
        <w:t>2</w:t>
      </w:r>
      <w:r>
        <w:rPr/>
        <w:t>）未依法按时进行或通过机动车安全技术检验；</w:t>
      </w:r>
    </w:p>
    <w:p>
      <w:pPr>
        <w:pStyle w:val="BodyText"/>
        <w:spacing w:before="107"/>
        <w:ind w:left="1122"/>
      </w:pPr>
      <w:r>
        <w:rPr/>
        <w:t>（</w:t>
      </w:r>
      <w:r>
        <w:rPr>
          <w:rFonts w:ascii="Arial" w:eastAsia="Arial"/>
        </w:rPr>
        <w:t>3</w:t>
      </w:r>
      <w:r>
        <w:rPr/>
        <w:t>）未办理行驶证或者行驶证在申办过程中。</w:t>
      </w:r>
    </w:p>
    <w:p>
      <w:pPr>
        <w:pStyle w:val="ListParagraph"/>
        <w:numPr>
          <w:ilvl w:val="1"/>
          <w:numId w:val="21"/>
        </w:numPr>
        <w:tabs>
          <w:tab w:pos="1126" w:val="left" w:leader="none"/>
        </w:tabs>
        <w:spacing w:line="340" w:lineRule="auto" w:before="106" w:after="0"/>
        <w:ind w:left="1098" w:right="801" w:hanging="540"/>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21"/>
        </w:numPr>
        <w:tabs>
          <w:tab w:pos="1152" w:val="left" w:leader="none"/>
        </w:tabs>
        <w:spacing w:line="348" w:lineRule="auto" w:before="41" w:after="0"/>
        <w:ind w:left="1120" w:right="580" w:hanging="562"/>
        <w:jc w:val="left"/>
        <w:rPr>
          <w:sz w:val="18"/>
        </w:rPr>
      </w:pPr>
      <w:r>
        <w:rPr>
          <w:spacing w:val="-2"/>
          <w:sz w:val="18"/>
        </w:rPr>
        <w:t>感染艾滋病病毒或患艾滋病：艾滋病病毒指人类免疫缺陷病毒，英文缩写为 </w:t>
      </w:r>
      <w:r>
        <w:rPr>
          <w:sz w:val="18"/>
        </w:rPr>
        <w:t>HIV</w:t>
      </w:r>
      <w:r>
        <w:rPr>
          <w:spacing w:val="-1"/>
          <w:sz w:val="18"/>
        </w:rPr>
        <w:t>。艾滋病指人类免疫缺陷病毒引起</w:t>
      </w:r>
      <w:r>
        <w:rPr>
          <w:spacing w:val="-4"/>
          <w:sz w:val="18"/>
        </w:rPr>
        <w:t>的获得性免疫缺陷综合征，英文缩写为 </w:t>
      </w:r>
      <w:r>
        <w:rPr>
          <w:sz w:val="18"/>
        </w:rPr>
        <w:t>AIDS</w:t>
      </w:r>
      <w:r>
        <w:rPr>
          <w:spacing w:val="-1"/>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21"/>
        </w:numPr>
        <w:tabs>
          <w:tab w:pos="1152" w:val="left" w:leader="none"/>
        </w:tabs>
        <w:spacing w:line="340" w:lineRule="auto" w:before="38" w:after="0"/>
        <w:ind w:left="1120" w:right="594" w:hanging="562"/>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21"/>
        </w:numPr>
        <w:tabs>
          <w:tab w:pos="1152" w:val="left" w:leader="none"/>
        </w:tabs>
        <w:spacing w:line="340" w:lineRule="auto" w:before="41" w:after="0"/>
        <w:ind w:left="1120" w:right="595" w:hanging="562"/>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先天性畸形、变形或染色体异常：指被保险人出生时就具有的畸形、变形或染色体异常。先天性畸形、变形和染色体异常依照世界卫生组织《疾病和有关健康问题的国际统计分类》（ICD-10）确定。</w:t>
      </w:r>
    </w:p>
    <w:p>
      <w:pPr>
        <w:pStyle w:val="ListParagraph"/>
        <w:numPr>
          <w:ilvl w:val="1"/>
          <w:numId w:val="21"/>
        </w:numPr>
        <w:tabs>
          <w:tab w:pos="1152" w:val="left" w:leader="none"/>
        </w:tabs>
        <w:spacing w:line="240" w:lineRule="auto" w:before="42" w:after="0"/>
        <w:ind w:left="1151" w:right="0" w:hanging="593"/>
        <w:jc w:val="left"/>
        <w:rPr>
          <w:sz w:val="18"/>
        </w:rPr>
      </w:pPr>
      <w:r>
        <w:rPr>
          <w:sz w:val="18"/>
        </w:rPr>
        <w:t>现金价值：指保险单所具有的价值，通常体现为解除合同时，根据精算原理计算的，由我们退还的那部分金额。</w:t>
      </w:r>
    </w:p>
    <w:p>
      <w:pPr>
        <w:pStyle w:val="ListParagraph"/>
        <w:numPr>
          <w:ilvl w:val="1"/>
          <w:numId w:val="21"/>
        </w:numPr>
        <w:tabs>
          <w:tab w:pos="1152" w:val="left" w:leader="none"/>
        </w:tabs>
        <w:spacing w:line="340" w:lineRule="auto" w:before="106" w:after="0"/>
        <w:ind w:left="1120" w:right="595" w:hanging="562"/>
        <w:jc w:val="left"/>
        <w:rPr>
          <w:sz w:val="18"/>
        </w:rPr>
      </w:pPr>
      <w:r>
        <w:rPr>
          <w:sz w:val="18"/>
        </w:rPr>
        <w:t>有效身份证件：是指依据法律规定，由有权机构制作颁发的证明身份的证件、文件等，如：居民身份证、户口簿、护照、军人证等。</w:t>
      </w:r>
    </w:p>
    <w:p>
      <w:pPr>
        <w:pStyle w:val="ListParagraph"/>
        <w:numPr>
          <w:ilvl w:val="1"/>
          <w:numId w:val="21"/>
        </w:numPr>
        <w:tabs>
          <w:tab w:pos="1152" w:val="left" w:leader="none"/>
        </w:tabs>
        <w:spacing w:line="240" w:lineRule="auto" w:before="41" w:after="0"/>
        <w:ind w:left="1151" w:right="0" w:hanging="593"/>
        <w:jc w:val="left"/>
        <w:rPr>
          <w:sz w:val="18"/>
        </w:rPr>
      </w:pPr>
      <w:r>
        <w:rPr>
          <w:sz w:val="18"/>
        </w:rPr>
        <w:t>犹豫期：是指您在收到保险合同之日起的十五日内（含第十五日）。</w:t>
      </w:r>
    </w:p>
    <w:p>
      <w:pPr>
        <w:pStyle w:val="ListParagraph"/>
        <w:numPr>
          <w:ilvl w:val="1"/>
          <w:numId w:val="21"/>
        </w:numPr>
        <w:tabs>
          <w:tab w:pos="1152" w:val="left" w:leader="none"/>
        </w:tabs>
        <w:spacing w:line="340" w:lineRule="auto" w:before="106" w:after="0"/>
        <w:ind w:left="1120" w:right="593" w:hanging="562"/>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1"/>
          <w:numId w:val="21"/>
        </w:numPr>
        <w:tabs>
          <w:tab w:pos="1152" w:val="left" w:leader="none"/>
        </w:tabs>
        <w:spacing w:line="340" w:lineRule="auto" w:before="41" w:after="0"/>
        <w:ind w:left="1120" w:right="595" w:hanging="562"/>
        <w:jc w:val="left"/>
        <w:rPr>
          <w:sz w:val="18"/>
        </w:rPr>
      </w:pPr>
      <w:r>
        <w:rPr>
          <w:sz w:val="18"/>
        </w:rPr>
        <w:t>肢体机能完全丧失：指肢体的三大关节中的两大关节僵硬，或不能随意识活动。肢体是指包括肩关节的整个上肢或包括髋关节的肢体整个下肢</w:t>
      </w:r>
    </w:p>
    <w:p>
      <w:pPr>
        <w:pStyle w:val="ListParagraph"/>
        <w:numPr>
          <w:ilvl w:val="1"/>
          <w:numId w:val="21"/>
        </w:numPr>
        <w:tabs>
          <w:tab w:pos="1152" w:val="left" w:leader="none"/>
        </w:tabs>
        <w:spacing w:line="350" w:lineRule="auto" w:before="41" w:after="0"/>
        <w:ind w:left="1120" w:right="595" w:hanging="562"/>
        <w:jc w:val="both"/>
        <w:rPr>
          <w:sz w:val="18"/>
        </w:rPr>
      </w:pPr>
      <w:r>
        <w:rPr>
          <w:sz w:val="18"/>
        </w:rPr>
        <w:t>语言能力或咀嚼吞咽能力完全丧失：语言能力完全丧失，指无法发出四种语音（包括口唇音、齿舌音、口盖音和喉头音）中的任何三种、或声带全部切除，或因大脑语言中枢受伤害而患失语症。咀嚼吞咽能力完全丧失，指因牙齿</w:t>
      </w:r>
      <w:r>
        <w:rPr>
          <w:spacing w:val="-1"/>
          <w:sz w:val="18"/>
        </w:rPr>
        <w:t>以外的原因导致器质障碍或机能障碍，以致不能作咀嚼吞咽运动，除流质食物外不能摄取或吞咽的状态</w:t>
      </w:r>
    </w:p>
    <w:p>
      <w:pPr>
        <w:pStyle w:val="ListParagraph"/>
        <w:numPr>
          <w:ilvl w:val="1"/>
          <w:numId w:val="21"/>
        </w:numPr>
        <w:tabs>
          <w:tab w:pos="1152" w:val="left" w:leader="none"/>
        </w:tabs>
        <w:spacing w:line="240" w:lineRule="auto" w:before="33" w:after="0"/>
        <w:ind w:left="1151" w:right="0" w:hanging="593"/>
        <w:jc w:val="left"/>
        <w:rPr>
          <w:sz w:val="18"/>
        </w:rPr>
      </w:pPr>
      <w:r>
        <w:rPr>
          <w:sz w:val="18"/>
        </w:rPr>
        <w:t>六项基本日常生活活动指：</w:t>
      </w:r>
    </w:p>
    <w:p>
      <w:pPr>
        <w:pStyle w:val="BodyText"/>
        <w:ind w:left="1122"/>
      </w:pPr>
      <w:r>
        <w:rPr/>
        <w:t>（</w:t>
      </w:r>
      <w:r>
        <w:rPr>
          <w:rFonts w:ascii="Arial" w:eastAsia="Arial"/>
        </w:rPr>
        <w:t>1</w:t>
      </w:r>
      <w:r>
        <w:rPr/>
        <w:t>）穿衣：自己能够穿衣及脱衣；</w:t>
      </w:r>
    </w:p>
    <w:p>
      <w:pPr>
        <w:pStyle w:val="BodyText"/>
        <w:ind w:left="1122"/>
      </w:pPr>
      <w:r>
        <w:rPr/>
        <w:t>（</w:t>
      </w:r>
      <w:r>
        <w:rPr>
          <w:rFonts w:ascii="Arial" w:eastAsia="Arial"/>
        </w:rPr>
        <w:t>2</w:t>
      </w:r>
      <w:r>
        <w:rPr/>
        <w:t>）移动：自己从一个房间到另一个房间；</w:t>
      </w:r>
    </w:p>
    <w:p>
      <w:pPr>
        <w:pStyle w:val="BodyText"/>
        <w:ind w:left="1122"/>
      </w:pPr>
      <w:r>
        <w:rPr/>
        <w:t>（</w:t>
      </w:r>
      <w:r>
        <w:rPr>
          <w:rFonts w:ascii="Arial" w:eastAsia="Arial"/>
        </w:rPr>
        <w:t>3</w:t>
      </w:r>
      <w:r>
        <w:rPr/>
        <w:t>）行动：自己上下床或上下轮椅；</w:t>
      </w:r>
    </w:p>
    <w:p>
      <w:pPr>
        <w:pStyle w:val="BodyText"/>
        <w:ind w:left="1122"/>
      </w:pPr>
      <w:r>
        <w:rPr/>
        <w:t>（</w:t>
      </w:r>
      <w:r>
        <w:rPr>
          <w:rFonts w:ascii="Arial" w:eastAsia="Arial"/>
        </w:rPr>
        <w:t>4</w:t>
      </w:r>
      <w:r>
        <w:rPr/>
        <w:t>）如厕：自己控制进行大小便；</w:t>
      </w:r>
    </w:p>
    <w:p>
      <w:pPr>
        <w:pStyle w:val="BodyText"/>
        <w:spacing w:before="103"/>
        <w:ind w:left="1122"/>
      </w:pPr>
      <w:r>
        <w:rPr/>
        <w:t>（</w:t>
      </w:r>
      <w:r>
        <w:rPr>
          <w:rFonts w:ascii="Arial" w:eastAsia="Arial"/>
        </w:rPr>
        <w:t>5</w:t>
      </w:r>
      <w:r>
        <w:rPr/>
        <w:t>）进食：自己从已准备好的碗或碟中取食物放入口中；</w:t>
      </w:r>
    </w:p>
    <w:p>
      <w:pPr>
        <w:pStyle w:val="BodyText"/>
        <w:ind w:left="1122"/>
      </w:pPr>
      <w:r>
        <w:rPr/>
        <w:t>（</w:t>
      </w:r>
      <w:r>
        <w:rPr>
          <w:rFonts w:ascii="Arial" w:eastAsia="Arial"/>
        </w:rPr>
        <w:t>6</w:t>
      </w:r>
      <w:r>
        <w:rPr/>
        <w:t>）洗澡：自己进行淋浴或盆浴。</w:t>
      </w:r>
    </w:p>
    <w:p>
      <w:pPr>
        <w:pStyle w:val="ListParagraph"/>
        <w:numPr>
          <w:ilvl w:val="1"/>
          <w:numId w:val="21"/>
        </w:numPr>
        <w:tabs>
          <w:tab w:pos="1152" w:val="left" w:leader="none"/>
        </w:tabs>
        <w:spacing w:line="240" w:lineRule="auto" w:before="107" w:after="0"/>
        <w:ind w:left="1151" w:right="0" w:hanging="593"/>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21"/>
        </w:numPr>
        <w:tabs>
          <w:tab w:pos="1152" w:val="left" w:leader="none"/>
        </w:tabs>
        <w:spacing w:line="240" w:lineRule="auto" w:before="106" w:after="0"/>
        <w:ind w:left="1151" w:right="0" w:hanging="593"/>
        <w:jc w:val="left"/>
        <w:rPr>
          <w:sz w:val="18"/>
        </w:rPr>
      </w:pPr>
      <w:r>
        <w:rPr>
          <w:sz w:val="18"/>
        </w:rPr>
        <w:t>过敏：指过敏原如食物、药物、花粉、粉尘等导致人体异常的免疫反应，以医院诊断为准。</w:t>
      </w:r>
    </w:p>
    <w:p>
      <w:pPr>
        <w:pStyle w:val="ListParagraph"/>
        <w:numPr>
          <w:ilvl w:val="1"/>
          <w:numId w:val="21"/>
        </w:numPr>
        <w:tabs>
          <w:tab w:pos="1152" w:val="left" w:leader="none"/>
        </w:tabs>
        <w:spacing w:line="240" w:lineRule="auto" w:before="106" w:after="0"/>
        <w:ind w:left="1151" w:right="0" w:hanging="593"/>
        <w:jc w:val="left"/>
        <w:rPr>
          <w:sz w:val="18"/>
        </w:rPr>
      </w:pPr>
      <w:r>
        <w:rPr>
          <w:sz w:val="18"/>
        </w:rPr>
        <w:t>原发性感染：指不继发于其他意外伤害事故的，由细菌、病毒或者其他致病原导致的感染。</w:t>
      </w:r>
    </w:p>
    <w:p>
      <w:pPr>
        <w:pStyle w:val="ListParagraph"/>
        <w:numPr>
          <w:ilvl w:val="1"/>
          <w:numId w:val="21"/>
        </w:numPr>
        <w:tabs>
          <w:tab w:pos="1152" w:val="left" w:leader="none"/>
        </w:tabs>
        <w:spacing w:line="240" w:lineRule="auto" w:before="106" w:after="0"/>
        <w:ind w:left="1151" w:right="0" w:hanging="593"/>
        <w:jc w:val="left"/>
        <w:rPr>
          <w:sz w:val="18"/>
        </w:rPr>
      </w:pPr>
      <w:r>
        <w:rPr>
          <w:sz w:val="18"/>
        </w:rPr>
        <w:t>猝死：是指外表看似健康的人因突发的急性疾病，并直接且完全由于此</w:t>
      </w:r>
      <w:r>
        <w:rPr>
          <w:b/>
          <w:sz w:val="18"/>
        </w:rPr>
        <w:t>急性疾病</w:t>
      </w:r>
      <w:r>
        <w:rPr>
          <w:sz w:val="18"/>
        </w:rPr>
        <w:t>（</w:t>
      </w:r>
      <w:r>
        <w:rPr>
          <w:spacing w:val="-1"/>
          <w:sz w:val="18"/>
        </w:rPr>
        <w:t>见释义</w:t>
      </w:r>
      <w:r>
        <w:rPr>
          <w:sz w:val="18"/>
        </w:rPr>
        <w:t>）导致在急性疾病发生后</w:t>
      </w:r>
    </w:p>
    <w:p>
      <w:pPr>
        <w:pStyle w:val="BodyText"/>
        <w:spacing w:before="104"/>
        <w:ind w:left="1120"/>
      </w:pPr>
      <w:r>
        <w:rPr/>
        <w:t>24 小时内突然死亡。猝死的认定以本公司认可的医院的诊断或公安部门的认定为准。</w:t>
      </w:r>
    </w:p>
    <w:p>
      <w:pPr>
        <w:pStyle w:val="ListParagraph"/>
        <w:numPr>
          <w:ilvl w:val="1"/>
          <w:numId w:val="21"/>
        </w:numPr>
        <w:tabs>
          <w:tab w:pos="1152" w:val="left" w:leader="none"/>
        </w:tabs>
        <w:spacing w:line="340" w:lineRule="auto" w:before="117" w:after="0"/>
        <w:ind w:left="1120" w:right="593" w:hanging="562"/>
        <w:jc w:val="left"/>
        <w:rPr>
          <w:sz w:val="18"/>
        </w:rPr>
      </w:pPr>
      <w:r>
        <w:rPr>
          <w:sz w:val="18"/>
        </w:rPr>
        <w:t>急性疾病：是指被保险人在本附加合同生效之前未曾接受任何形式的诊断或治疗，且在本附加合同的有效期间内突然发生的疾病。</w:t>
      </w:r>
    </w:p>
    <w:p>
      <w:pPr>
        <w:pStyle w:val="BodyText"/>
        <w:spacing w:before="0"/>
        <w:ind w:left="0"/>
        <w:rPr>
          <w:sz w:val="20"/>
        </w:rPr>
      </w:pPr>
    </w:p>
    <w:p>
      <w:pPr>
        <w:pStyle w:val="BodyText"/>
        <w:spacing w:before="1"/>
        <w:ind w:left="0"/>
        <w:rPr>
          <w:sz w:val="11"/>
        </w:rPr>
      </w:pPr>
      <w:r>
        <w:rPr/>
        <w:pict>
          <v:line style="position:absolute;mso-position-horizontal-relative:page;mso-position-vertical-relative:paragraph;z-index:1048;mso-wrap-distance-left:0;mso-wrap-distance-right:0" from="48.119999pt,9.451666pt" to="575.279999pt,9.451666pt" stroked="true" strokeweight=".48pt" strokecolor="#000000">
            <v:stroke dashstyle="shortdot"/>
            <w10:wrap type="topAndBottom"/>
          </v:line>
        </w:pict>
      </w:r>
    </w:p>
    <w:p>
      <w:pPr>
        <w:pStyle w:val="Heading3"/>
        <w:spacing w:before="39"/>
        <w:ind w:left="4973" w:right="4977"/>
      </w:pPr>
      <w:r>
        <w:rPr>
          <w:w w:val="95"/>
        </w:rPr>
        <w:t>以下空白</w:t>
      </w:r>
    </w:p>
    <w:sectPr>
      <w:pgSz w:w="11910" w:h="16840"/>
      <w:pgMar w:header="672" w:footer="766" w:top="860" w:bottom="96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361572pt;width:36.8pt;height:11pt;mso-position-horizontal-relative:page;mso-position-vertical-relative:page;z-index:-25624" type="#_x0000_t202" filled="false" stroked="false">
          <v:textbox inset="0,0,0,0">
            <w:txbxContent>
              <w:p>
                <w:pPr>
                  <w:spacing w:before="15"/>
                  <w:ind w:left="20" w:right="0" w:firstLine="0"/>
                  <w:jc w:val="left"/>
                  <w:rPr>
                    <w:rFonts w:ascii="Arial"/>
                    <w:sz w:val="16"/>
                  </w:rPr>
                </w:pPr>
                <w:r>
                  <w:rPr>
                    <w:rFonts w:ascii="Arial"/>
                    <w:sz w:val="16"/>
                  </w:rPr>
                  <w:t>ACI212-B</w:t>
                </w:r>
              </w:p>
            </w:txbxContent>
          </v:textbox>
          <w10:wrap type="none"/>
        </v:shape>
      </w:pict>
    </w:r>
    <w:r>
      <w:rPr/>
      <w:pict>
        <v:shape style="position:absolute;margin-left:427.950012pt;margin-top:792.361572pt;width:120.25pt;height:11.05pt;mso-position-horizontal-relative:page;mso-position-vertical-relative:page;z-index:-25600" type="#_x0000_t202" filled="false" stroked="false">
          <v:textbox inset="0,0,0,0">
            <w:txbxContent>
              <w:p>
                <w:pPr>
                  <w:spacing w:line="200" w:lineRule="exact" w:before="0"/>
                  <w:ind w:left="20" w:right="0" w:firstLine="0"/>
                  <w:jc w:val="left"/>
                  <w:rPr>
                    <w:sz w:val="16"/>
                  </w:rPr>
                </w:pPr>
                <w:r>
                  <w:rPr>
                    <w:sz w:val="16"/>
                  </w:rPr>
                  <w:t>中美联泰大都会人寿</w:t>
                </w:r>
                <w:r>
                  <w:rPr>
                    <w:rFonts w:ascii="Times New Roman" w:eastAsia="Times New Roman"/>
                    <w:sz w:val="16"/>
                  </w:rPr>
                  <w:t>[</w:t>
                </w:r>
                <w:r>
                  <w:rPr>
                    <w:rFonts w:ascii="Arial" w:eastAsia="Arial"/>
                    <w:sz w:val="16"/>
                  </w:rPr>
                  <w:t>2017</w:t>
                </w:r>
                <w:r>
                  <w:rPr>
                    <w:rFonts w:ascii="Times New Roman" w:eastAsia="Times New Roman"/>
                    <w:sz w:val="16"/>
                  </w:rPr>
                  <w:t>]</w:t>
                </w:r>
                <w:r>
                  <w:rPr>
                    <w:rFonts w:ascii="Arial" w:eastAsia="Arial"/>
                    <w:sz w:val="16"/>
                  </w:rPr>
                  <w:t>024 </w:t>
                </w:r>
                <w:r>
                  <w:rPr>
                    <w:sz w:val="16"/>
                  </w:rPr>
                  <w:t>号</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2557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2555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6"/>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45"/>
        <w:w w:val="99"/>
        <w:sz w:val="18"/>
        <w:szCs w:val="18"/>
      </w:rPr>
    </w:lvl>
    <w:lvl w:ilvl="2">
      <w:start w:val="1"/>
      <w:numFmt w:val="decimal"/>
      <w:lvlText w:val="(%3)"/>
      <w:lvlJc w:val="left"/>
      <w:pPr>
        <w:ind w:left="1671" w:hanging="531"/>
        <w:jc w:val="left"/>
      </w:pPr>
      <w:rPr>
        <w:rFonts w:hint="default" w:ascii="Arial" w:hAnsi="Arial" w:eastAsia="Arial" w:cs="Arial"/>
        <w:w w:val="99"/>
        <w:sz w:val="18"/>
        <w:szCs w:val="18"/>
      </w:rPr>
    </w:lvl>
    <w:lvl w:ilvl="3">
      <w:start w:val="0"/>
      <w:numFmt w:val="bullet"/>
      <w:lvlText w:val="•"/>
      <w:lvlJc w:val="left"/>
      <w:pPr>
        <w:ind w:left="2878" w:hanging="531"/>
      </w:pPr>
      <w:rPr>
        <w:rFonts w:hint="default"/>
      </w:rPr>
    </w:lvl>
    <w:lvl w:ilvl="4">
      <w:start w:val="0"/>
      <w:numFmt w:val="bullet"/>
      <w:lvlText w:val="•"/>
      <w:lvlJc w:val="left"/>
      <w:pPr>
        <w:ind w:left="3937" w:hanging="531"/>
      </w:pPr>
      <w:rPr>
        <w:rFonts w:hint="default"/>
      </w:rPr>
    </w:lvl>
    <w:lvl w:ilvl="5">
      <w:start w:val="0"/>
      <w:numFmt w:val="bullet"/>
      <w:lvlText w:val="•"/>
      <w:lvlJc w:val="left"/>
      <w:pPr>
        <w:ind w:left="4995" w:hanging="531"/>
      </w:pPr>
      <w:rPr>
        <w:rFonts w:hint="default"/>
      </w:rPr>
    </w:lvl>
    <w:lvl w:ilvl="6">
      <w:start w:val="0"/>
      <w:numFmt w:val="bullet"/>
      <w:lvlText w:val="•"/>
      <w:lvlJc w:val="left"/>
      <w:pPr>
        <w:ind w:left="6054" w:hanging="531"/>
      </w:pPr>
      <w:rPr>
        <w:rFonts w:hint="default"/>
      </w:rPr>
    </w:lvl>
    <w:lvl w:ilvl="7">
      <w:start w:val="0"/>
      <w:numFmt w:val="bullet"/>
      <w:lvlText w:val="•"/>
      <w:lvlJc w:val="left"/>
      <w:pPr>
        <w:ind w:left="7113" w:hanging="531"/>
      </w:pPr>
      <w:rPr>
        <w:rFonts w:hint="default"/>
      </w:rPr>
    </w:lvl>
    <w:lvl w:ilvl="8">
      <w:start w:val="0"/>
      <w:numFmt w:val="bullet"/>
      <w:lvlText w:val="•"/>
      <w:lvlJc w:val="left"/>
      <w:pPr>
        <w:ind w:left="8171" w:hanging="531"/>
      </w:pPr>
      <w:rPr>
        <w:rFonts w:hint="default"/>
      </w:rPr>
    </w:lvl>
  </w:abstractNum>
  <w:abstractNum w:abstractNumId="19">
    <w:multiLevelType w:val="hybridMultilevel"/>
    <w:lvl w:ilvl="0">
      <w:start w:val="15"/>
      <w:numFmt w:val="decimal"/>
      <w:lvlText w:val="%1"/>
      <w:lvlJc w:val="left"/>
      <w:pPr>
        <w:ind w:left="1105" w:hanging="634"/>
        <w:jc w:val="left"/>
      </w:pPr>
      <w:rPr>
        <w:rFonts w:hint="default"/>
      </w:rPr>
    </w:lvl>
    <w:lvl w:ilvl="1">
      <w:start w:val="1"/>
      <w:numFmt w:val="decimal"/>
      <w:lvlText w:val="%1.%2"/>
      <w:lvlJc w:val="left"/>
      <w:pPr>
        <w:ind w:left="1105" w:hanging="634"/>
        <w:jc w:val="left"/>
      </w:pPr>
      <w:rPr>
        <w:rFonts w:hint="default" w:ascii="Arial" w:hAnsi="Arial" w:eastAsia="Arial" w:cs="Arial"/>
        <w:w w:val="99"/>
        <w:sz w:val="18"/>
        <w:szCs w:val="18"/>
      </w:rPr>
    </w:lvl>
    <w:lvl w:ilvl="2">
      <w:start w:val="1"/>
      <w:numFmt w:val="decimal"/>
      <w:lvlText w:val="(%3)"/>
      <w:lvlJc w:val="left"/>
      <w:pPr>
        <w:ind w:left="1342" w:hanging="272"/>
        <w:jc w:val="left"/>
      </w:pPr>
      <w:rPr>
        <w:rFonts w:hint="default" w:ascii="Arial" w:hAnsi="Arial" w:eastAsia="Arial" w:cs="Arial"/>
        <w:spacing w:val="-45"/>
        <w:w w:val="99"/>
        <w:sz w:val="18"/>
        <w:szCs w:val="18"/>
      </w:rPr>
    </w:lvl>
    <w:lvl w:ilvl="3">
      <w:start w:val="0"/>
      <w:numFmt w:val="bullet"/>
      <w:lvlText w:val="•"/>
      <w:lvlJc w:val="left"/>
      <w:pPr>
        <w:ind w:left="3328" w:hanging="272"/>
      </w:pPr>
      <w:rPr>
        <w:rFonts w:hint="default"/>
      </w:rPr>
    </w:lvl>
    <w:lvl w:ilvl="4">
      <w:start w:val="0"/>
      <w:numFmt w:val="bullet"/>
      <w:lvlText w:val="•"/>
      <w:lvlJc w:val="left"/>
      <w:pPr>
        <w:ind w:left="4322" w:hanging="272"/>
      </w:pPr>
      <w:rPr>
        <w:rFonts w:hint="default"/>
      </w:rPr>
    </w:lvl>
    <w:lvl w:ilvl="5">
      <w:start w:val="0"/>
      <w:numFmt w:val="bullet"/>
      <w:lvlText w:val="•"/>
      <w:lvlJc w:val="left"/>
      <w:pPr>
        <w:ind w:left="5317" w:hanging="272"/>
      </w:pPr>
      <w:rPr>
        <w:rFonts w:hint="default"/>
      </w:rPr>
    </w:lvl>
    <w:lvl w:ilvl="6">
      <w:start w:val="0"/>
      <w:numFmt w:val="bullet"/>
      <w:lvlText w:val="•"/>
      <w:lvlJc w:val="left"/>
      <w:pPr>
        <w:ind w:left="6311" w:hanging="272"/>
      </w:pPr>
      <w:rPr>
        <w:rFonts w:hint="default"/>
      </w:rPr>
    </w:lvl>
    <w:lvl w:ilvl="7">
      <w:start w:val="0"/>
      <w:numFmt w:val="bullet"/>
      <w:lvlText w:val="•"/>
      <w:lvlJc w:val="left"/>
      <w:pPr>
        <w:ind w:left="7305" w:hanging="272"/>
      </w:pPr>
      <w:rPr>
        <w:rFonts w:hint="default"/>
      </w:rPr>
    </w:lvl>
    <w:lvl w:ilvl="8">
      <w:start w:val="0"/>
      <w:numFmt w:val="bullet"/>
      <w:lvlText w:val="•"/>
      <w:lvlJc w:val="left"/>
      <w:pPr>
        <w:ind w:left="8300" w:hanging="272"/>
      </w:pPr>
      <w:rPr>
        <w:rFonts w:hint="default"/>
      </w:rPr>
    </w:lvl>
  </w:abstractNum>
  <w:abstractNum w:abstractNumId="18">
    <w:multiLevelType w:val="hybridMultilevel"/>
    <w:lvl w:ilvl="0">
      <w:start w:val="14"/>
      <w:numFmt w:val="decimal"/>
      <w:lvlText w:val="%1"/>
      <w:lvlJc w:val="left"/>
      <w:pPr>
        <w:ind w:left="1105" w:hanging="634"/>
        <w:jc w:val="left"/>
      </w:pPr>
      <w:rPr>
        <w:rFonts w:hint="default"/>
      </w:rPr>
    </w:lvl>
    <w:lvl w:ilvl="1">
      <w:start w:val="1"/>
      <w:numFmt w:val="decimal"/>
      <w:lvlText w:val="%1.%2"/>
      <w:lvlJc w:val="left"/>
      <w:pPr>
        <w:ind w:left="1105" w:hanging="634"/>
        <w:jc w:val="left"/>
      </w:pPr>
      <w:rPr>
        <w:rFonts w:hint="default" w:ascii="Arial" w:hAnsi="Arial" w:eastAsia="Arial" w:cs="Arial"/>
        <w:spacing w:val="-1"/>
        <w:w w:val="99"/>
        <w:sz w:val="18"/>
        <w:szCs w:val="18"/>
      </w:rPr>
    </w:lvl>
    <w:lvl w:ilvl="2">
      <w:start w:val="1"/>
      <w:numFmt w:val="decimal"/>
      <w:lvlText w:val="(%3)"/>
      <w:lvlJc w:val="left"/>
      <w:pPr>
        <w:ind w:left="1342" w:hanging="272"/>
        <w:jc w:val="left"/>
      </w:pPr>
      <w:rPr>
        <w:rFonts w:hint="default"/>
        <w:w w:val="99"/>
      </w:rPr>
    </w:lvl>
    <w:lvl w:ilvl="3">
      <w:start w:val="0"/>
      <w:numFmt w:val="bullet"/>
      <w:lvlText w:val="•"/>
      <w:lvlJc w:val="left"/>
      <w:pPr>
        <w:ind w:left="2458" w:hanging="272"/>
      </w:pPr>
      <w:rPr>
        <w:rFonts w:hint="default"/>
      </w:rPr>
    </w:lvl>
    <w:lvl w:ilvl="4">
      <w:start w:val="0"/>
      <w:numFmt w:val="bullet"/>
      <w:lvlText w:val="•"/>
      <w:lvlJc w:val="left"/>
      <w:pPr>
        <w:ind w:left="3577" w:hanging="272"/>
      </w:pPr>
      <w:rPr>
        <w:rFonts w:hint="default"/>
      </w:rPr>
    </w:lvl>
    <w:lvl w:ilvl="5">
      <w:start w:val="0"/>
      <w:numFmt w:val="bullet"/>
      <w:lvlText w:val="•"/>
      <w:lvlJc w:val="left"/>
      <w:pPr>
        <w:ind w:left="4695" w:hanging="272"/>
      </w:pPr>
      <w:rPr>
        <w:rFonts w:hint="default"/>
      </w:rPr>
    </w:lvl>
    <w:lvl w:ilvl="6">
      <w:start w:val="0"/>
      <w:numFmt w:val="bullet"/>
      <w:lvlText w:val="•"/>
      <w:lvlJc w:val="left"/>
      <w:pPr>
        <w:ind w:left="5814" w:hanging="272"/>
      </w:pPr>
      <w:rPr>
        <w:rFonts w:hint="default"/>
      </w:rPr>
    </w:lvl>
    <w:lvl w:ilvl="7">
      <w:start w:val="0"/>
      <w:numFmt w:val="bullet"/>
      <w:lvlText w:val="•"/>
      <w:lvlJc w:val="left"/>
      <w:pPr>
        <w:ind w:left="6933" w:hanging="272"/>
      </w:pPr>
      <w:rPr>
        <w:rFonts w:hint="default"/>
      </w:rPr>
    </w:lvl>
    <w:lvl w:ilvl="8">
      <w:start w:val="0"/>
      <w:numFmt w:val="bullet"/>
      <w:lvlText w:val="•"/>
      <w:lvlJc w:val="left"/>
      <w:pPr>
        <w:ind w:left="8051" w:hanging="272"/>
      </w:pPr>
      <w:rPr>
        <w:rFonts w:hint="default"/>
      </w:rPr>
    </w:lvl>
  </w:abstractNum>
  <w:abstractNum w:abstractNumId="17">
    <w:multiLevelType w:val="hybridMultilevel"/>
    <w:lvl w:ilvl="0">
      <w:start w:val="1"/>
      <w:numFmt w:val="decimal"/>
      <w:lvlText w:val="（%1）"/>
      <w:lvlJc w:val="left"/>
      <w:pPr>
        <w:ind w:left="1448" w:hanging="512"/>
        <w:jc w:val="left"/>
      </w:pPr>
      <w:rPr>
        <w:rFonts w:hint="default" w:ascii="宋体" w:hAnsi="宋体" w:eastAsia="宋体" w:cs="宋体"/>
        <w:w w:val="99"/>
        <w:sz w:val="18"/>
        <w:szCs w:val="18"/>
      </w:rPr>
    </w:lvl>
    <w:lvl w:ilvl="1">
      <w:start w:val="0"/>
      <w:numFmt w:val="bullet"/>
      <w:lvlText w:val="•"/>
      <w:lvlJc w:val="left"/>
      <w:pPr>
        <w:ind w:left="2324" w:hanging="512"/>
      </w:pPr>
      <w:rPr>
        <w:rFonts w:hint="default"/>
      </w:rPr>
    </w:lvl>
    <w:lvl w:ilvl="2">
      <w:start w:val="0"/>
      <w:numFmt w:val="bullet"/>
      <w:lvlText w:val="•"/>
      <w:lvlJc w:val="left"/>
      <w:pPr>
        <w:ind w:left="3209" w:hanging="512"/>
      </w:pPr>
      <w:rPr>
        <w:rFonts w:hint="default"/>
      </w:rPr>
    </w:lvl>
    <w:lvl w:ilvl="3">
      <w:start w:val="0"/>
      <w:numFmt w:val="bullet"/>
      <w:lvlText w:val="•"/>
      <w:lvlJc w:val="left"/>
      <w:pPr>
        <w:ind w:left="4094" w:hanging="512"/>
      </w:pPr>
      <w:rPr>
        <w:rFonts w:hint="default"/>
      </w:rPr>
    </w:lvl>
    <w:lvl w:ilvl="4">
      <w:start w:val="0"/>
      <w:numFmt w:val="bullet"/>
      <w:lvlText w:val="•"/>
      <w:lvlJc w:val="left"/>
      <w:pPr>
        <w:ind w:left="4979" w:hanging="512"/>
      </w:pPr>
      <w:rPr>
        <w:rFonts w:hint="default"/>
      </w:rPr>
    </w:lvl>
    <w:lvl w:ilvl="5">
      <w:start w:val="0"/>
      <w:numFmt w:val="bullet"/>
      <w:lvlText w:val="•"/>
      <w:lvlJc w:val="left"/>
      <w:pPr>
        <w:ind w:left="5864" w:hanging="512"/>
      </w:pPr>
      <w:rPr>
        <w:rFonts w:hint="default"/>
      </w:rPr>
    </w:lvl>
    <w:lvl w:ilvl="6">
      <w:start w:val="0"/>
      <w:numFmt w:val="bullet"/>
      <w:lvlText w:val="•"/>
      <w:lvlJc w:val="left"/>
      <w:pPr>
        <w:ind w:left="6749" w:hanging="512"/>
      </w:pPr>
      <w:rPr>
        <w:rFonts w:hint="default"/>
      </w:rPr>
    </w:lvl>
    <w:lvl w:ilvl="7">
      <w:start w:val="0"/>
      <w:numFmt w:val="bullet"/>
      <w:lvlText w:val="•"/>
      <w:lvlJc w:val="left"/>
      <w:pPr>
        <w:ind w:left="7634" w:hanging="512"/>
      </w:pPr>
      <w:rPr>
        <w:rFonts w:hint="default"/>
      </w:rPr>
    </w:lvl>
    <w:lvl w:ilvl="8">
      <w:start w:val="0"/>
      <w:numFmt w:val="bullet"/>
      <w:lvlText w:val="•"/>
      <w:lvlJc w:val="left"/>
      <w:pPr>
        <w:ind w:left="8519" w:hanging="512"/>
      </w:pPr>
      <w:rPr>
        <w:rFonts w:hint="default"/>
      </w:rPr>
    </w:lvl>
  </w:abstractNum>
  <w:abstractNum w:abstractNumId="16">
    <w:multiLevelType w:val="hybridMultilevel"/>
    <w:lvl w:ilvl="0">
      <w:start w:val="1"/>
      <w:numFmt w:val="decimal"/>
      <w:lvlText w:val="（%1）"/>
      <w:lvlJc w:val="left"/>
      <w:pPr>
        <w:ind w:left="1448" w:hanging="512"/>
        <w:jc w:val="left"/>
      </w:pPr>
      <w:rPr>
        <w:rFonts w:hint="default" w:ascii="宋体" w:hAnsi="宋体" w:eastAsia="宋体" w:cs="宋体"/>
        <w:w w:val="99"/>
        <w:sz w:val="18"/>
        <w:szCs w:val="18"/>
      </w:rPr>
    </w:lvl>
    <w:lvl w:ilvl="1">
      <w:start w:val="0"/>
      <w:numFmt w:val="bullet"/>
      <w:lvlText w:val="•"/>
      <w:lvlJc w:val="left"/>
      <w:pPr>
        <w:ind w:left="2324" w:hanging="512"/>
      </w:pPr>
      <w:rPr>
        <w:rFonts w:hint="default"/>
      </w:rPr>
    </w:lvl>
    <w:lvl w:ilvl="2">
      <w:start w:val="0"/>
      <w:numFmt w:val="bullet"/>
      <w:lvlText w:val="•"/>
      <w:lvlJc w:val="left"/>
      <w:pPr>
        <w:ind w:left="3209" w:hanging="512"/>
      </w:pPr>
      <w:rPr>
        <w:rFonts w:hint="default"/>
      </w:rPr>
    </w:lvl>
    <w:lvl w:ilvl="3">
      <w:start w:val="0"/>
      <w:numFmt w:val="bullet"/>
      <w:lvlText w:val="•"/>
      <w:lvlJc w:val="left"/>
      <w:pPr>
        <w:ind w:left="4094" w:hanging="512"/>
      </w:pPr>
      <w:rPr>
        <w:rFonts w:hint="default"/>
      </w:rPr>
    </w:lvl>
    <w:lvl w:ilvl="4">
      <w:start w:val="0"/>
      <w:numFmt w:val="bullet"/>
      <w:lvlText w:val="•"/>
      <w:lvlJc w:val="left"/>
      <w:pPr>
        <w:ind w:left="4979" w:hanging="512"/>
      </w:pPr>
      <w:rPr>
        <w:rFonts w:hint="default"/>
      </w:rPr>
    </w:lvl>
    <w:lvl w:ilvl="5">
      <w:start w:val="0"/>
      <w:numFmt w:val="bullet"/>
      <w:lvlText w:val="•"/>
      <w:lvlJc w:val="left"/>
      <w:pPr>
        <w:ind w:left="5864" w:hanging="512"/>
      </w:pPr>
      <w:rPr>
        <w:rFonts w:hint="default"/>
      </w:rPr>
    </w:lvl>
    <w:lvl w:ilvl="6">
      <w:start w:val="0"/>
      <w:numFmt w:val="bullet"/>
      <w:lvlText w:val="•"/>
      <w:lvlJc w:val="left"/>
      <w:pPr>
        <w:ind w:left="6749" w:hanging="512"/>
      </w:pPr>
      <w:rPr>
        <w:rFonts w:hint="default"/>
      </w:rPr>
    </w:lvl>
    <w:lvl w:ilvl="7">
      <w:start w:val="0"/>
      <w:numFmt w:val="bullet"/>
      <w:lvlText w:val="•"/>
      <w:lvlJc w:val="left"/>
      <w:pPr>
        <w:ind w:left="7634" w:hanging="512"/>
      </w:pPr>
      <w:rPr>
        <w:rFonts w:hint="default"/>
      </w:rPr>
    </w:lvl>
    <w:lvl w:ilvl="8">
      <w:start w:val="0"/>
      <w:numFmt w:val="bullet"/>
      <w:lvlText w:val="•"/>
      <w:lvlJc w:val="left"/>
      <w:pPr>
        <w:ind w:left="8519" w:hanging="512"/>
      </w:pPr>
      <w:rPr>
        <w:rFonts w:hint="default"/>
      </w:rPr>
    </w:lvl>
  </w:abstractNum>
  <w:abstractNum w:abstractNumId="15">
    <w:multiLevelType w:val="hybridMultilevel"/>
    <w:lvl w:ilvl="0">
      <w:start w:val="1"/>
      <w:numFmt w:val="decimal"/>
      <w:lvlText w:val="（%1）"/>
      <w:lvlJc w:val="left"/>
      <w:pPr>
        <w:ind w:left="1448" w:hanging="512"/>
        <w:jc w:val="left"/>
      </w:pPr>
      <w:rPr>
        <w:rFonts w:hint="default" w:ascii="宋体" w:hAnsi="宋体" w:eastAsia="宋体" w:cs="宋体"/>
        <w:w w:val="99"/>
        <w:sz w:val="18"/>
        <w:szCs w:val="18"/>
      </w:rPr>
    </w:lvl>
    <w:lvl w:ilvl="1">
      <w:start w:val="0"/>
      <w:numFmt w:val="bullet"/>
      <w:lvlText w:val="•"/>
      <w:lvlJc w:val="left"/>
      <w:pPr>
        <w:ind w:left="2324" w:hanging="512"/>
      </w:pPr>
      <w:rPr>
        <w:rFonts w:hint="default"/>
      </w:rPr>
    </w:lvl>
    <w:lvl w:ilvl="2">
      <w:start w:val="0"/>
      <w:numFmt w:val="bullet"/>
      <w:lvlText w:val="•"/>
      <w:lvlJc w:val="left"/>
      <w:pPr>
        <w:ind w:left="3209" w:hanging="512"/>
      </w:pPr>
      <w:rPr>
        <w:rFonts w:hint="default"/>
      </w:rPr>
    </w:lvl>
    <w:lvl w:ilvl="3">
      <w:start w:val="0"/>
      <w:numFmt w:val="bullet"/>
      <w:lvlText w:val="•"/>
      <w:lvlJc w:val="left"/>
      <w:pPr>
        <w:ind w:left="4094" w:hanging="512"/>
      </w:pPr>
      <w:rPr>
        <w:rFonts w:hint="default"/>
      </w:rPr>
    </w:lvl>
    <w:lvl w:ilvl="4">
      <w:start w:val="0"/>
      <w:numFmt w:val="bullet"/>
      <w:lvlText w:val="•"/>
      <w:lvlJc w:val="left"/>
      <w:pPr>
        <w:ind w:left="4979" w:hanging="512"/>
      </w:pPr>
      <w:rPr>
        <w:rFonts w:hint="default"/>
      </w:rPr>
    </w:lvl>
    <w:lvl w:ilvl="5">
      <w:start w:val="0"/>
      <w:numFmt w:val="bullet"/>
      <w:lvlText w:val="•"/>
      <w:lvlJc w:val="left"/>
      <w:pPr>
        <w:ind w:left="5864" w:hanging="512"/>
      </w:pPr>
      <w:rPr>
        <w:rFonts w:hint="default"/>
      </w:rPr>
    </w:lvl>
    <w:lvl w:ilvl="6">
      <w:start w:val="0"/>
      <w:numFmt w:val="bullet"/>
      <w:lvlText w:val="•"/>
      <w:lvlJc w:val="left"/>
      <w:pPr>
        <w:ind w:left="6749" w:hanging="512"/>
      </w:pPr>
      <w:rPr>
        <w:rFonts w:hint="default"/>
      </w:rPr>
    </w:lvl>
    <w:lvl w:ilvl="7">
      <w:start w:val="0"/>
      <w:numFmt w:val="bullet"/>
      <w:lvlText w:val="•"/>
      <w:lvlJc w:val="left"/>
      <w:pPr>
        <w:ind w:left="7634" w:hanging="512"/>
      </w:pPr>
      <w:rPr>
        <w:rFonts w:hint="default"/>
      </w:rPr>
    </w:lvl>
    <w:lvl w:ilvl="8">
      <w:start w:val="0"/>
      <w:numFmt w:val="bullet"/>
      <w:lvlText w:val="•"/>
      <w:lvlJc w:val="left"/>
      <w:pPr>
        <w:ind w:left="8519" w:hanging="512"/>
      </w:pPr>
      <w:rPr>
        <w:rFonts w:hint="default"/>
      </w:rPr>
    </w:lvl>
  </w:abstractNum>
  <w:abstractNum w:abstractNumId="14">
    <w:multiLevelType w:val="hybridMultilevel"/>
    <w:lvl w:ilvl="0">
      <w:start w:val="1"/>
      <w:numFmt w:val="upperRoman"/>
      <w:lvlText w:val="%1"/>
      <w:lvlJc w:val="left"/>
      <w:pPr>
        <w:ind w:left="1028" w:hanging="92"/>
        <w:jc w:val="left"/>
      </w:pPr>
      <w:rPr>
        <w:rFonts w:hint="default" w:ascii="Arial" w:hAnsi="Arial" w:eastAsia="Arial" w:cs="Arial"/>
        <w:w w:val="100"/>
        <w:sz w:val="18"/>
        <w:szCs w:val="18"/>
      </w:rPr>
    </w:lvl>
    <w:lvl w:ilvl="1">
      <w:start w:val="0"/>
      <w:numFmt w:val="bullet"/>
      <w:lvlText w:val="•"/>
      <w:lvlJc w:val="left"/>
      <w:pPr>
        <w:ind w:left="1946" w:hanging="92"/>
      </w:pPr>
      <w:rPr>
        <w:rFonts w:hint="default"/>
      </w:rPr>
    </w:lvl>
    <w:lvl w:ilvl="2">
      <w:start w:val="0"/>
      <w:numFmt w:val="bullet"/>
      <w:lvlText w:val="•"/>
      <w:lvlJc w:val="left"/>
      <w:pPr>
        <w:ind w:left="2873" w:hanging="92"/>
      </w:pPr>
      <w:rPr>
        <w:rFonts w:hint="default"/>
      </w:rPr>
    </w:lvl>
    <w:lvl w:ilvl="3">
      <w:start w:val="0"/>
      <w:numFmt w:val="bullet"/>
      <w:lvlText w:val="•"/>
      <w:lvlJc w:val="left"/>
      <w:pPr>
        <w:ind w:left="3800" w:hanging="92"/>
      </w:pPr>
      <w:rPr>
        <w:rFonts w:hint="default"/>
      </w:rPr>
    </w:lvl>
    <w:lvl w:ilvl="4">
      <w:start w:val="0"/>
      <w:numFmt w:val="bullet"/>
      <w:lvlText w:val="•"/>
      <w:lvlJc w:val="left"/>
      <w:pPr>
        <w:ind w:left="4727" w:hanging="92"/>
      </w:pPr>
      <w:rPr>
        <w:rFonts w:hint="default"/>
      </w:rPr>
    </w:lvl>
    <w:lvl w:ilvl="5">
      <w:start w:val="0"/>
      <w:numFmt w:val="bullet"/>
      <w:lvlText w:val="•"/>
      <w:lvlJc w:val="left"/>
      <w:pPr>
        <w:ind w:left="5654" w:hanging="92"/>
      </w:pPr>
      <w:rPr>
        <w:rFonts w:hint="default"/>
      </w:rPr>
    </w:lvl>
    <w:lvl w:ilvl="6">
      <w:start w:val="0"/>
      <w:numFmt w:val="bullet"/>
      <w:lvlText w:val="•"/>
      <w:lvlJc w:val="left"/>
      <w:pPr>
        <w:ind w:left="6581" w:hanging="92"/>
      </w:pPr>
      <w:rPr>
        <w:rFonts w:hint="default"/>
      </w:rPr>
    </w:lvl>
    <w:lvl w:ilvl="7">
      <w:start w:val="0"/>
      <w:numFmt w:val="bullet"/>
      <w:lvlText w:val="•"/>
      <w:lvlJc w:val="left"/>
      <w:pPr>
        <w:ind w:left="7508" w:hanging="92"/>
      </w:pPr>
      <w:rPr>
        <w:rFonts w:hint="default"/>
      </w:rPr>
    </w:lvl>
    <w:lvl w:ilvl="8">
      <w:start w:val="0"/>
      <w:numFmt w:val="bullet"/>
      <w:lvlText w:val="•"/>
      <w:lvlJc w:val="left"/>
      <w:pPr>
        <w:ind w:left="8435" w:hanging="92"/>
      </w:pPr>
      <w:rPr>
        <w:rFonts w:hint="default"/>
      </w:rPr>
    </w:lvl>
  </w:abstractNum>
  <w:abstractNum w:abstractNumId="13">
    <w:multiLevelType w:val="hybridMultilevel"/>
    <w:lvl w:ilvl="0">
      <w:start w:val="1"/>
      <w:numFmt w:val="decimal"/>
      <w:lvlText w:val="%1"/>
      <w:lvlJc w:val="left"/>
      <w:pPr>
        <w:ind w:left="1630" w:hanging="293"/>
        <w:jc w:val="left"/>
      </w:pPr>
      <w:rPr>
        <w:rFonts w:hint="default"/>
      </w:rPr>
    </w:lvl>
    <w:lvl w:ilvl="1">
      <w:start w:val="1"/>
      <w:numFmt w:val="decimal"/>
      <w:lvlText w:val="%1.%2"/>
      <w:lvlJc w:val="left"/>
      <w:pPr>
        <w:ind w:left="1630" w:hanging="293"/>
        <w:jc w:val="left"/>
      </w:pPr>
      <w:rPr>
        <w:rFonts w:hint="default" w:ascii="Arial" w:hAnsi="Arial" w:eastAsia="Arial" w:cs="Arial"/>
        <w:w w:val="99"/>
        <w:sz w:val="18"/>
        <w:szCs w:val="18"/>
      </w:rPr>
    </w:lvl>
    <w:lvl w:ilvl="2">
      <w:start w:val="0"/>
      <w:numFmt w:val="bullet"/>
      <w:lvlText w:val="•"/>
      <w:lvlJc w:val="left"/>
      <w:pPr>
        <w:ind w:left="3373" w:hanging="293"/>
      </w:pPr>
      <w:rPr>
        <w:rFonts w:hint="default"/>
      </w:rPr>
    </w:lvl>
    <w:lvl w:ilvl="3">
      <w:start w:val="0"/>
      <w:numFmt w:val="bullet"/>
      <w:lvlText w:val="•"/>
      <w:lvlJc w:val="left"/>
      <w:pPr>
        <w:ind w:left="4240" w:hanging="293"/>
      </w:pPr>
      <w:rPr>
        <w:rFonts w:hint="default"/>
      </w:rPr>
    </w:lvl>
    <w:lvl w:ilvl="4">
      <w:start w:val="0"/>
      <w:numFmt w:val="bullet"/>
      <w:lvlText w:val="•"/>
      <w:lvlJc w:val="left"/>
      <w:pPr>
        <w:ind w:left="5107" w:hanging="293"/>
      </w:pPr>
      <w:rPr>
        <w:rFonts w:hint="default"/>
      </w:rPr>
    </w:lvl>
    <w:lvl w:ilvl="5">
      <w:start w:val="0"/>
      <w:numFmt w:val="bullet"/>
      <w:lvlText w:val="•"/>
      <w:lvlJc w:val="left"/>
      <w:pPr>
        <w:ind w:left="5974" w:hanging="293"/>
      </w:pPr>
      <w:rPr>
        <w:rFonts w:hint="default"/>
      </w:rPr>
    </w:lvl>
    <w:lvl w:ilvl="6">
      <w:start w:val="0"/>
      <w:numFmt w:val="bullet"/>
      <w:lvlText w:val="•"/>
      <w:lvlJc w:val="left"/>
      <w:pPr>
        <w:ind w:left="6841" w:hanging="293"/>
      </w:pPr>
      <w:rPr>
        <w:rFonts w:hint="default"/>
      </w:rPr>
    </w:lvl>
    <w:lvl w:ilvl="7">
      <w:start w:val="0"/>
      <w:numFmt w:val="bullet"/>
      <w:lvlText w:val="•"/>
      <w:lvlJc w:val="left"/>
      <w:pPr>
        <w:ind w:left="7708" w:hanging="293"/>
      </w:pPr>
      <w:rPr>
        <w:rFonts w:hint="default"/>
      </w:rPr>
    </w:lvl>
    <w:lvl w:ilvl="8">
      <w:start w:val="0"/>
      <w:numFmt w:val="bullet"/>
      <w:lvlText w:val="•"/>
      <w:lvlJc w:val="left"/>
      <w:pPr>
        <w:ind w:left="8575" w:hanging="293"/>
      </w:pPr>
      <w:rPr>
        <w:rFonts w:hint="default"/>
      </w:rPr>
    </w:lvl>
  </w:abstractNum>
  <w:abstractNum w:abstractNumId="12">
    <w:multiLevelType w:val="hybridMultilevel"/>
    <w:lvl w:ilvl="0">
      <w:start w:val="1"/>
      <w:numFmt w:val="decimal"/>
      <w:lvlText w:val="（%1）"/>
      <w:lvlJc w:val="left"/>
      <w:pPr>
        <w:ind w:left="1722" w:hanging="512"/>
        <w:jc w:val="left"/>
      </w:pPr>
      <w:rPr>
        <w:rFonts w:hint="default" w:ascii="宋体" w:hAnsi="宋体" w:eastAsia="宋体" w:cs="宋体"/>
        <w:w w:val="99"/>
        <w:sz w:val="18"/>
        <w:szCs w:val="18"/>
      </w:rPr>
    </w:lvl>
    <w:lvl w:ilvl="1">
      <w:start w:val="0"/>
      <w:numFmt w:val="bullet"/>
      <w:lvlText w:val="•"/>
      <w:lvlJc w:val="left"/>
      <w:pPr>
        <w:ind w:left="2576" w:hanging="512"/>
      </w:pPr>
      <w:rPr>
        <w:rFonts w:hint="default"/>
      </w:rPr>
    </w:lvl>
    <w:lvl w:ilvl="2">
      <w:start w:val="0"/>
      <w:numFmt w:val="bullet"/>
      <w:lvlText w:val="•"/>
      <w:lvlJc w:val="left"/>
      <w:pPr>
        <w:ind w:left="3433" w:hanging="512"/>
      </w:pPr>
      <w:rPr>
        <w:rFonts w:hint="default"/>
      </w:rPr>
    </w:lvl>
    <w:lvl w:ilvl="3">
      <w:start w:val="0"/>
      <w:numFmt w:val="bullet"/>
      <w:lvlText w:val="•"/>
      <w:lvlJc w:val="left"/>
      <w:pPr>
        <w:ind w:left="4290" w:hanging="512"/>
      </w:pPr>
      <w:rPr>
        <w:rFonts w:hint="default"/>
      </w:rPr>
    </w:lvl>
    <w:lvl w:ilvl="4">
      <w:start w:val="0"/>
      <w:numFmt w:val="bullet"/>
      <w:lvlText w:val="•"/>
      <w:lvlJc w:val="left"/>
      <w:pPr>
        <w:ind w:left="5147" w:hanging="512"/>
      </w:pPr>
      <w:rPr>
        <w:rFonts w:hint="default"/>
      </w:rPr>
    </w:lvl>
    <w:lvl w:ilvl="5">
      <w:start w:val="0"/>
      <w:numFmt w:val="bullet"/>
      <w:lvlText w:val="•"/>
      <w:lvlJc w:val="left"/>
      <w:pPr>
        <w:ind w:left="6004" w:hanging="512"/>
      </w:pPr>
      <w:rPr>
        <w:rFonts w:hint="default"/>
      </w:rPr>
    </w:lvl>
    <w:lvl w:ilvl="6">
      <w:start w:val="0"/>
      <w:numFmt w:val="bullet"/>
      <w:lvlText w:val="•"/>
      <w:lvlJc w:val="left"/>
      <w:pPr>
        <w:ind w:left="6861" w:hanging="512"/>
      </w:pPr>
      <w:rPr>
        <w:rFonts w:hint="default"/>
      </w:rPr>
    </w:lvl>
    <w:lvl w:ilvl="7">
      <w:start w:val="0"/>
      <w:numFmt w:val="bullet"/>
      <w:lvlText w:val="•"/>
      <w:lvlJc w:val="left"/>
      <w:pPr>
        <w:ind w:left="7718" w:hanging="512"/>
      </w:pPr>
      <w:rPr>
        <w:rFonts w:hint="default"/>
      </w:rPr>
    </w:lvl>
    <w:lvl w:ilvl="8">
      <w:start w:val="0"/>
      <w:numFmt w:val="bullet"/>
      <w:lvlText w:val="•"/>
      <w:lvlJc w:val="left"/>
      <w:pPr>
        <w:ind w:left="8575" w:hanging="512"/>
      </w:pPr>
      <w:rPr>
        <w:rFonts w:hint="default"/>
      </w:rPr>
    </w:lvl>
  </w:abstractNum>
  <w:abstractNum w:abstractNumId="11">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30" w:hanging="425"/>
        <w:jc w:val="left"/>
      </w:pPr>
      <w:rPr>
        <w:rFonts w:hint="default" w:ascii="Arial" w:hAnsi="Arial" w:eastAsia="Arial" w:cs="Arial"/>
        <w:w w:val="99"/>
        <w:sz w:val="18"/>
        <w:szCs w:val="18"/>
      </w:rPr>
    </w:lvl>
    <w:lvl w:ilvl="3">
      <w:start w:val="0"/>
      <w:numFmt w:val="bullet"/>
      <w:lvlText w:val="•"/>
      <w:lvlJc w:val="left"/>
      <w:pPr>
        <w:ind w:left="2633" w:hanging="425"/>
      </w:pPr>
      <w:rPr>
        <w:rFonts w:hint="default"/>
      </w:rPr>
    </w:lvl>
    <w:lvl w:ilvl="4">
      <w:start w:val="0"/>
      <w:numFmt w:val="bullet"/>
      <w:lvlText w:val="•"/>
      <w:lvlJc w:val="left"/>
      <w:pPr>
        <w:ind w:left="3727" w:hanging="425"/>
      </w:pPr>
      <w:rPr>
        <w:rFonts w:hint="default"/>
      </w:rPr>
    </w:lvl>
    <w:lvl w:ilvl="5">
      <w:start w:val="0"/>
      <w:numFmt w:val="bullet"/>
      <w:lvlText w:val="•"/>
      <w:lvlJc w:val="left"/>
      <w:pPr>
        <w:ind w:left="4820" w:hanging="425"/>
      </w:pPr>
      <w:rPr>
        <w:rFonts w:hint="default"/>
      </w:rPr>
    </w:lvl>
    <w:lvl w:ilvl="6">
      <w:start w:val="0"/>
      <w:numFmt w:val="bullet"/>
      <w:lvlText w:val="•"/>
      <w:lvlJc w:val="left"/>
      <w:pPr>
        <w:ind w:left="5914" w:hanging="425"/>
      </w:pPr>
      <w:rPr>
        <w:rFonts w:hint="default"/>
      </w:rPr>
    </w:lvl>
    <w:lvl w:ilvl="7">
      <w:start w:val="0"/>
      <w:numFmt w:val="bullet"/>
      <w:lvlText w:val="•"/>
      <w:lvlJc w:val="left"/>
      <w:pPr>
        <w:ind w:left="7008" w:hanging="425"/>
      </w:pPr>
      <w:rPr>
        <w:rFonts w:hint="default"/>
      </w:rPr>
    </w:lvl>
    <w:lvl w:ilvl="8">
      <w:start w:val="0"/>
      <w:numFmt w:val="bullet"/>
      <w:lvlText w:val="•"/>
      <w:lvlJc w:val="left"/>
      <w:pPr>
        <w:ind w:left="8101" w:hanging="425"/>
      </w:pPr>
      <w:rPr>
        <w:rFonts w:hint="default"/>
      </w:rPr>
    </w:lvl>
  </w:abstractNum>
  <w:abstractNum w:abstractNumId="10">
    <w:multiLevelType w:val="hybridMultilevel"/>
    <w:lvl w:ilvl="0">
      <w:start w:val="12"/>
      <w:numFmt w:val="decimal"/>
      <w:lvlText w:val="%1"/>
      <w:lvlJc w:val="left"/>
      <w:pPr>
        <w:ind w:left="1131" w:hanging="596"/>
        <w:jc w:val="left"/>
      </w:pPr>
      <w:rPr>
        <w:rFonts w:hint="default"/>
      </w:rPr>
    </w:lvl>
    <w:lvl w:ilvl="1">
      <w:start w:val="1"/>
      <w:numFmt w:val="decimal"/>
      <w:lvlText w:val="%1.%2"/>
      <w:lvlJc w:val="left"/>
      <w:pPr>
        <w:ind w:left="1102" w:hanging="596"/>
        <w:jc w:val="left"/>
      </w:pPr>
      <w:rPr>
        <w:rFonts w:hint="default" w:ascii="Arial" w:hAnsi="Arial" w:eastAsia="Arial" w:cs="Arial"/>
        <w:w w:val="99"/>
        <w:sz w:val="18"/>
        <w:szCs w:val="18"/>
      </w:rPr>
    </w:lvl>
    <w:lvl w:ilvl="2">
      <w:start w:val="1"/>
      <w:numFmt w:val="decimal"/>
      <w:lvlText w:val="(%3)"/>
      <w:lvlJc w:val="left"/>
      <w:pPr>
        <w:ind w:left="1822" w:hanging="579"/>
        <w:jc w:val="left"/>
      </w:pPr>
      <w:rPr>
        <w:rFonts w:hint="default" w:ascii="Arial" w:hAnsi="Arial" w:eastAsia="Arial" w:cs="Arial"/>
        <w:w w:val="99"/>
        <w:sz w:val="18"/>
        <w:szCs w:val="18"/>
      </w:rPr>
    </w:lvl>
    <w:lvl w:ilvl="3">
      <w:start w:val="0"/>
      <w:numFmt w:val="bullet"/>
      <w:lvlText w:val="•"/>
      <w:lvlJc w:val="left"/>
      <w:pPr>
        <w:ind w:left="2878" w:hanging="579"/>
      </w:pPr>
      <w:rPr>
        <w:rFonts w:hint="default"/>
      </w:rPr>
    </w:lvl>
    <w:lvl w:ilvl="4">
      <w:start w:val="0"/>
      <w:numFmt w:val="bullet"/>
      <w:lvlText w:val="•"/>
      <w:lvlJc w:val="left"/>
      <w:pPr>
        <w:ind w:left="3937" w:hanging="579"/>
      </w:pPr>
      <w:rPr>
        <w:rFonts w:hint="default"/>
      </w:rPr>
    </w:lvl>
    <w:lvl w:ilvl="5">
      <w:start w:val="0"/>
      <w:numFmt w:val="bullet"/>
      <w:lvlText w:val="•"/>
      <w:lvlJc w:val="left"/>
      <w:pPr>
        <w:ind w:left="4995" w:hanging="579"/>
      </w:pPr>
      <w:rPr>
        <w:rFonts w:hint="default"/>
      </w:rPr>
    </w:lvl>
    <w:lvl w:ilvl="6">
      <w:start w:val="0"/>
      <w:numFmt w:val="bullet"/>
      <w:lvlText w:val="•"/>
      <w:lvlJc w:val="left"/>
      <w:pPr>
        <w:ind w:left="6054" w:hanging="579"/>
      </w:pPr>
      <w:rPr>
        <w:rFonts w:hint="default"/>
      </w:rPr>
    </w:lvl>
    <w:lvl w:ilvl="7">
      <w:start w:val="0"/>
      <w:numFmt w:val="bullet"/>
      <w:lvlText w:val="•"/>
      <w:lvlJc w:val="left"/>
      <w:pPr>
        <w:ind w:left="7113" w:hanging="579"/>
      </w:pPr>
      <w:rPr>
        <w:rFonts w:hint="default"/>
      </w:rPr>
    </w:lvl>
    <w:lvl w:ilvl="8">
      <w:start w:val="0"/>
      <w:numFmt w:val="bullet"/>
      <w:lvlText w:val="•"/>
      <w:lvlJc w:val="left"/>
      <w:pPr>
        <w:ind w:left="8171" w:hanging="579"/>
      </w:pPr>
      <w:rPr>
        <w:rFonts w:hint="default"/>
      </w:rPr>
    </w:lvl>
  </w:abstractNum>
  <w:abstractNum w:abstractNumId="9">
    <w:multiLevelType w:val="hybridMultilevel"/>
    <w:lvl w:ilvl="0">
      <w:start w:val="11"/>
      <w:numFmt w:val="decimal"/>
      <w:lvlText w:val="%1"/>
      <w:lvlJc w:val="left"/>
      <w:pPr>
        <w:ind w:left="1131" w:hanging="596"/>
        <w:jc w:val="left"/>
      </w:pPr>
      <w:rPr>
        <w:rFonts w:hint="default"/>
      </w:rPr>
    </w:lvl>
    <w:lvl w:ilvl="1">
      <w:start w:val="1"/>
      <w:numFmt w:val="decimal"/>
      <w:lvlText w:val="%1.%2"/>
      <w:lvlJc w:val="left"/>
      <w:pPr>
        <w:ind w:left="1131" w:hanging="596"/>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8">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7">
    <w:multiLevelType w:val="hybridMultilevel"/>
    <w:lvl w:ilvl="0">
      <w:start w:val="8"/>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551" w:hanging="416"/>
        <w:jc w:val="left"/>
      </w:pPr>
      <w:rPr>
        <w:rFonts w:hint="default" w:ascii="Arial" w:hAnsi="Arial" w:eastAsia="Arial" w:cs="Arial"/>
        <w:spacing w:val="-6"/>
        <w:w w:val="99"/>
        <w:sz w:val="18"/>
        <w:szCs w:val="18"/>
      </w:rPr>
    </w:lvl>
    <w:lvl w:ilvl="3">
      <w:start w:val="0"/>
      <w:numFmt w:val="bullet"/>
      <w:lvlText w:val="•"/>
      <w:lvlJc w:val="left"/>
      <w:pPr>
        <w:ind w:left="3499" w:hanging="416"/>
      </w:pPr>
      <w:rPr>
        <w:rFonts w:hint="default"/>
      </w:rPr>
    </w:lvl>
    <w:lvl w:ilvl="4">
      <w:start w:val="0"/>
      <w:numFmt w:val="bullet"/>
      <w:lvlText w:val="•"/>
      <w:lvlJc w:val="left"/>
      <w:pPr>
        <w:ind w:left="4469" w:hanging="416"/>
      </w:pPr>
      <w:rPr>
        <w:rFonts w:hint="default"/>
      </w:rPr>
    </w:lvl>
    <w:lvl w:ilvl="5">
      <w:start w:val="0"/>
      <w:numFmt w:val="bullet"/>
      <w:lvlText w:val="•"/>
      <w:lvlJc w:val="left"/>
      <w:pPr>
        <w:ind w:left="5439" w:hanging="416"/>
      </w:pPr>
      <w:rPr>
        <w:rFonts w:hint="default"/>
      </w:rPr>
    </w:lvl>
    <w:lvl w:ilvl="6">
      <w:start w:val="0"/>
      <w:numFmt w:val="bullet"/>
      <w:lvlText w:val="•"/>
      <w:lvlJc w:val="left"/>
      <w:pPr>
        <w:ind w:left="6409" w:hanging="416"/>
      </w:pPr>
      <w:rPr>
        <w:rFonts w:hint="default"/>
      </w:rPr>
    </w:lvl>
    <w:lvl w:ilvl="7">
      <w:start w:val="0"/>
      <w:numFmt w:val="bullet"/>
      <w:lvlText w:val="•"/>
      <w:lvlJc w:val="left"/>
      <w:pPr>
        <w:ind w:left="7379" w:hanging="416"/>
      </w:pPr>
      <w:rPr>
        <w:rFonts w:hint="default"/>
      </w:rPr>
    </w:lvl>
    <w:lvl w:ilvl="8">
      <w:start w:val="0"/>
      <w:numFmt w:val="bullet"/>
      <w:lvlText w:val="•"/>
      <w:lvlJc w:val="left"/>
      <w:pPr>
        <w:ind w:left="8349" w:hanging="416"/>
      </w:pPr>
      <w:rPr>
        <w:rFonts w:hint="default"/>
      </w:rPr>
    </w:lvl>
  </w:abstractNum>
  <w:abstractNum w:abstractNumId="6">
    <w:multiLevelType w:val="hybridMultilevel"/>
    <w:lvl w:ilvl="0">
      <w:start w:val="5"/>
      <w:numFmt w:val="decimal"/>
      <w:lvlText w:val="%1"/>
      <w:lvlJc w:val="left"/>
      <w:pPr>
        <w:ind w:left="1105" w:hanging="562"/>
        <w:jc w:val="left"/>
      </w:pPr>
      <w:rPr>
        <w:rFonts w:hint="default"/>
      </w:rPr>
    </w:lvl>
    <w:lvl w:ilvl="1">
      <w:start w:val="1"/>
      <w:numFmt w:val="decimal"/>
      <w:lvlText w:val="%1.%2"/>
      <w:lvlJc w:val="left"/>
      <w:pPr>
        <w:ind w:left="1105" w:hanging="562"/>
        <w:jc w:val="left"/>
      </w:pPr>
      <w:rPr>
        <w:rFonts w:hint="default" w:ascii="Arial" w:hAnsi="Arial" w:eastAsia="Arial" w:cs="Arial"/>
        <w:w w:val="99"/>
        <w:sz w:val="18"/>
        <w:szCs w:val="18"/>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5">
    <w:multiLevelType w:val="hybridMultilevel"/>
    <w:lvl w:ilvl="0">
      <w:start w:val="1"/>
      <w:numFmt w:val="decimal"/>
      <w:lvlText w:val="（%1）"/>
      <w:lvlJc w:val="left"/>
      <w:pPr>
        <w:ind w:left="1954" w:hanging="567"/>
        <w:jc w:val="left"/>
      </w:pPr>
      <w:rPr>
        <w:rFonts w:hint="default" w:ascii="宋体" w:hAnsi="宋体" w:eastAsia="宋体" w:cs="宋体"/>
        <w:w w:val="99"/>
        <w:sz w:val="18"/>
        <w:szCs w:val="18"/>
      </w:rPr>
    </w:lvl>
    <w:lvl w:ilvl="1">
      <w:start w:val="0"/>
      <w:numFmt w:val="bullet"/>
      <w:lvlText w:val="•"/>
      <w:lvlJc w:val="left"/>
      <w:pPr>
        <w:ind w:left="2792" w:hanging="567"/>
      </w:pPr>
      <w:rPr>
        <w:rFonts w:hint="default"/>
      </w:rPr>
    </w:lvl>
    <w:lvl w:ilvl="2">
      <w:start w:val="0"/>
      <w:numFmt w:val="bullet"/>
      <w:lvlText w:val="•"/>
      <w:lvlJc w:val="left"/>
      <w:pPr>
        <w:ind w:left="3625" w:hanging="567"/>
      </w:pPr>
      <w:rPr>
        <w:rFonts w:hint="default"/>
      </w:rPr>
    </w:lvl>
    <w:lvl w:ilvl="3">
      <w:start w:val="0"/>
      <w:numFmt w:val="bullet"/>
      <w:lvlText w:val="•"/>
      <w:lvlJc w:val="left"/>
      <w:pPr>
        <w:ind w:left="4458" w:hanging="567"/>
      </w:pPr>
      <w:rPr>
        <w:rFonts w:hint="default"/>
      </w:rPr>
    </w:lvl>
    <w:lvl w:ilvl="4">
      <w:start w:val="0"/>
      <w:numFmt w:val="bullet"/>
      <w:lvlText w:val="•"/>
      <w:lvlJc w:val="left"/>
      <w:pPr>
        <w:ind w:left="5291" w:hanging="567"/>
      </w:pPr>
      <w:rPr>
        <w:rFonts w:hint="default"/>
      </w:rPr>
    </w:lvl>
    <w:lvl w:ilvl="5">
      <w:start w:val="0"/>
      <w:numFmt w:val="bullet"/>
      <w:lvlText w:val="•"/>
      <w:lvlJc w:val="left"/>
      <w:pPr>
        <w:ind w:left="6124" w:hanging="567"/>
      </w:pPr>
      <w:rPr>
        <w:rFonts w:hint="default"/>
      </w:rPr>
    </w:lvl>
    <w:lvl w:ilvl="6">
      <w:start w:val="0"/>
      <w:numFmt w:val="bullet"/>
      <w:lvlText w:val="•"/>
      <w:lvlJc w:val="left"/>
      <w:pPr>
        <w:ind w:left="6957" w:hanging="567"/>
      </w:pPr>
      <w:rPr>
        <w:rFonts w:hint="default"/>
      </w:rPr>
    </w:lvl>
    <w:lvl w:ilvl="7">
      <w:start w:val="0"/>
      <w:numFmt w:val="bullet"/>
      <w:lvlText w:val="•"/>
      <w:lvlJc w:val="left"/>
      <w:pPr>
        <w:ind w:left="7790" w:hanging="567"/>
      </w:pPr>
      <w:rPr>
        <w:rFonts w:hint="default"/>
      </w:rPr>
    </w:lvl>
    <w:lvl w:ilvl="8">
      <w:start w:val="0"/>
      <w:numFmt w:val="bullet"/>
      <w:lvlText w:val="•"/>
      <w:lvlJc w:val="left"/>
      <w:pPr>
        <w:ind w:left="8623" w:hanging="567"/>
      </w:pPr>
      <w:rPr>
        <w:rFonts w:hint="default"/>
      </w:rPr>
    </w:lvl>
  </w:abstractNum>
  <w:abstractNum w:abstractNumId="4">
    <w:multiLevelType w:val="hybridMultilevel"/>
    <w:lvl w:ilvl="0">
      <w:start w:val="1"/>
      <w:numFmt w:val="decimal"/>
      <w:lvlText w:val="（%1）"/>
      <w:lvlJc w:val="left"/>
      <w:pPr>
        <w:ind w:left="1954" w:hanging="567"/>
        <w:jc w:val="left"/>
      </w:pPr>
      <w:rPr>
        <w:rFonts w:hint="default" w:ascii="宋体" w:hAnsi="宋体" w:eastAsia="宋体" w:cs="宋体"/>
        <w:w w:val="99"/>
        <w:sz w:val="18"/>
        <w:szCs w:val="18"/>
      </w:rPr>
    </w:lvl>
    <w:lvl w:ilvl="1">
      <w:start w:val="0"/>
      <w:numFmt w:val="bullet"/>
      <w:lvlText w:val="•"/>
      <w:lvlJc w:val="left"/>
      <w:pPr>
        <w:ind w:left="2798" w:hanging="567"/>
      </w:pPr>
      <w:rPr>
        <w:rFonts w:hint="default"/>
      </w:rPr>
    </w:lvl>
    <w:lvl w:ilvl="2">
      <w:start w:val="0"/>
      <w:numFmt w:val="bullet"/>
      <w:lvlText w:val="•"/>
      <w:lvlJc w:val="left"/>
      <w:pPr>
        <w:ind w:left="3637" w:hanging="567"/>
      </w:pPr>
      <w:rPr>
        <w:rFonts w:hint="default"/>
      </w:rPr>
    </w:lvl>
    <w:lvl w:ilvl="3">
      <w:start w:val="0"/>
      <w:numFmt w:val="bullet"/>
      <w:lvlText w:val="•"/>
      <w:lvlJc w:val="left"/>
      <w:pPr>
        <w:ind w:left="4476" w:hanging="567"/>
      </w:pPr>
      <w:rPr>
        <w:rFonts w:hint="default"/>
      </w:rPr>
    </w:lvl>
    <w:lvl w:ilvl="4">
      <w:start w:val="0"/>
      <w:numFmt w:val="bullet"/>
      <w:lvlText w:val="•"/>
      <w:lvlJc w:val="left"/>
      <w:pPr>
        <w:ind w:left="5315" w:hanging="567"/>
      </w:pPr>
      <w:rPr>
        <w:rFonts w:hint="default"/>
      </w:rPr>
    </w:lvl>
    <w:lvl w:ilvl="5">
      <w:start w:val="0"/>
      <w:numFmt w:val="bullet"/>
      <w:lvlText w:val="•"/>
      <w:lvlJc w:val="left"/>
      <w:pPr>
        <w:ind w:left="6154" w:hanging="567"/>
      </w:pPr>
      <w:rPr>
        <w:rFonts w:hint="default"/>
      </w:rPr>
    </w:lvl>
    <w:lvl w:ilvl="6">
      <w:start w:val="0"/>
      <w:numFmt w:val="bullet"/>
      <w:lvlText w:val="•"/>
      <w:lvlJc w:val="left"/>
      <w:pPr>
        <w:ind w:left="6993" w:hanging="567"/>
      </w:pPr>
      <w:rPr>
        <w:rFonts w:hint="default"/>
      </w:rPr>
    </w:lvl>
    <w:lvl w:ilvl="7">
      <w:start w:val="0"/>
      <w:numFmt w:val="bullet"/>
      <w:lvlText w:val="•"/>
      <w:lvlJc w:val="left"/>
      <w:pPr>
        <w:ind w:left="7832" w:hanging="567"/>
      </w:pPr>
      <w:rPr>
        <w:rFonts w:hint="default"/>
      </w:rPr>
    </w:lvl>
    <w:lvl w:ilvl="8">
      <w:start w:val="0"/>
      <w:numFmt w:val="bullet"/>
      <w:lvlText w:val="•"/>
      <w:lvlJc w:val="left"/>
      <w:pPr>
        <w:ind w:left="8671" w:hanging="567"/>
      </w:pPr>
      <w:rPr>
        <w:rFonts w:hint="default"/>
      </w:rPr>
    </w:lvl>
  </w:abstractNum>
  <w:abstractNum w:abstractNumId="3">
    <w:multiLevelType w:val="hybridMultilevel"/>
    <w:lvl w:ilvl="0">
      <w:start w:val="4"/>
      <w:numFmt w:val="decimal"/>
      <w:lvlText w:val="%1"/>
      <w:lvlJc w:val="left"/>
      <w:pPr>
        <w:ind w:left="1530" w:hanging="425"/>
        <w:jc w:val="left"/>
      </w:pPr>
      <w:rPr>
        <w:rFonts w:hint="default"/>
      </w:rPr>
    </w:lvl>
    <w:lvl w:ilvl="1">
      <w:start w:val="2"/>
      <w:numFmt w:val="decimal"/>
      <w:lvlText w:val="%1.%2"/>
      <w:lvlJc w:val="left"/>
      <w:pPr>
        <w:ind w:left="1530" w:hanging="425"/>
        <w:jc w:val="right"/>
      </w:pPr>
      <w:rPr>
        <w:rFonts w:hint="default"/>
      </w:rPr>
    </w:lvl>
    <w:lvl w:ilvl="2">
      <w:start w:val="1"/>
      <w:numFmt w:val="decimal"/>
      <w:lvlText w:val="%1.%2.%3"/>
      <w:lvlJc w:val="left"/>
      <w:pPr>
        <w:ind w:left="1530" w:hanging="425"/>
        <w:jc w:val="left"/>
      </w:pPr>
      <w:rPr>
        <w:rFonts w:hint="default" w:ascii="Arial" w:hAnsi="Arial" w:eastAsia="Arial" w:cs="Arial"/>
        <w:w w:val="99"/>
        <w:sz w:val="18"/>
        <w:szCs w:val="18"/>
      </w:rPr>
    </w:lvl>
    <w:lvl w:ilvl="3">
      <w:start w:val="1"/>
      <w:numFmt w:val="decimal"/>
      <w:lvlText w:val="(%4)"/>
      <w:lvlJc w:val="left"/>
      <w:pPr>
        <w:ind w:left="1954" w:hanging="531"/>
        <w:jc w:val="left"/>
      </w:pPr>
      <w:rPr>
        <w:rFonts w:hint="default" w:ascii="Arial" w:hAnsi="Arial" w:eastAsia="Arial" w:cs="Arial"/>
        <w:w w:val="99"/>
        <w:sz w:val="18"/>
        <w:szCs w:val="18"/>
      </w:rPr>
    </w:lvl>
    <w:lvl w:ilvl="4">
      <w:start w:val="0"/>
      <w:numFmt w:val="bullet"/>
      <w:lvlText w:val="•"/>
      <w:lvlJc w:val="left"/>
      <w:pPr>
        <w:ind w:left="4756" w:hanging="531"/>
      </w:pPr>
      <w:rPr>
        <w:rFonts w:hint="default"/>
      </w:rPr>
    </w:lvl>
    <w:lvl w:ilvl="5">
      <w:start w:val="0"/>
      <w:numFmt w:val="bullet"/>
      <w:lvlText w:val="•"/>
      <w:lvlJc w:val="left"/>
      <w:pPr>
        <w:ind w:left="5688" w:hanging="531"/>
      </w:pPr>
      <w:rPr>
        <w:rFonts w:hint="default"/>
      </w:rPr>
    </w:lvl>
    <w:lvl w:ilvl="6">
      <w:start w:val="0"/>
      <w:numFmt w:val="bullet"/>
      <w:lvlText w:val="•"/>
      <w:lvlJc w:val="left"/>
      <w:pPr>
        <w:ind w:left="6620" w:hanging="531"/>
      </w:pPr>
      <w:rPr>
        <w:rFonts w:hint="default"/>
      </w:rPr>
    </w:lvl>
    <w:lvl w:ilvl="7">
      <w:start w:val="0"/>
      <w:numFmt w:val="bullet"/>
      <w:lvlText w:val="•"/>
      <w:lvlJc w:val="left"/>
      <w:pPr>
        <w:ind w:left="7552" w:hanging="531"/>
      </w:pPr>
      <w:rPr>
        <w:rFonts w:hint="default"/>
      </w:rPr>
    </w:lvl>
    <w:lvl w:ilvl="8">
      <w:start w:val="0"/>
      <w:numFmt w:val="bullet"/>
      <w:lvlText w:val="•"/>
      <w:lvlJc w:val="left"/>
      <w:pPr>
        <w:ind w:left="8484" w:hanging="531"/>
      </w:pPr>
      <w:rPr>
        <w:rFonts w:hint="default"/>
      </w:rPr>
    </w:lvl>
  </w:abstractNum>
  <w:abstractNum w:abstractNumId="2">
    <w:multiLevelType w:val="hybridMultilevel"/>
    <w:lvl w:ilvl="0">
      <w:start w:val="4"/>
      <w:numFmt w:val="decimal"/>
      <w:lvlText w:val="%1"/>
      <w:lvlJc w:val="left"/>
      <w:pPr>
        <w:ind w:left="1105" w:hanging="548"/>
        <w:jc w:val="left"/>
      </w:pPr>
      <w:rPr>
        <w:rFonts w:hint="default"/>
      </w:rPr>
    </w:lvl>
    <w:lvl w:ilvl="1">
      <w:start w:val="1"/>
      <w:numFmt w:val="decimal"/>
      <w:lvlText w:val="%1.%2"/>
      <w:lvlJc w:val="left"/>
      <w:pPr>
        <w:ind w:left="1105" w:hanging="548"/>
        <w:jc w:val="left"/>
      </w:pPr>
      <w:rPr>
        <w:rFonts w:hint="default" w:ascii="Arial" w:hAnsi="Arial" w:eastAsia="Arial" w:cs="Arial"/>
        <w:spacing w:val="-1"/>
        <w:w w:val="99"/>
        <w:sz w:val="18"/>
        <w:szCs w:val="18"/>
      </w:rPr>
    </w:lvl>
    <w:lvl w:ilvl="2">
      <w:start w:val="1"/>
      <w:numFmt w:val="decimal"/>
      <w:lvlText w:val="(%3)"/>
      <w:lvlJc w:val="left"/>
      <w:pPr>
        <w:ind w:left="1954" w:hanging="531"/>
        <w:jc w:val="left"/>
      </w:pPr>
      <w:rPr>
        <w:rFonts w:hint="default" w:ascii="Arial" w:hAnsi="Arial" w:eastAsia="Arial" w:cs="Arial"/>
        <w:spacing w:val="-3"/>
        <w:w w:val="99"/>
        <w:sz w:val="18"/>
        <w:szCs w:val="18"/>
      </w:rPr>
    </w:lvl>
    <w:lvl w:ilvl="3">
      <w:start w:val="0"/>
      <w:numFmt w:val="bullet"/>
      <w:lvlText w:val="•"/>
      <w:lvlJc w:val="left"/>
      <w:pPr>
        <w:ind w:left="3824" w:hanging="531"/>
      </w:pPr>
      <w:rPr>
        <w:rFonts w:hint="default"/>
      </w:rPr>
    </w:lvl>
    <w:lvl w:ilvl="4">
      <w:start w:val="0"/>
      <w:numFmt w:val="bullet"/>
      <w:lvlText w:val="•"/>
      <w:lvlJc w:val="left"/>
      <w:pPr>
        <w:ind w:left="4756" w:hanging="531"/>
      </w:pPr>
      <w:rPr>
        <w:rFonts w:hint="default"/>
      </w:rPr>
    </w:lvl>
    <w:lvl w:ilvl="5">
      <w:start w:val="0"/>
      <w:numFmt w:val="bullet"/>
      <w:lvlText w:val="•"/>
      <w:lvlJc w:val="left"/>
      <w:pPr>
        <w:ind w:left="5688" w:hanging="531"/>
      </w:pPr>
      <w:rPr>
        <w:rFonts w:hint="default"/>
      </w:rPr>
    </w:lvl>
    <w:lvl w:ilvl="6">
      <w:start w:val="0"/>
      <w:numFmt w:val="bullet"/>
      <w:lvlText w:val="•"/>
      <w:lvlJc w:val="left"/>
      <w:pPr>
        <w:ind w:left="6620" w:hanging="531"/>
      </w:pPr>
      <w:rPr>
        <w:rFonts w:hint="default"/>
      </w:rPr>
    </w:lvl>
    <w:lvl w:ilvl="7">
      <w:start w:val="0"/>
      <w:numFmt w:val="bullet"/>
      <w:lvlText w:val="•"/>
      <w:lvlJc w:val="left"/>
      <w:pPr>
        <w:ind w:left="7552" w:hanging="531"/>
      </w:pPr>
      <w:rPr>
        <w:rFonts w:hint="default"/>
      </w:rPr>
    </w:lvl>
    <w:lvl w:ilvl="8">
      <w:start w:val="0"/>
      <w:numFmt w:val="bullet"/>
      <w:lvlText w:val="•"/>
      <w:lvlJc w:val="left"/>
      <w:pPr>
        <w:ind w:left="8484" w:hanging="531"/>
      </w:pPr>
      <w:rPr>
        <w:rFonts w:hint="default"/>
      </w:rPr>
    </w:lvl>
  </w:abstractNum>
  <w:abstractNum w:abstractNumId="1">
    <w:multiLevelType w:val="hybridMultilevel"/>
    <w:lvl w:ilvl="0">
      <w:start w:val="2"/>
      <w:numFmt w:val="decimal"/>
      <w:lvlText w:val="%1"/>
      <w:lvlJc w:val="left"/>
      <w:pPr>
        <w:ind w:left="1105" w:hanging="562"/>
        <w:jc w:val="left"/>
      </w:pPr>
      <w:rPr>
        <w:rFonts w:hint="default"/>
      </w:rPr>
    </w:lvl>
    <w:lvl w:ilvl="1">
      <w:start w:val="1"/>
      <w:numFmt w:val="decimal"/>
      <w:lvlText w:val="%1.%2"/>
      <w:lvlJc w:val="left"/>
      <w:pPr>
        <w:ind w:left="1105" w:hanging="562"/>
        <w:jc w:val="left"/>
      </w:pPr>
      <w:rPr>
        <w:rFonts w:hint="default" w:ascii="Arial" w:hAnsi="Arial" w:eastAsia="Arial" w:cs="Arial"/>
        <w:spacing w:val="-1"/>
        <w:w w:val="99"/>
        <w:sz w:val="18"/>
        <w:szCs w:val="18"/>
      </w:rPr>
    </w:lvl>
    <w:lvl w:ilvl="2">
      <w:start w:val="0"/>
      <w:numFmt w:val="bullet"/>
      <w:lvlText w:val="•"/>
      <w:lvlJc w:val="left"/>
      <w:pPr>
        <w:ind w:left="2949" w:hanging="562"/>
      </w:pPr>
      <w:rPr>
        <w:rFonts w:hint="default"/>
      </w:rPr>
    </w:lvl>
    <w:lvl w:ilvl="3">
      <w:start w:val="0"/>
      <w:numFmt w:val="bullet"/>
      <w:lvlText w:val="•"/>
      <w:lvlJc w:val="left"/>
      <w:pPr>
        <w:ind w:left="3874" w:hanging="562"/>
      </w:pPr>
      <w:rPr>
        <w:rFonts w:hint="default"/>
      </w:rPr>
    </w:lvl>
    <w:lvl w:ilvl="4">
      <w:start w:val="0"/>
      <w:numFmt w:val="bullet"/>
      <w:lvlText w:val="•"/>
      <w:lvlJc w:val="left"/>
      <w:pPr>
        <w:ind w:left="4799" w:hanging="562"/>
      </w:pPr>
      <w:rPr>
        <w:rFonts w:hint="default"/>
      </w:rPr>
    </w:lvl>
    <w:lvl w:ilvl="5">
      <w:start w:val="0"/>
      <w:numFmt w:val="bullet"/>
      <w:lvlText w:val="•"/>
      <w:lvlJc w:val="left"/>
      <w:pPr>
        <w:ind w:left="5724" w:hanging="562"/>
      </w:pPr>
      <w:rPr>
        <w:rFonts w:hint="default"/>
      </w:rPr>
    </w:lvl>
    <w:lvl w:ilvl="6">
      <w:start w:val="0"/>
      <w:numFmt w:val="bullet"/>
      <w:lvlText w:val="•"/>
      <w:lvlJc w:val="left"/>
      <w:pPr>
        <w:ind w:left="6649" w:hanging="562"/>
      </w:pPr>
      <w:rPr>
        <w:rFonts w:hint="default"/>
      </w:rPr>
    </w:lvl>
    <w:lvl w:ilvl="7">
      <w:start w:val="0"/>
      <w:numFmt w:val="bullet"/>
      <w:lvlText w:val="•"/>
      <w:lvlJc w:val="left"/>
      <w:pPr>
        <w:ind w:left="7574" w:hanging="562"/>
      </w:pPr>
      <w:rPr>
        <w:rFonts w:hint="default"/>
      </w:rPr>
    </w:lvl>
    <w:lvl w:ilvl="8">
      <w:start w:val="0"/>
      <w:numFmt w:val="bullet"/>
      <w:lvlText w:val="•"/>
      <w:lvlJc w:val="left"/>
      <w:pPr>
        <w:ind w:left="8499" w:hanging="562"/>
      </w:pPr>
      <w:rPr>
        <w:rFonts w:hint="default"/>
      </w:rPr>
    </w:lvl>
  </w:abstractNum>
  <w:abstractNum w:abstractNumId="0">
    <w:multiLevelType w:val="hybridMultilevel"/>
    <w:lvl w:ilvl="0">
      <w:start w:val="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0"/>
      <w:numFmt w:val="bullet"/>
      <w:lvlText w:val="•"/>
      <w:lvlJc w:val="left"/>
      <w:pPr>
        <w:ind w:left="2949" w:hanging="567"/>
      </w:pPr>
      <w:rPr>
        <w:rFonts w:hint="default"/>
      </w:rPr>
    </w:lvl>
    <w:lvl w:ilvl="3">
      <w:start w:val="0"/>
      <w:numFmt w:val="bullet"/>
      <w:lvlText w:val="•"/>
      <w:lvlJc w:val="left"/>
      <w:pPr>
        <w:ind w:left="3874" w:hanging="567"/>
      </w:pPr>
      <w:rPr>
        <w:rFonts w:hint="default"/>
      </w:rPr>
    </w:lvl>
    <w:lvl w:ilvl="4">
      <w:start w:val="0"/>
      <w:numFmt w:val="bullet"/>
      <w:lvlText w:val="•"/>
      <w:lvlJc w:val="left"/>
      <w:pPr>
        <w:ind w:left="4799" w:hanging="567"/>
      </w:pPr>
      <w:rPr>
        <w:rFonts w:hint="default"/>
      </w:rPr>
    </w:lvl>
    <w:lvl w:ilvl="5">
      <w:start w:val="0"/>
      <w:numFmt w:val="bullet"/>
      <w:lvlText w:val="•"/>
      <w:lvlJc w:val="left"/>
      <w:pPr>
        <w:ind w:left="5724" w:hanging="567"/>
      </w:pPr>
      <w:rPr>
        <w:rFonts w:hint="default"/>
      </w:rPr>
    </w:lvl>
    <w:lvl w:ilvl="6">
      <w:start w:val="0"/>
      <w:numFmt w:val="bullet"/>
      <w:lvlText w:val="•"/>
      <w:lvlJc w:val="left"/>
      <w:pPr>
        <w:ind w:left="6649" w:hanging="567"/>
      </w:pPr>
      <w:rPr>
        <w:rFonts w:hint="default"/>
      </w:rPr>
    </w:lvl>
    <w:lvl w:ilvl="7">
      <w:start w:val="0"/>
      <w:numFmt w:val="bullet"/>
      <w:lvlText w:val="•"/>
      <w:lvlJc w:val="left"/>
      <w:pPr>
        <w:ind w:left="7574" w:hanging="567"/>
      </w:pPr>
      <w:rPr>
        <w:rFonts w:hint="default"/>
      </w:rPr>
    </w:lvl>
    <w:lvl w:ilvl="8">
      <w:start w:val="0"/>
      <w:numFmt w:val="bullet"/>
      <w:lvlText w:val="•"/>
      <w:lvlJc w:val="left"/>
      <w:pPr>
        <w:ind w:left="8499" w:hanging="567"/>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105"/>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538"/>
      <w:outlineLvl w:val="2"/>
    </w:pPr>
    <w:rPr>
      <w:rFonts w:ascii="宋体" w:hAnsi="宋体" w:eastAsia="宋体" w:cs="宋体"/>
      <w:sz w:val="21"/>
      <w:szCs w:val="21"/>
    </w:rPr>
  </w:style>
  <w:style w:styleId="Heading3" w:type="paragraph">
    <w:name w:val="Heading 3"/>
    <w:basedOn w:val="Normal"/>
    <w:uiPriority w:val="1"/>
    <w:qFormat/>
    <w:pPr>
      <w:spacing w:before="11"/>
      <w:ind w:left="319" w:right="410"/>
      <w:jc w:val="center"/>
      <w:outlineLvl w:val="3"/>
    </w:pPr>
    <w:rPr>
      <w:rFonts w:ascii="宋体" w:hAnsi="宋体" w:eastAsia="宋体" w:cs="宋体"/>
      <w:sz w:val="20"/>
      <w:szCs w:val="20"/>
    </w:rPr>
  </w:style>
  <w:style w:styleId="Heading4" w:type="paragraph">
    <w:name w:val="Heading 4"/>
    <w:basedOn w:val="Normal"/>
    <w:uiPriority w:val="1"/>
    <w:qFormat/>
    <w:pPr>
      <w:spacing w:before="106"/>
      <w:ind w:left="1671"/>
      <w:outlineLvl w:val="4"/>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2018-10-20T03:36:53Z</dcterms:created>
  <dcterms:modified xsi:type="dcterms:W3CDTF">2018-10-20T03:36:53Z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Microsoft® Word 2010</vt:lpwstr>
  </property>
  <property fmtid="{D5CDD505-2E9C-101B-9397-08002B2CF9AE}" pid="4" name="LastSaved">
    <vt:filetime>2018-10-19T00:00:00Z</vt:filetime>
  </property>
</Properties>
</file>