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5639">
            <wp:simplePos x="0" y="0"/>
            <wp:positionH relativeFrom="page">
              <wp:posOffset>5832475</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029 号</w:t>
            </w:r>
          </w:p>
        </w:tc>
      </w:tr>
      <w:tr>
        <w:trPr>
          <w:trHeight w:val="1857" w:hRule="atLeast"/>
        </w:trPr>
        <w:tc>
          <w:tcPr>
            <w:tcW w:w="9321" w:type="dxa"/>
            <w:gridSpan w:val="2"/>
          </w:tcPr>
          <w:p>
            <w:pPr>
              <w:pStyle w:val="TableParagraph"/>
              <w:spacing w:before="53"/>
              <w:ind w:left="1890" w:right="1893"/>
              <w:jc w:val="center"/>
              <w:rPr>
                <w:b/>
                <w:sz w:val="32"/>
              </w:rPr>
            </w:pPr>
            <w:r>
              <w:rPr>
                <w:b/>
                <w:w w:val="95"/>
                <w:sz w:val="32"/>
              </w:rPr>
              <w:t>中银三星人寿保险有限公司</w:t>
            </w:r>
          </w:p>
          <w:p>
            <w:pPr>
              <w:pStyle w:val="TableParagraph"/>
              <w:spacing w:before="130"/>
              <w:ind w:left="1892" w:right="1893"/>
              <w:jc w:val="center"/>
              <w:rPr>
                <w:b/>
                <w:sz w:val="24"/>
              </w:rPr>
            </w:pPr>
            <w:r>
              <w:rPr>
                <w:b/>
                <w:w w:val="95"/>
                <w:sz w:val="24"/>
              </w:rPr>
              <w:t>中银三星附加祥和提前给付重大疾病保险（2010）条款</w:t>
            </w:r>
          </w:p>
          <w:p>
            <w:pPr>
              <w:pStyle w:val="TableParagraph"/>
              <w:spacing w:before="29"/>
              <w:ind w:left="1892" w:right="1892"/>
              <w:jc w:val="center"/>
              <w:rPr>
                <w:b/>
                <w:sz w:val="24"/>
              </w:rPr>
            </w:pPr>
            <w:r>
              <w:rPr>
                <w:b/>
                <w:sz w:val="24"/>
              </w:rPr>
              <w:t>（2015 年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21"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1892" w:right="1891"/>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6"/>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0"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6"/>
              <w:ind w:left="528" w:right="550"/>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2" w:type="dxa"/>
            <w:tcBorders>
              <w:left w:val="single" w:sz="4" w:space="0" w:color="000000"/>
            </w:tcBorders>
          </w:tcPr>
          <w:p>
            <w:pPr>
              <w:pStyle w:val="TableParagraph"/>
              <w:tabs>
                <w:tab w:pos="1574" w:val="left" w:leader="none"/>
              </w:tabs>
              <w:spacing w:line="300" w:lineRule="auto" w:before="47"/>
              <w:ind w:left="102" w:right="2449"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9"/>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9"/>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left="149" w:right="101"/>
              <w:jc w:val="both"/>
              <w:rPr>
                <w:sz w:val="21"/>
              </w:rPr>
            </w:pPr>
            <w:r>
              <w:rPr>
                <w:sz w:val="21"/>
              </w:rPr>
              <w:t>《中银三星附加祥和提前给付重大疾病保险（2010）》合同（以下简称“本附加合同”），依主保险合同（以下简称“主合同”）投保人的申请，经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5319"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left="149" w:right="101"/>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16"/>
              <w:ind w:left="149"/>
              <w:rPr>
                <w:sz w:val="21"/>
              </w:rPr>
            </w:pPr>
            <w:r>
              <w:rPr>
                <w:sz w:val="21"/>
              </w:rPr>
              <w:t>（见释义四）导致重大疾病不受上述 90 日的限制。</w:t>
            </w:r>
          </w:p>
          <w:p>
            <w:pPr>
              <w:pStyle w:val="TableParagraph"/>
              <w:spacing w:line="300" w:lineRule="auto" w:before="68"/>
              <w:ind w:left="149"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本附加合同所交保险费，本附加合同终止。</w:t>
            </w:r>
          </w:p>
          <w:p>
            <w:pPr>
              <w:pStyle w:val="TableParagraph"/>
              <w:spacing w:line="300" w:lineRule="auto" w:before="15"/>
              <w:ind w:left="149" w:right="104"/>
              <w:jc w:val="both"/>
              <w:rPr>
                <w:sz w:val="21"/>
              </w:rPr>
            </w:pPr>
            <w:r>
              <w:rPr>
                <w:sz w:val="21"/>
              </w:rPr>
              <w:t>给付重大疾病保险金后，主合同的基本保险金额按照本附加合同的基本保险金额等额减少。自给付重大疾病保险金后，主合同各项权利义务按照变更后的基本保险金额核算。当主合同的基本保险金额减少至零时，主合同终止。</w:t>
            </w:r>
          </w:p>
          <w:p>
            <w:pPr>
              <w:pStyle w:val="TableParagraph"/>
              <w:spacing w:line="300" w:lineRule="auto" w:before="15"/>
              <w:ind w:left="149" w:right="104"/>
              <w:jc w:val="both"/>
              <w:rPr>
                <w:sz w:val="21"/>
              </w:rPr>
            </w:pPr>
            <w:r>
              <w:rPr>
                <w:sz w:val="21"/>
              </w:rPr>
              <w:t>本公司按本附加合同约定给付的重大疾病保险金以本附加合同基本保险金额为限。</w:t>
            </w:r>
          </w:p>
        </w:tc>
      </w:tr>
      <w:tr>
        <w:trPr>
          <w:trHeight w:val="3194" w:hRule="atLeast"/>
        </w:trPr>
        <w:tc>
          <w:tcPr>
            <w:tcW w:w="1070" w:type="dxa"/>
          </w:tcPr>
          <w:p>
            <w:pPr>
              <w:pStyle w:val="TableParagraph"/>
              <w:ind w:left="108"/>
              <w:rPr>
                <w:sz w:val="21"/>
              </w:rPr>
            </w:pPr>
            <w:r>
              <w:rPr>
                <w:sz w:val="21"/>
              </w:rPr>
              <w:t>第三条</w:t>
            </w:r>
          </w:p>
        </w:tc>
        <w:tc>
          <w:tcPr>
            <w:tcW w:w="1740" w:type="dxa"/>
          </w:tcPr>
          <w:p>
            <w:pPr>
              <w:pStyle w:val="TableParagraph"/>
              <w:ind w:left="329"/>
              <w:rPr>
                <w:sz w:val="21"/>
              </w:rPr>
            </w:pPr>
            <w:r>
              <w:rPr>
                <w:sz w:val="21"/>
              </w:rPr>
              <w:t>责任免除</w:t>
            </w:r>
          </w:p>
        </w:tc>
        <w:tc>
          <w:tcPr>
            <w:tcW w:w="6562" w:type="dxa"/>
          </w:tcPr>
          <w:p>
            <w:pPr>
              <w:pStyle w:val="TableParagraph"/>
              <w:spacing w:line="300" w:lineRule="auto"/>
              <w:ind w:left="149" w:right="104"/>
              <w:rPr>
                <w:sz w:val="21"/>
              </w:rPr>
            </w:pPr>
            <w:r>
              <w:rPr>
                <w:sz w:val="21"/>
              </w:rPr>
              <w:t>因下列情形之一或在效力中止期间被保险人患重大疾病、达到疾病状态或进行手术的，本公司不承担保险责任：</w:t>
            </w:r>
          </w:p>
          <w:p>
            <w:pPr>
              <w:pStyle w:val="TableParagraph"/>
              <w:spacing w:before="16"/>
              <w:ind w:left="149"/>
              <w:rPr>
                <w:sz w:val="21"/>
              </w:rPr>
            </w:pPr>
            <w:r>
              <w:rPr>
                <w:sz w:val="21"/>
              </w:rPr>
              <w:t>一、投保人对被保险人的故意杀害、故意伤害；</w:t>
            </w:r>
          </w:p>
          <w:p>
            <w:pPr>
              <w:pStyle w:val="TableParagraph"/>
              <w:spacing w:line="300" w:lineRule="auto" w:before="69"/>
              <w:ind w:left="608" w:right="275" w:hanging="459"/>
              <w:rPr>
                <w:sz w:val="21"/>
              </w:rPr>
            </w:pPr>
            <w:r>
              <w:rPr>
                <w:sz w:val="21"/>
              </w:rPr>
              <w:t>二、被保险人故意自伤、故意犯罪或者抗拒依法采取的刑事强制措施；</w:t>
            </w:r>
          </w:p>
          <w:p>
            <w:pPr>
              <w:pStyle w:val="TableParagraph"/>
              <w:spacing w:before="16"/>
              <w:ind w:left="149"/>
              <w:rPr>
                <w:sz w:val="21"/>
              </w:rPr>
            </w:pPr>
            <w:r>
              <w:rPr>
                <w:sz w:val="21"/>
              </w:rPr>
              <w:t>三、被保险人主动吸食或注射</w:t>
            </w:r>
            <w:r>
              <w:rPr>
                <w:b/>
                <w:sz w:val="21"/>
              </w:rPr>
              <w:t>毒品</w:t>
            </w:r>
            <w:r>
              <w:rPr>
                <w:sz w:val="21"/>
              </w:rPr>
              <w:t>（见释义五）；</w:t>
            </w:r>
          </w:p>
          <w:p>
            <w:pPr>
              <w:pStyle w:val="TableParagraph"/>
              <w:spacing w:line="300" w:lineRule="auto" w:before="68"/>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55" w:lineRule="exact" w:before="15"/>
              <w:ind w:left="149"/>
              <w:rPr>
                <w:sz w:val="21"/>
              </w:rPr>
            </w:pPr>
            <w:r>
              <w:rPr>
                <w:sz w:val="21"/>
              </w:rPr>
              <w:t>五、战争、军事冲突、暴乱或武装叛乱；核爆炸、核辐射或核污染；</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336"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149"/>
              <w:rPr>
                <w:sz w:val="21"/>
              </w:rPr>
            </w:pPr>
            <w:r>
              <w:rPr>
                <w:sz w:val="21"/>
              </w:rPr>
              <w:t>六、</w:t>
            </w:r>
            <w:r>
              <w:rPr>
                <w:b/>
                <w:sz w:val="21"/>
              </w:rPr>
              <w:t>先天性畸形、变形或染色体异常</w:t>
            </w:r>
            <w:r>
              <w:rPr>
                <w:sz w:val="21"/>
              </w:rPr>
              <w:t>(见释义九)。</w:t>
            </w:r>
          </w:p>
          <w:p>
            <w:pPr>
              <w:pStyle w:val="TableParagraph"/>
              <w:spacing w:line="300" w:lineRule="auto" w:before="68"/>
              <w:ind w:left="149"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5"/>
              <w:ind w:left="149"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left="149"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ind w:left="108"/>
              <w:rPr>
                <w:sz w:val="21"/>
              </w:rPr>
            </w:pPr>
            <w:r>
              <w:rPr>
                <w:sz w:val="21"/>
              </w:rPr>
              <w:t>第五条</w:t>
            </w:r>
          </w:p>
        </w:tc>
        <w:tc>
          <w:tcPr>
            <w:tcW w:w="1740" w:type="dxa"/>
          </w:tcPr>
          <w:p>
            <w:pPr>
              <w:pStyle w:val="TableParagraph"/>
              <w:ind w:left="329"/>
              <w:rPr>
                <w:sz w:val="21"/>
              </w:rPr>
            </w:pPr>
            <w:r>
              <w:rPr>
                <w:sz w:val="21"/>
              </w:rPr>
              <w:t>保险金额</w:t>
            </w:r>
          </w:p>
        </w:tc>
        <w:tc>
          <w:tcPr>
            <w:tcW w:w="6562" w:type="dxa"/>
          </w:tcPr>
          <w:p>
            <w:pPr>
              <w:pStyle w:val="TableParagraph"/>
              <w:spacing w:line="300" w:lineRule="auto"/>
              <w:ind w:left="149"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ind w:left="108"/>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562" w:type="dxa"/>
          </w:tcPr>
          <w:p>
            <w:pPr>
              <w:pStyle w:val="TableParagraph"/>
              <w:spacing w:line="300" w:lineRule="auto"/>
              <w:ind w:left="149" w:right="104"/>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3" w:hRule="atLeast"/>
        </w:trPr>
        <w:tc>
          <w:tcPr>
            <w:tcW w:w="1070" w:type="dxa"/>
          </w:tcPr>
          <w:p>
            <w:pPr>
              <w:pStyle w:val="TableParagraph"/>
              <w:ind w:left="108"/>
              <w:rPr>
                <w:sz w:val="21"/>
              </w:rPr>
            </w:pPr>
            <w:r>
              <w:rPr>
                <w:sz w:val="21"/>
              </w:rPr>
              <w:t>第七条</w:t>
            </w:r>
          </w:p>
        </w:tc>
        <w:tc>
          <w:tcPr>
            <w:tcW w:w="1740" w:type="dxa"/>
          </w:tcPr>
          <w:p>
            <w:pPr>
              <w:pStyle w:val="TableParagraph"/>
              <w:ind w:left="329"/>
              <w:rPr>
                <w:sz w:val="21"/>
              </w:rPr>
            </w:pPr>
            <w:r>
              <w:rPr>
                <w:sz w:val="21"/>
              </w:rPr>
              <w:t>保险费</w:t>
            </w:r>
          </w:p>
        </w:tc>
        <w:tc>
          <w:tcPr>
            <w:tcW w:w="6562" w:type="dxa"/>
          </w:tcPr>
          <w:p>
            <w:pPr>
              <w:pStyle w:val="TableParagraph"/>
              <w:ind w:left="149"/>
              <w:rPr>
                <w:sz w:val="21"/>
              </w:rPr>
            </w:pPr>
            <w:r>
              <w:rPr>
                <w:sz w:val="21"/>
              </w:rPr>
              <w:t>本附加合同的保险费按照基本保险金额和约定的费率标准确定。</w:t>
            </w:r>
          </w:p>
          <w:p>
            <w:pPr>
              <w:pStyle w:val="TableParagraph"/>
              <w:spacing w:line="300" w:lineRule="auto" w:before="68"/>
              <w:ind w:left="149" w:right="104"/>
              <w:rPr>
                <w:sz w:val="21"/>
              </w:rPr>
            </w:pPr>
            <w:r>
              <w:rPr>
                <w:sz w:val="21"/>
              </w:rPr>
              <w:t>本附加合同的保险费交付方式、交费日期与主合同一致，本附加合同的保险费应与主合同一并交付。</w:t>
            </w:r>
          </w:p>
        </w:tc>
      </w:tr>
      <w:tr>
        <w:trPr>
          <w:trHeight w:val="2917" w:hRule="atLeast"/>
        </w:trPr>
        <w:tc>
          <w:tcPr>
            <w:tcW w:w="1070" w:type="dxa"/>
          </w:tcPr>
          <w:p>
            <w:pPr>
              <w:pStyle w:val="TableParagraph"/>
              <w:ind w:left="108"/>
              <w:rPr>
                <w:sz w:val="21"/>
              </w:rPr>
            </w:pPr>
            <w:r>
              <w:rPr>
                <w:sz w:val="21"/>
              </w:rPr>
              <w:t>第八条</w:t>
            </w:r>
          </w:p>
        </w:tc>
        <w:tc>
          <w:tcPr>
            <w:tcW w:w="1740" w:type="dxa"/>
          </w:tcPr>
          <w:p>
            <w:pPr>
              <w:pStyle w:val="TableParagraph"/>
              <w:ind w:left="329"/>
              <w:rPr>
                <w:sz w:val="21"/>
              </w:rPr>
            </w:pPr>
            <w:r>
              <w:rPr>
                <w:sz w:val="21"/>
              </w:rPr>
              <w:t>保险费率调整</w:t>
            </w:r>
          </w:p>
        </w:tc>
        <w:tc>
          <w:tcPr>
            <w:tcW w:w="6562" w:type="dxa"/>
          </w:tcPr>
          <w:p>
            <w:pPr>
              <w:pStyle w:val="TableParagraph"/>
              <w:spacing w:line="300" w:lineRule="auto"/>
              <w:ind w:left="149"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left="149"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1650" w:hRule="atLeast"/>
        </w:trPr>
        <w:tc>
          <w:tcPr>
            <w:tcW w:w="1070"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left="149"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w:t>
            </w:r>
          </w:p>
          <w:p>
            <w:pPr>
              <w:pStyle w:val="TableParagraph"/>
              <w:spacing w:line="255" w:lineRule="exact" w:before="15"/>
              <w:ind w:left="149"/>
              <w:jc w:val="both"/>
              <w:rPr>
                <w:sz w:val="21"/>
              </w:rPr>
            </w:pPr>
            <w:r>
              <w:rPr>
                <w:sz w:val="21"/>
              </w:rPr>
              <w:t>本公司签发保险单作为同意承保的凭证。本附加合同的生效日载明于</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448"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保险单上。</w:t>
            </w:r>
          </w:p>
        </w:tc>
      </w:tr>
      <w:tr>
        <w:trPr>
          <w:trHeight w:val="1029" w:hRule="atLeast"/>
        </w:trPr>
        <w:tc>
          <w:tcPr>
            <w:tcW w:w="1175" w:type="dxa"/>
          </w:tcPr>
          <w:p>
            <w:pPr>
              <w:pStyle w:val="TableParagraph"/>
              <w:ind w:left="108"/>
              <w:rPr>
                <w:sz w:val="21"/>
              </w:rPr>
            </w:pPr>
            <w:r>
              <w:rPr>
                <w:sz w:val="21"/>
              </w:rPr>
              <w:t>第十条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6"/>
              <w:ind w:left="182" w:right="67"/>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3"/>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2"/>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791" w:hRule="atLeast"/>
        </w:trPr>
        <w:tc>
          <w:tcPr>
            <w:tcW w:w="1175" w:type="dxa"/>
          </w:tcPr>
          <w:p>
            <w:pPr>
              <w:pStyle w:val="TableParagraph"/>
              <w:ind w:left="108"/>
              <w:rPr>
                <w:sz w:val="21"/>
              </w:rPr>
            </w:pPr>
            <w:r>
              <w:rPr>
                <w:sz w:val="21"/>
              </w:rPr>
              <w:t>第十四条</w:t>
            </w:r>
          </w:p>
        </w:tc>
        <w:tc>
          <w:tcPr>
            <w:tcW w:w="1636" w:type="dxa"/>
          </w:tcPr>
          <w:p>
            <w:pPr>
              <w:pStyle w:val="TableParagraph"/>
              <w:spacing w:line="340" w:lineRule="atLeast" w:before="108"/>
              <w:ind w:left="224" w:right="147"/>
              <w:rPr>
                <w:sz w:val="21"/>
              </w:rPr>
            </w:pPr>
            <w:r>
              <w:rPr>
                <w:sz w:val="21"/>
              </w:rPr>
              <w:t>主合同提前给付保险金申请</w:t>
            </w:r>
          </w:p>
        </w:tc>
        <w:tc>
          <w:tcPr>
            <w:tcW w:w="6563" w:type="dxa"/>
          </w:tcPr>
          <w:p>
            <w:pPr>
              <w:pStyle w:val="TableParagraph"/>
              <w:spacing w:line="340" w:lineRule="atLeast" w:before="108"/>
              <w:ind w:right="106"/>
              <w:rPr>
                <w:sz w:val="21"/>
              </w:rPr>
            </w:pPr>
            <w:r>
              <w:rPr>
                <w:sz w:val="21"/>
              </w:rPr>
              <w:t>若对于本附加合同所依附的主合同，被保险人可以申请其他提前给付保险金，且被保险人的情况属于本附加合同保险责任，则保险金受益</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791"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8"/>
              <w:rPr>
                <w:sz w:val="21"/>
              </w:rPr>
            </w:pPr>
            <w:r>
              <w:rPr>
                <w:sz w:val="21"/>
              </w:rPr>
              <w:t>人必须先申请本附加合同的重大疾病保险金，然后根据主合同的剩余</w:t>
            </w:r>
          </w:p>
          <w:p>
            <w:pPr>
              <w:pStyle w:val="TableParagraph"/>
              <w:spacing w:before="68"/>
              <w:ind w:left="358"/>
              <w:rPr>
                <w:sz w:val="21"/>
              </w:rPr>
            </w:pPr>
            <w:r>
              <w:rPr>
                <w:sz w:val="21"/>
              </w:rPr>
              <w:t>保险金额，申请其他提前给付保险金。</w:t>
            </w:r>
          </w:p>
        </w:tc>
      </w:tr>
      <w:tr>
        <w:trPr>
          <w:trHeight w:val="1029" w:hRule="atLeast"/>
        </w:trPr>
        <w:tc>
          <w:tcPr>
            <w:tcW w:w="1175" w:type="dxa"/>
          </w:tcPr>
          <w:p>
            <w:pPr>
              <w:pStyle w:val="TableParagraph"/>
              <w:ind w:left="108"/>
              <w:rPr>
                <w:sz w:val="21"/>
              </w:rPr>
            </w:pPr>
            <w:r>
              <w:rPr>
                <w:sz w:val="21"/>
              </w:rPr>
              <w:t>第十五条</w:t>
            </w:r>
          </w:p>
        </w:tc>
        <w:tc>
          <w:tcPr>
            <w:tcW w:w="1426" w:type="dxa"/>
          </w:tcPr>
          <w:p>
            <w:pPr>
              <w:pStyle w:val="TableParagraph"/>
              <w:ind w:left="224"/>
              <w:rPr>
                <w:sz w:val="21"/>
              </w:rPr>
            </w:pPr>
            <w:r>
              <w:rPr>
                <w:sz w:val="21"/>
              </w:rPr>
              <w:t>诉讼时效</w:t>
            </w:r>
          </w:p>
        </w:tc>
        <w:tc>
          <w:tcPr>
            <w:tcW w:w="6773" w:type="dxa"/>
          </w:tcPr>
          <w:p>
            <w:pPr>
              <w:pStyle w:val="TableParagraph"/>
              <w:spacing w:line="300" w:lineRule="auto"/>
              <w:ind w:left="358" w:right="106"/>
              <w:rPr>
                <w:sz w:val="21"/>
              </w:rPr>
            </w:pPr>
            <w:r>
              <w:rPr>
                <w:sz w:val="21"/>
              </w:rPr>
              <w:t>被保险人或受益人向本公司请求给付重大疾病保险金的诉讼时效期间为 2 年,自其知道或者应当知道保险事故发生之日起计算。</w:t>
            </w:r>
          </w:p>
        </w:tc>
      </w:tr>
      <w:tr>
        <w:trPr>
          <w:trHeight w:val="4634" w:hRule="atLeast"/>
        </w:trPr>
        <w:tc>
          <w:tcPr>
            <w:tcW w:w="1175" w:type="dxa"/>
          </w:tcPr>
          <w:p>
            <w:pPr>
              <w:pStyle w:val="TableParagraph"/>
              <w:ind w:left="108"/>
              <w:rPr>
                <w:sz w:val="21"/>
              </w:rPr>
            </w:pPr>
            <w:r>
              <w:rPr>
                <w:sz w:val="21"/>
              </w:rPr>
              <w:t>第十六条</w:t>
            </w:r>
          </w:p>
        </w:tc>
        <w:tc>
          <w:tcPr>
            <w:tcW w:w="1426" w:type="dxa"/>
          </w:tcPr>
          <w:p>
            <w:pPr>
              <w:pStyle w:val="TableParagraph"/>
              <w:ind w:left="224"/>
              <w:rPr>
                <w:sz w:val="21"/>
              </w:rPr>
            </w:pPr>
            <w:r>
              <w:rPr>
                <w:sz w:val="21"/>
              </w:rPr>
              <w:t>受益人</w:t>
            </w:r>
          </w:p>
        </w:tc>
        <w:tc>
          <w:tcPr>
            <w:tcW w:w="6773" w:type="dxa"/>
          </w:tcPr>
          <w:p>
            <w:pPr>
              <w:pStyle w:val="TableParagraph"/>
              <w:spacing w:line="300" w:lineRule="auto"/>
              <w:ind w:left="358"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58"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8" w:right="106"/>
              <w:rPr>
                <w:sz w:val="21"/>
              </w:rPr>
            </w:pPr>
            <w:r>
              <w:rPr>
                <w:sz w:val="21"/>
              </w:rPr>
              <w:t>被保险人为无民事行为能力人或限制民事行为能力人的，可以由其监护人指定受益人。</w:t>
            </w:r>
          </w:p>
          <w:p>
            <w:pPr>
              <w:pStyle w:val="TableParagraph"/>
              <w:spacing w:line="300" w:lineRule="auto" w:before="15"/>
              <w:ind w:left="358"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5"/>
              <w:ind w:left="358"/>
              <w:rPr>
                <w:sz w:val="21"/>
              </w:rPr>
            </w:pPr>
            <w:r>
              <w:rPr>
                <w:sz w:val="21"/>
              </w:rPr>
              <w:t>投保人指定和变更受益人时须经被保险人同意。</w:t>
            </w:r>
          </w:p>
          <w:p>
            <w:pPr>
              <w:pStyle w:val="TableParagraph"/>
              <w:spacing w:line="300" w:lineRule="auto" w:before="68"/>
              <w:ind w:left="358" w:right="106"/>
              <w:rPr>
                <w:sz w:val="21"/>
              </w:rPr>
            </w:pPr>
            <w:r>
              <w:rPr>
                <w:sz w:val="21"/>
              </w:rPr>
              <w:t>受益人故意造成被保险人身故、伤残、疾病的，或者故意杀害被保险人未遂的，该受益人丧失收益权。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3" w:hRule="atLeast"/>
        </w:trPr>
        <w:tc>
          <w:tcPr>
            <w:tcW w:w="1175" w:type="dxa"/>
          </w:tcPr>
          <w:p>
            <w:pPr>
              <w:pStyle w:val="TableParagraph"/>
              <w:spacing w:before="2"/>
              <w:ind w:left="108"/>
              <w:rPr>
                <w:sz w:val="21"/>
              </w:rPr>
            </w:pPr>
            <w:r>
              <w:rPr>
                <w:sz w:val="21"/>
              </w:rPr>
              <w:t>第十七条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2" w:hRule="atLeast"/>
        </w:trPr>
        <w:tc>
          <w:tcPr>
            <w:tcW w:w="1175" w:type="dxa"/>
          </w:tcPr>
          <w:p>
            <w:pPr>
              <w:pStyle w:val="TableParagraph"/>
              <w:ind w:left="116"/>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3538" w:hRule="atLeast"/>
        </w:trPr>
        <w:tc>
          <w:tcPr>
            <w:tcW w:w="1175" w:type="dxa"/>
          </w:tcPr>
          <w:p>
            <w:pPr>
              <w:pStyle w:val="TableParagraph"/>
              <w:ind w:left="116"/>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8"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40" w:lineRule="atLeast" w:before="2"/>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1726"/>
      </w:pPr>
      <w:r>
        <w:rPr>
          <w:spacing w:val="-14"/>
        </w:rPr>
        <w:t>问题的国际统计分类》</w:t>
      </w:r>
      <w:r>
        <w:rPr/>
        <w:t>（ICD-10）</w:t>
      </w:r>
      <w:r>
        <w:rPr>
          <w:spacing w:val="-3"/>
        </w:rPr>
        <w:t>的恶性肿瘤范畴。下列疾病不在保障范围内：</w:t>
      </w:r>
    </w:p>
    <w:p>
      <w:pPr>
        <w:pStyle w:val="BodyText"/>
        <w:spacing w:before="15"/>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4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209" w:hanging="360"/>
      </w:pPr>
      <w:r>
        <w:rPr/>
        <w:t>③ 心肌酶或肌钙蛋白有诊断意义的升高，或呈符合急性心肌梗塞的动态性变化；</w:t>
      </w:r>
    </w:p>
    <w:p>
      <w:pPr>
        <w:pStyle w:val="BodyText"/>
        <w:spacing w:line="300" w:lineRule="auto" w:before="15"/>
        <w:ind w:left="3409" w:right="14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4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0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1" w:after="0"/>
        <w:ind w:left="3469" w:right="0" w:hanging="420"/>
        <w:jc w:val="left"/>
        <w:rPr>
          <w:sz w:val="21"/>
        </w:rPr>
      </w:pPr>
      <w:r>
        <w:rPr>
          <w:spacing w:val="-3"/>
          <w:sz w:val="21"/>
        </w:rPr>
        <w:t>重大器官移植术或造血干细胞移植术</w:t>
      </w:r>
    </w:p>
    <w:p>
      <w:pPr>
        <w:pStyle w:val="BodyText"/>
        <w:spacing w:line="300" w:lineRule="auto"/>
        <w:ind w:right="149"/>
      </w:pPr>
      <w:r>
        <w:rPr/>
        <w:t>重大器官移植术，指因相应器官功能衰竭，已经实施了肾脏、肝脏、心脏或肺脏的异体移植手术。</w:t>
      </w:r>
    </w:p>
    <w:p>
      <w:pPr>
        <w:pStyle w:val="BodyText"/>
        <w:spacing w:line="300" w:lineRule="auto" w:before="15"/>
        <w:ind w:right="14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pPr>
      <w:r>
        <w:rPr/>
        <w:t>指为治疗严重的冠心病，实际实施了开胸进行的冠状动脉血管旁路移</w:t>
      </w:r>
    </w:p>
    <w:p>
      <w:pPr>
        <w:spacing w:after="0"/>
        <w:sectPr>
          <w:pgSz w:w="11910" w:h="16840"/>
          <w:pgMar w:header="0" w:footer="919" w:top="1580" w:bottom="1100" w:left="1200" w:right="1200"/>
        </w:sectPr>
      </w:pPr>
    </w:p>
    <w:p>
      <w:pPr>
        <w:pStyle w:val="BodyText"/>
        <w:spacing w:before="12"/>
        <w:ind w:left="0"/>
        <w:rPr>
          <w:sz w:val="26"/>
        </w:rPr>
      </w:pPr>
    </w:p>
    <w:p>
      <w:pPr>
        <w:pStyle w:val="BodyText"/>
        <w:spacing w:before="36"/>
      </w:pPr>
      <w:r>
        <w:rPr/>
        <w:t>植的手术。</w:t>
      </w:r>
    </w:p>
    <w:p>
      <w:pPr>
        <w:pStyle w:val="BodyText"/>
        <w:spacing w:line="300" w:lineRule="auto"/>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spacing w:before="69"/>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7"/>
      </w:pPr>
      <w:r>
        <w:rPr/>
        <w:t>② 实际实施了对脑肿瘤进行的放射治疗。</w:t>
      </w:r>
    </w:p>
    <w:p>
      <w:pPr>
        <w:pStyle w:val="BodyText"/>
        <w:spacing w:before="67"/>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before="67"/>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9"/>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9"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7"/>
        <w:ind w:right="2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2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2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68" w:val="left" w:leader="none"/>
        </w:tabs>
        <w:spacing w:before="16"/>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left="3469" w:right="209" w:hanging="420"/>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left="3469" w:right="209" w:hanging="420"/>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也可涉及呼吸肌、下肢近端肌群乃至全身肌肉，需经腾喜龙试验，反</w:t>
            </w:r>
          </w:p>
          <w:p>
            <w:pPr>
              <w:pStyle w:val="TableParagraph"/>
              <w:spacing w:line="300" w:lineRule="auto" w:before="68"/>
              <w:ind w:right="304"/>
              <w:jc w:val="both"/>
              <w:rPr>
                <w:sz w:val="21"/>
              </w:rPr>
            </w:pPr>
            <w:r>
              <w:rPr>
                <w:spacing w:val="-7"/>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894" w:type="dxa"/>
          </w:tcPr>
          <w:p>
            <w:pPr>
              <w:pStyle w:val="TableParagraph"/>
              <w:ind w:left="0" w:right="69"/>
              <w:jc w:val="center"/>
              <w:rPr>
                <w:sz w:val="21"/>
              </w:rPr>
            </w:pPr>
            <w:r>
              <w:rPr>
                <w:w w:val="100"/>
                <w:sz w:val="21"/>
              </w:rPr>
              <w:t>四</w:t>
            </w:r>
          </w:p>
        </w:tc>
        <w:tc>
          <w:tcPr>
            <w:tcW w:w="1683" w:type="dxa"/>
          </w:tcPr>
          <w:p>
            <w:pPr>
              <w:pStyle w:val="TableParagraph"/>
              <w:ind w:left="270"/>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894" w:type="dxa"/>
          </w:tcPr>
          <w:p>
            <w:pPr>
              <w:pStyle w:val="TableParagraph"/>
              <w:ind w:left="0" w:right="69"/>
              <w:jc w:val="center"/>
              <w:rPr>
                <w:sz w:val="21"/>
              </w:rPr>
            </w:pPr>
            <w:r>
              <w:rPr>
                <w:w w:val="100"/>
                <w:sz w:val="21"/>
              </w:rPr>
              <w:t>五</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六</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ind w:left="0" w:right="69"/>
              <w:jc w:val="center"/>
              <w:rPr>
                <w:sz w:val="21"/>
              </w:rPr>
            </w:pPr>
            <w:r>
              <w:rPr>
                <w:w w:val="100"/>
                <w:sz w:val="21"/>
              </w:rPr>
              <w:t>七</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4"/>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5" w:type="dxa"/>
          </w:tcPr>
          <w:p>
            <w:pPr>
              <w:pStyle w:val="TableParagraph"/>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791"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5" w:type="dxa"/>
          </w:tcPr>
          <w:p>
            <w:pPr>
              <w:pStyle w:val="TableParagraph"/>
              <w:rPr>
                <w:sz w:val="21"/>
              </w:rPr>
            </w:pPr>
            <w:r>
              <w:rPr>
                <w:sz w:val="21"/>
              </w:rPr>
              <w:t>专科医生应当同时满足以下四项资格条件：</w:t>
            </w:r>
          </w:p>
          <w:p>
            <w:pPr>
              <w:pStyle w:val="TableParagraph"/>
              <w:tabs>
                <w:tab w:pos="568" w:val="left" w:leader="none"/>
              </w:tabs>
              <w:spacing w:line="255" w:lineRule="exact" w:before="68"/>
              <w:rPr>
                <w:sz w:val="21"/>
              </w:rPr>
            </w:pPr>
            <w:r>
              <w:rPr>
                <w:sz w:val="21"/>
              </w:rPr>
              <w:t>1.</w:t>
              <w:tab/>
            </w:r>
            <w:r>
              <w:rPr>
                <w:spacing w:val="-3"/>
                <w:sz w:val="21"/>
              </w:rPr>
              <w:t>具有有效的中华人民共和国《医师资格证书》；</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6"/>
              </w:numPr>
              <w:tabs>
                <w:tab w:pos="568" w:val="left" w:leader="none"/>
                <w:tab w:pos="569" w:val="left" w:leader="none"/>
              </w:tabs>
              <w:spacing w:line="211" w:lineRule="exact" w:before="0" w:after="0"/>
              <w:ind w:left="568" w:right="0" w:hanging="420"/>
              <w:jc w:val="left"/>
              <w:rPr>
                <w:sz w:val="21"/>
              </w:rPr>
            </w:pPr>
            <w:r>
              <w:rPr>
                <w:spacing w:val="-3"/>
                <w:sz w:val="21"/>
              </w:rPr>
              <w:t>具有有效的中华人民共和国《医师执业证书》，并按期到相关部</w:t>
            </w:r>
          </w:p>
          <w:p>
            <w:pPr>
              <w:pStyle w:val="TableParagraph"/>
              <w:spacing w:before="68"/>
              <w:ind w:left="568"/>
              <w:rPr>
                <w:sz w:val="21"/>
              </w:rPr>
            </w:pPr>
            <w:r>
              <w:rPr>
                <w:sz w:val="21"/>
              </w:rPr>
              <w:t>门登记注册；</w:t>
            </w:r>
          </w:p>
          <w:p>
            <w:pPr>
              <w:pStyle w:val="TableParagraph"/>
              <w:numPr>
                <w:ilvl w:val="0"/>
                <w:numId w:val="6"/>
              </w:numPr>
              <w:tabs>
                <w:tab w:pos="568" w:val="left" w:leader="none"/>
                <w:tab w:pos="569" w:val="left" w:leader="none"/>
              </w:tabs>
              <w:spacing w:line="300" w:lineRule="auto" w:before="68" w:after="0"/>
              <w:ind w:left="568" w:right="306" w:hanging="420"/>
              <w:jc w:val="left"/>
              <w:rPr>
                <w:sz w:val="21"/>
              </w:rPr>
            </w:pPr>
            <w:r>
              <w:rPr>
                <w:spacing w:val="-3"/>
                <w:sz w:val="21"/>
              </w:rPr>
              <w:t>具有有效的中华人民共和国主治医师或主治医师以上职称的《医师职称证书》；</w:t>
            </w:r>
          </w:p>
          <w:p>
            <w:pPr>
              <w:pStyle w:val="TableParagraph"/>
              <w:numPr>
                <w:ilvl w:val="0"/>
                <w:numId w:val="6"/>
              </w:numPr>
              <w:tabs>
                <w:tab w:pos="568" w:val="left" w:leader="none"/>
                <w:tab w:pos="569" w:val="left" w:leader="none"/>
              </w:tabs>
              <w:spacing w:line="240" w:lineRule="auto" w:before="16" w:after="0"/>
              <w:ind w:left="568" w:right="0" w:hanging="42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97.65pt;height:11pt;mso-position-horizontal-relative:page;mso-position-vertical-relative:page;z-index:-19816" type="#_x0000_t202" filled="false" stroked="false">
          <v:textbox inset="0,0,0,0">
            <w:txbxContent>
              <w:p>
                <w:pPr>
                  <w:spacing w:line="200" w:lineRule="exact" w:before="0"/>
                  <w:ind w:left="20" w:right="0" w:firstLine="0"/>
                  <w:jc w:val="left"/>
                  <w:rPr>
                    <w:sz w:val="18"/>
                  </w:rPr>
                </w:pPr>
                <w:r>
                  <w:rPr>
                    <w:spacing w:val="-3"/>
                    <w:sz w:val="18"/>
                  </w:rPr>
                  <w:t>中银三星附加祥和提前给付重大疾病保险</w:t>
                </w:r>
                <w:r>
                  <w:rPr>
                    <w:sz w:val="18"/>
                  </w:rPr>
                  <w:t>（2010）</w:t>
                </w:r>
              </w:p>
            </w:txbxContent>
          </v:textbox>
          <w10:wrap type="none"/>
        </v:shape>
      </w:pict>
    </w:r>
    <w:r>
      <w:rPr/>
      <w:pict>
        <v:shape style="position:absolute;margin-left:311.309998pt;margin-top:780.961609pt;width:20pt;height:11pt;mso-position-horizontal-relative:page;mso-position-vertical-relative:page;z-index:-1979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0.899994pt;margin-top:780.961609pt;width:80.4pt;height:11pt;mso-position-horizontal-relative:page;mso-position-vertical-relative:page;z-index:-19768" type="#_x0000_t202" filled="false" stroked="false">
          <v:textbox inset="0,0,0,0">
            <w:txbxContent>
              <w:p>
                <w:pPr>
                  <w:spacing w:line="200" w:lineRule="exact" w:before="0"/>
                  <w:ind w:left="20" w:right="0" w:firstLine="0"/>
                  <w:jc w:val="left"/>
                  <w:rPr>
                    <w:sz w:val="18"/>
                  </w:rPr>
                </w:pPr>
                <w:r>
                  <w:rPr>
                    <w:spacing w:val="-2"/>
                    <w:sz w:val="18"/>
                  </w:rPr>
                  <w:t>第 </w:t>
                </w:r>
                <w:r>
                  <w:rPr/>
                  <w:fldChar w:fldCharType="begin"/>
                </w:r>
                <w:r>
                  <w:rPr>
                    <w:sz w:val="18"/>
                  </w:rPr>
                  <w:instrText> PAGE </w:instrText>
                </w:r>
                <w:r>
                  <w:rPr/>
                  <w:fldChar w:fldCharType="separate"/>
                </w:r>
                <w:r>
                  <w:rPr/>
                  <w:t>10</w:t>
                </w:r>
                <w:r>
                  <w:rPr/>
                  <w:fldChar w:fldCharType="end"/>
                </w:r>
                <w:r>
                  <w:rPr>
                    <w:spacing w:val="-12"/>
                    <w:sz w:val="18"/>
                  </w:rPr>
                  <w:t> 页，共 </w:t>
                </w:r>
                <w:r>
                  <w:rPr>
                    <w:sz w:val="18"/>
                  </w:rPr>
                  <w:t>13</w:t>
                </w:r>
                <w:r>
                  <w:rPr>
                    <w:spacing w:val="-1"/>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2"/>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4" w:hanging="420"/>
      </w:pPr>
      <w:rPr>
        <w:rFonts w:hint="default"/>
      </w:rPr>
    </w:lvl>
    <w:lvl w:ilvl="2">
      <w:start w:val="0"/>
      <w:numFmt w:val="bullet"/>
      <w:lvlText w:val="•"/>
      <w:lvlJc w:val="left"/>
      <w:pPr>
        <w:ind w:left="4669" w:hanging="420"/>
      </w:pPr>
      <w:rPr>
        <w:rFonts w:hint="default"/>
      </w:rPr>
    </w:lvl>
    <w:lvl w:ilvl="3">
      <w:start w:val="0"/>
      <w:numFmt w:val="bullet"/>
      <w:lvlText w:val="•"/>
      <w:lvlJc w:val="left"/>
      <w:pPr>
        <w:ind w:left="5273" w:hanging="420"/>
      </w:pPr>
      <w:rPr>
        <w:rFonts w:hint="default"/>
      </w:rPr>
    </w:lvl>
    <w:lvl w:ilvl="4">
      <w:start w:val="0"/>
      <w:numFmt w:val="bullet"/>
      <w:lvlText w:val="•"/>
      <w:lvlJc w:val="left"/>
      <w:pPr>
        <w:ind w:left="5878" w:hanging="420"/>
      </w:pPr>
      <w:rPr>
        <w:rFonts w:hint="default"/>
      </w:rPr>
    </w:lvl>
    <w:lvl w:ilvl="5">
      <w:start w:val="0"/>
      <w:numFmt w:val="bullet"/>
      <w:lvlText w:val="•"/>
      <w:lvlJc w:val="left"/>
      <w:pPr>
        <w:ind w:left="6483" w:hanging="420"/>
      </w:pPr>
      <w:rPr>
        <w:rFonts w:hint="default"/>
      </w:rPr>
    </w:lvl>
    <w:lvl w:ilvl="6">
      <w:start w:val="0"/>
      <w:numFmt w:val="bullet"/>
      <w:lvlText w:val="•"/>
      <w:lvlJc w:val="left"/>
      <w:pPr>
        <w:ind w:left="708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29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2018-10-20T03:35:35Z</dcterms:created>
  <dcterms:modified xsi:type="dcterms:W3CDTF">2018-10-20T03:35:35Z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