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526.2pt;height:.75pt;mso-position-horizontal-relative:char;mso-position-vertical-relative:line" coordorigin="0,0" coordsize="10524,15">
            <v:line style="position:absolute" from="0,7" to="10524,7" stroked="true" strokeweight=".72pt" strokecolor="#000000">
              <v:stroke dashstyle="solid"/>
            </v:line>
          </v:group>
        </w:pict>
      </w:r>
      <w:r>
        <w:rPr>
          <w:rFonts w:ascii="Times New Roman"/>
          <w:spacing w:val="5"/>
          <w:sz w:val="2"/>
        </w:rPr>
      </w:r>
    </w:p>
    <w:p>
      <w:pPr>
        <w:spacing w:before="92"/>
        <w:ind w:left="0" w:right="105" w:firstLine="0"/>
        <w:jc w:val="right"/>
        <w:rPr>
          <w:sz w:val="12"/>
        </w:rPr>
      </w:pPr>
      <w:r>
        <w:rPr/>
        <w:drawing>
          <wp:anchor distT="0" distB="0" distL="0" distR="0" allowOverlap="1" layoutInCell="1" locked="0" behindDoc="0" simplePos="0" relativeHeight="1072">
            <wp:simplePos x="0" y="0"/>
            <wp:positionH relativeFrom="page">
              <wp:posOffset>6138861</wp:posOffset>
            </wp:positionH>
            <wp:positionV relativeFrom="paragraph">
              <wp:posOffset>218729</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sz w:val="12"/>
        </w:rPr>
        <w:t>汇丰人寿[2012]重大疾病保险 101 号-2</w:t>
      </w:r>
    </w:p>
    <w:p>
      <w:pPr>
        <w:pStyle w:val="BodyText"/>
        <w:spacing w:before="2"/>
        <w:rPr>
          <w:sz w:val="27"/>
        </w:rPr>
      </w:pPr>
    </w:p>
    <w:p>
      <w:pPr>
        <w:spacing w:after="0"/>
        <w:rPr>
          <w:sz w:val="27"/>
        </w:rPr>
        <w:sectPr>
          <w:footerReference w:type="default" r:id="rId5"/>
          <w:type w:val="continuous"/>
          <w:pgSz w:w="11910" w:h="16840"/>
          <w:pgMar w:footer="460" w:top="780" w:bottom="640" w:left="580" w:right="560"/>
        </w:sectPr>
      </w:pPr>
    </w:p>
    <w:p>
      <w:pPr>
        <w:pStyle w:val="Heading1"/>
      </w:pPr>
      <w:bookmarkStart w:name="汇丰附加无忧重大疾病保险B款条款" w:id="1"/>
      <w:bookmarkEnd w:id="1"/>
      <w:r>
        <w:rPr>
          <w:b w:val="0"/>
        </w:rPr>
      </w:r>
      <w:r>
        <w:rPr/>
        <w:t>汇丰附加无忧重大疾病保险 B 款条款</w:t>
      </w:r>
    </w:p>
    <w:p>
      <w:pPr>
        <w:spacing w:before="67"/>
        <w:ind w:left="4359" w:right="0" w:firstLine="0"/>
        <w:jc w:val="left"/>
        <w:rPr>
          <w:b/>
          <w:sz w:val="32"/>
        </w:rPr>
      </w:pPr>
      <w:r>
        <w:rPr>
          <w:rFonts w:ascii="Microsoft JhengHei" w:eastAsia="Microsoft JhengHei" w:hint="eastAsia"/>
          <w:b/>
          <w:sz w:val="32"/>
        </w:rPr>
        <w:t>阅  读  指 引</w:t>
      </w:r>
      <w:r>
        <w:rPr>
          <w:b/>
          <w:w w:val="98"/>
          <w:sz w:val="32"/>
        </w:rPr>
        <w:t> </w:t>
      </w:r>
    </w:p>
    <w:p>
      <w:pPr>
        <w:pStyle w:val="BodyText"/>
        <w:spacing w:before="93"/>
        <w:ind w:left="2114"/>
        <w:jc w:val="center"/>
      </w:pPr>
      <w:r>
        <w:rPr>
          <w:w w:val="100"/>
        </w:rPr>
        <w:t> </w:t>
      </w:r>
    </w:p>
    <w:p>
      <w:pPr>
        <w:pStyle w:val="BodyText"/>
        <w:spacing w:before="104"/>
        <w:ind w:left="2164" w:right="49"/>
        <w:jc w:val="center"/>
      </w:pPr>
      <w:r>
        <w:rPr/>
        <w:drawing>
          <wp:anchor distT="0" distB="0" distL="0" distR="0" allowOverlap="1" layoutInCell="1" locked="0" behindDoc="1" simplePos="0" relativeHeight="268382351">
            <wp:simplePos x="0" y="0"/>
            <wp:positionH relativeFrom="page">
              <wp:posOffset>473963</wp:posOffset>
            </wp:positionH>
            <wp:positionV relativeFrom="paragraph">
              <wp:posOffset>314813</wp:posOffset>
            </wp:positionV>
            <wp:extent cx="6402323" cy="791870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402323" cy="7918703"/>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3"/>
          <w:w w:val="100"/>
        </w:rPr>
        <w:t>。</w:t>
      </w:r>
      <w:r>
        <w:rPr>
          <w:w w:val="100"/>
        </w:rPr>
        <w:t> </w:t>
      </w:r>
    </w:p>
    <w:p>
      <w:pPr>
        <w:tabs>
          <w:tab w:pos="1215" w:val="left" w:leader="none"/>
        </w:tabs>
        <w:spacing w:before="84"/>
        <w:ind w:left="362" w:right="0" w:firstLine="0"/>
        <w:jc w:val="left"/>
        <w:rPr>
          <w:b/>
          <w:sz w:val="21"/>
        </w:rPr>
      </w:pPr>
      <w:r>
        <w:rPr>
          <w:rFonts w:ascii="Arial" w:eastAsia="Arial"/>
          <w:b/>
          <w:position w:val="-11"/>
          <w:sz w:val="52"/>
        </w:rPr>
        <w:t>C</w:t>
        <w:tab/>
      </w:r>
      <w:r>
        <w:rPr>
          <w:b/>
          <w:spacing w:val="-2"/>
          <w:sz w:val="21"/>
        </w:rPr>
        <w:t>您拥有的重要权益</w:t>
      </w:r>
      <w:r>
        <w:rPr>
          <w:b/>
          <w:spacing w:val="-2"/>
          <w:w w:val="99"/>
          <w:sz w:val="21"/>
        </w:rPr>
        <w:t> </w:t>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3"/>
        <w:rPr>
          <w:b/>
          <w:sz w:val="8"/>
        </w:rPr>
      </w:pPr>
    </w:p>
    <w:p>
      <w:pPr>
        <w:spacing w:before="0"/>
        <w:ind w:left="285" w:right="0" w:firstLine="0"/>
        <w:jc w:val="left"/>
        <w:rPr>
          <w:sz w:val="12"/>
        </w:rPr>
      </w:pPr>
      <w:r>
        <w:rPr>
          <w:sz w:val="12"/>
        </w:rPr>
        <w:t>请扫描以查询验证条款</w:t>
      </w:r>
    </w:p>
    <w:p>
      <w:pPr>
        <w:spacing w:after="0"/>
        <w:jc w:val="left"/>
        <w:rPr>
          <w:sz w:val="12"/>
        </w:rPr>
        <w:sectPr>
          <w:type w:val="continuous"/>
          <w:pgSz w:w="11910" w:h="16840"/>
          <w:pgMar w:top="780" w:bottom="640" w:left="580" w:right="560"/>
          <w:cols w:num="2" w:equalWidth="0">
            <w:col w:w="8736" w:space="40"/>
            <w:col w:w="1994"/>
          </w:cols>
        </w:sectPr>
      </w:pPr>
    </w:p>
    <w:p>
      <w:pPr>
        <w:pStyle w:val="ListParagraph"/>
        <w:numPr>
          <w:ilvl w:val="0"/>
          <w:numId w:val="1"/>
        </w:numPr>
        <w:tabs>
          <w:tab w:pos="1697" w:val="left" w:leader="none"/>
          <w:tab w:pos="1698" w:val="left" w:leader="none"/>
          <w:tab w:pos="9154" w:val="right" w:leader="dot"/>
        </w:tabs>
        <w:spacing w:line="240" w:lineRule="auto" w:before="25" w:after="0"/>
        <w:ind w:left="1697"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保障</w:t>
        <w:tab/>
      </w:r>
      <w:r>
        <w:rPr>
          <w:rFonts w:ascii="Times New Roman" w:eastAsia="Times New Roman"/>
          <w:sz w:val="21"/>
        </w:rPr>
        <w:t>2.4</w:t>
      </w:r>
    </w:p>
    <w:p>
      <w:pPr>
        <w:tabs>
          <w:tab w:pos="1217" w:val="left" w:leader="none"/>
        </w:tabs>
        <w:spacing w:line="597" w:lineRule="exact" w:before="20"/>
        <w:ind w:left="362" w:right="0" w:firstLine="0"/>
        <w:jc w:val="left"/>
        <w:rPr>
          <w:b/>
          <w:sz w:val="21"/>
        </w:rPr>
      </w:pPr>
      <w:r>
        <w:rPr>
          <w:rFonts w:ascii="Arial" w:eastAsia="Arial"/>
          <w:b/>
          <w:sz w:val="52"/>
        </w:rPr>
        <w:t>C</w:t>
        <w:tab/>
      </w:r>
      <w:r>
        <w:rPr>
          <w:b/>
          <w:spacing w:val="-2"/>
          <w:sz w:val="21"/>
        </w:rPr>
        <w:t>您应当特别注意的事项</w:t>
      </w:r>
    </w:p>
    <w:p>
      <w:pPr>
        <w:pStyle w:val="ListParagraph"/>
        <w:numPr>
          <w:ilvl w:val="0"/>
          <w:numId w:val="2"/>
        </w:numPr>
        <w:tabs>
          <w:tab w:pos="1697" w:val="left" w:leader="none"/>
          <w:tab w:pos="1698" w:val="left" w:leader="none"/>
          <w:tab w:pos="9162" w:val="right" w:leader="dot"/>
        </w:tabs>
        <w:spacing w:line="325" w:lineRule="exact" w:before="0" w:after="0"/>
        <w:ind w:left="1697" w:right="0" w:hanging="420"/>
        <w:jc w:val="left"/>
        <w:rPr>
          <w:rFonts w:ascii="Times New Roman" w:eastAsia="Times New Roman"/>
          <w:sz w:val="21"/>
        </w:rPr>
      </w:pPr>
      <w:r>
        <w:rPr>
          <w:rFonts w:ascii="黑体" w:eastAsia="黑体" w:hint="eastAsia"/>
          <w:sz w:val="24"/>
        </w:rPr>
        <w:t>在某些情况下，我们不承担保险责任</w:t>
        <w:tab/>
      </w:r>
      <w:r>
        <w:rPr>
          <w:rFonts w:ascii="Times New Roman" w:eastAsia="Times New Roman"/>
          <w:sz w:val="21"/>
        </w:rPr>
        <w:t>2.5</w:t>
      </w:r>
    </w:p>
    <w:p>
      <w:pPr>
        <w:pStyle w:val="ListParagraph"/>
        <w:numPr>
          <w:ilvl w:val="0"/>
          <w:numId w:val="2"/>
        </w:numPr>
        <w:tabs>
          <w:tab w:pos="1697" w:val="left" w:leader="none"/>
          <w:tab w:pos="1698" w:val="left" w:leader="none"/>
          <w:tab w:pos="8998" w:val="right" w:leader="dot"/>
        </w:tabs>
        <w:spacing w:line="240" w:lineRule="auto" w:before="14" w:after="0"/>
        <w:ind w:left="1697" w:right="0" w:hanging="420"/>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8</w:t>
      </w:r>
    </w:p>
    <w:p>
      <w:pPr>
        <w:tabs>
          <w:tab w:pos="1217" w:val="left" w:leader="none"/>
        </w:tabs>
        <w:spacing w:before="20"/>
        <w:ind w:left="362" w:right="0" w:firstLine="0"/>
        <w:jc w:val="left"/>
        <w:rPr>
          <w:sz w:val="21"/>
        </w:rPr>
      </w:pPr>
      <w:r>
        <w:rPr>
          <w:rFonts w:ascii="Arial" w:eastAsia="Arial"/>
          <w:b/>
          <w:position w:val="-11"/>
          <w:sz w:val="52"/>
        </w:rPr>
        <w:t>C</w:t>
        <w:tab/>
      </w:r>
      <w:r>
        <w:rPr>
          <w:b/>
          <w:spacing w:val="-3"/>
          <w:sz w:val="21"/>
        </w:rPr>
        <w:t>条款是保险合同的重要内容，为充分保障您的权益，请您仔细阅读本条款。</w:t>
      </w:r>
      <w:r>
        <w:rPr>
          <w:w w:val="100"/>
          <w:sz w:val="21"/>
        </w:rPr>
        <w:t> </w:t>
      </w:r>
    </w:p>
    <w:p>
      <w:pPr>
        <w:tabs>
          <w:tab w:pos="1217" w:val="left" w:leader="none"/>
        </w:tabs>
        <w:spacing w:before="25"/>
        <w:ind w:left="362" w:right="0" w:firstLine="0"/>
        <w:jc w:val="left"/>
        <w:rPr>
          <w:sz w:val="21"/>
        </w:rPr>
      </w:pPr>
      <w:r>
        <w:rPr>
          <w:rFonts w:ascii="Arial" w:eastAsia="Arial"/>
          <w:b/>
          <w:position w:val="-11"/>
          <w:sz w:val="52"/>
        </w:rPr>
        <w:t>C</w:t>
        <w:tab/>
      </w:r>
      <w:r>
        <w:rPr>
          <w:b/>
          <w:spacing w:val="-1"/>
          <w:sz w:val="21"/>
        </w:rPr>
        <w:t>条款目录</w:t>
      </w:r>
      <w:r>
        <w:rPr>
          <w:w w:val="100"/>
          <w:sz w:val="21"/>
        </w:rPr>
        <w:t> </w:t>
      </w:r>
    </w:p>
    <w:p>
      <w:pPr>
        <w:pStyle w:val="BodyText"/>
        <w:spacing w:before="4"/>
        <w:rPr>
          <w:sz w:val="6"/>
        </w:rPr>
      </w:pPr>
    </w:p>
    <w:tbl>
      <w:tblPr>
        <w:tblW w:w="0" w:type="auto"/>
        <w:jc w:val="left"/>
        <w:tblInd w:w="1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7"/>
        <w:gridCol w:w="4391"/>
      </w:tblGrid>
      <w:tr>
        <w:trPr>
          <w:trHeight w:val="244" w:hRule="atLeast"/>
        </w:trPr>
        <w:tc>
          <w:tcPr>
            <w:tcW w:w="3337" w:type="dxa"/>
          </w:tcPr>
          <w:p>
            <w:pPr>
              <w:pStyle w:val="TableParagraph"/>
              <w:spacing w:line="224" w:lineRule="exact"/>
              <w:ind w:left="200"/>
              <w:rPr>
                <w:b/>
                <w:sz w:val="21"/>
              </w:rPr>
            </w:pPr>
            <w:r>
              <w:rPr>
                <w:rFonts w:ascii="Times New Roman" w:eastAsia="Times New Roman"/>
                <w:b/>
                <w:sz w:val="21"/>
              </w:rPr>
              <w:t>1.  </w:t>
            </w:r>
            <w:r>
              <w:rPr>
                <w:b/>
                <w:sz w:val="21"/>
              </w:rPr>
              <w:t>您与我们订立的合同</w:t>
            </w:r>
          </w:p>
        </w:tc>
        <w:tc>
          <w:tcPr>
            <w:tcW w:w="4391" w:type="dxa"/>
          </w:tcPr>
          <w:p>
            <w:pPr>
              <w:pStyle w:val="TableParagraph"/>
              <w:spacing w:line="224" w:lineRule="exact"/>
              <w:ind w:left="669"/>
              <w:rPr>
                <w:b/>
                <w:sz w:val="21"/>
              </w:rPr>
            </w:pPr>
            <w:r>
              <w:rPr>
                <w:rFonts w:ascii="Times New Roman" w:eastAsia="Times New Roman"/>
                <w:b/>
                <w:sz w:val="21"/>
              </w:rPr>
              <w:t>5.  </w:t>
            </w:r>
            <w:r>
              <w:rPr>
                <w:b/>
                <w:sz w:val="21"/>
              </w:rPr>
              <w:t>合同效力的中止及恢复</w:t>
            </w:r>
          </w:p>
        </w:tc>
      </w:tr>
      <w:tr>
        <w:trPr>
          <w:trHeight w:val="254" w:hRule="atLeast"/>
        </w:trPr>
        <w:tc>
          <w:tcPr>
            <w:tcW w:w="3337" w:type="dxa"/>
          </w:tcPr>
          <w:p>
            <w:pPr>
              <w:pStyle w:val="TableParagraph"/>
              <w:spacing w:line="234" w:lineRule="exact"/>
              <w:ind w:left="411"/>
              <w:rPr>
                <w:sz w:val="21"/>
              </w:rPr>
            </w:pPr>
            <w:r>
              <w:rPr>
                <w:rFonts w:ascii="Times New Roman" w:eastAsia="Times New Roman"/>
                <w:sz w:val="21"/>
              </w:rPr>
              <w:t>1.1  </w:t>
            </w:r>
            <w:r>
              <w:rPr>
                <w:sz w:val="21"/>
              </w:rPr>
              <w:t>合同构成</w:t>
            </w:r>
          </w:p>
        </w:tc>
        <w:tc>
          <w:tcPr>
            <w:tcW w:w="4391" w:type="dxa"/>
          </w:tcPr>
          <w:p>
            <w:pPr>
              <w:pStyle w:val="TableParagraph"/>
              <w:spacing w:line="234" w:lineRule="exact"/>
              <w:ind w:left="880"/>
              <w:rPr>
                <w:sz w:val="21"/>
              </w:rPr>
            </w:pPr>
            <w:r>
              <w:rPr>
                <w:rFonts w:ascii="Times New Roman" w:eastAsia="Times New Roman"/>
                <w:sz w:val="21"/>
              </w:rPr>
              <w:t>5.1  </w:t>
            </w:r>
            <w:r>
              <w:rPr>
                <w:sz w:val="21"/>
              </w:rPr>
              <w:t>效力中止</w:t>
            </w:r>
          </w:p>
        </w:tc>
      </w:tr>
      <w:tr>
        <w:trPr>
          <w:trHeight w:val="255" w:hRule="atLeast"/>
        </w:trPr>
        <w:tc>
          <w:tcPr>
            <w:tcW w:w="3337" w:type="dxa"/>
          </w:tcPr>
          <w:p>
            <w:pPr>
              <w:pStyle w:val="TableParagraph"/>
              <w:spacing w:line="236" w:lineRule="exact"/>
              <w:ind w:left="411"/>
              <w:rPr>
                <w:sz w:val="21"/>
              </w:rPr>
            </w:pPr>
            <w:r>
              <w:rPr>
                <w:rFonts w:ascii="Times New Roman" w:eastAsia="Times New Roman"/>
                <w:sz w:val="21"/>
              </w:rPr>
              <w:t>1.2  </w:t>
            </w:r>
            <w:r>
              <w:rPr>
                <w:sz w:val="21"/>
              </w:rPr>
              <w:t>合同成立与生效</w:t>
            </w:r>
          </w:p>
        </w:tc>
        <w:tc>
          <w:tcPr>
            <w:tcW w:w="4391" w:type="dxa"/>
          </w:tcPr>
          <w:p>
            <w:pPr>
              <w:pStyle w:val="TableParagraph"/>
              <w:spacing w:line="236" w:lineRule="exact"/>
              <w:ind w:left="880"/>
              <w:rPr>
                <w:sz w:val="21"/>
              </w:rPr>
            </w:pPr>
            <w:r>
              <w:rPr>
                <w:rFonts w:ascii="Times New Roman" w:eastAsia="Times New Roman"/>
                <w:sz w:val="21"/>
              </w:rPr>
              <w:t>5.2  </w:t>
            </w:r>
            <w:r>
              <w:rPr>
                <w:sz w:val="21"/>
              </w:rPr>
              <w:t>效力恢复</w:t>
            </w:r>
          </w:p>
        </w:tc>
      </w:tr>
      <w:tr>
        <w:trPr>
          <w:trHeight w:val="255" w:hRule="atLeast"/>
        </w:trPr>
        <w:tc>
          <w:tcPr>
            <w:tcW w:w="3337" w:type="dxa"/>
          </w:tcPr>
          <w:p>
            <w:pPr>
              <w:pStyle w:val="TableParagraph"/>
              <w:spacing w:line="236" w:lineRule="exact"/>
              <w:ind w:left="411"/>
              <w:rPr>
                <w:sz w:val="21"/>
              </w:rPr>
            </w:pPr>
            <w:r>
              <w:rPr>
                <w:rFonts w:ascii="Times New Roman" w:eastAsia="Times New Roman"/>
                <w:sz w:val="21"/>
              </w:rPr>
              <w:t>1.3  </w:t>
            </w:r>
            <w:r>
              <w:rPr>
                <w:sz w:val="21"/>
              </w:rPr>
              <w:t>合同终止</w:t>
            </w:r>
          </w:p>
        </w:tc>
        <w:tc>
          <w:tcPr>
            <w:tcW w:w="4391" w:type="dxa"/>
          </w:tcPr>
          <w:p>
            <w:pPr>
              <w:pStyle w:val="TableParagraph"/>
              <w:spacing w:line="236" w:lineRule="exact"/>
              <w:ind w:left="669"/>
              <w:rPr>
                <w:b/>
                <w:sz w:val="21"/>
              </w:rPr>
            </w:pPr>
            <w:r>
              <w:rPr>
                <w:rFonts w:ascii="Times New Roman" w:eastAsia="Times New Roman"/>
                <w:b/>
                <w:sz w:val="21"/>
              </w:rPr>
              <w:t>6.  </w:t>
            </w:r>
            <w:r>
              <w:rPr>
                <w:b/>
                <w:sz w:val="21"/>
              </w:rPr>
              <w:t>合同解除</w:t>
            </w:r>
          </w:p>
        </w:tc>
      </w:tr>
      <w:tr>
        <w:trPr>
          <w:trHeight w:val="254" w:hRule="atLeast"/>
        </w:trPr>
        <w:tc>
          <w:tcPr>
            <w:tcW w:w="3337" w:type="dxa"/>
          </w:tcPr>
          <w:p>
            <w:pPr>
              <w:pStyle w:val="TableParagraph"/>
              <w:spacing w:line="234" w:lineRule="exact"/>
              <w:ind w:left="411"/>
              <w:rPr>
                <w:sz w:val="21"/>
              </w:rPr>
            </w:pPr>
            <w:r>
              <w:rPr>
                <w:rFonts w:ascii="Times New Roman" w:eastAsia="Times New Roman"/>
                <w:sz w:val="21"/>
              </w:rPr>
              <w:t>1.4  </w:t>
            </w:r>
            <w:r>
              <w:rPr>
                <w:sz w:val="21"/>
              </w:rPr>
              <w:t>投保年龄</w:t>
            </w:r>
          </w:p>
        </w:tc>
        <w:tc>
          <w:tcPr>
            <w:tcW w:w="4391" w:type="dxa"/>
          </w:tcPr>
          <w:p>
            <w:pPr>
              <w:pStyle w:val="TableParagraph"/>
              <w:spacing w:line="234" w:lineRule="exact"/>
              <w:ind w:left="880"/>
              <w:rPr>
                <w:sz w:val="21"/>
              </w:rPr>
            </w:pPr>
            <w:r>
              <w:rPr>
                <w:rFonts w:ascii="Times New Roman" w:eastAsia="Times New Roman"/>
                <w:sz w:val="21"/>
              </w:rPr>
              <w:t>6.1  </w:t>
            </w:r>
            <w:r>
              <w:rPr>
                <w:sz w:val="21"/>
              </w:rPr>
              <w:t>您解除合同的手续</w:t>
            </w:r>
          </w:p>
        </w:tc>
      </w:tr>
      <w:tr>
        <w:trPr>
          <w:trHeight w:val="254" w:hRule="atLeast"/>
        </w:trPr>
        <w:tc>
          <w:tcPr>
            <w:tcW w:w="3337" w:type="dxa"/>
          </w:tcPr>
          <w:p>
            <w:pPr>
              <w:pStyle w:val="TableParagraph"/>
              <w:spacing w:line="234" w:lineRule="exact"/>
              <w:ind w:left="411"/>
              <w:rPr>
                <w:sz w:val="21"/>
              </w:rPr>
            </w:pPr>
            <w:r>
              <w:rPr>
                <w:rFonts w:ascii="Times New Roman" w:eastAsia="Times New Roman"/>
                <w:sz w:val="21"/>
              </w:rPr>
              <w:t>1.5  </w:t>
            </w:r>
            <w:r>
              <w:rPr>
                <w:sz w:val="21"/>
              </w:rPr>
              <w:t>犹豫期</w:t>
            </w:r>
          </w:p>
        </w:tc>
        <w:tc>
          <w:tcPr>
            <w:tcW w:w="4391" w:type="dxa"/>
          </w:tcPr>
          <w:p>
            <w:pPr>
              <w:pStyle w:val="TableParagraph"/>
              <w:spacing w:line="234" w:lineRule="exact"/>
              <w:ind w:left="669"/>
              <w:rPr>
                <w:b/>
                <w:sz w:val="21"/>
              </w:rPr>
            </w:pPr>
            <w:r>
              <w:rPr>
                <w:rFonts w:ascii="Times New Roman" w:eastAsia="Times New Roman"/>
                <w:b/>
                <w:sz w:val="21"/>
              </w:rPr>
              <w:t>7.  </w:t>
            </w:r>
            <w:r>
              <w:rPr>
                <w:b/>
                <w:sz w:val="21"/>
              </w:rPr>
              <w:t>重大疾病释义</w:t>
            </w:r>
          </w:p>
        </w:tc>
      </w:tr>
      <w:tr>
        <w:trPr>
          <w:trHeight w:val="255" w:hRule="atLeast"/>
        </w:trPr>
        <w:tc>
          <w:tcPr>
            <w:tcW w:w="3337" w:type="dxa"/>
          </w:tcPr>
          <w:p>
            <w:pPr>
              <w:pStyle w:val="TableParagraph"/>
              <w:spacing w:line="236" w:lineRule="exact"/>
              <w:ind w:left="200"/>
              <w:rPr>
                <w:b/>
                <w:sz w:val="21"/>
              </w:rPr>
            </w:pPr>
            <w:r>
              <w:rPr>
                <w:rFonts w:ascii="Times New Roman" w:eastAsia="Times New Roman"/>
                <w:b/>
                <w:sz w:val="21"/>
              </w:rPr>
              <w:t>2.  </w:t>
            </w:r>
            <w:r>
              <w:rPr>
                <w:b/>
                <w:sz w:val="21"/>
              </w:rPr>
              <w:t>我们提供的保障</w:t>
            </w:r>
          </w:p>
        </w:tc>
        <w:tc>
          <w:tcPr>
            <w:tcW w:w="4391" w:type="dxa"/>
          </w:tcPr>
          <w:p>
            <w:pPr>
              <w:pStyle w:val="TableParagraph"/>
              <w:spacing w:line="236" w:lineRule="exact"/>
              <w:ind w:left="880"/>
              <w:rPr>
                <w:sz w:val="21"/>
              </w:rPr>
            </w:pPr>
            <w:r>
              <w:rPr>
                <w:rFonts w:ascii="Times New Roman" w:eastAsia="Times New Roman"/>
                <w:sz w:val="21"/>
              </w:rPr>
              <w:t>7.1  </w:t>
            </w:r>
            <w:r>
              <w:rPr>
                <w:sz w:val="21"/>
              </w:rPr>
              <w:t>重大疾病介绍</w:t>
            </w:r>
          </w:p>
        </w:tc>
      </w:tr>
      <w:tr>
        <w:trPr>
          <w:trHeight w:val="255" w:hRule="atLeast"/>
        </w:trPr>
        <w:tc>
          <w:tcPr>
            <w:tcW w:w="3337" w:type="dxa"/>
          </w:tcPr>
          <w:p>
            <w:pPr>
              <w:pStyle w:val="TableParagraph"/>
              <w:spacing w:line="236" w:lineRule="exact"/>
              <w:ind w:left="411"/>
              <w:rPr>
                <w:sz w:val="21"/>
              </w:rPr>
            </w:pPr>
            <w:r>
              <w:rPr>
                <w:rFonts w:ascii="Times New Roman" w:eastAsia="Times New Roman"/>
                <w:sz w:val="21"/>
              </w:rPr>
              <w:t>2.1  </w:t>
            </w:r>
            <w:r>
              <w:rPr>
                <w:sz w:val="21"/>
              </w:rPr>
              <w:t>保险金额</w:t>
            </w:r>
          </w:p>
        </w:tc>
        <w:tc>
          <w:tcPr>
            <w:tcW w:w="4391" w:type="dxa"/>
          </w:tcPr>
          <w:p>
            <w:pPr>
              <w:pStyle w:val="TableParagraph"/>
              <w:spacing w:line="236" w:lineRule="exact"/>
              <w:ind w:left="669"/>
              <w:rPr>
                <w:b/>
                <w:sz w:val="21"/>
              </w:rPr>
            </w:pPr>
            <w:r>
              <w:rPr>
                <w:rFonts w:ascii="Times New Roman" w:eastAsia="Times New Roman"/>
                <w:b/>
                <w:sz w:val="21"/>
              </w:rPr>
              <w:t>8.</w:t>
            </w:r>
            <w:r>
              <w:rPr>
                <w:rFonts w:ascii="Times New Roman" w:eastAsia="Times New Roman"/>
                <w:b/>
                <w:spacing w:val="51"/>
                <w:sz w:val="21"/>
              </w:rPr>
              <w:t> </w:t>
            </w:r>
            <w:r>
              <w:rPr>
                <w:b/>
                <w:sz w:val="21"/>
              </w:rPr>
              <w:t>释义</w:t>
            </w:r>
          </w:p>
        </w:tc>
      </w:tr>
      <w:tr>
        <w:trPr>
          <w:trHeight w:val="254" w:hRule="atLeast"/>
        </w:trPr>
        <w:tc>
          <w:tcPr>
            <w:tcW w:w="3337" w:type="dxa"/>
          </w:tcPr>
          <w:p>
            <w:pPr>
              <w:pStyle w:val="TableParagraph"/>
              <w:spacing w:line="234" w:lineRule="exact"/>
              <w:ind w:left="411"/>
              <w:rPr>
                <w:sz w:val="21"/>
              </w:rPr>
            </w:pPr>
            <w:r>
              <w:rPr>
                <w:rFonts w:ascii="Times New Roman" w:eastAsia="Times New Roman"/>
                <w:sz w:val="21"/>
              </w:rPr>
              <w:t>2.2  </w:t>
            </w:r>
            <w:r>
              <w:rPr>
                <w:sz w:val="21"/>
              </w:rPr>
              <w:t>基本保险金额的变更</w:t>
            </w:r>
          </w:p>
        </w:tc>
        <w:tc>
          <w:tcPr>
            <w:tcW w:w="4391" w:type="dxa"/>
          </w:tcPr>
          <w:p>
            <w:pPr>
              <w:pStyle w:val="TableParagraph"/>
              <w:spacing w:line="234" w:lineRule="exact"/>
              <w:ind w:left="880"/>
              <w:rPr>
                <w:sz w:val="21"/>
              </w:rPr>
            </w:pPr>
            <w:r>
              <w:rPr>
                <w:rFonts w:ascii="Times New Roman" w:eastAsia="Times New Roman"/>
                <w:sz w:val="21"/>
              </w:rPr>
              <w:t>8.1  </w:t>
            </w:r>
            <w:r>
              <w:rPr>
                <w:sz w:val="21"/>
              </w:rPr>
              <w:t>专科医生</w:t>
            </w:r>
          </w:p>
        </w:tc>
      </w:tr>
      <w:tr>
        <w:trPr>
          <w:trHeight w:val="254" w:hRule="atLeast"/>
        </w:trPr>
        <w:tc>
          <w:tcPr>
            <w:tcW w:w="3337" w:type="dxa"/>
          </w:tcPr>
          <w:p>
            <w:pPr>
              <w:pStyle w:val="TableParagraph"/>
              <w:spacing w:line="234" w:lineRule="exact"/>
              <w:ind w:left="411"/>
              <w:rPr>
                <w:sz w:val="21"/>
              </w:rPr>
            </w:pPr>
            <w:r>
              <w:rPr>
                <w:rFonts w:ascii="Times New Roman" w:eastAsia="Times New Roman"/>
                <w:sz w:val="21"/>
              </w:rPr>
              <w:t>2.3  </w:t>
            </w:r>
            <w:r>
              <w:rPr>
                <w:sz w:val="21"/>
              </w:rPr>
              <w:t>保险期间及续保</w:t>
            </w:r>
          </w:p>
        </w:tc>
        <w:tc>
          <w:tcPr>
            <w:tcW w:w="4391" w:type="dxa"/>
          </w:tcPr>
          <w:p>
            <w:pPr>
              <w:pStyle w:val="TableParagraph"/>
              <w:spacing w:line="234" w:lineRule="exact"/>
              <w:ind w:left="880"/>
              <w:rPr>
                <w:sz w:val="21"/>
              </w:rPr>
            </w:pPr>
            <w:r>
              <w:rPr>
                <w:rFonts w:ascii="Times New Roman" w:eastAsia="Times New Roman"/>
                <w:sz w:val="21"/>
              </w:rPr>
              <w:t>8.2  </w:t>
            </w:r>
            <w:r>
              <w:rPr>
                <w:sz w:val="21"/>
              </w:rPr>
              <w:t>感染艾滋病病毒或患艾滋病</w:t>
            </w:r>
          </w:p>
        </w:tc>
      </w:tr>
      <w:tr>
        <w:trPr>
          <w:trHeight w:val="255" w:hRule="atLeast"/>
        </w:trPr>
        <w:tc>
          <w:tcPr>
            <w:tcW w:w="3337" w:type="dxa"/>
          </w:tcPr>
          <w:p>
            <w:pPr>
              <w:pStyle w:val="TableParagraph"/>
              <w:spacing w:line="236" w:lineRule="exact"/>
              <w:ind w:left="411"/>
              <w:rPr>
                <w:sz w:val="21"/>
              </w:rPr>
            </w:pPr>
            <w:r>
              <w:rPr>
                <w:rFonts w:ascii="Times New Roman" w:eastAsia="Times New Roman"/>
                <w:sz w:val="21"/>
              </w:rPr>
              <w:t>2.4  </w:t>
            </w:r>
            <w:r>
              <w:rPr>
                <w:sz w:val="21"/>
              </w:rPr>
              <w:t>保险责任</w:t>
            </w:r>
          </w:p>
        </w:tc>
        <w:tc>
          <w:tcPr>
            <w:tcW w:w="4391" w:type="dxa"/>
          </w:tcPr>
          <w:p>
            <w:pPr>
              <w:pStyle w:val="TableParagraph"/>
              <w:spacing w:line="236" w:lineRule="exact"/>
              <w:ind w:left="880"/>
              <w:rPr>
                <w:sz w:val="21"/>
              </w:rPr>
            </w:pPr>
            <w:r>
              <w:rPr>
                <w:rFonts w:ascii="Times New Roman" w:eastAsia="Times New Roman"/>
                <w:sz w:val="21"/>
              </w:rPr>
              <w:t>8.3  </w:t>
            </w:r>
            <w:r>
              <w:rPr>
                <w:sz w:val="21"/>
              </w:rPr>
              <w:t>遗传性疾病</w:t>
            </w:r>
          </w:p>
        </w:tc>
      </w:tr>
      <w:tr>
        <w:trPr>
          <w:trHeight w:val="255" w:hRule="atLeast"/>
        </w:trPr>
        <w:tc>
          <w:tcPr>
            <w:tcW w:w="3337" w:type="dxa"/>
          </w:tcPr>
          <w:p>
            <w:pPr>
              <w:pStyle w:val="TableParagraph"/>
              <w:spacing w:line="236" w:lineRule="exact"/>
              <w:ind w:left="411"/>
              <w:rPr>
                <w:sz w:val="21"/>
              </w:rPr>
            </w:pPr>
            <w:r>
              <w:rPr>
                <w:rFonts w:ascii="Times New Roman" w:eastAsia="Times New Roman"/>
                <w:sz w:val="21"/>
              </w:rPr>
              <w:t>2.5  </w:t>
            </w:r>
            <w:r>
              <w:rPr>
                <w:sz w:val="21"/>
              </w:rPr>
              <w:t>责任免除</w:t>
            </w:r>
          </w:p>
        </w:tc>
        <w:tc>
          <w:tcPr>
            <w:tcW w:w="4391" w:type="dxa"/>
          </w:tcPr>
          <w:p>
            <w:pPr>
              <w:pStyle w:val="TableParagraph"/>
              <w:spacing w:line="236" w:lineRule="exact"/>
              <w:ind w:left="880"/>
              <w:rPr>
                <w:sz w:val="21"/>
              </w:rPr>
            </w:pPr>
            <w:r>
              <w:rPr>
                <w:rFonts w:ascii="Times New Roman" w:eastAsia="Times New Roman"/>
                <w:sz w:val="21"/>
              </w:rPr>
              <w:t>8.4  </w:t>
            </w:r>
            <w:r>
              <w:rPr>
                <w:sz w:val="21"/>
              </w:rPr>
              <w:t>先天性畸形、变形或染色体异常</w:t>
            </w:r>
          </w:p>
        </w:tc>
      </w:tr>
      <w:tr>
        <w:trPr>
          <w:trHeight w:val="254" w:hRule="atLeast"/>
        </w:trPr>
        <w:tc>
          <w:tcPr>
            <w:tcW w:w="3337" w:type="dxa"/>
          </w:tcPr>
          <w:p>
            <w:pPr>
              <w:pStyle w:val="TableParagraph"/>
              <w:spacing w:line="234" w:lineRule="exact"/>
              <w:ind w:left="200"/>
              <w:rPr>
                <w:b/>
                <w:sz w:val="21"/>
              </w:rPr>
            </w:pPr>
            <w:r>
              <w:rPr>
                <w:rFonts w:ascii="Times New Roman" w:eastAsia="Times New Roman"/>
                <w:b/>
                <w:sz w:val="21"/>
              </w:rPr>
              <w:t>3.  </w:t>
            </w:r>
            <w:r>
              <w:rPr>
                <w:b/>
                <w:sz w:val="21"/>
              </w:rPr>
              <w:t>保险金的申请</w:t>
            </w:r>
          </w:p>
        </w:tc>
        <w:tc>
          <w:tcPr>
            <w:tcW w:w="4391" w:type="dxa"/>
          </w:tcPr>
          <w:p>
            <w:pPr>
              <w:pStyle w:val="TableParagraph"/>
              <w:spacing w:line="234" w:lineRule="exact"/>
              <w:ind w:left="880"/>
              <w:rPr>
                <w:sz w:val="21"/>
              </w:rPr>
            </w:pPr>
            <w:r>
              <w:rPr>
                <w:rFonts w:ascii="Times New Roman" w:eastAsia="Times New Roman"/>
                <w:sz w:val="21"/>
              </w:rPr>
              <w:t>8.5  </w:t>
            </w:r>
            <w:r>
              <w:rPr>
                <w:sz w:val="21"/>
              </w:rPr>
              <w:t>肢体机能完全丧失</w:t>
            </w:r>
          </w:p>
        </w:tc>
      </w:tr>
      <w:tr>
        <w:trPr>
          <w:trHeight w:val="254" w:hRule="atLeast"/>
        </w:trPr>
        <w:tc>
          <w:tcPr>
            <w:tcW w:w="3337" w:type="dxa"/>
          </w:tcPr>
          <w:p>
            <w:pPr>
              <w:pStyle w:val="TableParagraph"/>
              <w:spacing w:line="234" w:lineRule="exact"/>
              <w:ind w:left="411"/>
              <w:rPr>
                <w:sz w:val="21"/>
              </w:rPr>
            </w:pPr>
            <w:r>
              <w:rPr>
                <w:rFonts w:ascii="Times New Roman" w:eastAsia="Times New Roman"/>
                <w:sz w:val="21"/>
              </w:rPr>
              <w:t>3.1  </w:t>
            </w:r>
            <w:r>
              <w:rPr>
                <w:sz w:val="21"/>
              </w:rPr>
              <w:t>保险金申请</w:t>
            </w:r>
          </w:p>
        </w:tc>
        <w:tc>
          <w:tcPr>
            <w:tcW w:w="4391" w:type="dxa"/>
          </w:tcPr>
          <w:p>
            <w:pPr>
              <w:pStyle w:val="TableParagraph"/>
              <w:spacing w:line="234" w:lineRule="exact"/>
              <w:ind w:left="880"/>
              <w:rPr>
                <w:sz w:val="21"/>
              </w:rPr>
            </w:pPr>
            <w:r>
              <w:rPr>
                <w:rFonts w:ascii="Times New Roman" w:eastAsia="Times New Roman"/>
                <w:sz w:val="21"/>
              </w:rPr>
              <w:t>8.6  </w:t>
            </w:r>
            <w:r>
              <w:rPr>
                <w:sz w:val="21"/>
              </w:rPr>
              <w:t>语言能力完全丧失</w:t>
            </w:r>
          </w:p>
        </w:tc>
      </w:tr>
      <w:tr>
        <w:trPr>
          <w:trHeight w:val="255" w:hRule="atLeast"/>
        </w:trPr>
        <w:tc>
          <w:tcPr>
            <w:tcW w:w="3337" w:type="dxa"/>
          </w:tcPr>
          <w:p>
            <w:pPr>
              <w:pStyle w:val="TableParagraph"/>
              <w:spacing w:line="236" w:lineRule="exact"/>
              <w:ind w:left="411"/>
              <w:rPr>
                <w:sz w:val="21"/>
              </w:rPr>
            </w:pPr>
            <w:r>
              <w:rPr>
                <w:rFonts w:ascii="Times New Roman" w:eastAsia="Times New Roman"/>
                <w:sz w:val="21"/>
              </w:rPr>
              <w:t>3.2  </w:t>
            </w:r>
            <w:r>
              <w:rPr>
                <w:sz w:val="21"/>
              </w:rPr>
              <w:t>诉讼时效</w:t>
            </w:r>
          </w:p>
        </w:tc>
        <w:tc>
          <w:tcPr>
            <w:tcW w:w="4391" w:type="dxa"/>
          </w:tcPr>
          <w:p>
            <w:pPr>
              <w:pStyle w:val="TableParagraph"/>
              <w:spacing w:line="236" w:lineRule="exact"/>
              <w:ind w:left="880"/>
              <w:rPr>
                <w:sz w:val="21"/>
              </w:rPr>
            </w:pPr>
            <w:r>
              <w:rPr>
                <w:rFonts w:ascii="Times New Roman" w:eastAsia="Times New Roman"/>
                <w:sz w:val="21"/>
              </w:rPr>
              <w:t>8.7  </w:t>
            </w:r>
            <w:r>
              <w:rPr>
                <w:sz w:val="21"/>
              </w:rPr>
              <w:t>咀嚼吞咽能力完全丧失</w:t>
            </w:r>
          </w:p>
        </w:tc>
      </w:tr>
      <w:tr>
        <w:trPr>
          <w:trHeight w:val="255" w:hRule="atLeast"/>
        </w:trPr>
        <w:tc>
          <w:tcPr>
            <w:tcW w:w="3337" w:type="dxa"/>
          </w:tcPr>
          <w:p>
            <w:pPr>
              <w:pStyle w:val="TableParagraph"/>
              <w:spacing w:line="236" w:lineRule="exact"/>
              <w:ind w:left="200"/>
              <w:rPr>
                <w:b/>
                <w:sz w:val="21"/>
              </w:rPr>
            </w:pPr>
            <w:r>
              <w:rPr>
                <w:rFonts w:ascii="Times New Roman" w:eastAsia="Times New Roman"/>
                <w:b/>
                <w:sz w:val="21"/>
              </w:rPr>
              <w:t>4.  </w:t>
            </w:r>
            <w:r>
              <w:rPr>
                <w:b/>
                <w:sz w:val="21"/>
              </w:rPr>
              <w:t>风险保险费的收取</w:t>
            </w:r>
          </w:p>
        </w:tc>
        <w:tc>
          <w:tcPr>
            <w:tcW w:w="4391" w:type="dxa"/>
          </w:tcPr>
          <w:p>
            <w:pPr>
              <w:pStyle w:val="TableParagraph"/>
              <w:spacing w:line="236" w:lineRule="exact"/>
              <w:ind w:left="880"/>
              <w:rPr>
                <w:sz w:val="21"/>
              </w:rPr>
            </w:pPr>
            <w:r>
              <w:rPr>
                <w:rFonts w:ascii="Times New Roman" w:eastAsia="Times New Roman"/>
                <w:sz w:val="21"/>
              </w:rPr>
              <w:t>8.8  </w:t>
            </w:r>
            <w:r>
              <w:rPr>
                <w:sz w:val="21"/>
              </w:rPr>
              <w:t>六项基本日常生活活动</w:t>
            </w:r>
          </w:p>
        </w:tc>
      </w:tr>
      <w:tr>
        <w:trPr>
          <w:trHeight w:val="254" w:hRule="atLeast"/>
        </w:trPr>
        <w:tc>
          <w:tcPr>
            <w:tcW w:w="3337" w:type="dxa"/>
          </w:tcPr>
          <w:p>
            <w:pPr>
              <w:pStyle w:val="TableParagraph"/>
              <w:spacing w:line="234" w:lineRule="exact"/>
              <w:ind w:left="411"/>
              <w:rPr>
                <w:sz w:val="21"/>
              </w:rPr>
            </w:pPr>
            <w:r>
              <w:rPr>
                <w:rFonts w:ascii="Times New Roman" w:eastAsia="Times New Roman"/>
                <w:sz w:val="21"/>
              </w:rPr>
              <w:t>4.1  </w:t>
            </w:r>
            <w:r>
              <w:rPr>
                <w:sz w:val="21"/>
              </w:rPr>
              <w:t>风险保险费的收取</w:t>
            </w:r>
          </w:p>
        </w:tc>
        <w:tc>
          <w:tcPr>
            <w:tcW w:w="4391" w:type="dxa"/>
          </w:tcPr>
          <w:p>
            <w:pPr>
              <w:pStyle w:val="TableParagraph"/>
              <w:spacing w:line="234" w:lineRule="exact"/>
              <w:ind w:left="880"/>
              <w:rPr>
                <w:sz w:val="21"/>
              </w:rPr>
            </w:pPr>
            <w:r>
              <w:rPr>
                <w:rFonts w:ascii="Times New Roman" w:eastAsia="Times New Roman"/>
                <w:sz w:val="21"/>
              </w:rPr>
              <w:t>8.9  </w:t>
            </w:r>
            <w:r>
              <w:rPr>
                <w:sz w:val="21"/>
              </w:rPr>
              <w:t>永久不可逆</w:t>
            </w:r>
          </w:p>
        </w:tc>
      </w:tr>
      <w:tr>
        <w:trPr>
          <w:trHeight w:val="244" w:hRule="atLeast"/>
        </w:trPr>
        <w:tc>
          <w:tcPr>
            <w:tcW w:w="3337" w:type="dxa"/>
          </w:tcPr>
          <w:p>
            <w:pPr>
              <w:pStyle w:val="TableParagraph"/>
              <w:spacing w:line="224" w:lineRule="exact"/>
              <w:ind w:left="411"/>
              <w:rPr>
                <w:sz w:val="21"/>
              </w:rPr>
            </w:pPr>
            <w:r>
              <w:rPr>
                <w:rFonts w:ascii="Times New Roman" w:eastAsia="Times New Roman"/>
                <w:sz w:val="21"/>
              </w:rPr>
              <w:t>4.2  </w:t>
            </w:r>
            <w:r>
              <w:rPr>
                <w:sz w:val="21"/>
              </w:rPr>
              <w:t>宽限期</w:t>
            </w:r>
          </w:p>
        </w:tc>
        <w:tc>
          <w:tcPr>
            <w:tcW w:w="4391" w:type="dxa"/>
          </w:tcPr>
          <w:p>
            <w:pPr>
              <w:pStyle w:val="TableParagraph"/>
              <w:ind w:left="0"/>
              <w:rPr>
                <w:rFonts w:ascii="Times New Roman"/>
                <w:sz w:val="16"/>
              </w:rPr>
            </w:pPr>
          </w:p>
        </w:tc>
      </w:tr>
    </w:tbl>
    <w:p>
      <w:pPr>
        <w:spacing w:after="0"/>
        <w:rPr>
          <w:rFonts w:ascii="Times New Roman"/>
          <w:sz w:val="16"/>
        </w:rPr>
        <w:sectPr>
          <w:type w:val="continuous"/>
          <w:pgSz w:w="11910" w:h="16840"/>
          <w:pgMar w:top="780" w:bottom="640" w:left="580" w:right="560"/>
        </w:sectPr>
      </w:pPr>
    </w:p>
    <w:p>
      <w:pPr>
        <w:pStyle w:val="BodyText"/>
        <w:spacing w:line="20" w:lineRule="exact"/>
        <w:ind w:left="183"/>
        <w:rPr>
          <w:sz w:val="2"/>
        </w:rPr>
      </w:pPr>
      <w:r>
        <w:rPr>
          <w:rFonts w:ascii="Times New Roman"/>
          <w:spacing w:val="5"/>
          <w:sz w:val="2"/>
        </w:rPr>
        <w:t> </w:t>
      </w:r>
      <w:r>
        <w:rPr>
          <w:spacing w:val="5"/>
          <w:sz w:val="2"/>
        </w:rPr>
        <w:pict>
          <v:group style="width:526.2pt;height:.75pt;mso-position-horizontal-relative:char;mso-position-vertical-relative:line" coordorigin="0,0" coordsize="10524,15">
            <v:line style="position:absolute" from="0,7" to="10524,7" stroked="true" strokeweight=".72pt" strokecolor="#000000">
              <v:stroke dashstyle="solid"/>
            </v:line>
          </v:group>
        </w:pict>
      </w:r>
      <w:r>
        <w:rPr>
          <w:spacing w:val="5"/>
          <w:sz w:val="2"/>
        </w:rPr>
      </w:r>
    </w:p>
    <w:p>
      <w:pPr>
        <w:pStyle w:val="BodyText"/>
        <w:spacing w:before="2"/>
        <w:rPr>
          <w:sz w:val="17"/>
        </w:rPr>
      </w:pPr>
    </w:p>
    <w:p>
      <w:pPr>
        <w:pStyle w:val="Heading1"/>
        <w:ind w:left="2864"/>
      </w:pPr>
      <w:r>
        <w:rPr/>
        <w:t>汇丰附加无忧重大疾病保险 B 款条款</w:t>
      </w:r>
    </w:p>
    <w:p>
      <w:pPr>
        <w:pStyle w:val="BodyText"/>
        <w:spacing w:line="273" w:lineRule="auto" w:before="91"/>
        <w:ind w:left="220" w:right="201" w:hanging="1"/>
      </w:pPr>
      <w:r>
        <w:rPr>
          <w:spacing w:val="-6"/>
          <w:w w:val="100"/>
        </w:rPr>
        <w:t>在本条款中，“您”指投保人，“我们”、“本公司”均指汇丰人寿保险有限公司，“本附加合同”指您与我们之</w:t>
      </w:r>
      <w:r>
        <w:rPr>
          <w:spacing w:val="-6"/>
        </w:rPr>
        <w:t>间订立的“汇丰附加无忧重大疾病保险 </w:t>
      </w:r>
      <w:r>
        <w:rPr/>
        <w:t>B</w:t>
      </w:r>
      <w:r>
        <w:rPr>
          <w:spacing w:val="-10"/>
        </w:rPr>
        <w:t> 款合同”。 </w:t>
      </w:r>
    </w:p>
    <w:p>
      <w:pPr>
        <w:pStyle w:val="BodyText"/>
        <w:spacing w:before="5"/>
        <w:rPr>
          <w:sz w:val="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1771"/>
        <w:gridCol w:w="7550"/>
      </w:tblGrid>
      <w:tr>
        <w:trPr>
          <w:trHeight w:val="547" w:hRule="atLeast"/>
        </w:trPr>
        <w:tc>
          <w:tcPr>
            <w:tcW w:w="974" w:type="dxa"/>
            <w:tcBorders>
              <w:bottom w:val="single" w:sz="8" w:space="0" w:color="000000"/>
            </w:tcBorders>
          </w:tcPr>
          <w:p>
            <w:pPr>
              <w:pStyle w:val="TableParagraph"/>
              <w:spacing w:line="448" w:lineRule="exact"/>
              <w:ind w:left="374"/>
              <w:rPr>
                <w:rFonts w:ascii="Arial"/>
                <w:b/>
                <w:sz w:val="40"/>
              </w:rPr>
            </w:pPr>
            <w:r>
              <w:rPr>
                <w:rFonts w:ascii="Arial"/>
                <w:b/>
                <w:w w:val="91"/>
                <w:sz w:val="40"/>
              </w:rPr>
              <w:t>u</w:t>
            </w:r>
          </w:p>
        </w:tc>
        <w:tc>
          <w:tcPr>
            <w:tcW w:w="9321" w:type="dxa"/>
            <w:gridSpan w:val="2"/>
            <w:tcBorders>
              <w:bottom w:val="single" w:sz="8" w:space="0" w:color="000000"/>
            </w:tcBorders>
          </w:tcPr>
          <w:p>
            <w:pPr>
              <w:pStyle w:val="TableParagraph"/>
              <w:spacing w:before="39"/>
              <w:ind w:left="108"/>
              <w:rPr>
                <w:b/>
                <w:sz w:val="24"/>
              </w:rPr>
            </w:pPr>
            <w:r>
              <w:rPr>
                <w:b/>
                <w:w w:val="95"/>
                <w:sz w:val="24"/>
              </w:rPr>
              <w:t>您与我们订立的合同</w:t>
            </w:r>
            <w:r>
              <w:rPr>
                <w:b/>
                <w:w w:val="99"/>
                <w:sz w:val="24"/>
              </w:rPr>
              <w:t>                                                          </w:t>
            </w:r>
          </w:p>
        </w:tc>
      </w:tr>
      <w:tr>
        <w:trPr>
          <w:trHeight w:val="312" w:hRule="atLeast"/>
        </w:trPr>
        <w:tc>
          <w:tcPr>
            <w:tcW w:w="974" w:type="dxa"/>
            <w:tcBorders>
              <w:top w:val="single" w:sz="8" w:space="0" w:color="000000"/>
            </w:tcBorders>
          </w:tcPr>
          <w:p>
            <w:pPr>
              <w:pStyle w:val="TableParagraph"/>
              <w:spacing w:line="262" w:lineRule="exact"/>
              <w:ind w:left="106"/>
              <w:jc w:val="center"/>
              <w:rPr>
                <w:sz w:val="21"/>
              </w:rPr>
            </w:pPr>
            <w:r>
              <w:rPr>
                <w:w w:val="100"/>
                <w:sz w:val="21"/>
              </w:rPr>
              <w:t> </w:t>
            </w:r>
          </w:p>
        </w:tc>
        <w:tc>
          <w:tcPr>
            <w:tcW w:w="1771" w:type="dxa"/>
            <w:tcBorders>
              <w:top w:val="single" w:sz="8" w:space="0" w:color="000000"/>
            </w:tcBorders>
          </w:tcPr>
          <w:p>
            <w:pPr>
              <w:pStyle w:val="TableParagraph"/>
              <w:spacing w:line="262" w:lineRule="exact"/>
              <w:ind w:left="108"/>
              <w:rPr>
                <w:sz w:val="21"/>
              </w:rPr>
            </w:pPr>
            <w:r>
              <w:rPr>
                <w:w w:val="100"/>
                <w:sz w:val="21"/>
              </w:rPr>
              <w:t> </w:t>
            </w:r>
          </w:p>
        </w:tc>
        <w:tc>
          <w:tcPr>
            <w:tcW w:w="7550" w:type="dxa"/>
            <w:tcBorders>
              <w:top w:val="single" w:sz="8" w:space="0" w:color="000000"/>
            </w:tcBorders>
          </w:tcPr>
          <w:p>
            <w:pPr>
              <w:pStyle w:val="TableParagraph"/>
              <w:spacing w:line="262" w:lineRule="exact"/>
              <w:ind w:left="77"/>
              <w:rPr>
                <w:sz w:val="21"/>
              </w:rPr>
            </w:pPr>
            <w:r>
              <w:rPr>
                <w:w w:val="100"/>
                <w:sz w:val="21"/>
              </w:rPr>
              <w:t> </w:t>
            </w:r>
          </w:p>
        </w:tc>
      </w:tr>
      <w:tr>
        <w:trPr>
          <w:trHeight w:val="1559" w:hRule="atLeast"/>
        </w:trPr>
        <w:tc>
          <w:tcPr>
            <w:tcW w:w="974" w:type="dxa"/>
          </w:tcPr>
          <w:p>
            <w:pPr>
              <w:pStyle w:val="TableParagraph"/>
              <w:spacing w:line="261" w:lineRule="exact"/>
              <w:ind w:left="328"/>
              <w:rPr>
                <w:b/>
                <w:sz w:val="21"/>
              </w:rPr>
            </w:pPr>
            <w:r>
              <w:rPr>
                <w:b/>
                <w:sz w:val="21"/>
              </w:rPr>
              <w:t>1.1 </w:t>
            </w:r>
          </w:p>
        </w:tc>
        <w:tc>
          <w:tcPr>
            <w:tcW w:w="1771" w:type="dxa"/>
          </w:tcPr>
          <w:p>
            <w:pPr>
              <w:pStyle w:val="TableParagraph"/>
              <w:spacing w:line="261" w:lineRule="exact"/>
              <w:ind w:left="108"/>
              <w:rPr>
                <w:b/>
                <w:sz w:val="21"/>
              </w:rPr>
            </w:pPr>
            <w:r>
              <w:rPr>
                <w:b/>
                <w:sz w:val="21"/>
              </w:rPr>
              <w:t>合同构成</w:t>
            </w:r>
            <w:r>
              <w:rPr>
                <w:b/>
                <w:w w:val="99"/>
                <w:sz w:val="21"/>
              </w:rPr>
              <w:t>       </w:t>
            </w:r>
          </w:p>
        </w:tc>
        <w:tc>
          <w:tcPr>
            <w:tcW w:w="7550" w:type="dxa"/>
          </w:tcPr>
          <w:p>
            <w:pPr>
              <w:pStyle w:val="TableParagraph"/>
              <w:spacing w:line="261" w:lineRule="exact"/>
              <w:ind w:left="77"/>
              <w:rPr>
                <w:sz w:val="21"/>
              </w:rPr>
            </w:pPr>
            <w:r>
              <w:rPr>
                <w:sz w:val="21"/>
              </w:rPr>
              <w:t>本附加合同由主保险合同（以下简称“主合同”）投保人提出申请，经我们同意</w:t>
            </w:r>
          </w:p>
          <w:p>
            <w:pPr>
              <w:pStyle w:val="TableParagraph"/>
              <w:spacing w:before="37"/>
              <w:ind w:left="77"/>
              <w:rPr>
                <w:sz w:val="21"/>
              </w:rPr>
            </w:pPr>
            <w:r>
              <w:rPr>
                <w:sz w:val="21"/>
              </w:rPr>
              <w:t>而订立。本附加合同须附加于主合同方可生效。 </w:t>
            </w:r>
          </w:p>
          <w:p>
            <w:pPr>
              <w:pStyle w:val="TableParagraph"/>
              <w:spacing w:line="273" w:lineRule="auto" w:before="37"/>
              <w:ind w:left="77" w:right="106"/>
              <w:rPr>
                <w:sz w:val="21"/>
              </w:rPr>
            </w:pPr>
            <w:r>
              <w:rPr>
                <w:sz w:val="21"/>
              </w:rPr>
              <w:t>主合同的条款适用于本附加合同，若主合同与本附加合同的条款互有冲突，则以本附加合同为准。 </w:t>
            </w:r>
          </w:p>
          <w:p>
            <w:pPr>
              <w:pStyle w:val="TableParagraph"/>
              <w:spacing w:before="7"/>
              <w:ind w:left="77"/>
              <w:rPr>
                <w:sz w:val="21"/>
              </w:rPr>
            </w:pPr>
            <w:r>
              <w:rPr>
                <w:sz w:val="21"/>
              </w:rPr>
              <w:t>本附加合同代码 MI3。 </w:t>
            </w:r>
          </w:p>
        </w:tc>
      </w:tr>
      <w:tr>
        <w:trPr>
          <w:trHeight w:val="312" w:hRule="atLeast"/>
        </w:trPr>
        <w:tc>
          <w:tcPr>
            <w:tcW w:w="974" w:type="dxa"/>
          </w:tcPr>
          <w:p>
            <w:pPr>
              <w:pStyle w:val="TableParagraph"/>
              <w:spacing w:line="261" w:lineRule="exact"/>
              <w:ind w:left="106"/>
              <w:jc w:val="center"/>
              <w:rPr>
                <w:sz w:val="21"/>
              </w:rPr>
            </w:pPr>
            <w:r>
              <w:rPr>
                <w:w w:val="100"/>
                <w:sz w:val="21"/>
              </w:rPr>
              <w:t> </w:t>
            </w:r>
          </w:p>
        </w:tc>
        <w:tc>
          <w:tcPr>
            <w:tcW w:w="1771" w:type="dxa"/>
          </w:tcPr>
          <w:p>
            <w:pPr>
              <w:pStyle w:val="TableParagraph"/>
              <w:spacing w:line="261" w:lineRule="exact"/>
              <w:ind w:left="108"/>
              <w:rPr>
                <w:sz w:val="21"/>
              </w:rPr>
            </w:pPr>
            <w:r>
              <w:rPr>
                <w:w w:val="100"/>
                <w:sz w:val="21"/>
              </w:rPr>
              <w:t> </w:t>
            </w:r>
          </w:p>
        </w:tc>
        <w:tc>
          <w:tcPr>
            <w:tcW w:w="7550" w:type="dxa"/>
          </w:tcPr>
          <w:p>
            <w:pPr>
              <w:pStyle w:val="TableParagraph"/>
              <w:spacing w:line="261" w:lineRule="exact"/>
              <w:ind w:left="77"/>
              <w:rPr>
                <w:sz w:val="21"/>
              </w:rPr>
            </w:pPr>
            <w:r>
              <w:rPr>
                <w:w w:val="100"/>
                <w:sz w:val="21"/>
              </w:rPr>
              <w:t> </w:t>
            </w:r>
          </w:p>
        </w:tc>
      </w:tr>
      <w:tr>
        <w:trPr>
          <w:trHeight w:val="312" w:hRule="atLeast"/>
        </w:trPr>
        <w:tc>
          <w:tcPr>
            <w:tcW w:w="974" w:type="dxa"/>
          </w:tcPr>
          <w:p>
            <w:pPr>
              <w:pStyle w:val="TableParagraph"/>
              <w:spacing w:line="262" w:lineRule="exact"/>
              <w:ind w:left="328"/>
              <w:rPr>
                <w:b/>
                <w:sz w:val="21"/>
              </w:rPr>
            </w:pPr>
            <w:r>
              <w:rPr>
                <w:b/>
                <w:sz w:val="21"/>
              </w:rPr>
              <w:t>1.2 </w:t>
            </w:r>
          </w:p>
        </w:tc>
        <w:tc>
          <w:tcPr>
            <w:tcW w:w="1771" w:type="dxa"/>
          </w:tcPr>
          <w:p>
            <w:pPr>
              <w:pStyle w:val="TableParagraph"/>
              <w:spacing w:line="262" w:lineRule="exact"/>
              <w:ind w:left="108"/>
              <w:rPr>
                <w:b/>
                <w:sz w:val="21"/>
              </w:rPr>
            </w:pPr>
            <w:r>
              <w:rPr>
                <w:b/>
                <w:sz w:val="21"/>
              </w:rPr>
              <w:t>合同成立与生效</w:t>
            </w:r>
            <w:r>
              <w:rPr>
                <w:b/>
                <w:w w:val="99"/>
                <w:sz w:val="21"/>
              </w:rPr>
              <w:t> </w:t>
            </w:r>
          </w:p>
        </w:tc>
        <w:tc>
          <w:tcPr>
            <w:tcW w:w="7550" w:type="dxa"/>
          </w:tcPr>
          <w:p>
            <w:pPr>
              <w:pStyle w:val="TableParagraph"/>
              <w:spacing w:line="262" w:lineRule="exact"/>
              <w:ind w:left="77"/>
              <w:rPr>
                <w:sz w:val="21"/>
              </w:rPr>
            </w:pPr>
            <w:r>
              <w:rPr>
                <w:sz w:val="21"/>
              </w:rPr>
              <w:t>本附加合同必须与主合同同时投保，本附加合同的生效日与主合同生效日相同。 </w:t>
            </w:r>
          </w:p>
        </w:tc>
      </w:tr>
      <w:tr>
        <w:trPr>
          <w:trHeight w:val="312" w:hRule="atLeast"/>
        </w:trPr>
        <w:tc>
          <w:tcPr>
            <w:tcW w:w="974" w:type="dxa"/>
          </w:tcPr>
          <w:p>
            <w:pPr>
              <w:pStyle w:val="TableParagraph"/>
              <w:spacing w:line="261" w:lineRule="exact"/>
              <w:ind w:left="105"/>
              <w:jc w:val="center"/>
              <w:rPr>
                <w:sz w:val="21"/>
              </w:rPr>
            </w:pPr>
            <w:r>
              <w:rPr>
                <w:w w:val="100"/>
                <w:sz w:val="21"/>
              </w:rPr>
              <w:t> </w:t>
            </w:r>
          </w:p>
        </w:tc>
        <w:tc>
          <w:tcPr>
            <w:tcW w:w="1771" w:type="dxa"/>
          </w:tcPr>
          <w:p>
            <w:pPr>
              <w:pStyle w:val="TableParagraph"/>
              <w:spacing w:line="261" w:lineRule="exact"/>
              <w:ind w:left="108"/>
              <w:rPr>
                <w:sz w:val="21"/>
              </w:rPr>
            </w:pPr>
            <w:r>
              <w:rPr>
                <w:w w:val="100"/>
                <w:sz w:val="21"/>
              </w:rPr>
              <w:t> </w:t>
            </w:r>
          </w:p>
        </w:tc>
        <w:tc>
          <w:tcPr>
            <w:tcW w:w="7550" w:type="dxa"/>
          </w:tcPr>
          <w:p>
            <w:pPr>
              <w:pStyle w:val="TableParagraph"/>
              <w:spacing w:line="261" w:lineRule="exact"/>
              <w:ind w:left="77"/>
              <w:rPr>
                <w:sz w:val="21"/>
              </w:rPr>
            </w:pPr>
            <w:r>
              <w:rPr>
                <w:w w:val="100"/>
                <w:sz w:val="21"/>
              </w:rPr>
              <w:t> </w:t>
            </w:r>
          </w:p>
        </w:tc>
      </w:tr>
      <w:tr>
        <w:trPr>
          <w:trHeight w:val="2183" w:hRule="atLeast"/>
        </w:trPr>
        <w:tc>
          <w:tcPr>
            <w:tcW w:w="974" w:type="dxa"/>
          </w:tcPr>
          <w:p>
            <w:pPr>
              <w:pStyle w:val="TableParagraph"/>
              <w:spacing w:line="261" w:lineRule="exact"/>
              <w:ind w:left="328"/>
              <w:rPr>
                <w:b/>
                <w:sz w:val="21"/>
              </w:rPr>
            </w:pPr>
            <w:r>
              <w:rPr>
                <w:b/>
                <w:sz w:val="21"/>
              </w:rPr>
              <w:t>1.3 </w:t>
            </w:r>
          </w:p>
        </w:tc>
        <w:tc>
          <w:tcPr>
            <w:tcW w:w="1771" w:type="dxa"/>
          </w:tcPr>
          <w:p>
            <w:pPr>
              <w:pStyle w:val="TableParagraph"/>
              <w:spacing w:line="261" w:lineRule="exact"/>
              <w:ind w:left="108"/>
              <w:rPr>
                <w:b/>
                <w:sz w:val="21"/>
              </w:rPr>
            </w:pPr>
            <w:r>
              <w:rPr>
                <w:b/>
                <w:sz w:val="21"/>
              </w:rPr>
              <w:t>合同终止</w:t>
            </w:r>
            <w:r>
              <w:rPr>
                <w:b/>
                <w:w w:val="99"/>
                <w:sz w:val="21"/>
              </w:rPr>
              <w:t> </w:t>
            </w:r>
          </w:p>
        </w:tc>
        <w:tc>
          <w:tcPr>
            <w:tcW w:w="7550" w:type="dxa"/>
          </w:tcPr>
          <w:p>
            <w:pPr>
              <w:pStyle w:val="TableParagraph"/>
              <w:spacing w:line="261" w:lineRule="exact"/>
              <w:ind w:left="77"/>
              <w:rPr>
                <w:sz w:val="21"/>
              </w:rPr>
            </w:pPr>
            <w:r>
              <w:rPr>
                <w:sz w:val="21"/>
              </w:rPr>
              <w:t>发生下列情况之一时，本附加合同效力即时终止： </w:t>
            </w:r>
          </w:p>
          <w:p>
            <w:pPr>
              <w:pStyle w:val="TableParagraph"/>
              <w:spacing w:before="37"/>
              <w:ind w:left="77"/>
              <w:rPr>
                <w:sz w:val="21"/>
              </w:rPr>
            </w:pPr>
            <w:r>
              <w:rPr>
                <w:sz w:val="21"/>
              </w:rPr>
              <w:t>（1） 主合同效力终止； </w:t>
            </w:r>
          </w:p>
          <w:p>
            <w:pPr>
              <w:pStyle w:val="TableParagraph"/>
              <w:spacing w:before="37"/>
              <w:ind w:left="77"/>
              <w:rPr>
                <w:sz w:val="21"/>
              </w:rPr>
            </w:pPr>
            <w:r>
              <w:rPr>
                <w:sz w:val="21"/>
              </w:rPr>
              <w:t>（2） 被保险人年满 65 周岁后首个保单周年日的当日 24 时； </w:t>
            </w:r>
          </w:p>
          <w:p>
            <w:pPr>
              <w:pStyle w:val="TableParagraph"/>
              <w:spacing w:before="37"/>
              <w:ind w:left="77"/>
              <w:rPr>
                <w:sz w:val="21"/>
              </w:rPr>
            </w:pPr>
            <w:r>
              <w:rPr>
                <w:sz w:val="21"/>
              </w:rPr>
              <w:t>（3） 您于合同有效期内向我们申请解除本附加合同； </w:t>
            </w:r>
          </w:p>
          <w:p>
            <w:pPr>
              <w:pStyle w:val="TableParagraph"/>
              <w:spacing w:before="37"/>
              <w:ind w:left="77"/>
              <w:rPr>
                <w:sz w:val="21"/>
              </w:rPr>
            </w:pPr>
            <w:r>
              <w:rPr>
                <w:sz w:val="21"/>
              </w:rPr>
              <w:t>（4） 我们给付“重大疾病保险金”； </w:t>
            </w:r>
          </w:p>
          <w:p>
            <w:pPr>
              <w:pStyle w:val="TableParagraph"/>
              <w:spacing w:before="37"/>
              <w:ind w:left="78"/>
              <w:rPr>
                <w:sz w:val="21"/>
              </w:rPr>
            </w:pPr>
            <w:r>
              <w:rPr>
                <w:sz w:val="21"/>
              </w:rPr>
              <w:t>（5） 本附加合同约定的其他效力终止的情况。 </w:t>
            </w:r>
          </w:p>
          <w:p>
            <w:pPr>
              <w:pStyle w:val="TableParagraph"/>
              <w:spacing w:before="37"/>
              <w:ind w:left="78"/>
              <w:rPr>
                <w:sz w:val="21"/>
              </w:rPr>
            </w:pPr>
            <w:r>
              <w:rPr>
                <w:sz w:val="21"/>
              </w:rPr>
              <w:t>发生上述情况，本附加合同效力终止，且不退还任何费用。 </w:t>
            </w:r>
          </w:p>
        </w:tc>
      </w:tr>
      <w:tr>
        <w:trPr>
          <w:trHeight w:val="308" w:hRule="atLeast"/>
        </w:trPr>
        <w:tc>
          <w:tcPr>
            <w:tcW w:w="974" w:type="dxa"/>
          </w:tcPr>
          <w:p>
            <w:pPr>
              <w:pStyle w:val="TableParagraph"/>
              <w:spacing w:line="261" w:lineRule="exact"/>
              <w:ind w:left="107"/>
              <w:jc w:val="center"/>
              <w:rPr>
                <w:sz w:val="21"/>
              </w:rPr>
            </w:pPr>
            <w:r>
              <w:rPr>
                <w:w w:val="100"/>
                <w:sz w:val="21"/>
              </w:rPr>
              <w:t> </w:t>
            </w:r>
          </w:p>
        </w:tc>
        <w:tc>
          <w:tcPr>
            <w:tcW w:w="1771" w:type="dxa"/>
          </w:tcPr>
          <w:p>
            <w:pPr>
              <w:pStyle w:val="TableParagraph"/>
              <w:spacing w:line="261" w:lineRule="exact"/>
              <w:ind w:left="109"/>
              <w:rPr>
                <w:sz w:val="21"/>
              </w:rPr>
            </w:pPr>
            <w:r>
              <w:rPr>
                <w:w w:val="100"/>
                <w:sz w:val="21"/>
              </w:rPr>
              <w:t> </w:t>
            </w:r>
          </w:p>
        </w:tc>
        <w:tc>
          <w:tcPr>
            <w:tcW w:w="7550" w:type="dxa"/>
          </w:tcPr>
          <w:p>
            <w:pPr>
              <w:pStyle w:val="TableParagraph"/>
              <w:spacing w:line="261" w:lineRule="exact"/>
              <w:ind w:left="78"/>
              <w:rPr>
                <w:sz w:val="21"/>
              </w:rPr>
            </w:pPr>
            <w:r>
              <w:rPr>
                <w:w w:val="100"/>
                <w:sz w:val="21"/>
              </w:rPr>
              <w:t> </w:t>
            </w:r>
          </w:p>
        </w:tc>
      </w:tr>
      <w:tr>
        <w:trPr>
          <w:trHeight w:val="323" w:hRule="atLeast"/>
        </w:trPr>
        <w:tc>
          <w:tcPr>
            <w:tcW w:w="974" w:type="dxa"/>
          </w:tcPr>
          <w:p>
            <w:pPr>
              <w:pStyle w:val="TableParagraph"/>
              <w:spacing w:before="39"/>
              <w:ind w:left="355"/>
              <w:rPr>
                <w:rFonts w:ascii="Times New Roman"/>
                <w:b/>
                <w:sz w:val="21"/>
              </w:rPr>
            </w:pPr>
            <w:r>
              <w:rPr>
                <w:rFonts w:ascii="Times New Roman"/>
                <w:b/>
                <w:sz w:val="21"/>
              </w:rPr>
              <w:t>1.4</w:t>
            </w:r>
          </w:p>
        </w:tc>
        <w:tc>
          <w:tcPr>
            <w:tcW w:w="1771" w:type="dxa"/>
          </w:tcPr>
          <w:p>
            <w:pPr>
              <w:pStyle w:val="TableParagraph"/>
              <w:spacing w:line="265" w:lineRule="exact"/>
              <w:ind w:left="108"/>
              <w:rPr>
                <w:b/>
                <w:sz w:val="21"/>
              </w:rPr>
            </w:pPr>
            <w:r>
              <w:rPr>
                <w:b/>
                <w:sz w:val="21"/>
              </w:rPr>
              <w:t>投保年龄</w:t>
            </w:r>
          </w:p>
        </w:tc>
        <w:tc>
          <w:tcPr>
            <w:tcW w:w="7550" w:type="dxa"/>
          </w:tcPr>
          <w:p>
            <w:pPr>
              <w:pStyle w:val="TableParagraph"/>
              <w:spacing w:line="265" w:lineRule="exact"/>
              <w:ind w:left="77"/>
              <w:rPr>
                <w:sz w:val="21"/>
              </w:rPr>
            </w:pPr>
            <w:r>
              <w:rPr>
                <w:sz w:val="21"/>
              </w:rPr>
              <w:t>本附加合同的投保年龄条款与主合同相同。 </w:t>
            </w:r>
          </w:p>
        </w:tc>
      </w:tr>
      <w:tr>
        <w:trPr>
          <w:trHeight w:val="300" w:hRule="atLeast"/>
        </w:trPr>
        <w:tc>
          <w:tcPr>
            <w:tcW w:w="974" w:type="dxa"/>
          </w:tcPr>
          <w:p>
            <w:pPr>
              <w:pStyle w:val="TableParagraph"/>
              <w:spacing w:line="253" w:lineRule="exact"/>
              <w:ind w:left="105"/>
              <w:jc w:val="center"/>
              <w:rPr>
                <w:sz w:val="21"/>
              </w:rPr>
            </w:pPr>
            <w:r>
              <w:rPr>
                <w:w w:val="100"/>
                <w:sz w:val="21"/>
              </w:rPr>
              <w:t> </w:t>
            </w:r>
          </w:p>
        </w:tc>
        <w:tc>
          <w:tcPr>
            <w:tcW w:w="1771" w:type="dxa"/>
          </w:tcPr>
          <w:p>
            <w:pPr>
              <w:pStyle w:val="TableParagraph"/>
              <w:spacing w:line="253" w:lineRule="exact"/>
              <w:ind w:left="108"/>
              <w:rPr>
                <w:sz w:val="21"/>
              </w:rPr>
            </w:pPr>
            <w:r>
              <w:rPr>
                <w:w w:val="100"/>
                <w:sz w:val="21"/>
              </w:rPr>
              <w:t> </w:t>
            </w:r>
          </w:p>
        </w:tc>
        <w:tc>
          <w:tcPr>
            <w:tcW w:w="7550" w:type="dxa"/>
          </w:tcPr>
          <w:p>
            <w:pPr>
              <w:pStyle w:val="TableParagraph"/>
              <w:spacing w:line="253" w:lineRule="exact"/>
              <w:ind w:left="77"/>
              <w:rPr>
                <w:sz w:val="21"/>
              </w:rPr>
            </w:pPr>
            <w:r>
              <w:rPr>
                <w:w w:val="100"/>
                <w:sz w:val="21"/>
              </w:rPr>
              <w:t> </w:t>
            </w:r>
          </w:p>
        </w:tc>
      </w:tr>
      <w:tr>
        <w:trPr>
          <w:trHeight w:val="3123" w:hRule="atLeast"/>
        </w:trPr>
        <w:tc>
          <w:tcPr>
            <w:tcW w:w="974" w:type="dxa"/>
          </w:tcPr>
          <w:p>
            <w:pPr>
              <w:pStyle w:val="TableParagraph"/>
              <w:spacing w:before="39"/>
              <w:ind w:left="355"/>
              <w:rPr>
                <w:rFonts w:ascii="Times New Roman"/>
                <w:b/>
                <w:sz w:val="21"/>
              </w:rPr>
            </w:pPr>
            <w:r>
              <w:rPr>
                <w:rFonts w:ascii="Times New Roman"/>
                <w:b/>
                <w:sz w:val="21"/>
              </w:rPr>
              <w:t>1.5</w:t>
            </w:r>
          </w:p>
        </w:tc>
        <w:tc>
          <w:tcPr>
            <w:tcW w:w="1771" w:type="dxa"/>
          </w:tcPr>
          <w:p>
            <w:pPr>
              <w:pStyle w:val="TableParagraph"/>
              <w:spacing w:line="265" w:lineRule="exact"/>
              <w:ind w:left="108"/>
              <w:rPr>
                <w:b/>
                <w:sz w:val="21"/>
              </w:rPr>
            </w:pPr>
            <w:r>
              <w:rPr>
                <w:b/>
                <w:sz w:val="21"/>
              </w:rPr>
              <w:t>犹豫期</w:t>
            </w:r>
          </w:p>
        </w:tc>
        <w:tc>
          <w:tcPr>
            <w:tcW w:w="7550" w:type="dxa"/>
          </w:tcPr>
          <w:p>
            <w:pPr>
              <w:pStyle w:val="TableParagraph"/>
              <w:spacing w:line="266" w:lineRule="auto"/>
              <w:ind w:left="77" w:right="106"/>
              <w:jc w:val="both"/>
              <w:rPr>
                <w:sz w:val="21"/>
              </w:rPr>
            </w:pPr>
            <w:r>
              <w:rPr>
                <w:spacing w:val="-8"/>
                <w:sz w:val="21"/>
              </w:rPr>
              <w:t>自您签收本附加合同之日起，有 </w:t>
            </w:r>
            <w:r>
              <w:rPr>
                <w:rFonts w:ascii="Times New Roman" w:eastAsia="Times New Roman"/>
                <w:sz w:val="21"/>
              </w:rPr>
              <w:t>10 </w:t>
            </w:r>
            <w:r>
              <w:rPr>
                <w:spacing w:val="-11"/>
                <w:sz w:val="21"/>
              </w:rPr>
              <w:t>日的犹豫期。在此期间，请您认真审视本附加</w:t>
            </w:r>
            <w:r>
              <w:rPr>
                <w:spacing w:val="-6"/>
                <w:sz w:val="21"/>
              </w:rPr>
              <w:t>合同，如果您认为本附加合同与您的需求不相符，您可以在此期间提出撤销本附</w:t>
            </w:r>
            <w:r>
              <w:rPr>
                <w:spacing w:val="-4"/>
                <w:sz w:val="21"/>
              </w:rPr>
              <w:t>加合同，除非您与我们另有约定，我们将无息退还您所交纳的本附加合同的所有</w:t>
            </w:r>
            <w:r>
              <w:rPr>
                <w:spacing w:val="-3"/>
                <w:sz w:val="21"/>
              </w:rPr>
              <w:t>风险保险费。</w:t>
            </w:r>
          </w:p>
          <w:p>
            <w:pPr>
              <w:pStyle w:val="TableParagraph"/>
              <w:spacing w:line="273" w:lineRule="auto" w:before="24"/>
              <w:ind w:left="77" w:right="114"/>
              <w:jc w:val="both"/>
              <w:rPr>
                <w:sz w:val="21"/>
              </w:rPr>
            </w:pPr>
            <w:r>
              <w:rPr>
                <w:sz w:val="21"/>
              </w:rPr>
              <w:t>撤销合同时，您需要填写终止合同申请书并提供您的法定身份证明，同时您需退还我们您的保险合同及保险费发票。自接到您有效的书面申请之日起，本附加合同即被撤销，我们自始不承担保险责任。</w:t>
            </w:r>
          </w:p>
          <w:p>
            <w:pPr>
              <w:pStyle w:val="TableParagraph"/>
              <w:spacing w:line="273" w:lineRule="auto" w:before="7"/>
              <w:ind w:left="77" w:right="106"/>
              <w:jc w:val="both"/>
              <w:rPr>
                <w:sz w:val="21"/>
              </w:rPr>
            </w:pPr>
            <w:r>
              <w:rPr>
                <w:sz w:val="21"/>
              </w:rPr>
              <w:t>但如果您、被保险人曾向我们提出保险金申请，或本附加合同是由其他犹豫期已届满的保险合同约定或变更而来的，则不得再依据犹豫期的相关约定撤销本附加合同。</w:t>
            </w:r>
          </w:p>
        </w:tc>
      </w:tr>
      <w:tr>
        <w:trPr>
          <w:trHeight w:val="324" w:hRule="atLeast"/>
        </w:trPr>
        <w:tc>
          <w:tcPr>
            <w:tcW w:w="974" w:type="dxa"/>
          </w:tcPr>
          <w:p>
            <w:pPr>
              <w:pStyle w:val="TableParagraph"/>
              <w:spacing w:line="262" w:lineRule="exact"/>
              <w:ind w:left="106"/>
              <w:jc w:val="center"/>
              <w:rPr>
                <w:sz w:val="21"/>
              </w:rPr>
            </w:pPr>
            <w:r>
              <w:rPr>
                <w:w w:val="100"/>
                <w:sz w:val="21"/>
              </w:rPr>
              <w:t> </w:t>
            </w:r>
          </w:p>
        </w:tc>
        <w:tc>
          <w:tcPr>
            <w:tcW w:w="1771" w:type="dxa"/>
          </w:tcPr>
          <w:p>
            <w:pPr>
              <w:pStyle w:val="TableParagraph"/>
              <w:spacing w:line="262" w:lineRule="exact"/>
              <w:ind w:left="108"/>
              <w:rPr>
                <w:sz w:val="21"/>
              </w:rPr>
            </w:pPr>
            <w:r>
              <w:rPr>
                <w:w w:val="100"/>
                <w:sz w:val="21"/>
              </w:rPr>
              <w:t> </w:t>
            </w:r>
          </w:p>
        </w:tc>
        <w:tc>
          <w:tcPr>
            <w:tcW w:w="7550" w:type="dxa"/>
          </w:tcPr>
          <w:p>
            <w:pPr>
              <w:pStyle w:val="TableParagraph"/>
              <w:spacing w:line="262" w:lineRule="exact"/>
              <w:ind w:left="77"/>
              <w:rPr>
                <w:sz w:val="21"/>
              </w:rPr>
            </w:pPr>
            <w:r>
              <w:rPr>
                <w:w w:val="100"/>
                <w:sz w:val="21"/>
              </w:rPr>
              <w:t> </w:t>
            </w:r>
          </w:p>
        </w:tc>
      </w:tr>
      <w:tr>
        <w:trPr>
          <w:trHeight w:val="610" w:hRule="atLeast"/>
        </w:trPr>
        <w:tc>
          <w:tcPr>
            <w:tcW w:w="974" w:type="dxa"/>
            <w:tcBorders>
              <w:bottom w:val="single" w:sz="8" w:space="0" w:color="000000"/>
            </w:tcBorders>
          </w:tcPr>
          <w:p>
            <w:pPr>
              <w:pStyle w:val="TableParagraph"/>
              <w:spacing w:before="50"/>
              <w:ind w:left="385"/>
              <w:rPr>
                <w:b/>
                <w:sz w:val="40"/>
              </w:rPr>
            </w:pPr>
            <w:r>
              <w:rPr>
                <w:rFonts w:ascii="Arial"/>
                <w:b/>
                <w:sz w:val="40"/>
              </w:rPr>
              <w:t>v </w:t>
            </w:r>
            <w:r>
              <w:rPr>
                <w:b/>
                <w:w w:val="99"/>
                <w:sz w:val="40"/>
              </w:rPr>
              <w:t> </w:t>
            </w:r>
          </w:p>
        </w:tc>
        <w:tc>
          <w:tcPr>
            <w:tcW w:w="9321" w:type="dxa"/>
            <w:gridSpan w:val="2"/>
            <w:tcBorders>
              <w:bottom w:val="single" w:sz="8" w:space="0" w:color="000000"/>
            </w:tcBorders>
          </w:tcPr>
          <w:p>
            <w:pPr>
              <w:pStyle w:val="TableParagraph"/>
              <w:spacing w:before="102"/>
              <w:ind w:left="108"/>
              <w:rPr>
                <w:b/>
                <w:sz w:val="24"/>
              </w:rPr>
            </w:pPr>
            <w:r>
              <w:rPr>
                <w:b/>
                <w:w w:val="95"/>
                <w:sz w:val="24"/>
              </w:rPr>
              <w:t>我们提供的保障</w:t>
            </w:r>
            <w:r>
              <w:rPr>
                <w:b/>
                <w:w w:val="99"/>
                <w:sz w:val="24"/>
              </w:rPr>
              <w:t>                                                              </w:t>
            </w:r>
          </w:p>
        </w:tc>
      </w:tr>
      <w:tr>
        <w:trPr>
          <w:trHeight w:val="312" w:hRule="atLeast"/>
        </w:trPr>
        <w:tc>
          <w:tcPr>
            <w:tcW w:w="974" w:type="dxa"/>
            <w:tcBorders>
              <w:top w:val="single" w:sz="8" w:space="0" w:color="000000"/>
            </w:tcBorders>
          </w:tcPr>
          <w:p>
            <w:pPr>
              <w:pStyle w:val="TableParagraph"/>
              <w:spacing w:line="262" w:lineRule="exact"/>
              <w:ind w:left="106"/>
              <w:jc w:val="center"/>
              <w:rPr>
                <w:b/>
                <w:sz w:val="21"/>
              </w:rPr>
            </w:pPr>
            <w:r>
              <w:rPr>
                <w:b/>
                <w:w w:val="99"/>
                <w:sz w:val="21"/>
              </w:rPr>
              <w:t> </w:t>
            </w:r>
          </w:p>
        </w:tc>
        <w:tc>
          <w:tcPr>
            <w:tcW w:w="1771" w:type="dxa"/>
            <w:tcBorders>
              <w:top w:val="single" w:sz="8" w:space="0" w:color="000000"/>
            </w:tcBorders>
          </w:tcPr>
          <w:p>
            <w:pPr>
              <w:pStyle w:val="TableParagraph"/>
              <w:spacing w:line="262" w:lineRule="exact"/>
              <w:ind w:left="108"/>
              <w:rPr>
                <w:b/>
                <w:sz w:val="21"/>
              </w:rPr>
            </w:pPr>
            <w:r>
              <w:rPr>
                <w:b/>
                <w:w w:val="99"/>
                <w:sz w:val="21"/>
              </w:rPr>
              <w:t> </w:t>
            </w:r>
          </w:p>
        </w:tc>
        <w:tc>
          <w:tcPr>
            <w:tcW w:w="7550" w:type="dxa"/>
            <w:tcBorders>
              <w:top w:val="single" w:sz="8" w:space="0" w:color="000000"/>
            </w:tcBorders>
          </w:tcPr>
          <w:p>
            <w:pPr>
              <w:pStyle w:val="TableParagraph"/>
              <w:spacing w:line="262" w:lineRule="exact"/>
              <w:ind w:left="77"/>
              <w:rPr>
                <w:sz w:val="21"/>
              </w:rPr>
            </w:pPr>
            <w:r>
              <w:rPr>
                <w:w w:val="100"/>
                <w:sz w:val="21"/>
              </w:rPr>
              <w:t> </w:t>
            </w:r>
          </w:p>
        </w:tc>
      </w:tr>
      <w:tr>
        <w:trPr>
          <w:trHeight w:val="1871" w:hRule="atLeast"/>
        </w:trPr>
        <w:tc>
          <w:tcPr>
            <w:tcW w:w="974" w:type="dxa"/>
          </w:tcPr>
          <w:p>
            <w:pPr>
              <w:pStyle w:val="TableParagraph"/>
              <w:spacing w:line="261" w:lineRule="exact"/>
              <w:ind w:left="328"/>
              <w:rPr>
                <w:b/>
                <w:sz w:val="21"/>
              </w:rPr>
            </w:pPr>
            <w:r>
              <w:rPr>
                <w:b/>
                <w:sz w:val="21"/>
              </w:rPr>
              <w:t>2.1 </w:t>
            </w:r>
          </w:p>
        </w:tc>
        <w:tc>
          <w:tcPr>
            <w:tcW w:w="1771" w:type="dxa"/>
          </w:tcPr>
          <w:p>
            <w:pPr>
              <w:pStyle w:val="TableParagraph"/>
              <w:spacing w:line="261" w:lineRule="exact"/>
              <w:ind w:left="108"/>
              <w:rPr>
                <w:b/>
                <w:sz w:val="21"/>
              </w:rPr>
            </w:pPr>
            <w:r>
              <w:rPr>
                <w:b/>
                <w:sz w:val="21"/>
              </w:rPr>
              <w:t>保险金额</w:t>
            </w:r>
            <w:r>
              <w:rPr>
                <w:b/>
                <w:w w:val="99"/>
                <w:sz w:val="21"/>
              </w:rPr>
              <w:t> </w:t>
            </w:r>
          </w:p>
        </w:tc>
        <w:tc>
          <w:tcPr>
            <w:tcW w:w="7550" w:type="dxa"/>
          </w:tcPr>
          <w:p>
            <w:pPr>
              <w:pStyle w:val="TableParagraph"/>
              <w:spacing w:line="261" w:lineRule="exact"/>
              <w:ind w:left="77"/>
              <w:rPr>
                <w:sz w:val="21"/>
              </w:rPr>
            </w:pPr>
            <w:r>
              <w:rPr>
                <w:sz w:val="21"/>
              </w:rPr>
              <w:t>（1） 基本保险金额 </w:t>
            </w:r>
          </w:p>
          <w:p>
            <w:pPr>
              <w:pStyle w:val="TableParagraph"/>
              <w:spacing w:line="273" w:lineRule="auto" w:before="37"/>
              <w:ind w:left="77" w:right="113" w:hanging="1"/>
              <w:rPr>
                <w:sz w:val="21"/>
              </w:rPr>
            </w:pPr>
            <w:r>
              <w:rPr>
                <w:sz w:val="21"/>
              </w:rPr>
              <w:t>本附加合同的基本保险金额由您在投保时与我们约定并在保险单上载明。若该金额发生变更，则以变更后的金额为基本保险金额。 </w:t>
            </w:r>
          </w:p>
          <w:p>
            <w:pPr>
              <w:pStyle w:val="TableParagraph"/>
              <w:spacing w:before="7"/>
              <w:ind w:left="77"/>
              <w:rPr>
                <w:sz w:val="21"/>
              </w:rPr>
            </w:pPr>
            <w:r>
              <w:rPr>
                <w:sz w:val="21"/>
              </w:rPr>
              <w:t>本附加合同的基本保险金额不得超过主合同基本保险金额。 </w:t>
            </w:r>
          </w:p>
          <w:p>
            <w:pPr>
              <w:pStyle w:val="TableParagraph"/>
              <w:spacing w:before="36"/>
              <w:ind w:left="77"/>
              <w:rPr>
                <w:sz w:val="21"/>
              </w:rPr>
            </w:pPr>
            <w:r>
              <w:rPr>
                <w:sz w:val="21"/>
              </w:rPr>
              <w:t>（2） 保险金额 </w:t>
            </w:r>
          </w:p>
          <w:p>
            <w:pPr>
              <w:pStyle w:val="TableParagraph"/>
              <w:spacing w:before="36"/>
              <w:ind w:left="77"/>
              <w:rPr>
                <w:sz w:val="21"/>
              </w:rPr>
            </w:pPr>
            <w:r>
              <w:rPr>
                <w:sz w:val="21"/>
              </w:rPr>
              <w:t>本附加合同的保险金额等于基本保险金额。 </w:t>
            </w:r>
          </w:p>
        </w:tc>
      </w:tr>
      <w:tr>
        <w:trPr>
          <w:trHeight w:val="312" w:hRule="atLeast"/>
        </w:trPr>
        <w:tc>
          <w:tcPr>
            <w:tcW w:w="974" w:type="dxa"/>
          </w:tcPr>
          <w:p>
            <w:pPr>
              <w:pStyle w:val="TableParagraph"/>
              <w:spacing w:line="262" w:lineRule="exact"/>
              <w:ind w:left="106"/>
              <w:jc w:val="center"/>
              <w:rPr>
                <w:b/>
                <w:sz w:val="21"/>
              </w:rPr>
            </w:pPr>
            <w:r>
              <w:rPr>
                <w:b/>
                <w:w w:val="99"/>
                <w:sz w:val="21"/>
              </w:rPr>
              <w:t> </w:t>
            </w:r>
          </w:p>
        </w:tc>
        <w:tc>
          <w:tcPr>
            <w:tcW w:w="1771" w:type="dxa"/>
          </w:tcPr>
          <w:p>
            <w:pPr>
              <w:pStyle w:val="TableParagraph"/>
              <w:spacing w:line="262" w:lineRule="exact"/>
              <w:ind w:left="108"/>
              <w:rPr>
                <w:b/>
                <w:sz w:val="21"/>
              </w:rPr>
            </w:pPr>
            <w:r>
              <w:rPr>
                <w:b/>
                <w:w w:val="99"/>
                <w:sz w:val="21"/>
              </w:rPr>
              <w:t> </w:t>
            </w:r>
          </w:p>
        </w:tc>
        <w:tc>
          <w:tcPr>
            <w:tcW w:w="7550" w:type="dxa"/>
          </w:tcPr>
          <w:p>
            <w:pPr>
              <w:pStyle w:val="TableParagraph"/>
              <w:spacing w:line="262" w:lineRule="exact"/>
              <w:ind w:left="77"/>
              <w:rPr>
                <w:sz w:val="21"/>
              </w:rPr>
            </w:pPr>
            <w:r>
              <w:rPr>
                <w:w w:val="100"/>
                <w:sz w:val="21"/>
              </w:rPr>
              <w:t> </w:t>
            </w:r>
          </w:p>
        </w:tc>
      </w:tr>
      <w:tr>
        <w:trPr>
          <w:trHeight w:val="573" w:hRule="atLeast"/>
        </w:trPr>
        <w:tc>
          <w:tcPr>
            <w:tcW w:w="974" w:type="dxa"/>
          </w:tcPr>
          <w:p>
            <w:pPr>
              <w:pStyle w:val="TableParagraph"/>
              <w:spacing w:line="261" w:lineRule="exact"/>
              <w:ind w:left="328"/>
              <w:rPr>
                <w:b/>
                <w:sz w:val="21"/>
              </w:rPr>
            </w:pPr>
            <w:r>
              <w:rPr>
                <w:b/>
                <w:sz w:val="21"/>
              </w:rPr>
              <w:t>2.2 </w:t>
            </w:r>
          </w:p>
        </w:tc>
        <w:tc>
          <w:tcPr>
            <w:tcW w:w="1771" w:type="dxa"/>
          </w:tcPr>
          <w:p>
            <w:pPr>
              <w:pStyle w:val="TableParagraph"/>
              <w:spacing w:line="261" w:lineRule="exact"/>
              <w:ind w:left="108"/>
              <w:rPr>
                <w:b/>
                <w:sz w:val="21"/>
              </w:rPr>
            </w:pPr>
            <w:r>
              <w:rPr>
                <w:b/>
                <w:sz w:val="21"/>
              </w:rPr>
              <w:t>基本保险金额的</w:t>
            </w:r>
          </w:p>
          <w:p>
            <w:pPr>
              <w:pStyle w:val="TableParagraph"/>
              <w:spacing w:line="255" w:lineRule="exact" w:before="37"/>
              <w:ind w:left="108"/>
              <w:rPr>
                <w:b/>
                <w:sz w:val="21"/>
              </w:rPr>
            </w:pPr>
            <w:r>
              <w:rPr>
                <w:b/>
                <w:sz w:val="21"/>
              </w:rPr>
              <w:t>变更</w:t>
            </w:r>
            <w:r>
              <w:rPr>
                <w:b/>
                <w:w w:val="99"/>
                <w:sz w:val="21"/>
              </w:rPr>
              <w:t> </w:t>
            </w:r>
          </w:p>
        </w:tc>
        <w:tc>
          <w:tcPr>
            <w:tcW w:w="7550" w:type="dxa"/>
          </w:tcPr>
          <w:p>
            <w:pPr>
              <w:pStyle w:val="TableParagraph"/>
              <w:spacing w:line="261" w:lineRule="exact"/>
              <w:ind w:left="77"/>
              <w:rPr>
                <w:sz w:val="21"/>
              </w:rPr>
            </w:pPr>
            <w:r>
              <w:rPr>
                <w:sz w:val="21"/>
              </w:rPr>
              <w:t>在本附加合同有效期内，您可申请变更基本保险金额，但每个保单年度最多只能</w:t>
            </w:r>
          </w:p>
          <w:p>
            <w:pPr>
              <w:pStyle w:val="TableParagraph"/>
              <w:spacing w:line="255" w:lineRule="exact" w:before="37"/>
              <w:ind w:left="77"/>
              <w:rPr>
                <w:sz w:val="21"/>
              </w:rPr>
            </w:pPr>
            <w:r>
              <w:rPr>
                <w:sz w:val="21"/>
              </w:rPr>
              <w:t>申请一次，且必须符合本公司的相关规定。 </w:t>
            </w:r>
          </w:p>
        </w:tc>
      </w:tr>
    </w:tbl>
    <w:p>
      <w:pPr>
        <w:spacing w:after="0" w:line="255" w:lineRule="exact"/>
        <w:rPr>
          <w:sz w:val="21"/>
        </w:rPr>
        <w:sectPr>
          <w:footerReference w:type="default" r:id="rId8"/>
          <w:pgSz w:w="11910" w:h="16840"/>
          <w:pgMar w:footer="380" w:header="0" w:top="780" w:bottom="560" w:left="500" w:right="580"/>
          <w:pgNumType w:start="1"/>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1807"/>
        <w:gridCol w:w="7823"/>
      </w:tblGrid>
      <w:tr>
        <w:trPr>
          <w:trHeight w:val="1248" w:hRule="atLeast"/>
        </w:trPr>
        <w:tc>
          <w:tcPr>
            <w:tcW w:w="974" w:type="dxa"/>
            <w:tcBorders>
              <w:top w:val="single" w:sz="6" w:space="0" w:color="000000"/>
            </w:tcBorders>
          </w:tcPr>
          <w:p>
            <w:pPr>
              <w:pStyle w:val="TableParagraph"/>
              <w:ind w:left="0"/>
              <w:rPr>
                <w:rFonts w:ascii="Times New Roman"/>
                <w:sz w:val="20"/>
              </w:rPr>
            </w:pPr>
          </w:p>
        </w:tc>
        <w:tc>
          <w:tcPr>
            <w:tcW w:w="1807" w:type="dxa"/>
            <w:tcBorders>
              <w:top w:val="single" w:sz="6" w:space="0" w:color="000000"/>
            </w:tcBorders>
          </w:tcPr>
          <w:p>
            <w:pPr>
              <w:pStyle w:val="TableParagraph"/>
              <w:ind w:left="0"/>
              <w:rPr>
                <w:rFonts w:ascii="Times New Roman"/>
                <w:sz w:val="20"/>
              </w:rPr>
            </w:pPr>
          </w:p>
        </w:tc>
        <w:tc>
          <w:tcPr>
            <w:tcW w:w="7823" w:type="dxa"/>
            <w:tcBorders>
              <w:top w:val="single" w:sz="6" w:space="0" w:color="000000"/>
            </w:tcBorders>
          </w:tcPr>
          <w:p>
            <w:pPr>
              <w:pStyle w:val="TableParagraph"/>
              <w:spacing w:line="258" w:lineRule="exact"/>
              <w:ind w:left="41"/>
              <w:rPr>
                <w:sz w:val="21"/>
              </w:rPr>
            </w:pPr>
            <w:r>
              <w:rPr>
                <w:sz w:val="21"/>
              </w:rPr>
              <w:t>申请增加基本保险金额的，经我们同意后，增加的基本保险金额从主合同下一个</w:t>
            </w:r>
          </w:p>
          <w:p>
            <w:pPr>
              <w:pStyle w:val="TableParagraph"/>
              <w:spacing w:before="37"/>
              <w:ind w:left="41"/>
              <w:rPr>
                <w:sz w:val="21"/>
              </w:rPr>
            </w:pPr>
            <w:r>
              <w:rPr>
                <w:sz w:val="21"/>
              </w:rPr>
              <w:t>费用扣除日的 24 时起生效。 </w:t>
            </w:r>
          </w:p>
          <w:p>
            <w:pPr>
              <w:pStyle w:val="TableParagraph"/>
              <w:spacing w:line="273" w:lineRule="auto" w:before="37"/>
              <w:ind w:left="41" w:right="423"/>
              <w:rPr>
                <w:sz w:val="21"/>
              </w:rPr>
            </w:pPr>
            <w:r>
              <w:rPr>
                <w:sz w:val="21"/>
              </w:rPr>
              <w:t>申请减少基本保险金额的，经我们同意后，减少的基本保险金额从主合同下一个费用扣除日的 24 时起效力终止。 </w:t>
            </w:r>
          </w:p>
        </w:tc>
      </w:tr>
      <w:tr>
        <w:trPr>
          <w:trHeight w:val="312" w:hRule="atLeast"/>
        </w:trPr>
        <w:tc>
          <w:tcPr>
            <w:tcW w:w="974" w:type="dxa"/>
          </w:tcPr>
          <w:p>
            <w:pPr>
              <w:pStyle w:val="TableParagraph"/>
              <w:spacing w:line="258" w:lineRule="exact"/>
              <w:ind w:left="106"/>
              <w:jc w:val="center"/>
              <w:rPr>
                <w:b/>
                <w:sz w:val="21"/>
              </w:rPr>
            </w:pPr>
            <w:r>
              <w:rPr>
                <w:b/>
                <w:w w:val="99"/>
                <w:sz w:val="21"/>
              </w:rPr>
              <w:t> </w:t>
            </w:r>
          </w:p>
        </w:tc>
        <w:tc>
          <w:tcPr>
            <w:tcW w:w="1807" w:type="dxa"/>
          </w:tcPr>
          <w:p>
            <w:pPr>
              <w:pStyle w:val="TableParagraph"/>
              <w:spacing w:line="258" w:lineRule="exact"/>
              <w:ind w:left="108"/>
              <w:rPr>
                <w:b/>
                <w:sz w:val="21"/>
              </w:rPr>
            </w:pPr>
            <w:r>
              <w:rPr>
                <w:b/>
                <w:w w:val="99"/>
                <w:sz w:val="21"/>
              </w:rPr>
              <w:t> </w:t>
            </w:r>
          </w:p>
        </w:tc>
        <w:tc>
          <w:tcPr>
            <w:tcW w:w="7823" w:type="dxa"/>
          </w:tcPr>
          <w:p>
            <w:pPr>
              <w:pStyle w:val="TableParagraph"/>
              <w:spacing w:line="258" w:lineRule="exact"/>
              <w:ind w:left="41"/>
              <w:rPr>
                <w:sz w:val="21"/>
              </w:rPr>
            </w:pPr>
            <w:r>
              <w:rPr>
                <w:w w:val="100"/>
                <w:sz w:val="21"/>
              </w:rPr>
              <w:t> </w:t>
            </w:r>
          </w:p>
        </w:tc>
      </w:tr>
      <w:tr>
        <w:trPr>
          <w:trHeight w:val="1559" w:hRule="atLeast"/>
        </w:trPr>
        <w:tc>
          <w:tcPr>
            <w:tcW w:w="974" w:type="dxa"/>
          </w:tcPr>
          <w:p>
            <w:pPr>
              <w:pStyle w:val="TableParagraph"/>
              <w:spacing w:line="257" w:lineRule="exact"/>
              <w:ind w:left="328"/>
              <w:rPr>
                <w:b/>
                <w:sz w:val="21"/>
              </w:rPr>
            </w:pPr>
            <w:r>
              <w:rPr>
                <w:b/>
                <w:sz w:val="21"/>
              </w:rPr>
              <w:t>2.3 </w:t>
            </w:r>
          </w:p>
        </w:tc>
        <w:tc>
          <w:tcPr>
            <w:tcW w:w="1807" w:type="dxa"/>
          </w:tcPr>
          <w:p>
            <w:pPr>
              <w:pStyle w:val="TableParagraph"/>
              <w:spacing w:line="257" w:lineRule="exact"/>
              <w:ind w:left="108"/>
              <w:rPr>
                <w:b/>
                <w:sz w:val="21"/>
              </w:rPr>
            </w:pPr>
            <w:r>
              <w:rPr>
                <w:b/>
                <w:sz w:val="21"/>
              </w:rPr>
              <w:t>保险期间及续保</w:t>
            </w:r>
            <w:r>
              <w:rPr>
                <w:b/>
                <w:w w:val="99"/>
                <w:sz w:val="21"/>
              </w:rPr>
              <w:t> </w:t>
            </w:r>
          </w:p>
        </w:tc>
        <w:tc>
          <w:tcPr>
            <w:tcW w:w="7823" w:type="dxa"/>
          </w:tcPr>
          <w:p>
            <w:pPr>
              <w:pStyle w:val="TableParagraph"/>
              <w:spacing w:line="257" w:lineRule="exact"/>
              <w:ind w:left="41"/>
              <w:rPr>
                <w:sz w:val="21"/>
              </w:rPr>
            </w:pPr>
            <w:r>
              <w:rPr>
                <w:sz w:val="21"/>
              </w:rPr>
              <w:t>本附加合同的保险期间为一年，保证续保，但续保时被保险人年龄不得超过 64</w:t>
            </w:r>
          </w:p>
          <w:p>
            <w:pPr>
              <w:pStyle w:val="TableParagraph"/>
              <w:spacing w:before="37"/>
              <w:ind w:left="41"/>
              <w:rPr>
                <w:sz w:val="21"/>
              </w:rPr>
            </w:pPr>
            <w:r>
              <w:rPr>
                <w:sz w:val="21"/>
              </w:rPr>
              <w:t>周岁。 </w:t>
            </w:r>
          </w:p>
          <w:p>
            <w:pPr>
              <w:pStyle w:val="TableParagraph"/>
              <w:spacing w:line="273" w:lineRule="auto" w:before="37"/>
              <w:ind w:left="41" w:right="422"/>
              <w:jc w:val="both"/>
              <w:rPr>
                <w:sz w:val="21"/>
              </w:rPr>
            </w:pPr>
            <w:r>
              <w:rPr>
                <w:sz w:val="21"/>
              </w:rPr>
              <w:t>在本附加合同保险期间届满之前，若我们未收到您不再继续投保的书面通知，则视作您申请续保。我们在成功收取本附加合同到期的风险保险费后，本附加合同将持续有效。 </w:t>
            </w:r>
          </w:p>
        </w:tc>
      </w:tr>
      <w:tr>
        <w:trPr>
          <w:trHeight w:val="312" w:hRule="atLeast"/>
        </w:trPr>
        <w:tc>
          <w:tcPr>
            <w:tcW w:w="974" w:type="dxa"/>
          </w:tcPr>
          <w:p>
            <w:pPr>
              <w:pStyle w:val="TableParagraph"/>
              <w:spacing w:line="258" w:lineRule="exact"/>
              <w:ind w:left="106"/>
              <w:jc w:val="center"/>
              <w:rPr>
                <w:b/>
                <w:sz w:val="21"/>
              </w:rPr>
            </w:pPr>
            <w:r>
              <w:rPr>
                <w:b/>
                <w:w w:val="99"/>
                <w:sz w:val="21"/>
              </w:rPr>
              <w:t> </w:t>
            </w:r>
          </w:p>
        </w:tc>
        <w:tc>
          <w:tcPr>
            <w:tcW w:w="1807" w:type="dxa"/>
          </w:tcPr>
          <w:p>
            <w:pPr>
              <w:pStyle w:val="TableParagraph"/>
              <w:spacing w:line="258" w:lineRule="exact"/>
              <w:ind w:left="108"/>
              <w:rPr>
                <w:b/>
                <w:sz w:val="21"/>
              </w:rPr>
            </w:pPr>
            <w:r>
              <w:rPr>
                <w:b/>
                <w:w w:val="99"/>
                <w:sz w:val="21"/>
              </w:rPr>
              <w:t> </w:t>
            </w:r>
          </w:p>
        </w:tc>
        <w:tc>
          <w:tcPr>
            <w:tcW w:w="7823" w:type="dxa"/>
          </w:tcPr>
          <w:p>
            <w:pPr>
              <w:pStyle w:val="TableParagraph"/>
              <w:spacing w:line="258" w:lineRule="exact"/>
              <w:ind w:left="41"/>
              <w:rPr>
                <w:sz w:val="21"/>
              </w:rPr>
            </w:pPr>
            <w:r>
              <w:rPr>
                <w:w w:val="100"/>
                <w:sz w:val="21"/>
              </w:rPr>
              <w:t> </w:t>
            </w:r>
          </w:p>
        </w:tc>
      </w:tr>
      <w:tr>
        <w:trPr>
          <w:trHeight w:val="311" w:hRule="atLeast"/>
        </w:trPr>
        <w:tc>
          <w:tcPr>
            <w:tcW w:w="974" w:type="dxa"/>
          </w:tcPr>
          <w:p>
            <w:pPr>
              <w:pStyle w:val="TableParagraph"/>
              <w:spacing w:line="257" w:lineRule="exact"/>
              <w:ind w:left="328"/>
              <w:rPr>
                <w:b/>
                <w:sz w:val="21"/>
              </w:rPr>
            </w:pPr>
            <w:r>
              <w:rPr>
                <w:b/>
                <w:sz w:val="21"/>
              </w:rPr>
              <w:t>2.4 </w:t>
            </w:r>
          </w:p>
        </w:tc>
        <w:tc>
          <w:tcPr>
            <w:tcW w:w="1807" w:type="dxa"/>
          </w:tcPr>
          <w:p>
            <w:pPr>
              <w:pStyle w:val="TableParagraph"/>
              <w:spacing w:line="257" w:lineRule="exact"/>
              <w:ind w:left="108"/>
              <w:rPr>
                <w:b/>
                <w:sz w:val="21"/>
              </w:rPr>
            </w:pPr>
            <w:r>
              <w:rPr>
                <w:b/>
                <w:sz w:val="21"/>
              </w:rPr>
              <w:t>保险责任</w:t>
            </w:r>
            <w:r>
              <w:rPr>
                <w:b/>
                <w:w w:val="99"/>
                <w:sz w:val="21"/>
              </w:rPr>
              <w:t>       </w:t>
            </w:r>
          </w:p>
        </w:tc>
        <w:tc>
          <w:tcPr>
            <w:tcW w:w="7823" w:type="dxa"/>
          </w:tcPr>
          <w:p>
            <w:pPr>
              <w:pStyle w:val="TableParagraph"/>
              <w:spacing w:line="257" w:lineRule="exact"/>
              <w:ind w:left="41"/>
              <w:rPr>
                <w:sz w:val="21"/>
              </w:rPr>
            </w:pPr>
            <w:r>
              <w:rPr>
                <w:sz w:val="21"/>
              </w:rPr>
              <w:t>在本附加合同有效期内，我们承担如下保险责任： </w:t>
            </w:r>
          </w:p>
        </w:tc>
      </w:tr>
      <w:tr>
        <w:trPr>
          <w:trHeight w:val="312" w:hRule="atLeast"/>
        </w:trPr>
        <w:tc>
          <w:tcPr>
            <w:tcW w:w="974" w:type="dxa"/>
          </w:tcPr>
          <w:p>
            <w:pPr>
              <w:pStyle w:val="TableParagraph"/>
              <w:spacing w:line="257" w:lineRule="exact"/>
              <w:ind w:left="106"/>
              <w:jc w:val="center"/>
              <w:rPr>
                <w:b/>
                <w:sz w:val="21"/>
              </w:rPr>
            </w:pPr>
            <w:r>
              <w:rPr>
                <w:b/>
                <w:w w:val="99"/>
                <w:sz w:val="21"/>
              </w:rPr>
              <w:t> </w:t>
            </w:r>
          </w:p>
        </w:tc>
        <w:tc>
          <w:tcPr>
            <w:tcW w:w="1807" w:type="dxa"/>
          </w:tcPr>
          <w:p>
            <w:pPr>
              <w:pStyle w:val="TableParagraph"/>
              <w:spacing w:line="257" w:lineRule="exact"/>
              <w:ind w:left="108"/>
              <w:rPr>
                <w:b/>
                <w:sz w:val="21"/>
              </w:rPr>
            </w:pPr>
            <w:r>
              <w:rPr>
                <w:b/>
                <w:w w:val="99"/>
                <w:sz w:val="21"/>
              </w:rPr>
              <w:t> </w:t>
            </w:r>
          </w:p>
        </w:tc>
        <w:tc>
          <w:tcPr>
            <w:tcW w:w="7823" w:type="dxa"/>
          </w:tcPr>
          <w:p>
            <w:pPr>
              <w:pStyle w:val="TableParagraph"/>
              <w:spacing w:line="257" w:lineRule="exact"/>
              <w:ind w:left="41"/>
              <w:rPr>
                <w:sz w:val="21"/>
              </w:rPr>
            </w:pPr>
            <w:r>
              <w:rPr>
                <w:w w:val="100"/>
                <w:sz w:val="21"/>
              </w:rPr>
              <w:t> </w:t>
            </w:r>
          </w:p>
        </w:tc>
      </w:tr>
      <w:tr>
        <w:trPr>
          <w:trHeight w:val="1871" w:hRule="atLeast"/>
        </w:trPr>
        <w:tc>
          <w:tcPr>
            <w:tcW w:w="974" w:type="dxa"/>
          </w:tcPr>
          <w:p>
            <w:pPr>
              <w:pStyle w:val="TableParagraph"/>
              <w:spacing w:line="257" w:lineRule="exact"/>
              <w:ind w:left="106"/>
              <w:jc w:val="center"/>
              <w:rPr>
                <w:b/>
                <w:sz w:val="21"/>
              </w:rPr>
            </w:pPr>
            <w:r>
              <w:rPr>
                <w:b/>
                <w:w w:val="99"/>
                <w:sz w:val="21"/>
              </w:rPr>
              <w:t> </w:t>
            </w:r>
          </w:p>
        </w:tc>
        <w:tc>
          <w:tcPr>
            <w:tcW w:w="1807" w:type="dxa"/>
          </w:tcPr>
          <w:p>
            <w:pPr>
              <w:pStyle w:val="TableParagraph"/>
              <w:spacing w:line="257" w:lineRule="exact"/>
              <w:ind w:left="108"/>
              <w:rPr>
                <w:b/>
                <w:sz w:val="21"/>
              </w:rPr>
            </w:pPr>
            <w:r>
              <w:rPr>
                <w:b/>
                <w:sz w:val="21"/>
              </w:rPr>
              <w:t>重大疾病保险金</w:t>
            </w:r>
            <w:r>
              <w:rPr>
                <w:b/>
                <w:w w:val="99"/>
                <w:sz w:val="21"/>
              </w:rPr>
              <w:t> </w:t>
            </w:r>
          </w:p>
        </w:tc>
        <w:tc>
          <w:tcPr>
            <w:tcW w:w="7823" w:type="dxa"/>
          </w:tcPr>
          <w:p>
            <w:pPr>
              <w:pStyle w:val="TableParagraph"/>
              <w:spacing w:line="257" w:lineRule="exact"/>
              <w:ind w:left="41"/>
              <w:rPr>
                <w:sz w:val="21"/>
              </w:rPr>
            </w:pPr>
            <w:r>
              <w:rPr>
                <w:sz w:val="21"/>
              </w:rPr>
              <w:t>若被保险人于本附加合同生效日或最后复效日（以较迟者为准）起60日后首次出</w:t>
            </w:r>
          </w:p>
          <w:p>
            <w:pPr>
              <w:pStyle w:val="TableParagraph"/>
              <w:spacing w:line="273" w:lineRule="auto" w:before="37"/>
              <w:ind w:left="41" w:right="413" w:hanging="1"/>
              <w:jc w:val="both"/>
              <w:rPr>
                <w:sz w:val="21"/>
              </w:rPr>
            </w:pPr>
            <w:r>
              <w:rPr>
                <w:spacing w:val="-3"/>
                <w:sz w:val="21"/>
              </w:rPr>
              <w:t>现疾病或症状，且被</w:t>
            </w:r>
            <w:r>
              <w:rPr>
                <w:b/>
                <w:spacing w:val="-2"/>
                <w:sz w:val="21"/>
              </w:rPr>
              <w:t>专科医生</w:t>
            </w:r>
            <w:r>
              <w:rPr>
                <w:spacing w:val="-3"/>
                <w:sz w:val="21"/>
              </w:rPr>
              <w:t>确诊患有本附加合同所定义的重大疾病（</w:t>
            </w:r>
            <w:r>
              <w:rPr>
                <w:spacing w:val="-2"/>
                <w:sz w:val="21"/>
              </w:rPr>
              <w:t>无论一种</w:t>
            </w:r>
            <w:r>
              <w:rPr>
                <w:spacing w:val="-3"/>
                <w:sz w:val="21"/>
              </w:rPr>
              <w:t>或多种</w:t>
            </w:r>
            <w:r>
              <w:rPr>
                <w:spacing w:val="-78"/>
                <w:sz w:val="21"/>
              </w:rPr>
              <w:t>）</w:t>
            </w:r>
            <w:r>
              <w:rPr>
                <w:spacing w:val="-13"/>
                <w:sz w:val="21"/>
              </w:rPr>
              <w:t>，则我们将按该重大疾病确诊时本附加合同的保险金额给付“重大疾病保</w:t>
            </w:r>
            <w:r>
              <w:rPr>
                <w:spacing w:val="-3"/>
                <w:sz w:val="21"/>
              </w:rPr>
              <w:t>险金”予被保险人，本附加合同保险责任终止。</w:t>
            </w:r>
            <w:r>
              <w:rPr>
                <w:sz w:val="21"/>
              </w:rPr>
              <w:t> </w:t>
            </w:r>
          </w:p>
          <w:p>
            <w:pPr>
              <w:pStyle w:val="TableParagraph"/>
              <w:spacing w:before="7"/>
              <w:ind w:left="41"/>
              <w:jc w:val="both"/>
              <w:rPr>
                <w:sz w:val="21"/>
              </w:rPr>
            </w:pPr>
            <w:r>
              <w:rPr>
                <w:w w:val="100"/>
                <w:sz w:val="21"/>
              </w:rPr>
              <w:t> </w:t>
            </w:r>
          </w:p>
          <w:p>
            <w:pPr>
              <w:pStyle w:val="TableParagraph"/>
              <w:spacing w:before="36"/>
              <w:ind w:left="41"/>
              <w:jc w:val="both"/>
              <w:rPr>
                <w:sz w:val="21"/>
              </w:rPr>
            </w:pPr>
            <w:r>
              <w:rPr>
                <w:sz w:val="21"/>
              </w:rPr>
              <w:t>我们给付重大疾病保险金后，主合同的基本保险金额等额减少。 </w:t>
            </w:r>
          </w:p>
        </w:tc>
      </w:tr>
      <w:tr>
        <w:trPr>
          <w:trHeight w:val="303" w:hRule="atLeast"/>
        </w:trPr>
        <w:tc>
          <w:tcPr>
            <w:tcW w:w="974" w:type="dxa"/>
          </w:tcPr>
          <w:p>
            <w:pPr>
              <w:pStyle w:val="TableParagraph"/>
              <w:spacing w:line="257" w:lineRule="exact"/>
              <w:ind w:left="106"/>
              <w:jc w:val="center"/>
              <w:rPr>
                <w:b/>
                <w:sz w:val="21"/>
              </w:rPr>
            </w:pPr>
            <w:r>
              <w:rPr>
                <w:b/>
                <w:w w:val="99"/>
                <w:sz w:val="21"/>
              </w:rPr>
              <w:t> </w:t>
            </w:r>
          </w:p>
        </w:tc>
        <w:tc>
          <w:tcPr>
            <w:tcW w:w="1807" w:type="dxa"/>
          </w:tcPr>
          <w:p>
            <w:pPr>
              <w:pStyle w:val="TableParagraph"/>
              <w:spacing w:line="257" w:lineRule="exact"/>
              <w:ind w:left="108"/>
              <w:rPr>
                <w:b/>
                <w:sz w:val="21"/>
              </w:rPr>
            </w:pPr>
            <w:r>
              <w:rPr>
                <w:b/>
                <w:w w:val="99"/>
                <w:sz w:val="21"/>
              </w:rPr>
              <w:t> </w:t>
            </w:r>
          </w:p>
        </w:tc>
        <w:tc>
          <w:tcPr>
            <w:tcW w:w="7823" w:type="dxa"/>
          </w:tcPr>
          <w:p>
            <w:pPr>
              <w:pStyle w:val="TableParagraph"/>
              <w:spacing w:line="257" w:lineRule="exact"/>
              <w:ind w:left="41"/>
              <w:rPr>
                <w:sz w:val="21"/>
              </w:rPr>
            </w:pPr>
            <w:r>
              <w:rPr>
                <w:w w:val="100"/>
                <w:sz w:val="21"/>
              </w:rPr>
              <w:t> </w:t>
            </w:r>
          </w:p>
        </w:tc>
      </w:tr>
      <w:tr>
        <w:trPr>
          <w:trHeight w:val="4070" w:hRule="atLeast"/>
        </w:trPr>
        <w:tc>
          <w:tcPr>
            <w:tcW w:w="974" w:type="dxa"/>
          </w:tcPr>
          <w:p>
            <w:pPr>
              <w:pStyle w:val="TableParagraph"/>
              <w:spacing w:line="278" w:lineRule="exact"/>
              <w:ind w:left="107"/>
              <w:rPr>
                <w:rFonts w:ascii="黑体"/>
                <w:b/>
                <w:sz w:val="24"/>
              </w:rPr>
            </w:pPr>
            <w:r>
              <w:rPr>
                <w:rFonts w:ascii="黑体"/>
                <w:b/>
                <w:sz w:val="24"/>
              </w:rPr>
              <w:t>2.5</w:t>
            </w:r>
          </w:p>
        </w:tc>
        <w:tc>
          <w:tcPr>
            <w:tcW w:w="1807" w:type="dxa"/>
          </w:tcPr>
          <w:p>
            <w:pPr>
              <w:pStyle w:val="TableParagraph"/>
              <w:spacing w:line="278" w:lineRule="exact"/>
              <w:ind w:left="108"/>
              <w:rPr>
                <w:b/>
                <w:sz w:val="21"/>
              </w:rPr>
            </w:pPr>
            <w:r>
              <w:rPr>
                <w:rFonts w:ascii="黑体" w:eastAsia="黑体" w:hint="eastAsia"/>
                <w:b/>
                <w:sz w:val="24"/>
              </w:rPr>
              <w:t>责任免除</w:t>
            </w:r>
            <w:r>
              <w:rPr>
                <w:b/>
                <w:w w:val="99"/>
                <w:sz w:val="21"/>
              </w:rPr>
              <w:t> </w:t>
            </w:r>
          </w:p>
        </w:tc>
        <w:tc>
          <w:tcPr>
            <w:tcW w:w="7823" w:type="dxa"/>
          </w:tcPr>
          <w:p>
            <w:pPr>
              <w:pStyle w:val="TableParagraph"/>
              <w:spacing w:line="277" w:lineRule="exact"/>
              <w:ind w:left="41"/>
              <w:rPr>
                <w:rFonts w:ascii="黑体" w:eastAsia="黑体" w:hint="eastAsia"/>
                <w:sz w:val="24"/>
              </w:rPr>
            </w:pPr>
            <w:r>
              <w:rPr>
                <w:rFonts w:ascii="黑体" w:eastAsia="黑体" w:hint="eastAsia"/>
                <w:sz w:val="24"/>
              </w:rPr>
              <w:t>因下列情形之一，导致被保险人发生疾病、达到疾病状态或进行手术的，</w:t>
            </w:r>
          </w:p>
          <w:p>
            <w:pPr>
              <w:pStyle w:val="TableParagraph"/>
              <w:spacing w:line="312" w:lineRule="exact"/>
              <w:ind w:left="41"/>
              <w:rPr>
                <w:rFonts w:ascii="黑体" w:eastAsia="黑体" w:hint="eastAsia"/>
                <w:sz w:val="24"/>
              </w:rPr>
            </w:pPr>
            <w:r>
              <w:rPr>
                <w:rFonts w:ascii="黑体" w:eastAsia="黑体" w:hint="eastAsia"/>
                <w:sz w:val="24"/>
              </w:rPr>
              <w:t>我们不承担给付重大疾病保险金的责任：</w:t>
            </w:r>
          </w:p>
          <w:p>
            <w:pPr>
              <w:pStyle w:val="TableParagraph"/>
              <w:spacing w:line="312" w:lineRule="exact"/>
              <w:ind w:left="41"/>
              <w:rPr>
                <w:rFonts w:ascii="黑体" w:eastAsia="黑体" w:hint="eastAsia"/>
                <w:sz w:val="24"/>
              </w:rPr>
            </w:pPr>
            <w:r>
              <w:rPr>
                <w:rFonts w:ascii="黑体" w:eastAsia="黑体" w:hint="eastAsia"/>
                <w:sz w:val="24"/>
              </w:rPr>
              <w:t>（1）投保人对被保险人的故意杀害、故意伤害；</w:t>
            </w:r>
          </w:p>
          <w:p>
            <w:pPr>
              <w:pStyle w:val="TableParagraph"/>
              <w:spacing w:line="312" w:lineRule="exact"/>
              <w:ind w:left="41"/>
              <w:rPr>
                <w:rFonts w:ascii="黑体" w:eastAsia="黑体" w:hint="eastAsia"/>
                <w:sz w:val="24"/>
              </w:rPr>
            </w:pPr>
            <w:r>
              <w:rPr>
                <w:rFonts w:ascii="黑体" w:eastAsia="黑体" w:hint="eastAsia"/>
                <w:sz w:val="24"/>
              </w:rPr>
              <w:t>（2）被保险人故意犯罪或者抗拒依法采取的刑事强制措施；</w:t>
            </w:r>
          </w:p>
          <w:p>
            <w:pPr>
              <w:pStyle w:val="TableParagraph"/>
              <w:spacing w:line="312" w:lineRule="exact"/>
              <w:ind w:left="41"/>
              <w:rPr>
                <w:rFonts w:ascii="黑体" w:eastAsia="黑体" w:hint="eastAsia"/>
                <w:sz w:val="24"/>
              </w:rPr>
            </w:pPr>
            <w:r>
              <w:rPr>
                <w:rFonts w:ascii="黑体" w:eastAsia="黑体" w:hint="eastAsia"/>
                <w:sz w:val="24"/>
              </w:rPr>
              <w:t>（3）被保险人主动吸食或注射毒品；</w:t>
            </w:r>
          </w:p>
          <w:p>
            <w:pPr>
              <w:pStyle w:val="TableParagraph"/>
              <w:spacing w:line="237" w:lineRule="auto" w:before="2"/>
              <w:ind w:left="41" w:right="416"/>
              <w:rPr>
                <w:rFonts w:ascii="黑体" w:eastAsia="黑体" w:hint="eastAsia"/>
                <w:sz w:val="24"/>
              </w:rPr>
            </w:pPr>
            <w:r>
              <w:rPr>
                <w:rFonts w:ascii="黑体" w:eastAsia="黑体" w:hint="eastAsia"/>
                <w:sz w:val="24"/>
              </w:rPr>
              <w:t>（4）被保险人酒后驾驶、无合法有效驾驶证驾驶，或驾驶无有效行驶证的机动车；</w:t>
            </w:r>
          </w:p>
          <w:p>
            <w:pPr>
              <w:pStyle w:val="TableParagraph"/>
              <w:spacing w:line="311" w:lineRule="exact"/>
              <w:ind w:left="41"/>
              <w:rPr>
                <w:rFonts w:ascii="黑体" w:eastAsia="黑体" w:hint="eastAsia"/>
                <w:sz w:val="24"/>
              </w:rPr>
            </w:pPr>
            <w:r>
              <w:rPr>
                <w:rFonts w:ascii="黑体" w:eastAsia="黑体" w:hint="eastAsia"/>
                <w:sz w:val="24"/>
              </w:rPr>
              <w:t>（5）被保险人</w:t>
            </w:r>
            <w:r>
              <w:rPr>
                <w:rFonts w:ascii="黑体" w:eastAsia="黑体" w:hint="eastAsia"/>
                <w:b/>
                <w:sz w:val="24"/>
              </w:rPr>
              <w:t>感染艾滋病病毒或患艾滋病</w:t>
            </w:r>
            <w:r>
              <w:rPr>
                <w:rFonts w:ascii="黑体" w:eastAsia="黑体" w:hint="eastAsia"/>
                <w:sz w:val="24"/>
              </w:rPr>
              <w:t>；</w:t>
            </w:r>
          </w:p>
          <w:p>
            <w:pPr>
              <w:pStyle w:val="TableParagraph"/>
              <w:spacing w:line="312" w:lineRule="exact"/>
              <w:ind w:left="41"/>
              <w:rPr>
                <w:rFonts w:ascii="黑体" w:eastAsia="黑体" w:hint="eastAsia"/>
                <w:sz w:val="24"/>
              </w:rPr>
            </w:pPr>
            <w:r>
              <w:rPr>
                <w:rFonts w:ascii="黑体" w:eastAsia="黑体" w:hint="eastAsia"/>
                <w:sz w:val="24"/>
              </w:rPr>
              <w:t>（6）战争、军事冲突、暴乱或武装叛乱；</w:t>
            </w:r>
          </w:p>
          <w:p>
            <w:pPr>
              <w:pStyle w:val="TableParagraph"/>
              <w:spacing w:line="312" w:lineRule="exact"/>
              <w:ind w:left="41"/>
              <w:rPr>
                <w:rFonts w:ascii="黑体" w:eastAsia="黑体" w:hint="eastAsia"/>
                <w:sz w:val="24"/>
              </w:rPr>
            </w:pPr>
            <w:r>
              <w:rPr>
                <w:rFonts w:ascii="黑体" w:eastAsia="黑体" w:hint="eastAsia"/>
                <w:sz w:val="24"/>
              </w:rPr>
              <w:t>（7）核爆炸、核辐射或核污染；</w:t>
            </w:r>
          </w:p>
          <w:p>
            <w:pPr>
              <w:pStyle w:val="TableParagraph"/>
              <w:spacing w:line="312" w:lineRule="exact"/>
              <w:ind w:left="41"/>
              <w:rPr>
                <w:rFonts w:ascii="黑体" w:eastAsia="黑体" w:hint="eastAsia"/>
                <w:sz w:val="24"/>
              </w:rPr>
            </w:pPr>
            <w:r>
              <w:rPr>
                <w:rFonts w:ascii="黑体" w:eastAsia="黑体" w:hint="eastAsia"/>
                <w:sz w:val="24"/>
              </w:rPr>
              <w:t>（8）</w:t>
            </w:r>
            <w:r>
              <w:rPr>
                <w:rFonts w:ascii="黑体" w:eastAsia="黑体" w:hint="eastAsia"/>
                <w:b/>
                <w:sz w:val="24"/>
              </w:rPr>
              <w:t>遗传性疾病</w:t>
            </w:r>
            <w:r>
              <w:rPr>
                <w:rFonts w:ascii="黑体" w:eastAsia="黑体" w:hint="eastAsia"/>
                <w:sz w:val="24"/>
              </w:rPr>
              <w:t>，</w:t>
            </w:r>
            <w:r>
              <w:rPr>
                <w:rFonts w:ascii="黑体" w:eastAsia="黑体" w:hint="eastAsia"/>
                <w:b/>
                <w:sz w:val="24"/>
              </w:rPr>
              <w:t>先天性畸形、变形或染色体异常</w:t>
            </w:r>
            <w:r>
              <w:rPr>
                <w:rFonts w:ascii="黑体" w:eastAsia="黑体" w:hint="eastAsia"/>
                <w:sz w:val="24"/>
              </w:rPr>
              <w:t>。</w:t>
            </w:r>
          </w:p>
          <w:p>
            <w:pPr>
              <w:pStyle w:val="TableParagraph"/>
              <w:spacing w:line="237" w:lineRule="auto" w:before="2"/>
              <w:ind w:left="41" w:right="339"/>
              <w:rPr>
                <w:sz w:val="21"/>
              </w:rPr>
            </w:pPr>
            <w:r>
              <w:rPr>
                <w:rFonts w:ascii="黑体" w:eastAsia="黑体" w:hint="eastAsia"/>
                <w:sz w:val="24"/>
              </w:rPr>
              <w:t>发生上述情形，导致被保险人发生疾病、达到疾病状态或进行手术的， 本附加合同效力终止。</w:t>
            </w:r>
            <w:r>
              <w:rPr>
                <w:w w:val="100"/>
                <w:sz w:val="21"/>
              </w:rPr>
              <w:t> </w:t>
            </w:r>
          </w:p>
        </w:tc>
      </w:tr>
      <w:tr>
        <w:trPr>
          <w:trHeight w:val="318" w:hRule="atLeast"/>
        </w:trPr>
        <w:tc>
          <w:tcPr>
            <w:tcW w:w="974" w:type="dxa"/>
          </w:tcPr>
          <w:p>
            <w:pPr>
              <w:pStyle w:val="TableParagraph"/>
              <w:spacing w:line="252" w:lineRule="exact"/>
              <w:ind w:left="106"/>
              <w:jc w:val="center"/>
              <w:rPr>
                <w:b/>
                <w:sz w:val="21"/>
              </w:rPr>
            </w:pPr>
            <w:r>
              <w:rPr>
                <w:b/>
                <w:w w:val="99"/>
                <w:sz w:val="21"/>
              </w:rPr>
              <w:t> </w:t>
            </w:r>
          </w:p>
        </w:tc>
        <w:tc>
          <w:tcPr>
            <w:tcW w:w="1807" w:type="dxa"/>
          </w:tcPr>
          <w:p>
            <w:pPr>
              <w:pStyle w:val="TableParagraph"/>
              <w:spacing w:line="252" w:lineRule="exact"/>
              <w:ind w:left="108"/>
              <w:rPr>
                <w:b/>
                <w:sz w:val="21"/>
              </w:rPr>
            </w:pPr>
            <w:r>
              <w:rPr>
                <w:b/>
                <w:w w:val="99"/>
                <w:sz w:val="21"/>
              </w:rPr>
              <w:t> </w:t>
            </w:r>
          </w:p>
        </w:tc>
        <w:tc>
          <w:tcPr>
            <w:tcW w:w="7823" w:type="dxa"/>
          </w:tcPr>
          <w:p>
            <w:pPr>
              <w:pStyle w:val="TableParagraph"/>
              <w:spacing w:line="252" w:lineRule="exact"/>
              <w:ind w:left="41"/>
              <w:rPr>
                <w:sz w:val="21"/>
              </w:rPr>
            </w:pPr>
            <w:r>
              <w:rPr>
                <w:w w:val="100"/>
                <w:sz w:val="21"/>
              </w:rPr>
              <w:t> </w:t>
            </w:r>
          </w:p>
        </w:tc>
      </w:tr>
      <w:tr>
        <w:trPr>
          <w:trHeight w:val="610" w:hRule="atLeast"/>
        </w:trPr>
        <w:tc>
          <w:tcPr>
            <w:tcW w:w="974" w:type="dxa"/>
            <w:tcBorders>
              <w:bottom w:val="single" w:sz="8" w:space="0" w:color="000000"/>
            </w:tcBorders>
          </w:tcPr>
          <w:p>
            <w:pPr>
              <w:pStyle w:val="TableParagraph"/>
              <w:spacing w:before="46"/>
              <w:ind w:left="341"/>
              <w:rPr>
                <w:b/>
                <w:sz w:val="40"/>
              </w:rPr>
            </w:pPr>
            <w:r>
              <w:rPr>
                <w:rFonts w:ascii="Arial"/>
                <w:b/>
                <w:sz w:val="40"/>
              </w:rPr>
              <w:t>w</w:t>
            </w:r>
            <w:r>
              <w:rPr>
                <w:b/>
                <w:w w:val="99"/>
                <w:sz w:val="40"/>
              </w:rPr>
              <w:t> </w:t>
            </w:r>
          </w:p>
        </w:tc>
        <w:tc>
          <w:tcPr>
            <w:tcW w:w="9630" w:type="dxa"/>
            <w:gridSpan w:val="2"/>
          </w:tcPr>
          <w:p>
            <w:pPr>
              <w:pStyle w:val="TableParagraph"/>
              <w:spacing w:before="98"/>
              <w:ind w:left="108"/>
              <w:rPr>
                <w:sz w:val="21"/>
              </w:rPr>
            </w:pPr>
            <w:r>
              <w:rPr>
                <w:b/>
                <w:sz w:val="24"/>
              </w:rPr>
              <w:t>保险金的申请</w:t>
            </w:r>
            <w:r>
              <w:rPr>
                <w:b/>
                <w:w w:val="99"/>
                <w:sz w:val="24"/>
              </w:rPr>
              <w:t>                                                            </w:t>
            </w:r>
            <w:r>
              <w:rPr>
                <w:w w:val="100"/>
                <w:sz w:val="21"/>
              </w:rPr>
              <w:t> </w:t>
            </w:r>
          </w:p>
        </w:tc>
      </w:tr>
      <w:tr>
        <w:trPr>
          <w:trHeight w:val="312" w:hRule="atLeast"/>
        </w:trPr>
        <w:tc>
          <w:tcPr>
            <w:tcW w:w="974" w:type="dxa"/>
            <w:tcBorders>
              <w:top w:val="single" w:sz="8" w:space="0" w:color="000000"/>
            </w:tcBorders>
          </w:tcPr>
          <w:p>
            <w:pPr>
              <w:pStyle w:val="TableParagraph"/>
              <w:spacing w:line="258" w:lineRule="exact"/>
              <w:ind w:left="106"/>
              <w:jc w:val="center"/>
              <w:rPr>
                <w:sz w:val="21"/>
              </w:rPr>
            </w:pPr>
            <w:r>
              <w:rPr>
                <w:w w:val="100"/>
                <w:sz w:val="21"/>
              </w:rPr>
              <w:t> </w:t>
            </w:r>
          </w:p>
        </w:tc>
        <w:tc>
          <w:tcPr>
            <w:tcW w:w="1807" w:type="dxa"/>
            <w:tcBorders>
              <w:top w:val="single" w:sz="8" w:space="0" w:color="000000"/>
            </w:tcBorders>
          </w:tcPr>
          <w:p>
            <w:pPr>
              <w:pStyle w:val="TableParagraph"/>
              <w:spacing w:line="258" w:lineRule="exact"/>
              <w:ind w:left="108"/>
              <w:rPr>
                <w:sz w:val="21"/>
              </w:rPr>
            </w:pPr>
            <w:r>
              <w:rPr>
                <w:w w:val="100"/>
                <w:sz w:val="21"/>
              </w:rPr>
              <w:t> </w:t>
            </w:r>
          </w:p>
        </w:tc>
        <w:tc>
          <w:tcPr>
            <w:tcW w:w="7823" w:type="dxa"/>
            <w:tcBorders>
              <w:top w:val="single" w:sz="8" w:space="0" w:color="000000"/>
            </w:tcBorders>
          </w:tcPr>
          <w:p>
            <w:pPr>
              <w:pStyle w:val="TableParagraph"/>
              <w:spacing w:line="258" w:lineRule="exact"/>
              <w:ind w:left="41"/>
              <w:rPr>
                <w:sz w:val="21"/>
              </w:rPr>
            </w:pPr>
            <w:r>
              <w:rPr>
                <w:w w:val="100"/>
                <w:sz w:val="21"/>
              </w:rPr>
              <w:t> </w:t>
            </w:r>
          </w:p>
        </w:tc>
      </w:tr>
      <w:tr>
        <w:trPr>
          <w:trHeight w:val="331" w:hRule="atLeast"/>
        </w:trPr>
        <w:tc>
          <w:tcPr>
            <w:tcW w:w="974" w:type="dxa"/>
          </w:tcPr>
          <w:p>
            <w:pPr>
              <w:pStyle w:val="TableParagraph"/>
              <w:spacing w:line="258" w:lineRule="exact"/>
              <w:ind w:left="328"/>
              <w:rPr>
                <w:b/>
                <w:sz w:val="21"/>
              </w:rPr>
            </w:pPr>
            <w:r>
              <w:rPr>
                <w:b/>
                <w:sz w:val="21"/>
              </w:rPr>
              <w:t>3.1 </w:t>
            </w:r>
          </w:p>
        </w:tc>
        <w:tc>
          <w:tcPr>
            <w:tcW w:w="1807" w:type="dxa"/>
          </w:tcPr>
          <w:p>
            <w:pPr>
              <w:pStyle w:val="TableParagraph"/>
              <w:spacing w:before="7"/>
              <w:ind w:left="108"/>
              <w:rPr>
                <w:b/>
                <w:sz w:val="24"/>
              </w:rPr>
            </w:pPr>
            <w:r>
              <w:rPr>
                <w:b/>
                <w:sz w:val="21"/>
              </w:rPr>
              <w:t>保险金申请</w:t>
            </w:r>
            <w:r>
              <w:rPr>
                <w:b/>
                <w:w w:val="99"/>
                <w:sz w:val="24"/>
              </w:rPr>
              <w:t>     </w:t>
            </w:r>
          </w:p>
        </w:tc>
        <w:tc>
          <w:tcPr>
            <w:tcW w:w="7823" w:type="dxa"/>
          </w:tcPr>
          <w:p>
            <w:pPr>
              <w:pStyle w:val="TableParagraph"/>
              <w:spacing w:line="258" w:lineRule="exact"/>
              <w:ind w:left="41"/>
              <w:rPr>
                <w:sz w:val="21"/>
              </w:rPr>
            </w:pPr>
            <w:r>
              <w:rPr>
                <w:sz w:val="21"/>
              </w:rPr>
              <w:t>在申请保险金时，请按照下列方式办理： </w:t>
            </w:r>
          </w:p>
        </w:tc>
      </w:tr>
      <w:tr>
        <w:trPr>
          <w:trHeight w:val="318" w:hRule="atLeast"/>
        </w:trPr>
        <w:tc>
          <w:tcPr>
            <w:tcW w:w="974" w:type="dxa"/>
          </w:tcPr>
          <w:p>
            <w:pPr>
              <w:pStyle w:val="TableParagraph"/>
              <w:spacing w:line="248" w:lineRule="exact"/>
              <w:ind w:left="106"/>
              <w:jc w:val="center"/>
              <w:rPr>
                <w:b/>
                <w:sz w:val="21"/>
              </w:rPr>
            </w:pPr>
            <w:r>
              <w:rPr>
                <w:b/>
                <w:w w:val="99"/>
                <w:sz w:val="21"/>
              </w:rPr>
              <w:t> </w:t>
            </w:r>
          </w:p>
        </w:tc>
        <w:tc>
          <w:tcPr>
            <w:tcW w:w="1807" w:type="dxa"/>
          </w:tcPr>
          <w:p>
            <w:pPr>
              <w:pStyle w:val="TableParagraph"/>
              <w:spacing w:line="272" w:lineRule="exact"/>
              <w:ind w:left="108"/>
              <w:rPr>
                <w:b/>
                <w:sz w:val="21"/>
              </w:rPr>
            </w:pPr>
            <w:r>
              <w:rPr>
                <w:b/>
                <w:w w:val="99"/>
                <w:sz w:val="21"/>
              </w:rPr>
              <w:t> </w:t>
            </w:r>
          </w:p>
        </w:tc>
        <w:tc>
          <w:tcPr>
            <w:tcW w:w="7823" w:type="dxa"/>
          </w:tcPr>
          <w:p>
            <w:pPr>
              <w:pStyle w:val="TableParagraph"/>
              <w:spacing w:line="248" w:lineRule="exact"/>
              <w:ind w:left="41"/>
              <w:rPr>
                <w:sz w:val="21"/>
              </w:rPr>
            </w:pPr>
            <w:r>
              <w:rPr>
                <w:w w:val="100"/>
                <w:sz w:val="21"/>
              </w:rPr>
              <w:t> </w:t>
            </w:r>
          </w:p>
        </w:tc>
      </w:tr>
      <w:tr>
        <w:trPr>
          <w:trHeight w:val="3034" w:hRule="atLeast"/>
        </w:trPr>
        <w:tc>
          <w:tcPr>
            <w:tcW w:w="974" w:type="dxa"/>
          </w:tcPr>
          <w:p>
            <w:pPr>
              <w:pStyle w:val="TableParagraph"/>
              <w:spacing w:line="249" w:lineRule="exact"/>
              <w:ind w:left="106"/>
              <w:jc w:val="center"/>
              <w:rPr>
                <w:b/>
                <w:sz w:val="21"/>
              </w:rPr>
            </w:pPr>
            <w:r>
              <w:rPr>
                <w:b/>
                <w:w w:val="99"/>
                <w:sz w:val="21"/>
              </w:rPr>
              <w:t> </w:t>
            </w:r>
          </w:p>
        </w:tc>
        <w:tc>
          <w:tcPr>
            <w:tcW w:w="1807" w:type="dxa"/>
          </w:tcPr>
          <w:p>
            <w:pPr>
              <w:pStyle w:val="TableParagraph"/>
              <w:spacing w:line="278" w:lineRule="auto"/>
              <w:ind w:left="108" w:right="218"/>
              <w:rPr>
                <w:b/>
                <w:sz w:val="21"/>
              </w:rPr>
            </w:pPr>
            <w:r>
              <w:rPr>
                <w:b/>
                <w:sz w:val="21"/>
              </w:rPr>
              <w:t>重大疾病保险金申请</w:t>
            </w:r>
            <w:r>
              <w:rPr>
                <w:b/>
                <w:w w:val="99"/>
                <w:sz w:val="21"/>
              </w:rPr>
              <w:t> </w:t>
            </w:r>
          </w:p>
        </w:tc>
        <w:tc>
          <w:tcPr>
            <w:tcW w:w="7823" w:type="dxa"/>
          </w:tcPr>
          <w:p>
            <w:pPr>
              <w:pStyle w:val="TableParagraph"/>
              <w:spacing w:line="249" w:lineRule="exact"/>
              <w:ind w:left="41"/>
              <w:rPr>
                <w:sz w:val="21"/>
              </w:rPr>
            </w:pPr>
            <w:r>
              <w:rPr>
                <w:sz w:val="21"/>
              </w:rPr>
              <w:t>由保险金申请人填写保险金给付申请书，并凭下列证明、资料原件向我们申请给</w:t>
            </w:r>
          </w:p>
          <w:p>
            <w:pPr>
              <w:pStyle w:val="TableParagraph"/>
              <w:spacing w:before="37"/>
              <w:ind w:left="41"/>
              <w:rPr>
                <w:sz w:val="21"/>
              </w:rPr>
            </w:pPr>
            <w:r>
              <w:rPr>
                <w:sz w:val="21"/>
              </w:rPr>
              <w:t>付保险金： </w:t>
            </w:r>
          </w:p>
          <w:p>
            <w:pPr>
              <w:pStyle w:val="TableParagraph"/>
              <w:spacing w:line="274" w:lineRule="exact" w:before="15"/>
              <w:ind w:left="41"/>
              <w:rPr>
                <w:sz w:val="21"/>
              </w:rPr>
            </w:pPr>
            <w:r>
              <w:rPr>
                <w:sz w:val="21"/>
              </w:rPr>
              <w:t>（1） 保险合同； </w:t>
            </w:r>
          </w:p>
          <w:p>
            <w:pPr>
              <w:pStyle w:val="TableParagraph"/>
              <w:spacing w:line="272" w:lineRule="exact"/>
              <w:ind w:left="41"/>
              <w:rPr>
                <w:sz w:val="21"/>
              </w:rPr>
            </w:pPr>
            <w:r>
              <w:rPr>
                <w:sz w:val="21"/>
              </w:rPr>
              <w:t>（2） 被保险人的法定身份证明； </w:t>
            </w:r>
          </w:p>
          <w:p>
            <w:pPr>
              <w:pStyle w:val="TableParagraph"/>
              <w:spacing w:line="271" w:lineRule="exact"/>
              <w:ind w:left="41"/>
              <w:rPr>
                <w:sz w:val="21"/>
              </w:rPr>
            </w:pPr>
            <w:r>
              <w:rPr>
                <w:w w:val="100"/>
                <w:sz w:val="21"/>
              </w:rPr>
              <w:t>（3</w:t>
            </w:r>
            <w:r>
              <w:rPr>
                <w:spacing w:val="-3"/>
                <w:w w:val="100"/>
                <w:sz w:val="21"/>
              </w:rPr>
              <w:t>）</w:t>
            </w:r>
            <w:r>
              <w:rPr>
                <w:spacing w:val="-15"/>
                <w:w w:val="100"/>
                <w:sz w:val="21"/>
              </w:rPr>
              <w:t> 完整的病史资料</w:t>
            </w:r>
            <w:r>
              <w:rPr>
                <w:w w:val="100"/>
                <w:sz w:val="21"/>
              </w:rPr>
              <w:t>（</w:t>
            </w:r>
            <w:r>
              <w:rPr>
                <w:spacing w:val="-3"/>
                <w:w w:val="100"/>
                <w:sz w:val="21"/>
              </w:rPr>
              <w:t>包括门诊病历卡、出院小结等</w:t>
            </w:r>
            <w:r>
              <w:rPr>
                <w:spacing w:val="-108"/>
                <w:w w:val="100"/>
                <w:sz w:val="21"/>
              </w:rPr>
              <w:t>）</w:t>
            </w:r>
            <w:r>
              <w:rPr>
                <w:spacing w:val="-4"/>
                <w:w w:val="100"/>
                <w:sz w:val="21"/>
              </w:rPr>
              <w:t>；</w:t>
            </w:r>
            <w:r>
              <w:rPr>
                <w:w w:val="100"/>
                <w:sz w:val="21"/>
              </w:rPr>
              <w:t> </w:t>
            </w:r>
          </w:p>
          <w:p>
            <w:pPr>
              <w:pStyle w:val="TableParagraph"/>
              <w:spacing w:line="237" w:lineRule="auto"/>
              <w:ind w:left="584" w:right="414" w:hanging="543"/>
              <w:jc w:val="both"/>
              <w:rPr>
                <w:sz w:val="21"/>
              </w:rPr>
            </w:pPr>
            <w:r>
              <w:rPr>
                <w:sz w:val="21"/>
              </w:rPr>
              <w:t>（4）</w:t>
            </w:r>
            <w:r>
              <w:rPr>
                <w:spacing w:val="-7"/>
                <w:sz w:val="21"/>
              </w:rPr>
              <w:t> 由专科医生出具的疾病诊断书及相关所必需的检查结果证明</w:t>
            </w:r>
            <w:r>
              <w:rPr>
                <w:sz w:val="21"/>
              </w:rPr>
              <w:t>（如病理检查</w:t>
            </w:r>
            <w:r>
              <w:rPr>
                <w:spacing w:val="-3"/>
                <w:w w:val="100"/>
                <w:sz w:val="21"/>
              </w:rPr>
              <w:t>报告、血液检查报告、超声波、影像学及其它医学诊断检查报告等</w:t>
            </w:r>
            <w:r>
              <w:rPr>
                <w:spacing w:val="-106"/>
                <w:w w:val="100"/>
                <w:sz w:val="21"/>
              </w:rPr>
              <w:t>）</w:t>
            </w:r>
            <w:r>
              <w:rPr>
                <w:spacing w:val="-3"/>
                <w:w w:val="100"/>
                <w:sz w:val="21"/>
              </w:rPr>
              <w:t>，若接</w:t>
            </w:r>
            <w:r>
              <w:rPr>
                <w:spacing w:val="-3"/>
                <w:sz w:val="21"/>
              </w:rPr>
              <w:t>受外科手术者，还需提供外科手术证明文件；</w:t>
            </w:r>
            <w:r>
              <w:rPr>
                <w:sz w:val="21"/>
              </w:rPr>
              <w:t> </w:t>
            </w:r>
          </w:p>
          <w:p>
            <w:pPr>
              <w:pStyle w:val="TableParagraph"/>
              <w:spacing w:line="237" w:lineRule="auto" w:before="1"/>
              <w:ind w:left="584" w:right="417" w:hanging="543"/>
              <w:rPr>
                <w:sz w:val="21"/>
              </w:rPr>
            </w:pPr>
            <w:r>
              <w:rPr>
                <w:sz w:val="21"/>
              </w:rPr>
              <w:t>（5）</w:t>
            </w:r>
            <w:r>
              <w:rPr>
                <w:spacing w:val="-7"/>
                <w:sz w:val="21"/>
              </w:rPr>
              <w:t> 所能提供的与确认保险事故的性质、原因、伤害程度等有关的其它证明和</w:t>
            </w:r>
            <w:r>
              <w:rPr>
                <w:spacing w:val="-6"/>
                <w:sz w:val="21"/>
              </w:rPr>
              <w:t>资料。</w:t>
            </w:r>
            <w:r>
              <w:rPr>
                <w:sz w:val="21"/>
              </w:rPr>
              <w:t> </w:t>
            </w:r>
          </w:p>
          <w:p>
            <w:pPr>
              <w:pStyle w:val="TableParagraph"/>
              <w:spacing w:line="258" w:lineRule="exact"/>
              <w:ind w:left="42"/>
              <w:rPr>
                <w:sz w:val="21"/>
              </w:rPr>
            </w:pPr>
            <w:r>
              <w:rPr>
                <w:sz w:val="21"/>
              </w:rPr>
              <w:t>以上证明和资料不完整的，本公司将及时一次性通知申请人补充提供有关证明和</w:t>
            </w:r>
          </w:p>
        </w:tc>
      </w:tr>
    </w:tbl>
    <w:p>
      <w:pPr>
        <w:spacing w:after="0" w:line="258" w:lineRule="exact"/>
        <w:rPr>
          <w:sz w:val="21"/>
        </w:rPr>
        <w:sectPr>
          <w:pgSz w:w="11910" w:h="16840"/>
          <w:pgMar w:header="0" w:footer="380" w:top="780" w:bottom="56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1771"/>
        <w:gridCol w:w="7859"/>
      </w:tblGrid>
      <w:tr>
        <w:trPr>
          <w:trHeight w:val="282" w:hRule="atLeast"/>
        </w:trPr>
        <w:tc>
          <w:tcPr>
            <w:tcW w:w="974" w:type="dxa"/>
            <w:tcBorders>
              <w:top w:val="single" w:sz="6" w:space="0" w:color="000000"/>
            </w:tcBorders>
          </w:tcPr>
          <w:p>
            <w:pPr>
              <w:pStyle w:val="TableParagraph"/>
              <w:ind w:left="0"/>
              <w:rPr>
                <w:rFonts w:ascii="Times New Roman"/>
                <w:sz w:val="20"/>
              </w:rPr>
            </w:pPr>
          </w:p>
        </w:tc>
        <w:tc>
          <w:tcPr>
            <w:tcW w:w="1771" w:type="dxa"/>
            <w:tcBorders>
              <w:top w:val="single" w:sz="6" w:space="0" w:color="000000"/>
            </w:tcBorders>
          </w:tcPr>
          <w:p>
            <w:pPr>
              <w:pStyle w:val="TableParagraph"/>
              <w:ind w:left="0"/>
              <w:rPr>
                <w:rFonts w:ascii="Times New Roman"/>
                <w:sz w:val="20"/>
              </w:rPr>
            </w:pPr>
          </w:p>
        </w:tc>
        <w:tc>
          <w:tcPr>
            <w:tcW w:w="7859" w:type="dxa"/>
            <w:tcBorders>
              <w:top w:val="single" w:sz="6" w:space="0" w:color="000000"/>
            </w:tcBorders>
          </w:tcPr>
          <w:p>
            <w:pPr>
              <w:pStyle w:val="TableParagraph"/>
              <w:spacing w:line="236" w:lineRule="exact"/>
              <w:ind w:left="77"/>
              <w:rPr>
                <w:sz w:val="21"/>
              </w:rPr>
            </w:pPr>
            <w:r>
              <w:rPr>
                <w:sz w:val="21"/>
              </w:rPr>
              <w:t>资料。 </w:t>
            </w:r>
          </w:p>
        </w:tc>
      </w:tr>
      <w:tr>
        <w:trPr>
          <w:trHeight w:val="303" w:hRule="atLeast"/>
        </w:trPr>
        <w:tc>
          <w:tcPr>
            <w:tcW w:w="974" w:type="dxa"/>
          </w:tcPr>
          <w:p>
            <w:pPr>
              <w:pStyle w:val="TableParagraph"/>
              <w:spacing w:line="249" w:lineRule="exact"/>
              <w:ind w:left="106"/>
              <w:jc w:val="center"/>
              <w:rPr>
                <w:b/>
                <w:sz w:val="21"/>
              </w:rPr>
            </w:pPr>
            <w:r>
              <w:rPr>
                <w:b/>
                <w:w w:val="99"/>
                <w:sz w:val="21"/>
              </w:rPr>
              <w:t> </w:t>
            </w:r>
          </w:p>
        </w:tc>
        <w:tc>
          <w:tcPr>
            <w:tcW w:w="1771" w:type="dxa"/>
          </w:tcPr>
          <w:p>
            <w:pPr>
              <w:pStyle w:val="TableParagraph"/>
              <w:spacing w:line="249" w:lineRule="exact"/>
              <w:ind w:left="108"/>
              <w:rPr>
                <w:b/>
                <w:sz w:val="21"/>
              </w:rPr>
            </w:pPr>
            <w:r>
              <w:rPr>
                <w:b/>
                <w:w w:val="99"/>
                <w:sz w:val="21"/>
              </w:rPr>
              <w:t> </w:t>
            </w:r>
          </w:p>
        </w:tc>
        <w:tc>
          <w:tcPr>
            <w:tcW w:w="7859" w:type="dxa"/>
          </w:tcPr>
          <w:p>
            <w:pPr>
              <w:pStyle w:val="TableParagraph"/>
              <w:spacing w:line="249" w:lineRule="exact"/>
              <w:ind w:left="77"/>
              <w:rPr>
                <w:sz w:val="21"/>
              </w:rPr>
            </w:pPr>
            <w:r>
              <w:rPr>
                <w:w w:val="100"/>
                <w:sz w:val="21"/>
              </w:rPr>
              <w:t> </w:t>
            </w:r>
          </w:p>
        </w:tc>
      </w:tr>
      <w:tr>
        <w:trPr>
          <w:trHeight w:val="623" w:hRule="atLeast"/>
        </w:trPr>
        <w:tc>
          <w:tcPr>
            <w:tcW w:w="974" w:type="dxa"/>
          </w:tcPr>
          <w:p>
            <w:pPr>
              <w:pStyle w:val="TableParagraph"/>
              <w:spacing w:line="257" w:lineRule="exact"/>
              <w:ind w:left="328"/>
              <w:rPr>
                <w:b/>
                <w:sz w:val="21"/>
              </w:rPr>
            </w:pPr>
            <w:r>
              <w:rPr>
                <w:b/>
                <w:sz w:val="21"/>
              </w:rPr>
              <w:t>3.2 </w:t>
            </w:r>
          </w:p>
        </w:tc>
        <w:tc>
          <w:tcPr>
            <w:tcW w:w="1771" w:type="dxa"/>
          </w:tcPr>
          <w:p>
            <w:pPr>
              <w:pStyle w:val="TableParagraph"/>
              <w:spacing w:line="257" w:lineRule="exact"/>
              <w:ind w:left="108"/>
              <w:rPr>
                <w:b/>
                <w:sz w:val="21"/>
              </w:rPr>
            </w:pPr>
            <w:r>
              <w:rPr>
                <w:b/>
                <w:sz w:val="21"/>
              </w:rPr>
              <w:t>诉讼时效</w:t>
            </w:r>
            <w:r>
              <w:rPr>
                <w:b/>
                <w:w w:val="99"/>
                <w:sz w:val="21"/>
              </w:rPr>
              <w:t>       </w:t>
            </w:r>
          </w:p>
        </w:tc>
        <w:tc>
          <w:tcPr>
            <w:tcW w:w="7859" w:type="dxa"/>
          </w:tcPr>
          <w:p>
            <w:pPr>
              <w:pStyle w:val="TableParagraph"/>
              <w:spacing w:line="257" w:lineRule="exact"/>
              <w:ind w:left="77"/>
              <w:rPr>
                <w:sz w:val="21"/>
              </w:rPr>
            </w:pPr>
            <w:r>
              <w:rPr>
                <w:sz w:val="21"/>
              </w:rPr>
              <w:t>被保险人或其他有权领取重大疾病保险金的人向本公司请求给付重大疾病保险金</w:t>
            </w:r>
          </w:p>
          <w:p>
            <w:pPr>
              <w:pStyle w:val="TableParagraph"/>
              <w:spacing w:before="37"/>
              <w:ind w:left="77"/>
              <w:rPr>
                <w:sz w:val="21"/>
              </w:rPr>
            </w:pPr>
            <w:r>
              <w:rPr>
                <w:sz w:val="21"/>
              </w:rPr>
              <w:t>的诉讼时效期间为 2 年，自其知道或者应当知道保险事故发生之日起计算。 </w:t>
            </w:r>
          </w:p>
        </w:tc>
      </w:tr>
      <w:tr>
        <w:trPr>
          <w:trHeight w:val="324" w:hRule="atLeast"/>
        </w:trPr>
        <w:tc>
          <w:tcPr>
            <w:tcW w:w="974" w:type="dxa"/>
          </w:tcPr>
          <w:p>
            <w:pPr>
              <w:pStyle w:val="TableParagraph"/>
              <w:spacing w:line="257" w:lineRule="exact"/>
              <w:ind w:left="106"/>
              <w:jc w:val="center"/>
              <w:rPr>
                <w:b/>
                <w:sz w:val="21"/>
              </w:rPr>
            </w:pPr>
            <w:r>
              <w:rPr>
                <w:b/>
                <w:w w:val="99"/>
                <w:sz w:val="21"/>
              </w:rPr>
              <w:t> </w:t>
            </w:r>
          </w:p>
        </w:tc>
        <w:tc>
          <w:tcPr>
            <w:tcW w:w="1771" w:type="dxa"/>
          </w:tcPr>
          <w:p>
            <w:pPr>
              <w:pStyle w:val="TableParagraph"/>
              <w:spacing w:line="257" w:lineRule="exact"/>
              <w:ind w:left="108"/>
              <w:rPr>
                <w:b/>
                <w:sz w:val="21"/>
              </w:rPr>
            </w:pPr>
            <w:r>
              <w:rPr>
                <w:b/>
                <w:w w:val="99"/>
                <w:sz w:val="21"/>
              </w:rPr>
              <w:t> </w:t>
            </w:r>
          </w:p>
        </w:tc>
        <w:tc>
          <w:tcPr>
            <w:tcW w:w="7859" w:type="dxa"/>
          </w:tcPr>
          <w:p>
            <w:pPr>
              <w:pStyle w:val="TableParagraph"/>
              <w:spacing w:line="257" w:lineRule="exact"/>
              <w:ind w:left="77"/>
              <w:rPr>
                <w:b/>
                <w:sz w:val="21"/>
              </w:rPr>
            </w:pPr>
            <w:r>
              <w:rPr>
                <w:b/>
                <w:w w:val="99"/>
                <w:sz w:val="21"/>
              </w:rPr>
              <w:t> </w:t>
            </w:r>
          </w:p>
        </w:tc>
      </w:tr>
      <w:tr>
        <w:trPr>
          <w:trHeight w:val="610" w:hRule="atLeast"/>
        </w:trPr>
        <w:tc>
          <w:tcPr>
            <w:tcW w:w="974" w:type="dxa"/>
            <w:tcBorders>
              <w:bottom w:val="single" w:sz="8" w:space="0" w:color="000000"/>
            </w:tcBorders>
          </w:tcPr>
          <w:p>
            <w:pPr>
              <w:pStyle w:val="TableParagraph"/>
              <w:spacing w:before="46"/>
              <w:ind w:left="385"/>
              <w:rPr>
                <w:b/>
                <w:sz w:val="40"/>
              </w:rPr>
            </w:pPr>
            <w:r>
              <w:rPr>
                <w:rFonts w:ascii="Arial"/>
                <w:b/>
                <w:sz w:val="40"/>
              </w:rPr>
              <w:t>x </w:t>
            </w:r>
            <w:r>
              <w:rPr>
                <w:b/>
                <w:w w:val="99"/>
                <w:sz w:val="40"/>
              </w:rPr>
              <w:t> </w:t>
            </w:r>
          </w:p>
        </w:tc>
        <w:tc>
          <w:tcPr>
            <w:tcW w:w="9630" w:type="dxa"/>
            <w:gridSpan w:val="2"/>
          </w:tcPr>
          <w:p>
            <w:pPr>
              <w:pStyle w:val="TableParagraph"/>
              <w:spacing w:before="98"/>
              <w:ind w:left="108"/>
              <w:rPr>
                <w:sz w:val="21"/>
              </w:rPr>
            </w:pPr>
            <w:r>
              <w:rPr>
                <w:b/>
                <w:w w:val="95"/>
                <w:sz w:val="24"/>
              </w:rPr>
              <w:t>风险保险费的收取</w:t>
            </w:r>
            <w:r>
              <w:rPr>
                <w:w w:val="100"/>
                <w:sz w:val="21"/>
              </w:rPr>
              <w:t> </w:t>
            </w:r>
          </w:p>
        </w:tc>
      </w:tr>
      <w:tr>
        <w:trPr>
          <w:trHeight w:val="312" w:hRule="atLeast"/>
        </w:trPr>
        <w:tc>
          <w:tcPr>
            <w:tcW w:w="974" w:type="dxa"/>
            <w:tcBorders>
              <w:top w:val="single" w:sz="8" w:space="0" w:color="000000"/>
            </w:tcBorders>
          </w:tcPr>
          <w:p>
            <w:pPr>
              <w:pStyle w:val="TableParagraph"/>
              <w:spacing w:line="258" w:lineRule="exact"/>
              <w:ind w:left="106"/>
              <w:jc w:val="center"/>
              <w:rPr>
                <w:b/>
                <w:sz w:val="21"/>
              </w:rPr>
            </w:pPr>
            <w:r>
              <w:rPr>
                <w:b/>
                <w:w w:val="99"/>
                <w:sz w:val="21"/>
              </w:rPr>
              <w:t> </w:t>
            </w:r>
          </w:p>
        </w:tc>
        <w:tc>
          <w:tcPr>
            <w:tcW w:w="1771" w:type="dxa"/>
            <w:tcBorders>
              <w:top w:val="single" w:sz="8" w:space="0" w:color="000000"/>
            </w:tcBorders>
          </w:tcPr>
          <w:p>
            <w:pPr>
              <w:pStyle w:val="TableParagraph"/>
              <w:spacing w:line="258" w:lineRule="exact"/>
              <w:ind w:left="108"/>
              <w:rPr>
                <w:b/>
                <w:sz w:val="21"/>
              </w:rPr>
            </w:pPr>
            <w:r>
              <w:rPr>
                <w:b/>
                <w:w w:val="99"/>
                <w:sz w:val="21"/>
              </w:rPr>
              <w:t> </w:t>
            </w:r>
          </w:p>
        </w:tc>
        <w:tc>
          <w:tcPr>
            <w:tcW w:w="7859" w:type="dxa"/>
            <w:tcBorders>
              <w:top w:val="single" w:sz="8" w:space="0" w:color="000000"/>
            </w:tcBorders>
          </w:tcPr>
          <w:p>
            <w:pPr>
              <w:pStyle w:val="TableParagraph"/>
              <w:spacing w:line="258" w:lineRule="exact"/>
              <w:ind w:left="77"/>
              <w:rPr>
                <w:sz w:val="21"/>
              </w:rPr>
            </w:pPr>
            <w:r>
              <w:rPr>
                <w:w w:val="100"/>
                <w:sz w:val="21"/>
              </w:rPr>
              <w:t> </w:t>
            </w:r>
          </w:p>
        </w:tc>
      </w:tr>
      <w:tr>
        <w:trPr>
          <w:trHeight w:val="3275" w:hRule="atLeast"/>
        </w:trPr>
        <w:tc>
          <w:tcPr>
            <w:tcW w:w="974" w:type="dxa"/>
          </w:tcPr>
          <w:p>
            <w:pPr>
              <w:pStyle w:val="TableParagraph"/>
              <w:spacing w:line="257" w:lineRule="exact"/>
              <w:ind w:left="328"/>
              <w:rPr>
                <w:b/>
                <w:sz w:val="21"/>
              </w:rPr>
            </w:pPr>
            <w:r>
              <w:rPr>
                <w:b/>
                <w:sz w:val="21"/>
              </w:rPr>
              <w:t>4.1 </w:t>
            </w:r>
          </w:p>
        </w:tc>
        <w:tc>
          <w:tcPr>
            <w:tcW w:w="1771" w:type="dxa"/>
          </w:tcPr>
          <w:p>
            <w:pPr>
              <w:pStyle w:val="TableParagraph"/>
              <w:spacing w:line="257" w:lineRule="exact"/>
              <w:ind w:left="108"/>
              <w:rPr>
                <w:b/>
                <w:sz w:val="21"/>
              </w:rPr>
            </w:pPr>
            <w:r>
              <w:rPr>
                <w:b/>
                <w:sz w:val="21"/>
              </w:rPr>
              <w:t>风险保险费的收</w:t>
            </w:r>
          </w:p>
          <w:p>
            <w:pPr>
              <w:pStyle w:val="TableParagraph"/>
              <w:spacing w:before="37"/>
              <w:ind w:left="108"/>
              <w:rPr>
                <w:b/>
                <w:sz w:val="21"/>
              </w:rPr>
            </w:pPr>
            <w:r>
              <w:rPr>
                <w:b/>
                <w:sz w:val="21"/>
              </w:rPr>
              <w:t>取</w:t>
            </w:r>
            <w:r>
              <w:rPr>
                <w:b/>
                <w:w w:val="99"/>
                <w:sz w:val="21"/>
              </w:rPr>
              <w:t> </w:t>
            </w:r>
          </w:p>
        </w:tc>
        <w:tc>
          <w:tcPr>
            <w:tcW w:w="7859" w:type="dxa"/>
          </w:tcPr>
          <w:p>
            <w:pPr>
              <w:pStyle w:val="TableParagraph"/>
              <w:spacing w:line="257" w:lineRule="exact"/>
              <w:ind w:left="77"/>
              <w:rPr>
                <w:sz w:val="21"/>
              </w:rPr>
            </w:pPr>
            <w:r>
              <w:rPr>
                <w:sz w:val="21"/>
              </w:rPr>
              <w:t>在本附加合同有效期内，本公司将于主合同的个人账户建立日及每个费用扣除日</w:t>
            </w:r>
          </w:p>
          <w:p>
            <w:pPr>
              <w:pStyle w:val="TableParagraph"/>
              <w:spacing w:line="273" w:lineRule="auto" w:before="37"/>
              <w:ind w:left="77" w:right="423" w:hanging="1"/>
              <w:rPr>
                <w:sz w:val="21"/>
              </w:rPr>
            </w:pPr>
            <w:r>
              <w:rPr>
                <w:sz w:val="21"/>
              </w:rPr>
              <w:t>从主合同个人账户中扣除本附加合同当月的重大疾病风险保险费。重大疾病风险保险费按主合同项下各投资账户价值进行分摊，以卖出投资单位的方式收取。</w:t>
            </w:r>
          </w:p>
          <w:p>
            <w:pPr>
              <w:pStyle w:val="TableParagraph"/>
              <w:spacing w:before="163"/>
              <w:ind w:left="77"/>
              <w:rPr>
                <w:sz w:val="21"/>
              </w:rPr>
            </w:pPr>
            <w:r>
              <w:rPr>
                <w:sz w:val="21"/>
              </w:rPr>
              <w:t>重大疾病风险保险费</w:t>
            </w:r>
          </w:p>
          <w:p>
            <w:pPr>
              <w:pStyle w:val="TableParagraph"/>
              <w:spacing w:before="36"/>
              <w:ind w:left="77"/>
              <w:rPr>
                <w:sz w:val="21"/>
              </w:rPr>
            </w:pPr>
            <w:r>
              <w:rPr>
                <w:sz w:val="21"/>
              </w:rPr>
              <w:t>＝本附加合同当月基本保险金额</w:t>
            </w:r>
            <w:r>
              <w:rPr>
                <w:rFonts w:ascii="Times New Roman" w:hAnsi="Times New Roman" w:eastAsia="Times New Roman"/>
                <w:sz w:val="21"/>
              </w:rPr>
              <w:t>/1000 ×  </w:t>
            </w:r>
            <w:r>
              <w:rPr>
                <w:sz w:val="21"/>
              </w:rPr>
              <w:t>当月重大疾病风险保险费费率</w:t>
            </w:r>
          </w:p>
          <w:p>
            <w:pPr>
              <w:pStyle w:val="TableParagraph"/>
              <w:spacing w:before="5"/>
              <w:ind w:left="0"/>
              <w:rPr>
                <w:sz w:val="25"/>
              </w:rPr>
            </w:pPr>
          </w:p>
          <w:p>
            <w:pPr>
              <w:pStyle w:val="TableParagraph"/>
              <w:spacing w:line="273" w:lineRule="auto"/>
              <w:ind w:left="77" w:right="422" w:hanging="1"/>
              <w:jc w:val="both"/>
              <w:rPr>
                <w:sz w:val="21"/>
              </w:rPr>
            </w:pPr>
            <w:r>
              <w:rPr>
                <w:sz w:val="21"/>
              </w:rPr>
              <w:t>其中当月重大疾病风险保险费费率详见附表《月重大疾病风险保险费费率表》。本公司保留调整月重大疾病风险保险费费率的权利，但这种调整不会针对个别被保险人身体状况及理赔状况有所不同。经调整后的月重大疾病风险保险费费率将在下一个费用扣除日前以书面形式通知投保人。 </w:t>
            </w:r>
          </w:p>
        </w:tc>
      </w:tr>
      <w:tr>
        <w:trPr>
          <w:trHeight w:val="308" w:hRule="atLeast"/>
        </w:trPr>
        <w:tc>
          <w:tcPr>
            <w:tcW w:w="974" w:type="dxa"/>
          </w:tcPr>
          <w:p>
            <w:pPr>
              <w:pStyle w:val="TableParagraph"/>
              <w:spacing w:line="258" w:lineRule="exact"/>
              <w:ind w:left="106"/>
              <w:jc w:val="center"/>
              <w:rPr>
                <w:b/>
                <w:sz w:val="21"/>
              </w:rPr>
            </w:pPr>
            <w:r>
              <w:rPr>
                <w:b/>
                <w:w w:val="99"/>
                <w:sz w:val="21"/>
              </w:rPr>
              <w:t> </w:t>
            </w:r>
          </w:p>
        </w:tc>
        <w:tc>
          <w:tcPr>
            <w:tcW w:w="1771" w:type="dxa"/>
          </w:tcPr>
          <w:p>
            <w:pPr>
              <w:pStyle w:val="TableParagraph"/>
              <w:spacing w:line="258" w:lineRule="exact"/>
              <w:ind w:left="108"/>
              <w:rPr>
                <w:b/>
                <w:sz w:val="21"/>
              </w:rPr>
            </w:pPr>
            <w:r>
              <w:rPr>
                <w:b/>
                <w:w w:val="99"/>
                <w:sz w:val="21"/>
              </w:rPr>
              <w:t> </w:t>
            </w:r>
          </w:p>
        </w:tc>
        <w:tc>
          <w:tcPr>
            <w:tcW w:w="7859" w:type="dxa"/>
          </w:tcPr>
          <w:p>
            <w:pPr>
              <w:pStyle w:val="TableParagraph"/>
              <w:ind w:left="0"/>
              <w:rPr>
                <w:rFonts w:ascii="Times New Roman"/>
                <w:sz w:val="20"/>
              </w:rPr>
            </w:pPr>
          </w:p>
        </w:tc>
      </w:tr>
      <w:tr>
        <w:trPr>
          <w:trHeight w:val="2811" w:hRule="atLeast"/>
        </w:trPr>
        <w:tc>
          <w:tcPr>
            <w:tcW w:w="974" w:type="dxa"/>
          </w:tcPr>
          <w:p>
            <w:pPr>
              <w:pStyle w:val="TableParagraph"/>
              <w:spacing w:line="261" w:lineRule="exact"/>
              <w:ind w:left="328"/>
              <w:rPr>
                <w:b/>
                <w:sz w:val="21"/>
              </w:rPr>
            </w:pPr>
            <w:r>
              <w:rPr>
                <w:b/>
                <w:sz w:val="21"/>
              </w:rPr>
              <w:t>4.2 </w:t>
            </w:r>
          </w:p>
        </w:tc>
        <w:tc>
          <w:tcPr>
            <w:tcW w:w="1771" w:type="dxa"/>
          </w:tcPr>
          <w:p>
            <w:pPr>
              <w:pStyle w:val="TableParagraph"/>
              <w:spacing w:line="261" w:lineRule="exact"/>
              <w:ind w:left="108"/>
              <w:rPr>
                <w:b/>
                <w:sz w:val="21"/>
              </w:rPr>
            </w:pPr>
            <w:r>
              <w:rPr>
                <w:b/>
                <w:sz w:val="21"/>
              </w:rPr>
              <w:t>宽限期</w:t>
            </w:r>
            <w:r>
              <w:rPr>
                <w:b/>
                <w:w w:val="99"/>
                <w:sz w:val="21"/>
              </w:rPr>
              <w:t> </w:t>
            </w:r>
          </w:p>
        </w:tc>
        <w:tc>
          <w:tcPr>
            <w:tcW w:w="7859" w:type="dxa"/>
          </w:tcPr>
          <w:p>
            <w:pPr>
              <w:pStyle w:val="TableParagraph"/>
              <w:spacing w:line="277" w:lineRule="exact"/>
              <w:ind w:left="77"/>
              <w:rPr>
                <w:sz w:val="21"/>
              </w:rPr>
            </w:pPr>
            <w:r>
              <w:rPr>
                <w:sz w:val="21"/>
              </w:rPr>
              <w:t>本附加合同有效期内，在主合同每个保单周年日之月对应日的下一资产评估日</w:t>
            </w:r>
            <w:r>
              <w:rPr>
                <w:rFonts w:ascii="Times New Roman" w:eastAsia="Times New Roman"/>
                <w:sz w:val="21"/>
              </w:rPr>
              <w:t>(</w:t>
            </w:r>
            <w:r>
              <w:rPr>
                <w:sz w:val="21"/>
              </w:rPr>
              <w:t>即</w:t>
            </w:r>
          </w:p>
          <w:p>
            <w:pPr>
              <w:pStyle w:val="TableParagraph"/>
              <w:spacing w:line="256" w:lineRule="auto" w:before="21"/>
              <w:ind w:left="77" w:right="411"/>
              <w:rPr>
                <w:sz w:val="21"/>
              </w:rPr>
            </w:pPr>
            <w:r>
              <w:rPr>
                <w:spacing w:val="-1"/>
                <w:sz w:val="21"/>
              </w:rPr>
              <w:t>费用扣除日</w:t>
            </w:r>
            <w:r>
              <w:rPr>
                <w:rFonts w:ascii="Times New Roman" w:eastAsia="Times New Roman"/>
                <w:spacing w:val="-31"/>
                <w:sz w:val="21"/>
              </w:rPr>
              <w:t>)</w:t>
            </w:r>
            <w:r>
              <w:rPr>
                <w:spacing w:val="-7"/>
                <w:sz w:val="21"/>
              </w:rPr>
              <w:t>，如果主合同项下个人账户价值不足以同时支付主合同到期的风险保</w:t>
            </w:r>
            <w:r>
              <w:rPr>
                <w:spacing w:val="-3"/>
                <w:sz w:val="21"/>
              </w:rPr>
              <w:t>险费、保单管理费及本附加合同到期的风险保险费，则自该周年日之月对应日起</w:t>
            </w:r>
          </w:p>
          <w:p>
            <w:pPr>
              <w:pStyle w:val="TableParagraph"/>
              <w:spacing w:before="22"/>
              <w:ind w:left="77"/>
              <w:rPr>
                <w:sz w:val="21"/>
              </w:rPr>
            </w:pPr>
            <w:r>
              <w:rPr>
                <w:sz w:val="21"/>
              </w:rPr>
              <w:t>60 天为本附加合同的宽限期。 </w:t>
            </w:r>
          </w:p>
          <w:p>
            <w:pPr>
              <w:pStyle w:val="TableParagraph"/>
              <w:spacing w:line="273" w:lineRule="auto" w:before="37"/>
              <w:ind w:left="77" w:right="422"/>
              <w:jc w:val="both"/>
              <w:rPr>
                <w:sz w:val="21"/>
              </w:rPr>
            </w:pPr>
            <w:r>
              <w:rPr>
                <w:sz w:val="21"/>
              </w:rPr>
              <w:t>若在宽限期期满日主合同项下个人账户价值仍不足以同时支付主合同一期的风险保险费、保单管理费及本附加合同一期的风险保险费，则本附加合同于宽限期届满当日 24 时起效力中止。 </w:t>
            </w:r>
          </w:p>
          <w:p>
            <w:pPr>
              <w:pStyle w:val="TableParagraph"/>
              <w:spacing w:line="273" w:lineRule="auto" w:before="8"/>
              <w:ind w:left="77" w:right="423"/>
              <w:jc w:val="both"/>
              <w:rPr>
                <w:b/>
                <w:sz w:val="21"/>
              </w:rPr>
            </w:pPr>
            <w:r>
              <w:rPr>
                <w:sz w:val="21"/>
              </w:rPr>
              <w:t>宽限期内发生的保险事故，我们仍会承担保险责任，但在给付保险金时会扣除欠交的主合同的风险保险费、保单管理费及本附加合同的风险保险费。</w:t>
            </w:r>
            <w:r>
              <w:rPr>
                <w:b/>
                <w:w w:val="99"/>
                <w:sz w:val="21"/>
              </w:rPr>
              <w:t> </w:t>
            </w:r>
          </w:p>
        </w:tc>
      </w:tr>
      <w:tr>
        <w:trPr>
          <w:trHeight w:val="324" w:hRule="atLeast"/>
        </w:trPr>
        <w:tc>
          <w:tcPr>
            <w:tcW w:w="974" w:type="dxa"/>
          </w:tcPr>
          <w:p>
            <w:pPr>
              <w:pStyle w:val="TableParagraph"/>
              <w:spacing w:line="257" w:lineRule="exact"/>
              <w:ind w:left="106"/>
              <w:jc w:val="center"/>
              <w:rPr>
                <w:b/>
                <w:sz w:val="21"/>
              </w:rPr>
            </w:pPr>
            <w:r>
              <w:rPr>
                <w:b/>
                <w:w w:val="99"/>
                <w:sz w:val="21"/>
              </w:rPr>
              <w:t> </w:t>
            </w:r>
          </w:p>
        </w:tc>
        <w:tc>
          <w:tcPr>
            <w:tcW w:w="1771" w:type="dxa"/>
          </w:tcPr>
          <w:p>
            <w:pPr>
              <w:pStyle w:val="TableParagraph"/>
              <w:spacing w:line="257" w:lineRule="exact"/>
              <w:ind w:left="108"/>
              <w:rPr>
                <w:b/>
                <w:sz w:val="21"/>
              </w:rPr>
            </w:pPr>
            <w:r>
              <w:rPr>
                <w:b/>
                <w:w w:val="99"/>
                <w:sz w:val="21"/>
              </w:rPr>
              <w:t> </w:t>
            </w:r>
          </w:p>
        </w:tc>
        <w:tc>
          <w:tcPr>
            <w:tcW w:w="7859" w:type="dxa"/>
          </w:tcPr>
          <w:p>
            <w:pPr>
              <w:pStyle w:val="TableParagraph"/>
              <w:spacing w:line="257" w:lineRule="exact"/>
              <w:ind w:left="77"/>
              <w:rPr>
                <w:b/>
                <w:sz w:val="21"/>
              </w:rPr>
            </w:pPr>
            <w:r>
              <w:rPr>
                <w:b/>
                <w:w w:val="99"/>
                <w:sz w:val="21"/>
              </w:rPr>
              <w:t> </w:t>
            </w:r>
          </w:p>
        </w:tc>
      </w:tr>
      <w:tr>
        <w:trPr>
          <w:trHeight w:val="610" w:hRule="atLeast"/>
        </w:trPr>
        <w:tc>
          <w:tcPr>
            <w:tcW w:w="974" w:type="dxa"/>
            <w:tcBorders>
              <w:bottom w:val="single" w:sz="8" w:space="0" w:color="000000"/>
            </w:tcBorders>
          </w:tcPr>
          <w:p>
            <w:pPr>
              <w:pStyle w:val="TableParagraph"/>
              <w:spacing w:before="46"/>
              <w:ind w:left="385"/>
              <w:rPr>
                <w:b/>
                <w:sz w:val="40"/>
              </w:rPr>
            </w:pPr>
            <w:r>
              <w:rPr>
                <w:rFonts w:ascii="Arial"/>
                <w:b/>
                <w:sz w:val="40"/>
              </w:rPr>
              <w:t>y </w:t>
            </w:r>
            <w:r>
              <w:rPr>
                <w:b/>
                <w:w w:val="99"/>
                <w:sz w:val="40"/>
              </w:rPr>
              <w:t> </w:t>
            </w:r>
          </w:p>
        </w:tc>
        <w:tc>
          <w:tcPr>
            <w:tcW w:w="9630" w:type="dxa"/>
            <w:gridSpan w:val="2"/>
          </w:tcPr>
          <w:p>
            <w:pPr>
              <w:pStyle w:val="TableParagraph"/>
              <w:spacing w:before="98"/>
              <w:ind w:left="108"/>
              <w:rPr>
                <w:b/>
                <w:sz w:val="24"/>
              </w:rPr>
            </w:pPr>
            <w:r>
              <w:rPr>
                <w:b/>
                <w:w w:val="95"/>
                <w:sz w:val="24"/>
              </w:rPr>
              <w:t>合同效力的中止及恢复</w:t>
            </w:r>
            <w:r>
              <w:rPr>
                <w:b/>
                <w:w w:val="99"/>
                <w:sz w:val="24"/>
              </w:rPr>
              <w:t>                                                        </w:t>
            </w:r>
          </w:p>
        </w:tc>
      </w:tr>
      <w:tr>
        <w:trPr>
          <w:trHeight w:val="312" w:hRule="atLeast"/>
        </w:trPr>
        <w:tc>
          <w:tcPr>
            <w:tcW w:w="974" w:type="dxa"/>
            <w:tcBorders>
              <w:top w:val="single" w:sz="8" w:space="0" w:color="000000"/>
            </w:tcBorders>
          </w:tcPr>
          <w:p>
            <w:pPr>
              <w:pStyle w:val="TableParagraph"/>
              <w:spacing w:line="258" w:lineRule="exact"/>
              <w:ind w:left="106"/>
              <w:jc w:val="center"/>
              <w:rPr>
                <w:sz w:val="21"/>
              </w:rPr>
            </w:pPr>
            <w:r>
              <w:rPr>
                <w:w w:val="100"/>
                <w:sz w:val="21"/>
              </w:rPr>
              <w:t> </w:t>
            </w:r>
          </w:p>
        </w:tc>
        <w:tc>
          <w:tcPr>
            <w:tcW w:w="1771" w:type="dxa"/>
            <w:tcBorders>
              <w:top w:val="single" w:sz="8" w:space="0" w:color="000000"/>
            </w:tcBorders>
          </w:tcPr>
          <w:p>
            <w:pPr>
              <w:pStyle w:val="TableParagraph"/>
              <w:spacing w:line="258" w:lineRule="exact"/>
              <w:ind w:left="108"/>
              <w:rPr>
                <w:sz w:val="21"/>
              </w:rPr>
            </w:pPr>
            <w:r>
              <w:rPr>
                <w:w w:val="100"/>
                <w:sz w:val="21"/>
              </w:rPr>
              <w:t> </w:t>
            </w:r>
          </w:p>
        </w:tc>
        <w:tc>
          <w:tcPr>
            <w:tcW w:w="7859" w:type="dxa"/>
            <w:tcBorders>
              <w:top w:val="single" w:sz="8" w:space="0" w:color="000000"/>
            </w:tcBorders>
          </w:tcPr>
          <w:p>
            <w:pPr>
              <w:pStyle w:val="TableParagraph"/>
              <w:spacing w:line="258" w:lineRule="exact"/>
              <w:ind w:left="77"/>
              <w:rPr>
                <w:sz w:val="21"/>
              </w:rPr>
            </w:pPr>
            <w:r>
              <w:rPr>
                <w:w w:val="100"/>
                <w:sz w:val="21"/>
              </w:rPr>
              <w:t> </w:t>
            </w:r>
          </w:p>
        </w:tc>
      </w:tr>
      <w:tr>
        <w:trPr>
          <w:trHeight w:val="623" w:hRule="atLeast"/>
        </w:trPr>
        <w:tc>
          <w:tcPr>
            <w:tcW w:w="974" w:type="dxa"/>
          </w:tcPr>
          <w:p>
            <w:pPr>
              <w:pStyle w:val="TableParagraph"/>
              <w:spacing w:line="257" w:lineRule="exact"/>
              <w:ind w:left="328"/>
              <w:rPr>
                <w:b/>
                <w:sz w:val="21"/>
              </w:rPr>
            </w:pPr>
            <w:r>
              <w:rPr>
                <w:b/>
                <w:sz w:val="21"/>
              </w:rPr>
              <w:t>5.1 </w:t>
            </w:r>
          </w:p>
        </w:tc>
        <w:tc>
          <w:tcPr>
            <w:tcW w:w="1771" w:type="dxa"/>
          </w:tcPr>
          <w:p>
            <w:pPr>
              <w:pStyle w:val="TableParagraph"/>
              <w:spacing w:line="257" w:lineRule="exact"/>
              <w:ind w:left="108"/>
              <w:rPr>
                <w:b/>
                <w:sz w:val="21"/>
              </w:rPr>
            </w:pPr>
            <w:r>
              <w:rPr>
                <w:b/>
                <w:sz w:val="21"/>
              </w:rPr>
              <w:t>效力中止</w:t>
            </w:r>
            <w:r>
              <w:rPr>
                <w:b/>
                <w:w w:val="99"/>
                <w:sz w:val="21"/>
              </w:rPr>
              <w:t>       </w:t>
            </w:r>
          </w:p>
        </w:tc>
        <w:tc>
          <w:tcPr>
            <w:tcW w:w="7859" w:type="dxa"/>
          </w:tcPr>
          <w:p>
            <w:pPr>
              <w:pStyle w:val="TableParagraph"/>
              <w:spacing w:line="257" w:lineRule="exact"/>
              <w:ind w:left="77"/>
              <w:rPr>
                <w:sz w:val="21"/>
              </w:rPr>
            </w:pPr>
            <w:r>
              <w:rPr>
                <w:sz w:val="21"/>
              </w:rPr>
              <w:t>在主合同效力中止时，本附加合同效力中止。 </w:t>
            </w:r>
          </w:p>
          <w:p>
            <w:pPr>
              <w:pStyle w:val="TableParagraph"/>
              <w:spacing w:before="37"/>
              <w:ind w:left="77"/>
              <w:rPr>
                <w:sz w:val="21"/>
              </w:rPr>
            </w:pPr>
            <w:r>
              <w:rPr>
                <w:sz w:val="21"/>
              </w:rPr>
              <w:t>在本附加合同效力中止期间，我们不承担保险责任。 </w:t>
            </w:r>
          </w:p>
        </w:tc>
      </w:tr>
      <w:tr>
        <w:trPr>
          <w:trHeight w:val="312" w:hRule="atLeast"/>
        </w:trPr>
        <w:tc>
          <w:tcPr>
            <w:tcW w:w="974" w:type="dxa"/>
          </w:tcPr>
          <w:p>
            <w:pPr>
              <w:pStyle w:val="TableParagraph"/>
              <w:spacing w:line="257" w:lineRule="exact"/>
              <w:ind w:left="106"/>
              <w:jc w:val="center"/>
              <w:rPr>
                <w:sz w:val="21"/>
              </w:rPr>
            </w:pPr>
            <w:r>
              <w:rPr>
                <w:w w:val="100"/>
                <w:sz w:val="21"/>
              </w:rPr>
              <w:t> </w:t>
            </w:r>
          </w:p>
        </w:tc>
        <w:tc>
          <w:tcPr>
            <w:tcW w:w="1771" w:type="dxa"/>
          </w:tcPr>
          <w:p>
            <w:pPr>
              <w:pStyle w:val="TableParagraph"/>
              <w:spacing w:line="257" w:lineRule="exact"/>
              <w:ind w:left="108"/>
              <w:rPr>
                <w:sz w:val="21"/>
              </w:rPr>
            </w:pPr>
            <w:r>
              <w:rPr>
                <w:w w:val="100"/>
                <w:sz w:val="21"/>
              </w:rPr>
              <w:t> </w:t>
            </w:r>
          </w:p>
        </w:tc>
        <w:tc>
          <w:tcPr>
            <w:tcW w:w="7859" w:type="dxa"/>
          </w:tcPr>
          <w:p>
            <w:pPr>
              <w:pStyle w:val="TableParagraph"/>
              <w:spacing w:line="257" w:lineRule="exact"/>
              <w:ind w:left="77"/>
              <w:rPr>
                <w:sz w:val="21"/>
              </w:rPr>
            </w:pPr>
            <w:r>
              <w:rPr>
                <w:w w:val="100"/>
                <w:sz w:val="21"/>
              </w:rPr>
              <w:t> </w:t>
            </w:r>
          </w:p>
        </w:tc>
      </w:tr>
      <w:tr>
        <w:trPr>
          <w:trHeight w:val="2508" w:hRule="atLeast"/>
        </w:trPr>
        <w:tc>
          <w:tcPr>
            <w:tcW w:w="974" w:type="dxa"/>
          </w:tcPr>
          <w:p>
            <w:pPr>
              <w:pStyle w:val="TableParagraph"/>
              <w:spacing w:line="257" w:lineRule="exact"/>
              <w:ind w:left="328"/>
              <w:rPr>
                <w:b/>
                <w:sz w:val="21"/>
              </w:rPr>
            </w:pPr>
            <w:r>
              <w:rPr>
                <w:b/>
                <w:sz w:val="21"/>
              </w:rPr>
              <w:t>5.2 </w:t>
            </w:r>
          </w:p>
        </w:tc>
        <w:tc>
          <w:tcPr>
            <w:tcW w:w="1771" w:type="dxa"/>
          </w:tcPr>
          <w:p>
            <w:pPr>
              <w:pStyle w:val="TableParagraph"/>
              <w:spacing w:line="257" w:lineRule="exact"/>
              <w:ind w:left="108"/>
              <w:rPr>
                <w:b/>
                <w:sz w:val="21"/>
              </w:rPr>
            </w:pPr>
            <w:r>
              <w:rPr>
                <w:b/>
                <w:sz w:val="21"/>
              </w:rPr>
              <w:t>效力恢复</w:t>
            </w:r>
            <w:r>
              <w:rPr>
                <w:b/>
                <w:w w:val="99"/>
                <w:sz w:val="21"/>
              </w:rPr>
              <w:t>       </w:t>
            </w:r>
          </w:p>
        </w:tc>
        <w:tc>
          <w:tcPr>
            <w:tcW w:w="7859" w:type="dxa"/>
          </w:tcPr>
          <w:p>
            <w:pPr>
              <w:pStyle w:val="TableParagraph"/>
              <w:spacing w:line="257" w:lineRule="exact"/>
              <w:ind w:left="77"/>
              <w:rPr>
                <w:sz w:val="21"/>
              </w:rPr>
            </w:pPr>
            <w:r>
              <w:rPr>
                <w:sz w:val="21"/>
              </w:rPr>
              <w:t>本附加合同效力中止后 2 年内，您可以申请随主合同一并恢复合同效力（简称复</w:t>
            </w:r>
          </w:p>
          <w:p>
            <w:pPr>
              <w:pStyle w:val="TableParagraph"/>
              <w:spacing w:line="273" w:lineRule="auto" w:before="37"/>
              <w:ind w:left="77" w:right="412"/>
              <w:jc w:val="both"/>
              <w:rPr>
                <w:sz w:val="21"/>
              </w:rPr>
            </w:pPr>
            <w:r>
              <w:rPr>
                <w:sz w:val="21"/>
              </w:rPr>
              <w:t>效</w:t>
            </w:r>
            <w:r>
              <w:rPr>
                <w:spacing w:val="-108"/>
                <w:sz w:val="21"/>
              </w:rPr>
              <w:t>）</w:t>
            </w:r>
            <w:r>
              <w:rPr>
                <w:spacing w:val="-12"/>
                <w:sz w:val="21"/>
              </w:rPr>
              <w:t>。您应填写保险合同内容变更申请书，按我们的要求提供被保险人的相关证明</w:t>
            </w:r>
            <w:r>
              <w:rPr>
                <w:spacing w:val="-6"/>
                <w:sz w:val="21"/>
              </w:rPr>
              <w:t>文件，我们会对材料进行审核，做出是否同意复效的决定。我们审核同意复效后</w:t>
            </w:r>
            <w:r>
              <w:rPr>
                <w:spacing w:val="-4"/>
                <w:sz w:val="21"/>
              </w:rPr>
              <w:t>将在本附加合同上批注。本附加合同随主合同同时复效，我们重新开始承担保险责任。</w:t>
            </w:r>
            <w:r>
              <w:rPr>
                <w:sz w:val="21"/>
              </w:rPr>
              <w:t> </w:t>
            </w:r>
          </w:p>
          <w:p>
            <w:pPr>
              <w:pStyle w:val="TableParagraph"/>
              <w:spacing w:line="273" w:lineRule="auto" w:before="7"/>
              <w:ind w:left="77" w:right="423"/>
              <w:jc w:val="both"/>
              <w:rPr>
                <w:sz w:val="21"/>
              </w:rPr>
            </w:pPr>
            <w:r>
              <w:rPr>
                <w:spacing w:val="-6"/>
                <w:sz w:val="21"/>
              </w:rPr>
              <w:t>自本附加合同效力中止之日起满 </w:t>
            </w:r>
            <w:r>
              <w:rPr>
                <w:sz w:val="21"/>
              </w:rPr>
              <w:t>2</w:t>
            </w:r>
            <w:r>
              <w:rPr>
                <w:spacing w:val="-8"/>
                <w:sz w:val="21"/>
              </w:rPr>
              <w:t> 年您和我们未达成复效协议的，本附加合同效</w:t>
            </w:r>
            <w:r>
              <w:rPr>
                <w:spacing w:val="-6"/>
                <w:sz w:val="21"/>
              </w:rPr>
              <w:t>力终止。</w:t>
            </w:r>
            <w:r>
              <w:rPr>
                <w:sz w:val="21"/>
              </w:rPr>
              <w:t> </w:t>
            </w:r>
          </w:p>
          <w:p>
            <w:pPr>
              <w:pStyle w:val="TableParagraph"/>
              <w:spacing w:before="7"/>
              <w:ind w:left="77"/>
              <w:jc w:val="both"/>
              <w:rPr>
                <w:sz w:val="21"/>
              </w:rPr>
            </w:pPr>
            <w:r>
              <w:rPr>
                <w:sz w:val="21"/>
              </w:rPr>
              <w:t>在主合同效力中止期间，本附加合同不得单独申请复效。 </w:t>
            </w:r>
          </w:p>
        </w:tc>
      </w:tr>
      <w:tr>
        <w:trPr>
          <w:trHeight w:val="610" w:hRule="atLeast"/>
        </w:trPr>
        <w:tc>
          <w:tcPr>
            <w:tcW w:w="974" w:type="dxa"/>
            <w:tcBorders>
              <w:bottom w:val="single" w:sz="8" w:space="0" w:color="000000"/>
            </w:tcBorders>
          </w:tcPr>
          <w:p>
            <w:pPr>
              <w:pStyle w:val="TableParagraph"/>
              <w:spacing w:before="46"/>
              <w:ind w:left="385"/>
              <w:rPr>
                <w:rFonts w:ascii="Arial"/>
                <w:b/>
                <w:sz w:val="40"/>
              </w:rPr>
            </w:pPr>
            <w:r>
              <w:rPr>
                <w:rFonts w:ascii="Arial"/>
                <w:b/>
                <w:w w:val="100"/>
                <w:sz w:val="40"/>
              </w:rPr>
              <w:t>z</w:t>
            </w:r>
          </w:p>
        </w:tc>
        <w:tc>
          <w:tcPr>
            <w:tcW w:w="9630" w:type="dxa"/>
            <w:gridSpan w:val="2"/>
          </w:tcPr>
          <w:p>
            <w:pPr>
              <w:pStyle w:val="TableParagraph"/>
              <w:spacing w:before="98"/>
              <w:ind w:left="108"/>
              <w:rPr>
                <w:sz w:val="21"/>
              </w:rPr>
            </w:pPr>
            <w:r>
              <w:rPr>
                <w:b/>
                <w:sz w:val="24"/>
              </w:rPr>
              <w:t>合同解除</w:t>
            </w:r>
            <w:r>
              <w:rPr>
                <w:b/>
                <w:w w:val="99"/>
                <w:sz w:val="24"/>
              </w:rPr>
              <w:t>                                                              </w:t>
            </w:r>
            <w:r>
              <w:rPr>
                <w:w w:val="100"/>
                <w:sz w:val="21"/>
              </w:rPr>
              <w:t> </w:t>
            </w:r>
          </w:p>
        </w:tc>
      </w:tr>
      <w:tr>
        <w:trPr>
          <w:trHeight w:val="313" w:hRule="atLeast"/>
        </w:trPr>
        <w:tc>
          <w:tcPr>
            <w:tcW w:w="974" w:type="dxa"/>
            <w:tcBorders>
              <w:top w:val="single" w:sz="8" w:space="0" w:color="000000"/>
            </w:tcBorders>
          </w:tcPr>
          <w:p>
            <w:pPr>
              <w:pStyle w:val="TableParagraph"/>
              <w:spacing w:line="260" w:lineRule="exact"/>
              <w:ind w:left="106"/>
              <w:jc w:val="center"/>
              <w:rPr>
                <w:sz w:val="21"/>
              </w:rPr>
            </w:pPr>
            <w:r>
              <w:rPr>
                <w:w w:val="100"/>
                <w:sz w:val="21"/>
              </w:rPr>
              <w:t> </w:t>
            </w:r>
          </w:p>
        </w:tc>
        <w:tc>
          <w:tcPr>
            <w:tcW w:w="1771" w:type="dxa"/>
            <w:tcBorders>
              <w:top w:val="single" w:sz="8" w:space="0" w:color="000000"/>
            </w:tcBorders>
          </w:tcPr>
          <w:p>
            <w:pPr>
              <w:pStyle w:val="TableParagraph"/>
              <w:spacing w:line="260" w:lineRule="exact"/>
              <w:ind w:left="108"/>
              <w:rPr>
                <w:sz w:val="21"/>
              </w:rPr>
            </w:pPr>
            <w:r>
              <w:rPr>
                <w:w w:val="100"/>
                <w:sz w:val="21"/>
              </w:rPr>
              <w:t> </w:t>
            </w:r>
          </w:p>
        </w:tc>
        <w:tc>
          <w:tcPr>
            <w:tcW w:w="7859" w:type="dxa"/>
            <w:tcBorders>
              <w:top w:val="single" w:sz="8" w:space="0" w:color="000000"/>
            </w:tcBorders>
          </w:tcPr>
          <w:p>
            <w:pPr>
              <w:pStyle w:val="TableParagraph"/>
              <w:spacing w:line="260" w:lineRule="exact"/>
              <w:ind w:left="77"/>
              <w:rPr>
                <w:sz w:val="21"/>
              </w:rPr>
            </w:pPr>
            <w:r>
              <w:rPr>
                <w:w w:val="100"/>
                <w:sz w:val="21"/>
              </w:rPr>
              <w:t> </w:t>
            </w:r>
          </w:p>
        </w:tc>
      </w:tr>
      <w:tr>
        <w:trPr>
          <w:trHeight w:val="572" w:hRule="atLeast"/>
        </w:trPr>
        <w:tc>
          <w:tcPr>
            <w:tcW w:w="974" w:type="dxa"/>
          </w:tcPr>
          <w:p>
            <w:pPr>
              <w:pStyle w:val="TableParagraph"/>
              <w:spacing w:line="256" w:lineRule="exact"/>
              <w:ind w:left="328"/>
              <w:rPr>
                <w:b/>
                <w:sz w:val="21"/>
              </w:rPr>
            </w:pPr>
            <w:r>
              <w:rPr>
                <w:b/>
                <w:sz w:val="21"/>
              </w:rPr>
              <w:t>6.1 </w:t>
            </w:r>
          </w:p>
        </w:tc>
        <w:tc>
          <w:tcPr>
            <w:tcW w:w="1771" w:type="dxa"/>
          </w:tcPr>
          <w:p>
            <w:pPr>
              <w:pStyle w:val="TableParagraph"/>
              <w:spacing w:line="256" w:lineRule="exact"/>
              <w:ind w:left="108"/>
              <w:rPr>
                <w:b/>
                <w:sz w:val="21"/>
              </w:rPr>
            </w:pPr>
            <w:r>
              <w:rPr>
                <w:b/>
                <w:sz w:val="21"/>
              </w:rPr>
              <w:t>您解除合同的手</w:t>
            </w:r>
          </w:p>
          <w:p>
            <w:pPr>
              <w:pStyle w:val="TableParagraph"/>
              <w:spacing w:line="259" w:lineRule="exact" w:before="37"/>
              <w:ind w:left="108"/>
              <w:rPr>
                <w:b/>
                <w:sz w:val="21"/>
              </w:rPr>
            </w:pPr>
            <w:r>
              <w:rPr>
                <w:b/>
                <w:sz w:val="21"/>
              </w:rPr>
              <w:t>续</w:t>
            </w:r>
            <w:r>
              <w:rPr>
                <w:b/>
                <w:w w:val="99"/>
                <w:sz w:val="21"/>
              </w:rPr>
              <w:t>             </w:t>
            </w:r>
          </w:p>
        </w:tc>
        <w:tc>
          <w:tcPr>
            <w:tcW w:w="7859" w:type="dxa"/>
          </w:tcPr>
          <w:p>
            <w:pPr>
              <w:pStyle w:val="TableParagraph"/>
              <w:spacing w:line="256" w:lineRule="exact"/>
              <w:ind w:left="77"/>
              <w:rPr>
                <w:sz w:val="21"/>
              </w:rPr>
            </w:pPr>
            <w:r>
              <w:rPr>
                <w:sz w:val="21"/>
              </w:rPr>
              <w:t>在本附加合同有效期内，您可以随时向我们提出书面申请解除本附加合同（简称</w:t>
            </w:r>
          </w:p>
          <w:p>
            <w:pPr>
              <w:pStyle w:val="TableParagraph"/>
              <w:spacing w:line="259" w:lineRule="exact" w:before="37"/>
              <w:ind w:left="77"/>
              <w:rPr>
                <w:sz w:val="21"/>
              </w:rPr>
            </w:pPr>
            <w:r>
              <w:rPr>
                <w:w w:val="100"/>
                <w:sz w:val="21"/>
              </w:rPr>
              <w:t>退保</w:t>
            </w:r>
            <w:r>
              <w:rPr>
                <w:spacing w:val="-108"/>
                <w:w w:val="100"/>
                <w:sz w:val="21"/>
              </w:rPr>
              <w:t>）</w:t>
            </w:r>
            <w:r>
              <w:rPr>
                <w:spacing w:val="-4"/>
                <w:w w:val="100"/>
                <w:sz w:val="21"/>
              </w:rPr>
              <w:t>，并向我们提供下列证明和资料原件：</w:t>
            </w:r>
            <w:r>
              <w:rPr>
                <w:w w:val="100"/>
                <w:sz w:val="21"/>
              </w:rPr>
              <w:t> </w:t>
            </w:r>
          </w:p>
        </w:tc>
      </w:tr>
    </w:tbl>
    <w:p>
      <w:pPr>
        <w:spacing w:after="0" w:line="259" w:lineRule="exact"/>
        <w:rPr>
          <w:sz w:val="21"/>
        </w:rPr>
        <w:sectPr>
          <w:pgSz w:w="11910" w:h="16840"/>
          <w:pgMar w:header="0" w:footer="380" w:top="780" w:bottom="56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1771"/>
        <w:gridCol w:w="7859"/>
      </w:tblGrid>
      <w:tr>
        <w:trPr>
          <w:trHeight w:val="1560" w:hRule="atLeast"/>
        </w:trPr>
        <w:tc>
          <w:tcPr>
            <w:tcW w:w="974" w:type="dxa"/>
            <w:tcBorders>
              <w:top w:val="single" w:sz="6" w:space="0" w:color="000000"/>
            </w:tcBorders>
          </w:tcPr>
          <w:p>
            <w:pPr>
              <w:pStyle w:val="TableParagraph"/>
              <w:ind w:left="0"/>
              <w:rPr>
                <w:rFonts w:ascii="Times New Roman"/>
                <w:sz w:val="20"/>
              </w:rPr>
            </w:pPr>
          </w:p>
        </w:tc>
        <w:tc>
          <w:tcPr>
            <w:tcW w:w="1771" w:type="dxa"/>
            <w:tcBorders>
              <w:top w:val="single" w:sz="6" w:space="0" w:color="000000"/>
            </w:tcBorders>
          </w:tcPr>
          <w:p>
            <w:pPr>
              <w:pStyle w:val="TableParagraph"/>
              <w:ind w:left="0"/>
              <w:rPr>
                <w:rFonts w:ascii="Times New Roman"/>
                <w:sz w:val="20"/>
              </w:rPr>
            </w:pPr>
          </w:p>
        </w:tc>
        <w:tc>
          <w:tcPr>
            <w:tcW w:w="7859" w:type="dxa"/>
            <w:tcBorders>
              <w:top w:val="single" w:sz="6" w:space="0" w:color="000000"/>
            </w:tcBorders>
          </w:tcPr>
          <w:p>
            <w:pPr>
              <w:pStyle w:val="TableParagraph"/>
              <w:spacing w:line="258" w:lineRule="exact"/>
              <w:ind w:left="77"/>
              <w:rPr>
                <w:sz w:val="21"/>
              </w:rPr>
            </w:pPr>
            <w:r>
              <w:rPr>
                <w:sz w:val="21"/>
              </w:rPr>
              <w:t>（1） 保险合同内容变更申请书； </w:t>
            </w:r>
          </w:p>
          <w:p>
            <w:pPr>
              <w:pStyle w:val="TableParagraph"/>
              <w:spacing w:before="37"/>
              <w:ind w:left="77"/>
              <w:rPr>
                <w:sz w:val="21"/>
              </w:rPr>
            </w:pPr>
            <w:r>
              <w:rPr>
                <w:sz w:val="21"/>
              </w:rPr>
              <w:t>（2） 您的法定身份证明； </w:t>
            </w:r>
          </w:p>
          <w:p>
            <w:pPr>
              <w:pStyle w:val="TableParagraph"/>
              <w:spacing w:before="37"/>
              <w:ind w:left="77"/>
              <w:rPr>
                <w:sz w:val="21"/>
              </w:rPr>
            </w:pPr>
            <w:r>
              <w:rPr>
                <w:sz w:val="21"/>
              </w:rPr>
              <w:t>（3） 其他本公司要求提供的证明和资料。 </w:t>
            </w:r>
          </w:p>
          <w:p>
            <w:pPr>
              <w:pStyle w:val="TableParagraph"/>
              <w:spacing w:line="273" w:lineRule="auto" w:before="37"/>
              <w:ind w:left="77" w:right="423"/>
              <w:rPr>
                <w:sz w:val="21"/>
              </w:rPr>
            </w:pPr>
            <w:r>
              <w:rPr>
                <w:sz w:val="21"/>
              </w:rPr>
              <w:t>自我们收到保险合同内容变更申请书时起，本附加合同效力终止。本附加合同效力的终止不影响主合同的效力。 </w:t>
            </w:r>
          </w:p>
        </w:tc>
      </w:tr>
      <w:tr>
        <w:trPr>
          <w:trHeight w:val="324" w:hRule="atLeast"/>
        </w:trPr>
        <w:tc>
          <w:tcPr>
            <w:tcW w:w="974" w:type="dxa"/>
          </w:tcPr>
          <w:p>
            <w:pPr>
              <w:pStyle w:val="TableParagraph"/>
              <w:spacing w:line="258" w:lineRule="exact"/>
              <w:ind w:left="106"/>
              <w:jc w:val="center"/>
              <w:rPr>
                <w:b/>
                <w:sz w:val="21"/>
              </w:rPr>
            </w:pPr>
            <w:r>
              <w:rPr>
                <w:b/>
                <w:w w:val="99"/>
                <w:sz w:val="21"/>
              </w:rPr>
              <w:t> </w:t>
            </w:r>
          </w:p>
        </w:tc>
        <w:tc>
          <w:tcPr>
            <w:tcW w:w="1771" w:type="dxa"/>
          </w:tcPr>
          <w:p>
            <w:pPr>
              <w:pStyle w:val="TableParagraph"/>
              <w:spacing w:line="258" w:lineRule="exact"/>
              <w:ind w:left="108"/>
              <w:rPr>
                <w:b/>
                <w:sz w:val="21"/>
              </w:rPr>
            </w:pPr>
            <w:r>
              <w:rPr>
                <w:b/>
                <w:w w:val="99"/>
                <w:sz w:val="21"/>
              </w:rPr>
              <w:t> </w:t>
            </w:r>
          </w:p>
        </w:tc>
        <w:tc>
          <w:tcPr>
            <w:tcW w:w="7859" w:type="dxa"/>
          </w:tcPr>
          <w:p>
            <w:pPr>
              <w:pStyle w:val="TableParagraph"/>
              <w:spacing w:line="258" w:lineRule="exact"/>
              <w:ind w:left="77"/>
              <w:rPr>
                <w:sz w:val="21"/>
              </w:rPr>
            </w:pPr>
            <w:r>
              <w:rPr>
                <w:w w:val="100"/>
                <w:sz w:val="21"/>
              </w:rPr>
              <w:t> </w:t>
            </w:r>
          </w:p>
        </w:tc>
      </w:tr>
      <w:tr>
        <w:trPr>
          <w:trHeight w:val="610" w:hRule="atLeast"/>
        </w:trPr>
        <w:tc>
          <w:tcPr>
            <w:tcW w:w="974" w:type="dxa"/>
            <w:tcBorders>
              <w:bottom w:val="single" w:sz="8" w:space="0" w:color="000000"/>
            </w:tcBorders>
          </w:tcPr>
          <w:p>
            <w:pPr>
              <w:pStyle w:val="TableParagraph"/>
              <w:spacing w:before="46"/>
              <w:ind w:left="419"/>
              <w:rPr>
                <w:b/>
                <w:sz w:val="40"/>
              </w:rPr>
            </w:pPr>
            <w:r>
              <w:rPr>
                <w:rFonts w:ascii="Arial"/>
                <w:b/>
                <w:w w:val="95"/>
                <w:sz w:val="40"/>
              </w:rPr>
              <w:t>{</w:t>
            </w:r>
            <w:r>
              <w:rPr>
                <w:rFonts w:ascii="Arial"/>
                <w:b/>
                <w:sz w:val="40"/>
              </w:rPr>
              <w:t> </w:t>
            </w:r>
            <w:r>
              <w:rPr>
                <w:b/>
                <w:w w:val="99"/>
                <w:sz w:val="40"/>
              </w:rPr>
              <w:t> </w:t>
            </w:r>
          </w:p>
        </w:tc>
        <w:tc>
          <w:tcPr>
            <w:tcW w:w="9630" w:type="dxa"/>
            <w:gridSpan w:val="2"/>
          </w:tcPr>
          <w:p>
            <w:pPr>
              <w:pStyle w:val="TableParagraph"/>
              <w:spacing w:before="98"/>
              <w:ind w:left="108"/>
              <w:rPr>
                <w:sz w:val="21"/>
              </w:rPr>
            </w:pPr>
            <w:r>
              <w:rPr>
                <w:b/>
                <w:sz w:val="24"/>
              </w:rPr>
              <w:t>重大疾病释义</w:t>
            </w:r>
            <w:r>
              <w:rPr>
                <w:b/>
                <w:w w:val="99"/>
                <w:sz w:val="24"/>
              </w:rPr>
              <w:t>                                                          </w:t>
            </w:r>
            <w:r>
              <w:rPr>
                <w:w w:val="100"/>
                <w:sz w:val="21"/>
              </w:rPr>
              <w:t> </w:t>
            </w:r>
          </w:p>
        </w:tc>
      </w:tr>
      <w:tr>
        <w:trPr>
          <w:trHeight w:val="312" w:hRule="atLeast"/>
        </w:trPr>
        <w:tc>
          <w:tcPr>
            <w:tcW w:w="974" w:type="dxa"/>
            <w:tcBorders>
              <w:top w:val="single" w:sz="8" w:space="0" w:color="000000"/>
            </w:tcBorders>
          </w:tcPr>
          <w:p>
            <w:pPr>
              <w:pStyle w:val="TableParagraph"/>
              <w:spacing w:line="258" w:lineRule="exact"/>
              <w:ind w:left="106"/>
              <w:jc w:val="center"/>
              <w:rPr>
                <w:sz w:val="21"/>
              </w:rPr>
            </w:pPr>
            <w:r>
              <w:rPr>
                <w:w w:val="100"/>
                <w:sz w:val="21"/>
              </w:rPr>
              <w:t> </w:t>
            </w:r>
          </w:p>
        </w:tc>
        <w:tc>
          <w:tcPr>
            <w:tcW w:w="1771" w:type="dxa"/>
            <w:tcBorders>
              <w:top w:val="single" w:sz="8" w:space="0" w:color="000000"/>
            </w:tcBorders>
          </w:tcPr>
          <w:p>
            <w:pPr>
              <w:pStyle w:val="TableParagraph"/>
              <w:spacing w:line="258" w:lineRule="exact"/>
              <w:ind w:left="108"/>
              <w:rPr>
                <w:sz w:val="21"/>
              </w:rPr>
            </w:pPr>
            <w:r>
              <w:rPr>
                <w:w w:val="100"/>
                <w:sz w:val="21"/>
              </w:rPr>
              <w:t> </w:t>
            </w:r>
          </w:p>
        </w:tc>
        <w:tc>
          <w:tcPr>
            <w:tcW w:w="7859" w:type="dxa"/>
            <w:tcBorders>
              <w:top w:val="single" w:sz="8" w:space="0" w:color="000000"/>
            </w:tcBorders>
          </w:tcPr>
          <w:p>
            <w:pPr>
              <w:pStyle w:val="TableParagraph"/>
              <w:spacing w:line="258" w:lineRule="exact"/>
              <w:ind w:left="77"/>
              <w:rPr>
                <w:sz w:val="21"/>
              </w:rPr>
            </w:pPr>
            <w:r>
              <w:rPr>
                <w:w w:val="100"/>
                <w:sz w:val="21"/>
              </w:rPr>
              <w:t> </w:t>
            </w:r>
          </w:p>
        </w:tc>
      </w:tr>
      <w:tr>
        <w:trPr>
          <w:trHeight w:val="2888" w:hRule="atLeast"/>
        </w:trPr>
        <w:tc>
          <w:tcPr>
            <w:tcW w:w="974" w:type="dxa"/>
          </w:tcPr>
          <w:p>
            <w:pPr>
              <w:pStyle w:val="TableParagraph"/>
              <w:spacing w:line="257" w:lineRule="exact"/>
              <w:ind w:left="328"/>
              <w:rPr>
                <w:b/>
                <w:sz w:val="21"/>
              </w:rPr>
            </w:pPr>
            <w:r>
              <w:rPr>
                <w:b/>
                <w:sz w:val="21"/>
              </w:rPr>
              <w:t>7.1 </w:t>
            </w:r>
          </w:p>
        </w:tc>
        <w:tc>
          <w:tcPr>
            <w:tcW w:w="1771" w:type="dxa"/>
          </w:tcPr>
          <w:p>
            <w:pPr>
              <w:pStyle w:val="TableParagraph"/>
              <w:spacing w:line="257" w:lineRule="exact"/>
              <w:ind w:left="108"/>
              <w:rPr>
                <w:b/>
                <w:sz w:val="21"/>
              </w:rPr>
            </w:pPr>
            <w:r>
              <w:rPr>
                <w:b/>
                <w:sz w:val="21"/>
              </w:rPr>
              <w:t>重大疾病介绍</w:t>
            </w:r>
            <w:r>
              <w:rPr>
                <w:b/>
                <w:w w:val="99"/>
                <w:sz w:val="21"/>
              </w:rPr>
              <w:t>   </w:t>
            </w:r>
          </w:p>
        </w:tc>
        <w:tc>
          <w:tcPr>
            <w:tcW w:w="7859" w:type="dxa"/>
          </w:tcPr>
          <w:p>
            <w:pPr>
              <w:pStyle w:val="TableParagraph"/>
              <w:spacing w:before="6"/>
              <w:ind w:left="77"/>
              <w:rPr>
                <w:sz w:val="21"/>
              </w:rPr>
            </w:pPr>
            <w:r>
              <w:rPr>
                <w:sz w:val="21"/>
              </w:rPr>
              <w:t>本附加合同所指的重大疾病共有 35 种。其中，第 1 种至第 25 种重大疾病均采用</w:t>
            </w:r>
          </w:p>
          <w:p>
            <w:pPr>
              <w:pStyle w:val="TableParagraph"/>
              <w:spacing w:before="46"/>
              <w:ind w:left="77"/>
              <w:rPr>
                <w:sz w:val="21"/>
              </w:rPr>
            </w:pPr>
            <w:r>
              <w:rPr>
                <w:sz w:val="21"/>
              </w:rPr>
              <w:t>中国保险行业协会 2007 年 3 月发布的《重大疾病保险的疾病定义使用规范》中规</w:t>
            </w:r>
          </w:p>
          <w:p>
            <w:pPr>
              <w:pStyle w:val="TableParagraph"/>
              <w:spacing w:line="278" w:lineRule="auto" w:before="44"/>
              <w:ind w:left="77" w:right="418" w:hanging="1"/>
              <w:jc w:val="both"/>
              <w:rPr>
                <w:sz w:val="21"/>
              </w:rPr>
            </w:pPr>
            <w:r>
              <w:rPr>
                <w:spacing w:val="-14"/>
                <w:sz w:val="21"/>
              </w:rPr>
              <w:t>定的重大疾病种类及定义；第 </w:t>
            </w:r>
            <w:r>
              <w:rPr>
                <w:sz w:val="21"/>
              </w:rPr>
              <w:t>26</w:t>
            </w:r>
            <w:r>
              <w:rPr>
                <w:spacing w:val="-21"/>
                <w:sz w:val="21"/>
              </w:rPr>
              <w:t> 种至第 </w:t>
            </w:r>
            <w:r>
              <w:rPr>
                <w:sz w:val="21"/>
              </w:rPr>
              <w:t>35</w:t>
            </w:r>
            <w:r>
              <w:rPr>
                <w:spacing w:val="-11"/>
                <w:sz w:val="21"/>
              </w:rPr>
              <w:t> 种重大疾病为本公司增加的 </w:t>
            </w:r>
            <w:r>
              <w:rPr>
                <w:sz w:val="21"/>
              </w:rPr>
              <w:t>10</w:t>
            </w:r>
            <w:r>
              <w:rPr>
                <w:spacing w:val="-15"/>
                <w:sz w:val="21"/>
              </w:rPr>
              <w:t> 种重大</w:t>
            </w:r>
            <w:r>
              <w:rPr>
                <w:spacing w:val="-1"/>
                <w:sz w:val="21"/>
              </w:rPr>
              <w:t>疾病。</w:t>
            </w:r>
            <w:r>
              <w:rPr>
                <w:sz w:val="21"/>
              </w:rPr>
              <w:t> </w:t>
            </w:r>
          </w:p>
          <w:p>
            <w:pPr>
              <w:pStyle w:val="TableParagraph"/>
              <w:spacing w:line="320" w:lineRule="exact" w:before="2"/>
              <w:ind w:left="77" w:right="339"/>
              <w:jc w:val="both"/>
              <w:rPr>
                <w:rFonts w:ascii="黑体" w:eastAsia="黑体" w:hint="eastAsia"/>
                <w:sz w:val="24"/>
              </w:rPr>
            </w:pPr>
            <w:r>
              <w:rPr>
                <w:rFonts w:ascii="黑体" w:eastAsia="黑体" w:hint="eastAsia"/>
                <w:sz w:val="24"/>
              </w:rPr>
              <w:t>本附加合同的重大疾病定义可能与临床医学在概念和范围上有所不同， 您投保本附加合同即表明其认可并遵从本附加合同条款中对重大疾病的定义。</w:t>
            </w:r>
          </w:p>
          <w:p>
            <w:pPr>
              <w:pStyle w:val="TableParagraph"/>
              <w:spacing w:line="320" w:lineRule="exact" w:before="1"/>
              <w:ind w:left="77" w:right="418" w:hanging="1"/>
              <w:jc w:val="both"/>
              <w:rPr>
                <w:sz w:val="21"/>
              </w:rPr>
            </w:pPr>
            <w:r>
              <w:rPr>
                <w:spacing w:val="-5"/>
                <w:sz w:val="21"/>
              </w:rPr>
              <w:t>本附加合同所指的重大疾病为符合下列定义的 </w:t>
            </w:r>
            <w:r>
              <w:rPr>
                <w:sz w:val="21"/>
              </w:rPr>
              <w:t>35</w:t>
            </w:r>
            <w:r>
              <w:rPr>
                <w:spacing w:val="-14"/>
                <w:sz w:val="21"/>
              </w:rPr>
              <w:t> 种疾病、疾病状态或手术。被保</w:t>
            </w:r>
            <w:r>
              <w:rPr>
                <w:spacing w:val="-4"/>
                <w:sz w:val="21"/>
              </w:rPr>
              <w:t>险人发生符合以下疾病定义所述条件的重大疾病，应当由专科医生明确诊断。 </w:t>
            </w:r>
          </w:p>
        </w:tc>
      </w:tr>
      <w:tr>
        <w:trPr>
          <w:trHeight w:val="320" w:hRule="atLeast"/>
        </w:trPr>
        <w:tc>
          <w:tcPr>
            <w:tcW w:w="974" w:type="dxa"/>
          </w:tcPr>
          <w:p>
            <w:pPr>
              <w:pStyle w:val="TableParagraph"/>
              <w:spacing w:line="249" w:lineRule="exact"/>
              <w:ind w:left="106"/>
              <w:jc w:val="center"/>
              <w:rPr>
                <w:b/>
                <w:sz w:val="21"/>
              </w:rPr>
            </w:pPr>
            <w:r>
              <w:rPr>
                <w:b/>
                <w:w w:val="99"/>
                <w:sz w:val="21"/>
              </w:rPr>
              <w:t> </w:t>
            </w:r>
          </w:p>
        </w:tc>
        <w:tc>
          <w:tcPr>
            <w:tcW w:w="1771" w:type="dxa"/>
          </w:tcPr>
          <w:p>
            <w:pPr>
              <w:pStyle w:val="TableParagraph"/>
              <w:spacing w:line="249" w:lineRule="exact"/>
              <w:ind w:left="108"/>
              <w:rPr>
                <w:b/>
                <w:sz w:val="21"/>
              </w:rPr>
            </w:pPr>
            <w:r>
              <w:rPr>
                <w:b/>
                <w:w w:val="99"/>
                <w:sz w:val="21"/>
              </w:rPr>
              <w:t> </w:t>
            </w:r>
          </w:p>
        </w:tc>
        <w:tc>
          <w:tcPr>
            <w:tcW w:w="7859" w:type="dxa"/>
          </w:tcPr>
          <w:p>
            <w:pPr>
              <w:pStyle w:val="TableParagraph"/>
              <w:spacing w:line="273" w:lineRule="exact"/>
              <w:ind w:left="77"/>
              <w:rPr>
                <w:sz w:val="21"/>
              </w:rPr>
            </w:pPr>
            <w:r>
              <w:rPr>
                <w:w w:val="100"/>
                <w:sz w:val="21"/>
              </w:rPr>
              <w:t> </w:t>
            </w:r>
          </w:p>
        </w:tc>
      </w:tr>
      <w:tr>
        <w:trPr>
          <w:trHeight w:val="3521" w:hRule="atLeast"/>
        </w:trPr>
        <w:tc>
          <w:tcPr>
            <w:tcW w:w="974" w:type="dxa"/>
          </w:tcPr>
          <w:p>
            <w:pPr>
              <w:pStyle w:val="TableParagraph"/>
              <w:spacing w:line="250" w:lineRule="exact"/>
              <w:ind w:left="106"/>
              <w:jc w:val="center"/>
              <w:rPr>
                <w:b/>
                <w:sz w:val="21"/>
              </w:rPr>
            </w:pPr>
            <w:r>
              <w:rPr>
                <w:b/>
                <w:w w:val="99"/>
                <w:sz w:val="21"/>
              </w:rPr>
              <w:t> </w:t>
            </w:r>
          </w:p>
        </w:tc>
        <w:tc>
          <w:tcPr>
            <w:tcW w:w="1771" w:type="dxa"/>
          </w:tcPr>
          <w:p>
            <w:pPr>
              <w:pStyle w:val="TableParagraph"/>
              <w:spacing w:line="274" w:lineRule="exact"/>
              <w:ind w:left="108"/>
              <w:rPr>
                <w:sz w:val="21"/>
              </w:rPr>
            </w:pPr>
            <w:r>
              <w:rPr>
                <w:sz w:val="21"/>
              </w:rPr>
              <w:t>1. 恶性肿瘤 </w:t>
            </w:r>
          </w:p>
        </w:tc>
        <w:tc>
          <w:tcPr>
            <w:tcW w:w="7859" w:type="dxa"/>
          </w:tcPr>
          <w:p>
            <w:pPr>
              <w:pStyle w:val="TableParagraph"/>
              <w:spacing w:line="271" w:lineRule="auto"/>
              <w:ind w:left="77" w:right="308"/>
              <w:rPr>
                <w:rFonts w:ascii="黑体" w:eastAsia="黑体" w:hint="eastAsia"/>
                <w:sz w:val="24"/>
              </w:rPr>
            </w:pPr>
            <w:r>
              <w:rPr>
                <w:spacing w:val="-3"/>
                <w:sz w:val="21"/>
              </w:rPr>
              <w:t>指恶性细胞不受控制的进行性增长和扩散，浸润和破坏周围正常组织，可以经血</w:t>
            </w:r>
            <w:r>
              <w:rPr>
                <w:spacing w:val="-11"/>
                <w:sz w:val="21"/>
              </w:rPr>
              <w:t>管、淋巴管和体腔扩散转移到身体其它部位的疾病。经病理学检查结果明确诊断， </w:t>
            </w:r>
            <w:r>
              <w:rPr>
                <w:spacing w:val="-9"/>
                <w:sz w:val="21"/>
              </w:rPr>
              <w:t>临床诊断属于世界卫生组织《疾病和有关健康问题的国际统计分类</w:t>
            </w:r>
            <w:r>
              <w:rPr>
                <w:spacing w:val="-137"/>
                <w:sz w:val="21"/>
              </w:rPr>
              <w:t>》</w:t>
            </w:r>
            <w:r>
              <w:rPr>
                <w:spacing w:val="-6"/>
                <w:sz w:val="21"/>
              </w:rPr>
              <w:t>（ICD-10）</w:t>
            </w:r>
            <w:r>
              <w:rPr>
                <w:spacing w:val="-32"/>
                <w:sz w:val="21"/>
              </w:rPr>
              <w:t>的</w:t>
            </w:r>
            <w:r>
              <w:rPr>
                <w:spacing w:val="-3"/>
                <w:sz w:val="21"/>
              </w:rPr>
              <w:t>恶性肿瘤范畴。                                                         </w:t>
            </w:r>
            <w:r>
              <w:rPr>
                <w:rFonts w:ascii="黑体" w:eastAsia="黑体" w:hint="eastAsia"/>
                <w:sz w:val="24"/>
              </w:rPr>
              <w:t>下列疾病不在保障范围内：</w:t>
            </w:r>
          </w:p>
          <w:p>
            <w:pPr>
              <w:pStyle w:val="TableParagraph"/>
              <w:spacing w:line="288" w:lineRule="exact"/>
              <w:ind w:left="77"/>
              <w:rPr>
                <w:rFonts w:ascii="黑体" w:eastAsia="黑体" w:hint="eastAsia"/>
                <w:sz w:val="24"/>
              </w:rPr>
            </w:pPr>
            <w:r>
              <w:rPr>
                <w:rFonts w:ascii="黑体" w:eastAsia="黑体" w:hint="eastAsia"/>
                <w:sz w:val="24"/>
              </w:rPr>
              <w:t>（1）  原位癌；</w:t>
            </w:r>
          </w:p>
          <w:p>
            <w:pPr>
              <w:pStyle w:val="TableParagraph"/>
              <w:spacing w:before="7"/>
              <w:ind w:left="77"/>
              <w:rPr>
                <w:rFonts w:ascii="黑体" w:eastAsia="黑体" w:hint="eastAsia"/>
                <w:sz w:val="24"/>
              </w:rPr>
            </w:pPr>
            <w:r>
              <w:rPr>
                <w:rFonts w:ascii="黑体" w:eastAsia="黑体" w:hint="eastAsia"/>
                <w:sz w:val="24"/>
              </w:rPr>
              <w:t>（2）  相当于 Binet 分期方案 A 期程度的慢性淋巴细胞白血病；</w:t>
            </w:r>
          </w:p>
          <w:p>
            <w:pPr>
              <w:pStyle w:val="TableParagraph"/>
              <w:spacing w:before="5"/>
              <w:ind w:left="77"/>
              <w:rPr>
                <w:rFonts w:ascii="黑体" w:eastAsia="黑体" w:hint="eastAsia"/>
                <w:sz w:val="24"/>
              </w:rPr>
            </w:pPr>
            <w:r>
              <w:rPr>
                <w:rFonts w:ascii="黑体" w:eastAsia="黑体" w:hint="eastAsia"/>
                <w:sz w:val="24"/>
              </w:rPr>
              <w:t>（3）  相当于 Ann Arbor 分期方案 I 期程度的何杰金氏病；</w:t>
            </w:r>
          </w:p>
          <w:p>
            <w:pPr>
              <w:pStyle w:val="TableParagraph"/>
              <w:spacing w:before="5"/>
              <w:ind w:left="77"/>
              <w:rPr>
                <w:rFonts w:ascii="黑体" w:eastAsia="黑体" w:hint="eastAsia"/>
                <w:sz w:val="24"/>
              </w:rPr>
            </w:pPr>
            <w:r>
              <w:rPr>
                <w:rFonts w:ascii="黑体" w:eastAsia="黑体" w:hint="eastAsia"/>
                <w:sz w:val="24"/>
              </w:rPr>
              <w:t>（4）</w:t>
            </w:r>
            <w:r>
              <w:rPr>
                <w:sz w:val="24"/>
              </w:rPr>
              <w:t>  </w:t>
            </w:r>
            <w:r>
              <w:rPr>
                <w:rFonts w:ascii="黑体" w:eastAsia="黑体" w:hint="eastAsia"/>
                <w:sz w:val="24"/>
              </w:rPr>
              <w:t>皮肤癌（不包括恶性黑色素瘤及已发生转移的皮肤癌</w:t>
            </w:r>
            <w:r>
              <w:rPr>
                <w:rFonts w:ascii="黑体" w:eastAsia="黑体" w:hint="eastAsia"/>
                <w:spacing w:val="-120"/>
                <w:sz w:val="24"/>
              </w:rPr>
              <w:t>）</w:t>
            </w:r>
            <w:r>
              <w:rPr>
                <w:rFonts w:ascii="黑体" w:eastAsia="黑体" w:hint="eastAsia"/>
                <w:sz w:val="24"/>
              </w:rPr>
              <w:t>；</w:t>
            </w:r>
          </w:p>
          <w:p>
            <w:pPr>
              <w:pStyle w:val="TableParagraph"/>
              <w:spacing w:before="6"/>
              <w:ind w:left="77"/>
              <w:rPr>
                <w:rFonts w:ascii="黑体" w:eastAsia="黑体" w:hint="eastAsia"/>
                <w:sz w:val="24"/>
              </w:rPr>
            </w:pPr>
            <w:r>
              <w:rPr>
                <w:rFonts w:ascii="黑体" w:eastAsia="黑体" w:hint="eastAsia"/>
                <w:position w:val="2"/>
                <w:sz w:val="24"/>
              </w:rPr>
              <w:t>（5）  TNM 分期为 T</w:t>
            </w:r>
            <w:r>
              <w:rPr>
                <w:rFonts w:ascii="黑体" w:eastAsia="黑体" w:hint="eastAsia"/>
                <w:sz w:val="12"/>
              </w:rPr>
              <w:t>1</w:t>
            </w:r>
            <w:r>
              <w:rPr>
                <w:rFonts w:ascii="黑体" w:eastAsia="黑体" w:hint="eastAsia"/>
                <w:position w:val="2"/>
                <w:sz w:val="24"/>
              </w:rPr>
              <w:t>N</w:t>
            </w:r>
            <w:r>
              <w:rPr>
                <w:rFonts w:ascii="黑体" w:eastAsia="黑体" w:hint="eastAsia"/>
                <w:sz w:val="12"/>
              </w:rPr>
              <w:t>0</w:t>
            </w:r>
            <w:r>
              <w:rPr>
                <w:rFonts w:ascii="黑体" w:eastAsia="黑体" w:hint="eastAsia"/>
                <w:position w:val="2"/>
                <w:sz w:val="24"/>
              </w:rPr>
              <w:t>M</w:t>
            </w:r>
            <w:r>
              <w:rPr>
                <w:rFonts w:ascii="黑体" w:eastAsia="黑体" w:hint="eastAsia"/>
                <w:sz w:val="12"/>
              </w:rPr>
              <w:t>0 </w:t>
            </w:r>
            <w:r>
              <w:rPr>
                <w:rFonts w:ascii="黑体" w:eastAsia="黑体" w:hint="eastAsia"/>
                <w:position w:val="2"/>
                <w:sz w:val="24"/>
              </w:rPr>
              <w:t>期或更轻分期的前列腺癌；</w:t>
            </w:r>
          </w:p>
          <w:p>
            <w:pPr>
              <w:pStyle w:val="TableParagraph"/>
              <w:spacing w:before="2"/>
              <w:ind w:left="77"/>
              <w:rPr>
                <w:sz w:val="21"/>
              </w:rPr>
            </w:pPr>
            <w:r>
              <w:rPr>
                <w:rFonts w:ascii="黑体" w:eastAsia="黑体" w:hint="eastAsia"/>
                <w:sz w:val="24"/>
              </w:rPr>
              <w:t>（6）  感染艾滋病病毒或患艾滋病期间所患恶性肿瘤。</w:t>
            </w:r>
            <w:r>
              <w:rPr>
                <w:w w:val="100"/>
                <w:sz w:val="21"/>
              </w:rPr>
              <w:t> </w:t>
            </w:r>
          </w:p>
        </w:tc>
      </w:tr>
      <w:tr>
        <w:trPr>
          <w:trHeight w:val="318" w:hRule="atLeast"/>
        </w:trPr>
        <w:tc>
          <w:tcPr>
            <w:tcW w:w="974" w:type="dxa"/>
          </w:tcPr>
          <w:p>
            <w:pPr>
              <w:pStyle w:val="TableParagraph"/>
              <w:spacing w:line="247" w:lineRule="exact"/>
              <w:ind w:left="106"/>
              <w:jc w:val="center"/>
              <w:rPr>
                <w:b/>
                <w:sz w:val="21"/>
              </w:rPr>
            </w:pPr>
            <w:r>
              <w:rPr>
                <w:b/>
                <w:w w:val="99"/>
                <w:sz w:val="21"/>
              </w:rPr>
              <w:t> </w:t>
            </w:r>
          </w:p>
        </w:tc>
        <w:tc>
          <w:tcPr>
            <w:tcW w:w="1771" w:type="dxa"/>
          </w:tcPr>
          <w:p>
            <w:pPr>
              <w:pStyle w:val="TableParagraph"/>
              <w:spacing w:line="271" w:lineRule="exact"/>
              <w:ind w:left="108"/>
              <w:rPr>
                <w:sz w:val="21"/>
              </w:rPr>
            </w:pPr>
            <w:r>
              <w:rPr>
                <w:w w:val="100"/>
                <w:sz w:val="21"/>
              </w:rPr>
              <w:t> </w:t>
            </w:r>
          </w:p>
        </w:tc>
        <w:tc>
          <w:tcPr>
            <w:tcW w:w="7859" w:type="dxa"/>
          </w:tcPr>
          <w:p>
            <w:pPr>
              <w:pStyle w:val="TableParagraph"/>
              <w:spacing w:line="271" w:lineRule="exact"/>
              <w:ind w:left="77"/>
              <w:rPr>
                <w:sz w:val="21"/>
              </w:rPr>
            </w:pPr>
            <w:r>
              <w:rPr>
                <w:w w:val="100"/>
                <w:sz w:val="21"/>
              </w:rPr>
              <w:t> </w:t>
            </w:r>
          </w:p>
        </w:tc>
      </w:tr>
      <w:tr>
        <w:trPr>
          <w:trHeight w:val="2240" w:hRule="atLeast"/>
        </w:trPr>
        <w:tc>
          <w:tcPr>
            <w:tcW w:w="974" w:type="dxa"/>
          </w:tcPr>
          <w:p>
            <w:pPr>
              <w:pStyle w:val="TableParagraph"/>
              <w:spacing w:line="250" w:lineRule="exact"/>
              <w:ind w:left="106"/>
              <w:jc w:val="center"/>
              <w:rPr>
                <w:b/>
                <w:sz w:val="21"/>
              </w:rPr>
            </w:pPr>
            <w:r>
              <w:rPr>
                <w:b/>
                <w:w w:val="99"/>
                <w:sz w:val="21"/>
              </w:rPr>
              <w:t> </w:t>
            </w:r>
          </w:p>
        </w:tc>
        <w:tc>
          <w:tcPr>
            <w:tcW w:w="1771" w:type="dxa"/>
          </w:tcPr>
          <w:p>
            <w:pPr>
              <w:pStyle w:val="TableParagraph"/>
              <w:spacing w:line="250" w:lineRule="exact"/>
              <w:ind w:left="108"/>
              <w:rPr>
                <w:sz w:val="21"/>
              </w:rPr>
            </w:pPr>
            <w:r>
              <w:rPr>
                <w:sz w:val="21"/>
              </w:rPr>
              <w:t>2. 急性心肌梗</w:t>
            </w:r>
          </w:p>
          <w:p>
            <w:pPr>
              <w:pStyle w:val="TableParagraph"/>
              <w:spacing w:before="37"/>
              <w:ind w:left="108"/>
              <w:rPr>
                <w:sz w:val="21"/>
              </w:rPr>
            </w:pPr>
            <w:r>
              <w:rPr>
                <w:sz w:val="21"/>
              </w:rPr>
              <w:t>塞 </w:t>
            </w:r>
          </w:p>
        </w:tc>
        <w:tc>
          <w:tcPr>
            <w:tcW w:w="7859" w:type="dxa"/>
          </w:tcPr>
          <w:p>
            <w:pPr>
              <w:pStyle w:val="TableParagraph"/>
              <w:spacing w:line="278" w:lineRule="auto"/>
              <w:ind w:left="77" w:right="422"/>
              <w:rPr>
                <w:sz w:val="21"/>
              </w:rPr>
            </w:pPr>
            <w:r>
              <w:rPr>
                <w:sz w:val="21"/>
              </w:rPr>
              <w:t>指因冠状动脉阻塞导致的相应区域供血不足造成部分心肌坏死。须满足下列至少三项条件：  </w:t>
            </w:r>
          </w:p>
          <w:p>
            <w:pPr>
              <w:pStyle w:val="TableParagraph"/>
              <w:spacing w:before="11"/>
              <w:ind w:left="77"/>
              <w:rPr>
                <w:sz w:val="21"/>
              </w:rPr>
            </w:pPr>
            <w:r>
              <w:rPr>
                <w:sz w:val="21"/>
              </w:rPr>
              <w:t>（1） 典型临床表现，例如急性胸痛等；  </w:t>
            </w:r>
          </w:p>
          <w:p>
            <w:pPr>
              <w:pStyle w:val="TableParagraph"/>
              <w:spacing w:before="46"/>
              <w:ind w:left="77"/>
              <w:rPr>
                <w:sz w:val="21"/>
              </w:rPr>
            </w:pPr>
            <w:r>
              <w:rPr>
                <w:sz w:val="21"/>
              </w:rPr>
              <w:t>（2） 新近的心电图改变提示急性心肌梗塞；  </w:t>
            </w:r>
          </w:p>
          <w:p>
            <w:pPr>
              <w:pStyle w:val="TableParagraph"/>
              <w:spacing w:line="278" w:lineRule="auto" w:before="44"/>
              <w:ind w:left="617" w:right="508" w:hanging="541"/>
              <w:rPr>
                <w:sz w:val="21"/>
              </w:rPr>
            </w:pPr>
            <w:r>
              <w:rPr>
                <w:sz w:val="21"/>
              </w:rPr>
              <w:t>（3）</w:t>
            </w:r>
            <w:r>
              <w:rPr>
                <w:spacing w:val="-10"/>
                <w:sz w:val="21"/>
              </w:rPr>
              <w:t> 心肌酶或肌钙蛋白有诊断意义的升高，或呈符合急性心肌梗塞的动态性变化；</w:t>
            </w:r>
            <w:r>
              <w:rPr>
                <w:spacing w:val="-3"/>
                <w:sz w:val="21"/>
              </w:rPr>
              <w:t> </w:t>
            </w:r>
            <w:r>
              <w:rPr>
                <w:sz w:val="21"/>
              </w:rPr>
              <w:t> </w:t>
            </w:r>
          </w:p>
          <w:p>
            <w:pPr>
              <w:pStyle w:val="TableParagraph"/>
              <w:spacing w:before="13"/>
              <w:ind w:left="77"/>
              <w:rPr>
                <w:sz w:val="21"/>
              </w:rPr>
            </w:pPr>
            <w:r>
              <w:rPr>
                <w:sz w:val="21"/>
              </w:rPr>
              <w:t>（4） 发病 90 天后，经检查证实左心室功能降低，如左心室射血分数低于 50%。 </w:t>
            </w:r>
          </w:p>
        </w:tc>
      </w:tr>
      <w:tr>
        <w:trPr>
          <w:trHeight w:val="319" w:hRule="atLeast"/>
        </w:trPr>
        <w:tc>
          <w:tcPr>
            <w:tcW w:w="974" w:type="dxa"/>
          </w:tcPr>
          <w:p>
            <w:pPr>
              <w:pStyle w:val="TableParagraph"/>
              <w:spacing w:line="249" w:lineRule="exact"/>
              <w:ind w:left="106"/>
              <w:jc w:val="center"/>
              <w:rPr>
                <w:b/>
                <w:sz w:val="21"/>
              </w:rPr>
            </w:pPr>
            <w:r>
              <w:rPr>
                <w:b/>
                <w:w w:val="99"/>
                <w:sz w:val="21"/>
              </w:rPr>
              <w:t> </w:t>
            </w:r>
          </w:p>
        </w:tc>
        <w:tc>
          <w:tcPr>
            <w:tcW w:w="1771" w:type="dxa"/>
          </w:tcPr>
          <w:p>
            <w:pPr>
              <w:pStyle w:val="TableParagraph"/>
              <w:spacing w:line="273" w:lineRule="exact"/>
              <w:ind w:left="108"/>
              <w:rPr>
                <w:sz w:val="21"/>
              </w:rPr>
            </w:pPr>
            <w:r>
              <w:rPr>
                <w:w w:val="100"/>
                <w:sz w:val="21"/>
              </w:rPr>
              <w:t> </w:t>
            </w:r>
          </w:p>
        </w:tc>
        <w:tc>
          <w:tcPr>
            <w:tcW w:w="7859" w:type="dxa"/>
          </w:tcPr>
          <w:p>
            <w:pPr>
              <w:pStyle w:val="TableParagraph"/>
              <w:spacing w:line="273" w:lineRule="exact"/>
              <w:ind w:left="77"/>
              <w:rPr>
                <w:sz w:val="21"/>
              </w:rPr>
            </w:pPr>
            <w:r>
              <w:rPr>
                <w:w w:val="100"/>
                <w:sz w:val="21"/>
              </w:rPr>
              <w:t> </w:t>
            </w:r>
          </w:p>
        </w:tc>
      </w:tr>
      <w:tr>
        <w:trPr>
          <w:trHeight w:val="2216" w:hRule="atLeast"/>
        </w:trPr>
        <w:tc>
          <w:tcPr>
            <w:tcW w:w="974" w:type="dxa"/>
          </w:tcPr>
          <w:p>
            <w:pPr>
              <w:pStyle w:val="TableParagraph"/>
              <w:spacing w:line="249" w:lineRule="exact"/>
              <w:ind w:left="106"/>
              <w:jc w:val="center"/>
              <w:rPr>
                <w:b/>
                <w:sz w:val="21"/>
              </w:rPr>
            </w:pPr>
            <w:r>
              <w:rPr>
                <w:b/>
                <w:w w:val="99"/>
                <w:sz w:val="21"/>
              </w:rPr>
              <w:t> </w:t>
            </w:r>
          </w:p>
        </w:tc>
        <w:tc>
          <w:tcPr>
            <w:tcW w:w="1771" w:type="dxa"/>
          </w:tcPr>
          <w:p>
            <w:pPr>
              <w:pStyle w:val="TableParagraph"/>
              <w:spacing w:line="280" w:lineRule="auto"/>
              <w:ind w:left="108" w:right="292"/>
              <w:rPr>
                <w:sz w:val="21"/>
              </w:rPr>
            </w:pPr>
            <w:r>
              <w:rPr>
                <w:sz w:val="21"/>
              </w:rPr>
              <w:t>3. 脑中风后遗症 </w:t>
            </w:r>
          </w:p>
        </w:tc>
        <w:tc>
          <w:tcPr>
            <w:tcW w:w="7859" w:type="dxa"/>
          </w:tcPr>
          <w:p>
            <w:pPr>
              <w:pStyle w:val="TableParagraph"/>
              <w:spacing w:line="249" w:lineRule="exact"/>
              <w:ind w:left="77"/>
              <w:rPr>
                <w:sz w:val="21"/>
              </w:rPr>
            </w:pPr>
            <w:r>
              <w:rPr>
                <w:sz w:val="21"/>
              </w:rPr>
              <w:t>指因脑血管的突发病变引起脑血管出血、栓塞或梗塞，并导致神经系统永久性的</w:t>
            </w:r>
          </w:p>
          <w:p>
            <w:pPr>
              <w:pStyle w:val="TableParagraph"/>
              <w:spacing w:line="273" w:lineRule="auto" w:before="37"/>
              <w:ind w:left="77" w:right="413"/>
              <w:rPr>
                <w:sz w:val="21"/>
              </w:rPr>
            </w:pPr>
            <w:r>
              <w:rPr>
                <w:spacing w:val="-9"/>
                <w:sz w:val="21"/>
              </w:rPr>
              <w:t>功能障碍。神经系统永久性的功能障碍，指疾病确诊</w:t>
            </w:r>
            <w:r>
              <w:rPr>
                <w:sz w:val="21"/>
              </w:rPr>
              <w:t>180</w:t>
            </w:r>
            <w:r>
              <w:rPr>
                <w:spacing w:val="-7"/>
                <w:sz w:val="21"/>
              </w:rPr>
              <w:t>天后，仍遗留下列一种或</w:t>
            </w:r>
            <w:r>
              <w:rPr>
                <w:spacing w:val="-5"/>
                <w:sz w:val="21"/>
              </w:rPr>
              <w:t>一种以上障碍： </w:t>
            </w:r>
            <w:r>
              <w:rPr>
                <w:sz w:val="21"/>
              </w:rPr>
              <w:t> </w:t>
            </w:r>
          </w:p>
          <w:p>
            <w:pPr>
              <w:pStyle w:val="TableParagraph"/>
              <w:spacing w:before="31"/>
              <w:ind w:left="77"/>
              <w:rPr>
                <w:sz w:val="21"/>
              </w:rPr>
            </w:pPr>
            <w:r>
              <w:rPr>
                <w:sz w:val="21"/>
              </w:rPr>
              <w:t>（1） 一肢或一肢以上</w:t>
            </w:r>
            <w:r>
              <w:rPr>
                <w:b/>
                <w:sz w:val="21"/>
              </w:rPr>
              <w:t>肢体机能完全丧失</w:t>
            </w:r>
            <w:r>
              <w:rPr>
                <w:sz w:val="21"/>
              </w:rPr>
              <w:t>；</w:t>
            </w:r>
          </w:p>
          <w:p>
            <w:pPr>
              <w:pStyle w:val="TableParagraph"/>
              <w:spacing w:before="46"/>
              <w:ind w:left="77"/>
              <w:rPr>
                <w:sz w:val="21"/>
              </w:rPr>
            </w:pPr>
            <w:r>
              <w:rPr>
                <w:sz w:val="21"/>
              </w:rPr>
              <w:t>（2）</w:t>
            </w:r>
            <w:r>
              <w:rPr>
                <w:spacing w:val="-81"/>
                <w:sz w:val="21"/>
              </w:rPr>
              <w:t> </w:t>
            </w:r>
            <w:r>
              <w:rPr>
                <w:b/>
                <w:spacing w:val="-2"/>
                <w:sz w:val="21"/>
              </w:rPr>
              <w:t>语言能力或咀嚼吞咽能力完全丧失</w:t>
            </w:r>
            <w:r>
              <w:rPr>
                <w:sz w:val="21"/>
              </w:rPr>
              <w:t>；</w:t>
            </w:r>
          </w:p>
          <w:p>
            <w:pPr>
              <w:pStyle w:val="TableParagraph"/>
              <w:spacing w:line="320" w:lineRule="atLeast"/>
              <w:ind w:left="617" w:right="423" w:hanging="541"/>
              <w:rPr>
                <w:sz w:val="21"/>
              </w:rPr>
            </w:pPr>
            <w:r>
              <w:rPr>
                <w:sz w:val="21"/>
              </w:rPr>
              <w:t>（3） 自主生活能力完全丧失，无法独立完成</w:t>
            </w:r>
            <w:r>
              <w:rPr>
                <w:b/>
                <w:sz w:val="21"/>
              </w:rPr>
              <w:t>六项基本日常生活活动</w:t>
            </w:r>
            <w:r>
              <w:rPr>
                <w:sz w:val="21"/>
              </w:rPr>
              <w:t>中的三项或三项以上。 </w:t>
            </w:r>
          </w:p>
        </w:tc>
      </w:tr>
      <w:tr>
        <w:trPr>
          <w:trHeight w:val="320" w:hRule="atLeast"/>
        </w:trPr>
        <w:tc>
          <w:tcPr>
            <w:tcW w:w="974" w:type="dxa"/>
          </w:tcPr>
          <w:p>
            <w:pPr>
              <w:pStyle w:val="TableParagraph"/>
              <w:spacing w:line="250" w:lineRule="exact"/>
              <w:ind w:left="106"/>
              <w:jc w:val="center"/>
              <w:rPr>
                <w:b/>
                <w:sz w:val="21"/>
              </w:rPr>
            </w:pPr>
            <w:r>
              <w:rPr>
                <w:b/>
                <w:w w:val="99"/>
                <w:sz w:val="21"/>
              </w:rPr>
              <w:t> </w:t>
            </w:r>
          </w:p>
        </w:tc>
        <w:tc>
          <w:tcPr>
            <w:tcW w:w="1771" w:type="dxa"/>
          </w:tcPr>
          <w:p>
            <w:pPr>
              <w:pStyle w:val="TableParagraph"/>
              <w:spacing w:line="274" w:lineRule="exact"/>
              <w:ind w:left="108"/>
              <w:rPr>
                <w:sz w:val="21"/>
              </w:rPr>
            </w:pPr>
            <w:r>
              <w:rPr>
                <w:w w:val="100"/>
                <w:sz w:val="21"/>
              </w:rPr>
              <w:t> </w:t>
            </w:r>
          </w:p>
        </w:tc>
        <w:tc>
          <w:tcPr>
            <w:tcW w:w="7859" w:type="dxa"/>
          </w:tcPr>
          <w:p>
            <w:pPr>
              <w:pStyle w:val="TableParagraph"/>
              <w:spacing w:line="274" w:lineRule="exact"/>
              <w:ind w:left="77"/>
              <w:rPr>
                <w:sz w:val="21"/>
              </w:rPr>
            </w:pPr>
            <w:r>
              <w:rPr>
                <w:w w:val="100"/>
                <w:sz w:val="21"/>
              </w:rPr>
              <w:t> </w:t>
            </w:r>
          </w:p>
        </w:tc>
      </w:tr>
      <w:tr>
        <w:trPr>
          <w:trHeight w:val="277" w:hRule="atLeast"/>
        </w:trPr>
        <w:tc>
          <w:tcPr>
            <w:tcW w:w="974" w:type="dxa"/>
          </w:tcPr>
          <w:p>
            <w:pPr>
              <w:pStyle w:val="TableParagraph"/>
              <w:spacing w:line="249" w:lineRule="exact"/>
              <w:ind w:left="106"/>
              <w:jc w:val="center"/>
              <w:rPr>
                <w:b/>
                <w:sz w:val="21"/>
              </w:rPr>
            </w:pPr>
            <w:r>
              <w:rPr>
                <w:b/>
                <w:w w:val="99"/>
                <w:sz w:val="21"/>
              </w:rPr>
              <w:t> </w:t>
            </w:r>
          </w:p>
        </w:tc>
        <w:tc>
          <w:tcPr>
            <w:tcW w:w="1771" w:type="dxa"/>
          </w:tcPr>
          <w:p>
            <w:pPr>
              <w:pStyle w:val="TableParagraph"/>
              <w:spacing w:line="257" w:lineRule="exact"/>
              <w:ind w:left="108"/>
              <w:rPr>
                <w:sz w:val="21"/>
              </w:rPr>
            </w:pPr>
            <w:r>
              <w:rPr>
                <w:sz w:val="21"/>
              </w:rPr>
              <w:t>4. 重大器官移</w:t>
            </w:r>
          </w:p>
        </w:tc>
        <w:tc>
          <w:tcPr>
            <w:tcW w:w="7859" w:type="dxa"/>
          </w:tcPr>
          <w:p>
            <w:pPr>
              <w:pStyle w:val="TableParagraph"/>
              <w:spacing w:line="249" w:lineRule="exact"/>
              <w:ind w:left="77"/>
              <w:rPr>
                <w:sz w:val="21"/>
              </w:rPr>
            </w:pPr>
            <w:r>
              <w:rPr>
                <w:sz w:val="21"/>
              </w:rPr>
              <w:t>重大器官移植术，指因相应器官功能衰竭，已经实施了肾脏、肝脏、心脏或肺脏</w:t>
            </w:r>
          </w:p>
        </w:tc>
      </w:tr>
    </w:tbl>
    <w:p>
      <w:pPr>
        <w:spacing w:after="0" w:line="249" w:lineRule="exact"/>
        <w:rPr>
          <w:sz w:val="21"/>
        </w:rPr>
        <w:sectPr>
          <w:pgSz w:w="11910" w:h="16840"/>
          <w:pgMar w:header="0" w:footer="380" w:top="780" w:bottom="56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
        <w:gridCol w:w="1903"/>
        <w:gridCol w:w="7862"/>
      </w:tblGrid>
      <w:tr>
        <w:trPr>
          <w:trHeight w:val="1280" w:hRule="atLeast"/>
        </w:trPr>
        <w:tc>
          <w:tcPr>
            <w:tcW w:w="758" w:type="dxa"/>
            <w:tcBorders>
              <w:top w:val="single" w:sz="6" w:space="0" w:color="000000"/>
            </w:tcBorders>
          </w:tcPr>
          <w:p>
            <w:pPr>
              <w:pStyle w:val="TableParagraph"/>
              <w:ind w:left="0"/>
              <w:rPr>
                <w:rFonts w:ascii="Times New Roman"/>
                <w:sz w:val="20"/>
              </w:rPr>
            </w:pPr>
          </w:p>
        </w:tc>
        <w:tc>
          <w:tcPr>
            <w:tcW w:w="1903" w:type="dxa"/>
            <w:tcBorders>
              <w:top w:val="single" w:sz="6" w:space="0" w:color="000000"/>
            </w:tcBorders>
          </w:tcPr>
          <w:p>
            <w:pPr>
              <w:pStyle w:val="TableParagraph"/>
              <w:spacing w:line="278" w:lineRule="auto" w:before="7"/>
              <w:ind w:left="245" w:right="182"/>
              <w:rPr>
                <w:sz w:val="21"/>
              </w:rPr>
            </w:pPr>
            <w:r>
              <w:rPr>
                <w:sz w:val="21"/>
              </w:rPr>
              <w:t>植术或造血干细胞移植术 </w:t>
            </w:r>
          </w:p>
        </w:tc>
        <w:tc>
          <w:tcPr>
            <w:tcW w:w="7862" w:type="dxa"/>
            <w:tcBorders>
              <w:top w:val="single" w:sz="6" w:space="0" w:color="000000"/>
            </w:tcBorders>
          </w:tcPr>
          <w:p>
            <w:pPr>
              <w:pStyle w:val="TableParagraph"/>
              <w:spacing w:line="258" w:lineRule="exact"/>
              <w:rPr>
                <w:sz w:val="21"/>
              </w:rPr>
            </w:pPr>
            <w:r>
              <w:rPr>
                <w:sz w:val="21"/>
              </w:rPr>
              <w:t>的异体移植手术。  </w:t>
            </w:r>
          </w:p>
          <w:p>
            <w:pPr>
              <w:pStyle w:val="TableParagraph"/>
              <w:spacing w:line="278" w:lineRule="auto" w:before="61"/>
              <w:ind w:right="420"/>
              <w:rPr>
                <w:sz w:val="21"/>
              </w:rPr>
            </w:pPr>
            <w:r>
              <w:rPr>
                <w:sz w:val="21"/>
              </w:rPr>
              <w:t>造血干细胞移植术，指因造血功能损害或造血系统恶性肿瘤，已经实施了造血干细胞（包括骨髓造血干细胞、外周血造血干细胞和脐血造血干细胞）的异体移植</w:t>
            </w:r>
          </w:p>
          <w:p>
            <w:pPr>
              <w:pStyle w:val="TableParagraph"/>
              <w:spacing w:before="13"/>
              <w:rPr>
                <w:sz w:val="21"/>
              </w:rPr>
            </w:pPr>
            <w:r>
              <w:rPr>
                <w:sz w:val="21"/>
              </w:rPr>
              <w:t>手术。 </w:t>
            </w:r>
          </w:p>
        </w:tc>
      </w:tr>
      <w:tr>
        <w:trPr>
          <w:trHeight w:val="319" w:hRule="atLeast"/>
        </w:trPr>
        <w:tc>
          <w:tcPr>
            <w:tcW w:w="758" w:type="dxa"/>
          </w:tcPr>
          <w:p>
            <w:pPr>
              <w:pStyle w:val="TableParagraph"/>
              <w:spacing w:line="249" w:lineRule="exact"/>
              <w:ind w:left="0" w:right="242"/>
              <w:jc w:val="right"/>
              <w:rPr>
                <w:b/>
                <w:sz w:val="21"/>
              </w:rPr>
            </w:pPr>
            <w:r>
              <w:rPr>
                <w:b/>
                <w:w w:val="99"/>
                <w:sz w:val="21"/>
              </w:rPr>
              <w:t> </w:t>
            </w:r>
          </w:p>
        </w:tc>
        <w:tc>
          <w:tcPr>
            <w:tcW w:w="1903" w:type="dxa"/>
          </w:tcPr>
          <w:p>
            <w:pPr>
              <w:pStyle w:val="TableParagraph"/>
              <w:spacing w:line="273" w:lineRule="exact"/>
              <w:ind w:left="245"/>
              <w:rPr>
                <w:sz w:val="21"/>
              </w:rPr>
            </w:pPr>
            <w:r>
              <w:rPr>
                <w:w w:val="100"/>
                <w:sz w:val="21"/>
              </w:rPr>
              <w:t> </w:t>
            </w:r>
          </w:p>
        </w:tc>
        <w:tc>
          <w:tcPr>
            <w:tcW w:w="7862" w:type="dxa"/>
          </w:tcPr>
          <w:p>
            <w:pPr>
              <w:pStyle w:val="TableParagraph"/>
              <w:spacing w:line="273" w:lineRule="exact"/>
              <w:rPr>
                <w:sz w:val="21"/>
              </w:rPr>
            </w:pPr>
            <w:r>
              <w:rPr>
                <w:w w:val="100"/>
                <w:sz w:val="21"/>
              </w:rPr>
              <w:t> </w:t>
            </w:r>
          </w:p>
        </w:tc>
      </w:tr>
      <w:tr>
        <w:trPr>
          <w:trHeight w:val="1239" w:hRule="atLeast"/>
        </w:trPr>
        <w:tc>
          <w:tcPr>
            <w:tcW w:w="758" w:type="dxa"/>
          </w:tcPr>
          <w:p>
            <w:pPr>
              <w:pStyle w:val="TableParagraph"/>
              <w:spacing w:line="249" w:lineRule="exact"/>
              <w:ind w:left="0" w:right="242"/>
              <w:jc w:val="right"/>
              <w:rPr>
                <w:b/>
                <w:sz w:val="21"/>
              </w:rPr>
            </w:pPr>
            <w:r>
              <w:rPr>
                <w:b/>
                <w:w w:val="99"/>
                <w:sz w:val="21"/>
              </w:rPr>
              <w:t> </w:t>
            </w:r>
          </w:p>
        </w:tc>
        <w:tc>
          <w:tcPr>
            <w:tcW w:w="1903" w:type="dxa"/>
          </w:tcPr>
          <w:p>
            <w:pPr>
              <w:pStyle w:val="TableParagraph"/>
              <w:spacing w:line="249" w:lineRule="exact"/>
              <w:ind w:left="245"/>
              <w:rPr>
                <w:sz w:val="21"/>
              </w:rPr>
            </w:pPr>
            <w:r>
              <w:rPr>
                <w:sz w:val="21"/>
              </w:rPr>
              <w:t>5. 冠状动脉搭</w:t>
            </w:r>
          </w:p>
          <w:p>
            <w:pPr>
              <w:pStyle w:val="TableParagraph"/>
              <w:spacing w:line="273" w:lineRule="auto" w:before="37"/>
              <w:ind w:left="245" w:right="122"/>
              <w:jc w:val="both"/>
              <w:rPr>
                <w:sz w:val="21"/>
              </w:rPr>
            </w:pPr>
            <w:r>
              <w:rPr>
                <w:sz w:val="21"/>
              </w:rPr>
              <w:t>桥术（或称冠状动脉旁路移植术） </w:t>
            </w:r>
          </w:p>
        </w:tc>
        <w:tc>
          <w:tcPr>
            <w:tcW w:w="7862" w:type="dxa"/>
          </w:tcPr>
          <w:p>
            <w:pPr>
              <w:pStyle w:val="TableParagraph"/>
              <w:spacing w:line="249" w:lineRule="exact"/>
              <w:rPr>
                <w:sz w:val="21"/>
              </w:rPr>
            </w:pPr>
            <w:r>
              <w:rPr>
                <w:sz w:val="21"/>
              </w:rPr>
              <w:t>指为治疗严重的冠心病，实际实施了开胸进行的冠状动脉血管旁路移植的手术。 </w:t>
            </w:r>
          </w:p>
          <w:p>
            <w:pPr>
              <w:pStyle w:val="TableParagraph"/>
              <w:spacing w:line="237" w:lineRule="auto" w:before="12"/>
              <w:ind w:right="336"/>
              <w:rPr>
                <w:rFonts w:ascii="黑体" w:eastAsia="黑体" w:hint="eastAsia"/>
                <w:sz w:val="24"/>
              </w:rPr>
            </w:pPr>
            <w:r>
              <w:rPr>
                <w:rFonts w:ascii="黑体" w:eastAsia="黑体" w:hint="eastAsia"/>
                <w:sz w:val="24"/>
              </w:rPr>
              <w:t>冠状动脉支架植入术、心导管球囊扩张术、激光射频技术及其它非开胸的介入手术、腔镜手术不在保障范围内。</w:t>
            </w:r>
          </w:p>
        </w:tc>
      </w:tr>
      <w:tr>
        <w:trPr>
          <w:trHeight w:val="311" w:hRule="atLeast"/>
        </w:trPr>
        <w:tc>
          <w:tcPr>
            <w:tcW w:w="758" w:type="dxa"/>
          </w:tcPr>
          <w:p>
            <w:pPr>
              <w:pStyle w:val="TableParagraph"/>
              <w:spacing w:line="258" w:lineRule="exact"/>
              <w:ind w:left="0" w:right="242"/>
              <w:jc w:val="right"/>
              <w:rPr>
                <w:b/>
                <w:sz w:val="21"/>
              </w:rPr>
            </w:pPr>
            <w:r>
              <w:rPr>
                <w:b/>
                <w:w w:val="99"/>
                <w:sz w:val="21"/>
              </w:rPr>
              <w:t> </w:t>
            </w:r>
          </w:p>
        </w:tc>
        <w:tc>
          <w:tcPr>
            <w:tcW w:w="1903" w:type="dxa"/>
          </w:tcPr>
          <w:p>
            <w:pPr>
              <w:pStyle w:val="TableParagraph"/>
              <w:spacing w:line="258" w:lineRule="exact"/>
              <w:ind w:left="245"/>
              <w:rPr>
                <w:sz w:val="21"/>
              </w:rPr>
            </w:pPr>
            <w:r>
              <w:rPr>
                <w:w w:val="100"/>
                <w:sz w:val="21"/>
              </w:rPr>
              <w:t> </w:t>
            </w:r>
          </w:p>
        </w:tc>
        <w:tc>
          <w:tcPr>
            <w:tcW w:w="7862" w:type="dxa"/>
          </w:tcPr>
          <w:p>
            <w:pPr>
              <w:pStyle w:val="TableParagraph"/>
              <w:spacing w:line="258" w:lineRule="exact"/>
              <w:rPr>
                <w:sz w:val="21"/>
              </w:rPr>
            </w:pPr>
            <w:r>
              <w:rPr>
                <w:w w:val="100"/>
                <w:sz w:val="21"/>
              </w:rPr>
              <w:t> </w:t>
            </w:r>
          </w:p>
        </w:tc>
      </w:tr>
      <w:tr>
        <w:trPr>
          <w:trHeight w:val="1248" w:hRule="atLeast"/>
        </w:trPr>
        <w:tc>
          <w:tcPr>
            <w:tcW w:w="758" w:type="dxa"/>
          </w:tcPr>
          <w:p>
            <w:pPr>
              <w:pStyle w:val="TableParagraph"/>
              <w:spacing w:line="258" w:lineRule="exact"/>
              <w:ind w:left="0" w:right="242"/>
              <w:jc w:val="right"/>
              <w:rPr>
                <w:b/>
                <w:sz w:val="21"/>
              </w:rPr>
            </w:pPr>
            <w:r>
              <w:rPr>
                <w:b/>
                <w:w w:val="99"/>
                <w:sz w:val="21"/>
              </w:rPr>
              <w:t> </w:t>
            </w:r>
          </w:p>
        </w:tc>
        <w:tc>
          <w:tcPr>
            <w:tcW w:w="1903" w:type="dxa"/>
          </w:tcPr>
          <w:p>
            <w:pPr>
              <w:pStyle w:val="TableParagraph"/>
              <w:spacing w:line="258" w:lineRule="exact"/>
              <w:ind w:left="245"/>
              <w:rPr>
                <w:sz w:val="21"/>
              </w:rPr>
            </w:pPr>
            <w:r>
              <w:rPr>
                <w:sz w:val="21"/>
              </w:rPr>
              <w:t>6. 终末期肾病</w:t>
            </w:r>
          </w:p>
          <w:p>
            <w:pPr>
              <w:pStyle w:val="TableParagraph"/>
              <w:spacing w:line="273" w:lineRule="auto" w:before="37"/>
              <w:ind w:left="245" w:right="122"/>
              <w:jc w:val="both"/>
              <w:rPr>
                <w:sz w:val="21"/>
              </w:rPr>
            </w:pPr>
            <w:r>
              <w:rPr>
                <w:sz w:val="21"/>
              </w:rPr>
              <w:t>（或称慢性肾功能衰竭尿毒症期） </w:t>
            </w:r>
          </w:p>
        </w:tc>
        <w:tc>
          <w:tcPr>
            <w:tcW w:w="7862" w:type="dxa"/>
          </w:tcPr>
          <w:p>
            <w:pPr>
              <w:pStyle w:val="TableParagraph"/>
              <w:spacing w:line="257" w:lineRule="exact"/>
              <w:rPr>
                <w:sz w:val="21"/>
              </w:rPr>
            </w:pPr>
            <w:r>
              <w:rPr>
                <w:sz w:val="21"/>
              </w:rPr>
              <w:t>指双肾功能慢性不可逆性衰竭，达到尿毒症期，经诊断后已经进行了至少90天的</w:t>
            </w:r>
          </w:p>
          <w:p>
            <w:pPr>
              <w:pStyle w:val="TableParagraph"/>
              <w:spacing w:before="37"/>
              <w:rPr>
                <w:sz w:val="21"/>
              </w:rPr>
            </w:pPr>
            <w:r>
              <w:rPr>
                <w:sz w:val="21"/>
              </w:rPr>
              <w:t>规律性透析治疗或实施了肾脏移植手术。 </w:t>
            </w:r>
          </w:p>
        </w:tc>
      </w:tr>
      <w:tr>
        <w:trPr>
          <w:trHeight w:val="312" w:hRule="atLeast"/>
        </w:trPr>
        <w:tc>
          <w:tcPr>
            <w:tcW w:w="758" w:type="dxa"/>
          </w:tcPr>
          <w:p>
            <w:pPr>
              <w:pStyle w:val="TableParagraph"/>
              <w:spacing w:line="258" w:lineRule="exact"/>
              <w:ind w:left="0" w:right="242"/>
              <w:jc w:val="right"/>
              <w:rPr>
                <w:b/>
                <w:sz w:val="21"/>
              </w:rPr>
            </w:pPr>
            <w:r>
              <w:rPr>
                <w:b/>
                <w:w w:val="99"/>
                <w:sz w:val="21"/>
              </w:rPr>
              <w:t> </w:t>
            </w:r>
          </w:p>
        </w:tc>
        <w:tc>
          <w:tcPr>
            <w:tcW w:w="1903" w:type="dxa"/>
          </w:tcPr>
          <w:p>
            <w:pPr>
              <w:pStyle w:val="TableParagraph"/>
              <w:spacing w:line="258" w:lineRule="exact"/>
              <w:ind w:left="245"/>
              <w:rPr>
                <w:sz w:val="21"/>
              </w:rPr>
            </w:pPr>
            <w:r>
              <w:rPr>
                <w:w w:val="100"/>
                <w:sz w:val="21"/>
              </w:rPr>
              <w:t> </w:t>
            </w:r>
          </w:p>
        </w:tc>
        <w:tc>
          <w:tcPr>
            <w:tcW w:w="7862" w:type="dxa"/>
          </w:tcPr>
          <w:p>
            <w:pPr>
              <w:pStyle w:val="TableParagraph"/>
              <w:spacing w:line="258" w:lineRule="exact"/>
              <w:rPr>
                <w:sz w:val="21"/>
              </w:rPr>
            </w:pPr>
            <w:r>
              <w:rPr>
                <w:w w:val="100"/>
                <w:sz w:val="21"/>
              </w:rPr>
              <w:t> </w:t>
            </w:r>
          </w:p>
        </w:tc>
      </w:tr>
      <w:tr>
        <w:trPr>
          <w:trHeight w:val="623" w:hRule="atLeast"/>
        </w:trPr>
        <w:tc>
          <w:tcPr>
            <w:tcW w:w="758" w:type="dxa"/>
          </w:tcPr>
          <w:p>
            <w:pPr>
              <w:pStyle w:val="TableParagraph"/>
              <w:spacing w:line="257" w:lineRule="exact"/>
              <w:ind w:left="0" w:right="242"/>
              <w:jc w:val="right"/>
              <w:rPr>
                <w:b/>
                <w:sz w:val="21"/>
              </w:rPr>
            </w:pPr>
            <w:r>
              <w:rPr>
                <w:b/>
                <w:w w:val="99"/>
                <w:sz w:val="21"/>
              </w:rPr>
              <w:t> </w:t>
            </w:r>
          </w:p>
        </w:tc>
        <w:tc>
          <w:tcPr>
            <w:tcW w:w="1903" w:type="dxa"/>
          </w:tcPr>
          <w:p>
            <w:pPr>
              <w:pStyle w:val="TableParagraph"/>
              <w:spacing w:line="257" w:lineRule="exact"/>
              <w:ind w:left="245"/>
              <w:rPr>
                <w:sz w:val="21"/>
              </w:rPr>
            </w:pPr>
            <w:r>
              <w:rPr>
                <w:sz w:val="21"/>
              </w:rPr>
              <w:t>7. 多个肢体缺</w:t>
            </w:r>
          </w:p>
          <w:p>
            <w:pPr>
              <w:pStyle w:val="TableParagraph"/>
              <w:spacing w:before="37"/>
              <w:ind w:left="245"/>
              <w:rPr>
                <w:sz w:val="21"/>
              </w:rPr>
            </w:pPr>
            <w:r>
              <w:rPr>
                <w:sz w:val="21"/>
              </w:rPr>
              <w:t>失 </w:t>
            </w:r>
          </w:p>
        </w:tc>
        <w:tc>
          <w:tcPr>
            <w:tcW w:w="7862" w:type="dxa"/>
          </w:tcPr>
          <w:p>
            <w:pPr>
              <w:pStyle w:val="TableParagraph"/>
              <w:spacing w:line="257" w:lineRule="exact"/>
              <w:rPr>
                <w:sz w:val="21"/>
              </w:rPr>
            </w:pPr>
            <w:r>
              <w:rPr>
                <w:sz w:val="21"/>
              </w:rPr>
              <w:t>指因疾病或意外伤害导致两个或两个以上肢体自腕关节或踝关节近端（靠近躯干</w:t>
            </w:r>
          </w:p>
          <w:p>
            <w:pPr>
              <w:pStyle w:val="TableParagraph"/>
              <w:spacing w:before="37"/>
              <w:rPr>
                <w:sz w:val="21"/>
              </w:rPr>
            </w:pPr>
            <w:r>
              <w:rPr>
                <w:sz w:val="21"/>
              </w:rPr>
              <w:t>端）以上完全性断离。 </w:t>
            </w:r>
          </w:p>
        </w:tc>
      </w:tr>
      <w:tr>
        <w:trPr>
          <w:trHeight w:val="312" w:hRule="atLeast"/>
        </w:trPr>
        <w:tc>
          <w:tcPr>
            <w:tcW w:w="758" w:type="dxa"/>
          </w:tcPr>
          <w:p>
            <w:pPr>
              <w:pStyle w:val="TableParagraph"/>
              <w:spacing w:line="257" w:lineRule="exact"/>
              <w:ind w:left="0" w:right="242"/>
              <w:jc w:val="right"/>
              <w:rPr>
                <w:b/>
                <w:sz w:val="21"/>
              </w:rPr>
            </w:pPr>
            <w:r>
              <w:rPr>
                <w:b/>
                <w:w w:val="99"/>
                <w:sz w:val="21"/>
              </w:rPr>
              <w:t> </w:t>
            </w:r>
          </w:p>
        </w:tc>
        <w:tc>
          <w:tcPr>
            <w:tcW w:w="1903" w:type="dxa"/>
          </w:tcPr>
          <w:p>
            <w:pPr>
              <w:pStyle w:val="TableParagraph"/>
              <w:spacing w:line="257" w:lineRule="exact"/>
              <w:ind w:left="245"/>
              <w:rPr>
                <w:sz w:val="21"/>
              </w:rPr>
            </w:pPr>
            <w:r>
              <w:rPr>
                <w:w w:val="100"/>
                <w:sz w:val="21"/>
              </w:rPr>
              <w:t> </w:t>
            </w:r>
          </w:p>
        </w:tc>
        <w:tc>
          <w:tcPr>
            <w:tcW w:w="7862" w:type="dxa"/>
          </w:tcPr>
          <w:p>
            <w:pPr>
              <w:pStyle w:val="TableParagraph"/>
              <w:spacing w:line="257" w:lineRule="exact"/>
              <w:rPr>
                <w:sz w:val="21"/>
              </w:rPr>
            </w:pPr>
            <w:r>
              <w:rPr>
                <w:w w:val="100"/>
                <w:sz w:val="21"/>
              </w:rPr>
              <w:t> </w:t>
            </w:r>
          </w:p>
        </w:tc>
      </w:tr>
      <w:tr>
        <w:trPr>
          <w:trHeight w:val="1871" w:hRule="atLeast"/>
        </w:trPr>
        <w:tc>
          <w:tcPr>
            <w:tcW w:w="758" w:type="dxa"/>
          </w:tcPr>
          <w:p>
            <w:pPr>
              <w:pStyle w:val="TableParagraph"/>
              <w:spacing w:line="257" w:lineRule="exact"/>
              <w:ind w:left="0" w:right="242"/>
              <w:jc w:val="right"/>
              <w:rPr>
                <w:b/>
                <w:sz w:val="21"/>
              </w:rPr>
            </w:pPr>
            <w:r>
              <w:rPr>
                <w:b/>
                <w:w w:val="99"/>
                <w:sz w:val="21"/>
              </w:rPr>
              <w:t> </w:t>
            </w:r>
          </w:p>
        </w:tc>
        <w:tc>
          <w:tcPr>
            <w:tcW w:w="1903" w:type="dxa"/>
          </w:tcPr>
          <w:p>
            <w:pPr>
              <w:pStyle w:val="TableParagraph"/>
              <w:spacing w:line="257" w:lineRule="exact"/>
              <w:ind w:left="245"/>
              <w:rPr>
                <w:sz w:val="21"/>
              </w:rPr>
            </w:pPr>
            <w:r>
              <w:rPr>
                <w:sz w:val="21"/>
              </w:rPr>
              <w:t>8. 急性或亚急</w:t>
            </w:r>
          </w:p>
          <w:p>
            <w:pPr>
              <w:pStyle w:val="TableParagraph"/>
              <w:spacing w:before="37"/>
              <w:ind w:left="245"/>
              <w:rPr>
                <w:sz w:val="21"/>
              </w:rPr>
            </w:pPr>
            <w:r>
              <w:rPr>
                <w:sz w:val="21"/>
              </w:rPr>
              <w:t>性重症肝炎 </w:t>
            </w:r>
          </w:p>
        </w:tc>
        <w:tc>
          <w:tcPr>
            <w:tcW w:w="7862" w:type="dxa"/>
          </w:tcPr>
          <w:p>
            <w:pPr>
              <w:pStyle w:val="TableParagraph"/>
              <w:spacing w:line="257" w:lineRule="exact"/>
              <w:rPr>
                <w:sz w:val="21"/>
              </w:rPr>
            </w:pPr>
            <w:r>
              <w:rPr>
                <w:sz w:val="21"/>
              </w:rPr>
              <w:t>指因肝炎病毒感染引起肝脏组织弥漫性坏死，导致急性肝功能衰竭，且经血清学</w:t>
            </w:r>
          </w:p>
          <w:p>
            <w:pPr>
              <w:pStyle w:val="TableParagraph"/>
              <w:spacing w:before="37"/>
              <w:rPr>
                <w:sz w:val="21"/>
              </w:rPr>
            </w:pPr>
            <w:r>
              <w:rPr>
                <w:sz w:val="21"/>
              </w:rPr>
              <w:t>或病毒学检查证实，并须满足下列全部条件：  </w:t>
            </w:r>
          </w:p>
          <w:p>
            <w:pPr>
              <w:pStyle w:val="TableParagraph"/>
              <w:spacing w:before="37"/>
              <w:rPr>
                <w:sz w:val="21"/>
              </w:rPr>
            </w:pPr>
            <w:r>
              <w:rPr>
                <w:sz w:val="21"/>
              </w:rPr>
              <w:t>（1） 重度黄疸或黄疸迅速加重；  </w:t>
            </w:r>
          </w:p>
          <w:p>
            <w:pPr>
              <w:pStyle w:val="TableParagraph"/>
              <w:spacing w:before="37"/>
              <w:rPr>
                <w:sz w:val="21"/>
              </w:rPr>
            </w:pPr>
            <w:r>
              <w:rPr>
                <w:sz w:val="21"/>
              </w:rPr>
              <w:t>（2） 肝性脑病；  </w:t>
            </w:r>
          </w:p>
          <w:p>
            <w:pPr>
              <w:pStyle w:val="TableParagraph"/>
              <w:spacing w:before="37"/>
              <w:rPr>
                <w:sz w:val="21"/>
              </w:rPr>
            </w:pPr>
            <w:r>
              <w:rPr>
                <w:sz w:val="21"/>
              </w:rPr>
              <w:t>（3）</w:t>
            </w:r>
            <w:r>
              <w:rPr>
                <w:spacing w:val="-62"/>
                <w:sz w:val="21"/>
              </w:rPr>
              <w:t> </w:t>
            </w:r>
            <w:r>
              <w:rPr>
                <w:sz w:val="21"/>
              </w:rPr>
              <w:t>B</w:t>
            </w:r>
            <w:r>
              <w:rPr>
                <w:spacing w:val="-4"/>
                <w:sz w:val="21"/>
              </w:rPr>
              <w:t>超或其它影像学检查显示肝脏体积急速萎缩；</w:t>
            </w:r>
            <w:r>
              <w:rPr>
                <w:spacing w:val="-3"/>
                <w:sz w:val="21"/>
              </w:rPr>
              <w:t> </w:t>
            </w:r>
            <w:r>
              <w:rPr>
                <w:sz w:val="21"/>
              </w:rPr>
              <w:t> </w:t>
            </w:r>
          </w:p>
          <w:p>
            <w:pPr>
              <w:pStyle w:val="TableParagraph"/>
              <w:spacing w:before="37"/>
              <w:rPr>
                <w:sz w:val="21"/>
              </w:rPr>
            </w:pPr>
            <w:r>
              <w:rPr>
                <w:sz w:val="21"/>
              </w:rPr>
              <w:t>（4） 肝功能指标进行性恶化。 </w:t>
            </w:r>
          </w:p>
        </w:tc>
      </w:tr>
      <w:tr>
        <w:trPr>
          <w:trHeight w:val="312" w:hRule="atLeast"/>
        </w:trPr>
        <w:tc>
          <w:tcPr>
            <w:tcW w:w="758" w:type="dxa"/>
          </w:tcPr>
          <w:p>
            <w:pPr>
              <w:pStyle w:val="TableParagraph"/>
              <w:spacing w:line="258" w:lineRule="exact"/>
              <w:ind w:left="0" w:right="242"/>
              <w:jc w:val="right"/>
              <w:rPr>
                <w:b/>
                <w:sz w:val="21"/>
              </w:rPr>
            </w:pPr>
            <w:r>
              <w:rPr>
                <w:b/>
                <w:w w:val="99"/>
                <w:sz w:val="21"/>
              </w:rPr>
              <w:t> </w:t>
            </w:r>
          </w:p>
        </w:tc>
        <w:tc>
          <w:tcPr>
            <w:tcW w:w="1903" w:type="dxa"/>
          </w:tcPr>
          <w:p>
            <w:pPr>
              <w:pStyle w:val="TableParagraph"/>
              <w:spacing w:line="258" w:lineRule="exact"/>
              <w:ind w:left="245"/>
              <w:rPr>
                <w:sz w:val="21"/>
              </w:rPr>
            </w:pPr>
            <w:r>
              <w:rPr>
                <w:w w:val="100"/>
                <w:sz w:val="21"/>
              </w:rPr>
              <w:t> </w:t>
            </w:r>
          </w:p>
        </w:tc>
        <w:tc>
          <w:tcPr>
            <w:tcW w:w="7862" w:type="dxa"/>
          </w:tcPr>
          <w:p>
            <w:pPr>
              <w:pStyle w:val="TableParagraph"/>
              <w:spacing w:line="258" w:lineRule="exact"/>
              <w:rPr>
                <w:sz w:val="21"/>
              </w:rPr>
            </w:pPr>
            <w:r>
              <w:rPr>
                <w:w w:val="100"/>
                <w:sz w:val="21"/>
              </w:rPr>
              <w:t> </w:t>
            </w:r>
          </w:p>
        </w:tc>
      </w:tr>
      <w:tr>
        <w:trPr>
          <w:trHeight w:val="2189" w:hRule="atLeast"/>
        </w:trPr>
        <w:tc>
          <w:tcPr>
            <w:tcW w:w="758" w:type="dxa"/>
          </w:tcPr>
          <w:p>
            <w:pPr>
              <w:pStyle w:val="TableParagraph"/>
              <w:spacing w:line="257" w:lineRule="exact"/>
              <w:ind w:left="0" w:right="242"/>
              <w:jc w:val="right"/>
              <w:rPr>
                <w:b/>
                <w:sz w:val="21"/>
              </w:rPr>
            </w:pPr>
            <w:r>
              <w:rPr>
                <w:b/>
                <w:w w:val="99"/>
                <w:sz w:val="21"/>
              </w:rPr>
              <w:t> </w:t>
            </w:r>
          </w:p>
        </w:tc>
        <w:tc>
          <w:tcPr>
            <w:tcW w:w="1903" w:type="dxa"/>
          </w:tcPr>
          <w:p>
            <w:pPr>
              <w:pStyle w:val="TableParagraph"/>
              <w:spacing w:line="257" w:lineRule="exact"/>
              <w:ind w:left="245"/>
              <w:rPr>
                <w:sz w:val="21"/>
              </w:rPr>
            </w:pPr>
            <w:r>
              <w:rPr>
                <w:sz w:val="21"/>
              </w:rPr>
              <w:t>9. 良性脑肿瘤 </w:t>
            </w:r>
          </w:p>
        </w:tc>
        <w:tc>
          <w:tcPr>
            <w:tcW w:w="7862" w:type="dxa"/>
          </w:tcPr>
          <w:p>
            <w:pPr>
              <w:pStyle w:val="TableParagraph"/>
              <w:spacing w:line="257" w:lineRule="exact"/>
              <w:rPr>
                <w:sz w:val="21"/>
              </w:rPr>
            </w:pPr>
            <w:r>
              <w:rPr>
                <w:sz w:val="21"/>
              </w:rPr>
              <w:t>指脑的良性肿瘤，已经引起颅内压增高，临床表现为视神经乳头水肿、精神症状、</w:t>
            </w:r>
          </w:p>
          <w:p>
            <w:pPr>
              <w:pStyle w:val="TableParagraph"/>
              <w:spacing w:before="37"/>
              <w:rPr>
                <w:sz w:val="21"/>
              </w:rPr>
            </w:pPr>
            <w:r>
              <w:rPr>
                <w:sz w:val="21"/>
              </w:rPr>
              <w:t>癫痫及运动感觉障碍等，并危及生命。须由头颅断层扫描（CT）、核磁共振检查</w:t>
            </w:r>
          </w:p>
          <w:p>
            <w:pPr>
              <w:pStyle w:val="TableParagraph"/>
              <w:spacing w:line="273" w:lineRule="auto" w:before="37"/>
              <w:ind w:right="414"/>
              <w:rPr>
                <w:sz w:val="21"/>
              </w:rPr>
            </w:pPr>
            <w:r>
              <w:rPr>
                <w:sz w:val="21"/>
              </w:rPr>
              <w:t>（MRI）或正电子发射断层扫描（PET）等影像学检查证实，并须满足下列至少一项条件：  </w:t>
            </w:r>
          </w:p>
          <w:p>
            <w:pPr>
              <w:pStyle w:val="TableParagraph"/>
              <w:spacing w:before="8"/>
              <w:rPr>
                <w:sz w:val="21"/>
              </w:rPr>
            </w:pPr>
            <w:r>
              <w:rPr>
                <w:sz w:val="21"/>
              </w:rPr>
              <w:t>（1） 实际实施了开颅进行的脑肿瘤完全切除或部分切除的手术；  </w:t>
            </w:r>
          </w:p>
          <w:p>
            <w:pPr>
              <w:pStyle w:val="TableParagraph"/>
              <w:spacing w:before="37"/>
              <w:rPr>
                <w:sz w:val="21"/>
              </w:rPr>
            </w:pPr>
            <w:r>
              <w:rPr>
                <w:sz w:val="21"/>
              </w:rPr>
              <w:t>（2） 实际实施了对脑肿瘤进行的放射治疗。  </w:t>
            </w:r>
          </w:p>
          <w:p>
            <w:pPr>
              <w:pStyle w:val="TableParagraph"/>
              <w:spacing w:before="9"/>
              <w:rPr>
                <w:rFonts w:ascii="黑体" w:eastAsia="黑体" w:hint="eastAsia"/>
                <w:sz w:val="24"/>
              </w:rPr>
            </w:pPr>
            <w:r>
              <w:rPr>
                <w:rFonts w:ascii="黑体" w:eastAsia="黑体" w:hint="eastAsia"/>
                <w:sz w:val="24"/>
              </w:rPr>
              <w:t>脑垂体瘤、脑囊肿、脑血管性疾病不在保障范围内。</w:t>
            </w:r>
          </w:p>
        </w:tc>
      </w:tr>
      <w:tr>
        <w:trPr>
          <w:trHeight w:val="306" w:hRule="atLeast"/>
        </w:trPr>
        <w:tc>
          <w:tcPr>
            <w:tcW w:w="758" w:type="dxa"/>
          </w:tcPr>
          <w:p>
            <w:pPr>
              <w:pStyle w:val="TableParagraph"/>
              <w:spacing w:line="252" w:lineRule="exact"/>
              <w:ind w:left="0" w:right="242"/>
              <w:jc w:val="right"/>
              <w:rPr>
                <w:b/>
                <w:sz w:val="21"/>
              </w:rPr>
            </w:pPr>
            <w:r>
              <w:rPr>
                <w:b/>
                <w:w w:val="99"/>
                <w:sz w:val="21"/>
              </w:rPr>
              <w:t> </w:t>
            </w:r>
          </w:p>
        </w:tc>
        <w:tc>
          <w:tcPr>
            <w:tcW w:w="1903" w:type="dxa"/>
          </w:tcPr>
          <w:p>
            <w:pPr>
              <w:pStyle w:val="TableParagraph"/>
              <w:spacing w:line="252" w:lineRule="exact"/>
              <w:ind w:left="245"/>
              <w:rPr>
                <w:sz w:val="21"/>
              </w:rPr>
            </w:pPr>
            <w:r>
              <w:rPr>
                <w:w w:val="100"/>
                <w:sz w:val="21"/>
              </w:rPr>
              <w:t> </w:t>
            </w:r>
          </w:p>
        </w:tc>
        <w:tc>
          <w:tcPr>
            <w:tcW w:w="7862" w:type="dxa"/>
          </w:tcPr>
          <w:p>
            <w:pPr>
              <w:pStyle w:val="TableParagraph"/>
              <w:spacing w:line="252" w:lineRule="exact"/>
              <w:rPr>
                <w:sz w:val="21"/>
              </w:rPr>
            </w:pPr>
            <w:r>
              <w:rPr>
                <w:w w:val="100"/>
                <w:sz w:val="21"/>
              </w:rPr>
              <w:t> </w:t>
            </w:r>
          </w:p>
        </w:tc>
      </w:tr>
      <w:tr>
        <w:trPr>
          <w:trHeight w:val="1877" w:hRule="atLeast"/>
        </w:trPr>
        <w:tc>
          <w:tcPr>
            <w:tcW w:w="758" w:type="dxa"/>
          </w:tcPr>
          <w:p>
            <w:pPr>
              <w:pStyle w:val="TableParagraph"/>
              <w:spacing w:line="257" w:lineRule="exact"/>
              <w:ind w:left="0" w:right="242"/>
              <w:jc w:val="right"/>
              <w:rPr>
                <w:b/>
                <w:sz w:val="21"/>
              </w:rPr>
            </w:pPr>
            <w:r>
              <w:rPr>
                <w:b/>
                <w:w w:val="99"/>
                <w:sz w:val="21"/>
              </w:rPr>
              <w:t> </w:t>
            </w:r>
          </w:p>
        </w:tc>
        <w:tc>
          <w:tcPr>
            <w:tcW w:w="1903" w:type="dxa"/>
          </w:tcPr>
          <w:p>
            <w:pPr>
              <w:pStyle w:val="TableParagraph"/>
              <w:spacing w:line="257" w:lineRule="exact"/>
              <w:ind w:left="245"/>
              <w:rPr>
                <w:sz w:val="21"/>
              </w:rPr>
            </w:pPr>
            <w:r>
              <w:rPr>
                <w:sz w:val="21"/>
              </w:rPr>
              <w:t>10. 慢性肝功能</w:t>
            </w:r>
          </w:p>
          <w:p>
            <w:pPr>
              <w:pStyle w:val="TableParagraph"/>
              <w:spacing w:before="37"/>
              <w:ind w:left="245"/>
              <w:rPr>
                <w:sz w:val="21"/>
              </w:rPr>
            </w:pPr>
            <w:r>
              <w:rPr>
                <w:sz w:val="21"/>
              </w:rPr>
              <w:t>衰竭失代偿期 </w:t>
            </w:r>
          </w:p>
        </w:tc>
        <w:tc>
          <w:tcPr>
            <w:tcW w:w="7862" w:type="dxa"/>
          </w:tcPr>
          <w:p>
            <w:pPr>
              <w:pStyle w:val="TableParagraph"/>
              <w:spacing w:line="257" w:lineRule="exact"/>
              <w:rPr>
                <w:sz w:val="21"/>
              </w:rPr>
            </w:pPr>
            <w:r>
              <w:rPr>
                <w:sz w:val="21"/>
              </w:rPr>
              <w:t>指因慢性肝脏疾病导致肝功能衰竭。须满足下列全部条件：  </w:t>
            </w:r>
          </w:p>
          <w:p>
            <w:pPr>
              <w:pStyle w:val="TableParagraph"/>
              <w:spacing w:before="37"/>
              <w:rPr>
                <w:sz w:val="21"/>
              </w:rPr>
            </w:pPr>
            <w:r>
              <w:rPr>
                <w:sz w:val="21"/>
              </w:rPr>
              <w:t>（1） 持续性黄疸；  </w:t>
            </w:r>
          </w:p>
          <w:p>
            <w:pPr>
              <w:pStyle w:val="TableParagraph"/>
              <w:spacing w:before="37"/>
              <w:rPr>
                <w:sz w:val="21"/>
              </w:rPr>
            </w:pPr>
            <w:r>
              <w:rPr>
                <w:sz w:val="21"/>
              </w:rPr>
              <w:t>（2） 腹水；  </w:t>
            </w:r>
          </w:p>
          <w:p>
            <w:pPr>
              <w:pStyle w:val="TableParagraph"/>
              <w:spacing w:before="37"/>
              <w:rPr>
                <w:sz w:val="21"/>
              </w:rPr>
            </w:pPr>
            <w:r>
              <w:rPr>
                <w:sz w:val="21"/>
              </w:rPr>
              <w:t>（3） 肝性脑病；  </w:t>
            </w:r>
          </w:p>
          <w:p>
            <w:pPr>
              <w:pStyle w:val="TableParagraph"/>
              <w:spacing w:before="37"/>
              <w:rPr>
                <w:sz w:val="21"/>
              </w:rPr>
            </w:pPr>
            <w:r>
              <w:rPr>
                <w:sz w:val="21"/>
              </w:rPr>
              <w:t>（4） 充血性脾肿大伴脾功能亢进或食管胃底静脉曲张。  </w:t>
            </w:r>
          </w:p>
          <w:p>
            <w:pPr>
              <w:pStyle w:val="TableParagraph"/>
              <w:spacing w:before="9"/>
              <w:rPr>
                <w:rFonts w:ascii="黑体" w:eastAsia="黑体" w:hint="eastAsia"/>
                <w:sz w:val="24"/>
              </w:rPr>
            </w:pPr>
            <w:r>
              <w:rPr>
                <w:rFonts w:ascii="黑体" w:eastAsia="黑体" w:hint="eastAsia"/>
                <w:sz w:val="24"/>
              </w:rPr>
              <w:t>因酗酒或药物滥用导致的肝功能衰竭不在保障范围内。</w:t>
            </w:r>
          </w:p>
        </w:tc>
      </w:tr>
      <w:tr>
        <w:trPr>
          <w:trHeight w:val="306" w:hRule="atLeast"/>
        </w:trPr>
        <w:tc>
          <w:tcPr>
            <w:tcW w:w="758" w:type="dxa"/>
          </w:tcPr>
          <w:p>
            <w:pPr>
              <w:pStyle w:val="TableParagraph"/>
              <w:spacing w:line="252" w:lineRule="exact"/>
              <w:ind w:left="0" w:right="242"/>
              <w:jc w:val="right"/>
              <w:rPr>
                <w:b/>
                <w:sz w:val="21"/>
              </w:rPr>
            </w:pPr>
            <w:r>
              <w:rPr>
                <w:b/>
                <w:w w:val="99"/>
                <w:sz w:val="21"/>
              </w:rPr>
              <w:t> </w:t>
            </w:r>
          </w:p>
        </w:tc>
        <w:tc>
          <w:tcPr>
            <w:tcW w:w="1903" w:type="dxa"/>
          </w:tcPr>
          <w:p>
            <w:pPr>
              <w:pStyle w:val="TableParagraph"/>
              <w:spacing w:line="252" w:lineRule="exact"/>
              <w:ind w:left="245"/>
              <w:rPr>
                <w:sz w:val="21"/>
              </w:rPr>
            </w:pPr>
            <w:r>
              <w:rPr>
                <w:w w:val="100"/>
                <w:sz w:val="21"/>
              </w:rPr>
              <w:t> </w:t>
            </w:r>
          </w:p>
        </w:tc>
        <w:tc>
          <w:tcPr>
            <w:tcW w:w="7862" w:type="dxa"/>
          </w:tcPr>
          <w:p>
            <w:pPr>
              <w:pStyle w:val="TableParagraph"/>
              <w:spacing w:line="252" w:lineRule="exact"/>
              <w:rPr>
                <w:sz w:val="21"/>
              </w:rPr>
            </w:pPr>
            <w:r>
              <w:rPr>
                <w:w w:val="100"/>
                <w:sz w:val="21"/>
              </w:rPr>
              <w:t> </w:t>
            </w:r>
          </w:p>
        </w:tc>
      </w:tr>
      <w:tr>
        <w:trPr>
          <w:trHeight w:val="1871" w:hRule="atLeast"/>
        </w:trPr>
        <w:tc>
          <w:tcPr>
            <w:tcW w:w="758" w:type="dxa"/>
          </w:tcPr>
          <w:p>
            <w:pPr>
              <w:pStyle w:val="TableParagraph"/>
              <w:spacing w:line="257" w:lineRule="exact"/>
              <w:ind w:left="0" w:right="242"/>
              <w:jc w:val="right"/>
              <w:rPr>
                <w:b/>
                <w:sz w:val="21"/>
              </w:rPr>
            </w:pPr>
            <w:r>
              <w:rPr>
                <w:b/>
                <w:w w:val="99"/>
                <w:sz w:val="21"/>
              </w:rPr>
              <w:t> </w:t>
            </w:r>
          </w:p>
        </w:tc>
        <w:tc>
          <w:tcPr>
            <w:tcW w:w="1903" w:type="dxa"/>
          </w:tcPr>
          <w:p>
            <w:pPr>
              <w:pStyle w:val="TableParagraph"/>
              <w:spacing w:line="257" w:lineRule="exact"/>
              <w:ind w:left="245"/>
              <w:rPr>
                <w:sz w:val="21"/>
              </w:rPr>
            </w:pPr>
            <w:r>
              <w:rPr>
                <w:sz w:val="21"/>
              </w:rPr>
              <w:t>11. 脑炎后遗症</w:t>
            </w:r>
          </w:p>
          <w:p>
            <w:pPr>
              <w:pStyle w:val="TableParagraph"/>
              <w:spacing w:before="37"/>
              <w:ind w:left="245"/>
              <w:rPr>
                <w:sz w:val="21"/>
              </w:rPr>
            </w:pPr>
            <w:r>
              <w:rPr>
                <w:sz w:val="21"/>
              </w:rPr>
              <w:t>或脑膜炎后遗症 </w:t>
            </w:r>
          </w:p>
        </w:tc>
        <w:tc>
          <w:tcPr>
            <w:tcW w:w="7862" w:type="dxa"/>
          </w:tcPr>
          <w:p>
            <w:pPr>
              <w:pStyle w:val="TableParagraph"/>
              <w:spacing w:line="257" w:lineRule="exact"/>
              <w:rPr>
                <w:sz w:val="21"/>
              </w:rPr>
            </w:pPr>
            <w:r>
              <w:rPr>
                <w:sz w:val="21"/>
              </w:rPr>
              <w:t>指因患脑炎或脑膜炎导致的神经系统永久性的功能障碍。神经系统永久性的功能</w:t>
            </w:r>
          </w:p>
          <w:p>
            <w:pPr>
              <w:pStyle w:val="TableParagraph"/>
              <w:spacing w:before="37"/>
              <w:rPr>
                <w:sz w:val="21"/>
              </w:rPr>
            </w:pPr>
            <w:r>
              <w:rPr>
                <w:sz w:val="21"/>
              </w:rPr>
              <w:t>障碍，指疾病确诊180天后，仍遗留下列一种或一种以上障碍：  </w:t>
            </w:r>
          </w:p>
          <w:p>
            <w:pPr>
              <w:pStyle w:val="TableParagraph"/>
              <w:spacing w:before="37"/>
              <w:rPr>
                <w:sz w:val="21"/>
              </w:rPr>
            </w:pPr>
            <w:r>
              <w:rPr>
                <w:sz w:val="21"/>
              </w:rPr>
              <w:t>（1） 一肢或一肢以上肢体机能完全丧失；  </w:t>
            </w:r>
          </w:p>
          <w:p>
            <w:pPr>
              <w:pStyle w:val="TableParagraph"/>
              <w:spacing w:before="37"/>
              <w:rPr>
                <w:sz w:val="21"/>
              </w:rPr>
            </w:pPr>
            <w:r>
              <w:rPr>
                <w:sz w:val="21"/>
              </w:rPr>
              <w:t>（2） 语言能力或咀嚼吞咽能力完全丧失；  </w:t>
            </w:r>
          </w:p>
          <w:p>
            <w:pPr>
              <w:pStyle w:val="TableParagraph"/>
              <w:spacing w:line="273" w:lineRule="auto" w:before="37"/>
              <w:ind w:left="622" w:right="411" w:hanging="541"/>
              <w:rPr>
                <w:sz w:val="21"/>
              </w:rPr>
            </w:pPr>
            <w:r>
              <w:rPr>
                <w:sz w:val="21"/>
              </w:rPr>
              <w:t>（3）</w:t>
            </w:r>
            <w:r>
              <w:rPr>
                <w:spacing w:val="-6"/>
                <w:sz w:val="21"/>
              </w:rPr>
              <w:t> 自主生活能力完全丧失，无法独立完成六项基本日常生活活动中的三项或</w:t>
            </w:r>
            <w:r>
              <w:rPr>
                <w:spacing w:val="-4"/>
                <w:sz w:val="21"/>
              </w:rPr>
              <w:t>三项以上。</w:t>
            </w:r>
            <w:r>
              <w:rPr>
                <w:sz w:val="21"/>
              </w:rPr>
              <w:t> </w:t>
            </w:r>
          </w:p>
        </w:tc>
      </w:tr>
      <w:tr>
        <w:trPr>
          <w:trHeight w:val="312" w:hRule="atLeast"/>
        </w:trPr>
        <w:tc>
          <w:tcPr>
            <w:tcW w:w="758" w:type="dxa"/>
          </w:tcPr>
          <w:p>
            <w:pPr>
              <w:pStyle w:val="TableParagraph"/>
              <w:spacing w:line="258" w:lineRule="exact"/>
              <w:ind w:left="0" w:right="242"/>
              <w:jc w:val="right"/>
              <w:rPr>
                <w:b/>
                <w:sz w:val="21"/>
              </w:rPr>
            </w:pPr>
            <w:r>
              <w:rPr>
                <w:b/>
                <w:w w:val="99"/>
                <w:sz w:val="21"/>
              </w:rPr>
              <w:t> </w:t>
            </w:r>
          </w:p>
        </w:tc>
        <w:tc>
          <w:tcPr>
            <w:tcW w:w="1903" w:type="dxa"/>
          </w:tcPr>
          <w:p>
            <w:pPr>
              <w:pStyle w:val="TableParagraph"/>
              <w:spacing w:line="258" w:lineRule="exact"/>
              <w:ind w:left="245"/>
              <w:rPr>
                <w:sz w:val="21"/>
              </w:rPr>
            </w:pPr>
            <w:r>
              <w:rPr>
                <w:w w:val="100"/>
                <w:sz w:val="21"/>
              </w:rPr>
              <w:t> </w:t>
            </w:r>
          </w:p>
        </w:tc>
        <w:tc>
          <w:tcPr>
            <w:tcW w:w="7862" w:type="dxa"/>
          </w:tcPr>
          <w:p>
            <w:pPr>
              <w:pStyle w:val="TableParagraph"/>
              <w:spacing w:line="258" w:lineRule="exact"/>
              <w:rPr>
                <w:sz w:val="21"/>
              </w:rPr>
            </w:pPr>
            <w:r>
              <w:rPr>
                <w:w w:val="100"/>
                <w:sz w:val="21"/>
              </w:rPr>
              <w:t> </w:t>
            </w:r>
          </w:p>
        </w:tc>
      </w:tr>
      <w:tr>
        <w:trPr>
          <w:trHeight w:val="261" w:hRule="atLeast"/>
        </w:trPr>
        <w:tc>
          <w:tcPr>
            <w:tcW w:w="758" w:type="dxa"/>
          </w:tcPr>
          <w:p>
            <w:pPr>
              <w:pStyle w:val="TableParagraph"/>
              <w:spacing w:line="242" w:lineRule="exact"/>
              <w:ind w:left="0" w:right="242"/>
              <w:jc w:val="right"/>
              <w:rPr>
                <w:b/>
                <w:sz w:val="21"/>
              </w:rPr>
            </w:pPr>
            <w:r>
              <w:rPr>
                <w:b/>
                <w:w w:val="99"/>
                <w:sz w:val="21"/>
              </w:rPr>
              <w:t> </w:t>
            </w:r>
          </w:p>
        </w:tc>
        <w:tc>
          <w:tcPr>
            <w:tcW w:w="1903" w:type="dxa"/>
          </w:tcPr>
          <w:p>
            <w:pPr>
              <w:pStyle w:val="TableParagraph"/>
              <w:spacing w:line="242" w:lineRule="exact"/>
              <w:ind w:left="245"/>
              <w:rPr>
                <w:sz w:val="21"/>
              </w:rPr>
            </w:pPr>
            <w:r>
              <w:rPr>
                <w:sz w:val="21"/>
              </w:rPr>
              <w:t>12. 深度昏迷 </w:t>
            </w:r>
          </w:p>
        </w:tc>
        <w:tc>
          <w:tcPr>
            <w:tcW w:w="7862" w:type="dxa"/>
          </w:tcPr>
          <w:p>
            <w:pPr>
              <w:pStyle w:val="TableParagraph"/>
              <w:spacing w:line="242" w:lineRule="exact"/>
              <w:rPr>
                <w:sz w:val="21"/>
              </w:rPr>
            </w:pPr>
            <w:r>
              <w:rPr>
                <w:sz w:val="21"/>
              </w:rPr>
              <w:t>指因疾病或意外伤害导致意识丧失,对外界刺激和体内需求均无反应,昏迷程度按</w:t>
            </w:r>
          </w:p>
        </w:tc>
      </w:tr>
    </w:tbl>
    <w:p>
      <w:pPr>
        <w:spacing w:after="0" w:line="242" w:lineRule="exact"/>
        <w:rPr>
          <w:sz w:val="21"/>
        </w:rPr>
        <w:sectPr>
          <w:pgSz w:w="11910" w:h="16840"/>
          <w:pgMar w:header="0" w:footer="380"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
        <w:gridCol w:w="1903"/>
        <w:gridCol w:w="7862"/>
      </w:tblGrid>
      <w:tr>
        <w:trPr>
          <w:trHeight w:val="942" w:hRule="atLeast"/>
        </w:trPr>
        <w:tc>
          <w:tcPr>
            <w:tcW w:w="758" w:type="dxa"/>
            <w:tcBorders>
              <w:top w:val="single" w:sz="6" w:space="0" w:color="000000"/>
            </w:tcBorders>
          </w:tcPr>
          <w:p>
            <w:pPr>
              <w:pStyle w:val="TableParagraph"/>
              <w:ind w:left="0"/>
              <w:rPr>
                <w:rFonts w:ascii="Times New Roman"/>
                <w:sz w:val="20"/>
              </w:rPr>
            </w:pPr>
          </w:p>
        </w:tc>
        <w:tc>
          <w:tcPr>
            <w:tcW w:w="1903" w:type="dxa"/>
            <w:tcBorders>
              <w:top w:val="single" w:sz="6" w:space="0" w:color="000000"/>
            </w:tcBorders>
          </w:tcPr>
          <w:p>
            <w:pPr>
              <w:pStyle w:val="TableParagraph"/>
              <w:ind w:left="0"/>
              <w:rPr>
                <w:rFonts w:ascii="Times New Roman"/>
                <w:sz w:val="20"/>
              </w:rPr>
            </w:pPr>
          </w:p>
        </w:tc>
        <w:tc>
          <w:tcPr>
            <w:tcW w:w="7862" w:type="dxa"/>
            <w:tcBorders>
              <w:top w:val="single" w:sz="6" w:space="0" w:color="000000"/>
            </w:tcBorders>
          </w:tcPr>
          <w:p>
            <w:pPr>
              <w:pStyle w:val="TableParagraph"/>
              <w:spacing w:line="258" w:lineRule="exact"/>
              <w:rPr>
                <w:sz w:val="21"/>
              </w:rPr>
            </w:pPr>
            <w:r>
              <w:rPr>
                <w:sz w:val="21"/>
              </w:rPr>
              <w:t>照格拉斯哥昏迷分级（Glasgow coma scale）结果为5分或5分以下，且已经持续</w:t>
            </w:r>
          </w:p>
          <w:p>
            <w:pPr>
              <w:pStyle w:val="TableParagraph"/>
              <w:spacing w:before="37"/>
              <w:rPr>
                <w:sz w:val="21"/>
              </w:rPr>
            </w:pPr>
            <w:r>
              <w:rPr>
                <w:sz w:val="21"/>
              </w:rPr>
              <w:t>使用呼吸机及其它生命维持系统96小时以上。  </w:t>
            </w:r>
          </w:p>
          <w:p>
            <w:pPr>
              <w:pStyle w:val="TableParagraph"/>
              <w:spacing w:before="9"/>
              <w:rPr>
                <w:rFonts w:ascii="黑体" w:eastAsia="黑体" w:hint="eastAsia"/>
                <w:sz w:val="24"/>
              </w:rPr>
            </w:pPr>
            <w:r>
              <w:rPr>
                <w:rFonts w:ascii="黑体" w:eastAsia="黑体" w:hint="eastAsia"/>
                <w:sz w:val="24"/>
              </w:rPr>
              <w:t>因酗酒或药物滥用导致的深度昏迷不在保障范围内。</w:t>
            </w:r>
          </w:p>
        </w:tc>
      </w:tr>
      <w:tr>
        <w:trPr>
          <w:trHeight w:val="306" w:hRule="atLeast"/>
        </w:trPr>
        <w:tc>
          <w:tcPr>
            <w:tcW w:w="758" w:type="dxa"/>
          </w:tcPr>
          <w:p>
            <w:pPr>
              <w:pStyle w:val="TableParagraph"/>
              <w:spacing w:line="252" w:lineRule="exact"/>
              <w:ind w:left="0" w:right="242"/>
              <w:jc w:val="right"/>
              <w:rPr>
                <w:b/>
                <w:sz w:val="21"/>
              </w:rPr>
            </w:pPr>
            <w:r>
              <w:rPr>
                <w:b/>
                <w:w w:val="99"/>
                <w:sz w:val="21"/>
              </w:rPr>
              <w:t> </w:t>
            </w:r>
          </w:p>
        </w:tc>
        <w:tc>
          <w:tcPr>
            <w:tcW w:w="1903" w:type="dxa"/>
          </w:tcPr>
          <w:p>
            <w:pPr>
              <w:pStyle w:val="TableParagraph"/>
              <w:spacing w:line="252" w:lineRule="exact"/>
              <w:ind w:left="245"/>
              <w:rPr>
                <w:sz w:val="21"/>
              </w:rPr>
            </w:pPr>
            <w:r>
              <w:rPr>
                <w:w w:val="100"/>
                <w:sz w:val="21"/>
              </w:rPr>
              <w:t> </w:t>
            </w:r>
          </w:p>
        </w:tc>
        <w:tc>
          <w:tcPr>
            <w:tcW w:w="7862" w:type="dxa"/>
          </w:tcPr>
          <w:p>
            <w:pPr>
              <w:pStyle w:val="TableParagraph"/>
              <w:spacing w:line="252" w:lineRule="exact"/>
              <w:rPr>
                <w:sz w:val="21"/>
              </w:rPr>
            </w:pPr>
            <w:r>
              <w:rPr>
                <w:w w:val="100"/>
                <w:sz w:val="21"/>
              </w:rPr>
              <w:t> </w:t>
            </w:r>
          </w:p>
        </w:tc>
      </w:tr>
      <w:tr>
        <w:trPr>
          <w:trHeight w:val="935" w:hRule="atLeast"/>
        </w:trPr>
        <w:tc>
          <w:tcPr>
            <w:tcW w:w="758" w:type="dxa"/>
          </w:tcPr>
          <w:p>
            <w:pPr>
              <w:pStyle w:val="TableParagraph"/>
              <w:spacing w:line="257" w:lineRule="exact"/>
              <w:ind w:left="0" w:right="242"/>
              <w:jc w:val="right"/>
              <w:rPr>
                <w:b/>
                <w:sz w:val="21"/>
              </w:rPr>
            </w:pPr>
            <w:r>
              <w:rPr>
                <w:b/>
                <w:w w:val="99"/>
                <w:sz w:val="21"/>
              </w:rPr>
              <w:t> </w:t>
            </w:r>
          </w:p>
        </w:tc>
        <w:tc>
          <w:tcPr>
            <w:tcW w:w="1903" w:type="dxa"/>
          </w:tcPr>
          <w:p>
            <w:pPr>
              <w:pStyle w:val="TableParagraph"/>
              <w:spacing w:line="257" w:lineRule="exact"/>
              <w:ind w:left="245"/>
              <w:rPr>
                <w:sz w:val="21"/>
              </w:rPr>
            </w:pPr>
            <w:r>
              <w:rPr>
                <w:sz w:val="21"/>
              </w:rPr>
              <w:t>13. 双耳失聪 </w:t>
            </w:r>
          </w:p>
        </w:tc>
        <w:tc>
          <w:tcPr>
            <w:tcW w:w="7862" w:type="dxa"/>
          </w:tcPr>
          <w:p>
            <w:pPr>
              <w:pStyle w:val="TableParagraph"/>
              <w:spacing w:line="257" w:lineRule="exact"/>
              <w:rPr>
                <w:sz w:val="21"/>
              </w:rPr>
            </w:pPr>
            <w:r>
              <w:rPr>
                <w:sz w:val="21"/>
              </w:rPr>
              <w:t>指因疾病或意外伤害导致双耳听力</w:t>
            </w:r>
            <w:r>
              <w:rPr>
                <w:b/>
                <w:sz w:val="21"/>
              </w:rPr>
              <w:t>永久不可逆</w:t>
            </w:r>
            <w:r>
              <w:rPr>
                <w:sz w:val="21"/>
              </w:rPr>
              <w:t>性丧失，在500赫兹、1000赫兹和</w:t>
            </w:r>
          </w:p>
          <w:p>
            <w:pPr>
              <w:pStyle w:val="TableParagraph"/>
              <w:spacing w:line="273" w:lineRule="auto" w:before="37"/>
              <w:ind w:right="413"/>
              <w:rPr>
                <w:sz w:val="21"/>
              </w:rPr>
            </w:pPr>
            <w:r>
              <w:rPr>
                <w:sz w:val="21"/>
              </w:rPr>
              <w:t>2000赫兹语音频率下，平均听阈大于90分贝，且经纯音听力测试、声导抗检测或听觉诱发电位检测等证实。 </w:t>
            </w:r>
          </w:p>
        </w:tc>
      </w:tr>
      <w:tr>
        <w:trPr>
          <w:trHeight w:val="312" w:hRule="atLeast"/>
        </w:trPr>
        <w:tc>
          <w:tcPr>
            <w:tcW w:w="758" w:type="dxa"/>
          </w:tcPr>
          <w:p>
            <w:pPr>
              <w:pStyle w:val="TableParagraph"/>
              <w:spacing w:line="257" w:lineRule="exact"/>
              <w:ind w:left="0" w:right="242"/>
              <w:jc w:val="right"/>
              <w:rPr>
                <w:b/>
                <w:sz w:val="21"/>
              </w:rPr>
            </w:pPr>
            <w:r>
              <w:rPr>
                <w:b/>
                <w:w w:val="99"/>
                <w:sz w:val="21"/>
              </w:rPr>
              <w:t> </w:t>
            </w:r>
          </w:p>
        </w:tc>
        <w:tc>
          <w:tcPr>
            <w:tcW w:w="1903" w:type="dxa"/>
          </w:tcPr>
          <w:p>
            <w:pPr>
              <w:pStyle w:val="TableParagraph"/>
              <w:spacing w:line="257" w:lineRule="exact"/>
              <w:ind w:left="245"/>
              <w:rPr>
                <w:sz w:val="21"/>
              </w:rPr>
            </w:pPr>
            <w:r>
              <w:rPr>
                <w:w w:val="100"/>
                <w:sz w:val="21"/>
              </w:rPr>
              <w:t> </w:t>
            </w:r>
          </w:p>
        </w:tc>
        <w:tc>
          <w:tcPr>
            <w:tcW w:w="7862" w:type="dxa"/>
          </w:tcPr>
          <w:p>
            <w:pPr>
              <w:pStyle w:val="TableParagraph"/>
              <w:spacing w:line="257" w:lineRule="exact"/>
              <w:rPr>
                <w:sz w:val="21"/>
              </w:rPr>
            </w:pPr>
            <w:r>
              <w:rPr>
                <w:w w:val="100"/>
                <w:sz w:val="21"/>
              </w:rPr>
              <w:t> </w:t>
            </w:r>
          </w:p>
        </w:tc>
      </w:tr>
      <w:tr>
        <w:trPr>
          <w:trHeight w:val="1871" w:hRule="atLeast"/>
        </w:trPr>
        <w:tc>
          <w:tcPr>
            <w:tcW w:w="758" w:type="dxa"/>
          </w:tcPr>
          <w:p>
            <w:pPr>
              <w:pStyle w:val="TableParagraph"/>
              <w:spacing w:line="257" w:lineRule="exact"/>
              <w:ind w:left="0" w:right="242"/>
              <w:jc w:val="right"/>
              <w:rPr>
                <w:b/>
                <w:sz w:val="21"/>
              </w:rPr>
            </w:pPr>
            <w:r>
              <w:rPr>
                <w:b/>
                <w:w w:val="99"/>
                <w:sz w:val="21"/>
              </w:rPr>
              <w:t> </w:t>
            </w:r>
          </w:p>
        </w:tc>
        <w:tc>
          <w:tcPr>
            <w:tcW w:w="1903" w:type="dxa"/>
          </w:tcPr>
          <w:p>
            <w:pPr>
              <w:pStyle w:val="TableParagraph"/>
              <w:spacing w:line="257" w:lineRule="exact"/>
              <w:ind w:left="245"/>
              <w:rPr>
                <w:sz w:val="21"/>
              </w:rPr>
            </w:pPr>
            <w:r>
              <w:rPr>
                <w:sz w:val="21"/>
              </w:rPr>
              <w:t>14. 双目失明 </w:t>
            </w:r>
          </w:p>
        </w:tc>
        <w:tc>
          <w:tcPr>
            <w:tcW w:w="7862" w:type="dxa"/>
          </w:tcPr>
          <w:p>
            <w:pPr>
              <w:pStyle w:val="TableParagraph"/>
              <w:spacing w:line="257" w:lineRule="exact"/>
              <w:rPr>
                <w:sz w:val="21"/>
              </w:rPr>
            </w:pPr>
            <w:r>
              <w:rPr>
                <w:sz w:val="21"/>
              </w:rPr>
              <w:t>指因疾病或意外伤害导致双眼视力永久不可逆性丧失，双眼中较好眼须满足下列</w:t>
            </w:r>
          </w:p>
          <w:p>
            <w:pPr>
              <w:pStyle w:val="TableParagraph"/>
              <w:spacing w:before="37"/>
              <w:rPr>
                <w:sz w:val="21"/>
              </w:rPr>
            </w:pPr>
            <w:r>
              <w:rPr>
                <w:sz w:val="21"/>
              </w:rPr>
              <w:t>至少一项条件： </w:t>
            </w:r>
          </w:p>
          <w:p>
            <w:pPr>
              <w:pStyle w:val="TableParagraph"/>
              <w:spacing w:before="37"/>
              <w:rPr>
                <w:sz w:val="21"/>
              </w:rPr>
            </w:pPr>
            <w:r>
              <w:rPr>
                <w:sz w:val="21"/>
              </w:rPr>
              <w:t>（1） 眼球缺失或摘除；  </w:t>
            </w:r>
          </w:p>
          <w:p>
            <w:pPr>
              <w:pStyle w:val="TableParagraph"/>
              <w:spacing w:line="273" w:lineRule="auto" w:before="37"/>
              <w:ind w:left="622" w:right="413" w:hanging="541"/>
              <w:rPr>
                <w:sz w:val="21"/>
              </w:rPr>
            </w:pPr>
            <w:r>
              <w:rPr>
                <w:sz w:val="21"/>
              </w:rPr>
              <w:t>（2） 矫正视力低于0.02（采用国际标准视力表，如果使用其它视力表应进行换算）；  </w:t>
            </w:r>
          </w:p>
          <w:p>
            <w:pPr>
              <w:pStyle w:val="TableParagraph"/>
              <w:spacing w:before="7"/>
              <w:rPr>
                <w:sz w:val="21"/>
              </w:rPr>
            </w:pPr>
            <w:r>
              <w:rPr>
                <w:sz w:val="21"/>
              </w:rPr>
              <w:t>（3） 视野半径小于 5 度。 </w:t>
            </w:r>
          </w:p>
        </w:tc>
      </w:tr>
      <w:tr>
        <w:trPr>
          <w:trHeight w:val="312" w:hRule="atLeast"/>
        </w:trPr>
        <w:tc>
          <w:tcPr>
            <w:tcW w:w="758" w:type="dxa"/>
          </w:tcPr>
          <w:p>
            <w:pPr>
              <w:pStyle w:val="TableParagraph"/>
              <w:spacing w:line="258" w:lineRule="exact"/>
              <w:ind w:left="0" w:right="242"/>
              <w:jc w:val="right"/>
              <w:rPr>
                <w:b/>
                <w:sz w:val="21"/>
              </w:rPr>
            </w:pPr>
            <w:r>
              <w:rPr>
                <w:b/>
                <w:w w:val="99"/>
                <w:sz w:val="21"/>
              </w:rPr>
              <w:t> </w:t>
            </w:r>
          </w:p>
        </w:tc>
        <w:tc>
          <w:tcPr>
            <w:tcW w:w="1903" w:type="dxa"/>
          </w:tcPr>
          <w:p>
            <w:pPr>
              <w:pStyle w:val="TableParagraph"/>
              <w:spacing w:line="258" w:lineRule="exact"/>
              <w:ind w:left="245"/>
              <w:rPr>
                <w:sz w:val="21"/>
              </w:rPr>
            </w:pPr>
            <w:r>
              <w:rPr>
                <w:w w:val="100"/>
                <w:sz w:val="21"/>
              </w:rPr>
              <w:t> </w:t>
            </w:r>
          </w:p>
        </w:tc>
        <w:tc>
          <w:tcPr>
            <w:tcW w:w="7862" w:type="dxa"/>
          </w:tcPr>
          <w:p>
            <w:pPr>
              <w:pStyle w:val="TableParagraph"/>
              <w:spacing w:line="258" w:lineRule="exact"/>
              <w:rPr>
                <w:sz w:val="21"/>
              </w:rPr>
            </w:pPr>
            <w:r>
              <w:rPr>
                <w:w w:val="100"/>
                <w:sz w:val="21"/>
              </w:rPr>
              <w:t> </w:t>
            </w:r>
          </w:p>
        </w:tc>
      </w:tr>
      <w:tr>
        <w:trPr>
          <w:trHeight w:val="935" w:hRule="atLeast"/>
        </w:trPr>
        <w:tc>
          <w:tcPr>
            <w:tcW w:w="758" w:type="dxa"/>
          </w:tcPr>
          <w:p>
            <w:pPr>
              <w:pStyle w:val="TableParagraph"/>
              <w:spacing w:line="257" w:lineRule="exact"/>
              <w:ind w:left="0" w:right="242"/>
              <w:jc w:val="right"/>
              <w:rPr>
                <w:b/>
                <w:sz w:val="21"/>
              </w:rPr>
            </w:pPr>
            <w:r>
              <w:rPr>
                <w:b/>
                <w:w w:val="99"/>
                <w:sz w:val="21"/>
              </w:rPr>
              <w:t> </w:t>
            </w:r>
          </w:p>
        </w:tc>
        <w:tc>
          <w:tcPr>
            <w:tcW w:w="1903" w:type="dxa"/>
          </w:tcPr>
          <w:p>
            <w:pPr>
              <w:pStyle w:val="TableParagraph"/>
              <w:spacing w:line="257" w:lineRule="exact"/>
              <w:ind w:left="245"/>
              <w:rPr>
                <w:sz w:val="21"/>
              </w:rPr>
            </w:pPr>
            <w:r>
              <w:rPr>
                <w:sz w:val="21"/>
              </w:rPr>
              <w:t>15. 瘫痪 </w:t>
            </w:r>
          </w:p>
        </w:tc>
        <w:tc>
          <w:tcPr>
            <w:tcW w:w="7862" w:type="dxa"/>
          </w:tcPr>
          <w:p>
            <w:pPr>
              <w:pStyle w:val="TableParagraph"/>
              <w:spacing w:line="257" w:lineRule="exact"/>
              <w:rPr>
                <w:sz w:val="21"/>
              </w:rPr>
            </w:pPr>
            <w:r>
              <w:rPr>
                <w:sz w:val="21"/>
              </w:rPr>
              <w:t>指因疾病或意外伤害导致两肢或两肢以上肢体机能永久完全丧失。肢体机能永久</w:t>
            </w:r>
          </w:p>
          <w:p>
            <w:pPr>
              <w:pStyle w:val="TableParagraph"/>
              <w:spacing w:line="273" w:lineRule="auto" w:before="37"/>
              <w:ind w:right="414" w:hanging="1"/>
              <w:rPr>
                <w:sz w:val="21"/>
              </w:rPr>
            </w:pPr>
            <w:r>
              <w:rPr>
                <w:sz w:val="21"/>
              </w:rPr>
              <w:t>完全丧失，指疾病确诊180天后或意外伤害发生180天后，每肢三大关节中的两大关节仍然完全僵硬，或不能随意识活动。 </w:t>
            </w:r>
          </w:p>
        </w:tc>
      </w:tr>
      <w:tr>
        <w:trPr>
          <w:trHeight w:val="312" w:hRule="atLeast"/>
        </w:trPr>
        <w:tc>
          <w:tcPr>
            <w:tcW w:w="758" w:type="dxa"/>
          </w:tcPr>
          <w:p>
            <w:pPr>
              <w:pStyle w:val="TableParagraph"/>
              <w:spacing w:line="257" w:lineRule="exact"/>
              <w:ind w:left="0" w:right="242"/>
              <w:jc w:val="right"/>
              <w:rPr>
                <w:b/>
                <w:sz w:val="21"/>
              </w:rPr>
            </w:pPr>
            <w:r>
              <w:rPr>
                <w:b/>
                <w:w w:val="99"/>
                <w:sz w:val="21"/>
              </w:rPr>
              <w:t> </w:t>
            </w:r>
          </w:p>
        </w:tc>
        <w:tc>
          <w:tcPr>
            <w:tcW w:w="1903" w:type="dxa"/>
          </w:tcPr>
          <w:p>
            <w:pPr>
              <w:pStyle w:val="TableParagraph"/>
              <w:spacing w:line="257" w:lineRule="exact"/>
              <w:ind w:left="245"/>
              <w:rPr>
                <w:sz w:val="21"/>
              </w:rPr>
            </w:pPr>
            <w:r>
              <w:rPr>
                <w:w w:val="100"/>
                <w:sz w:val="21"/>
              </w:rPr>
              <w:t> </w:t>
            </w:r>
          </w:p>
        </w:tc>
        <w:tc>
          <w:tcPr>
            <w:tcW w:w="7862" w:type="dxa"/>
          </w:tcPr>
          <w:p>
            <w:pPr>
              <w:pStyle w:val="TableParagraph"/>
              <w:spacing w:line="257" w:lineRule="exact"/>
              <w:rPr>
                <w:sz w:val="21"/>
              </w:rPr>
            </w:pPr>
            <w:r>
              <w:rPr>
                <w:w w:val="100"/>
                <w:sz w:val="21"/>
              </w:rPr>
              <w:t> </w:t>
            </w:r>
          </w:p>
        </w:tc>
      </w:tr>
      <w:tr>
        <w:trPr>
          <w:trHeight w:val="623" w:hRule="atLeast"/>
        </w:trPr>
        <w:tc>
          <w:tcPr>
            <w:tcW w:w="758" w:type="dxa"/>
          </w:tcPr>
          <w:p>
            <w:pPr>
              <w:pStyle w:val="TableParagraph"/>
              <w:spacing w:line="257" w:lineRule="exact"/>
              <w:ind w:left="0" w:right="242"/>
              <w:jc w:val="right"/>
              <w:rPr>
                <w:b/>
                <w:sz w:val="21"/>
              </w:rPr>
            </w:pPr>
            <w:r>
              <w:rPr>
                <w:b/>
                <w:w w:val="99"/>
                <w:sz w:val="21"/>
              </w:rPr>
              <w:t> </w:t>
            </w:r>
          </w:p>
        </w:tc>
        <w:tc>
          <w:tcPr>
            <w:tcW w:w="1903" w:type="dxa"/>
          </w:tcPr>
          <w:p>
            <w:pPr>
              <w:pStyle w:val="TableParagraph"/>
              <w:spacing w:line="257" w:lineRule="exact"/>
              <w:ind w:left="245"/>
              <w:rPr>
                <w:sz w:val="21"/>
              </w:rPr>
            </w:pPr>
            <w:r>
              <w:rPr>
                <w:sz w:val="21"/>
              </w:rPr>
              <w:t>16. 心脏瓣膜手</w:t>
            </w:r>
          </w:p>
          <w:p>
            <w:pPr>
              <w:pStyle w:val="TableParagraph"/>
              <w:spacing w:before="37"/>
              <w:ind w:left="245"/>
              <w:rPr>
                <w:sz w:val="21"/>
              </w:rPr>
            </w:pPr>
            <w:r>
              <w:rPr>
                <w:sz w:val="21"/>
              </w:rPr>
              <w:t>术 </w:t>
            </w:r>
          </w:p>
        </w:tc>
        <w:tc>
          <w:tcPr>
            <w:tcW w:w="7862" w:type="dxa"/>
          </w:tcPr>
          <w:p>
            <w:pPr>
              <w:pStyle w:val="TableParagraph"/>
              <w:spacing w:line="257" w:lineRule="exact"/>
              <w:rPr>
                <w:sz w:val="21"/>
              </w:rPr>
            </w:pPr>
            <w:r>
              <w:rPr>
                <w:sz w:val="21"/>
              </w:rPr>
              <w:t>指为治疗心脏瓣膜疾病，实际实施了开胸进行的心脏瓣膜置换或修复的手术。 </w:t>
            </w:r>
          </w:p>
        </w:tc>
      </w:tr>
      <w:tr>
        <w:trPr>
          <w:trHeight w:val="312" w:hRule="atLeast"/>
        </w:trPr>
        <w:tc>
          <w:tcPr>
            <w:tcW w:w="758" w:type="dxa"/>
          </w:tcPr>
          <w:p>
            <w:pPr>
              <w:pStyle w:val="TableParagraph"/>
              <w:spacing w:line="257" w:lineRule="exact"/>
              <w:ind w:left="0" w:right="242"/>
              <w:jc w:val="right"/>
              <w:rPr>
                <w:b/>
                <w:sz w:val="21"/>
              </w:rPr>
            </w:pPr>
            <w:r>
              <w:rPr>
                <w:b/>
                <w:w w:val="99"/>
                <w:sz w:val="21"/>
              </w:rPr>
              <w:t> </w:t>
            </w:r>
          </w:p>
        </w:tc>
        <w:tc>
          <w:tcPr>
            <w:tcW w:w="1903" w:type="dxa"/>
          </w:tcPr>
          <w:p>
            <w:pPr>
              <w:pStyle w:val="TableParagraph"/>
              <w:spacing w:line="257" w:lineRule="exact"/>
              <w:ind w:left="245"/>
              <w:rPr>
                <w:sz w:val="21"/>
              </w:rPr>
            </w:pPr>
            <w:r>
              <w:rPr>
                <w:w w:val="100"/>
                <w:sz w:val="21"/>
              </w:rPr>
              <w:t> </w:t>
            </w:r>
          </w:p>
        </w:tc>
        <w:tc>
          <w:tcPr>
            <w:tcW w:w="7862" w:type="dxa"/>
          </w:tcPr>
          <w:p>
            <w:pPr>
              <w:pStyle w:val="TableParagraph"/>
              <w:spacing w:line="257" w:lineRule="exact"/>
              <w:rPr>
                <w:sz w:val="21"/>
              </w:rPr>
            </w:pPr>
            <w:r>
              <w:rPr>
                <w:w w:val="100"/>
                <w:sz w:val="21"/>
              </w:rPr>
              <w:t> </w:t>
            </w:r>
          </w:p>
        </w:tc>
      </w:tr>
      <w:tr>
        <w:trPr>
          <w:trHeight w:val="1877" w:hRule="atLeast"/>
        </w:trPr>
        <w:tc>
          <w:tcPr>
            <w:tcW w:w="758" w:type="dxa"/>
          </w:tcPr>
          <w:p>
            <w:pPr>
              <w:pStyle w:val="TableParagraph"/>
              <w:spacing w:line="257" w:lineRule="exact"/>
              <w:ind w:left="0" w:right="242"/>
              <w:jc w:val="right"/>
              <w:rPr>
                <w:b/>
                <w:sz w:val="21"/>
              </w:rPr>
            </w:pPr>
            <w:r>
              <w:rPr>
                <w:b/>
                <w:w w:val="99"/>
                <w:sz w:val="21"/>
              </w:rPr>
              <w:t> </w:t>
            </w:r>
          </w:p>
        </w:tc>
        <w:tc>
          <w:tcPr>
            <w:tcW w:w="1903" w:type="dxa"/>
          </w:tcPr>
          <w:p>
            <w:pPr>
              <w:pStyle w:val="TableParagraph"/>
              <w:spacing w:line="257" w:lineRule="exact"/>
              <w:ind w:left="245"/>
              <w:rPr>
                <w:sz w:val="21"/>
              </w:rPr>
            </w:pPr>
            <w:r>
              <w:rPr>
                <w:sz w:val="21"/>
              </w:rPr>
              <w:t>17. 严重阿尔茨</w:t>
            </w:r>
          </w:p>
          <w:p>
            <w:pPr>
              <w:pStyle w:val="TableParagraph"/>
              <w:spacing w:before="37"/>
              <w:ind w:left="245"/>
              <w:rPr>
                <w:sz w:val="21"/>
              </w:rPr>
            </w:pPr>
            <w:r>
              <w:rPr>
                <w:sz w:val="21"/>
              </w:rPr>
              <w:t>海默病 </w:t>
            </w:r>
          </w:p>
        </w:tc>
        <w:tc>
          <w:tcPr>
            <w:tcW w:w="7862" w:type="dxa"/>
          </w:tcPr>
          <w:p>
            <w:pPr>
              <w:pStyle w:val="TableParagraph"/>
              <w:spacing w:line="257" w:lineRule="exact"/>
              <w:rPr>
                <w:sz w:val="21"/>
              </w:rPr>
            </w:pPr>
            <w:r>
              <w:rPr>
                <w:sz w:val="21"/>
              </w:rPr>
              <w:t>指因大脑进行性、不可逆性改变导致智能严重衰退或丧失，临床表现为明显的认</w:t>
            </w:r>
          </w:p>
          <w:p>
            <w:pPr>
              <w:pStyle w:val="TableParagraph"/>
              <w:spacing w:line="273" w:lineRule="auto" w:before="37"/>
              <w:ind w:right="413"/>
              <w:jc w:val="both"/>
              <w:rPr>
                <w:sz w:val="21"/>
              </w:rPr>
            </w:pPr>
            <w:r>
              <w:rPr>
                <w:sz w:val="21"/>
              </w:rPr>
              <w:t>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  </w:t>
            </w:r>
          </w:p>
          <w:p>
            <w:pPr>
              <w:pStyle w:val="TableParagraph"/>
              <w:spacing w:line="294" w:lineRule="exact"/>
              <w:jc w:val="both"/>
              <w:rPr>
                <w:rFonts w:ascii="黑体" w:eastAsia="黑体" w:hint="eastAsia"/>
                <w:sz w:val="24"/>
              </w:rPr>
            </w:pPr>
            <w:r>
              <w:rPr>
                <w:rFonts w:ascii="黑体" w:eastAsia="黑体" w:hint="eastAsia"/>
                <w:sz w:val="24"/>
              </w:rPr>
              <w:t>神经官能症和精神疾病不在保障范围内。</w:t>
            </w:r>
          </w:p>
        </w:tc>
      </w:tr>
      <w:tr>
        <w:trPr>
          <w:trHeight w:val="306" w:hRule="atLeast"/>
        </w:trPr>
        <w:tc>
          <w:tcPr>
            <w:tcW w:w="758" w:type="dxa"/>
          </w:tcPr>
          <w:p>
            <w:pPr>
              <w:pStyle w:val="TableParagraph"/>
              <w:spacing w:line="252" w:lineRule="exact"/>
              <w:ind w:left="0" w:right="242"/>
              <w:jc w:val="right"/>
              <w:rPr>
                <w:b/>
                <w:sz w:val="21"/>
              </w:rPr>
            </w:pPr>
            <w:r>
              <w:rPr>
                <w:b/>
                <w:w w:val="99"/>
                <w:sz w:val="21"/>
              </w:rPr>
              <w:t> </w:t>
            </w:r>
          </w:p>
        </w:tc>
        <w:tc>
          <w:tcPr>
            <w:tcW w:w="1903" w:type="dxa"/>
          </w:tcPr>
          <w:p>
            <w:pPr>
              <w:pStyle w:val="TableParagraph"/>
              <w:spacing w:line="252" w:lineRule="exact"/>
              <w:ind w:left="245"/>
              <w:rPr>
                <w:sz w:val="21"/>
              </w:rPr>
            </w:pPr>
            <w:r>
              <w:rPr>
                <w:w w:val="100"/>
                <w:sz w:val="21"/>
              </w:rPr>
              <w:t> </w:t>
            </w:r>
          </w:p>
        </w:tc>
        <w:tc>
          <w:tcPr>
            <w:tcW w:w="7862" w:type="dxa"/>
          </w:tcPr>
          <w:p>
            <w:pPr>
              <w:pStyle w:val="TableParagraph"/>
              <w:spacing w:line="252" w:lineRule="exact"/>
              <w:rPr>
                <w:sz w:val="21"/>
              </w:rPr>
            </w:pPr>
            <w:r>
              <w:rPr>
                <w:w w:val="100"/>
                <w:sz w:val="21"/>
              </w:rPr>
              <w:t> </w:t>
            </w:r>
          </w:p>
        </w:tc>
      </w:tr>
      <w:tr>
        <w:trPr>
          <w:trHeight w:val="2495" w:hRule="atLeast"/>
        </w:trPr>
        <w:tc>
          <w:tcPr>
            <w:tcW w:w="758" w:type="dxa"/>
          </w:tcPr>
          <w:p>
            <w:pPr>
              <w:pStyle w:val="TableParagraph"/>
              <w:spacing w:line="257" w:lineRule="exact"/>
              <w:ind w:left="0" w:right="242"/>
              <w:jc w:val="right"/>
              <w:rPr>
                <w:b/>
                <w:sz w:val="21"/>
              </w:rPr>
            </w:pPr>
            <w:r>
              <w:rPr>
                <w:b/>
                <w:w w:val="99"/>
                <w:sz w:val="21"/>
              </w:rPr>
              <w:t> </w:t>
            </w:r>
          </w:p>
        </w:tc>
        <w:tc>
          <w:tcPr>
            <w:tcW w:w="1903" w:type="dxa"/>
          </w:tcPr>
          <w:p>
            <w:pPr>
              <w:pStyle w:val="TableParagraph"/>
              <w:spacing w:line="257" w:lineRule="exact"/>
              <w:ind w:left="245"/>
              <w:rPr>
                <w:sz w:val="21"/>
              </w:rPr>
            </w:pPr>
            <w:r>
              <w:rPr>
                <w:sz w:val="21"/>
              </w:rPr>
              <w:t>18. 严重脑损伤 </w:t>
            </w:r>
          </w:p>
        </w:tc>
        <w:tc>
          <w:tcPr>
            <w:tcW w:w="7862" w:type="dxa"/>
          </w:tcPr>
          <w:p>
            <w:pPr>
              <w:pStyle w:val="TableParagraph"/>
              <w:spacing w:line="257" w:lineRule="exact"/>
              <w:rPr>
                <w:sz w:val="21"/>
              </w:rPr>
            </w:pPr>
            <w:r>
              <w:rPr>
                <w:sz w:val="21"/>
              </w:rPr>
              <w:t>指因头部遭受机械性外力，引起脑重要部位损伤，导致神经系统永久性的功能障</w:t>
            </w:r>
          </w:p>
          <w:p>
            <w:pPr>
              <w:pStyle w:val="TableParagraph"/>
              <w:spacing w:line="273" w:lineRule="auto" w:before="37"/>
              <w:ind w:right="310"/>
              <w:rPr>
                <w:sz w:val="21"/>
              </w:rPr>
            </w:pPr>
            <w:r>
              <w:rPr>
                <w:spacing w:val="-12"/>
                <w:sz w:val="21"/>
              </w:rPr>
              <w:t>碍。须由头颅断层扫描</w:t>
            </w:r>
            <w:r>
              <w:rPr>
                <w:spacing w:val="-13"/>
                <w:sz w:val="21"/>
              </w:rPr>
              <w:t>（CT）</w:t>
            </w:r>
            <w:r>
              <w:rPr>
                <w:spacing w:val="-16"/>
                <w:sz w:val="21"/>
              </w:rPr>
              <w:t>、核磁共振检查</w:t>
            </w:r>
            <w:r>
              <w:rPr>
                <w:spacing w:val="-10"/>
                <w:sz w:val="21"/>
              </w:rPr>
              <w:t>（MRI）</w:t>
            </w:r>
            <w:r>
              <w:rPr>
                <w:spacing w:val="-8"/>
                <w:sz w:val="21"/>
              </w:rPr>
              <w:t>或正电子发射断层扫描</w:t>
            </w:r>
            <w:r>
              <w:rPr>
                <w:sz w:val="21"/>
              </w:rPr>
              <w:t>（PET） </w:t>
            </w:r>
            <w:r>
              <w:rPr>
                <w:spacing w:val="-9"/>
                <w:sz w:val="21"/>
              </w:rPr>
              <w:t>等影像学检查证实。神经系统永久性的功能障碍，指脑损伤</w:t>
            </w:r>
            <w:r>
              <w:rPr>
                <w:sz w:val="21"/>
              </w:rPr>
              <w:t>180</w:t>
            </w:r>
            <w:r>
              <w:rPr>
                <w:spacing w:val="-7"/>
                <w:sz w:val="21"/>
              </w:rPr>
              <w:t>天后，仍遗留下列</w:t>
            </w:r>
            <w:r>
              <w:rPr>
                <w:spacing w:val="-5"/>
                <w:sz w:val="21"/>
              </w:rPr>
              <w:t>一种或一种以上障碍：</w:t>
            </w:r>
            <w:r>
              <w:rPr>
                <w:spacing w:val="-3"/>
                <w:sz w:val="21"/>
              </w:rPr>
              <w:t> </w:t>
            </w:r>
            <w:r>
              <w:rPr>
                <w:sz w:val="21"/>
              </w:rPr>
              <w:t> </w:t>
            </w:r>
          </w:p>
          <w:p>
            <w:pPr>
              <w:pStyle w:val="TableParagraph"/>
              <w:spacing w:before="7"/>
              <w:rPr>
                <w:sz w:val="21"/>
              </w:rPr>
            </w:pPr>
            <w:r>
              <w:rPr>
                <w:sz w:val="21"/>
              </w:rPr>
              <w:t>（1） 一肢或一肢以上肢体机能完全丧失；  </w:t>
            </w:r>
          </w:p>
          <w:p>
            <w:pPr>
              <w:pStyle w:val="TableParagraph"/>
              <w:spacing w:before="36"/>
              <w:rPr>
                <w:sz w:val="21"/>
              </w:rPr>
            </w:pPr>
            <w:r>
              <w:rPr>
                <w:sz w:val="21"/>
              </w:rPr>
              <w:t>（2） 语言能力或咀嚼吞咽能力完全丧失；  </w:t>
            </w:r>
          </w:p>
          <w:p>
            <w:pPr>
              <w:pStyle w:val="TableParagraph"/>
              <w:spacing w:line="273" w:lineRule="auto" w:before="36"/>
              <w:ind w:left="622" w:right="411" w:hanging="541"/>
              <w:rPr>
                <w:sz w:val="21"/>
              </w:rPr>
            </w:pPr>
            <w:r>
              <w:rPr>
                <w:sz w:val="21"/>
              </w:rPr>
              <w:t>（3）</w:t>
            </w:r>
            <w:r>
              <w:rPr>
                <w:spacing w:val="-6"/>
                <w:sz w:val="21"/>
              </w:rPr>
              <w:t> 自主生活能力完全丧失，无法独立完成六项基本日常生活活动中的三项或</w:t>
            </w:r>
            <w:r>
              <w:rPr>
                <w:spacing w:val="-4"/>
                <w:sz w:val="21"/>
              </w:rPr>
              <w:t>三项以上。</w:t>
            </w:r>
            <w:r>
              <w:rPr>
                <w:sz w:val="21"/>
              </w:rPr>
              <w:t> </w:t>
            </w:r>
          </w:p>
        </w:tc>
      </w:tr>
      <w:tr>
        <w:trPr>
          <w:trHeight w:val="312" w:hRule="atLeast"/>
        </w:trPr>
        <w:tc>
          <w:tcPr>
            <w:tcW w:w="758" w:type="dxa"/>
          </w:tcPr>
          <w:p>
            <w:pPr>
              <w:pStyle w:val="TableParagraph"/>
              <w:spacing w:line="258" w:lineRule="exact"/>
              <w:ind w:left="0" w:right="242"/>
              <w:jc w:val="right"/>
              <w:rPr>
                <w:b/>
                <w:sz w:val="21"/>
              </w:rPr>
            </w:pPr>
            <w:r>
              <w:rPr>
                <w:b/>
                <w:w w:val="99"/>
                <w:sz w:val="21"/>
              </w:rPr>
              <w:t> </w:t>
            </w:r>
          </w:p>
        </w:tc>
        <w:tc>
          <w:tcPr>
            <w:tcW w:w="1903" w:type="dxa"/>
          </w:tcPr>
          <w:p>
            <w:pPr>
              <w:pStyle w:val="TableParagraph"/>
              <w:spacing w:line="258" w:lineRule="exact"/>
              <w:ind w:left="245"/>
              <w:rPr>
                <w:sz w:val="21"/>
              </w:rPr>
            </w:pPr>
            <w:r>
              <w:rPr>
                <w:w w:val="100"/>
                <w:sz w:val="21"/>
              </w:rPr>
              <w:t> </w:t>
            </w:r>
          </w:p>
        </w:tc>
        <w:tc>
          <w:tcPr>
            <w:tcW w:w="7862" w:type="dxa"/>
          </w:tcPr>
          <w:p>
            <w:pPr>
              <w:pStyle w:val="TableParagraph"/>
              <w:spacing w:line="258" w:lineRule="exact"/>
              <w:rPr>
                <w:sz w:val="21"/>
              </w:rPr>
            </w:pPr>
            <w:r>
              <w:rPr>
                <w:w w:val="100"/>
                <w:sz w:val="21"/>
              </w:rPr>
              <w:t> </w:t>
            </w:r>
          </w:p>
        </w:tc>
      </w:tr>
      <w:tr>
        <w:trPr>
          <w:trHeight w:val="1877" w:hRule="atLeast"/>
        </w:trPr>
        <w:tc>
          <w:tcPr>
            <w:tcW w:w="758" w:type="dxa"/>
          </w:tcPr>
          <w:p>
            <w:pPr>
              <w:pStyle w:val="TableParagraph"/>
              <w:spacing w:line="257" w:lineRule="exact"/>
              <w:ind w:left="0" w:right="242"/>
              <w:jc w:val="right"/>
              <w:rPr>
                <w:b/>
                <w:sz w:val="21"/>
              </w:rPr>
            </w:pPr>
            <w:r>
              <w:rPr>
                <w:b/>
                <w:w w:val="99"/>
                <w:sz w:val="21"/>
              </w:rPr>
              <w:t> </w:t>
            </w:r>
          </w:p>
        </w:tc>
        <w:tc>
          <w:tcPr>
            <w:tcW w:w="1903" w:type="dxa"/>
          </w:tcPr>
          <w:p>
            <w:pPr>
              <w:pStyle w:val="TableParagraph"/>
              <w:spacing w:line="257" w:lineRule="exact"/>
              <w:ind w:left="245"/>
              <w:rPr>
                <w:sz w:val="21"/>
              </w:rPr>
            </w:pPr>
            <w:r>
              <w:rPr>
                <w:sz w:val="21"/>
              </w:rPr>
              <w:t>19. 严重帕金森</w:t>
            </w:r>
          </w:p>
          <w:p>
            <w:pPr>
              <w:pStyle w:val="TableParagraph"/>
              <w:spacing w:before="37"/>
              <w:ind w:left="245"/>
              <w:rPr>
                <w:sz w:val="21"/>
              </w:rPr>
            </w:pPr>
            <w:r>
              <w:rPr>
                <w:sz w:val="21"/>
              </w:rPr>
              <w:t>病 </w:t>
            </w:r>
          </w:p>
        </w:tc>
        <w:tc>
          <w:tcPr>
            <w:tcW w:w="7862" w:type="dxa"/>
          </w:tcPr>
          <w:p>
            <w:pPr>
              <w:pStyle w:val="TableParagraph"/>
              <w:spacing w:line="257" w:lineRule="exact"/>
              <w:rPr>
                <w:sz w:val="21"/>
              </w:rPr>
            </w:pPr>
            <w:r>
              <w:rPr>
                <w:sz w:val="21"/>
              </w:rPr>
              <w:t>是一种中枢神经系统的退行性疾病，临床表现为震颤麻痹、共济失调等。须满足</w:t>
            </w:r>
          </w:p>
          <w:p>
            <w:pPr>
              <w:pStyle w:val="TableParagraph"/>
              <w:spacing w:before="37"/>
              <w:rPr>
                <w:sz w:val="21"/>
              </w:rPr>
            </w:pPr>
            <w:r>
              <w:rPr>
                <w:sz w:val="21"/>
              </w:rPr>
              <w:t>下列全部条件：  </w:t>
            </w:r>
          </w:p>
          <w:p>
            <w:pPr>
              <w:pStyle w:val="TableParagraph"/>
              <w:spacing w:before="37"/>
              <w:rPr>
                <w:sz w:val="21"/>
              </w:rPr>
            </w:pPr>
            <w:r>
              <w:rPr>
                <w:sz w:val="21"/>
              </w:rPr>
              <w:t>（1） 药物治疗无法控制病情；  </w:t>
            </w:r>
          </w:p>
          <w:p>
            <w:pPr>
              <w:pStyle w:val="TableParagraph"/>
              <w:spacing w:line="273" w:lineRule="auto" w:before="37"/>
              <w:ind w:left="622" w:right="506" w:hanging="541"/>
              <w:rPr>
                <w:sz w:val="21"/>
              </w:rPr>
            </w:pPr>
            <w:r>
              <w:rPr>
                <w:sz w:val="21"/>
              </w:rPr>
              <w:t>（2）</w:t>
            </w:r>
            <w:r>
              <w:rPr>
                <w:spacing w:val="-10"/>
                <w:sz w:val="21"/>
              </w:rPr>
              <w:t> 自主生活能力完全丧失，无法独立完成六项基本日常生活活动中的三项或</w:t>
            </w:r>
            <w:r>
              <w:rPr>
                <w:spacing w:val="-6"/>
                <w:sz w:val="21"/>
              </w:rPr>
              <w:t>三项以上。 </w:t>
            </w:r>
            <w:r>
              <w:rPr>
                <w:sz w:val="21"/>
              </w:rPr>
              <w:t> </w:t>
            </w:r>
          </w:p>
          <w:p>
            <w:pPr>
              <w:pStyle w:val="TableParagraph"/>
              <w:spacing w:line="294" w:lineRule="exact"/>
              <w:rPr>
                <w:rFonts w:ascii="黑体" w:eastAsia="黑体" w:hint="eastAsia"/>
                <w:sz w:val="24"/>
              </w:rPr>
            </w:pPr>
            <w:r>
              <w:rPr>
                <w:rFonts w:ascii="黑体" w:eastAsia="黑体" w:hint="eastAsia"/>
                <w:sz w:val="24"/>
              </w:rPr>
              <w:t>继发性帕金森综合征不在保障范围内。</w:t>
            </w:r>
          </w:p>
        </w:tc>
      </w:tr>
      <w:tr>
        <w:trPr>
          <w:trHeight w:val="306" w:hRule="atLeast"/>
        </w:trPr>
        <w:tc>
          <w:tcPr>
            <w:tcW w:w="758" w:type="dxa"/>
          </w:tcPr>
          <w:p>
            <w:pPr>
              <w:pStyle w:val="TableParagraph"/>
              <w:spacing w:line="252" w:lineRule="exact"/>
              <w:ind w:left="0" w:right="242"/>
              <w:jc w:val="right"/>
              <w:rPr>
                <w:b/>
                <w:sz w:val="21"/>
              </w:rPr>
            </w:pPr>
            <w:r>
              <w:rPr>
                <w:b/>
                <w:w w:val="99"/>
                <w:sz w:val="21"/>
              </w:rPr>
              <w:t> </w:t>
            </w:r>
          </w:p>
        </w:tc>
        <w:tc>
          <w:tcPr>
            <w:tcW w:w="1903" w:type="dxa"/>
          </w:tcPr>
          <w:p>
            <w:pPr>
              <w:pStyle w:val="TableParagraph"/>
              <w:spacing w:line="252" w:lineRule="exact"/>
              <w:ind w:left="245"/>
              <w:rPr>
                <w:sz w:val="21"/>
              </w:rPr>
            </w:pPr>
            <w:r>
              <w:rPr>
                <w:w w:val="100"/>
                <w:sz w:val="21"/>
              </w:rPr>
              <w:t> </w:t>
            </w:r>
          </w:p>
        </w:tc>
        <w:tc>
          <w:tcPr>
            <w:tcW w:w="7862" w:type="dxa"/>
          </w:tcPr>
          <w:p>
            <w:pPr>
              <w:pStyle w:val="TableParagraph"/>
              <w:spacing w:line="252" w:lineRule="exact"/>
              <w:rPr>
                <w:sz w:val="21"/>
              </w:rPr>
            </w:pPr>
            <w:r>
              <w:rPr>
                <w:w w:val="100"/>
                <w:sz w:val="21"/>
              </w:rPr>
              <w:t> </w:t>
            </w:r>
          </w:p>
        </w:tc>
      </w:tr>
      <w:tr>
        <w:trPr>
          <w:trHeight w:val="623" w:hRule="atLeast"/>
        </w:trPr>
        <w:tc>
          <w:tcPr>
            <w:tcW w:w="758" w:type="dxa"/>
          </w:tcPr>
          <w:p>
            <w:pPr>
              <w:pStyle w:val="TableParagraph"/>
              <w:spacing w:line="257" w:lineRule="exact"/>
              <w:ind w:left="0" w:right="242"/>
              <w:jc w:val="right"/>
              <w:rPr>
                <w:b/>
                <w:sz w:val="21"/>
              </w:rPr>
            </w:pPr>
            <w:r>
              <w:rPr>
                <w:b/>
                <w:w w:val="99"/>
                <w:sz w:val="21"/>
              </w:rPr>
              <w:t> </w:t>
            </w:r>
          </w:p>
        </w:tc>
        <w:tc>
          <w:tcPr>
            <w:tcW w:w="1903" w:type="dxa"/>
          </w:tcPr>
          <w:p>
            <w:pPr>
              <w:pStyle w:val="TableParagraph"/>
              <w:spacing w:line="257" w:lineRule="exact"/>
              <w:ind w:left="245"/>
              <w:rPr>
                <w:sz w:val="21"/>
              </w:rPr>
            </w:pPr>
            <w:r>
              <w:rPr>
                <w:sz w:val="21"/>
              </w:rPr>
              <w:t>20. 严重Ⅲ度烧</w:t>
            </w:r>
          </w:p>
          <w:p>
            <w:pPr>
              <w:pStyle w:val="TableParagraph"/>
              <w:spacing w:before="37"/>
              <w:ind w:left="245"/>
              <w:rPr>
                <w:sz w:val="21"/>
              </w:rPr>
            </w:pPr>
            <w:r>
              <w:rPr>
                <w:sz w:val="21"/>
              </w:rPr>
              <w:t>伤 </w:t>
            </w:r>
          </w:p>
        </w:tc>
        <w:tc>
          <w:tcPr>
            <w:tcW w:w="7862" w:type="dxa"/>
          </w:tcPr>
          <w:p>
            <w:pPr>
              <w:pStyle w:val="TableParagraph"/>
              <w:spacing w:line="257" w:lineRule="exact"/>
              <w:rPr>
                <w:sz w:val="21"/>
              </w:rPr>
            </w:pPr>
            <w:r>
              <w:rPr>
                <w:sz w:val="21"/>
              </w:rPr>
              <w:t>指烧伤程度为Ⅲ度，且Ⅲ度烧伤的面积达到全身体表面积的20％或20％以上。体</w:t>
            </w:r>
          </w:p>
          <w:p>
            <w:pPr>
              <w:pStyle w:val="TableParagraph"/>
              <w:spacing w:before="37"/>
              <w:rPr>
                <w:sz w:val="21"/>
              </w:rPr>
            </w:pPr>
            <w:r>
              <w:rPr>
                <w:sz w:val="21"/>
              </w:rPr>
              <w:t>表面积根据《中国新九分法》计算。 </w:t>
            </w:r>
          </w:p>
        </w:tc>
      </w:tr>
      <w:tr>
        <w:trPr>
          <w:trHeight w:val="312" w:hRule="atLeast"/>
        </w:trPr>
        <w:tc>
          <w:tcPr>
            <w:tcW w:w="758" w:type="dxa"/>
          </w:tcPr>
          <w:p>
            <w:pPr>
              <w:pStyle w:val="TableParagraph"/>
              <w:spacing w:line="257" w:lineRule="exact"/>
              <w:ind w:left="0" w:right="242"/>
              <w:jc w:val="right"/>
              <w:rPr>
                <w:b/>
                <w:sz w:val="21"/>
              </w:rPr>
            </w:pPr>
            <w:r>
              <w:rPr>
                <w:b/>
                <w:w w:val="99"/>
                <w:sz w:val="21"/>
              </w:rPr>
              <w:t> </w:t>
            </w:r>
          </w:p>
        </w:tc>
        <w:tc>
          <w:tcPr>
            <w:tcW w:w="1903" w:type="dxa"/>
          </w:tcPr>
          <w:p>
            <w:pPr>
              <w:pStyle w:val="TableParagraph"/>
              <w:spacing w:line="257" w:lineRule="exact"/>
              <w:ind w:left="245"/>
              <w:rPr>
                <w:sz w:val="21"/>
              </w:rPr>
            </w:pPr>
            <w:r>
              <w:rPr>
                <w:w w:val="100"/>
                <w:sz w:val="21"/>
              </w:rPr>
              <w:t> </w:t>
            </w:r>
          </w:p>
        </w:tc>
        <w:tc>
          <w:tcPr>
            <w:tcW w:w="7862" w:type="dxa"/>
          </w:tcPr>
          <w:p>
            <w:pPr>
              <w:pStyle w:val="TableParagraph"/>
              <w:spacing w:line="257" w:lineRule="exact"/>
              <w:rPr>
                <w:sz w:val="21"/>
              </w:rPr>
            </w:pPr>
            <w:r>
              <w:rPr>
                <w:w w:val="100"/>
                <w:sz w:val="21"/>
              </w:rPr>
              <w:t> </w:t>
            </w:r>
          </w:p>
        </w:tc>
      </w:tr>
      <w:tr>
        <w:trPr>
          <w:trHeight w:val="261" w:hRule="atLeast"/>
        </w:trPr>
        <w:tc>
          <w:tcPr>
            <w:tcW w:w="758" w:type="dxa"/>
          </w:tcPr>
          <w:p>
            <w:pPr>
              <w:pStyle w:val="TableParagraph"/>
              <w:spacing w:line="242" w:lineRule="exact"/>
              <w:ind w:left="0" w:right="242"/>
              <w:jc w:val="right"/>
              <w:rPr>
                <w:b/>
                <w:sz w:val="21"/>
              </w:rPr>
            </w:pPr>
            <w:r>
              <w:rPr>
                <w:b/>
                <w:w w:val="99"/>
                <w:sz w:val="21"/>
              </w:rPr>
              <w:t> </w:t>
            </w:r>
          </w:p>
        </w:tc>
        <w:tc>
          <w:tcPr>
            <w:tcW w:w="1903" w:type="dxa"/>
          </w:tcPr>
          <w:p>
            <w:pPr>
              <w:pStyle w:val="TableParagraph"/>
              <w:spacing w:line="242" w:lineRule="exact"/>
              <w:ind w:left="245"/>
              <w:rPr>
                <w:sz w:val="21"/>
              </w:rPr>
            </w:pPr>
            <w:r>
              <w:rPr>
                <w:sz w:val="21"/>
              </w:rPr>
              <w:t>21. 严重原发性</w:t>
            </w:r>
          </w:p>
        </w:tc>
        <w:tc>
          <w:tcPr>
            <w:tcW w:w="7862" w:type="dxa"/>
          </w:tcPr>
          <w:p>
            <w:pPr>
              <w:pStyle w:val="TableParagraph"/>
              <w:spacing w:line="242" w:lineRule="exact"/>
              <w:rPr>
                <w:sz w:val="21"/>
              </w:rPr>
            </w:pPr>
            <w:r>
              <w:rPr>
                <w:sz w:val="21"/>
              </w:rPr>
              <w:t>指不明原因的肺动脉压力持续性增高，进行性发展而导致的慢性疾病，已经造成</w:t>
            </w:r>
          </w:p>
        </w:tc>
      </w:tr>
    </w:tbl>
    <w:p>
      <w:pPr>
        <w:spacing w:after="0" w:line="242" w:lineRule="exact"/>
        <w:rPr>
          <w:sz w:val="21"/>
        </w:rPr>
        <w:sectPr>
          <w:pgSz w:w="11910" w:h="16840"/>
          <w:pgMar w:header="0" w:footer="380"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
        <w:gridCol w:w="1903"/>
        <w:gridCol w:w="7862"/>
      </w:tblGrid>
      <w:tr>
        <w:trPr>
          <w:trHeight w:val="624" w:hRule="atLeast"/>
        </w:trPr>
        <w:tc>
          <w:tcPr>
            <w:tcW w:w="758" w:type="dxa"/>
            <w:tcBorders>
              <w:top w:val="single" w:sz="6" w:space="0" w:color="000000"/>
            </w:tcBorders>
          </w:tcPr>
          <w:p>
            <w:pPr>
              <w:pStyle w:val="TableParagraph"/>
              <w:ind w:left="0"/>
              <w:rPr>
                <w:rFonts w:ascii="Times New Roman"/>
                <w:sz w:val="20"/>
              </w:rPr>
            </w:pPr>
          </w:p>
        </w:tc>
        <w:tc>
          <w:tcPr>
            <w:tcW w:w="1903" w:type="dxa"/>
            <w:tcBorders>
              <w:top w:val="single" w:sz="6" w:space="0" w:color="000000"/>
            </w:tcBorders>
          </w:tcPr>
          <w:p>
            <w:pPr>
              <w:pStyle w:val="TableParagraph"/>
              <w:spacing w:line="258" w:lineRule="exact"/>
              <w:ind w:left="245"/>
              <w:rPr>
                <w:sz w:val="21"/>
              </w:rPr>
            </w:pPr>
            <w:r>
              <w:rPr>
                <w:sz w:val="21"/>
              </w:rPr>
              <w:t>肺动脉高压 </w:t>
            </w:r>
          </w:p>
        </w:tc>
        <w:tc>
          <w:tcPr>
            <w:tcW w:w="7862" w:type="dxa"/>
            <w:tcBorders>
              <w:top w:val="single" w:sz="6" w:space="0" w:color="000000"/>
            </w:tcBorders>
          </w:tcPr>
          <w:p>
            <w:pPr>
              <w:pStyle w:val="TableParagraph"/>
              <w:spacing w:line="258" w:lineRule="exact"/>
              <w:rPr>
                <w:sz w:val="21"/>
              </w:rPr>
            </w:pPr>
            <w:r>
              <w:rPr>
                <w:sz w:val="21"/>
              </w:rPr>
              <w:t>永久不可逆性的体力活动能力受限，达到美国纽约心脏病学会心功能状态分级IV</w:t>
            </w:r>
          </w:p>
          <w:p>
            <w:pPr>
              <w:pStyle w:val="TableParagraph"/>
              <w:spacing w:before="37"/>
              <w:rPr>
                <w:sz w:val="21"/>
              </w:rPr>
            </w:pPr>
            <w:r>
              <w:rPr>
                <w:sz w:val="21"/>
              </w:rPr>
              <w:t>级，且静息状态下肺动脉平均压超过30mmHg。 </w:t>
            </w:r>
          </w:p>
        </w:tc>
      </w:tr>
      <w:tr>
        <w:trPr>
          <w:trHeight w:val="312" w:hRule="atLeast"/>
        </w:trPr>
        <w:tc>
          <w:tcPr>
            <w:tcW w:w="758" w:type="dxa"/>
          </w:tcPr>
          <w:p>
            <w:pPr>
              <w:pStyle w:val="TableParagraph"/>
              <w:spacing w:line="257" w:lineRule="exact"/>
              <w:ind w:left="0" w:right="242"/>
              <w:jc w:val="right"/>
              <w:rPr>
                <w:b/>
                <w:sz w:val="21"/>
              </w:rPr>
            </w:pPr>
            <w:r>
              <w:rPr>
                <w:b/>
                <w:w w:val="99"/>
                <w:sz w:val="21"/>
              </w:rPr>
              <w:t> </w:t>
            </w:r>
          </w:p>
        </w:tc>
        <w:tc>
          <w:tcPr>
            <w:tcW w:w="1903" w:type="dxa"/>
          </w:tcPr>
          <w:p>
            <w:pPr>
              <w:pStyle w:val="TableParagraph"/>
              <w:spacing w:line="257" w:lineRule="exact"/>
              <w:ind w:left="245"/>
              <w:rPr>
                <w:sz w:val="21"/>
              </w:rPr>
            </w:pPr>
            <w:r>
              <w:rPr>
                <w:w w:val="100"/>
                <w:sz w:val="21"/>
              </w:rPr>
              <w:t> </w:t>
            </w:r>
          </w:p>
        </w:tc>
        <w:tc>
          <w:tcPr>
            <w:tcW w:w="7862" w:type="dxa"/>
          </w:tcPr>
          <w:p>
            <w:pPr>
              <w:pStyle w:val="TableParagraph"/>
              <w:spacing w:line="257" w:lineRule="exact"/>
              <w:rPr>
                <w:sz w:val="21"/>
              </w:rPr>
            </w:pPr>
            <w:r>
              <w:rPr>
                <w:w w:val="100"/>
                <w:sz w:val="21"/>
              </w:rPr>
              <w:t> </w:t>
            </w:r>
          </w:p>
        </w:tc>
      </w:tr>
      <w:tr>
        <w:trPr>
          <w:trHeight w:val="935" w:hRule="atLeast"/>
        </w:trPr>
        <w:tc>
          <w:tcPr>
            <w:tcW w:w="758" w:type="dxa"/>
          </w:tcPr>
          <w:p>
            <w:pPr>
              <w:pStyle w:val="TableParagraph"/>
              <w:spacing w:line="257" w:lineRule="exact"/>
              <w:ind w:left="0" w:right="242"/>
              <w:jc w:val="right"/>
              <w:rPr>
                <w:b/>
                <w:sz w:val="21"/>
              </w:rPr>
            </w:pPr>
            <w:r>
              <w:rPr>
                <w:b/>
                <w:w w:val="99"/>
                <w:sz w:val="21"/>
              </w:rPr>
              <w:t> </w:t>
            </w:r>
          </w:p>
        </w:tc>
        <w:tc>
          <w:tcPr>
            <w:tcW w:w="1903" w:type="dxa"/>
          </w:tcPr>
          <w:p>
            <w:pPr>
              <w:pStyle w:val="TableParagraph"/>
              <w:spacing w:line="257" w:lineRule="exact"/>
              <w:ind w:left="245"/>
              <w:rPr>
                <w:sz w:val="21"/>
              </w:rPr>
            </w:pPr>
            <w:r>
              <w:rPr>
                <w:sz w:val="21"/>
              </w:rPr>
              <w:t>22. 严重运动神</w:t>
            </w:r>
          </w:p>
          <w:p>
            <w:pPr>
              <w:pStyle w:val="TableParagraph"/>
              <w:spacing w:before="37"/>
              <w:ind w:left="245"/>
              <w:rPr>
                <w:sz w:val="21"/>
              </w:rPr>
            </w:pPr>
            <w:r>
              <w:rPr>
                <w:sz w:val="21"/>
              </w:rPr>
              <w:t>经元病 </w:t>
            </w:r>
          </w:p>
        </w:tc>
        <w:tc>
          <w:tcPr>
            <w:tcW w:w="7862" w:type="dxa"/>
          </w:tcPr>
          <w:p>
            <w:pPr>
              <w:pStyle w:val="TableParagraph"/>
              <w:spacing w:line="257" w:lineRule="exact"/>
              <w:rPr>
                <w:sz w:val="21"/>
              </w:rPr>
            </w:pPr>
            <w:r>
              <w:rPr>
                <w:sz w:val="21"/>
              </w:rPr>
              <w:t>是一组中枢神经系统运动神经元的进行性变性疾病，包括进行性脊肌萎缩症、进</w:t>
            </w:r>
          </w:p>
          <w:p>
            <w:pPr>
              <w:pStyle w:val="TableParagraph"/>
              <w:spacing w:line="273" w:lineRule="auto" w:before="37"/>
              <w:ind w:right="318"/>
              <w:rPr>
                <w:sz w:val="21"/>
              </w:rPr>
            </w:pPr>
            <w:r>
              <w:rPr>
                <w:spacing w:val="-3"/>
                <w:sz w:val="21"/>
              </w:rPr>
              <w:t>行性延髓麻痹症、原发性侧索硬化症、肌萎缩性侧索硬化症。须满足自主生活能</w:t>
            </w:r>
            <w:r>
              <w:rPr>
                <w:spacing w:val="-4"/>
                <w:sz w:val="21"/>
              </w:rPr>
              <w:t>力完全丧失，无法独立完成六项基本日常生活活动中的三项或三项以上的条件。</w:t>
            </w:r>
            <w:r>
              <w:rPr>
                <w:sz w:val="21"/>
              </w:rPr>
              <w:t> </w:t>
            </w:r>
          </w:p>
        </w:tc>
      </w:tr>
      <w:tr>
        <w:trPr>
          <w:trHeight w:val="312" w:hRule="atLeast"/>
        </w:trPr>
        <w:tc>
          <w:tcPr>
            <w:tcW w:w="758" w:type="dxa"/>
          </w:tcPr>
          <w:p>
            <w:pPr>
              <w:pStyle w:val="TableParagraph"/>
              <w:spacing w:line="257" w:lineRule="exact"/>
              <w:ind w:left="0" w:right="242"/>
              <w:jc w:val="right"/>
              <w:rPr>
                <w:b/>
                <w:sz w:val="21"/>
              </w:rPr>
            </w:pPr>
            <w:r>
              <w:rPr>
                <w:b/>
                <w:w w:val="99"/>
                <w:sz w:val="21"/>
              </w:rPr>
              <w:t> </w:t>
            </w:r>
          </w:p>
        </w:tc>
        <w:tc>
          <w:tcPr>
            <w:tcW w:w="1903" w:type="dxa"/>
          </w:tcPr>
          <w:p>
            <w:pPr>
              <w:pStyle w:val="TableParagraph"/>
              <w:spacing w:line="257" w:lineRule="exact"/>
              <w:ind w:left="245"/>
              <w:rPr>
                <w:sz w:val="21"/>
              </w:rPr>
            </w:pPr>
            <w:r>
              <w:rPr>
                <w:w w:val="100"/>
                <w:sz w:val="21"/>
              </w:rPr>
              <w:t> </w:t>
            </w:r>
          </w:p>
        </w:tc>
        <w:tc>
          <w:tcPr>
            <w:tcW w:w="7862" w:type="dxa"/>
          </w:tcPr>
          <w:p>
            <w:pPr>
              <w:pStyle w:val="TableParagraph"/>
              <w:spacing w:line="257" w:lineRule="exact"/>
              <w:rPr>
                <w:sz w:val="21"/>
              </w:rPr>
            </w:pPr>
            <w:r>
              <w:rPr>
                <w:w w:val="100"/>
                <w:sz w:val="21"/>
              </w:rPr>
              <w:t> </w:t>
            </w:r>
          </w:p>
        </w:tc>
      </w:tr>
      <w:tr>
        <w:trPr>
          <w:trHeight w:val="941" w:hRule="atLeast"/>
        </w:trPr>
        <w:tc>
          <w:tcPr>
            <w:tcW w:w="758" w:type="dxa"/>
          </w:tcPr>
          <w:p>
            <w:pPr>
              <w:pStyle w:val="TableParagraph"/>
              <w:spacing w:line="257" w:lineRule="exact"/>
              <w:ind w:left="0" w:right="242"/>
              <w:jc w:val="right"/>
              <w:rPr>
                <w:b/>
                <w:sz w:val="21"/>
              </w:rPr>
            </w:pPr>
            <w:r>
              <w:rPr>
                <w:b/>
                <w:w w:val="99"/>
                <w:sz w:val="21"/>
              </w:rPr>
              <w:t> </w:t>
            </w:r>
          </w:p>
        </w:tc>
        <w:tc>
          <w:tcPr>
            <w:tcW w:w="1903" w:type="dxa"/>
          </w:tcPr>
          <w:p>
            <w:pPr>
              <w:pStyle w:val="TableParagraph"/>
              <w:spacing w:line="257" w:lineRule="exact"/>
              <w:ind w:left="245"/>
              <w:rPr>
                <w:sz w:val="21"/>
              </w:rPr>
            </w:pPr>
            <w:r>
              <w:rPr>
                <w:sz w:val="21"/>
              </w:rPr>
              <w:t>23. 语言能力丧</w:t>
            </w:r>
          </w:p>
          <w:p>
            <w:pPr>
              <w:pStyle w:val="TableParagraph"/>
              <w:spacing w:before="37"/>
              <w:ind w:left="245"/>
              <w:rPr>
                <w:sz w:val="21"/>
              </w:rPr>
            </w:pPr>
            <w:r>
              <w:rPr>
                <w:sz w:val="21"/>
              </w:rPr>
              <w:t>失 </w:t>
            </w:r>
          </w:p>
        </w:tc>
        <w:tc>
          <w:tcPr>
            <w:tcW w:w="7862" w:type="dxa"/>
          </w:tcPr>
          <w:p>
            <w:pPr>
              <w:pStyle w:val="TableParagraph"/>
              <w:spacing w:line="257" w:lineRule="exact"/>
              <w:rPr>
                <w:sz w:val="21"/>
              </w:rPr>
            </w:pPr>
            <w:r>
              <w:rPr>
                <w:sz w:val="21"/>
              </w:rPr>
              <w:t>指因疾病或意外伤害导致完全丧失语言能力，经过积极治疗至少12个月（声带完</w:t>
            </w:r>
          </w:p>
          <w:p>
            <w:pPr>
              <w:pStyle w:val="TableParagraph"/>
              <w:spacing w:before="37"/>
              <w:rPr>
                <w:sz w:val="21"/>
              </w:rPr>
            </w:pPr>
            <w:r>
              <w:rPr>
                <w:sz w:val="21"/>
              </w:rPr>
              <w:t>全切除不受此时间限制），仍无法通过现有医疗手段恢复。  </w:t>
            </w:r>
          </w:p>
          <w:p>
            <w:pPr>
              <w:pStyle w:val="TableParagraph"/>
              <w:spacing w:before="9"/>
              <w:rPr>
                <w:rFonts w:ascii="黑体" w:eastAsia="黑体" w:hint="eastAsia"/>
                <w:sz w:val="24"/>
              </w:rPr>
            </w:pPr>
            <w:r>
              <w:rPr>
                <w:rFonts w:ascii="黑体" w:eastAsia="黑体" w:hint="eastAsia"/>
                <w:sz w:val="24"/>
              </w:rPr>
              <w:t>精神心理因素所致的语言能力丧失不在保障范围内。</w:t>
            </w:r>
          </w:p>
        </w:tc>
      </w:tr>
      <w:tr>
        <w:trPr>
          <w:trHeight w:val="306" w:hRule="atLeast"/>
        </w:trPr>
        <w:tc>
          <w:tcPr>
            <w:tcW w:w="758" w:type="dxa"/>
          </w:tcPr>
          <w:p>
            <w:pPr>
              <w:pStyle w:val="TableParagraph"/>
              <w:spacing w:line="252" w:lineRule="exact"/>
              <w:ind w:left="0" w:right="242"/>
              <w:jc w:val="right"/>
              <w:rPr>
                <w:b/>
                <w:sz w:val="21"/>
              </w:rPr>
            </w:pPr>
            <w:r>
              <w:rPr>
                <w:b/>
                <w:w w:val="99"/>
                <w:sz w:val="21"/>
              </w:rPr>
              <w:t> </w:t>
            </w:r>
          </w:p>
        </w:tc>
        <w:tc>
          <w:tcPr>
            <w:tcW w:w="1903" w:type="dxa"/>
          </w:tcPr>
          <w:p>
            <w:pPr>
              <w:pStyle w:val="TableParagraph"/>
              <w:spacing w:line="252" w:lineRule="exact"/>
              <w:ind w:left="245"/>
              <w:rPr>
                <w:sz w:val="21"/>
              </w:rPr>
            </w:pPr>
            <w:r>
              <w:rPr>
                <w:w w:val="100"/>
                <w:sz w:val="21"/>
              </w:rPr>
              <w:t> </w:t>
            </w:r>
          </w:p>
        </w:tc>
        <w:tc>
          <w:tcPr>
            <w:tcW w:w="7862" w:type="dxa"/>
          </w:tcPr>
          <w:p>
            <w:pPr>
              <w:pStyle w:val="TableParagraph"/>
              <w:spacing w:line="252" w:lineRule="exact"/>
              <w:rPr>
                <w:sz w:val="21"/>
              </w:rPr>
            </w:pPr>
            <w:r>
              <w:rPr>
                <w:w w:val="100"/>
                <w:sz w:val="21"/>
              </w:rPr>
              <w:t> </w:t>
            </w:r>
          </w:p>
        </w:tc>
      </w:tr>
      <w:tr>
        <w:trPr>
          <w:trHeight w:val="2744" w:hRule="atLeast"/>
        </w:trPr>
        <w:tc>
          <w:tcPr>
            <w:tcW w:w="758" w:type="dxa"/>
          </w:tcPr>
          <w:p>
            <w:pPr>
              <w:pStyle w:val="TableParagraph"/>
              <w:spacing w:line="257" w:lineRule="exact"/>
              <w:ind w:left="0" w:right="242"/>
              <w:jc w:val="right"/>
              <w:rPr>
                <w:b/>
                <w:sz w:val="21"/>
              </w:rPr>
            </w:pPr>
            <w:r>
              <w:rPr>
                <w:b/>
                <w:w w:val="99"/>
                <w:sz w:val="21"/>
              </w:rPr>
              <w:t> </w:t>
            </w:r>
          </w:p>
        </w:tc>
        <w:tc>
          <w:tcPr>
            <w:tcW w:w="1903" w:type="dxa"/>
          </w:tcPr>
          <w:p>
            <w:pPr>
              <w:pStyle w:val="TableParagraph"/>
              <w:spacing w:line="257" w:lineRule="exact"/>
              <w:ind w:left="245"/>
              <w:rPr>
                <w:sz w:val="21"/>
              </w:rPr>
            </w:pPr>
            <w:r>
              <w:rPr>
                <w:sz w:val="21"/>
              </w:rPr>
              <w:t>24. 重型再生障</w:t>
            </w:r>
          </w:p>
          <w:p>
            <w:pPr>
              <w:pStyle w:val="TableParagraph"/>
              <w:spacing w:before="37"/>
              <w:ind w:left="244"/>
              <w:rPr>
                <w:sz w:val="21"/>
              </w:rPr>
            </w:pPr>
            <w:r>
              <w:rPr>
                <w:sz w:val="21"/>
              </w:rPr>
              <w:t>碍性贫血 </w:t>
            </w:r>
          </w:p>
        </w:tc>
        <w:tc>
          <w:tcPr>
            <w:tcW w:w="7862" w:type="dxa"/>
          </w:tcPr>
          <w:p>
            <w:pPr>
              <w:pStyle w:val="TableParagraph"/>
              <w:spacing w:line="257" w:lineRule="exact"/>
              <w:ind w:left="81"/>
              <w:rPr>
                <w:sz w:val="21"/>
              </w:rPr>
            </w:pPr>
            <w:r>
              <w:rPr>
                <w:sz w:val="21"/>
              </w:rPr>
              <w:t>指因骨髓造血功能慢性持续性衰竭导致的贫血、中性粒细胞减少及血小板减少。</w:t>
            </w:r>
          </w:p>
          <w:p>
            <w:pPr>
              <w:pStyle w:val="TableParagraph"/>
              <w:spacing w:before="37"/>
              <w:ind w:left="81"/>
              <w:rPr>
                <w:sz w:val="21"/>
              </w:rPr>
            </w:pPr>
            <w:r>
              <w:rPr>
                <w:sz w:val="21"/>
              </w:rPr>
              <w:t>须满足下列全部条件：  </w:t>
            </w:r>
          </w:p>
          <w:p>
            <w:pPr>
              <w:pStyle w:val="TableParagraph"/>
              <w:spacing w:before="37"/>
              <w:ind w:left="81"/>
              <w:rPr>
                <w:sz w:val="21"/>
              </w:rPr>
            </w:pPr>
            <w:r>
              <w:rPr>
                <w:sz w:val="21"/>
              </w:rPr>
              <w:t>（1） 骨髓穿刺检查或骨髓活检结果支持诊断；  </w:t>
            </w:r>
          </w:p>
          <w:p>
            <w:pPr>
              <w:pStyle w:val="TableParagraph"/>
              <w:spacing w:before="37"/>
              <w:rPr>
                <w:sz w:val="21"/>
              </w:rPr>
            </w:pPr>
            <w:r>
              <w:rPr>
                <w:sz w:val="21"/>
              </w:rPr>
              <w:t>（2） 外周血象须具备以下三项条件：  </w:t>
            </w:r>
          </w:p>
          <w:p>
            <w:pPr>
              <w:pStyle w:val="TableParagraph"/>
              <w:spacing w:line="99" w:lineRule="exact" w:before="168"/>
              <w:ind w:left="0" w:right="704"/>
              <w:jc w:val="center"/>
              <w:rPr>
                <w:sz w:val="11"/>
              </w:rPr>
            </w:pPr>
            <w:r>
              <w:rPr>
                <w:w w:val="100"/>
                <w:sz w:val="11"/>
              </w:rPr>
              <w:t>9</w:t>
            </w:r>
          </w:p>
          <w:p>
            <w:pPr>
              <w:pStyle w:val="TableParagraph"/>
              <w:spacing w:line="230" w:lineRule="exact"/>
              <w:rPr>
                <w:sz w:val="21"/>
              </w:rPr>
            </w:pPr>
            <w:r>
              <w:rPr>
                <w:w w:val="100"/>
                <w:sz w:val="21"/>
              </w:rPr>
              <w:t>     </w:t>
            </w:r>
            <w:r>
              <w:rPr>
                <w:sz w:val="21"/>
              </w:rPr>
              <w:t>① 中性粒细胞绝对值≤0.5×10 /L ；  </w:t>
            </w:r>
          </w:p>
          <w:p>
            <w:pPr>
              <w:pStyle w:val="TableParagraph"/>
              <w:spacing w:before="165"/>
              <w:rPr>
                <w:sz w:val="21"/>
              </w:rPr>
            </w:pPr>
            <w:r>
              <w:rPr>
                <w:w w:val="100"/>
                <w:sz w:val="21"/>
              </w:rPr>
              <w:t>     </w:t>
            </w:r>
            <w:r>
              <w:rPr>
                <w:sz w:val="21"/>
              </w:rPr>
              <w:t>② 网织红细胞＜1%；  </w:t>
            </w:r>
          </w:p>
          <w:p>
            <w:pPr>
              <w:pStyle w:val="TableParagraph"/>
              <w:spacing w:line="99" w:lineRule="exact" w:before="168"/>
              <w:ind w:left="0" w:right="1755"/>
              <w:jc w:val="center"/>
              <w:rPr>
                <w:sz w:val="11"/>
              </w:rPr>
            </w:pPr>
            <w:r>
              <w:rPr>
                <w:w w:val="100"/>
                <w:sz w:val="11"/>
              </w:rPr>
              <w:t>9</w:t>
            </w:r>
          </w:p>
          <w:p>
            <w:pPr>
              <w:pStyle w:val="TableParagraph"/>
              <w:spacing w:line="230" w:lineRule="exact"/>
              <w:rPr>
                <w:sz w:val="21"/>
              </w:rPr>
            </w:pPr>
            <w:r>
              <w:rPr>
                <w:w w:val="100"/>
                <w:sz w:val="21"/>
              </w:rPr>
              <w:t>     </w:t>
            </w:r>
            <w:r>
              <w:rPr>
                <w:spacing w:val="-2"/>
                <w:sz w:val="21"/>
              </w:rPr>
              <w:t>③ 血小板绝对值</w:t>
            </w:r>
            <w:r>
              <w:rPr>
                <w:sz w:val="21"/>
              </w:rPr>
              <w:t>≤20×10</w:t>
            </w:r>
            <w:r>
              <w:rPr>
                <w:spacing w:val="-51"/>
                <w:sz w:val="21"/>
              </w:rPr>
              <w:t> </w:t>
            </w:r>
            <w:r>
              <w:rPr>
                <w:sz w:val="21"/>
              </w:rPr>
              <w:t>/L</w:t>
            </w:r>
            <w:r>
              <w:rPr>
                <w:spacing w:val="-3"/>
                <w:sz w:val="21"/>
              </w:rPr>
              <w:t>。</w:t>
            </w:r>
            <w:r>
              <w:rPr>
                <w:sz w:val="21"/>
              </w:rPr>
              <w:t> </w:t>
            </w:r>
          </w:p>
        </w:tc>
      </w:tr>
      <w:tr>
        <w:trPr>
          <w:trHeight w:val="375" w:hRule="atLeast"/>
        </w:trPr>
        <w:tc>
          <w:tcPr>
            <w:tcW w:w="758" w:type="dxa"/>
          </w:tcPr>
          <w:p>
            <w:pPr>
              <w:pStyle w:val="TableParagraph"/>
              <w:spacing w:before="46"/>
              <w:ind w:left="0" w:right="242"/>
              <w:jc w:val="right"/>
              <w:rPr>
                <w:b/>
                <w:sz w:val="21"/>
              </w:rPr>
            </w:pPr>
            <w:r>
              <w:rPr>
                <w:b/>
                <w:w w:val="99"/>
                <w:sz w:val="21"/>
              </w:rPr>
              <w:t> </w:t>
            </w:r>
          </w:p>
        </w:tc>
        <w:tc>
          <w:tcPr>
            <w:tcW w:w="1903" w:type="dxa"/>
          </w:tcPr>
          <w:p>
            <w:pPr>
              <w:pStyle w:val="TableParagraph"/>
              <w:spacing w:before="46"/>
              <w:ind w:left="245"/>
              <w:rPr>
                <w:sz w:val="21"/>
              </w:rPr>
            </w:pPr>
            <w:r>
              <w:rPr>
                <w:w w:val="100"/>
                <w:sz w:val="21"/>
              </w:rPr>
              <w:t> </w:t>
            </w:r>
          </w:p>
        </w:tc>
        <w:tc>
          <w:tcPr>
            <w:tcW w:w="7862" w:type="dxa"/>
          </w:tcPr>
          <w:p>
            <w:pPr>
              <w:pStyle w:val="TableParagraph"/>
              <w:spacing w:before="46"/>
              <w:rPr>
                <w:sz w:val="21"/>
              </w:rPr>
            </w:pPr>
            <w:r>
              <w:rPr>
                <w:w w:val="100"/>
                <w:sz w:val="21"/>
              </w:rPr>
              <w:t> </w:t>
            </w:r>
          </w:p>
        </w:tc>
      </w:tr>
      <w:tr>
        <w:trPr>
          <w:trHeight w:val="1253" w:hRule="atLeast"/>
        </w:trPr>
        <w:tc>
          <w:tcPr>
            <w:tcW w:w="758" w:type="dxa"/>
          </w:tcPr>
          <w:p>
            <w:pPr>
              <w:pStyle w:val="TableParagraph"/>
              <w:spacing w:line="257" w:lineRule="exact"/>
              <w:ind w:left="0" w:right="242"/>
              <w:jc w:val="right"/>
              <w:rPr>
                <w:b/>
                <w:sz w:val="21"/>
              </w:rPr>
            </w:pPr>
            <w:r>
              <w:rPr>
                <w:b/>
                <w:w w:val="99"/>
                <w:sz w:val="21"/>
              </w:rPr>
              <w:t> </w:t>
            </w:r>
          </w:p>
        </w:tc>
        <w:tc>
          <w:tcPr>
            <w:tcW w:w="1903" w:type="dxa"/>
          </w:tcPr>
          <w:p>
            <w:pPr>
              <w:pStyle w:val="TableParagraph"/>
              <w:spacing w:line="257" w:lineRule="exact"/>
              <w:ind w:left="245"/>
              <w:rPr>
                <w:sz w:val="21"/>
              </w:rPr>
            </w:pPr>
            <w:r>
              <w:rPr>
                <w:sz w:val="21"/>
              </w:rPr>
              <w:t>25. 主动脉手术 </w:t>
            </w:r>
          </w:p>
        </w:tc>
        <w:tc>
          <w:tcPr>
            <w:tcW w:w="7862" w:type="dxa"/>
          </w:tcPr>
          <w:p>
            <w:pPr>
              <w:pStyle w:val="TableParagraph"/>
              <w:spacing w:line="257" w:lineRule="exact"/>
              <w:rPr>
                <w:sz w:val="21"/>
              </w:rPr>
            </w:pPr>
            <w:r>
              <w:rPr>
                <w:sz w:val="21"/>
              </w:rPr>
              <w:t>指为治疗主动脉疾病，实际实施了开胸或开腹进行的切除、置换、修补病损主动</w:t>
            </w:r>
          </w:p>
          <w:p>
            <w:pPr>
              <w:pStyle w:val="TableParagraph"/>
              <w:spacing w:line="273" w:lineRule="auto" w:before="37"/>
              <w:ind w:right="413"/>
              <w:rPr>
                <w:sz w:val="21"/>
              </w:rPr>
            </w:pPr>
            <w:r>
              <w:rPr>
                <w:sz w:val="21"/>
              </w:rPr>
              <w:t>脉血管的手术。主动脉指胸主动脉和腹主动脉，不包括胸主动脉和腹主动脉的分支血管。  </w:t>
            </w:r>
          </w:p>
          <w:p>
            <w:pPr>
              <w:pStyle w:val="TableParagraph"/>
              <w:spacing w:line="294" w:lineRule="exact"/>
              <w:rPr>
                <w:rFonts w:ascii="黑体" w:eastAsia="黑体" w:hint="eastAsia"/>
                <w:sz w:val="24"/>
              </w:rPr>
            </w:pPr>
            <w:r>
              <w:rPr>
                <w:rFonts w:ascii="黑体" w:eastAsia="黑体" w:hint="eastAsia"/>
                <w:sz w:val="24"/>
              </w:rPr>
              <w:t>动脉内血管成形术不在保障范围内。</w:t>
            </w:r>
          </w:p>
        </w:tc>
      </w:tr>
      <w:tr>
        <w:trPr>
          <w:trHeight w:val="306" w:hRule="atLeast"/>
        </w:trPr>
        <w:tc>
          <w:tcPr>
            <w:tcW w:w="758" w:type="dxa"/>
          </w:tcPr>
          <w:p>
            <w:pPr>
              <w:pStyle w:val="TableParagraph"/>
              <w:spacing w:line="252" w:lineRule="exact"/>
              <w:ind w:left="0" w:right="242"/>
              <w:jc w:val="right"/>
              <w:rPr>
                <w:b/>
                <w:sz w:val="21"/>
              </w:rPr>
            </w:pPr>
            <w:r>
              <w:rPr>
                <w:b/>
                <w:w w:val="99"/>
                <w:sz w:val="21"/>
              </w:rPr>
              <w:t> </w:t>
            </w:r>
          </w:p>
        </w:tc>
        <w:tc>
          <w:tcPr>
            <w:tcW w:w="1903" w:type="dxa"/>
          </w:tcPr>
          <w:p>
            <w:pPr>
              <w:pStyle w:val="TableParagraph"/>
              <w:spacing w:line="252" w:lineRule="exact"/>
              <w:ind w:left="245"/>
              <w:rPr>
                <w:sz w:val="21"/>
              </w:rPr>
            </w:pPr>
            <w:r>
              <w:rPr>
                <w:w w:val="100"/>
                <w:sz w:val="21"/>
              </w:rPr>
              <w:t> </w:t>
            </w:r>
          </w:p>
        </w:tc>
        <w:tc>
          <w:tcPr>
            <w:tcW w:w="7862" w:type="dxa"/>
          </w:tcPr>
          <w:p>
            <w:pPr>
              <w:pStyle w:val="TableParagraph"/>
              <w:spacing w:line="252" w:lineRule="exact"/>
              <w:rPr>
                <w:sz w:val="21"/>
              </w:rPr>
            </w:pPr>
            <w:r>
              <w:rPr>
                <w:w w:val="100"/>
                <w:sz w:val="21"/>
              </w:rPr>
              <w:t> </w:t>
            </w:r>
          </w:p>
        </w:tc>
      </w:tr>
      <w:tr>
        <w:trPr>
          <w:trHeight w:val="2183" w:hRule="atLeast"/>
        </w:trPr>
        <w:tc>
          <w:tcPr>
            <w:tcW w:w="758" w:type="dxa"/>
          </w:tcPr>
          <w:p>
            <w:pPr>
              <w:pStyle w:val="TableParagraph"/>
              <w:ind w:left="0"/>
              <w:rPr>
                <w:rFonts w:ascii="Times New Roman"/>
                <w:sz w:val="20"/>
              </w:rPr>
            </w:pPr>
          </w:p>
        </w:tc>
        <w:tc>
          <w:tcPr>
            <w:tcW w:w="1903" w:type="dxa"/>
          </w:tcPr>
          <w:p>
            <w:pPr>
              <w:pStyle w:val="TableParagraph"/>
              <w:spacing w:line="257" w:lineRule="exact"/>
              <w:ind w:left="245"/>
              <w:rPr>
                <w:sz w:val="21"/>
              </w:rPr>
            </w:pPr>
            <w:r>
              <w:rPr>
                <w:sz w:val="21"/>
              </w:rPr>
              <w:t>26. 严重的多发</w:t>
            </w:r>
          </w:p>
          <w:p>
            <w:pPr>
              <w:pStyle w:val="TableParagraph"/>
              <w:spacing w:before="37"/>
              <w:ind w:left="245"/>
              <w:rPr>
                <w:sz w:val="21"/>
              </w:rPr>
            </w:pPr>
            <w:r>
              <w:rPr>
                <w:sz w:val="21"/>
              </w:rPr>
              <w:t>性硬化 </w:t>
            </w:r>
          </w:p>
        </w:tc>
        <w:tc>
          <w:tcPr>
            <w:tcW w:w="7862" w:type="dxa"/>
          </w:tcPr>
          <w:p>
            <w:pPr>
              <w:pStyle w:val="TableParagraph"/>
              <w:spacing w:line="257" w:lineRule="exact"/>
              <w:rPr>
                <w:sz w:val="21"/>
              </w:rPr>
            </w:pPr>
            <w:r>
              <w:rPr>
                <w:sz w:val="21"/>
              </w:rPr>
              <w:t>指因中枢神经系统脱髓鞘而导致的不可逆的身体部位的功能障碍，需由神经科专</w:t>
            </w:r>
          </w:p>
          <w:p>
            <w:pPr>
              <w:pStyle w:val="TableParagraph"/>
              <w:spacing w:line="256" w:lineRule="auto" w:before="37"/>
              <w:ind w:right="468"/>
              <w:rPr>
                <w:sz w:val="21"/>
              </w:rPr>
            </w:pPr>
            <w:r>
              <w:rPr>
                <w:sz w:val="21"/>
              </w:rPr>
              <w:t>科医生提供明确诊断，并有</w:t>
            </w:r>
            <w:r>
              <w:rPr>
                <w:rFonts w:ascii="Times New Roman" w:eastAsia="Times New Roman"/>
                <w:sz w:val="21"/>
              </w:rPr>
              <w:t>CT </w:t>
            </w:r>
            <w:r>
              <w:rPr>
                <w:sz w:val="21"/>
              </w:rPr>
              <w:t>或核磁共振检查结果诊断报告。不可逆的身体部位功能障碍指诊断为功能障碍后需已经持续</w:t>
            </w:r>
            <w:r>
              <w:rPr>
                <w:rFonts w:ascii="Times New Roman" w:eastAsia="Times New Roman"/>
                <w:sz w:val="21"/>
              </w:rPr>
              <w:t>180</w:t>
            </w:r>
            <w:r>
              <w:rPr>
                <w:sz w:val="21"/>
              </w:rPr>
              <w:t>天以上。</w:t>
            </w:r>
          </w:p>
          <w:p>
            <w:pPr>
              <w:pStyle w:val="TableParagraph"/>
              <w:spacing w:before="5"/>
              <w:rPr>
                <w:sz w:val="21"/>
              </w:rPr>
            </w:pPr>
            <w:r>
              <w:rPr>
                <w:sz w:val="21"/>
              </w:rPr>
              <w:t>由神经科专科医生提供的明确诊断必须同时包含下列内容：</w:t>
            </w:r>
          </w:p>
          <w:p>
            <w:pPr>
              <w:pStyle w:val="TableParagraph"/>
              <w:spacing w:before="37"/>
              <w:rPr>
                <w:sz w:val="21"/>
              </w:rPr>
            </w:pPr>
            <w:r>
              <w:rPr>
                <w:sz w:val="21"/>
              </w:rPr>
              <w:t>（1） 明确出现因视神经、脑干和脊髓损伤而导致的临床表现； </w:t>
            </w:r>
          </w:p>
          <w:p>
            <w:pPr>
              <w:pStyle w:val="TableParagraph"/>
              <w:spacing w:before="37"/>
              <w:rPr>
                <w:sz w:val="21"/>
              </w:rPr>
            </w:pPr>
            <w:r>
              <w:rPr>
                <w:sz w:val="21"/>
              </w:rPr>
              <w:t>（2） 神经系统散在的多部位病变； </w:t>
            </w:r>
          </w:p>
          <w:p>
            <w:pPr>
              <w:pStyle w:val="TableParagraph"/>
              <w:spacing w:before="37"/>
              <w:rPr>
                <w:sz w:val="21"/>
              </w:rPr>
            </w:pPr>
            <w:r>
              <w:rPr>
                <w:sz w:val="21"/>
              </w:rPr>
              <w:t>（3） 有明确的上述症状及神经损伤反复恶化、减轻的病史记录。</w:t>
            </w:r>
          </w:p>
        </w:tc>
      </w:tr>
      <w:tr>
        <w:trPr>
          <w:trHeight w:val="312" w:hRule="atLeast"/>
        </w:trPr>
        <w:tc>
          <w:tcPr>
            <w:tcW w:w="758" w:type="dxa"/>
          </w:tcPr>
          <w:p>
            <w:pPr>
              <w:pStyle w:val="TableParagraph"/>
              <w:ind w:left="0"/>
              <w:rPr>
                <w:rFonts w:ascii="Times New Roman"/>
                <w:sz w:val="20"/>
              </w:rPr>
            </w:pPr>
          </w:p>
        </w:tc>
        <w:tc>
          <w:tcPr>
            <w:tcW w:w="1903" w:type="dxa"/>
          </w:tcPr>
          <w:p>
            <w:pPr>
              <w:pStyle w:val="TableParagraph"/>
              <w:spacing w:line="258" w:lineRule="exact"/>
              <w:ind w:left="245"/>
              <w:rPr>
                <w:sz w:val="21"/>
              </w:rPr>
            </w:pPr>
            <w:r>
              <w:rPr>
                <w:w w:val="100"/>
                <w:sz w:val="21"/>
              </w:rPr>
              <w:t> </w:t>
            </w:r>
          </w:p>
        </w:tc>
        <w:tc>
          <w:tcPr>
            <w:tcW w:w="7862" w:type="dxa"/>
          </w:tcPr>
          <w:p>
            <w:pPr>
              <w:pStyle w:val="TableParagraph"/>
              <w:ind w:left="0"/>
              <w:rPr>
                <w:rFonts w:ascii="Times New Roman"/>
                <w:sz w:val="20"/>
              </w:rPr>
            </w:pPr>
          </w:p>
        </w:tc>
      </w:tr>
      <w:tr>
        <w:trPr>
          <w:trHeight w:val="2969" w:hRule="atLeast"/>
        </w:trPr>
        <w:tc>
          <w:tcPr>
            <w:tcW w:w="758" w:type="dxa"/>
          </w:tcPr>
          <w:p>
            <w:pPr>
              <w:pStyle w:val="TableParagraph"/>
              <w:ind w:left="0"/>
              <w:rPr>
                <w:rFonts w:ascii="Times New Roman"/>
                <w:sz w:val="20"/>
              </w:rPr>
            </w:pPr>
          </w:p>
        </w:tc>
        <w:tc>
          <w:tcPr>
            <w:tcW w:w="1903" w:type="dxa"/>
          </w:tcPr>
          <w:p>
            <w:pPr>
              <w:pStyle w:val="TableParagraph"/>
              <w:spacing w:line="257" w:lineRule="exact"/>
              <w:ind w:left="245"/>
              <w:rPr>
                <w:sz w:val="21"/>
              </w:rPr>
            </w:pPr>
            <w:r>
              <w:rPr>
                <w:sz w:val="21"/>
              </w:rPr>
              <w:t>27. 经输血导致</w:t>
            </w:r>
          </w:p>
          <w:p>
            <w:pPr>
              <w:pStyle w:val="TableParagraph"/>
              <w:spacing w:line="273" w:lineRule="auto" w:before="37"/>
              <w:ind w:left="245" w:right="122"/>
              <w:rPr>
                <w:sz w:val="21"/>
              </w:rPr>
            </w:pPr>
            <w:r>
              <w:rPr>
                <w:sz w:val="21"/>
              </w:rPr>
              <w:t>的艾滋病病毒感染 </w:t>
            </w:r>
          </w:p>
        </w:tc>
        <w:tc>
          <w:tcPr>
            <w:tcW w:w="7862" w:type="dxa"/>
          </w:tcPr>
          <w:p>
            <w:pPr>
              <w:pStyle w:val="TableParagraph"/>
              <w:spacing w:line="257" w:lineRule="exact"/>
              <w:rPr>
                <w:sz w:val="21"/>
              </w:rPr>
            </w:pPr>
            <w:r>
              <w:rPr>
                <w:sz w:val="21"/>
              </w:rPr>
              <w:t>指被保险人感染上人类免疫缺陷病毒（HIV）并且符合下列所有条件： </w:t>
            </w:r>
          </w:p>
          <w:p>
            <w:pPr>
              <w:pStyle w:val="TableParagraph"/>
              <w:spacing w:line="273" w:lineRule="auto" w:before="37"/>
              <w:ind w:left="622" w:right="410" w:hanging="541"/>
              <w:rPr>
                <w:sz w:val="21"/>
              </w:rPr>
            </w:pPr>
            <w:r>
              <w:rPr>
                <w:sz w:val="21"/>
              </w:rPr>
              <w:t>（1） 在合同生效日或最后复效日（以较迟者为准）起60日之后，被保险人因治疗必需而接受输血，并且因输血而感染HIV； </w:t>
            </w:r>
          </w:p>
          <w:p>
            <w:pPr>
              <w:pStyle w:val="TableParagraph"/>
              <w:spacing w:line="273" w:lineRule="auto" w:before="7"/>
              <w:ind w:left="622" w:right="412" w:hanging="541"/>
              <w:rPr>
                <w:sz w:val="21"/>
              </w:rPr>
            </w:pPr>
            <w:r>
              <w:rPr>
                <w:sz w:val="21"/>
              </w:rPr>
              <w:t>（2） 提供输血治疗的输血中心或医院出具该项输血感染属医疗责任事故的报告，或者法院终审判决为医疗责任； </w:t>
            </w:r>
          </w:p>
          <w:p>
            <w:pPr>
              <w:pStyle w:val="TableParagraph"/>
              <w:spacing w:before="7"/>
              <w:rPr>
                <w:sz w:val="21"/>
              </w:rPr>
            </w:pPr>
            <w:r>
              <w:rPr>
                <w:sz w:val="21"/>
              </w:rPr>
              <w:t>（3） 提供输血治疗的输血中心或医院必须拥有合法经营执照； </w:t>
            </w:r>
          </w:p>
          <w:p>
            <w:pPr>
              <w:pStyle w:val="TableParagraph"/>
              <w:spacing w:before="37"/>
              <w:rPr>
                <w:sz w:val="21"/>
              </w:rPr>
            </w:pPr>
            <w:r>
              <w:rPr>
                <w:sz w:val="21"/>
              </w:rPr>
              <w:t>（4） 受感染的被保险人不是血友病患者。 </w:t>
            </w:r>
          </w:p>
          <w:p>
            <w:pPr>
              <w:pStyle w:val="TableParagraph"/>
              <w:spacing w:line="237" w:lineRule="auto" w:before="13"/>
              <w:ind w:right="418"/>
              <w:rPr>
                <w:rFonts w:ascii="黑体" w:eastAsia="黑体" w:hint="eastAsia"/>
                <w:sz w:val="24"/>
              </w:rPr>
            </w:pPr>
            <w:r>
              <w:rPr>
                <w:rFonts w:ascii="黑体" w:eastAsia="黑体" w:hint="eastAsia"/>
                <w:spacing w:val="-3"/>
                <w:sz w:val="24"/>
              </w:rPr>
              <w:t>任何因其他传播方式</w:t>
            </w:r>
            <w:r>
              <w:rPr>
                <w:rFonts w:ascii="黑体" w:eastAsia="黑体" w:hint="eastAsia"/>
                <w:sz w:val="24"/>
              </w:rPr>
              <w:t>（</w:t>
            </w:r>
            <w:r>
              <w:rPr>
                <w:rFonts w:ascii="黑体" w:eastAsia="黑体" w:hint="eastAsia"/>
                <w:spacing w:val="-5"/>
                <w:sz w:val="24"/>
              </w:rPr>
              <w:t>包括：性传播或静脉注射毒品</w:t>
            </w:r>
            <w:r>
              <w:rPr>
                <w:rFonts w:ascii="黑体" w:eastAsia="黑体" w:hint="eastAsia"/>
                <w:spacing w:val="-27"/>
                <w:sz w:val="24"/>
              </w:rPr>
              <w:t>）</w:t>
            </w:r>
            <w:r>
              <w:rPr>
                <w:rFonts w:ascii="黑体" w:eastAsia="黑体" w:hint="eastAsia"/>
                <w:spacing w:val="-15"/>
                <w:sz w:val="24"/>
              </w:rPr>
              <w:t>导致的 </w:t>
            </w:r>
            <w:r>
              <w:rPr>
                <w:rFonts w:ascii="黑体" w:eastAsia="黑体" w:hint="eastAsia"/>
                <w:sz w:val="24"/>
              </w:rPr>
              <w:t>HIV</w:t>
            </w:r>
            <w:r>
              <w:rPr>
                <w:rFonts w:ascii="黑体" w:eastAsia="黑体" w:hint="eastAsia"/>
                <w:spacing w:val="-20"/>
                <w:sz w:val="24"/>
              </w:rPr>
              <w:t> 感染不在保障范围内。</w:t>
            </w:r>
          </w:p>
        </w:tc>
      </w:tr>
      <w:tr>
        <w:trPr>
          <w:trHeight w:val="1659" w:hRule="atLeast"/>
        </w:trPr>
        <w:tc>
          <w:tcPr>
            <w:tcW w:w="758" w:type="dxa"/>
          </w:tcPr>
          <w:p>
            <w:pPr>
              <w:pStyle w:val="TableParagraph"/>
              <w:ind w:left="0"/>
              <w:rPr>
                <w:rFonts w:ascii="Times New Roman"/>
                <w:sz w:val="20"/>
              </w:rPr>
            </w:pPr>
          </w:p>
        </w:tc>
        <w:tc>
          <w:tcPr>
            <w:tcW w:w="1903" w:type="dxa"/>
          </w:tcPr>
          <w:p>
            <w:pPr>
              <w:pStyle w:val="TableParagraph"/>
              <w:spacing w:line="273" w:lineRule="auto" w:before="133"/>
              <w:ind w:left="245" w:right="129"/>
              <w:rPr>
                <w:sz w:val="21"/>
              </w:rPr>
            </w:pPr>
            <w:r>
              <w:rPr>
                <w:sz w:val="21"/>
              </w:rPr>
              <w:t>28. 严重的原发性心肌病 </w:t>
            </w:r>
          </w:p>
        </w:tc>
        <w:tc>
          <w:tcPr>
            <w:tcW w:w="7862" w:type="dxa"/>
          </w:tcPr>
          <w:p>
            <w:pPr>
              <w:pStyle w:val="TableParagraph"/>
              <w:spacing w:line="266" w:lineRule="auto" w:before="133"/>
              <w:ind w:right="412"/>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心功能分类标准心功能达</w:t>
            </w:r>
            <w:r>
              <w:rPr>
                <w:rFonts w:ascii="Times New Roman" w:eastAsia="Times New Roman"/>
                <w:sz w:val="21"/>
              </w:rPr>
              <w:t>IV</w:t>
            </w:r>
            <w:r>
              <w:rPr>
                <w:sz w:val="21"/>
              </w:rPr>
              <w:t>级），且有相关住院医疗记录显示</w:t>
            </w:r>
            <w:r>
              <w:rPr>
                <w:rFonts w:ascii="Times New Roman" w:eastAsia="Times New Roman"/>
                <w:sz w:val="21"/>
              </w:rPr>
              <w:t>IV</w:t>
            </w:r>
            <w:r>
              <w:rPr>
                <w:sz w:val="21"/>
              </w:rPr>
              <w:t>级心功能衰竭状态持续至少180天。 </w:t>
            </w:r>
          </w:p>
          <w:p>
            <w:pPr>
              <w:pStyle w:val="TableParagraph"/>
              <w:spacing w:line="255" w:lineRule="exact"/>
              <w:jc w:val="both"/>
              <w:rPr>
                <w:sz w:val="21"/>
              </w:rPr>
            </w:pPr>
            <w:r>
              <w:rPr>
                <w:sz w:val="21"/>
              </w:rPr>
              <w:t>本病须经专科医生明确诊断。 </w:t>
            </w:r>
          </w:p>
        </w:tc>
      </w:tr>
    </w:tbl>
    <w:p>
      <w:pPr>
        <w:spacing w:after="0" w:line="255" w:lineRule="exact"/>
        <w:jc w:val="both"/>
        <w:rPr>
          <w:sz w:val="21"/>
        </w:rPr>
        <w:sectPr>
          <w:pgSz w:w="11910" w:h="16840"/>
          <w:pgMar w:header="0" w:footer="380"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2"/>
        <w:gridCol w:w="7862"/>
      </w:tblGrid>
      <w:tr>
        <w:trPr>
          <w:trHeight w:val="630" w:hRule="atLeast"/>
        </w:trPr>
        <w:tc>
          <w:tcPr>
            <w:tcW w:w="2662" w:type="dxa"/>
            <w:tcBorders>
              <w:top w:val="single" w:sz="6" w:space="0" w:color="000000"/>
            </w:tcBorders>
          </w:tcPr>
          <w:p>
            <w:pPr>
              <w:pStyle w:val="TableParagraph"/>
              <w:ind w:left="0"/>
              <w:rPr>
                <w:rFonts w:ascii="Times New Roman"/>
                <w:sz w:val="20"/>
              </w:rPr>
            </w:pPr>
          </w:p>
        </w:tc>
        <w:tc>
          <w:tcPr>
            <w:tcW w:w="7862" w:type="dxa"/>
            <w:tcBorders>
              <w:top w:val="single" w:sz="6" w:space="0" w:color="000000"/>
            </w:tcBorders>
          </w:tcPr>
          <w:p>
            <w:pPr>
              <w:pStyle w:val="TableParagraph"/>
              <w:spacing w:line="268" w:lineRule="exact"/>
              <w:ind w:left="81"/>
              <w:rPr>
                <w:rFonts w:ascii="黑体" w:eastAsia="黑体" w:hint="eastAsia"/>
                <w:sz w:val="24"/>
              </w:rPr>
            </w:pPr>
            <w:r>
              <w:rPr>
                <w:rFonts w:ascii="黑体" w:eastAsia="黑体" w:hint="eastAsia"/>
                <w:sz w:val="24"/>
              </w:rPr>
              <w:t>继发于全身性疾病或其它器官系统疾病造成的心肌病变不在保障范围</w:t>
            </w:r>
          </w:p>
          <w:p>
            <w:pPr>
              <w:pStyle w:val="TableParagraph"/>
              <w:spacing w:line="313" w:lineRule="exact"/>
              <w:ind w:left="81"/>
              <w:rPr>
                <w:rFonts w:ascii="黑体" w:eastAsia="黑体" w:hint="eastAsia"/>
                <w:sz w:val="24"/>
              </w:rPr>
            </w:pPr>
            <w:r>
              <w:rPr>
                <w:rFonts w:ascii="黑体" w:eastAsia="黑体" w:hint="eastAsia"/>
                <w:sz w:val="24"/>
              </w:rPr>
              <w:t>内。</w:t>
            </w:r>
          </w:p>
        </w:tc>
      </w:tr>
      <w:tr>
        <w:trPr>
          <w:trHeight w:val="306" w:hRule="atLeast"/>
        </w:trPr>
        <w:tc>
          <w:tcPr>
            <w:tcW w:w="2662" w:type="dxa"/>
          </w:tcPr>
          <w:p>
            <w:pPr>
              <w:pStyle w:val="TableParagraph"/>
              <w:spacing w:line="252" w:lineRule="exact"/>
              <w:ind w:left="1003"/>
              <w:rPr>
                <w:sz w:val="21"/>
              </w:rPr>
            </w:pPr>
            <w:r>
              <w:rPr>
                <w:w w:val="100"/>
                <w:sz w:val="21"/>
              </w:rPr>
              <w:t> </w:t>
            </w:r>
          </w:p>
        </w:tc>
        <w:tc>
          <w:tcPr>
            <w:tcW w:w="7862" w:type="dxa"/>
          </w:tcPr>
          <w:p>
            <w:pPr>
              <w:pStyle w:val="TableParagraph"/>
              <w:ind w:left="0"/>
              <w:rPr>
                <w:rFonts w:ascii="Times New Roman"/>
                <w:sz w:val="20"/>
              </w:rPr>
            </w:pPr>
          </w:p>
        </w:tc>
      </w:tr>
      <w:tr>
        <w:trPr>
          <w:trHeight w:val="3125" w:hRule="atLeast"/>
        </w:trPr>
        <w:tc>
          <w:tcPr>
            <w:tcW w:w="2662" w:type="dxa"/>
          </w:tcPr>
          <w:p>
            <w:pPr>
              <w:pStyle w:val="TableParagraph"/>
              <w:spacing w:line="257" w:lineRule="exact"/>
              <w:ind w:left="1003"/>
              <w:rPr>
                <w:sz w:val="21"/>
              </w:rPr>
            </w:pPr>
            <w:r>
              <w:rPr>
                <w:sz w:val="21"/>
              </w:rPr>
              <w:t>29. 系统性硬化</w:t>
            </w:r>
          </w:p>
          <w:p>
            <w:pPr>
              <w:pStyle w:val="TableParagraph"/>
              <w:spacing w:before="37"/>
              <w:ind w:left="619" w:right="955"/>
              <w:jc w:val="center"/>
              <w:rPr>
                <w:sz w:val="21"/>
              </w:rPr>
            </w:pPr>
            <w:r>
              <w:rPr>
                <w:sz w:val="21"/>
              </w:rPr>
              <w:t>症 </w:t>
            </w:r>
          </w:p>
        </w:tc>
        <w:tc>
          <w:tcPr>
            <w:tcW w:w="7862" w:type="dxa"/>
          </w:tcPr>
          <w:p>
            <w:pPr>
              <w:pStyle w:val="TableParagraph"/>
              <w:spacing w:line="257" w:lineRule="exact"/>
              <w:ind w:left="81"/>
              <w:rPr>
                <w:sz w:val="21"/>
              </w:rPr>
            </w:pPr>
            <w:r>
              <w:rPr>
                <w:sz w:val="21"/>
              </w:rPr>
              <w:t>指一种以皮肤、血管和内脏器官的进行性、弥漫性纤维化为特点的系统性结缔组</w:t>
            </w:r>
          </w:p>
          <w:p>
            <w:pPr>
              <w:pStyle w:val="TableParagraph"/>
              <w:spacing w:line="273" w:lineRule="auto" w:before="37"/>
              <w:ind w:left="81" w:right="414"/>
              <w:rPr>
                <w:sz w:val="21"/>
              </w:rPr>
            </w:pPr>
            <w:r>
              <w:rPr>
                <w:sz w:val="21"/>
              </w:rPr>
              <w:t>织病。须经专科医生根据组织活检和血清学检查结果作出明确诊断并提供下列一项或一项以上内脏器官受累的检查报告及诊疗记录： </w:t>
            </w:r>
          </w:p>
          <w:p>
            <w:pPr>
              <w:pStyle w:val="TableParagraph"/>
              <w:spacing w:before="7"/>
              <w:ind w:left="81"/>
              <w:rPr>
                <w:sz w:val="21"/>
              </w:rPr>
            </w:pPr>
            <w:r>
              <w:rPr>
                <w:sz w:val="21"/>
              </w:rPr>
              <w:t>（1） 肺脏：肺纤维化，已经发展为肺动脉高压、肺心病； </w:t>
            </w:r>
          </w:p>
          <w:p>
            <w:pPr>
              <w:pStyle w:val="TableParagraph"/>
              <w:spacing w:before="37"/>
              <w:ind w:left="81"/>
              <w:rPr>
                <w:sz w:val="21"/>
              </w:rPr>
            </w:pPr>
            <w:r>
              <w:rPr>
                <w:sz w:val="21"/>
              </w:rPr>
              <w:t>（2） 心脏：心室功能受损，至少达到美国纽约心脏病学会心功能状态分级Ⅲ级； </w:t>
            </w:r>
          </w:p>
          <w:p>
            <w:pPr>
              <w:pStyle w:val="TableParagraph"/>
              <w:spacing w:before="37"/>
              <w:ind w:left="81"/>
              <w:rPr>
                <w:b/>
                <w:sz w:val="21"/>
              </w:rPr>
            </w:pPr>
            <w:r>
              <w:rPr>
                <w:sz w:val="21"/>
              </w:rPr>
              <w:t>（3） 肾脏：肾脏受损，已经出现肾功能不全。</w:t>
            </w:r>
            <w:r>
              <w:rPr>
                <w:b/>
                <w:color w:val="008000"/>
                <w:w w:val="99"/>
                <w:sz w:val="21"/>
              </w:rPr>
              <w:t> </w:t>
            </w:r>
          </w:p>
          <w:p>
            <w:pPr>
              <w:pStyle w:val="TableParagraph"/>
              <w:spacing w:line="313" w:lineRule="exact" w:before="9"/>
              <w:ind w:left="81"/>
              <w:rPr>
                <w:rFonts w:ascii="黑体" w:eastAsia="黑体" w:hint="eastAsia"/>
                <w:sz w:val="24"/>
              </w:rPr>
            </w:pPr>
            <w:r>
              <w:rPr>
                <w:rFonts w:ascii="黑体" w:eastAsia="黑体" w:hint="eastAsia"/>
                <w:sz w:val="24"/>
              </w:rPr>
              <w:t>下列疾病不在保障范围内：</w:t>
            </w:r>
          </w:p>
          <w:p>
            <w:pPr>
              <w:pStyle w:val="TableParagraph"/>
              <w:spacing w:line="312" w:lineRule="exact"/>
              <w:ind w:left="81"/>
              <w:rPr>
                <w:rFonts w:ascii="黑体" w:eastAsia="黑体" w:hint="eastAsia"/>
                <w:sz w:val="24"/>
              </w:rPr>
            </w:pPr>
            <w:r>
              <w:rPr>
                <w:rFonts w:ascii="黑体" w:eastAsia="黑体" w:hint="eastAsia"/>
                <w:sz w:val="24"/>
              </w:rPr>
              <w:t>（1）  局部性硬皮病（如：带状硬皮病、硬斑病</w:t>
            </w:r>
            <w:r>
              <w:rPr>
                <w:rFonts w:ascii="黑体" w:eastAsia="黑体" w:hint="eastAsia"/>
                <w:spacing w:val="-120"/>
                <w:sz w:val="24"/>
              </w:rPr>
              <w:t>）；</w:t>
            </w:r>
          </w:p>
          <w:p>
            <w:pPr>
              <w:pStyle w:val="TableParagraph"/>
              <w:spacing w:line="312" w:lineRule="exact"/>
              <w:ind w:left="81"/>
              <w:rPr>
                <w:rFonts w:ascii="黑体" w:eastAsia="黑体" w:hint="eastAsia"/>
                <w:sz w:val="24"/>
              </w:rPr>
            </w:pPr>
            <w:r>
              <w:rPr>
                <w:rFonts w:ascii="黑体" w:eastAsia="黑体" w:hint="eastAsia"/>
                <w:sz w:val="24"/>
              </w:rPr>
              <w:t>（2）  嗜酸性粒细胞性筋膜炎；</w:t>
            </w:r>
          </w:p>
          <w:p>
            <w:pPr>
              <w:pStyle w:val="TableParagraph"/>
              <w:spacing w:line="313" w:lineRule="exact"/>
              <w:ind w:left="81"/>
              <w:rPr>
                <w:rFonts w:ascii="黑体" w:eastAsia="黑体" w:hint="eastAsia"/>
                <w:sz w:val="24"/>
              </w:rPr>
            </w:pPr>
            <w:r>
              <w:rPr>
                <w:rFonts w:ascii="黑体" w:eastAsia="黑体" w:hint="eastAsia"/>
                <w:sz w:val="24"/>
              </w:rPr>
              <w:t>（3）  CREST 综合征。</w:t>
            </w:r>
          </w:p>
        </w:tc>
      </w:tr>
      <w:tr>
        <w:trPr>
          <w:trHeight w:val="306" w:hRule="atLeast"/>
        </w:trPr>
        <w:tc>
          <w:tcPr>
            <w:tcW w:w="2662" w:type="dxa"/>
          </w:tcPr>
          <w:p>
            <w:pPr>
              <w:pStyle w:val="TableParagraph"/>
              <w:spacing w:line="252" w:lineRule="exact"/>
              <w:ind w:left="1003"/>
              <w:rPr>
                <w:sz w:val="21"/>
              </w:rPr>
            </w:pPr>
            <w:r>
              <w:rPr>
                <w:w w:val="100"/>
                <w:sz w:val="21"/>
              </w:rPr>
              <w:t> </w:t>
            </w:r>
          </w:p>
        </w:tc>
        <w:tc>
          <w:tcPr>
            <w:tcW w:w="7862" w:type="dxa"/>
          </w:tcPr>
          <w:p>
            <w:pPr>
              <w:pStyle w:val="TableParagraph"/>
              <w:ind w:left="0"/>
              <w:rPr>
                <w:rFonts w:ascii="Times New Roman"/>
                <w:sz w:val="20"/>
              </w:rPr>
            </w:pPr>
          </w:p>
        </w:tc>
      </w:tr>
      <w:tr>
        <w:trPr>
          <w:trHeight w:val="2498" w:hRule="atLeast"/>
        </w:trPr>
        <w:tc>
          <w:tcPr>
            <w:tcW w:w="2662" w:type="dxa"/>
          </w:tcPr>
          <w:p>
            <w:pPr>
              <w:pStyle w:val="TableParagraph"/>
              <w:spacing w:line="257" w:lineRule="exact"/>
              <w:ind w:left="1003"/>
              <w:rPr>
                <w:sz w:val="21"/>
              </w:rPr>
            </w:pPr>
            <w:r>
              <w:rPr>
                <w:sz w:val="21"/>
              </w:rPr>
              <w:t>30. 肌营养不良 </w:t>
            </w:r>
          </w:p>
        </w:tc>
        <w:tc>
          <w:tcPr>
            <w:tcW w:w="7862" w:type="dxa"/>
          </w:tcPr>
          <w:p>
            <w:pPr>
              <w:pStyle w:val="TableParagraph"/>
              <w:spacing w:line="257" w:lineRule="exact"/>
              <w:ind w:left="81"/>
              <w:rPr>
                <w:sz w:val="21"/>
              </w:rPr>
            </w:pPr>
            <w:r>
              <w:rPr>
                <w:sz w:val="21"/>
              </w:rPr>
              <w:t>指一组遗传性肌肉变性病变，临床特征为与神经系统无关的骨骼肌对称地进行性</w:t>
            </w:r>
          </w:p>
          <w:p>
            <w:pPr>
              <w:pStyle w:val="TableParagraph"/>
              <w:spacing w:before="37"/>
              <w:ind w:left="81"/>
              <w:rPr>
                <w:sz w:val="21"/>
              </w:rPr>
            </w:pPr>
            <w:r>
              <w:rPr>
                <w:sz w:val="21"/>
              </w:rPr>
              <w:t>无力和萎缩，其诊断需满足下列全部条件： </w:t>
            </w:r>
          </w:p>
          <w:p>
            <w:pPr>
              <w:pStyle w:val="TableParagraph"/>
              <w:spacing w:before="37"/>
              <w:ind w:left="81"/>
              <w:rPr>
                <w:sz w:val="21"/>
              </w:rPr>
            </w:pPr>
            <w:r>
              <w:rPr>
                <w:sz w:val="21"/>
              </w:rPr>
              <w:t>（1） 肌电图显示典型肌营养不良症的阳性改变； </w:t>
            </w:r>
          </w:p>
          <w:p>
            <w:pPr>
              <w:pStyle w:val="TableParagraph"/>
              <w:spacing w:before="37"/>
              <w:ind w:left="81"/>
              <w:rPr>
                <w:sz w:val="21"/>
              </w:rPr>
            </w:pPr>
            <w:r>
              <w:rPr>
                <w:sz w:val="21"/>
              </w:rPr>
              <w:t>（2） 血清肌酸磷酸激酶（CPK）升高； </w:t>
            </w:r>
          </w:p>
          <w:p>
            <w:pPr>
              <w:pStyle w:val="TableParagraph"/>
              <w:spacing w:line="273" w:lineRule="auto" w:before="37"/>
              <w:ind w:left="622" w:right="411" w:hanging="541"/>
              <w:rPr>
                <w:sz w:val="21"/>
              </w:rPr>
            </w:pPr>
            <w:r>
              <w:rPr>
                <w:sz w:val="21"/>
              </w:rPr>
              <w:t>（3）</w:t>
            </w:r>
            <w:r>
              <w:rPr>
                <w:spacing w:val="-6"/>
                <w:sz w:val="21"/>
              </w:rPr>
              <w:t> 肌肉活检的病理学诊断符合肌营养不良症的肌肉细胞变性、坏死等阳性改</w:t>
            </w:r>
            <w:r>
              <w:rPr>
                <w:spacing w:val="-5"/>
                <w:sz w:val="21"/>
              </w:rPr>
              <w:t>变；</w:t>
            </w:r>
            <w:r>
              <w:rPr>
                <w:sz w:val="21"/>
              </w:rPr>
              <w:t> </w:t>
            </w:r>
          </w:p>
          <w:p>
            <w:pPr>
              <w:pStyle w:val="TableParagraph"/>
              <w:spacing w:line="273" w:lineRule="auto" w:before="7"/>
              <w:ind w:left="622" w:right="411" w:hanging="541"/>
              <w:rPr>
                <w:sz w:val="24"/>
              </w:rPr>
            </w:pPr>
            <w:r>
              <w:rPr>
                <w:sz w:val="21"/>
              </w:rPr>
              <w:t>（4）</w:t>
            </w:r>
            <w:r>
              <w:rPr>
                <w:spacing w:val="-6"/>
                <w:sz w:val="21"/>
              </w:rPr>
              <w:t> 已导致被保险人持续超过三个月无法独立完成六项基本日常生活活动中的</w:t>
            </w:r>
            <w:r>
              <w:rPr>
                <w:spacing w:val="-4"/>
                <w:sz w:val="21"/>
              </w:rPr>
              <w:t>三项或三项以上。</w:t>
            </w:r>
            <w:r>
              <w:rPr>
                <w:sz w:val="24"/>
              </w:rPr>
              <w:t> </w:t>
            </w:r>
          </w:p>
        </w:tc>
      </w:tr>
      <w:tr>
        <w:trPr>
          <w:trHeight w:val="309" w:hRule="atLeast"/>
        </w:trPr>
        <w:tc>
          <w:tcPr>
            <w:tcW w:w="2662" w:type="dxa"/>
          </w:tcPr>
          <w:p>
            <w:pPr>
              <w:pStyle w:val="TableParagraph"/>
              <w:spacing w:line="255" w:lineRule="exact"/>
              <w:ind w:left="1003"/>
              <w:rPr>
                <w:sz w:val="21"/>
              </w:rPr>
            </w:pPr>
            <w:r>
              <w:rPr>
                <w:w w:val="100"/>
                <w:sz w:val="21"/>
              </w:rPr>
              <w:t> </w:t>
            </w:r>
          </w:p>
        </w:tc>
        <w:tc>
          <w:tcPr>
            <w:tcW w:w="7862" w:type="dxa"/>
          </w:tcPr>
          <w:p>
            <w:pPr>
              <w:pStyle w:val="TableParagraph"/>
              <w:ind w:left="0"/>
              <w:rPr>
                <w:rFonts w:ascii="Times New Roman"/>
                <w:sz w:val="20"/>
              </w:rPr>
            </w:pPr>
          </w:p>
        </w:tc>
      </w:tr>
      <w:tr>
        <w:trPr>
          <w:trHeight w:val="1247" w:hRule="atLeast"/>
        </w:trPr>
        <w:tc>
          <w:tcPr>
            <w:tcW w:w="2662" w:type="dxa"/>
          </w:tcPr>
          <w:p>
            <w:pPr>
              <w:pStyle w:val="TableParagraph"/>
              <w:spacing w:line="257" w:lineRule="exact"/>
              <w:ind w:left="1003"/>
              <w:rPr>
                <w:sz w:val="21"/>
              </w:rPr>
            </w:pPr>
            <w:r>
              <w:rPr>
                <w:sz w:val="21"/>
              </w:rPr>
              <w:t>31. 严重溃疡性</w:t>
            </w:r>
          </w:p>
          <w:p>
            <w:pPr>
              <w:pStyle w:val="TableParagraph"/>
              <w:spacing w:before="37"/>
              <w:ind w:left="1036" w:right="955"/>
              <w:jc w:val="center"/>
              <w:rPr>
                <w:sz w:val="21"/>
              </w:rPr>
            </w:pPr>
            <w:r>
              <w:rPr>
                <w:sz w:val="21"/>
              </w:rPr>
              <w:t>结肠炎 </w:t>
            </w:r>
          </w:p>
        </w:tc>
        <w:tc>
          <w:tcPr>
            <w:tcW w:w="7862" w:type="dxa"/>
          </w:tcPr>
          <w:p>
            <w:pPr>
              <w:pStyle w:val="TableParagraph"/>
              <w:spacing w:line="258" w:lineRule="exact"/>
              <w:ind w:left="81"/>
              <w:rPr>
                <w:sz w:val="21"/>
              </w:rPr>
            </w:pPr>
            <w:r>
              <w:rPr>
                <w:sz w:val="21"/>
              </w:rPr>
              <w:t>指伴有致命性电解质紊乱的急性暴发性溃疡性结肠炎，病变累及全结肠，表现为</w:t>
            </w:r>
          </w:p>
          <w:p>
            <w:pPr>
              <w:pStyle w:val="TableParagraph"/>
              <w:spacing w:line="273" w:lineRule="auto" w:before="37"/>
              <w:ind w:left="81" w:right="414"/>
              <w:jc w:val="both"/>
              <w:rPr>
                <w:sz w:val="21"/>
              </w:rPr>
            </w:pPr>
            <w:r>
              <w:rPr>
                <w:sz w:val="21"/>
              </w:rPr>
              <w:t>严重的血便和系统性症状体征，治疗通常采取全结肠切除和回肠造瘘术。溃疡性结肠炎必须根据组织病理学特点诊断，并且被保险人已经接受了结肠切除和回肠造瘘术。</w:t>
            </w:r>
          </w:p>
        </w:tc>
      </w:tr>
      <w:tr>
        <w:trPr>
          <w:trHeight w:val="312" w:hRule="atLeast"/>
        </w:trPr>
        <w:tc>
          <w:tcPr>
            <w:tcW w:w="2662" w:type="dxa"/>
          </w:tcPr>
          <w:p>
            <w:pPr>
              <w:pStyle w:val="TableParagraph"/>
              <w:spacing w:line="257" w:lineRule="exact"/>
              <w:ind w:left="1003"/>
              <w:rPr>
                <w:sz w:val="21"/>
              </w:rPr>
            </w:pPr>
            <w:r>
              <w:rPr>
                <w:w w:val="100"/>
                <w:sz w:val="21"/>
              </w:rPr>
              <w:t> </w:t>
            </w:r>
          </w:p>
        </w:tc>
        <w:tc>
          <w:tcPr>
            <w:tcW w:w="7862" w:type="dxa"/>
          </w:tcPr>
          <w:p>
            <w:pPr>
              <w:pStyle w:val="TableParagraph"/>
              <w:ind w:left="0"/>
              <w:rPr>
                <w:rFonts w:ascii="Times New Roman"/>
                <w:sz w:val="20"/>
              </w:rPr>
            </w:pPr>
          </w:p>
        </w:tc>
      </w:tr>
      <w:tr>
        <w:trPr>
          <w:trHeight w:val="1874" w:hRule="atLeast"/>
        </w:trPr>
        <w:tc>
          <w:tcPr>
            <w:tcW w:w="2662" w:type="dxa"/>
          </w:tcPr>
          <w:p>
            <w:pPr>
              <w:pStyle w:val="TableParagraph"/>
              <w:spacing w:line="257" w:lineRule="exact"/>
              <w:ind w:left="1003"/>
              <w:rPr>
                <w:sz w:val="21"/>
              </w:rPr>
            </w:pPr>
            <w:r>
              <w:rPr>
                <w:sz w:val="21"/>
              </w:rPr>
              <w:t>32. 严重慢性呼</w:t>
            </w:r>
          </w:p>
          <w:p>
            <w:pPr>
              <w:pStyle w:val="TableParagraph"/>
              <w:spacing w:before="37"/>
              <w:ind w:left="1003"/>
              <w:rPr>
                <w:sz w:val="21"/>
              </w:rPr>
            </w:pPr>
            <w:r>
              <w:rPr>
                <w:sz w:val="21"/>
              </w:rPr>
              <w:t>吸功能衰竭 </w:t>
            </w:r>
          </w:p>
        </w:tc>
        <w:tc>
          <w:tcPr>
            <w:tcW w:w="7862" w:type="dxa"/>
          </w:tcPr>
          <w:p>
            <w:pPr>
              <w:pStyle w:val="TableParagraph"/>
              <w:spacing w:line="257" w:lineRule="exact"/>
              <w:ind w:left="81"/>
              <w:rPr>
                <w:sz w:val="21"/>
              </w:rPr>
            </w:pPr>
            <w:r>
              <w:rPr>
                <w:sz w:val="21"/>
              </w:rPr>
              <w:t>指慢性肺部疾病导致永久不可逆性的慢性呼吸功能衰竭，必须由呼吸专科医生确</w:t>
            </w:r>
          </w:p>
          <w:p>
            <w:pPr>
              <w:pStyle w:val="TableParagraph"/>
              <w:spacing w:before="37"/>
              <w:ind w:left="81"/>
              <w:rPr>
                <w:sz w:val="21"/>
              </w:rPr>
            </w:pPr>
            <w:r>
              <w:rPr>
                <w:sz w:val="21"/>
              </w:rPr>
              <w:t>认并符合下列所有条件： </w:t>
            </w:r>
          </w:p>
          <w:p>
            <w:pPr>
              <w:pStyle w:val="TableParagraph"/>
              <w:spacing w:before="37"/>
              <w:ind w:left="81"/>
              <w:rPr>
                <w:sz w:val="21"/>
              </w:rPr>
            </w:pPr>
            <w:r>
              <w:rPr>
                <w:sz w:val="21"/>
              </w:rPr>
              <w:t>（1） 休息时出现呼吸困难； </w:t>
            </w:r>
          </w:p>
          <w:p>
            <w:pPr>
              <w:pStyle w:val="TableParagraph"/>
              <w:spacing w:before="37"/>
              <w:ind w:left="81"/>
              <w:rPr>
                <w:sz w:val="21"/>
              </w:rPr>
            </w:pPr>
            <w:r>
              <w:rPr>
                <w:sz w:val="21"/>
              </w:rPr>
              <w:t>（2） 动脉血氧分压（PaO2）＜ 50mmHg； </w:t>
            </w:r>
          </w:p>
          <w:p>
            <w:pPr>
              <w:pStyle w:val="TableParagraph"/>
              <w:spacing w:before="37"/>
              <w:ind w:left="81"/>
              <w:rPr>
                <w:sz w:val="21"/>
              </w:rPr>
            </w:pPr>
            <w:r>
              <w:rPr>
                <w:sz w:val="21"/>
              </w:rPr>
              <w:t>（3） 动脉血氧饱和度（SaO2）＜ 80％； </w:t>
            </w:r>
          </w:p>
          <w:p>
            <w:pPr>
              <w:pStyle w:val="TableParagraph"/>
              <w:spacing w:before="37"/>
              <w:rPr>
                <w:sz w:val="24"/>
              </w:rPr>
            </w:pPr>
            <w:r>
              <w:rPr>
                <w:sz w:val="21"/>
              </w:rPr>
              <w:t>（4） 因缺氧必须接受持续的输氧治疗。</w:t>
            </w:r>
            <w:r>
              <w:rPr>
                <w:sz w:val="24"/>
              </w:rPr>
              <w:t> </w:t>
            </w:r>
          </w:p>
        </w:tc>
      </w:tr>
      <w:tr>
        <w:trPr>
          <w:trHeight w:val="309" w:hRule="atLeast"/>
        </w:trPr>
        <w:tc>
          <w:tcPr>
            <w:tcW w:w="2662" w:type="dxa"/>
          </w:tcPr>
          <w:p>
            <w:pPr>
              <w:pStyle w:val="TableParagraph"/>
              <w:spacing w:line="255" w:lineRule="exact"/>
              <w:ind w:left="1003"/>
              <w:rPr>
                <w:sz w:val="21"/>
              </w:rPr>
            </w:pPr>
            <w:r>
              <w:rPr>
                <w:w w:val="100"/>
                <w:sz w:val="21"/>
              </w:rPr>
              <w:t> </w:t>
            </w:r>
          </w:p>
        </w:tc>
        <w:tc>
          <w:tcPr>
            <w:tcW w:w="7862" w:type="dxa"/>
          </w:tcPr>
          <w:p>
            <w:pPr>
              <w:pStyle w:val="TableParagraph"/>
              <w:ind w:left="0"/>
              <w:rPr>
                <w:rFonts w:ascii="Times New Roman"/>
                <w:sz w:val="20"/>
              </w:rPr>
            </w:pPr>
          </w:p>
        </w:tc>
      </w:tr>
      <w:tr>
        <w:trPr>
          <w:trHeight w:val="1248" w:hRule="atLeast"/>
        </w:trPr>
        <w:tc>
          <w:tcPr>
            <w:tcW w:w="2662" w:type="dxa"/>
          </w:tcPr>
          <w:p>
            <w:pPr>
              <w:pStyle w:val="TableParagraph"/>
              <w:spacing w:line="257" w:lineRule="exact"/>
              <w:ind w:left="1003"/>
              <w:rPr>
                <w:sz w:val="21"/>
              </w:rPr>
            </w:pPr>
            <w:r>
              <w:rPr>
                <w:sz w:val="21"/>
              </w:rPr>
              <w:t>33. 冠状动脉成</w:t>
            </w:r>
          </w:p>
          <w:p>
            <w:pPr>
              <w:pStyle w:val="TableParagraph"/>
              <w:spacing w:before="37"/>
              <w:ind w:left="828" w:right="955"/>
              <w:jc w:val="center"/>
              <w:rPr>
                <w:sz w:val="21"/>
              </w:rPr>
            </w:pPr>
            <w:r>
              <w:rPr>
                <w:sz w:val="21"/>
              </w:rPr>
              <w:t>形术 </w:t>
            </w:r>
          </w:p>
        </w:tc>
        <w:tc>
          <w:tcPr>
            <w:tcW w:w="7862" w:type="dxa"/>
          </w:tcPr>
          <w:p>
            <w:pPr>
              <w:pStyle w:val="TableParagraph"/>
              <w:spacing w:line="258" w:lineRule="exact"/>
              <w:ind w:left="81"/>
              <w:rPr>
                <w:sz w:val="21"/>
              </w:rPr>
            </w:pPr>
            <w:r>
              <w:rPr>
                <w:sz w:val="21"/>
              </w:rPr>
              <w:t>指有心绞痛等心脏不适症状，经过血管造影技术检查证实同时存在两支(其中一支</w:t>
            </w:r>
          </w:p>
          <w:p>
            <w:pPr>
              <w:pStyle w:val="TableParagraph"/>
              <w:spacing w:line="273" w:lineRule="auto" w:before="37"/>
              <w:ind w:left="81" w:right="412"/>
              <w:jc w:val="both"/>
              <w:rPr>
                <w:sz w:val="21"/>
              </w:rPr>
            </w:pPr>
            <w:r>
              <w:rPr>
                <w:spacing w:val="-12"/>
                <w:sz w:val="21"/>
              </w:rPr>
              <w:t>为左冠状动脉主干、左前降支或左回旋支)或更多支的冠状动脉血管发生严重的狭</w:t>
            </w:r>
            <w:r>
              <w:rPr>
                <w:spacing w:val="-46"/>
                <w:sz w:val="21"/>
              </w:rPr>
              <w:t>窄</w:t>
            </w:r>
            <w:r>
              <w:rPr>
                <w:spacing w:val="-3"/>
                <w:sz w:val="21"/>
              </w:rPr>
              <w:t>（狭窄程度在</w:t>
            </w:r>
            <w:r>
              <w:rPr>
                <w:sz w:val="21"/>
              </w:rPr>
              <w:t>70</w:t>
            </w:r>
            <w:r>
              <w:rPr>
                <w:spacing w:val="-2"/>
                <w:sz w:val="21"/>
              </w:rPr>
              <w:t>％以上</w:t>
            </w:r>
            <w:r>
              <w:rPr>
                <w:spacing w:val="-77"/>
                <w:sz w:val="21"/>
              </w:rPr>
              <w:t>）</w:t>
            </w:r>
            <w:r>
              <w:rPr>
                <w:spacing w:val="-11"/>
                <w:sz w:val="21"/>
              </w:rPr>
              <w:t>，需要并且已实施冠状动脉气囊扩张以改善血管的血流</w:t>
            </w:r>
            <w:r>
              <w:rPr>
                <w:spacing w:val="-6"/>
                <w:sz w:val="21"/>
              </w:rPr>
              <w:t>状况。索赔时必须提供血管造影的影像资料、报告、手术记录和病历。</w:t>
            </w:r>
            <w:r>
              <w:rPr>
                <w:sz w:val="21"/>
              </w:rPr>
              <w:t> </w:t>
            </w:r>
          </w:p>
        </w:tc>
      </w:tr>
      <w:tr>
        <w:trPr>
          <w:trHeight w:val="311" w:hRule="atLeast"/>
        </w:trPr>
        <w:tc>
          <w:tcPr>
            <w:tcW w:w="2662" w:type="dxa"/>
          </w:tcPr>
          <w:p>
            <w:pPr>
              <w:pStyle w:val="TableParagraph"/>
              <w:spacing w:line="257" w:lineRule="exact"/>
              <w:ind w:left="1003"/>
              <w:rPr>
                <w:sz w:val="21"/>
              </w:rPr>
            </w:pPr>
            <w:r>
              <w:rPr>
                <w:w w:val="100"/>
                <w:sz w:val="21"/>
              </w:rPr>
              <w:t> </w:t>
            </w:r>
          </w:p>
        </w:tc>
        <w:tc>
          <w:tcPr>
            <w:tcW w:w="7862" w:type="dxa"/>
          </w:tcPr>
          <w:p>
            <w:pPr>
              <w:pStyle w:val="TableParagraph"/>
              <w:ind w:left="0"/>
              <w:rPr>
                <w:rFonts w:ascii="Times New Roman"/>
                <w:sz w:val="20"/>
              </w:rPr>
            </w:pPr>
          </w:p>
        </w:tc>
      </w:tr>
      <w:tr>
        <w:trPr>
          <w:trHeight w:val="1248" w:hRule="atLeast"/>
        </w:trPr>
        <w:tc>
          <w:tcPr>
            <w:tcW w:w="2662" w:type="dxa"/>
          </w:tcPr>
          <w:p>
            <w:pPr>
              <w:pStyle w:val="TableParagraph"/>
              <w:spacing w:line="257" w:lineRule="exact"/>
              <w:ind w:left="1003"/>
              <w:rPr>
                <w:sz w:val="21"/>
              </w:rPr>
            </w:pPr>
            <w:r>
              <w:rPr>
                <w:sz w:val="21"/>
              </w:rPr>
              <w:t>34. 冠状动脉粥</w:t>
            </w:r>
          </w:p>
          <w:p>
            <w:pPr>
              <w:pStyle w:val="TableParagraph"/>
              <w:spacing w:before="37"/>
              <w:ind w:left="1003"/>
              <w:rPr>
                <w:sz w:val="21"/>
              </w:rPr>
            </w:pPr>
            <w:r>
              <w:rPr>
                <w:sz w:val="21"/>
              </w:rPr>
              <w:t>样斑块切除术 </w:t>
            </w:r>
          </w:p>
        </w:tc>
        <w:tc>
          <w:tcPr>
            <w:tcW w:w="7862" w:type="dxa"/>
          </w:tcPr>
          <w:p>
            <w:pPr>
              <w:pStyle w:val="TableParagraph"/>
              <w:spacing w:line="258" w:lineRule="exact"/>
              <w:ind w:left="81"/>
              <w:rPr>
                <w:sz w:val="21"/>
              </w:rPr>
            </w:pPr>
            <w:r>
              <w:rPr>
                <w:sz w:val="21"/>
              </w:rPr>
              <w:t>指有心绞痛等心脏不适症状，经过血管造影技术检查证实同时存在两支(其中一支</w:t>
            </w:r>
          </w:p>
          <w:p>
            <w:pPr>
              <w:pStyle w:val="TableParagraph"/>
              <w:spacing w:line="273" w:lineRule="auto" w:before="37"/>
              <w:ind w:left="81" w:right="412"/>
              <w:jc w:val="both"/>
              <w:rPr>
                <w:sz w:val="21"/>
              </w:rPr>
            </w:pPr>
            <w:r>
              <w:rPr>
                <w:spacing w:val="-12"/>
                <w:sz w:val="21"/>
              </w:rPr>
              <w:t>为左冠状动脉主干、左前降支或左回旋支)或更多支的冠状动脉血管发生严重的狭</w:t>
            </w:r>
            <w:r>
              <w:rPr>
                <w:spacing w:val="-46"/>
                <w:sz w:val="21"/>
              </w:rPr>
              <w:t>窄</w:t>
            </w:r>
            <w:r>
              <w:rPr>
                <w:spacing w:val="-3"/>
                <w:sz w:val="21"/>
              </w:rPr>
              <w:t>（狭窄程度在</w:t>
            </w:r>
            <w:r>
              <w:rPr>
                <w:sz w:val="21"/>
              </w:rPr>
              <w:t>70</w:t>
            </w:r>
            <w:r>
              <w:rPr>
                <w:spacing w:val="-2"/>
                <w:sz w:val="21"/>
              </w:rPr>
              <w:t>％以上</w:t>
            </w:r>
            <w:r>
              <w:rPr>
                <w:spacing w:val="-77"/>
                <w:sz w:val="21"/>
              </w:rPr>
              <w:t>）</w:t>
            </w:r>
            <w:r>
              <w:rPr>
                <w:spacing w:val="-11"/>
                <w:sz w:val="21"/>
              </w:rPr>
              <w:t>，需要并且已实施冠状动脉粥样斑块切除术以改善血管</w:t>
            </w:r>
            <w:r>
              <w:rPr>
                <w:spacing w:val="-6"/>
                <w:sz w:val="21"/>
              </w:rPr>
              <w:t>的血流状况。索赔时必须提供血管造影的影像资料、报告、手术记录和病历。 </w:t>
            </w:r>
          </w:p>
        </w:tc>
      </w:tr>
      <w:tr>
        <w:trPr>
          <w:trHeight w:val="311" w:hRule="atLeast"/>
        </w:trPr>
        <w:tc>
          <w:tcPr>
            <w:tcW w:w="2662" w:type="dxa"/>
          </w:tcPr>
          <w:p>
            <w:pPr>
              <w:pStyle w:val="TableParagraph"/>
              <w:spacing w:line="257" w:lineRule="exact"/>
              <w:ind w:left="1003"/>
              <w:rPr>
                <w:sz w:val="21"/>
              </w:rPr>
            </w:pPr>
            <w:r>
              <w:rPr>
                <w:w w:val="100"/>
                <w:sz w:val="21"/>
              </w:rPr>
              <w:t> </w:t>
            </w:r>
          </w:p>
        </w:tc>
        <w:tc>
          <w:tcPr>
            <w:tcW w:w="7862" w:type="dxa"/>
          </w:tcPr>
          <w:p>
            <w:pPr>
              <w:pStyle w:val="TableParagraph"/>
              <w:ind w:left="0"/>
              <w:rPr>
                <w:rFonts w:ascii="Times New Roman"/>
                <w:sz w:val="20"/>
              </w:rPr>
            </w:pPr>
          </w:p>
        </w:tc>
      </w:tr>
      <w:tr>
        <w:trPr>
          <w:trHeight w:val="573" w:hRule="atLeast"/>
        </w:trPr>
        <w:tc>
          <w:tcPr>
            <w:tcW w:w="2662" w:type="dxa"/>
          </w:tcPr>
          <w:p>
            <w:pPr>
              <w:pStyle w:val="TableParagraph"/>
              <w:spacing w:line="257" w:lineRule="exact"/>
              <w:ind w:left="1003"/>
              <w:rPr>
                <w:sz w:val="21"/>
              </w:rPr>
            </w:pPr>
            <w:r>
              <w:rPr>
                <w:sz w:val="21"/>
              </w:rPr>
              <w:t>35. 植物人状态 </w:t>
            </w:r>
          </w:p>
        </w:tc>
        <w:tc>
          <w:tcPr>
            <w:tcW w:w="7862" w:type="dxa"/>
          </w:tcPr>
          <w:p>
            <w:pPr>
              <w:pStyle w:val="TableParagraph"/>
              <w:spacing w:line="257" w:lineRule="exact"/>
              <w:ind w:left="81"/>
              <w:rPr>
                <w:sz w:val="21"/>
              </w:rPr>
            </w:pPr>
            <w:r>
              <w:rPr>
                <w:sz w:val="21"/>
              </w:rPr>
              <w:t>指经神经科医生确诊，CT、MRI等证实大脑皮质全面坏死。患者临床表现意识完全</w:t>
            </w:r>
          </w:p>
          <w:p>
            <w:pPr>
              <w:pStyle w:val="TableParagraph"/>
              <w:spacing w:line="259" w:lineRule="exact" w:before="37"/>
              <w:ind w:left="81"/>
              <w:rPr>
                <w:sz w:val="21"/>
              </w:rPr>
            </w:pPr>
            <w:r>
              <w:rPr>
                <w:sz w:val="21"/>
              </w:rPr>
              <w:t>丧失，但脑干功能仍保持完好，且此情况持续一个月或一个月以上。 </w:t>
            </w:r>
          </w:p>
        </w:tc>
      </w:tr>
    </w:tbl>
    <w:p>
      <w:pPr>
        <w:spacing w:after="0" w:line="259" w:lineRule="exact"/>
        <w:rPr>
          <w:sz w:val="21"/>
        </w:rPr>
        <w:sectPr>
          <w:pgSz w:w="11910" w:h="16840"/>
          <w:pgMar w:header="0" w:footer="380"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8"/>
        <w:gridCol w:w="1816"/>
        <w:gridCol w:w="7860"/>
      </w:tblGrid>
      <w:tr>
        <w:trPr>
          <w:trHeight w:val="623" w:hRule="atLeast"/>
        </w:trPr>
        <w:tc>
          <w:tcPr>
            <w:tcW w:w="928" w:type="dxa"/>
            <w:tcBorders>
              <w:top w:val="single" w:sz="6" w:space="0" w:color="000000"/>
              <w:bottom w:val="single" w:sz="8" w:space="0" w:color="000000"/>
            </w:tcBorders>
          </w:tcPr>
          <w:p>
            <w:pPr>
              <w:pStyle w:val="TableParagraph"/>
              <w:spacing w:before="59"/>
              <w:ind w:left="43"/>
              <w:jc w:val="center"/>
              <w:rPr>
                <w:rFonts w:ascii="Arial"/>
                <w:b/>
                <w:sz w:val="40"/>
              </w:rPr>
            </w:pPr>
            <w:r>
              <w:rPr>
                <w:rFonts w:ascii="Arial"/>
                <w:b/>
                <w:w w:val="93"/>
                <w:sz w:val="40"/>
              </w:rPr>
              <w:t>|</w:t>
            </w:r>
          </w:p>
        </w:tc>
        <w:tc>
          <w:tcPr>
            <w:tcW w:w="9676" w:type="dxa"/>
            <w:gridSpan w:val="2"/>
            <w:tcBorders>
              <w:top w:val="single" w:sz="6" w:space="0" w:color="000000"/>
            </w:tcBorders>
          </w:tcPr>
          <w:p>
            <w:pPr>
              <w:pStyle w:val="TableParagraph"/>
              <w:spacing w:before="111"/>
              <w:ind w:left="154"/>
              <w:rPr>
                <w:b/>
                <w:sz w:val="24"/>
              </w:rPr>
            </w:pPr>
            <w:r>
              <w:rPr>
                <w:b/>
                <w:sz w:val="24"/>
              </w:rPr>
              <w:t>释义</w:t>
            </w:r>
            <w:r>
              <w:rPr>
                <w:b/>
                <w:w w:val="99"/>
                <w:sz w:val="24"/>
              </w:rPr>
              <w:t>                                                                        </w:t>
            </w:r>
          </w:p>
        </w:tc>
      </w:tr>
      <w:tr>
        <w:trPr>
          <w:trHeight w:val="312" w:hRule="atLeast"/>
        </w:trPr>
        <w:tc>
          <w:tcPr>
            <w:tcW w:w="928" w:type="dxa"/>
            <w:tcBorders>
              <w:top w:val="single" w:sz="8" w:space="0" w:color="000000"/>
            </w:tcBorders>
          </w:tcPr>
          <w:p>
            <w:pPr>
              <w:pStyle w:val="TableParagraph"/>
              <w:spacing w:line="258" w:lineRule="exact"/>
              <w:ind w:left="152"/>
              <w:jc w:val="center"/>
              <w:rPr>
                <w:sz w:val="21"/>
              </w:rPr>
            </w:pPr>
            <w:r>
              <w:rPr>
                <w:w w:val="100"/>
                <w:sz w:val="21"/>
              </w:rPr>
              <w:t> </w:t>
            </w:r>
          </w:p>
        </w:tc>
        <w:tc>
          <w:tcPr>
            <w:tcW w:w="1816" w:type="dxa"/>
            <w:tcBorders>
              <w:top w:val="single" w:sz="8" w:space="0" w:color="000000"/>
            </w:tcBorders>
          </w:tcPr>
          <w:p>
            <w:pPr>
              <w:pStyle w:val="TableParagraph"/>
              <w:spacing w:line="258" w:lineRule="exact"/>
              <w:ind w:left="154"/>
              <w:rPr>
                <w:sz w:val="21"/>
              </w:rPr>
            </w:pPr>
            <w:r>
              <w:rPr>
                <w:w w:val="100"/>
                <w:sz w:val="21"/>
              </w:rPr>
              <w:t> </w:t>
            </w:r>
          </w:p>
        </w:tc>
        <w:tc>
          <w:tcPr>
            <w:tcW w:w="7860" w:type="dxa"/>
            <w:tcBorders>
              <w:top w:val="single" w:sz="8" w:space="0" w:color="000000"/>
            </w:tcBorders>
          </w:tcPr>
          <w:p>
            <w:pPr>
              <w:pStyle w:val="TableParagraph"/>
              <w:spacing w:line="258" w:lineRule="exact"/>
              <w:ind w:left="78"/>
              <w:rPr>
                <w:sz w:val="21"/>
              </w:rPr>
            </w:pPr>
            <w:r>
              <w:rPr>
                <w:w w:val="100"/>
                <w:sz w:val="21"/>
              </w:rPr>
              <w:t> </w:t>
            </w:r>
          </w:p>
        </w:tc>
      </w:tr>
      <w:tr>
        <w:trPr>
          <w:trHeight w:val="1247" w:hRule="atLeast"/>
        </w:trPr>
        <w:tc>
          <w:tcPr>
            <w:tcW w:w="928" w:type="dxa"/>
          </w:tcPr>
          <w:p>
            <w:pPr>
              <w:pStyle w:val="TableParagraph"/>
              <w:spacing w:line="257" w:lineRule="exact"/>
              <w:ind w:left="307"/>
              <w:rPr>
                <w:b/>
                <w:sz w:val="21"/>
              </w:rPr>
            </w:pPr>
            <w:r>
              <w:rPr>
                <w:b/>
                <w:sz w:val="21"/>
              </w:rPr>
              <w:t>8.1 </w:t>
            </w:r>
            <w:r>
              <w:rPr>
                <w:b/>
                <w:w w:val="99"/>
                <w:sz w:val="21"/>
              </w:rPr>
              <w:t> </w:t>
            </w:r>
          </w:p>
        </w:tc>
        <w:tc>
          <w:tcPr>
            <w:tcW w:w="1816" w:type="dxa"/>
          </w:tcPr>
          <w:p>
            <w:pPr>
              <w:pStyle w:val="TableParagraph"/>
              <w:spacing w:line="257" w:lineRule="exact"/>
              <w:ind w:left="154"/>
              <w:rPr>
                <w:b/>
                <w:sz w:val="21"/>
              </w:rPr>
            </w:pPr>
            <w:r>
              <w:rPr>
                <w:b/>
                <w:sz w:val="21"/>
              </w:rPr>
              <w:t>专科医生</w:t>
            </w:r>
            <w:r>
              <w:rPr>
                <w:b/>
                <w:w w:val="99"/>
                <w:sz w:val="21"/>
              </w:rPr>
              <w:t> </w:t>
            </w:r>
          </w:p>
        </w:tc>
        <w:tc>
          <w:tcPr>
            <w:tcW w:w="7860" w:type="dxa"/>
          </w:tcPr>
          <w:p>
            <w:pPr>
              <w:pStyle w:val="TableParagraph"/>
              <w:spacing w:line="257" w:lineRule="exact"/>
              <w:ind w:left="78"/>
              <w:rPr>
                <w:sz w:val="21"/>
              </w:rPr>
            </w:pPr>
            <w:r>
              <w:rPr>
                <w:spacing w:val="-9"/>
                <w:w w:val="100"/>
                <w:sz w:val="21"/>
              </w:rPr>
              <w:t>专科医生应当同时满足以下四项资格条件：</w:t>
            </w:r>
            <w:r>
              <w:rPr>
                <w:w w:val="100"/>
                <w:sz w:val="21"/>
              </w:rPr>
              <w:t>（</w:t>
            </w:r>
            <w:r>
              <w:rPr>
                <w:spacing w:val="-3"/>
                <w:w w:val="100"/>
                <w:sz w:val="21"/>
              </w:rPr>
              <w:t>1</w:t>
            </w:r>
            <w:r>
              <w:rPr>
                <w:w w:val="100"/>
                <w:sz w:val="21"/>
              </w:rPr>
              <w:t>）</w:t>
            </w:r>
            <w:r>
              <w:rPr>
                <w:spacing w:val="-3"/>
                <w:w w:val="100"/>
                <w:sz w:val="21"/>
              </w:rPr>
              <w:t>具有有效的中华人民共和国《医</w:t>
            </w:r>
          </w:p>
          <w:p>
            <w:pPr>
              <w:pStyle w:val="TableParagraph"/>
              <w:spacing w:line="273" w:lineRule="auto" w:before="37"/>
              <w:ind w:left="78" w:right="422"/>
              <w:rPr>
                <w:sz w:val="21"/>
              </w:rPr>
            </w:pPr>
            <w:r>
              <w:rPr>
                <w:spacing w:val="-33"/>
                <w:w w:val="100"/>
                <w:sz w:val="21"/>
              </w:rPr>
              <w:t>师资格证书》；</w:t>
            </w:r>
            <w:r>
              <w:rPr>
                <w:spacing w:val="-3"/>
                <w:w w:val="100"/>
                <w:sz w:val="21"/>
              </w:rPr>
              <w:t>（</w:t>
            </w:r>
            <w:r>
              <w:rPr>
                <w:w w:val="100"/>
                <w:sz w:val="21"/>
              </w:rPr>
              <w:t>2</w:t>
            </w:r>
            <w:r>
              <w:rPr>
                <w:spacing w:val="-3"/>
                <w:w w:val="100"/>
                <w:sz w:val="21"/>
              </w:rPr>
              <w:t>）</w:t>
            </w:r>
            <w:r>
              <w:rPr>
                <w:spacing w:val="-9"/>
                <w:w w:val="100"/>
                <w:sz w:val="21"/>
              </w:rPr>
              <w:t>具有有效的中华人民共和国《医师执业证书》，并按期到相关</w:t>
            </w:r>
            <w:r>
              <w:rPr>
                <w:spacing w:val="-18"/>
                <w:w w:val="100"/>
                <w:sz w:val="21"/>
              </w:rPr>
              <w:t>部门登记注册；</w:t>
            </w:r>
            <w:r>
              <w:rPr>
                <w:w w:val="100"/>
                <w:sz w:val="21"/>
              </w:rPr>
              <w:t>（3</w:t>
            </w:r>
            <w:r>
              <w:rPr>
                <w:spacing w:val="-3"/>
                <w:w w:val="100"/>
                <w:sz w:val="21"/>
              </w:rPr>
              <w:t>）具有有效的中华人民共和国主治医师或主治医师以上职称的</w:t>
            </w:r>
          </w:p>
          <w:p>
            <w:pPr>
              <w:pStyle w:val="TableParagraph"/>
              <w:spacing w:before="7"/>
              <w:ind w:left="78"/>
              <w:rPr>
                <w:sz w:val="21"/>
              </w:rPr>
            </w:pPr>
            <w:r>
              <w:rPr>
                <w:spacing w:val="-16"/>
                <w:w w:val="100"/>
                <w:sz w:val="21"/>
              </w:rPr>
              <w:t>《医师职称证书》</w:t>
            </w:r>
            <w:r>
              <w:rPr>
                <w:spacing w:val="-207"/>
                <w:w w:val="100"/>
                <w:sz w:val="21"/>
              </w:rPr>
              <w:t>；</w:t>
            </w:r>
            <w:r>
              <w:rPr>
                <w:w w:val="100"/>
                <w:sz w:val="21"/>
              </w:rPr>
              <w:t>（</w:t>
            </w:r>
            <w:r>
              <w:rPr>
                <w:spacing w:val="-3"/>
                <w:w w:val="100"/>
                <w:sz w:val="21"/>
              </w:rPr>
              <w:t>4</w:t>
            </w:r>
            <w:r>
              <w:rPr>
                <w:spacing w:val="-99"/>
                <w:w w:val="100"/>
                <w:sz w:val="21"/>
              </w:rPr>
              <w:t>）</w:t>
            </w:r>
            <w:r>
              <w:rPr>
                <w:spacing w:val="-8"/>
                <w:w w:val="100"/>
                <w:sz w:val="21"/>
              </w:rPr>
              <w:t>在二级或二级以上医院的相应科室从事临床工作三年以上。</w:t>
            </w:r>
            <w:r>
              <w:rPr>
                <w:w w:val="100"/>
                <w:sz w:val="21"/>
              </w:rPr>
              <w:t> </w:t>
            </w:r>
          </w:p>
        </w:tc>
      </w:tr>
      <w:tr>
        <w:trPr>
          <w:trHeight w:val="312" w:hRule="atLeast"/>
        </w:trPr>
        <w:tc>
          <w:tcPr>
            <w:tcW w:w="928" w:type="dxa"/>
          </w:tcPr>
          <w:p>
            <w:pPr>
              <w:pStyle w:val="TableParagraph"/>
              <w:spacing w:line="257" w:lineRule="exact"/>
              <w:ind w:left="152"/>
              <w:jc w:val="center"/>
              <w:rPr>
                <w:b/>
                <w:sz w:val="21"/>
              </w:rPr>
            </w:pPr>
            <w:r>
              <w:rPr>
                <w:b/>
                <w:w w:val="99"/>
                <w:sz w:val="21"/>
              </w:rPr>
              <w:t> </w:t>
            </w:r>
          </w:p>
        </w:tc>
        <w:tc>
          <w:tcPr>
            <w:tcW w:w="1816" w:type="dxa"/>
          </w:tcPr>
          <w:p>
            <w:pPr>
              <w:pStyle w:val="TableParagraph"/>
              <w:spacing w:line="257" w:lineRule="exact"/>
              <w:ind w:left="154"/>
              <w:rPr>
                <w:b/>
                <w:sz w:val="21"/>
              </w:rPr>
            </w:pPr>
            <w:r>
              <w:rPr>
                <w:b/>
                <w:w w:val="99"/>
                <w:sz w:val="21"/>
              </w:rPr>
              <w:t> </w:t>
            </w:r>
          </w:p>
        </w:tc>
        <w:tc>
          <w:tcPr>
            <w:tcW w:w="7860" w:type="dxa"/>
          </w:tcPr>
          <w:p>
            <w:pPr>
              <w:pStyle w:val="TableParagraph"/>
              <w:spacing w:line="257" w:lineRule="exact"/>
              <w:ind w:left="78"/>
              <w:rPr>
                <w:sz w:val="21"/>
              </w:rPr>
            </w:pPr>
            <w:r>
              <w:rPr>
                <w:w w:val="100"/>
                <w:sz w:val="21"/>
              </w:rPr>
              <w:t> </w:t>
            </w:r>
          </w:p>
        </w:tc>
      </w:tr>
      <w:tr>
        <w:trPr>
          <w:trHeight w:val="1559" w:hRule="atLeast"/>
        </w:trPr>
        <w:tc>
          <w:tcPr>
            <w:tcW w:w="928" w:type="dxa"/>
          </w:tcPr>
          <w:p>
            <w:pPr>
              <w:pStyle w:val="TableParagraph"/>
              <w:spacing w:line="257" w:lineRule="exact"/>
              <w:ind w:left="307"/>
              <w:rPr>
                <w:b/>
                <w:sz w:val="21"/>
              </w:rPr>
            </w:pPr>
            <w:r>
              <w:rPr>
                <w:b/>
                <w:sz w:val="21"/>
              </w:rPr>
              <w:t>8.2 </w:t>
            </w:r>
            <w:r>
              <w:rPr>
                <w:b/>
                <w:w w:val="99"/>
                <w:sz w:val="21"/>
              </w:rPr>
              <w:t> </w:t>
            </w:r>
          </w:p>
        </w:tc>
        <w:tc>
          <w:tcPr>
            <w:tcW w:w="1816" w:type="dxa"/>
          </w:tcPr>
          <w:p>
            <w:pPr>
              <w:pStyle w:val="TableParagraph"/>
              <w:spacing w:line="257" w:lineRule="exact"/>
              <w:ind w:left="154"/>
              <w:rPr>
                <w:b/>
                <w:sz w:val="21"/>
              </w:rPr>
            </w:pPr>
            <w:r>
              <w:rPr>
                <w:b/>
                <w:sz w:val="21"/>
              </w:rPr>
              <w:t>感染艾滋病病毒</w:t>
            </w:r>
          </w:p>
          <w:p>
            <w:pPr>
              <w:pStyle w:val="TableParagraph"/>
              <w:spacing w:before="37"/>
              <w:ind w:left="154"/>
              <w:rPr>
                <w:b/>
                <w:sz w:val="21"/>
              </w:rPr>
            </w:pPr>
            <w:r>
              <w:rPr>
                <w:b/>
                <w:sz w:val="21"/>
              </w:rPr>
              <w:t>或患艾滋病</w:t>
            </w:r>
            <w:r>
              <w:rPr>
                <w:b/>
                <w:w w:val="99"/>
                <w:sz w:val="21"/>
              </w:rPr>
              <w:t> </w:t>
            </w:r>
          </w:p>
        </w:tc>
        <w:tc>
          <w:tcPr>
            <w:tcW w:w="7860" w:type="dxa"/>
          </w:tcPr>
          <w:p>
            <w:pPr>
              <w:pStyle w:val="TableParagraph"/>
              <w:spacing w:line="257" w:lineRule="exact"/>
              <w:ind w:left="78"/>
              <w:rPr>
                <w:sz w:val="21"/>
              </w:rPr>
            </w:pPr>
            <w:r>
              <w:rPr>
                <w:sz w:val="21"/>
              </w:rPr>
              <w:t>艾滋病病毒指人类免疫缺陷病毒，英文缩写为 HIV。艾滋病指人类免疫缺陷病毒</w:t>
            </w:r>
          </w:p>
          <w:p>
            <w:pPr>
              <w:pStyle w:val="TableParagraph"/>
              <w:spacing w:before="37"/>
              <w:ind w:left="78"/>
              <w:rPr>
                <w:sz w:val="21"/>
              </w:rPr>
            </w:pPr>
            <w:r>
              <w:rPr>
                <w:sz w:val="21"/>
              </w:rPr>
              <w:t>引起的获得性免疫缺陷综合征，英文缩写为AIDS。 </w:t>
            </w:r>
          </w:p>
          <w:p>
            <w:pPr>
              <w:pStyle w:val="TableParagraph"/>
              <w:spacing w:line="273" w:lineRule="auto" w:before="37"/>
              <w:ind w:left="78" w:right="422"/>
              <w:jc w:val="both"/>
              <w:rPr>
                <w:sz w:val="21"/>
              </w:rPr>
            </w:pPr>
            <w:r>
              <w:rPr>
                <w:sz w:val="21"/>
              </w:rPr>
              <w:t>在人体血液或其他样本中检测到艾滋病病毒或其抗体呈阳性，没有出现临床症状或体征的，为感染艾滋病病毒；如果同时出现了明显临床症状或体征的，为患艾滋病。 </w:t>
            </w:r>
          </w:p>
        </w:tc>
      </w:tr>
      <w:tr>
        <w:trPr>
          <w:trHeight w:val="312" w:hRule="atLeast"/>
        </w:trPr>
        <w:tc>
          <w:tcPr>
            <w:tcW w:w="928" w:type="dxa"/>
          </w:tcPr>
          <w:p>
            <w:pPr>
              <w:pStyle w:val="TableParagraph"/>
              <w:spacing w:line="258" w:lineRule="exact"/>
              <w:ind w:left="152"/>
              <w:jc w:val="center"/>
              <w:rPr>
                <w:b/>
                <w:sz w:val="21"/>
              </w:rPr>
            </w:pPr>
            <w:r>
              <w:rPr>
                <w:b/>
                <w:w w:val="99"/>
                <w:sz w:val="21"/>
              </w:rPr>
              <w:t> </w:t>
            </w:r>
          </w:p>
        </w:tc>
        <w:tc>
          <w:tcPr>
            <w:tcW w:w="1816" w:type="dxa"/>
          </w:tcPr>
          <w:p>
            <w:pPr>
              <w:pStyle w:val="TableParagraph"/>
              <w:spacing w:line="258" w:lineRule="exact"/>
              <w:ind w:left="154"/>
              <w:rPr>
                <w:b/>
                <w:sz w:val="21"/>
              </w:rPr>
            </w:pPr>
            <w:r>
              <w:rPr>
                <w:b/>
                <w:w w:val="99"/>
                <w:sz w:val="21"/>
              </w:rPr>
              <w:t> </w:t>
            </w:r>
          </w:p>
        </w:tc>
        <w:tc>
          <w:tcPr>
            <w:tcW w:w="7860" w:type="dxa"/>
          </w:tcPr>
          <w:p>
            <w:pPr>
              <w:pStyle w:val="TableParagraph"/>
              <w:spacing w:line="258" w:lineRule="exact"/>
              <w:ind w:left="78"/>
              <w:rPr>
                <w:sz w:val="21"/>
              </w:rPr>
            </w:pPr>
            <w:r>
              <w:rPr>
                <w:w w:val="100"/>
                <w:sz w:val="21"/>
              </w:rPr>
              <w:t> </w:t>
            </w:r>
          </w:p>
        </w:tc>
      </w:tr>
      <w:tr>
        <w:trPr>
          <w:trHeight w:val="624" w:hRule="atLeast"/>
        </w:trPr>
        <w:tc>
          <w:tcPr>
            <w:tcW w:w="928" w:type="dxa"/>
          </w:tcPr>
          <w:p>
            <w:pPr>
              <w:pStyle w:val="TableParagraph"/>
              <w:spacing w:line="257" w:lineRule="exact"/>
              <w:ind w:left="307"/>
              <w:rPr>
                <w:b/>
                <w:sz w:val="21"/>
              </w:rPr>
            </w:pPr>
            <w:r>
              <w:rPr>
                <w:b/>
                <w:sz w:val="21"/>
              </w:rPr>
              <w:t>8.3 </w:t>
            </w:r>
            <w:r>
              <w:rPr>
                <w:b/>
                <w:w w:val="99"/>
                <w:sz w:val="21"/>
              </w:rPr>
              <w:t> </w:t>
            </w:r>
          </w:p>
        </w:tc>
        <w:tc>
          <w:tcPr>
            <w:tcW w:w="1816" w:type="dxa"/>
          </w:tcPr>
          <w:p>
            <w:pPr>
              <w:pStyle w:val="TableParagraph"/>
              <w:spacing w:line="257" w:lineRule="exact"/>
              <w:ind w:left="154"/>
              <w:rPr>
                <w:b/>
                <w:sz w:val="21"/>
              </w:rPr>
            </w:pPr>
            <w:r>
              <w:rPr>
                <w:b/>
                <w:sz w:val="21"/>
              </w:rPr>
              <w:t>遗传性疾病</w:t>
            </w:r>
            <w:r>
              <w:rPr>
                <w:b/>
                <w:w w:val="99"/>
                <w:sz w:val="21"/>
              </w:rPr>
              <w:t> </w:t>
            </w:r>
          </w:p>
        </w:tc>
        <w:tc>
          <w:tcPr>
            <w:tcW w:w="7860" w:type="dxa"/>
          </w:tcPr>
          <w:p>
            <w:pPr>
              <w:pStyle w:val="TableParagraph"/>
              <w:spacing w:line="257" w:lineRule="exact"/>
              <w:ind w:left="78"/>
              <w:rPr>
                <w:sz w:val="21"/>
              </w:rPr>
            </w:pPr>
            <w:r>
              <w:rPr>
                <w:sz w:val="21"/>
              </w:rPr>
              <w:t>指生殖细胞或受精卵的遗传物质（染色体和基因）发生突变或畸变所引起的疾病，</w:t>
            </w:r>
          </w:p>
          <w:p>
            <w:pPr>
              <w:pStyle w:val="TableParagraph"/>
              <w:spacing w:before="37"/>
              <w:ind w:left="78"/>
              <w:rPr>
                <w:sz w:val="21"/>
              </w:rPr>
            </w:pPr>
            <w:r>
              <w:rPr>
                <w:sz w:val="21"/>
              </w:rPr>
              <w:t>通常具有由亲代传至后代的垂直传递的特征。 </w:t>
            </w:r>
          </w:p>
        </w:tc>
      </w:tr>
      <w:tr>
        <w:trPr>
          <w:trHeight w:val="311" w:hRule="atLeast"/>
        </w:trPr>
        <w:tc>
          <w:tcPr>
            <w:tcW w:w="928" w:type="dxa"/>
          </w:tcPr>
          <w:p>
            <w:pPr>
              <w:pStyle w:val="TableParagraph"/>
              <w:spacing w:line="257" w:lineRule="exact"/>
              <w:ind w:left="152"/>
              <w:jc w:val="center"/>
              <w:rPr>
                <w:b/>
                <w:sz w:val="21"/>
              </w:rPr>
            </w:pPr>
            <w:r>
              <w:rPr>
                <w:b/>
                <w:w w:val="99"/>
                <w:sz w:val="21"/>
              </w:rPr>
              <w:t> </w:t>
            </w:r>
          </w:p>
        </w:tc>
        <w:tc>
          <w:tcPr>
            <w:tcW w:w="1816" w:type="dxa"/>
          </w:tcPr>
          <w:p>
            <w:pPr>
              <w:pStyle w:val="TableParagraph"/>
              <w:spacing w:line="257" w:lineRule="exact"/>
              <w:ind w:left="154"/>
              <w:rPr>
                <w:b/>
                <w:sz w:val="21"/>
              </w:rPr>
            </w:pPr>
            <w:r>
              <w:rPr>
                <w:b/>
                <w:w w:val="99"/>
                <w:sz w:val="21"/>
              </w:rPr>
              <w:t> </w:t>
            </w:r>
          </w:p>
        </w:tc>
        <w:tc>
          <w:tcPr>
            <w:tcW w:w="7860" w:type="dxa"/>
          </w:tcPr>
          <w:p>
            <w:pPr>
              <w:pStyle w:val="TableParagraph"/>
              <w:spacing w:line="257" w:lineRule="exact"/>
              <w:ind w:left="78"/>
              <w:rPr>
                <w:sz w:val="21"/>
              </w:rPr>
            </w:pPr>
            <w:r>
              <w:rPr>
                <w:w w:val="100"/>
                <w:sz w:val="21"/>
              </w:rPr>
              <w:t> </w:t>
            </w:r>
          </w:p>
        </w:tc>
      </w:tr>
      <w:tr>
        <w:trPr>
          <w:trHeight w:val="624" w:hRule="atLeast"/>
        </w:trPr>
        <w:tc>
          <w:tcPr>
            <w:tcW w:w="928" w:type="dxa"/>
          </w:tcPr>
          <w:p>
            <w:pPr>
              <w:pStyle w:val="TableParagraph"/>
              <w:spacing w:line="257" w:lineRule="exact"/>
              <w:ind w:left="307"/>
              <w:rPr>
                <w:b/>
                <w:sz w:val="21"/>
              </w:rPr>
            </w:pPr>
            <w:r>
              <w:rPr>
                <w:b/>
                <w:sz w:val="21"/>
              </w:rPr>
              <w:t>8.4 </w:t>
            </w:r>
            <w:r>
              <w:rPr>
                <w:b/>
                <w:w w:val="99"/>
                <w:sz w:val="21"/>
              </w:rPr>
              <w:t> </w:t>
            </w:r>
          </w:p>
        </w:tc>
        <w:tc>
          <w:tcPr>
            <w:tcW w:w="1816" w:type="dxa"/>
          </w:tcPr>
          <w:p>
            <w:pPr>
              <w:pStyle w:val="TableParagraph"/>
              <w:spacing w:line="257" w:lineRule="exact"/>
              <w:ind w:left="154"/>
              <w:rPr>
                <w:b/>
                <w:sz w:val="21"/>
              </w:rPr>
            </w:pPr>
            <w:r>
              <w:rPr>
                <w:b/>
                <w:sz w:val="21"/>
              </w:rPr>
              <w:t>先天性畸形、变</w:t>
            </w:r>
          </w:p>
          <w:p>
            <w:pPr>
              <w:pStyle w:val="TableParagraph"/>
              <w:spacing w:before="37"/>
              <w:ind w:left="154"/>
              <w:rPr>
                <w:b/>
                <w:sz w:val="21"/>
              </w:rPr>
            </w:pPr>
            <w:r>
              <w:rPr>
                <w:b/>
                <w:sz w:val="21"/>
              </w:rPr>
              <w:t>形或染色体异常</w:t>
            </w:r>
            <w:r>
              <w:rPr>
                <w:b/>
                <w:w w:val="99"/>
                <w:sz w:val="21"/>
              </w:rPr>
              <w:t> </w:t>
            </w:r>
          </w:p>
        </w:tc>
        <w:tc>
          <w:tcPr>
            <w:tcW w:w="7860" w:type="dxa"/>
          </w:tcPr>
          <w:p>
            <w:pPr>
              <w:pStyle w:val="TableParagraph"/>
              <w:spacing w:line="257" w:lineRule="exact"/>
              <w:ind w:left="78"/>
              <w:rPr>
                <w:sz w:val="21"/>
              </w:rPr>
            </w:pPr>
            <w:r>
              <w:rPr>
                <w:sz w:val="21"/>
              </w:rPr>
              <w:t>指被保险人出生时就具有的畸形、变形或染色体异常。先天性畸形、变形和染色</w:t>
            </w:r>
          </w:p>
          <w:p>
            <w:pPr>
              <w:pStyle w:val="TableParagraph"/>
              <w:spacing w:before="37"/>
              <w:ind w:left="78"/>
              <w:rPr>
                <w:sz w:val="21"/>
              </w:rPr>
            </w:pPr>
            <w:r>
              <w:rPr>
                <w:spacing w:val="-9"/>
                <w:sz w:val="21"/>
              </w:rPr>
              <w:t>体异常依照世界卫生组织《疾病和有关健康问题的国际统计分类</w:t>
            </w:r>
            <w:r>
              <w:rPr>
                <w:spacing w:val="-173"/>
                <w:sz w:val="21"/>
              </w:rPr>
              <w:t>》</w:t>
            </w:r>
            <w:r>
              <w:rPr>
                <w:spacing w:val="-10"/>
                <w:sz w:val="21"/>
              </w:rPr>
              <w:t>（ICD-10）</w:t>
            </w:r>
            <w:r>
              <w:rPr>
                <w:spacing w:val="-38"/>
                <w:sz w:val="21"/>
              </w:rPr>
              <w:t>确定。</w:t>
            </w:r>
            <w:r>
              <w:rPr>
                <w:sz w:val="21"/>
              </w:rPr>
              <w:t> </w:t>
            </w:r>
          </w:p>
        </w:tc>
      </w:tr>
      <w:tr>
        <w:trPr>
          <w:trHeight w:val="311" w:hRule="atLeast"/>
        </w:trPr>
        <w:tc>
          <w:tcPr>
            <w:tcW w:w="928" w:type="dxa"/>
          </w:tcPr>
          <w:p>
            <w:pPr>
              <w:pStyle w:val="TableParagraph"/>
              <w:spacing w:line="257" w:lineRule="exact"/>
              <w:ind w:left="152"/>
              <w:jc w:val="center"/>
              <w:rPr>
                <w:b/>
                <w:sz w:val="21"/>
              </w:rPr>
            </w:pPr>
            <w:r>
              <w:rPr>
                <w:b/>
                <w:w w:val="99"/>
                <w:sz w:val="21"/>
              </w:rPr>
              <w:t> </w:t>
            </w:r>
          </w:p>
        </w:tc>
        <w:tc>
          <w:tcPr>
            <w:tcW w:w="1816" w:type="dxa"/>
          </w:tcPr>
          <w:p>
            <w:pPr>
              <w:pStyle w:val="TableParagraph"/>
              <w:spacing w:line="257" w:lineRule="exact"/>
              <w:ind w:left="154"/>
              <w:rPr>
                <w:b/>
                <w:sz w:val="21"/>
              </w:rPr>
            </w:pPr>
            <w:r>
              <w:rPr>
                <w:b/>
                <w:w w:val="99"/>
                <w:sz w:val="21"/>
              </w:rPr>
              <w:t> </w:t>
            </w:r>
          </w:p>
        </w:tc>
        <w:tc>
          <w:tcPr>
            <w:tcW w:w="7860" w:type="dxa"/>
          </w:tcPr>
          <w:p>
            <w:pPr>
              <w:pStyle w:val="TableParagraph"/>
              <w:spacing w:line="257" w:lineRule="exact"/>
              <w:ind w:left="78"/>
              <w:rPr>
                <w:sz w:val="21"/>
              </w:rPr>
            </w:pPr>
            <w:r>
              <w:rPr>
                <w:w w:val="100"/>
                <w:sz w:val="21"/>
              </w:rPr>
              <w:t> </w:t>
            </w:r>
          </w:p>
        </w:tc>
      </w:tr>
      <w:tr>
        <w:trPr>
          <w:trHeight w:val="626" w:hRule="atLeast"/>
        </w:trPr>
        <w:tc>
          <w:tcPr>
            <w:tcW w:w="928" w:type="dxa"/>
          </w:tcPr>
          <w:p>
            <w:pPr>
              <w:pStyle w:val="TableParagraph"/>
              <w:spacing w:line="257" w:lineRule="exact"/>
              <w:ind w:left="307"/>
              <w:rPr>
                <w:b/>
                <w:sz w:val="21"/>
              </w:rPr>
            </w:pPr>
            <w:r>
              <w:rPr>
                <w:b/>
                <w:sz w:val="21"/>
              </w:rPr>
              <w:t>8.5 </w:t>
            </w:r>
            <w:r>
              <w:rPr>
                <w:b/>
                <w:w w:val="99"/>
                <w:sz w:val="21"/>
              </w:rPr>
              <w:t> </w:t>
            </w:r>
          </w:p>
        </w:tc>
        <w:tc>
          <w:tcPr>
            <w:tcW w:w="1816" w:type="dxa"/>
          </w:tcPr>
          <w:p>
            <w:pPr>
              <w:pStyle w:val="TableParagraph"/>
              <w:spacing w:line="257" w:lineRule="exact"/>
              <w:ind w:left="154"/>
              <w:rPr>
                <w:b/>
                <w:sz w:val="21"/>
              </w:rPr>
            </w:pPr>
            <w:r>
              <w:rPr>
                <w:b/>
                <w:sz w:val="21"/>
              </w:rPr>
              <w:t>肢体机能完全丧</w:t>
            </w:r>
          </w:p>
          <w:p>
            <w:pPr>
              <w:pStyle w:val="TableParagraph"/>
              <w:spacing w:before="37"/>
              <w:ind w:left="154"/>
              <w:rPr>
                <w:b/>
                <w:sz w:val="21"/>
              </w:rPr>
            </w:pPr>
            <w:r>
              <w:rPr>
                <w:b/>
                <w:sz w:val="21"/>
              </w:rPr>
              <w:t>失</w:t>
            </w:r>
            <w:r>
              <w:rPr>
                <w:b/>
                <w:w w:val="99"/>
                <w:sz w:val="21"/>
              </w:rPr>
              <w:t> </w:t>
            </w:r>
          </w:p>
        </w:tc>
        <w:tc>
          <w:tcPr>
            <w:tcW w:w="7860" w:type="dxa"/>
          </w:tcPr>
          <w:p>
            <w:pPr>
              <w:pStyle w:val="TableParagraph"/>
              <w:spacing w:line="257" w:lineRule="exact"/>
              <w:ind w:left="78"/>
              <w:rPr>
                <w:sz w:val="21"/>
              </w:rPr>
            </w:pPr>
            <w:r>
              <w:rPr>
                <w:sz w:val="21"/>
              </w:rPr>
              <w:t>指肢体的三大关节中的两大关节僵硬，或不能随意识活动。肢体是指包括肩关节</w:t>
            </w:r>
          </w:p>
          <w:p>
            <w:pPr>
              <w:pStyle w:val="TableParagraph"/>
              <w:spacing w:before="37"/>
              <w:ind w:left="78"/>
              <w:rPr>
                <w:sz w:val="24"/>
              </w:rPr>
            </w:pPr>
            <w:r>
              <w:rPr>
                <w:sz w:val="21"/>
              </w:rPr>
              <w:t>的整个上肢或包括髋关节的整个下肢。</w:t>
            </w:r>
            <w:r>
              <w:rPr>
                <w:sz w:val="24"/>
              </w:rPr>
              <w:t> </w:t>
            </w:r>
          </w:p>
        </w:tc>
      </w:tr>
      <w:tr>
        <w:trPr>
          <w:trHeight w:val="309" w:hRule="atLeast"/>
        </w:trPr>
        <w:tc>
          <w:tcPr>
            <w:tcW w:w="928" w:type="dxa"/>
          </w:tcPr>
          <w:p>
            <w:pPr>
              <w:pStyle w:val="TableParagraph"/>
              <w:spacing w:line="255" w:lineRule="exact"/>
              <w:ind w:left="152"/>
              <w:jc w:val="center"/>
              <w:rPr>
                <w:b/>
                <w:sz w:val="21"/>
              </w:rPr>
            </w:pPr>
            <w:r>
              <w:rPr>
                <w:b/>
                <w:w w:val="99"/>
                <w:sz w:val="21"/>
              </w:rPr>
              <w:t> </w:t>
            </w:r>
          </w:p>
        </w:tc>
        <w:tc>
          <w:tcPr>
            <w:tcW w:w="1816" w:type="dxa"/>
          </w:tcPr>
          <w:p>
            <w:pPr>
              <w:pStyle w:val="TableParagraph"/>
              <w:spacing w:line="255" w:lineRule="exact"/>
              <w:ind w:left="154"/>
              <w:rPr>
                <w:b/>
                <w:sz w:val="21"/>
              </w:rPr>
            </w:pPr>
            <w:r>
              <w:rPr>
                <w:b/>
                <w:w w:val="99"/>
                <w:sz w:val="21"/>
              </w:rPr>
              <w:t> </w:t>
            </w:r>
          </w:p>
        </w:tc>
        <w:tc>
          <w:tcPr>
            <w:tcW w:w="7860" w:type="dxa"/>
          </w:tcPr>
          <w:p>
            <w:pPr>
              <w:pStyle w:val="TableParagraph"/>
              <w:spacing w:line="255" w:lineRule="exact"/>
              <w:ind w:left="78"/>
              <w:rPr>
                <w:sz w:val="21"/>
              </w:rPr>
            </w:pPr>
            <w:r>
              <w:rPr>
                <w:w w:val="100"/>
                <w:sz w:val="21"/>
              </w:rPr>
              <w:t> </w:t>
            </w:r>
          </w:p>
        </w:tc>
      </w:tr>
      <w:tr>
        <w:trPr>
          <w:trHeight w:val="623" w:hRule="atLeast"/>
        </w:trPr>
        <w:tc>
          <w:tcPr>
            <w:tcW w:w="928" w:type="dxa"/>
          </w:tcPr>
          <w:p>
            <w:pPr>
              <w:pStyle w:val="TableParagraph"/>
              <w:spacing w:line="257" w:lineRule="exact"/>
              <w:ind w:left="307"/>
              <w:rPr>
                <w:b/>
                <w:sz w:val="21"/>
              </w:rPr>
            </w:pPr>
            <w:r>
              <w:rPr>
                <w:b/>
                <w:sz w:val="21"/>
              </w:rPr>
              <w:t>8.6 </w:t>
            </w:r>
            <w:r>
              <w:rPr>
                <w:b/>
                <w:w w:val="99"/>
                <w:sz w:val="21"/>
              </w:rPr>
              <w:t> </w:t>
            </w:r>
          </w:p>
        </w:tc>
        <w:tc>
          <w:tcPr>
            <w:tcW w:w="1816" w:type="dxa"/>
          </w:tcPr>
          <w:p>
            <w:pPr>
              <w:pStyle w:val="TableParagraph"/>
              <w:spacing w:line="257" w:lineRule="exact"/>
              <w:ind w:left="154"/>
              <w:rPr>
                <w:b/>
                <w:sz w:val="21"/>
              </w:rPr>
            </w:pPr>
            <w:r>
              <w:rPr>
                <w:b/>
                <w:sz w:val="21"/>
              </w:rPr>
              <w:t>语言能力完全丧</w:t>
            </w:r>
          </w:p>
          <w:p>
            <w:pPr>
              <w:pStyle w:val="TableParagraph"/>
              <w:spacing w:before="37"/>
              <w:ind w:left="154"/>
              <w:rPr>
                <w:b/>
                <w:sz w:val="21"/>
              </w:rPr>
            </w:pPr>
            <w:r>
              <w:rPr>
                <w:b/>
                <w:sz w:val="21"/>
              </w:rPr>
              <w:t>失</w:t>
            </w:r>
            <w:r>
              <w:rPr>
                <w:b/>
                <w:w w:val="99"/>
                <w:sz w:val="21"/>
              </w:rPr>
              <w:t> </w:t>
            </w:r>
          </w:p>
        </w:tc>
        <w:tc>
          <w:tcPr>
            <w:tcW w:w="7860" w:type="dxa"/>
          </w:tcPr>
          <w:p>
            <w:pPr>
              <w:pStyle w:val="TableParagraph"/>
              <w:spacing w:line="257" w:lineRule="exact"/>
              <w:ind w:left="78"/>
              <w:rPr>
                <w:sz w:val="21"/>
              </w:rPr>
            </w:pPr>
            <w:r>
              <w:rPr>
                <w:sz w:val="21"/>
              </w:rPr>
              <w:t>指无法发出四种语音（包括口唇音、齿舌音、口盖音和喉头音）中的任何三种、</w:t>
            </w:r>
          </w:p>
          <w:p>
            <w:pPr>
              <w:pStyle w:val="TableParagraph"/>
              <w:spacing w:before="37"/>
              <w:ind w:left="78"/>
              <w:rPr>
                <w:sz w:val="21"/>
              </w:rPr>
            </w:pPr>
            <w:r>
              <w:rPr>
                <w:sz w:val="21"/>
              </w:rPr>
              <w:t>或声带全部切除，或因大脑语言中枢受伤害而患失语症。  </w:t>
            </w:r>
          </w:p>
        </w:tc>
      </w:tr>
      <w:tr>
        <w:trPr>
          <w:trHeight w:val="312" w:hRule="atLeast"/>
        </w:trPr>
        <w:tc>
          <w:tcPr>
            <w:tcW w:w="928" w:type="dxa"/>
          </w:tcPr>
          <w:p>
            <w:pPr>
              <w:pStyle w:val="TableParagraph"/>
              <w:spacing w:line="257" w:lineRule="exact"/>
              <w:ind w:left="152"/>
              <w:jc w:val="center"/>
              <w:rPr>
                <w:b/>
                <w:sz w:val="21"/>
              </w:rPr>
            </w:pPr>
            <w:r>
              <w:rPr>
                <w:b/>
                <w:w w:val="99"/>
                <w:sz w:val="21"/>
              </w:rPr>
              <w:t> </w:t>
            </w:r>
          </w:p>
        </w:tc>
        <w:tc>
          <w:tcPr>
            <w:tcW w:w="1816" w:type="dxa"/>
          </w:tcPr>
          <w:p>
            <w:pPr>
              <w:pStyle w:val="TableParagraph"/>
              <w:spacing w:line="257" w:lineRule="exact"/>
              <w:ind w:left="154"/>
              <w:rPr>
                <w:b/>
                <w:sz w:val="21"/>
              </w:rPr>
            </w:pPr>
            <w:r>
              <w:rPr>
                <w:b/>
                <w:w w:val="99"/>
                <w:sz w:val="21"/>
              </w:rPr>
              <w:t> </w:t>
            </w:r>
          </w:p>
        </w:tc>
        <w:tc>
          <w:tcPr>
            <w:tcW w:w="7860" w:type="dxa"/>
          </w:tcPr>
          <w:p>
            <w:pPr>
              <w:pStyle w:val="TableParagraph"/>
              <w:spacing w:line="257" w:lineRule="exact"/>
              <w:ind w:left="78"/>
              <w:rPr>
                <w:sz w:val="21"/>
              </w:rPr>
            </w:pPr>
            <w:r>
              <w:rPr>
                <w:w w:val="100"/>
                <w:sz w:val="21"/>
              </w:rPr>
              <w:t> </w:t>
            </w:r>
          </w:p>
        </w:tc>
      </w:tr>
      <w:tr>
        <w:trPr>
          <w:trHeight w:val="623" w:hRule="atLeast"/>
        </w:trPr>
        <w:tc>
          <w:tcPr>
            <w:tcW w:w="928" w:type="dxa"/>
          </w:tcPr>
          <w:p>
            <w:pPr>
              <w:pStyle w:val="TableParagraph"/>
              <w:spacing w:line="257" w:lineRule="exact"/>
              <w:ind w:left="307"/>
              <w:rPr>
                <w:b/>
                <w:sz w:val="21"/>
              </w:rPr>
            </w:pPr>
            <w:r>
              <w:rPr>
                <w:b/>
                <w:sz w:val="21"/>
              </w:rPr>
              <w:t>8.7 </w:t>
            </w:r>
            <w:r>
              <w:rPr>
                <w:b/>
                <w:w w:val="99"/>
                <w:sz w:val="21"/>
              </w:rPr>
              <w:t> </w:t>
            </w:r>
          </w:p>
        </w:tc>
        <w:tc>
          <w:tcPr>
            <w:tcW w:w="1816" w:type="dxa"/>
          </w:tcPr>
          <w:p>
            <w:pPr>
              <w:pStyle w:val="TableParagraph"/>
              <w:spacing w:line="257" w:lineRule="exact"/>
              <w:ind w:left="154"/>
              <w:rPr>
                <w:b/>
                <w:sz w:val="21"/>
              </w:rPr>
            </w:pPr>
            <w:r>
              <w:rPr>
                <w:b/>
                <w:sz w:val="21"/>
              </w:rPr>
              <w:t>咀嚼吞咽能力完</w:t>
            </w:r>
          </w:p>
          <w:p>
            <w:pPr>
              <w:pStyle w:val="TableParagraph"/>
              <w:spacing w:before="37"/>
              <w:ind w:left="154"/>
              <w:rPr>
                <w:b/>
                <w:sz w:val="21"/>
              </w:rPr>
            </w:pPr>
            <w:r>
              <w:rPr>
                <w:b/>
                <w:sz w:val="21"/>
              </w:rPr>
              <w:t>全丧失</w:t>
            </w:r>
            <w:r>
              <w:rPr>
                <w:b/>
                <w:w w:val="99"/>
                <w:sz w:val="21"/>
              </w:rPr>
              <w:t> </w:t>
            </w:r>
          </w:p>
        </w:tc>
        <w:tc>
          <w:tcPr>
            <w:tcW w:w="7860" w:type="dxa"/>
          </w:tcPr>
          <w:p>
            <w:pPr>
              <w:pStyle w:val="TableParagraph"/>
              <w:spacing w:line="257" w:lineRule="exact"/>
              <w:ind w:left="78"/>
              <w:rPr>
                <w:sz w:val="21"/>
              </w:rPr>
            </w:pPr>
            <w:r>
              <w:rPr>
                <w:sz w:val="21"/>
              </w:rPr>
              <w:t>指因牙齿以外的原因导致器质障碍或机能障碍，以致不能作咀嚼吞咽运动，除流</w:t>
            </w:r>
          </w:p>
          <w:p>
            <w:pPr>
              <w:pStyle w:val="TableParagraph"/>
              <w:spacing w:before="37"/>
              <w:ind w:left="78"/>
              <w:rPr>
                <w:sz w:val="21"/>
              </w:rPr>
            </w:pPr>
            <w:r>
              <w:rPr>
                <w:sz w:val="21"/>
              </w:rPr>
              <w:t>质食物外不能摄取或吞咽的状态。 </w:t>
            </w:r>
          </w:p>
        </w:tc>
      </w:tr>
      <w:tr>
        <w:trPr>
          <w:trHeight w:val="312" w:hRule="atLeast"/>
        </w:trPr>
        <w:tc>
          <w:tcPr>
            <w:tcW w:w="928" w:type="dxa"/>
          </w:tcPr>
          <w:p>
            <w:pPr>
              <w:pStyle w:val="TableParagraph"/>
              <w:spacing w:line="257" w:lineRule="exact"/>
              <w:ind w:left="152"/>
              <w:jc w:val="center"/>
              <w:rPr>
                <w:b/>
                <w:sz w:val="21"/>
              </w:rPr>
            </w:pPr>
            <w:r>
              <w:rPr>
                <w:b/>
                <w:w w:val="99"/>
                <w:sz w:val="21"/>
              </w:rPr>
              <w:t> </w:t>
            </w:r>
          </w:p>
        </w:tc>
        <w:tc>
          <w:tcPr>
            <w:tcW w:w="1816" w:type="dxa"/>
          </w:tcPr>
          <w:p>
            <w:pPr>
              <w:pStyle w:val="TableParagraph"/>
              <w:spacing w:line="257" w:lineRule="exact"/>
              <w:ind w:left="154"/>
              <w:rPr>
                <w:b/>
                <w:sz w:val="21"/>
              </w:rPr>
            </w:pPr>
            <w:r>
              <w:rPr>
                <w:b/>
                <w:w w:val="99"/>
                <w:sz w:val="21"/>
              </w:rPr>
              <w:t> </w:t>
            </w:r>
          </w:p>
        </w:tc>
        <w:tc>
          <w:tcPr>
            <w:tcW w:w="7860" w:type="dxa"/>
          </w:tcPr>
          <w:p>
            <w:pPr>
              <w:pStyle w:val="TableParagraph"/>
              <w:spacing w:line="257" w:lineRule="exact"/>
              <w:ind w:left="78"/>
              <w:rPr>
                <w:sz w:val="21"/>
              </w:rPr>
            </w:pPr>
            <w:r>
              <w:rPr>
                <w:w w:val="100"/>
                <w:sz w:val="21"/>
              </w:rPr>
              <w:t> </w:t>
            </w:r>
          </w:p>
        </w:tc>
      </w:tr>
      <w:tr>
        <w:trPr>
          <w:trHeight w:val="1247" w:hRule="atLeast"/>
        </w:trPr>
        <w:tc>
          <w:tcPr>
            <w:tcW w:w="928" w:type="dxa"/>
          </w:tcPr>
          <w:p>
            <w:pPr>
              <w:pStyle w:val="TableParagraph"/>
              <w:spacing w:line="257" w:lineRule="exact"/>
              <w:ind w:left="307"/>
              <w:rPr>
                <w:b/>
                <w:sz w:val="21"/>
              </w:rPr>
            </w:pPr>
            <w:r>
              <w:rPr>
                <w:b/>
                <w:sz w:val="21"/>
              </w:rPr>
              <w:t>8.8 </w:t>
            </w:r>
            <w:r>
              <w:rPr>
                <w:b/>
                <w:w w:val="99"/>
                <w:sz w:val="21"/>
              </w:rPr>
              <w:t> </w:t>
            </w:r>
          </w:p>
        </w:tc>
        <w:tc>
          <w:tcPr>
            <w:tcW w:w="1816" w:type="dxa"/>
          </w:tcPr>
          <w:p>
            <w:pPr>
              <w:pStyle w:val="TableParagraph"/>
              <w:spacing w:line="257" w:lineRule="exact"/>
              <w:ind w:left="154"/>
              <w:rPr>
                <w:b/>
                <w:sz w:val="21"/>
              </w:rPr>
            </w:pPr>
            <w:r>
              <w:rPr>
                <w:b/>
                <w:sz w:val="21"/>
              </w:rPr>
              <w:t>六项基本日常生</w:t>
            </w:r>
          </w:p>
          <w:p>
            <w:pPr>
              <w:pStyle w:val="TableParagraph"/>
              <w:spacing w:before="37"/>
              <w:ind w:left="154"/>
              <w:rPr>
                <w:b/>
                <w:sz w:val="21"/>
              </w:rPr>
            </w:pPr>
            <w:r>
              <w:rPr>
                <w:b/>
                <w:sz w:val="21"/>
              </w:rPr>
              <w:t>活活动</w:t>
            </w:r>
            <w:r>
              <w:rPr>
                <w:b/>
                <w:w w:val="99"/>
                <w:sz w:val="21"/>
              </w:rPr>
              <w:t> </w:t>
            </w:r>
          </w:p>
        </w:tc>
        <w:tc>
          <w:tcPr>
            <w:tcW w:w="7860" w:type="dxa"/>
          </w:tcPr>
          <w:p>
            <w:pPr>
              <w:pStyle w:val="TableParagraph"/>
              <w:spacing w:line="257" w:lineRule="exact"/>
              <w:ind w:left="78"/>
              <w:rPr>
                <w:sz w:val="21"/>
              </w:rPr>
            </w:pPr>
            <w:r>
              <w:rPr>
                <w:sz w:val="21"/>
              </w:rPr>
              <w:t>六项基本日常生活活动是指：（1）穿衣：自己能够穿衣及脱衣；（2）移动：自</w:t>
            </w:r>
          </w:p>
          <w:p>
            <w:pPr>
              <w:pStyle w:val="TableParagraph"/>
              <w:spacing w:line="273" w:lineRule="auto" w:before="37"/>
              <w:ind w:left="78" w:right="319"/>
              <w:rPr>
                <w:sz w:val="21"/>
              </w:rPr>
            </w:pPr>
            <w:r>
              <w:rPr>
                <w:sz w:val="21"/>
              </w:rPr>
              <w:t>己从一个房间到另一个房间；（3）行动：自己上下床或上下轮椅；（4）如厕： 自己控制进行大小便；（5）进食：自己从已准备好的碗或碟中取食物放入口中；</w:t>
            </w:r>
          </w:p>
          <w:p>
            <w:pPr>
              <w:pStyle w:val="TableParagraph"/>
              <w:spacing w:before="7"/>
              <w:ind w:left="78"/>
              <w:rPr>
                <w:sz w:val="21"/>
              </w:rPr>
            </w:pPr>
            <w:r>
              <w:rPr>
                <w:sz w:val="21"/>
              </w:rPr>
              <w:t>（6）洗澡：自己进行淋浴或盆浴。  </w:t>
            </w:r>
          </w:p>
        </w:tc>
      </w:tr>
      <w:tr>
        <w:trPr>
          <w:trHeight w:val="312" w:hRule="atLeast"/>
        </w:trPr>
        <w:tc>
          <w:tcPr>
            <w:tcW w:w="928" w:type="dxa"/>
          </w:tcPr>
          <w:p>
            <w:pPr>
              <w:pStyle w:val="TableParagraph"/>
              <w:spacing w:line="257" w:lineRule="exact"/>
              <w:ind w:left="152"/>
              <w:jc w:val="center"/>
              <w:rPr>
                <w:b/>
                <w:sz w:val="21"/>
              </w:rPr>
            </w:pPr>
            <w:r>
              <w:rPr>
                <w:b/>
                <w:w w:val="99"/>
                <w:sz w:val="21"/>
              </w:rPr>
              <w:t> </w:t>
            </w:r>
          </w:p>
        </w:tc>
        <w:tc>
          <w:tcPr>
            <w:tcW w:w="1816" w:type="dxa"/>
          </w:tcPr>
          <w:p>
            <w:pPr>
              <w:pStyle w:val="TableParagraph"/>
              <w:spacing w:line="257" w:lineRule="exact"/>
              <w:ind w:left="154"/>
              <w:rPr>
                <w:b/>
                <w:sz w:val="21"/>
              </w:rPr>
            </w:pPr>
            <w:r>
              <w:rPr>
                <w:b/>
                <w:w w:val="99"/>
                <w:sz w:val="21"/>
              </w:rPr>
              <w:t> </w:t>
            </w:r>
          </w:p>
        </w:tc>
        <w:tc>
          <w:tcPr>
            <w:tcW w:w="7860" w:type="dxa"/>
          </w:tcPr>
          <w:p>
            <w:pPr>
              <w:pStyle w:val="TableParagraph"/>
              <w:spacing w:line="257" w:lineRule="exact"/>
              <w:ind w:left="78"/>
              <w:rPr>
                <w:sz w:val="21"/>
              </w:rPr>
            </w:pPr>
            <w:r>
              <w:rPr>
                <w:w w:val="100"/>
                <w:sz w:val="21"/>
              </w:rPr>
              <w:t> </w:t>
            </w:r>
          </w:p>
        </w:tc>
      </w:tr>
      <w:tr>
        <w:trPr>
          <w:trHeight w:val="573" w:hRule="atLeast"/>
        </w:trPr>
        <w:tc>
          <w:tcPr>
            <w:tcW w:w="928" w:type="dxa"/>
          </w:tcPr>
          <w:p>
            <w:pPr>
              <w:pStyle w:val="TableParagraph"/>
              <w:spacing w:line="257" w:lineRule="exact"/>
              <w:ind w:left="307"/>
              <w:rPr>
                <w:b/>
                <w:sz w:val="21"/>
              </w:rPr>
            </w:pPr>
            <w:r>
              <w:rPr>
                <w:b/>
                <w:sz w:val="21"/>
              </w:rPr>
              <w:t>8.9 </w:t>
            </w:r>
            <w:r>
              <w:rPr>
                <w:b/>
                <w:w w:val="99"/>
                <w:sz w:val="21"/>
              </w:rPr>
              <w:t> </w:t>
            </w:r>
          </w:p>
        </w:tc>
        <w:tc>
          <w:tcPr>
            <w:tcW w:w="1816" w:type="dxa"/>
          </w:tcPr>
          <w:p>
            <w:pPr>
              <w:pStyle w:val="TableParagraph"/>
              <w:spacing w:line="257" w:lineRule="exact"/>
              <w:ind w:left="154"/>
              <w:rPr>
                <w:b/>
                <w:sz w:val="21"/>
              </w:rPr>
            </w:pPr>
            <w:r>
              <w:rPr>
                <w:b/>
                <w:sz w:val="21"/>
              </w:rPr>
              <w:t>永久不可逆</w:t>
            </w:r>
            <w:r>
              <w:rPr>
                <w:b/>
                <w:w w:val="99"/>
                <w:sz w:val="21"/>
              </w:rPr>
              <w:t> </w:t>
            </w:r>
          </w:p>
        </w:tc>
        <w:tc>
          <w:tcPr>
            <w:tcW w:w="7860" w:type="dxa"/>
          </w:tcPr>
          <w:p>
            <w:pPr>
              <w:pStyle w:val="TableParagraph"/>
              <w:spacing w:line="257" w:lineRule="exact"/>
              <w:ind w:left="78"/>
              <w:rPr>
                <w:sz w:val="21"/>
              </w:rPr>
            </w:pPr>
            <w:r>
              <w:rPr>
                <w:sz w:val="21"/>
              </w:rPr>
              <w:t>指自疾病确诊或意外伤害发生之日起，经过积极治疗 180 天后，仍无法通过现有</w:t>
            </w:r>
          </w:p>
          <w:p>
            <w:pPr>
              <w:pStyle w:val="TableParagraph"/>
              <w:spacing w:line="259" w:lineRule="exact" w:before="37"/>
              <w:ind w:left="78"/>
              <w:rPr>
                <w:sz w:val="21"/>
              </w:rPr>
            </w:pPr>
            <w:r>
              <w:rPr>
                <w:sz w:val="21"/>
              </w:rPr>
              <w:t>医疗手段恢复。 </w:t>
            </w:r>
          </w:p>
        </w:tc>
      </w:tr>
    </w:tbl>
    <w:p>
      <w:pPr>
        <w:pStyle w:val="BodyText"/>
        <w:spacing w:before="33"/>
        <w:ind w:left="220"/>
      </w:pPr>
      <w:r>
        <w:rPr>
          <w:w w:val="100"/>
        </w:rPr>
        <w:t> </w:t>
      </w:r>
    </w:p>
    <w:p>
      <w:pPr>
        <w:spacing w:after="0"/>
        <w:sectPr>
          <w:pgSz w:w="11910" w:h="16840"/>
          <w:pgMar w:header="0" w:footer="380" w:top="780" w:bottom="560" w:left="500" w:right="580"/>
        </w:sectPr>
      </w:pPr>
    </w:p>
    <w:p>
      <w:pPr>
        <w:spacing w:before="10"/>
        <w:ind w:left="1811" w:right="1811" w:firstLine="0"/>
        <w:jc w:val="center"/>
        <w:rPr>
          <w:rFonts w:ascii="黑体" w:eastAsia="黑体" w:hint="eastAsia"/>
          <w:b/>
          <w:sz w:val="24"/>
        </w:rPr>
      </w:pPr>
      <w:r>
        <w:rPr/>
        <w:pict>
          <v:line style="position:absolute;mso-position-horizontal-relative:page;mso-position-vertical-relative:paragraph;z-index:-53032" from="34.560001pt,2.155606pt" to="560.760001pt,2.155606pt" stroked="true" strokeweight=".72pt" strokecolor="#000000">
            <v:stroke dashstyle="solid"/>
            <w10:wrap type="none"/>
          </v:line>
        </w:pict>
      </w:r>
      <w:r>
        <w:rPr>
          <w:rFonts w:ascii="黑体" w:eastAsia="黑体" w:hint="eastAsia"/>
          <w:b/>
          <w:sz w:val="24"/>
        </w:rPr>
        <w:t>《汇丰附加无忧重大疾病保险 </w:t>
      </w:r>
      <w:r>
        <w:rPr>
          <w:rFonts w:ascii="Times New Roman" w:eastAsia="Times New Roman"/>
          <w:b/>
          <w:sz w:val="24"/>
        </w:rPr>
        <w:t>B </w:t>
      </w:r>
      <w:r>
        <w:rPr>
          <w:rFonts w:ascii="黑体" w:eastAsia="黑体" w:hint="eastAsia"/>
          <w:b/>
          <w:sz w:val="24"/>
        </w:rPr>
        <w:t>款》月重大疾病风险保险费费率表</w:t>
      </w:r>
    </w:p>
    <w:p>
      <w:pPr>
        <w:spacing w:before="28" w:after="54"/>
        <w:ind w:left="1811" w:right="1811" w:firstLine="0"/>
        <w:jc w:val="center"/>
        <w:rPr>
          <w:rFonts w:ascii="Times New Roman" w:eastAsia="Times New Roman"/>
          <w:sz w:val="18"/>
        </w:rPr>
      </w:pPr>
      <w:r>
        <w:rPr>
          <w:rFonts w:ascii="Times New Roman" w:eastAsia="Times New Roman"/>
          <w:w w:val="95"/>
          <w:sz w:val="18"/>
        </w:rPr>
        <w:t>(</w:t>
      </w:r>
      <w:r>
        <w:rPr>
          <w:w w:val="95"/>
          <w:sz w:val="18"/>
        </w:rPr>
        <w:t>每千元基本保险金额</w:t>
      </w:r>
      <w:r>
        <w:rPr>
          <w:rFonts w:ascii="Times New Roman" w:eastAsia="Times New Roman"/>
          <w:w w:val="95"/>
          <w:sz w:val="18"/>
        </w:rPr>
        <w:t>)</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0"/>
        <w:gridCol w:w="1668"/>
        <w:gridCol w:w="1670"/>
        <w:gridCol w:w="1670"/>
        <w:gridCol w:w="1670"/>
        <w:gridCol w:w="1670"/>
      </w:tblGrid>
      <w:tr>
        <w:trPr>
          <w:trHeight w:val="277" w:hRule="atLeast"/>
        </w:trPr>
        <w:tc>
          <w:tcPr>
            <w:tcW w:w="1670" w:type="dxa"/>
          </w:tcPr>
          <w:p>
            <w:pPr>
              <w:pStyle w:val="TableParagraph"/>
              <w:spacing w:before="8"/>
              <w:ind w:left="469" w:right="462"/>
              <w:jc w:val="center"/>
              <w:rPr>
                <w:b/>
                <w:sz w:val="18"/>
              </w:rPr>
            </w:pPr>
            <w:r>
              <w:rPr>
                <w:b/>
                <w:w w:val="95"/>
                <w:sz w:val="18"/>
              </w:rPr>
              <w:t>已达年龄</w:t>
            </w:r>
          </w:p>
        </w:tc>
        <w:tc>
          <w:tcPr>
            <w:tcW w:w="1668" w:type="dxa"/>
          </w:tcPr>
          <w:p>
            <w:pPr>
              <w:pStyle w:val="TableParagraph"/>
              <w:spacing w:before="8"/>
              <w:ind w:left="545" w:right="533"/>
              <w:jc w:val="center"/>
              <w:rPr>
                <w:b/>
                <w:sz w:val="18"/>
              </w:rPr>
            </w:pPr>
            <w:r>
              <w:rPr>
                <w:b/>
                <w:sz w:val="18"/>
              </w:rPr>
              <w:t>男性</w:t>
            </w:r>
          </w:p>
        </w:tc>
        <w:tc>
          <w:tcPr>
            <w:tcW w:w="1670" w:type="dxa"/>
          </w:tcPr>
          <w:p>
            <w:pPr>
              <w:pStyle w:val="TableParagraph"/>
              <w:spacing w:before="8"/>
              <w:ind w:left="653"/>
              <w:rPr>
                <w:b/>
                <w:sz w:val="18"/>
              </w:rPr>
            </w:pPr>
            <w:r>
              <w:rPr>
                <w:b/>
                <w:sz w:val="18"/>
              </w:rPr>
              <w:t>女性</w:t>
            </w:r>
          </w:p>
        </w:tc>
        <w:tc>
          <w:tcPr>
            <w:tcW w:w="1670" w:type="dxa"/>
          </w:tcPr>
          <w:p>
            <w:pPr>
              <w:pStyle w:val="TableParagraph"/>
              <w:spacing w:before="8"/>
              <w:ind w:left="470" w:right="461"/>
              <w:jc w:val="center"/>
              <w:rPr>
                <w:b/>
                <w:sz w:val="18"/>
              </w:rPr>
            </w:pPr>
            <w:r>
              <w:rPr>
                <w:b/>
                <w:w w:val="95"/>
                <w:sz w:val="18"/>
              </w:rPr>
              <w:t>已达年龄</w:t>
            </w:r>
          </w:p>
        </w:tc>
        <w:tc>
          <w:tcPr>
            <w:tcW w:w="1670" w:type="dxa"/>
          </w:tcPr>
          <w:p>
            <w:pPr>
              <w:pStyle w:val="TableParagraph"/>
              <w:spacing w:before="8"/>
              <w:ind w:left="653"/>
              <w:rPr>
                <w:b/>
                <w:sz w:val="18"/>
              </w:rPr>
            </w:pPr>
            <w:r>
              <w:rPr>
                <w:b/>
                <w:sz w:val="18"/>
              </w:rPr>
              <w:t>男性</w:t>
            </w:r>
          </w:p>
        </w:tc>
        <w:tc>
          <w:tcPr>
            <w:tcW w:w="1670" w:type="dxa"/>
          </w:tcPr>
          <w:p>
            <w:pPr>
              <w:pStyle w:val="TableParagraph"/>
              <w:spacing w:before="8"/>
              <w:ind w:left="654"/>
              <w:rPr>
                <w:b/>
                <w:sz w:val="18"/>
              </w:rPr>
            </w:pPr>
            <w:r>
              <w:rPr>
                <w:b/>
                <w:sz w:val="18"/>
              </w:rPr>
              <w:t>女性</w:t>
            </w:r>
          </w:p>
        </w:tc>
      </w:tr>
      <w:tr>
        <w:trPr>
          <w:trHeight w:val="277" w:hRule="atLeast"/>
        </w:trPr>
        <w:tc>
          <w:tcPr>
            <w:tcW w:w="1670" w:type="dxa"/>
          </w:tcPr>
          <w:p>
            <w:pPr>
              <w:pStyle w:val="TableParagraph"/>
              <w:spacing w:before="8"/>
              <w:ind w:left="470" w:right="373"/>
              <w:jc w:val="center"/>
              <w:rPr>
                <w:sz w:val="18"/>
              </w:rPr>
            </w:pPr>
            <w:r>
              <w:rPr>
                <w:sz w:val="18"/>
              </w:rPr>
              <w:t>18 </w:t>
            </w:r>
          </w:p>
        </w:tc>
        <w:tc>
          <w:tcPr>
            <w:tcW w:w="1668" w:type="dxa"/>
          </w:tcPr>
          <w:p>
            <w:pPr>
              <w:pStyle w:val="TableParagraph"/>
              <w:spacing w:before="8"/>
              <w:ind w:left="634" w:right="532"/>
              <w:jc w:val="center"/>
              <w:rPr>
                <w:sz w:val="18"/>
              </w:rPr>
            </w:pPr>
            <w:r>
              <w:rPr>
                <w:sz w:val="18"/>
              </w:rPr>
              <w:t>0.055 </w:t>
            </w:r>
          </w:p>
        </w:tc>
        <w:tc>
          <w:tcPr>
            <w:tcW w:w="1670" w:type="dxa"/>
          </w:tcPr>
          <w:p>
            <w:pPr>
              <w:pStyle w:val="TableParagraph"/>
              <w:spacing w:before="8"/>
              <w:ind w:left="609"/>
              <w:rPr>
                <w:sz w:val="18"/>
              </w:rPr>
            </w:pPr>
            <w:r>
              <w:rPr>
                <w:sz w:val="18"/>
              </w:rPr>
              <w:t>0.051 </w:t>
            </w:r>
          </w:p>
        </w:tc>
        <w:tc>
          <w:tcPr>
            <w:tcW w:w="1670" w:type="dxa"/>
          </w:tcPr>
          <w:p>
            <w:pPr>
              <w:pStyle w:val="TableParagraph"/>
              <w:spacing w:before="8"/>
              <w:ind w:left="470" w:right="371"/>
              <w:jc w:val="center"/>
              <w:rPr>
                <w:sz w:val="18"/>
              </w:rPr>
            </w:pPr>
            <w:r>
              <w:rPr>
                <w:sz w:val="18"/>
              </w:rPr>
              <w:t>42 </w:t>
            </w:r>
          </w:p>
        </w:tc>
        <w:tc>
          <w:tcPr>
            <w:tcW w:w="1670" w:type="dxa"/>
          </w:tcPr>
          <w:p>
            <w:pPr>
              <w:pStyle w:val="TableParagraph"/>
              <w:spacing w:before="8"/>
              <w:ind w:left="610"/>
              <w:rPr>
                <w:sz w:val="18"/>
              </w:rPr>
            </w:pPr>
            <w:r>
              <w:rPr>
                <w:sz w:val="18"/>
              </w:rPr>
              <w:t>0.258 </w:t>
            </w:r>
          </w:p>
        </w:tc>
        <w:tc>
          <w:tcPr>
            <w:tcW w:w="1670" w:type="dxa"/>
          </w:tcPr>
          <w:p>
            <w:pPr>
              <w:pStyle w:val="TableParagraph"/>
              <w:spacing w:before="8"/>
              <w:ind w:left="611"/>
              <w:rPr>
                <w:sz w:val="18"/>
              </w:rPr>
            </w:pPr>
            <w:r>
              <w:rPr>
                <w:sz w:val="18"/>
              </w:rPr>
              <w:t>0.293 </w:t>
            </w:r>
          </w:p>
        </w:tc>
      </w:tr>
      <w:tr>
        <w:trPr>
          <w:trHeight w:val="277" w:hRule="atLeast"/>
        </w:trPr>
        <w:tc>
          <w:tcPr>
            <w:tcW w:w="1670" w:type="dxa"/>
          </w:tcPr>
          <w:p>
            <w:pPr>
              <w:pStyle w:val="TableParagraph"/>
              <w:spacing w:before="8"/>
              <w:ind w:left="470" w:right="373"/>
              <w:jc w:val="center"/>
              <w:rPr>
                <w:sz w:val="18"/>
              </w:rPr>
            </w:pPr>
            <w:r>
              <w:rPr>
                <w:sz w:val="18"/>
              </w:rPr>
              <w:t>19 </w:t>
            </w:r>
          </w:p>
        </w:tc>
        <w:tc>
          <w:tcPr>
            <w:tcW w:w="1668" w:type="dxa"/>
          </w:tcPr>
          <w:p>
            <w:pPr>
              <w:pStyle w:val="TableParagraph"/>
              <w:spacing w:before="8"/>
              <w:ind w:left="634" w:right="532"/>
              <w:jc w:val="center"/>
              <w:rPr>
                <w:sz w:val="18"/>
              </w:rPr>
            </w:pPr>
            <w:r>
              <w:rPr>
                <w:sz w:val="18"/>
              </w:rPr>
              <w:t>0.058 </w:t>
            </w:r>
          </w:p>
        </w:tc>
        <w:tc>
          <w:tcPr>
            <w:tcW w:w="1670" w:type="dxa"/>
          </w:tcPr>
          <w:p>
            <w:pPr>
              <w:pStyle w:val="TableParagraph"/>
              <w:spacing w:before="8"/>
              <w:ind w:left="609"/>
              <w:rPr>
                <w:sz w:val="18"/>
              </w:rPr>
            </w:pPr>
            <w:r>
              <w:rPr>
                <w:sz w:val="18"/>
              </w:rPr>
              <w:t>0.054 </w:t>
            </w:r>
          </w:p>
        </w:tc>
        <w:tc>
          <w:tcPr>
            <w:tcW w:w="1670" w:type="dxa"/>
          </w:tcPr>
          <w:p>
            <w:pPr>
              <w:pStyle w:val="TableParagraph"/>
              <w:spacing w:before="8"/>
              <w:ind w:left="470" w:right="371"/>
              <w:jc w:val="center"/>
              <w:rPr>
                <w:sz w:val="18"/>
              </w:rPr>
            </w:pPr>
            <w:r>
              <w:rPr>
                <w:sz w:val="18"/>
              </w:rPr>
              <w:t>43 </w:t>
            </w:r>
          </w:p>
        </w:tc>
        <w:tc>
          <w:tcPr>
            <w:tcW w:w="1670" w:type="dxa"/>
          </w:tcPr>
          <w:p>
            <w:pPr>
              <w:pStyle w:val="TableParagraph"/>
              <w:spacing w:before="8"/>
              <w:ind w:left="610"/>
              <w:rPr>
                <w:sz w:val="18"/>
              </w:rPr>
            </w:pPr>
            <w:r>
              <w:rPr>
                <w:sz w:val="18"/>
              </w:rPr>
              <w:t>0.291 </w:t>
            </w:r>
          </w:p>
        </w:tc>
        <w:tc>
          <w:tcPr>
            <w:tcW w:w="1670" w:type="dxa"/>
          </w:tcPr>
          <w:p>
            <w:pPr>
              <w:pStyle w:val="TableParagraph"/>
              <w:spacing w:before="8"/>
              <w:ind w:left="611"/>
              <w:rPr>
                <w:sz w:val="18"/>
              </w:rPr>
            </w:pPr>
            <w:r>
              <w:rPr>
                <w:sz w:val="18"/>
              </w:rPr>
              <w:t>0.323 </w:t>
            </w:r>
          </w:p>
        </w:tc>
      </w:tr>
      <w:tr>
        <w:trPr>
          <w:trHeight w:val="277" w:hRule="atLeast"/>
        </w:trPr>
        <w:tc>
          <w:tcPr>
            <w:tcW w:w="1670" w:type="dxa"/>
          </w:tcPr>
          <w:p>
            <w:pPr>
              <w:pStyle w:val="TableParagraph"/>
              <w:spacing w:before="8"/>
              <w:ind w:left="470" w:right="373"/>
              <w:jc w:val="center"/>
              <w:rPr>
                <w:sz w:val="18"/>
              </w:rPr>
            </w:pPr>
            <w:r>
              <w:rPr>
                <w:sz w:val="18"/>
              </w:rPr>
              <w:t>20 </w:t>
            </w:r>
          </w:p>
        </w:tc>
        <w:tc>
          <w:tcPr>
            <w:tcW w:w="1668" w:type="dxa"/>
          </w:tcPr>
          <w:p>
            <w:pPr>
              <w:pStyle w:val="TableParagraph"/>
              <w:spacing w:before="8"/>
              <w:ind w:left="634" w:right="532"/>
              <w:jc w:val="center"/>
              <w:rPr>
                <w:sz w:val="18"/>
              </w:rPr>
            </w:pPr>
            <w:r>
              <w:rPr>
                <w:sz w:val="18"/>
              </w:rPr>
              <w:t>0.062 </w:t>
            </w:r>
          </w:p>
        </w:tc>
        <w:tc>
          <w:tcPr>
            <w:tcW w:w="1670" w:type="dxa"/>
          </w:tcPr>
          <w:p>
            <w:pPr>
              <w:pStyle w:val="TableParagraph"/>
              <w:spacing w:before="8"/>
              <w:ind w:left="609"/>
              <w:rPr>
                <w:sz w:val="18"/>
              </w:rPr>
            </w:pPr>
            <w:r>
              <w:rPr>
                <w:sz w:val="18"/>
              </w:rPr>
              <w:t>0.057 </w:t>
            </w:r>
          </w:p>
        </w:tc>
        <w:tc>
          <w:tcPr>
            <w:tcW w:w="1670" w:type="dxa"/>
          </w:tcPr>
          <w:p>
            <w:pPr>
              <w:pStyle w:val="TableParagraph"/>
              <w:spacing w:before="8"/>
              <w:ind w:left="470" w:right="371"/>
              <w:jc w:val="center"/>
              <w:rPr>
                <w:sz w:val="18"/>
              </w:rPr>
            </w:pPr>
            <w:r>
              <w:rPr>
                <w:sz w:val="18"/>
              </w:rPr>
              <w:t>44 </w:t>
            </w:r>
          </w:p>
        </w:tc>
        <w:tc>
          <w:tcPr>
            <w:tcW w:w="1670" w:type="dxa"/>
          </w:tcPr>
          <w:p>
            <w:pPr>
              <w:pStyle w:val="TableParagraph"/>
              <w:spacing w:before="8"/>
              <w:ind w:left="610"/>
              <w:rPr>
                <w:sz w:val="18"/>
              </w:rPr>
            </w:pPr>
            <w:r>
              <w:rPr>
                <w:sz w:val="18"/>
              </w:rPr>
              <w:t>0.327 </w:t>
            </w:r>
          </w:p>
        </w:tc>
        <w:tc>
          <w:tcPr>
            <w:tcW w:w="1670" w:type="dxa"/>
          </w:tcPr>
          <w:p>
            <w:pPr>
              <w:pStyle w:val="TableParagraph"/>
              <w:spacing w:before="8"/>
              <w:ind w:left="611"/>
              <w:rPr>
                <w:sz w:val="18"/>
              </w:rPr>
            </w:pPr>
            <w:r>
              <w:rPr>
                <w:sz w:val="18"/>
              </w:rPr>
              <w:t>0.356 </w:t>
            </w:r>
          </w:p>
        </w:tc>
      </w:tr>
      <w:tr>
        <w:trPr>
          <w:trHeight w:val="278" w:hRule="atLeast"/>
        </w:trPr>
        <w:tc>
          <w:tcPr>
            <w:tcW w:w="1670" w:type="dxa"/>
          </w:tcPr>
          <w:p>
            <w:pPr>
              <w:pStyle w:val="TableParagraph"/>
              <w:spacing w:before="8"/>
              <w:ind w:left="470" w:right="373"/>
              <w:jc w:val="center"/>
              <w:rPr>
                <w:sz w:val="18"/>
              </w:rPr>
            </w:pPr>
            <w:r>
              <w:rPr>
                <w:sz w:val="18"/>
              </w:rPr>
              <w:t>21 </w:t>
            </w:r>
          </w:p>
        </w:tc>
        <w:tc>
          <w:tcPr>
            <w:tcW w:w="1668" w:type="dxa"/>
          </w:tcPr>
          <w:p>
            <w:pPr>
              <w:pStyle w:val="TableParagraph"/>
              <w:spacing w:before="8"/>
              <w:ind w:left="634" w:right="532"/>
              <w:jc w:val="center"/>
              <w:rPr>
                <w:sz w:val="18"/>
              </w:rPr>
            </w:pPr>
            <w:r>
              <w:rPr>
                <w:sz w:val="18"/>
              </w:rPr>
              <w:t>0.066 </w:t>
            </w:r>
          </w:p>
        </w:tc>
        <w:tc>
          <w:tcPr>
            <w:tcW w:w="1670" w:type="dxa"/>
          </w:tcPr>
          <w:p>
            <w:pPr>
              <w:pStyle w:val="TableParagraph"/>
              <w:spacing w:before="8"/>
              <w:ind w:left="609"/>
              <w:rPr>
                <w:sz w:val="18"/>
              </w:rPr>
            </w:pPr>
            <w:r>
              <w:rPr>
                <w:sz w:val="18"/>
              </w:rPr>
              <w:t>0.060 </w:t>
            </w:r>
          </w:p>
        </w:tc>
        <w:tc>
          <w:tcPr>
            <w:tcW w:w="1670" w:type="dxa"/>
          </w:tcPr>
          <w:p>
            <w:pPr>
              <w:pStyle w:val="TableParagraph"/>
              <w:spacing w:before="8"/>
              <w:ind w:left="470" w:right="371"/>
              <w:jc w:val="center"/>
              <w:rPr>
                <w:sz w:val="18"/>
              </w:rPr>
            </w:pPr>
            <w:r>
              <w:rPr>
                <w:sz w:val="18"/>
              </w:rPr>
              <w:t>45 </w:t>
            </w:r>
          </w:p>
        </w:tc>
        <w:tc>
          <w:tcPr>
            <w:tcW w:w="1670" w:type="dxa"/>
          </w:tcPr>
          <w:p>
            <w:pPr>
              <w:pStyle w:val="TableParagraph"/>
              <w:spacing w:before="8"/>
              <w:ind w:left="610"/>
              <w:rPr>
                <w:sz w:val="18"/>
              </w:rPr>
            </w:pPr>
            <w:r>
              <w:rPr>
                <w:sz w:val="18"/>
              </w:rPr>
              <w:t>0.368 </w:t>
            </w:r>
          </w:p>
        </w:tc>
        <w:tc>
          <w:tcPr>
            <w:tcW w:w="1670" w:type="dxa"/>
          </w:tcPr>
          <w:p>
            <w:pPr>
              <w:pStyle w:val="TableParagraph"/>
              <w:spacing w:before="8"/>
              <w:ind w:left="611"/>
              <w:rPr>
                <w:sz w:val="18"/>
              </w:rPr>
            </w:pPr>
            <w:r>
              <w:rPr>
                <w:sz w:val="18"/>
              </w:rPr>
              <w:t>0.392 </w:t>
            </w:r>
          </w:p>
        </w:tc>
      </w:tr>
      <w:tr>
        <w:trPr>
          <w:trHeight w:val="277" w:hRule="atLeast"/>
        </w:trPr>
        <w:tc>
          <w:tcPr>
            <w:tcW w:w="1670" w:type="dxa"/>
          </w:tcPr>
          <w:p>
            <w:pPr>
              <w:pStyle w:val="TableParagraph"/>
              <w:spacing w:before="8"/>
              <w:ind w:left="470" w:right="373"/>
              <w:jc w:val="center"/>
              <w:rPr>
                <w:sz w:val="18"/>
              </w:rPr>
            </w:pPr>
            <w:r>
              <w:rPr>
                <w:sz w:val="18"/>
              </w:rPr>
              <w:t>22 </w:t>
            </w:r>
          </w:p>
        </w:tc>
        <w:tc>
          <w:tcPr>
            <w:tcW w:w="1668" w:type="dxa"/>
          </w:tcPr>
          <w:p>
            <w:pPr>
              <w:pStyle w:val="TableParagraph"/>
              <w:spacing w:before="8"/>
              <w:ind w:left="634" w:right="532"/>
              <w:jc w:val="center"/>
              <w:rPr>
                <w:sz w:val="18"/>
              </w:rPr>
            </w:pPr>
            <w:r>
              <w:rPr>
                <w:sz w:val="18"/>
              </w:rPr>
              <w:t>0.069 </w:t>
            </w:r>
          </w:p>
        </w:tc>
        <w:tc>
          <w:tcPr>
            <w:tcW w:w="1670" w:type="dxa"/>
          </w:tcPr>
          <w:p>
            <w:pPr>
              <w:pStyle w:val="TableParagraph"/>
              <w:spacing w:before="8"/>
              <w:ind w:left="609"/>
              <w:rPr>
                <w:sz w:val="18"/>
              </w:rPr>
            </w:pPr>
            <w:r>
              <w:rPr>
                <w:sz w:val="18"/>
              </w:rPr>
              <w:t>0.062 </w:t>
            </w:r>
          </w:p>
        </w:tc>
        <w:tc>
          <w:tcPr>
            <w:tcW w:w="1670" w:type="dxa"/>
          </w:tcPr>
          <w:p>
            <w:pPr>
              <w:pStyle w:val="TableParagraph"/>
              <w:spacing w:before="8"/>
              <w:ind w:left="470" w:right="371"/>
              <w:jc w:val="center"/>
              <w:rPr>
                <w:sz w:val="18"/>
              </w:rPr>
            </w:pPr>
            <w:r>
              <w:rPr>
                <w:sz w:val="18"/>
              </w:rPr>
              <w:t>46 </w:t>
            </w:r>
          </w:p>
        </w:tc>
        <w:tc>
          <w:tcPr>
            <w:tcW w:w="1670" w:type="dxa"/>
          </w:tcPr>
          <w:p>
            <w:pPr>
              <w:pStyle w:val="TableParagraph"/>
              <w:spacing w:before="8"/>
              <w:ind w:left="610"/>
              <w:rPr>
                <w:sz w:val="18"/>
              </w:rPr>
            </w:pPr>
            <w:r>
              <w:rPr>
                <w:sz w:val="18"/>
              </w:rPr>
              <w:t>0.422 </w:t>
            </w:r>
          </w:p>
        </w:tc>
        <w:tc>
          <w:tcPr>
            <w:tcW w:w="1670" w:type="dxa"/>
          </w:tcPr>
          <w:p>
            <w:pPr>
              <w:pStyle w:val="TableParagraph"/>
              <w:spacing w:before="8"/>
              <w:ind w:left="611"/>
              <w:rPr>
                <w:sz w:val="18"/>
              </w:rPr>
            </w:pPr>
            <w:r>
              <w:rPr>
                <w:sz w:val="18"/>
              </w:rPr>
              <w:t>0.434 </w:t>
            </w:r>
          </w:p>
        </w:tc>
      </w:tr>
      <w:tr>
        <w:trPr>
          <w:trHeight w:val="277" w:hRule="atLeast"/>
        </w:trPr>
        <w:tc>
          <w:tcPr>
            <w:tcW w:w="1670" w:type="dxa"/>
          </w:tcPr>
          <w:p>
            <w:pPr>
              <w:pStyle w:val="TableParagraph"/>
              <w:spacing w:before="8"/>
              <w:ind w:left="470" w:right="373"/>
              <w:jc w:val="center"/>
              <w:rPr>
                <w:sz w:val="18"/>
              </w:rPr>
            </w:pPr>
            <w:r>
              <w:rPr>
                <w:sz w:val="18"/>
              </w:rPr>
              <w:t>23 </w:t>
            </w:r>
          </w:p>
        </w:tc>
        <w:tc>
          <w:tcPr>
            <w:tcW w:w="1668" w:type="dxa"/>
          </w:tcPr>
          <w:p>
            <w:pPr>
              <w:pStyle w:val="TableParagraph"/>
              <w:spacing w:before="8"/>
              <w:ind w:left="634" w:right="532"/>
              <w:jc w:val="center"/>
              <w:rPr>
                <w:sz w:val="18"/>
              </w:rPr>
            </w:pPr>
            <w:r>
              <w:rPr>
                <w:sz w:val="18"/>
              </w:rPr>
              <w:t>0.072 </w:t>
            </w:r>
          </w:p>
        </w:tc>
        <w:tc>
          <w:tcPr>
            <w:tcW w:w="1670" w:type="dxa"/>
          </w:tcPr>
          <w:p>
            <w:pPr>
              <w:pStyle w:val="TableParagraph"/>
              <w:spacing w:before="8"/>
              <w:ind w:left="609"/>
              <w:rPr>
                <w:sz w:val="18"/>
              </w:rPr>
            </w:pPr>
            <w:r>
              <w:rPr>
                <w:sz w:val="18"/>
              </w:rPr>
              <w:t>0.065 </w:t>
            </w:r>
          </w:p>
        </w:tc>
        <w:tc>
          <w:tcPr>
            <w:tcW w:w="1670" w:type="dxa"/>
          </w:tcPr>
          <w:p>
            <w:pPr>
              <w:pStyle w:val="TableParagraph"/>
              <w:spacing w:before="8"/>
              <w:ind w:left="470" w:right="371"/>
              <w:jc w:val="center"/>
              <w:rPr>
                <w:sz w:val="18"/>
              </w:rPr>
            </w:pPr>
            <w:r>
              <w:rPr>
                <w:sz w:val="18"/>
              </w:rPr>
              <w:t>47 </w:t>
            </w:r>
          </w:p>
        </w:tc>
        <w:tc>
          <w:tcPr>
            <w:tcW w:w="1670" w:type="dxa"/>
          </w:tcPr>
          <w:p>
            <w:pPr>
              <w:pStyle w:val="TableParagraph"/>
              <w:spacing w:before="8"/>
              <w:ind w:left="610"/>
              <w:rPr>
                <w:sz w:val="18"/>
              </w:rPr>
            </w:pPr>
            <w:r>
              <w:rPr>
                <w:sz w:val="18"/>
              </w:rPr>
              <w:t>0.471 </w:t>
            </w:r>
          </w:p>
        </w:tc>
        <w:tc>
          <w:tcPr>
            <w:tcW w:w="1670" w:type="dxa"/>
          </w:tcPr>
          <w:p>
            <w:pPr>
              <w:pStyle w:val="TableParagraph"/>
              <w:spacing w:before="8"/>
              <w:ind w:left="611"/>
              <w:rPr>
                <w:sz w:val="18"/>
              </w:rPr>
            </w:pPr>
            <w:r>
              <w:rPr>
                <w:sz w:val="18"/>
              </w:rPr>
              <w:t>0.474 </w:t>
            </w:r>
          </w:p>
        </w:tc>
      </w:tr>
      <w:tr>
        <w:trPr>
          <w:trHeight w:val="277" w:hRule="atLeast"/>
        </w:trPr>
        <w:tc>
          <w:tcPr>
            <w:tcW w:w="1670" w:type="dxa"/>
          </w:tcPr>
          <w:p>
            <w:pPr>
              <w:pStyle w:val="TableParagraph"/>
              <w:spacing w:before="8"/>
              <w:ind w:left="470" w:right="373"/>
              <w:jc w:val="center"/>
              <w:rPr>
                <w:sz w:val="18"/>
              </w:rPr>
            </w:pPr>
            <w:r>
              <w:rPr>
                <w:sz w:val="18"/>
              </w:rPr>
              <w:t>24 </w:t>
            </w:r>
          </w:p>
        </w:tc>
        <w:tc>
          <w:tcPr>
            <w:tcW w:w="1668" w:type="dxa"/>
          </w:tcPr>
          <w:p>
            <w:pPr>
              <w:pStyle w:val="TableParagraph"/>
              <w:spacing w:before="8"/>
              <w:ind w:left="634" w:right="532"/>
              <w:jc w:val="center"/>
              <w:rPr>
                <w:sz w:val="18"/>
              </w:rPr>
            </w:pPr>
            <w:r>
              <w:rPr>
                <w:sz w:val="18"/>
              </w:rPr>
              <w:t>0.076 </w:t>
            </w:r>
          </w:p>
        </w:tc>
        <w:tc>
          <w:tcPr>
            <w:tcW w:w="1670" w:type="dxa"/>
          </w:tcPr>
          <w:p>
            <w:pPr>
              <w:pStyle w:val="TableParagraph"/>
              <w:spacing w:before="8"/>
              <w:ind w:left="609"/>
              <w:rPr>
                <w:sz w:val="18"/>
              </w:rPr>
            </w:pPr>
            <w:r>
              <w:rPr>
                <w:sz w:val="18"/>
              </w:rPr>
              <w:t>0.067 </w:t>
            </w:r>
          </w:p>
        </w:tc>
        <w:tc>
          <w:tcPr>
            <w:tcW w:w="1670" w:type="dxa"/>
          </w:tcPr>
          <w:p>
            <w:pPr>
              <w:pStyle w:val="TableParagraph"/>
              <w:spacing w:before="8"/>
              <w:ind w:left="470" w:right="371"/>
              <w:jc w:val="center"/>
              <w:rPr>
                <w:sz w:val="18"/>
              </w:rPr>
            </w:pPr>
            <w:r>
              <w:rPr>
                <w:sz w:val="18"/>
              </w:rPr>
              <w:t>48 </w:t>
            </w:r>
          </w:p>
        </w:tc>
        <w:tc>
          <w:tcPr>
            <w:tcW w:w="1670" w:type="dxa"/>
          </w:tcPr>
          <w:p>
            <w:pPr>
              <w:pStyle w:val="TableParagraph"/>
              <w:spacing w:before="8"/>
              <w:ind w:left="610"/>
              <w:rPr>
                <w:sz w:val="18"/>
              </w:rPr>
            </w:pPr>
            <w:r>
              <w:rPr>
                <w:sz w:val="18"/>
              </w:rPr>
              <w:t>0.529 </w:t>
            </w:r>
          </w:p>
        </w:tc>
        <w:tc>
          <w:tcPr>
            <w:tcW w:w="1670" w:type="dxa"/>
          </w:tcPr>
          <w:p>
            <w:pPr>
              <w:pStyle w:val="TableParagraph"/>
              <w:spacing w:before="8"/>
              <w:ind w:left="611"/>
              <w:rPr>
                <w:sz w:val="18"/>
              </w:rPr>
            </w:pPr>
            <w:r>
              <w:rPr>
                <w:sz w:val="18"/>
              </w:rPr>
              <w:t>0.519 </w:t>
            </w:r>
          </w:p>
        </w:tc>
      </w:tr>
      <w:tr>
        <w:trPr>
          <w:trHeight w:val="277" w:hRule="atLeast"/>
        </w:trPr>
        <w:tc>
          <w:tcPr>
            <w:tcW w:w="1670" w:type="dxa"/>
          </w:tcPr>
          <w:p>
            <w:pPr>
              <w:pStyle w:val="TableParagraph"/>
              <w:spacing w:before="8"/>
              <w:ind w:left="470" w:right="373"/>
              <w:jc w:val="center"/>
              <w:rPr>
                <w:sz w:val="18"/>
              </w:rPr>
            </w:pPr>
            <w:r>
              <w:rPr>
                <w:sz w:val="18"/>
              </w:rPr>
              <w:t>25 </w:t>
            </w:r>
          </w:p>
        </w:tc>
        <w:tc>
          <w:tcPr>
            <w:tcW w:w="1668" w:type="dxa"/>
          </w:tcPr>
          <w:p>
            <w:pPr>
              <w:pStyle w:val="TableParagraph"/>
              <w:spacing w:before="8"/>
              <w:ind w:left="634" w:right="532"/>
              <w:jc w:val="center"/>
              <w:rPr>
                <w:sz w:val="18"/>
              </w:rPr>
            </w:pPr>
            <w:r>
              <w:rPr>
                <w:sz w:val="18"/>
              </w:rPr>
              <w:t>0.080 </w:t>
            </w:r>
          </w:p>
        </w:tc>
        <w:tc>
          <w:tcPr>
            <w:tcW w:w="1670" w:type="dxa"/>
          </w:tcPr>
          <w:p>
            <w:pPr>
              <w:pStyle w:val="TableParagraph"/>
              <w:spacing w:before="8"/>
              <w:ind w:left="609"/>
              <w:rPr>
                <w:sz w:val="18"/>
              </w:rPr>
            </w:pPr>
            <w:r>
              <w:rPr>
                <w:sz w:val="18"/>
              </w:rPr>
              <w:t>0.071 </w:t>
            </w:r>
          </w:p>
        </w:tc>
        <w:tc>
          <w:tcPr>
            <w:tcW w:w="1670" w:type="dxa"/>
          </w:tcPr>
          <w:p>
            <w:pPr>
              <w:pStyle w:val="TableParagraph"/>
              <w:spacing w:before="8"/>
              <w:ind w:left="470" w:right="371"/>
              <w:jc w:val="center"/>
              <w:rPr>
                <w:sz w:val="18"/>
              </w:rPr>
            </w:pPr>
            <w:r>
              <w:rPr>
                <w:sz w:val="18"/>
              </w:rPr>
              <w:t>49 </w:t>
            </w:r>
          </w:p>
        </w:tc>
        <w:tc>
          <w:tcPr>
            <w:tcW w:w="1670" w:type="dxa"/>
          </w:tcPr>
          <w:p>
            <w:pPr>
              <w:pStyle w:val="TableParagraph"/>
              <w:spacing w:before="8"/>
              <w:ind w:left="610"/>
              <w:rPr>
                <w:sz w:val="18"/>
              </w:rPr>
            </w:pPr>
            <w:r>
              <w:rPr>
                <w:sz w:val="18"/>
              </w:rPr>
              <w:t>0.586 </w:t>
            </w:r>
          </w:p>
        </w:tc>
        <w:tc>
          <w:tcPr>
            <w:tcW w:w="1670" w:type="dxa"/>
          </w:tcPr>
          <w:p>
            <w:pPr>
              <w:pStyle w:val="TableParagraph"/>
              <w:spacing w:before="8"/>
              <w:ind w:left="611"/>
              <w:rPr>
                <w:sz w:val="18"/>
              </w:rPr>
            </w:pPr>
            <w:r>
              <w:rPr>
                <w:sz w:val="18"/>
              </w:rPr>
              <w:t>0.563 </w:t>
            </w:r>
          </w:p>
        </w:tc>
      </w:tr>
      <w:tr>
        <w:trPr>
          <w:trHeight w:val="278" w:hRule="atLeast"/>
        </w:trPr>
        <w:tc>
          <w:tcPr>
            <w:tcW w:w="1670" w:type="dxa"/>
          </w:tcPr>
          <w:p>
            <w:pPr>
              <w:pStyle w:val="TableParagraph"/>
              <w:spacing w:before="8"/>
              <w:ind w:left="470" w:right="373"/>
              <w:jc w:val="center"/>
              <w:rPr>
                <w:sz w:val="18"/>
              </w:rPr>
            </w:pPr>
            <w:r>
              <w:rPr>
                <w:sz w:val="18"/>
              </w:rPr>
              <w:t>26 </w:t>
            </w:r>
          </w:p>
        </w:tc>
        <w:tc>
          <w:tcPr>
            <w:tcW w:w="1668" w:type="dxa"/>
          </w:tcPr>
          <w:p>
            <w:pPr>
              <w:pStyle w:val="TableParagraph"/>
              <w:spacing w:before="8"/>
              <w:ind w:left="634" w:right="532"/>
              <w:jc w:val="center"/>
              <w:rPr>
                <w:sz w:val="18"/>
              </w:rPr>
            </w:pPr>
            <w:r>
              <w:rPr>
                <w:sz w:val="18"/>
              </w:rPr>
              <w:t>0.084 </w:t>
            </w:r>
          </w:p>
        </w:tc>
        <w:tc>
          <w:tcPr>
            <w:tcW w:w="1670" w:type="dxa"/>
          </w:tcPr>
          <w:p>
            <w:pPr>
              <w:pStyle w:val="TableParagraph"/>
              <w:spacing w:before="8"/>
              <w:ind w:left="609"/>
              <w:rPr>
                <w:sz w:val="18"/>
              </w:rPr>
            </w:pPr>
            <w:r>
              <w:rPr>
                <w:sz w:val="18"/>
              </w:rPr>
              <w:t>0.074 </w:t>
            </w:r>
          </w:p>
        </w:tc>
        <w:tc>
          <w:tcPr>
            <w:tcW w:w="1670" w:type="dxa"/>
          </w:tcPr>
          <w:p>
            <w:pPr>
              <w:pStyle w:val="TableParagraph"/>
              <w:spacing w:before="8"/>
              <w:ind w:left="470" w:right="371"/>
              <w:jc w:val="center"/>
              <w:rPr>
                <w:sz w:val="18"/>
              </w:rPr>
            </w:pPr>
            <w:r>
              <w:rPr>
                <w:sz w:val="18"/>
              </w:rPr>
              <w:t>50 </w:t>
            </w:r>
          </w:p>
        </w:tc>
        <w:tc>
          <w:tcPr>
            <w:tcW w:w="1670" w:type="dxa"/>
          </w:tcPr>
          <w:p>
            <w:pPr>
              <w:pStyle w:val="TableParagraph"/>
              <w:spacing w:before="8"/>
              <w:ind w:left="610"/>
              <w:rPr>
                <w:sz w:val="18"/>
              </w:rPr>
            </w:pPr>
            <w:r>
              <w:rPr>
                <w:sz w:val="18"/>
              </w:rPr>
              <w:t>0.655 </w:t>
            </w:r>
          </w:p>
        </w:tc>
        <w:tc>
          <w:tcPr>
            <w:tcW w:w="1670" w:type="dxa"/>
          </w:tcPr>
          <w:p>
            <w:pPr>
              <w:pStyle w:val="TableParagraph"/>
              <w:spacing w:before="8"/>
              <w:ind w:left="611"/>
              <w:rPr>
                <w:sz w:val="18"/>
              </w:rPr>
            </w:pPr>
            <w:r>
              <w:rPr>
                <w:sz w:val="18"/>
              </w:rPr>
              <w:t>0.615 </w:t>
            </w:r>
          </w:p>
        </w:tc>
      </w:tr>
      <w:tr>
        <w:trPr>
          <w:trHeight w:val="277" w:hRule="atLeast"/>
        </w:trPr>
        <w:tc>
          <w:tcPr>
            <w:tcW w:w="1670" w:type="dxa"/>
          </w:tcPr>
          <w:p>
            <w:pPr>
              <w:pStyle w:val="TableParagraph"/>
              <w:spacing w:before="8"/>
              <w:ind w:left="470" w:right="373"/>
              <w:jc w:val="center"/>
              <w:rPr>
                <w:sz w:val="18"/>
              </w:rPr>
            </w:pPr>
            <w:r>
              <w:rPr>
                <w:sz w:val="18"/>
              </w:rPr>
              <w:t>27 </w:t>
            </w:r>
          </w:p>
        </w:tc>
        <w:tc>
          <w:tcPr>
            <w:tcW w:w="1668" w:type="dxa"/>
          </w:tcPr>
          <w:p>
            <w:pPr>
              <w:pStyle w:val="TableParagraph"/>
              <w:spacing w:before="8"/>
              <w:ind w:left="634" w:right="532"/>
              <w:jc w:val="center"/>
              <w:rPr>
                <w:sz w:val="18"/>
              </w:rPr>
            </w:pPr>
            <w:r>
              <w:rPr>
                <w:sz w:val="18"/>
              </w:rPr>
              <w:t>0.090 </w:t>
            </w:r>
          </w:p>
        </w:tc>
        <w:tc>
          <w:tcPr>
            <w:tcW w:w="1670" w:type="dxa"/>
          </w:tcPr>
          <w:p>
            <w:pPr>
              <w:pStyle w:val="TableParagraph"/>
              <w:spacing w:before="8"/>
              <w:ind w:left="609"/>
              <w:rPr>
                <w:sz w:val="18"/>
              </w:rPr>
            </w:pPr>
            <w:r>
              <w:rPr>
                <w:sz w:val="18"/>
              </w:rPr>
              <w:t>0.080 </w:t>
            </w:r>
          </w:p>
        </w:tc>
        <w:tc>
          <w:tcPr>
            <w:tcW w:w="1670" w:type="dxa"/>
          </w:tcPr>
          <w:p>
            <w:pPr>
              <w:pStyle w:val="TableParagraph"/>
              <w:spacing w:before="8"/>
              <w:ind w:left="470" w:right="371"/>
              <w:jc w:val="center"/>
              <w:rPr>
                <w:sz w:val="18"/>
              </w:rPr>
            </w:pPr>
            <w:r>
              <w:rPr>
                <w:sz w:val="18"/>
              </w:rPr>
              <w:t>51 </w:t>
            </w:r>
          </w:p>
        </w:tc>
        <w:tc>
          <w:tcPr>
            <w:tcW w:w="1670" w:type="dxa"/>
          </w:tcPr>
          <w:p>
            <w:pPr>
              <w:pStyle w:val="TableParagraph"/>
              <w:spacing w:before="8"/>
              <w:ind w:left="610"/>
              <w:rPr>
                <w:sz w:val="18"/>
              </w:rPr>
            </w:pPr>
            <w:r>
              <w:rPr>
                <w:sz w:val="18"/>
              </w:rPr>
              <w:t>0.723 </w:t>
            </w:r>
          </w:p>
        </w:tc>
        <w:tc>
          <w:tcPr>
            <w:tcW w:w="1670" w:type="dxa"/>
          </w:tcPr>
          <w:p>
            <w:pPr>
              <w:pStyle w:val="TableParagraph"/>
              <w:spacing w:before="8"/>
              <w:ind w:left="611"/>
              <w:rPr>
                <w:sz w:val="18"/>
              </w:rPr>
            </w:pPr>
            <w:r>
              <w:rPr>
                <w:sz w:val="18"/>
              </w:rPr>
              <w:t>0.662 </w:t>
            </w:r>
          </w:p>
        </w:tc>
      </w:tr>
      <w:tr>
        <w:trPr>
          <w:trHeight w:val="277" w:hRule="atLeast"/>
        </w:trPr>
        <w:tc>
          <w:tcPr>
            <w:tcW w:w="1670" w:type="dxa"/>
          </w:tcPr>
          <w:p>
            <w:pPr>
              <w:pStyle w:val="TableParagraph"/>
              <w:spacing w:before="8"/>
              <w:ind w:left="470" w:right="373"/>
              <w:jc w:val="center"/>
              <w:rPr>
                <w:sz w:val="18"/>
              </w:rPr>
            </w:pPr>
            <w:r>
              <w:rPr>
                <w:sz w:val="18"/>
              </w:rPr>
              <w:t>28 </w:t>
            </w:r>
          </w:p>
        </w:tc>
        <w:tc>
          <w:tcPr>
            <w:tcW w:w="1668" w:type="dxa"/>
          </w:tcPr>
          <w:p>
            <w:pPr>
              <w:pStyle w:val="TableParagraph"/>
              <w:spacing w:before="8"/>
              <w:ind w:left="634" w:right="532"/>
              <w:jc w:val="center"/>
              <w:rPr>
                <w:sz w:val="18"/>
              </w:rPr>
            </w:pPr>
            <w:r>
              <w:rPr>
                <w:sz w:val="18"/>
              </w:rPr>
              <w:t>0.094 </w:t>
            </w:r>
          </w:p>
        </w:tc>
        <w:tc>
          <w:tcPr>
            <w:tcW w:w="1670" w:type="dxa"/>
          </w:tcPr>
          <w:p>
            <w:pPr>
              <w:pStyle w:val="TableParagraph"/>
              <w:spacing w:before="8"/>
              <w:ind w:left="609"/>
              <w:rPr>
                <w:sz w:val="18"/>
              </w:rPr>
            </w:pPr>
            <w:r>
              <w:rPr>
                <w:sz w:val="18"/>
              </w:rPr>
              <w:t>0.086 </w:t>
            </w:r>
          </w:p>
        </w:tc>
        <w:tc>
          <w:tcPr>
            <w:tcW w:w="1670" w:type="dxa"/>
          </w:tcPr>
          <w:p>
            <w:pPr>
              <w:pStyle w:val="TableParagraph"/>
              <w:spacing w:before="8"/>
              <w:ind w:left="470" w:right="371"/>
              <w:jc w:val="center"/>
              <w:rPr>
                <w:sz w:val="18"/>
              </w:rPr>
            </w:pPr>
            <w:r>
              <w:rPr>
                <w:sz w:val="18"/>
              </w:rPr>
              <w:t>52 </w:t>
            </w:r>
          </w:p>
        </w:tc>
        <w:tc>
          <w:tcPr>
            <w:tcW w:w="1670" w:type="dxa"/>
          </w:tcPr>
          <w:p>
            <w:pPr>
              <w:pStyle w:val="TableParagraph"/>
              <w:spacing w:before="8"/>
              <w:ind w:left="610"/>
              <w:rPr>
                <w:sz w:val="18"/>
              </w:rPr>
            </w:pPr>
            <w:r>
              <w:rPr>
                <w:sz w:val="18"/>
              </w:rPr>
              <w:t>0.801 </w:t>
            </w:r>
          </w:p>
        </w:tc>
        <w:tc>
          <w:tcPr>
            <w:tcW w:w="1670" w:type="dxa"/>
          </w:tcPr>
          <w:p>
            <w:pPr>
              <w:pStyle w:val="TableParagraph"/>
              <w:spacing w:before="8"/>
              <w:ind w:left="611"/>
              <w:rPr>
                <w:sz w:val="18"/>
              </w:rPr>
            </w:pPr>
            <w:r>
              <w:rPr>
                <w:sz w:val="18"/>
              </w:rPr>
              <w:t>0.717 </w:t>
            </w:r>
          </w:p>
        </w:tc>
      </w:tr>
      <w:tr>
        <w:trPr>
          <w:trHeight w:val="277" w:hRule="atLeast"/>
        </w:trPr>
        <w:tc>
          <w:tcPr>
            <w:tcW w:w="1670" w:type="dxa"/>
          </w:tcPr>
          <w:p>
            <w:pPr>
              <w:pStyle w:val="TableParagraph"/>
              <w:spacing w:before="8"/>
              <w:ind w:left="470" w:right="373"/>
              <w:jc w:val="center"/>
              <w:rPr>
                <w:sz w:val="18"/>
              </w:rPr>
            </w:pPr>
            <w:r>
              <w:rPr>
                <w:sz w:val="18"/>
              </w:rPr>
              <w:t>29 </w:t>
            </w:r>
          </w:p>
        </w:tc>
        <w:tc>
          <w:tcPr>
            <w:tcW w:w="1668" w:type="dxa"/>
          </w:tcPr>
          <w:p>
            <w:pPr>
              <w:pStyle w:val="TableParagraph"/>
              <w:spacing w:before="8"/>
              <w:ind w:left="634" w:right="532"/>
              <w:jc w:val="center"/>
              <w:rPr>
                <w:sz w:val="18"/>
              </w:rPr>
            </w:pPr>
            <w:r>
              <w:rPr>
                <w:sz w:val="18"/>
              </w:rPr>
              <w:t>0.099 </w:t>
            </w:r>
          </w:p>
        </w:tc>
        <w:tc>
          <w:tcPr>
            <w:tcW w:w="1670" w:type="dxa"/>
          </w:tcPr>
          <w:p>
            <w:pPr>
              <w:pStyle w:val="TableParagraph"/>
              <w:spacing w:before="8"/>
              <w:ind w:left="609"/>
              <w:rPr>
                <w:sz w:val="18"/>
              </w:rPr>
            </w:pPr>
            <w:r>
              <w:rPr>
                <w:sz w:val="18"/>
              </w:rPr>
              <w:t>0.095 </w:t>
            </w:r>
          </w:p>
        </w:tc>
        <w:tc>
          <w:tcPr>
            <w:tcW w:w="1670" w:type="dxa"/>
          </w:tcPr>
          <w:p>
            <w:pPr>
              <w:pStyle w:val="TableParagraph"/>
              <w:spacing w:before="8"/>
              <w:ind w:left="470" w:right="371"/>
              <w:jc w:val="center"/>
              <w:rPr>
                <w:sz w:val="18"/>
              </w:rPr>
            </w:pPr>
            <w:r>
              <w:rPr>
                <w:sz w:val="18"/>
              </w:rPr>
              <w:t>53 </w:t>
            </w:r>
          </w:p>
        </w:tc>
        <w:tc>
          <w:tcPr>
            <w:tcW w:w="1670" w:type="dxa"/>
          </w:tcPr>
          <w:p>
            <w:pPr>
              <w:pStyle w:val="TableParagraph"/>
              <w:spacing w:before="8"/>
              <w:ind w:left="610"/>
              <w:rPr>
                <w:sz w:val="18"/>
              </w:rPr>
            </w:pPr>
            <w:r>
              <w:rPr>
                <w:sz w:val="18"/>
              </w:rPr>
              <w:t>0.879 </w:t>
            </w:r>
          </w:p>
        </w:tc>
        <w:tc>
          <w:tcPr>
            <w:tcW w:w="1670" w:type="dxa"/>
          </w:tcPr>
          <w:p>
            <w:pPr>
              <w:pStyle w:val="TableParagraph"/>
              <w:spacing w:before="8"/>
              <w:ind w:left="611"/>
              <w:rPr>
                <w:sz w:val="18"/>
              </w:rPr>
            </w:pPr>
            <w:r>
              <w:rPr>
                <w:sz w:val="18"/>
              </w:rPr>
              <w:t>0.768 </w:t>
            </w:r>
          </w:p>
        </w:tc>
      </w:tr>
      <w:tr>
        <w:trPr>
          <w:trHeight w:val="277" w:hRule="atLeast"/>
        </w:trPr>
        <w:tc>
          <w:tcPr>
            <w:tcW w:w="1670" w:type="dxa"/>
          </w:tcPr>
          <w:p>
            <w:pPr>
              <w:pStyle w:val="TableParagraph"/>
              <w:spacing w:before="8"/>
              <w:ind w:left="470" w:right="373"/>
              <w:jc w:val="center"/>
              <w:rPr>
                <w:sz w:val="18"/>
              </w:rPr>
            </w:pPr>
            <w:r>
              <w:rPr>
                <w:sz w:val="18"/>
              </w:rPr>
              <w:t>30 </w:t>
            </w:r>
          </w:p>
        </w:tc>
        <w:tc>
          <w:tcPr>
            <w:tcW w:w="1668" w:type="dxa"/>
          </w:tcPr>
          <w:p>
            <w:pPr>
              <w:pStyle w:val="TableParagraph"/>
              <w:spacing w:before="8"/>
              <w:ind w:left="634" w:right="532"/>
              <w:jc w:val="center"/>
              <w:rPr>
                <w:sz w:val="18"/>
              </w:rPr>
            </w:pPr>
            <w:r>
              <w:rPr>
                <w:sz w:val="18"/>
              </w:rPr>
              <w:t>0.103 </w:t>
            </w:r>
          </w:p>
        </w:tc>
        <w:tc>
          <w:tcPr>
            <w:tcW w:w="1670" w:type="dxa"/>
          </w:tcPr>
          <w:p>
            <w:pPr>
              <w:pStyle w:val="TableParagraph"/>
              <w:spacing w:before="8"/>
              <w:ind w:left="609"/>
              <w:rPr>
                <w:sz w:val="18"/>
              </w:rPr>
            </w:pPr>
            <w:r>
              <w:rPr>
                <w:sz w:val="18"/>
              </w:rPr>
              <w:t>0.102 </w:t>
            </w:r>
          </w:p>
        </w:tc>
        <w:tc>
          <w:tcPr>
            <w:tcW w:w="1670" w:type="dxa"/>
          </w:tcPr>
          <w:p>
            <w:pPr>
              <w:pStyle w:val="TableParagraph"/>
              <w:spacing w:before="8"/>
              <w:ind w:left="470" w:right="371"/>
              <w:jc w:val="center"/>
              <w:rPr>
                <w:sz w:val="18"/>
              </w:rPr>
            </w:pPr>
            <w:r>
              <w:rPr>
                <w:sz w:val="18"/>
              </w:rPr>
              <w:t>54 </w:t>
            </w:r>
          </w:p>
        </w:tc>
        <w:tc>
          <w:tcPr>
            <w:tcW w:w="1670" w:type="dxa"/>
          </w:tcPr>
          <w:p>
            <w:pPr>
              <w:pStyle w:val="TableParagraph"/>
              <w:spacing w:before="8"/>
              <w:ind w:left="610"/>
              <w:rPr>
                <w:sz w:val="18"/>
              </w:rPr>
            </w:pPr>
            <w:r>
              <w:rPr>
                <w:sz w:val="18"/>
              </w:rPr>
              <w:t>0.975 </w:t>
            </w:r>
          </w:p>
        </w:tc>
        <w:tc>
          <w:tcPr>
            <w:tcW w:w="1670" w:type="dxa"/>
          </w:tcPr>
          <w:p>
            <w:pPr>
              <w:pStyle w:val="TableParagraph"/>
              <w:spacing w:before="8"/>
              <w:ind w:left="611"/>
              <w:rPr>
                <w:sz w:val="18"/>
              </w:rPr>
            </w:pPr>
            <w:r>
              <w:rPr>
                <w:sz w:val="18"/>
              </w:rPr>
              <w:t>0.833 </w:t>
            </w:r>
          </w:p>
        </w:tc>
      </w:tr>
      <w:tr>
        <w:trPr>
          <w:trHeight w:val="278" w:hRule="atLeast"/>
        </w:trPr>
        <w:tc>
          <w:tcPr>
            <w:tcW w:w="1670" w:type="dxa"/>
          </w:tcPr>
          <w:p>
            <w:pPr>
              <w:pStyle w:val="TableParagraph"/>
              <w:spacing w:before="8"/>
              <w:ind w:left="470" w:right="373"/>
              <w:jc w:val="center"/>
              <w:rPr>
                <w:sz w:val="18"/>
              </w:rPr>
            </w:pPr>
            <w:r>
              <w:rPr>
                <w:sz w:val="18"/>
              </w:rPr>
              <w:t>31 </w:t>
            </w:r>
          </w:p>
        </w:tc>
        <w:tc>
          <w:tcPr>
            <w:tcW w:w="1668" w:type="dxa"/>
          </w:tcPr>
          <w:p>
            <w:pPr>
              <w:pStyle w:val="TableParagraph"/>
              <w:spacing w:before="8"/>
              <w:ind w:left="634" w:right="532"/>
              <w:jc w:val="center"/>
              <w:rPr>
                <w:sz w:val="18"/>
              </w:rPr>
            </w:pPr>
            <w:r>
              <w:rPr>
                <w:sz w:val="18"/>
              </w:rPr>
              <w:t>0.109 </w:t>
            </w:r>
          </w:p>
        </w:tc>
        <w:tc>
          <w:tcPr>
            <w:tcW w:w="1670" w:type="dxa"/>
          </w:tcPr>
          <w:p>
            <w:pPr>
              <w:pStyle w:val="TableParagraph"/>
              <w:spacing w:before="8"/>
              <w:ind w:left="609"/>
              <w:rPr>
                <w:sz w:val="18"/>
              </w:rPr>
            </w:pPr>
            <w:r>
              <w:rPr>
                <w:sz w:val="18"/>
              </w:rPr>
              <w:t>0.112 </w:t>
            </w:r>
          </w:p>
        </w:tc>
        <w:tc>
          <w:tcPr>
            <w:tcW w:w="1670" w:type="dxa"/>
          </w:tcPr>
          <w:p>
            <w:pPr>
              <w:pStyle w:val="TableParagraph"/>
              <w:spacing w:before="8"/>
              <w:ind w:left="470" w:right="371"/>
              <w:jc w:val="center"/>
              <w:rPr>
                <w:sz w:val="18"/>
              </w:rPr>
            </w:pPr>
            <w:r>
              <w:rPr>
                <w:sz w:val="18"/>
              </w:rPr>
              <w:t>55 </w:t>
            </w:r>
          </w:p>
        </w:tc>
        <w:tc>
          <w:tcPr>
            <w:tcW w:w="1670" w:type="dxa"/>
          </w:tcPr>
          <w:p>
            <w:pPr>
              <w:pStyle w:val="TableParagraph"/>
              <w:spacing w:before="8"/>
              <w:ind w:left="610"/>
              <w:rPr>
                <w:sz w:val="18"/>
              </w:rPr>
            </w:pPr>
            <w:r>
              <w:rPr>
                <w:sz w:val="18"/>
              </w:rPr>
              <w:t>1.068 </w:t>
            </w:r>
          </w:p>
        </w:tc>
        <w:tc>
          <w:tcPr>
            <w:tcW w:w="1670" w:type="dxa"/>
          </w:tcPr>
          <w:p>
            <w:pPr>
              <w:pStyle w:val="TableParagraph"/>
              <w:spacing w:before="8"/>
              <w:ind w:left="611"/>
              <w:rPr>
                <w:sz w:val="18"/>
              </w:rPr>
            </w:pPr>
            <w:r>
              <w:rPr>
                <w:sz w:val="18"/>
              </w:rPr>
              <w:t>0.893 </w:t>
            </w:r>
          </w:p>
        </w:tc>
      </w:tr>
      <w:tr>
        <w:trPr>
          <w:trHeight w:val="277" w:hRule="atLeast"/>
        </w:trPr>
        <w:tc>
          <w:tcPr>
            <w:tcW w:w="1670" w:type="dxa"/>
          </w:tcPr>
          <w:p>
            <w:pPr>
              <w:pStyle w:val="TableParagraph"/>
              <w:spacing w:before="8"/>
              <w:ind w:left="470" w:right="373"/>
              <w:jc w:val="center"/>
              <w:rPr>
                <w:sz w:val="18"/>
              </w:rPr>
            </w:pPr>
            <w:r>
              <w:rPr>
                <w:sz w:val="18"/>
              </w:rPr>
              <w:t>32 </w:t>
            </w:r>
          </w:p>
        </w:tc>
        <w:tc>
          <w:tcPr>
            <w:tcW w:w="1668" w:type="dxa"/>
          </w:tcPr>
          <w:p>
            <w:pPr>
              <w:pStyle w:val="TableParagraph"/>
              <w:spacing w:before="8"/>
              <w:ind w:left="634" w:right="532"/>
              <w:jc w:val="center"/>
              <w:rPr>
                <w:sz w:val="18"/>
              </w:rPr>
            </w:pPr>
            <w:r>
              <w:rPr>
                <w:sz w:val="18"/>
              </w:rPr>
              <w:t>0.114 </w:t>
            </w:r>
          </w:p>
        </w:tc>
        <w:tc>
          <w:tcPr>
            <w:tcW w:w="1670" w:type="dxa"/>
          </w:tcPr>
          <w:p>
            <w:pPr>
              <w:pStyle w:val="TableParagraph"/>
              <w:spacing w:before="8"/>
              <w:ind w:left="609"/>
              <w:rPr>
                <w:sz w:val="18"/>
              </w:rPr>
            </w:pPr>
            <w:r>
              <w:rPr>
                <w:sz w:val="18"/>
              </w:rPr>
              <w:t>0.121 </w:t>
            </w:r>
          </w:p>
        </w:tc>
        <w:tc>
          <w:tcPr>
            <w:tcW w:w="1670" w:type="dxa"/>
          </w:tcPr>
          <w:p>
            <w:pPr>
              <w:pStyle w:val="TableParagraph"/>
              <w:spacing w:before="8"/>
              <w:ind w:left="470" w:right="371"/>
              <w:jc w:val="center"/>
              <w:rPr>
                <w:sz w:val="18"/>
              </w:rPr>
            </w:pPr>
            <w:r>
              <w:rPr>
                <w:sz w:val="18"/>
              </w:rPr>
              <w:t>56 </w:t>
            </w:r>
          </w:p>
        </w:tc>
        <w:tc>
          <w:tcPr>
            <w:tcW w:w="1670" w:type="dxa"/>
          </w:tcPr>
          <w:p>
            <w:pPr>
              <w:pStyle w:val="TableParagraph"/>
              <w:spacing w:before="8"/>
              <w:ind w:left="610"/>
              <w:rPr>
                <w:sz w:val="18"/>
              </w:rPr>
            </w:pPr>
            <w:r>
              <w:rPr>
                <w:sz w:val="18"/>
              </w:rPr>
              <w:t>1.179 </w:t>
            </w:r>
          </w:p>
        </w:tc>
        <w:tc>
          <w:tcPr>
            <w:tcW w:w="1670" w:type="dxa"/>
          </w:tcPr>
          <w:p>
            <w:pPr>
              <w:pStyle w:val="TableParagraph"/>
              <w:spacing w:before="8"/>
              <w:ind w:left="611"/>
              <w:rPr>
                <w:sz w:val="18"/>
              </w:rPr>
            </w:pPr>
            <w:r>
              <w:rPr>
                <w:sz w:val="18"/>
              </w:rPr>
              <w:t>0.963 </w:t>
            </w:r>
          </w:p>
        </w:tc>
      </w:tr>
      <w:tr>
        <w:trPr>
          <w:trHeight w:val="277" w:hRule="atLeast"/>
        </w:trPr>
        <w:tc>
          <w:tcPr>
            <w:tcW w:w="1670" w:type="dxa"/>
          </w:tcPr>
          <w:p>
            <w:pPr>
              <w:pStyle w:val="TableParagraph"/>
              <w:spacing w:before="8"/>
              <w:ind w:left="470" w:right="373"/>
              <w:jc w:val="center"/>
              <w:rPr>
                <w:sz w:val="18"/>
              </w:rPr>
            </w:pPr>
            <w:r>
              <w:rPr>
                <w:sz w:val="18"/>
              </w:rPr>
              <w:t>33 </w:t>
            </w:r>
          </w:p>
        </w:tc>
        <w:tc>
          <w:tcPr>
            <w:tcW w:w="1668" w:type="dxa"/>
          </w:tcPr>
          <w:p>
            <w:pPr>
              <w:pStyle w:val="TableParagraph"/>
              <w:spacing w:before="8"/>
              <w:ind w:left="634" w:right="532"/>
              <w:jc w:val="center"/>
              <w:rPr>
                <w:sz w:val="18"/>
              </w:rPr>
            </w:pPr>
            <w:r>
              <w:rPr>
                <w:sz w:val="18"/>
              </w:rPr>
              <w:t>0.122 </w:t>
            </w:r>
          </w:p>
        </w:tc>
        <w:tc>
          <w:tcPr>
            <w:tcW w:w="1670" w:type="dxa"/>
          </w:tcPr>
          <w:p>
            <w:pPr>
              <w:pStyle w:val="TableParagraph"/>
              <w:spacing w:before="8"/>
              <w:ind w:left="609"/>
              <w:rPr>
                <w:sz w:val="18"/>
              </w:rPr>
            </w:pPr>
            <w:r>
              <w:rPr>
                <w:sz w:val="18"/>
              </w:rPr>
              <w:t>0.133 </w:t>
            </w:r>
          </w:p>
        </w:tc>
        <w:tc>
          <w:tcPr>
            <w:tcW w:w="1670" w:type="dxa"/>
          </w:tcPr>
          <w:p>
            <w:pPr>
              <w:pStyle w:val="TableParagraph"/>
              <w:spacing w:before="8"/>
              <w:ind w:left="470" w:right="371"/>
              <w:jc w:val="center"/>
              <w:rPr>
                <w:sz w:val="18"/>
              </w:rPr>
            </w:pPr>
            <w:r>
              <w:rPr>
                <w:sz w:val="18"/>
              </w:rPr>
              <w:t>57 </w:t>
            </w:r>
          </w:p>
        </w:tc>
        <w:tc>
          <w:tcPr>
            <w:tcW w:w="1670" w:type="dxa"/>
          </w:tcPr>
          <w:p>
            <w:pPr>
              <w:pStyle w:val="TableParagraph"/>
              <w:spacing w:before="8"/>
              <w:ind w:left="610"/>
              <w:rPr>
                <w:sz w:val="18"/>
              </w:rPr>
            </w:pPr>
            <w:r>
              <w:rPr>
                <w:sz w:val="18"/>
              </w:rPr>
              <w:t>1.280 </w:t>
            </w:r>
          </w:p>
        </w:tc>
        <w:tc>
          <w:tcPr>
            <w:tcW w:w="1670" w:type="dxa"/>
          </w:tcPr>
          <w:p>
            <w:pPr>
              <w:pStyle w:val="TableParagraph"/>
              <w:spacing w:before="8"/>
              <w:ind w:left="611"/>
              <w:rPr>
                <w:sz w:val="18"/>
              </w:rPr>
            </w:pPr>
            <w:r>
              <w:rPr>
                <w:sz w:val="18"/>
              </w:rPr>
              <w:t>1.025 </w:t>
            </w:r>
          </w:p>
        </w:tc>
      </w:tr>
      <w:tr>
        <w:trPr>
          <w:trHeight w:val="277" w:hRule="atLeast"/>
        </w:trPr>
        <w:tc>
          <w:tcPr>
            <w:tcW w:w="1670" w:type="dxa"/>
          </w:tcPr>
          <w:p>
            <w:pPr>
              <w:pStyle w:val="TableParagraph"/>
              <w:spacing w:before="8"/>
              <w:ind w:left="470" w:right="373"/>
              <w:jc w:val="center"/>
              <w:rPr>
                <w:sz w:val="18"/>
              </w:rPr>
            </w:pPr>
            <w:r>
              <w:rPr>
                <w:sz w:val="18"/>
              </w:rPr>
              <w:t>34 </w:t>
            </w:r>
          </w:p>
        </w:tc>
        <w:tc>
          <w:tcPr>
            <w:tcW w:w="1668" w:type="dxa"/>
          </w:tcPr>
          <w:p>
            <w:pPr>
              <w:pStyle w:val="TableParagraph"/>
              <w:spacing w:before="8"/>
              <w:ind w:left="634" w:right="532"/>
              <w:jc w:val="center"/>
              <w:rPr>
                <w:sz w:val="18"/>
              </w:rPr>
            </w:pPr>
            <w:r>
              <w:rPr>
                <w:sz w:val="18"/>
              </w:rPr>
              <w:t>0.130 </w:t>
            </w:r>
          </w:p>
        </w:tc>
        <w:tc>
          <w:tcPr>
            <w:tcW w:w="1670" w:type="dxa"/>
          </w:tcPr>
          <w:p>
            <w:pPr>
              <w:pStyle w:val="TableParagraph"/>
              <w:spacing w:before="8"/>
              <w:ind w:left="609"/>
              <w:rPr>
                <w:sz w:val="18"/>
              </w:rPr>
            </w:pPr>
            <w:r>
              <w:rPr>
                <w:sz w:val="18"/>
              </w:rPr>
              <w:t>0.145 </w:t>
            </w:r>
          </w:p>
        </w:tc>
        <w:tc>
          <w:tcPr>
            <w:tcW w:w="1670" w:type="dxa"/>
          </w:tcPr>
          <w:p>
            <w:pPr>
              <w:pStyle w:val="TableParagraph"/>
              <w:spacing w:before="8"/>
              <w:ind w:left="470" w:right="371"/>
              <w:jc w:val="center"/>
              <w:rPr>
                <w:sz w:val="18"/>
              </w:rPr>
            </w:pPr>
            <w:r>
              <w:rPr>
                <w:sz w:val="18"/>
              </w:rPr>
              <w:t>58 </w:t>
            </w:r>
          </w:p>
        </w:tc>
        <w:tc>
          <w:tcPr>
            <w:tcW w:w="1670" w:type="dxa"/>
          </w:tcPr>
          <w:p>
            <w:pPr>
              <w:pStyle w:val="TableParagraph"/>
              <w:spacing w:before="8"/>
              <w:ind w:left="610"/>
              <w:rPr>
                <w:sz w:val="18"/>
              </w:rPr>
            </w:pPr>
            <w:r>
              <w:rPr>
                <w:sz w:val="18"/>
              </w:rPr>
              <w:t>1.405 </w:t>
            </w:r>
          </w:p>
        </w:tc>
        <w:tc>
          <w:tcPr>
            <w:tcW w:w="1670" w:type="dxa"/>
          </w:tcPr>
          <w:p>
            <w:pPr>
              <w:pStyle w:val="TableParagraph"/>
              <w:spacing w:before="8"/>
              <w:ind w:left="611"/>
              <w:rPr>
                <w:sz w:val="18"/>
              </w:rPr>
            </w:pPr>
            <w:r>
              <w:rPr>
                <w:sz w:val="18"/>
              </w:rPr>
              <w:t>1.103 </w:t>
            </w:r>
          </w:p>
        </w:tc>
      </w:tr>
      <w:tr>
        <w:trPr>
          <w:trHeight w:val="278" w:hRule="atLeast"/>
        </w:trPr>
        <w:tc>
          <w:tcPr>
            <w:tcW w:w="1670" w:type="dxa"/>
          </w:tcPr>
          <w:p>
            <w:pPr>
              <w:pStyle w:val="TableParagraph"/>
              <w:spacing w:before="8"/>
              <w:ind w:left="470" w:right="373"/>
              <w:jc w:val="center"/>
              <w:rPr>
                <w:sz w:val="18"/>
              </w:rPr>
            </w:pPr>
            <w:r>
              <w:rPr>
                <w:sz w:val="18"/>
              </w:rPr>
              <w:t>35 </w:t>
            </w:r>
          </w:p>
        </w:tc>
        <w:tc>
          <w:tcPr>
            <w:tcW w:w="1668" w:type="dxa"/>
          </w:tcPr>
          <w:p>
            <w:pPr>
              <w:pStyle w:val="TableParagraph"/>
              <w:spacing w:before="8"/>
              <w:ind w:left="634" w:right="532"/>
              <w:jc w:val="center"/>
              <w:rPr>
                <w:sz w:val="18"/>
              </w:rPr>
            </w:pPr>
            <w:r>
              <w:rPr>
                <w:sz w:val="18"/>
              </w:rPr>
              <w:t>0.137 </w:t>
            </w:r>
          </w:p>
        </w:tc>
        <w:tc>
          <w:tcPr>
            <w:tcW w:w="1670" w:type="dxa"/>
          </w:tcPr>
          <w:p>
            <w:pPr>
              <w:pStyle w:val="TableParagraph"/>
              <w:spacing w:before="8"/>
              <w:ind w:left="609"/>
              <w:rPr>
                <w:sz w:val="18"/>
              </w:rPr>
            </w:pPr>
            <w:r>
              <w:rPr>
                <w:sz w:val="18"/>
              </w:rPr>
              <w:t>0.158 </w:t>
            </w:r>
          </w:p>
        </w:tc>
        <w:tc>
          <w:tcPr>
            <w:tcW w:w="1670" w:type="dxa"/>
          </w:tcPr>
          <w:p>
            <w:pPr>
              <w:pStyle w:val="TableParagraph"/>
              <w:spacing w:before="8"/>
              <w:ind w:left="470" w:right="371"/>
              <w:jc w:val="center"/>
              <w:rPr>
                <w:sz w:val="18"/>
              </w:rPr>
            </w:pPr>
            <w:r>
              <w:rPr>
                <w:sz w:val="18"/>
              </w:rPr>
              <w:t>59 </w:t>
            </w:r>
          </w:p>
        </w:tc>
        <w:tc>
          <w:tcPr>
            <w:tcW w:w="1670" w:type="dxa"/>
          </w:tcPr>
          <w:p>
            <w:pPr>
              <w:pStyle w:val="TableParagraph"/>
              <w:spacing w:before="8"/>
              <w:ind w:left="610"/>
              <w:rPr>
                <w:sz w:val="18"/>
              </w:rPr>
            </w:pPr>
            <w:r>
              <w:rPr>
                <w:sz w:val="18"/>
              </w:rPr>
              <w:t>1.562 </w:t>
            </w:r>
          </w:p>
        </w:tc>
        <w:tc>
          <w:tcPr>
            <w:tcW w:w="1670" w:type="dxa"/>
          </w:tcPr>
          <w:p>
            <w:pPr>
              <w:pStyle w:val="TableParagraph"/>
              <w:spacing w:before="8"/>
              <w:ind w:left="611"/>
              <w:rPr>
                <w:sz w:val="18"/>
              </w:rPr>
            </w:pPr>
            <w:r>
              <w:rPr>
                <w:sz w:val="18"/>
              </w:rPr>
              <w:t>1.212 </w:t>
            </w:r>
          </w:p>
        </w:tc>
      </w:tr>
      <w:tr>
        <w:trPr>
          <w:trHeight w:val="277" w:hRule="atLeast"/>
        </w:trPr>
        <w:tc>
          <w:tcPr>
            <w:tcW w:w="1670" w:type="dxa"/>
          </w:tcPr>
          <w:p>
            <w:pPr>
              <w:pStyle w:val="TableParagraph"/>
              <w:spacing w:before="8"/>
              <w:ind w:left="470" w:right="373"/>
              <w:jc w:val="center"/>
              <w:rPr>
                <w:sz w:val="18"/>
              </w:rPr>
            </w:pPr>
            <w:r>
              <w:rPr>
                <w:sz w:val="18"/>
              </w:rPr>
              <w:t>36 </w:t>
            </w:r>
          </w:p>
        </w:tc>
        <w:tc>
          <w:tcPr>
            <w:tcW w:w="1668" w:type="dxa"/>
          </w:tcPr>
          <w:p>
            <w:pPr>
              <w:pStyle w:val="TableParagraph"/>
              <w:spacing w:before="8"/>
              <w:ind w:left="634" w:right="532"/>
              <w:jc w:val="center"/>
              <w:rPr>
                <w:sz w:val="18"/>
              </w:rPr>
            </w:pPr>
            <w:r>
              <w:rPr>
                <w:sz w:val="18"/>
              </w:rPr>
              <w:t>0.146 </w:t>
            </w:r>
          </w:p>
        </w:tc>
        <w:tc>
          <w:tcPr>
            <w:tcW w:w="1670" w:type="dxa"/>
          </w:tcPr>
          <w:p>
            <w:pPr>
              <w:pStyle w:val="TableParagraph"/>
              <w:spacing w:before="8"/>
              <w:ind w:left="609"/>
              <w:rPr>
                <w:sz w:val="18"/>
              </w:rPr>
            </w:pPr>
            <w:r>
              <w:rPr>
                <w:sz w:val="18"/>
              </w:rPr>
              <w:t>0.170 </w:t>
            </w:r>
          </w:p>
        </w:tc>
        <w:tc>
          <w:tcPr>
            <w:tcW w:w="1670" w:type="dxa"/>
          </w:tcPr>
          <w:p>
            <w:pPr>
              <w:pStyle w:val="TableParagraph"/>
              <w:spacing w:before="8"/>
              <w:ind w:left="470" w:right="371"/>
              <w:jc w:val="center"/>
              <w:rPr>
                <w:sz w:val="18"/>
              </w:rPr>
            </w:pPr>
            <w:r>
              <w:rPr>
                <w:sz w:val="18"/>
              </w:rPr>
              <w:t>60 </w:t>
            </w:r>
          </w:p>
        </w:tc>
        <w:tc>
          <w:tcPr>
            <w:tcW w:w="1670" w:type="dxa"/>
          </w:tcPr>
          <w:p>
            <w:pPr>
              <w:pStyle w:val="TableParagraph"/>
              <w:spacing w:before="8"/>
              <w:ind w:left="610"/>
              <w:rPr>
                <w:sz w:val="18"/>
              </w:rPr>
            </w:pPr>
            <w:r>
              <w:rPr>
                <w:sz w:val="18"/>
              </w:rPr>
              <w:t>1.732 </w:t>
            </w:r>
          </w:p>
        </w:tc>
        <w:tc>
          <w:tcPr>
            <w:tcW w:w="1670" w:type="dxa"/>
          </w:tcPr>
          <w:p>
            <w:pPr>
              <w:pStyle w:val="TableParagraph"/>
              <w:spacing w:before="8"/>
              <w:ind w:left="611"/>
              <w:rPr>
                <w:sz w:val="18"/>
              </w:rPr>
            </w:pPr>
            <w:r>
              <w:rPr>
                <w:sz w:val="18"/>
              </w:rPr>
              <w:t>1.329 </w:t>
            </w:r>
          </w:p>
        </w:tc>
      </w:tr>
      <w:tr>
        <w:trPr>
          <w:trHeight w:val="278" w:hRule="atLeast"/>
        </w:trPr>
        <w:tc>
          <w:tcPr>
            <w:tcW w:w="1670" w:type="dxa"/>
          </w:tcPr>
          <w:p>
            <w:pPr>
              <w:pStyle w:val="TableParagraph"/>
              <w:spacing w:before="8"/>
              <w:ind w:left="470" w:right="373"/>
              <w:jc w:val="center"/>
              <w:rPr>
                <w:sz w:val="18"/>
              </w:rPr>
            </w:pPr>
            <w:r>
              <w:rPr>
                <w:sz w:val="18"/>
              </w:rPr>
              <w:t>37 </w:t>
            </w:r>
          </w:p>
        </w:tc>
        <w:tc>
          <w:tcPr>
            <w:tcW w:w="1668" w:type="dxa"/>
          </w:tcPr>
          <w:p>
            <w:pPr>
              <w:pStyle w:val="TableParagraph"/>
              <w:spacing w:before="8"/>
              <w:ind w:left="634" w:right="532"/>
              <w:jc w:val="center"/>
              <w:rPr>
                <w:sz w:val="18"/>
              </w:rPr>
            </w:pPr>
            <w:r>
              <w:rPr>
                <w:sz w:val="18"/>
              </w:rPr>
              <w:t>0.159 </w:t>
            </w:r>
          </w:p>
        </w:tc>
        <w:tc>
          <w:tcPr>
            <w:tcW w:w="1670" w:type="dxa"/>
          </w:tcPr>
          <w:p>
            <w:pPr>
              <w:pStyle w:val="TableParagraph"/>
              <w:spacing w:before="8"/>
              <w:ind w:left="609"/>
              <w:rPr>
                <w:sz w:val="18"/>
              </w:rPr>
            </w:pPr>
            <w:r>
              <w:rPr>
                <w:sz w:val="18"/>
              </w:rPr>
              <w:t>0.186 </w:t>
            </w:r>
          </w:p>
        </w:tc>
        <w:tc>
          <w:tcPr>
            <w:tcW w:w="1670" w:type="dxa"/>
          </w:tcPr>
          <w:p>
            <w:pPr>
              <w:pStyle w:val="TableParagraph"/>
              <w:spacing w:before="8"/>
              <w:ind w:left="470" w:right="371"/>
              <w:jc w:val="center"/>
              <w:rPr>
                <w:sz w:val="18"/>
              </w:rPr>
            </w:pPr>
            <w:r>
              <w:rPr>
                <w:sz w:val="18"/>
              </w:rPr>
              <w:t>61 </w:t>
            </w:r>
          </w:p>
        </w:tc>
        <w:tc>
          <w:tcPr>
            <w:tcW w:w="1670" w:type="dxa"/>
          </w:tcPr>
          <w:p>
            <w:pPr>
              <w:pStyle w:val="TableParagraph"/>
              <w:spacing w:before="8"/>
              <w:ind w:left="610"/>
              <w:rPr>
                <w:sz w:val="18"/>
              </w:rPr>
            </w:pPr>
            <w:r>
              <w:rPr>
                <w:sz w:val="18"/>
              </w:rPr>
              <w:t>1.898 </w:t>
            </w:r>
          </w:p>
        </w:tc>
        <w:tc>
          <w:tcPr>
            <w:tcW w:w="1670" w:type="dxa"/>
          </w:tcPr>
          <w:p>
            <w:pPr>
              <w:pStyle w:val="TableParagraph"/>
              <w:spacing w:before="8"/>
              <w:ind w:left="611"/>
              <w:rPr>
                <w:sz w:val="18"/>
              </w:rPr>
            </w:pPr>
            <w:r>
              <w:rPr>
                <w:sz w:val="18"/>
              </w:rPr>
              <w:t>1.438 </w:t>
            </w:r>
          </w:p>
        </w:tc>
      </w:tr>
      <w:tr>
        <w:trPr>
          <w:trHeight w:val="277" w:hRule="atLeast"/>
        </w:trPr>
        <w:tc>
          <w:tcPr>
            <w:tcW w:w="1670" w:type="dxa"/>
          </w:tcPr>
          <w:p>
            <w:pPr>
              <w:pStyle w:val="TableParagraph"/>
              <w:spacing w:before="8"/>
              <w:ind w:left="470" w:right="373"/>
              <w:jc w:val="center"/>
              <w:rPr>
                <w:sz w:val="18"/>
              </w:rPr>
            </w:pPr>
            <w:r>
              <w:rPr>
                <w:sz w:val="18"/>
              </w:rPr>
              <w:t>38 </w:t>
            </w:r>
          </w:p>
        </w:tc>
        <w:tc>
          <w:tcPr>
            <w:tcW w:w="1668" w:type="dxa"/>
          </w:tcPr>
          <w:p>
            <w:pPr>
              <w:pStyle w:val="TableParagraph"/>
              <w:spacing w:before="8"/>
              <w:ind w:left="634" w:right="532"/>
              <w:jc w:val="center"/>
              <w:rPr>
                <w:sz w:val="18"/>
              </w:rPr>
            </w:pPr>
            <w:r>
              <w:rPr>
                <w:sz w:val="18"/>
              </w:rPr>
              <w:t>0.174 </w:t>
            </w:r>
          </w:p>
        </w:tc>
        <w:tc>
          <w:tcPr>
            <w:tcW w:w="1670" w:type="dxa"/>
          </w:tcPr>
          <w:p>
            <w:pPr>
              <w:pStyle w:val="TableParagraph"/>
              <w:spacing w:before="8"/>
              <w:ind w:left="609"/>
              <w:rPr>
                <w:sz w:val="18"/>
              </w:rPr>
            </w:pPr>
            <w:r>
              <w:rPr>
                <w:sz w:val="18"/>
              </w:rPr>
              <w:t>0.204 </w:t>
            </w:r>
          </w:p>
        </w:tc>
        <w:tc>
          <w:tcPr>
            <w:tcW w:w="1670" w:type="dxa"/>
          </w:tcPr>
          <w:p>
            <w:pPr>
              <w:pStyle w:val="TableParagraph"/>
              <w:spacing w:before="8"/>
              <w:ind w:left="470" w:right="371"/>
              <w:jc w:val="center"/>
              <w:rPr>
                <w:sz w:val="18"/>
              </w:rPr>
            </w:pPr>
            <w:r>
              <w:rPr>
                <w:sz w:val="18"/>
              </w:rPr>
              <w:t>62 </w:t>
            </w:r>
          </w:p>
        </w:tc>
        <w:tc>
          <w:tcPr>
            <w:tcW w:w="1670" w:type="dxa"/>
          </w:tcPr>
          <w:p>
            <w:pPr>
              <w:pStyle w:val="TableParagraph"/>
              <w:spacing w:before="8"/>
              <w:ind w:left="610"/>
              <w:rPr>
                <w:sz w:val="18"/>
              </w:rPr>
            </w:pPr>
            <w:r>
              <w:rPr>
                <w:sz w:val="18"/>
              </w:rPr>
              <w:t>2.014 </w:t>
            </w:r>
          </w:p>
        </w:tc>
        <w:tc>
          <w:tcPr>
            <w:tcW w:w="1670" w:type="dxa"/>
          </w:tcPr>
          <w:p>
            <w:pPr>
              <w:pStyle w:val="TableParagraph"/>
              <w:spacing w:before="8"/>
              <w:ind w:left="611"/>
              <w:rPr>
                <w:sz w:val="18"/>
              </w:rPr>
            </w:pPr>
            <w:r>
              <w:rPr>
                <w:sz w:val="18"/>
              </w:rPr>
              <w:t>1.501 </w:t>
            </w:r>
          </w:p>
        </w:tc>
      </w:tr>
      <w:tr>
        <w:trPr>
          <w:trHeight w:val="277" w:hRule="atLeast"/>
        </w:trPr>
        <w:tc>
          <w:tcPr>
            <w:tcW w:w="1670" w:type="dxa"/>
          </w:tcPr>
          <w:p>
            <w:pPr>
              <w:pStyle w:val="TableParagraph"/>
              <w:spacing w:before="8"/>
              <w:ind w:left="470" w:right="373"/>
              <w:jc w:val="center"/>
              <w:rPr>
                <w:sz w:val="18"/>
              </w:rPr>
            </w:pPr>
            <w:r>
              <w:rPr>
                <w:sz w:val="18"/>
              </w:rPr>
              <w:t>39 </w:t>
            </w:r>
          </w:p>
        </w:tc>
        <w:tc>
          <w:tcPr>
            <w:tcW w:w="1668" w:type="dxa"/>
          </w:tcPr>
          <w:p>
            <w:pPr>
              <w:pStyle w:val="TableParagraph"/>
              <w:spacing w:before="8"/>
              <w:ind w:left="634" w:right="532"/>
              <w:jc w:val="center"/>
              <w:rPr>
                <w:sz w:val="18"/>
              </w:rPr>
            </w:pPr>
            <w:r>
              <w:rPr>
                <w:sz w:val="18"/>
              </w:rPr>
              <w:t>0.189 </w:t>
            </w:r>
          </w:p>
        </w:tc>
        <w:tc>
          <w:tcPr>
            <w:tcW w:w="1670" w:type="dxa"/>
          </w:tcPr>
          <w:p>
            <w:pPr>
              <w:pStyle w:val="TableParagraph"/>
              <w:spacing w:before="8"/>
              <w:ind w:left="609"/>
              <w:rPr>
                <w:sz w:val="18"/>
              </w:rPr>
            </w:pPr>
            <w:r>
              <w:rPr>
                <w:sz w:val="18"/>
              </w:rPr>
              <w:t>0.223 </w:t>
            </w:r>
          </w:p>
        </w:tc>
        <w:tc>
          <w:tcPr>
            <w:tcW w:w="1670" w:type="dxa"/>
          </w:tcPr>
          <w:p>
            <w:pPr>
              <w:pStyle w:val="TableParagraph"/>
              <w:spacing w:before="8"/>
              <w:ind w:left="470" w:right="371"/>
              <w:jc w:val="center"/>
              <w:rPr>
                <w:sz w:val="18"/>
              </w:rPr>
            </w:pPr>
            <w:r>
              <w:rPr>
                <w:sz w:val="18"/>
              </w:rPr>
              <w:t>63 </w:t>
            </w:r>
          </w:p>
        </w:tc>
        <w:tc>
          <w:tcPr>
            <w:tcW w:w="1670" w:type="dxa"/>
          </w:tcPr>
          <w:p>
            <w:pPr>
              <w:pStyle w:val="TableParagraph"/>
              <w:spacing w:before="8"/>
              <w:ind w:left="610"/>
              <w:rPr>
                <w:sz w:val="18"/>
              </w:rPr>
            </w:pPr>
            <w:r>
              <w:rPr>
                <w:sz w:val="18"/>
              </w:rPr>
              <w:t>2.112 </w:t>
            </w:r>
          </w:p>
        </w:tc>
        <w:tc>
          <w:tcPr>
            <w:tcW w:w="1670" w:type="dxa"/>
          </w:tcPr>
          <w:p>
            <w:pPr>
              <w:pStyle w:val="TableParagraph"/>
              <w:spacing w:before="8"/>
              <w:ind w:left="611"/>
              <w:rPr>
                <w:sz w:val="18"/>
              </w:rPr>
            </w:pPr>
            <w:r>
              <w:rPr>
                <w:sz w:val="18"/>
              </w:rPr>
              <w:t>1.547 </w:t>
            </w:r>
          </w:p>
        </w:tc>
      </w:tr>
      <w:tr>
        <w:trPr>
          <w:trHeight w:val="278" w:hRule="atLeast"/>
        </w:trPr>
        <w:tc>
          <w:tcPr>
            <w:tcW w:w="1670" w:type="dxa"/>
          </w:tcPr>
          <w:p>
            <w:pPr>
              <w:pStyle w:val="TableParagraph"/>
              <w:spacing w:before="8"/>
              <w:ind w:left="470" w:right="373"/>
              <w:jc w:val="center"/>
              <w:rPr>
                <w:sz w:val="18"/>
              </w:rPr>
            </w:pPr>
            <w:r>
              <w:rPr>
                <w:sz w:val="18"/>
              </w:rPr>
              <w:t>40 </w:t>
            </w:r>
          </w:p>
        </w:tc>
        <w:tc>
          <w:tcPr>
            <w:tcW w:w="1668" w:type="dxa"/>
          </w:tcPr>
          <w:p>
            <w:pPr>
              <w:pStyle w:val="TableParagraph"/>
              <w:spacing w:before="8"/>
              <w:ind w:left="634" w:right="532"/>
              <w:jc w:val="center"/>
              <w:rPr>
                <w:sz w:val="18"/>
              </w:rPr>
            </w:pPr>
            <w:r>
              <w:rPr>
                <w:sz w:val="18"/>
              </w:rPr>
              <w:t>0.209 </w:t>
            </w:r>
          </w:p>
        </w:tc>
        <w:tc>
          <w:tcPr>
            <w:tcW w:w="1670" w:type="dxa"/>
          </w:tcPr>
          <w:p>
            <w:pPr>
              <w:pStyle w:val="TableParagraph"/>
              <w:spacing w:before="8"/>
              <w:ind w:left="609"/>
              <w:rPr>
                <w:sz w:val="18"/>
              </w:rPr>
            </w:pPr>
            <w:r>
              <w:rPr>
                <w:sz w:val="18"/>
              </w:rPr>
              <w:t>0.244 </w:t>
            </w:r>
          </w:p>
        </w:tc>
        <w:tc>
          <w:tcPr>
            <w:tcW w:w="1670" w:type="dxa"/>
          </w:tcPr>
          <w:p>
            <w:pPr>
              <w:pStyle w:val="TableParagraph"/>
              <w:spacing w:before="8"/>
              <w:ind w:left="470" w:right="371"/>
              <w:jc w:val="center"/>
              <w:rPr>
                <w:sz w:val="18"/>
              </w:rPr>
            </w:pPr>
            <w:r>
              <w:rPr>
                <w:sz w:val="18"/>
              </w:rPr>
              <w:t>64 </w:t>
            </w:r>
          </w:p>
        </w:tc>
        <w:tc>
          <w:tcPr>
            <w:tcW w:w="1670" w:type="dxa"/>
          </w:tcPr>
          <w:p>
            <w:pPr>
              <w:pStyle w:val="TableParagraph"/>
              <w:spacing w:before="8"/>
              <w:ind w:left="610"/>
              <w:rPr>
                <w:sz w:val="18"/>
              </w:rPr>
            </w:pPr>
            <w:r>
              <w:rPr>
                <w:sz w:val="18"/>
              </w:rPr>
              <w:t>2.266 </w:t>
            </w:r>
          </w:p>
        </w:tc>
        <w:tc>
          <w:tcPr>
            <w:tcW w:w="1670" w:type="dxa"/>
          </w:tcPr>
          <w:p>
            <w:pPr>
              <w:pStyle w:val="TableParagraph"/>
              <w:spacing w:before="8"/>
              <w:ind w:left="611"/>
              <w:rPr>
                <w:sz w:val="18"/>
              </w:rPr>
            </w:pPr>
            <w:r>
              <w:rPr>
                <w:sz w:val="18"/>
              </w:rPr>
              <w:t>1.631 </w:t>
            </w:r>
          </w:p>
        </w:tc>
      </w:tr>
      <w:tr>
        <w:trPr>
          <w:trHeight w:val="277" w:hRule="atLeast"/>
        </w:trPr>
        <w:tc>
          <w:tcPr>
            <w:tcW w:w="1670" w:type="dxa"/>
          </w:tcPr>
          <w:p>
            <w:pPr>
              <w:pStyle w:val="TableParagraph"/>
              <w:spacing w:before="8"/>
              <w:ind w:left="470" w:right="373"/>
              <w:jc w:val="center"/>
              <w:rPr>
                <w:sz w:val="18"/>
              </w:rPr>
            </w:pPr>
            <w:r>
              <w:rPr>
                <w:sz w:val="18"/>
              </w:rPr>
              <w:t>41 </w:t>
            </w:r>
          </w:p>
        </w:tc>
        <w:tc>
          <w:tcPr>
            <w:tcW w:w="1668" w:type="dxa"/>
          </w:tcPr>
          <w:p>
            <w:pPr>
              <w:pStyle w:val="TableParagraph"/>
              <w:spacing w:before="8"/>
              <w:ind w:left="634" w:right="532"/>
              <w:jc w:val="center"/>
              <w:rPr>
                <w:sz w:val="18"/>
              </w:rPr>
            </w:pPr>
            <w:r>
              <w:rPr>
                <w:sz w:val="18"/>
              </w:rPr>
              <w:t>0.231 </w:t>
            </w:r>
          </w:p>
        </w:tc>
        <w:tc>
          <w:tcPr>
            <w:tcW w:w="1670" w:type="dxa"/>
          </w:tcPr>
          <w:p>
            <w:pPr>
              <w:pStyle w:val="TableParagraph"/>
              <w:spacing w:before="8"/>
              <w:ind w:left="609"/>
              <w:rPr>
                <w:sz w:val="18"/>
              </w:rPr>
            </w:pPr>
            <w:r>
              <w:rPr>
                <w:sz w:val="18"/>
              </w:rPr>
              <w:t>0.268 </w:t>
            </w:r>
          </w:p>
        </w:tc>
        <w:tc>
          <w:tcPr>
            <w:tcW w:w="1670" w:type="dxa"/>
          </w:tcPr>
          <w:p>
            <w:pPr>
              <w:pStyle w:val="TableParagraph"/>
              <w:spacing w:before="8"/>
              <w:ind w:left="101"/>
              <w:jc w:val="center"/>
              <w:rPr>
                <w:sz w:val="18"/>
              </w:rPr>
            </w:pPr>
            <w:r>
              <w:rPr>
                <w:sz w:val="18"/>
              </w:rPr>
              <w:t> </w:t>
            </w:r>
          </w:p>
        </w:tc>
        <w:tc>
          <w:tcPr>
            <w:tcW w:w="1670" w:type="dxa"/>
          </w:tcPr>
          <w:p>
            <w:pPr>
              <w:pStyle w:val="TableParagraph"/>
              <w:spacing w:before="8"/>
              <w:ind w:left="102"/>
              <w:jc w:val="center"/>
              <w:rPr>
                <w:sz w:val="18"/>
              </w:rPr>
            </w:pPr>
            <w:r>
              <w:rPr>
                <w:sz w:val="18"/>
              </w:rPr>
              <w:t> </w:t>
            </w:r>
          </w:p>
        </w:tc>
        <w:tc>
          <w:tcPr>
            <w:tcW w:w="1670" w:type="dxa"/>
          </w:tcPr>
          <w:p>
            <w:pPr>
              <w:pStyle w:val="TableParagraph"/>
              <w:spacing w:before="8"/>
              <w:ind w:left="103"/>
              <w:jc w:val="center"/>
              <w:rPr>
                <w:sz w:val="18"/>
              </w:rPr>
            </w:pPr>
            <w:r>
              <w:rPr>
                <w:sz w:val="18"/>
              </w:rPr>
              <w:t> </w:t>
            </w:r>
          </w:p>
        </w:tc>
      </w:tr>
    </w:tbl>
    <w:p>
      <w:pPr>
        <w:spacing w:before="8"/>
        <w:ind w:left="140" w:right="0" w:firstLine="0"/>
        <w:jc w:val="left"/>
        <w:rPr>
          <w:rFonts w:ascii="Times New Roman" w:eastAsia="Times New Roman"/>
          <w:sz w:val="18"/>
        </w:rPr>
      </w:pPr>
      <w:r>
        <w:rPr>
          <w:sz w:val="18"/>
        </w:rPr>
        <w:t>注</w:t>
      </w:r>
      <w:r>
        <w:rPr>
          <w:rFonts w:ascii="Times New Roman" w:eastAsia="Times New Roman"/>
          <w:sz w:val="18"/>
        </w:rPr>
        <w:t>:</w:t>
      </w:r>
    </w:p>
    <w:p>
      <w:pPr>
        <w:spacing w:before="62"/>
        <w:ind w:left="140" w:right="0" w:firstLine="0"/>
        <w:jc w:val="left"/>
        <w:rPr>
          <w:sz w:val="18"/>
        </w:rPr>
      </w:pPr>
      <w:r>
        <w:rPr>
          <w:sz w:val="18"/>
        </w:rPr>
        <w:t>1、已达年龄指被保险人在保单年度首日</w:t>
      </w:r>
      <w:r>
        <w:rPr>
          <w:rFonts w:ascii="Times New Roman" w:eastAsia="Times New Roman"/>
          <w:sz w:val="18"/>
        </w:rPr>
        <w:t>24</w:t>
      </w:r>
      <w:r>
        <w:rPr>
          <w:sz w:val="18"/>
        </w:rPr>
        <w:t>时的周岁年龄。</w:t>
      </w:r>
    </w:p>
    <w:p>
      <w:pPr>
        <w:spacing w:before="62"/>
        <w:ind w:left="139" w:right="0" w:firstLine="0"/>
        <w:jc w:val="left"/>
        <w:rPr>
          <w:sz w:val="18"/>
        </w:rPr>
      </w:pPr>
      <w:r>
        <w:rPr>
          <w:sz w:val="18"/>
        </w:rPr>
        <w:t>2、我们有权调整上述费率。</w:t>
      </w:r>
    </w:p>
    <w:p>
      <w:pPr>
        <w:spacing w:before="76"/>
        <w:ind w:left="139" w:right="0" w:firstLine="0"/>
        <w:jc w:val="left"/>
        <w:rPr>
          <w:sz w:val="21"/>
        </w:rPr>
      </w:pPr>
      <w:r>
        <w:rPr>
          <w:sz w:val="18"/>
        </w:rPr>
        <w:t>3、上述月重大疾病风险保险费费率表仅适用于标准体。</w:t>
      </w:r>
      <w:r>
        <w:rPr>
          <w:w w:val="100"/>
          <w:sz w:val="21"/>
        </w:rPr>
        <w:t> </w:t>
      </w:r>
    </w:p>
    <w:sectPr>
      <w:pgSz w:w="11910" w:h="16840"/>
      <w:pgMar w:header="0" w:footer="380" w:top="740" w:bottom="640" w:left="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w:altName w:val="Malgun Gothic"/>
    <w:charset w:val="0"/>
    <w:family w:val="swiss"/>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Microsoft JhengHei">
    <w:altName w:val="Microsoft JhengHei"/>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5pt;margin-top:807.939941pt;width:34.050pt;height:12pt;mso-position-horizontal-relative:page;mso-position-vertical-relative:page;z-index:-53128" type="#_x0000_t202" filled="false" stroked="false">
          <v:textbox inset="0,0,0,0">
            <w:txbxContent>
              <w:p>
                <w:pPr>
                  <w:spacing w:before="12"/>
                  <w:ind w:left="20" w:right="0" w:firstLine="0"/>
                  <w:jc w:val="left"/>
                  <w:rPr>
                    <w:rFonts w:ascii="Times New Roman"/>
                    <w:sz w:val="18"/>
                  </w:rPr>
                </w:pPr>
                <w:r>
                  <w:rPr>
                    <w:rFonts w:ascii="Times New Roman"/>
                    <w:sz w:val="18"/>
                  </w:rPr>
                  <w:t>PUBLIC</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807.939941pt;width:71.5pt;height:12pt;mso-position-horizontal-relative:page;mso-position-vertical-relative:page;z-index:-53104" type="#_x0000_t202" filled="false" stroked="false">
          <v:textbox inset="0,0,0,0">
            <w:txbxContent>
              <w:p>
                <w:pPr>
                  <w:spacing w:before="12"/>
                  <w:ind w:left="20" w:right="0" w:firstLine="0"/>
                  <w:jc w:val="left"/>
                  <w:rPr>
                    <w:rFonts w:ascii="Times New Roman"/>
                    <w:sz w:val="18"/>
                  </w:rPr>
                </w:pPr>
                <w:r>
                  <w:rPr>
                    <w:rFonts w:ascii="Times New Roman"/>
                    <w:sz w:val="18"/>
                  </w:rPr>
                  <w:t>PUBLIC - 2012-01</w:t>
                </w:r>
              </w:p>
            </w:txbxContent>
          </v:textbox>
          <w10:wrap type="none"/>
        </v:shape>
      </w:pict>
    </w:r>
    <w:r>
      <w:rPr/>
      <w:pict>
        <v:shape style="position:absolute;margin-left:516.994019pt;margin-top:807.939941pt;width:13.15pt;height:12pt;mso-position-horizontal-relative:page;mso-position-vertical-relative:page;z-index:-530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97" w:hanging="420"/>
      </w:pPr>
      <w:rPr>
        <w:rFonts w:hint="default" w:ascii="MS UI Gothic" w:hAnsi="MS UI Gothic" w:eastAsia="MS UI Gothic" w:cs="MS UI Gothic"/>
        <w:w w:val="89"/>
        <w:sz w:val="21"/>
        <w:szCs w:val="21"/>
      </w:rPr>
    </w:lvl>
    <w:lvl w:ilvl="1">
      <w:start w:val="0"/>
      <w:numFmt w:val="bullet"/>
      <w:lvlText w:val="•"/>
      <w:lvlJc w:val="left"/>
      <w:pPr>
        <w:ind w:left="2606" w:hanging="420"/>
      </w:pPr>
      <w:rPr>
        <w:rFonts w:hint="default"/>
      </w:rPr>
    </w:lvl>
    <w:lvl w:ilvl="2">
      <w:start w:val="0"/>
      <w:numFmt w:val="bullet"/>
      <w:lvlText w:val="•"/>
      <w:lvlJc w:val="left"/>
      <w:pPr>
        <w:ind w:left="3513" w:hanging="420"/>
      </w:pPr>
      <w:rPr>
        <w:rFonts w:hint="default"/>
      </w:rPr>
    </w:lvl>
    <w:lvl w:ilvl="3">
      <w:start w:val="0"/>
      <w:numFmt w:val="bullet"/>
      <w:lvlText w:val="•"/>
      <w:lvlJc w:val="left"/>
      <w:pPr>
        <w:ind w:left="4419" w:hanging="420"/>
      </w:pPr>
      <w:rPr>
        <w:rFonts w:hint="default"/>
      </w:rPr>
    </w:lvl>
    <w:lvl w:ilvl="4">
      <w:start w:val="0"/>
      <w:numFmt w:val="bullet"/>
      <w:lvlText w:val="•"/>
      <w:lvlJc w:val="left"/>
      <w:pPr>
        <w:ind w:left="5326" w:hanging="420"/>
      </w:pPr>
      <w:rPr>
        <w:rFonts w:hint="default"/>
      </w:rPr>
    </w:lvl>
    <w:lvl w:ilvl="5">
      <w:start w:val="0"/>
      <w:numFmt w:val="bullet"/>
      <w:lvlText w:val="•"/>
      <w:lvlJc w:val="left"/>
      <w:pPr>
        <w:ind w:left="6233" w:hanging="420"/>
      </w:pPr>
      <w:rPr>
        <w:rFonts w:hint="default"/>
      </w:rPr>
    </w:lvl>
    <w:lvl w:ilvl="6">
      <w:start w:val="0"/>
      <w:numFmt w:val="bullet"/>
      <w:lvlText w:val="•"/>
      <w:lvlJc w:val="left"/>
      <w:pPr>
        <w:ind w:left="7139" w:hanging="420"/>
      </w:pPr>
      <w:rPr>
        <w:rFonts w:hint="default"/>
      </w:rPr>
    </w:lvl>
    <w:lvl w:ilvl="7">
      <w:start w:val="0"/>
      <w:numFmt w:val="bullet"/>
      <w:lvlText w:val="•"/>
      <w:lvlJc w:val="left"/>
      <w:pPr>
        <w:ind w:left="8046" w:hanging="420"/>
      </w:pPr>
      <w:rPr>
        <w:rFonts w:hint="default"/>
      </w:rPr>
    </w:lvl>
    <w:lvl w:ilvl="8">
      <w:start w:val="0"/>
      <w:numFmt w:val="bullet"/>
      <w:lvlText w:val="•"/>
      <w:lvlJc w:val="left"/>
      <w:pPr>
        <w:ind w:left="8953" w:hanging="420"/>
      </w:pPr>
      <w:rPr>
        <w:rFonts w:hint="default"/>
      </w:rPr>
    </w:lvl>
  </w:abstractNum>
  <w:abstractNum w:abstractNumId="0">
    <w:multiLevelType w:val="hybridMultilevel"/>
    <w:lvl w:ilvl="0">
      <w:start w:val="0"/>
      <w:numFmt w:val="bullet"/>
      <w:lvlText w:val="❖"/>
      <w:lvlJc w:val="left"/>
      <w:pPr>
        <w:ind w:left="1697" w:hanging="420"/>
      </w:pPr>
      <w:rPr>
        <w:rFonts w:hint="default" w:ascii="MS UI Gothic" w:hAnsi="MS UI Gothic" w:eastAsia="MS UI Gothic" w:cs="MS UI Gothic"/>
        <w:w w:val="89"/>
        <w:sz w:val="21"/>
        <w:szCs w:val="21"/>
      </w:rPr>
    </w:lvl>
    <w:lvl w:ilvl="1">
      <w:start w:val="0"/>
      <w:numFmt w:val="bullet"/>
      <w:lvlText w:val="•"/>
      <w:lvlJc w:val="left"/>
      <w:pPr>
        <w:ind w:left="2606" w:hanging="420"/>
      </w:pPr>
      <w:rPr>
        <w:rFonts w:hint="default"/>
      </w:rPr>
    </w:lvl>
    <w:lvl w:ilvl="2">
      <w:start w:val="0"/>
      <w:numFmt w:val="bullet"/>
      <w:lvlText w:val="•"/>
      <w:lvlJc w:val="left"/>
      <w:pPr>
        <w:ind w:left="3513" w:hanging="420"/>
      </w:pPr>
      <w:rPr>
        <w:rFonts w:hint="default"/>
      </w:rPr>
    </w:lvl>
    <w:lvl w:ilvl="3">
      <w:start w:val="0"/>
      <w:numFmt w:val="bullet"/>
      <w:lvlText w:val="•"/>
      <w:lvlJc w:val="left"/>
      <w:pPr>
        <w:ind w:left="4419" w:hanging="420"/>
      </w:pPr>
      <w:rPr>
        <w:rFonts w:hint="default"/>
      </w:rPr>
    </w:lvl>
    <w:lvl w:ilvl="4">
      <w:start w:val="0"/>
      <w:numFmt w:val="bullet"/>
      <w:lvlText w:val="•"/>
      <w:lvlJc w:val="left"/>
      <w:pPr>
        <w:ind w:left="5326" w:hanging="420"/>
      </w:pPr>
      <w:rPr>
        <w:rFonts w:hint="default"/>
      </w:rPr>
    </w:lvl>
    <w:lvl w:ilvl="5">
      <w:start w:val="0"/>
      <w:numFmt w:val="bullet"/>
      <w:lvlText w:val="•"/>
      <w:lvlJc w:val="left"/>
      <w:pPr>
        <w:ind w:left="6233" w:hanging="420"/>
      </w:pPr>
      <w:rPr>
        <w:rFonts w:hint="default"/>
      </w:rPr>
    </w:lvl>
    <w:lvl w:ilvl="6">
      <w:start w:val="0"/>
      <w:numFmt w:val="bullet"/>
      <w:lvlText w:val="•"/>
      <w:lvlJc w:val="left"/>
      <w:pPr>
        <w:ind w:left="7139" w:hanging="420"/>
      </w:pPr>
      <w:rPr>
        <w:rFonts w:hint="default"/>
      </w:rPr>
    </w:lvl>
    <w:lvl w:ilvl="7">
      <w:start w:val="0"/>
      <w:numFmt w:val="bullet"/>
      <w:lvlText w:val="•"/>
      <w:lvlJc w:val="left"/>
      <w:pPr>
        <w:ind w:left="8046" w:hanging="420"/>
      </w:pPr>
      <w:rPr>
        <w:rFonts w:hint="default"/>
      </w:rPr>
    </w:lvl>
    <w:lvl w:ilvl="8">
      <w:start w:val="0"/>
      <w:numFmt w:val="bullet"/>
      <w:lvlText w:val="•"/>
      <w:lvlJc w:val="left"/>
      <w:pPr>
        <w:ind w:left="8953"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29" w:lineRule="exact"/>
      <w:ind w:left="2412"/>
      <w:outlineLvl w:val="1"/>
    </w:pPr>
    <w:rPr>
      <w:rFonts w:ascii="Microsoft JhengHei" w:hAnsi="Microsoft JhengHei" w:eastAsia="Microsoft JhengHei" w:cs="Microsoft JhengHei"/>
      <w:b/>
      <w:bCs/>
      <w:sz w:val="32"/>
      <w:szCs w:val="32"/>
    </w:rPr>
  </w:style>
  <w:style w:styleId="ListParagraph" w:type="paragraph">
    <w:name w:val="List Paragraph"/>
    <w:basedOn w:val="Normal"/>
    <w:uiPriority w:val="1"/>
    <w:qFormat/>
    <w:pPr>
      <w:ind w:left="1697" w:hanging="420"/>
    </w:pPr>
    <w:rPr>
      <w:rFonts w:ascii="宋体" w:hAnsi="宋体" w:eastAsia="宋体" w:cs="宋体"/>
    </w:rPr>
  </w:style>
  <w:style w:styleId="TableParagraph" w:type="paragraph">
    <w:name w:val="Table Paragraph"/>
    <w:basedOn w:val="Normal"/>
    <w:uiPriority w:val="1"/>
    <w:qFormat/>
    <w:pPr>
      <w:ind w:left="8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cp:keywords>PUBLIC</cp:keywords>
  <dc:title>阅 读 指 引</dc:title>
  <dcterms:created xsi:type="dcterms:W3CDTF">2018-10-20T03:25:53Z</dcterms:created>
  <dcterms:modified xsi:type="dcterms:W3CDTF">2018-10-20T03:25:53Z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Acrobat PDFMaker 10.1 for Word</vt:lpwstr>
  </property>
  <property fmtid="{D5CDD505-2E9C-101B-9397-08002B2CF9AE}" pid="4" name="LastSaved">
    <vt:filetime>2018-10-19T00:00:00Z</vt:filetime>
  </property>
</Properties>
</file>