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15"/>
        </w:rPr>
      </w:pPr>
    </w:p>
    <w:p>
      <w:pPr>
        <w:pStyle w:val="BodyText"/>
        <w:spacing w:before="36"/>
        <w:ind w:left="0" w:right="328"/>
        <w:jc w:val="right"/>
      </w:pPr>
      <w:r>
        <w:rPr/>
        <w:drawing>
          <wp:anchor distT="0" distB="0" distL="0" distR="0" allowOverlap="1" layoutInCell="1" locked="0" behindDoc="0" simplePos="0" relativeHeight="0">
            <wp:simplePos x="0" y="0"/>
            <wp:positionH relativeFrom="page">
              <wp:posOffset>5582284</wp:posOffset>
            </wp:positionH>
            <wp:positionV relativeFrom="paragraph">
              <wp:posOffset>260904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006 号</w:t>
      </w:r>
    </w:p>
    <w:p>
      <w:pPr>
        <w:pStyle w:val="BodyText"/>
        <w:spacing w:before="13"/>
        <w:ind w:left="0" w:right="643"/>
        <w:jc w:val="right"/>
      </w:pPr>
      <w:r>
        <w:rPr/>
        <w:t>请扫描以查询验证条款</w:t>
      </w:r>
    </w:p>
    <w:p>
      <w:pPr>
        <w:pStyle w:val="Heading1"/>
        <w:spacing w:line="220" w:lineRule="auto" w:before="44"/>
        <w:ind w:left="4192" w:right="3067" w:hanging="1203"/>
      </w:pPr>
      <w:r>
        <w:rPr/>
        <w:t>金麒麟少儿重大疾病保险条款阅  读  指 引</w:t>
      </w:r>
    </w:p>
    <w:p>
      <w:pPr>
        <w:pStyle w:val="BodyText"/>
        <w:spacing w:before="1"/>
        <w:ind w:left="0"/>
        <w:rPr>
          <w:rFonts w:ascii="微软雅黑"/>
          <w:b/>
          <w:sz w:val="11"/>
        </w:rPr>
      </w:pPr>
    </w:p>
    <w:p>
      <w:pPr>
        <w:pStyle w:val="BodyText"/>
        <w:spacing w:before="36"/>
        <w:ind w:left="2018" w:right="2036"/>
        <w:jc w:val="center"/>
      </w:pPr>
      <w:r>
        <w:rPr/>
        <w:drawing>
          <wp:anchor distT="0" distB="0" distL="0" distR="0" allowOverlap="1" layoutInCell="1" locked="0" behindDoc="1" simplePos="0" relativeHeight="268408415">
            <wp:simplePos x="0" y="0"/>
            <wp:positionH relativeFrom="page">
              <wp:posOffset>630936</wp:posOffset>
            </wp:positionH>
            <wp:positionV relativeFrom="paragraph">
              <wp:posOffset>271572</wp:posOffset>
            </wp:positionV>
            <wp:extent cx="6228334" cy="621888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28334" cy="621888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2"/>
          <w:w w:val="100"/>
          <w:position w:val="-7"/>
        </w:rPr>
        <w:t>．</w:t>
      </w:r>
      <w:r>
        <w:rPr>
          <w:spacing w:val="-152"/>
          <w:w w:val="100"/>
        </w:rPr>
        <w:t>。</w:t>
      </w:r>
      <w:r>
        <w:rPr>
          <w:w w:val="100"/>
          <w:position w:val="-7"/>
        </w:rPr>
        <w:t>．</w:t>
      </w:r>
    </w:p>
    <w:p>
      <w:pPr>
        <w:pStyle w:val="Heading2"/>
        <w:tabs>
          <w:tab w:pos="1263" w:val="left" w:leader="none"/>
        </w:tabs>
        <w:spacing w:before="84"/>
        <w:ind w:left="252"/>
      </w:pPr>
      <w:r>
        <w:rPr>
          <w:rFonts w:ascii="Arial" w:hAnsi="Arial" w:eastAsia="Arial"/>
          <w:w w:val="105"/>
          <w:position w:val="-11"/>
          <w:sz w:val="52"/>
        </w:rPr>
        <w:t></w:t>
        <w:tab/>
      </w:r>
      <w:r>
        <w:rPr>
          <w:spacing w:val="-1"/>
        </w:rPr>
        <w:t>您拥有的重要权益</w:t>
      </w:r>
    </w:p>
    <w:p>
      <w:pPr>
        <w:pStyle w:val="ListParagraph"/>
        <w:numPr>
          <w:ilvl w:val="0"/>
          <w:numId w:val="1"/>
        </w:numPr>
        <w:tabs>
          <w:tab w:pos="1283" w:val="left" w:leader="none"/>
          <w:tab w:pos="9286" w:val="left" w:leader="dot"/>
        </w:tabs>
        <w:spacing w:line="259" w:lineRule="auto" w:before="25" w:after="0"/>
        <w:ind w:left="252" w:right="436" w:firstLine="632"/>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34"/>
          <w:sz w:val="21"/>
        </w:rPr>
        <w:t> </w:t>
      </w:r>
      <w:r>
        <w:rPr>
          <w:sz w:val="21"/>
        </w:rPr>
        <w:t>10</w:t>
      </w:r>
      <w:r>
        <w:rPr>
          <w:spacing w:val="-35"/>
          <w:sz w:val="21"/>
        </w:rPr>
        <w:t> </w:t>
      </w:r>
      <w:r>
        <w:rPr>
          <w:spacing w:val="-3"/>
          <w:sz w:val="21"/>
        </w:rPr>
        <w:t>日</w:t>
      </w:r>
      <w:r>
        <w:rPr>
          <w:sz w:val="21"/>
        </w:rPr>
        <w:t>内</w:t>
      </w:r>
      <w:r>
        <w:rPr>
          <w:spacing w:val="-3"/>
          <w:sz w:val="21"/>
        </w:rPr>
        <w:t>（</w:t>
      </w:r>
      <w:r>
        <w:rPr>
          <w:sz w:val="21"/>
        </w:rPr>
        <w:t>即</w:t>
      </w:r>
      <w:r>
        <w:rPr>
          <w:spacing w:val="-3"/>
          <w:sz w:val="21"/>
        </w:rPr>
        <w:t>犹</w:t>
      </w:r>
      <w:r>
        <w:rPr>
          <w:sz w:val="21"/>
        </w:rPr>
        <w:t>豫</w:t>
      </w:r>
      <w:r>
        <w:rPr>
          <w:spacing w:val="-3"/>
          <w:sz w:val="21"/>
        </w:rPr>
        <w:t>期）</w:t>
      </w:r>
      <w:r>
        <w:rPr>
          <w:sz w:val="21"/>
        </w:rPr>
        <w:t>您若</w:t>
      </w:r>
      <w:r>
        <w:rPr>
          <w:spacing w:val="-3"/>
          <w:sz w:val="21"/>
        </w:rPr>
        <w:t>要</w:t>
      </w:r>
      <w:r>
        <w:rPr>
          <w:sz w:val="21"/>
        </w:rPr>
        <w:t>求</w:t>
      </w:r>
      <w:r>
        <w:rPr>
          <w:spacing w:val="-3"/>
          <w:sz w:val="21"/>
        </w:rPr>
        <w:t>退保</w:t>
      </w:r>
      <w:r>
        <w:rPr>
          <w:sz w:val="21"/>
        </w:rPr>
        <w:t>，</w:t>
      </w:r>
      <w:r>
        <w:rPr>
          <w:spacing w:val="-3"/>
          <w:sz w:val="21"/>
        </w:rPr>
        <w:t>我</w:t>
      </w:r>
      <w:r>
        <w:rPr>
          <w:sz w:val="21"/>
        </w:rPr>
        <w:t>们</w:t>
      </w:r>
      <w:r>
        <w:rPr>
          <w:spacing w:val="-3"/>
          <w:sz w:val="21"/>
        </w:rPr>
        <w:t>仅扣</w:t>
      </w:r>
      <w:r>
        <w:rPr>
          <w:sz w:val="21"/>
        </w:rPr>
        <w:t>除工</w:t>
      </w:r>
      <w:r>
        <w:rPr>
          <w:spacing w:val="-3"/>
          <w:sz w:val="21"/>
        </w:rPr>
        <w:t>本</w:t>
      </w:r>
      <w:r>
        <w:rPr>
          <w:sz w:val="21"/>
        </w:rPr>
        <w:t>费</w:t>
      </w:r>
      <w:r>
        <w:rPr>
          <w:spacing w:val="-3"/>
          <w:sz w:val="21"/>
        </w:rPr>
        <w:t>后</w:t>
      </w:r>
      <w:r>
        <w:rPr>
          <w:sz w:val="21"/>
        </w:rPr>
        <w:t>无</w:t>
      </w:r>
      <w:r>
        <w:rPr>
          <w:spacing w:val="-3"/>
          <w:sz w:val="21"/>
        </w:rPr>
        <w:t>息</w:t>
      </w:r>
      <w:r>
        <w:rPr>
          <w:sz w:val="21"/>
        </w:rPr>
        <w:t>退</w:t>
      </w:r>
      <w:r>
        <w:rPr>
          <w:spacing w:val="-3"/>
          <w:sz w:val="21"/>
        </w:rPr>
        <w:t>还</w:t>
      </w:r>
      <w:r>
        <w:rPr>
          <w:sz w:val="21"/>
        </w:rPr>
        <w:t>所</w:t>
      </w:r>
      <w:r>
        <w:rPr>
          <w:spacing w:val="-3"/>
          <w:sz w:val="21"/>
        </w:rPr>
        <w:t>交</w:t>
      </w:r>
      <w:r>
        <w:rPr>
          <w:sz w:val="21"/>
        </w:rPr>
        <w:t>纳的保费</w:t>
        <w:tab/>
        <w:t>1.4</w:t>
      </w:r>
    </w:p>
    <w:p>
      <w:pPr>
        <w:pStyle w:val="ListParagraph"/>
        <w:numPr>
          <w:ilvl w:val="0"/>
          <w:numId w:val="1"/>
        </w:numPr>
        <w:tabs>
          <w:tab w:pos="1282" w:val="left" w:leader="none"/>
          <w:tab w:pos="1283" w:val="left" w:leader="none"/>
          <w:tab w:pos="9264" w:val="left" w:leader="dot"/>
        </w:tabs>
        <w:spacing w:line="240" w:lineRule="auto" w:before="19" w:after="0"/>
        <w:ind w:left="128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pStyle w:val="ListParagraph"/>
        <w:numPr>
          <w:ilvl w:val="0"/>
          <w:numId w:val="1"/>
        </w:numPr>
        <w:tabs>
          <w:tab w:pos="1282" w:val="left" w:leader="none"/>
          <w:tab w:pos="1283" w:val="left" w:leader="none"/>
          <w:tab w:pos="9261" w:val="left" w:leader="dot"/>
        </w:tabs>
        <w:spacing w:line="240" w:lineRule="auto" w:before="22" w:after="0"/>
        <w:ind w:left="128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5.1</w:t>
      </w:r>
    </w:p>
    <w:p>
      <w:pPr>
        <w:pStyle w:val="Heading2"/>
        <w:tabs>
          <w:tab w:pos="1263" w:val="left" w:leader="none"/>
        </w:tabs>
        <w:spacing w:before="22"/>
        <w:ind w:left="252"/>
      </w:pPr>
      <w:r>
        <w:rPr>
          <w:rFonts w:ascii="Arial" w:hAnsi="Arial" w:eastAsia="Arial"/>
          <w:w w:val="105"/>
          <w:position w:val="-11"/>
          <w:sz w:val="52"/>
        </w:rPr>
        <w:t></w:t>
        <w:tab/>
      </w:r>
      <w:r>
        <w:rPr>
          <w:spacing w:val="-1"/>
        </w:rPr>
        <w:t>您应当特别注意的事项</w:t>
      </w:r>
    </w:p>
    <w:p>
      <w:pPr>
        <w:pStyle w:val="ListParagraph"/>
        <w:numPr>
          <w:ilvl w:val="0"/>
          <w:numId w:val="1"/>
        </w:numPr>
        <w:tabs>
          <w:tab w:pos="1282" w:val="left" w:leader="none"/>
          <w:tab w:pos="1283" w:val="left" w:leader="none"/>
          <w:tab w:pos="9261" w:val="left" w:leader="dot"/>
        </w:tabs>
        <w:spacing w:line="240" w:lineRule="auto" w:before="25" w:after="0"/>
        <w:ind w:left="252" w:right="0" w:firstLine="632"/>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82" w:val="left" w:leader="none"/>
          <w:tab w:pos="1283" w:val="left" w:leader="none"/>
          <w:tab w:pos="9262" w:val="left" w:leader="dot"/>
        </w:tabs>
        <w:spacing w:line="240" w:lineRule="auto" w:before="22" w:after="0"/>
        <w:ind w:left="252" w:right="0" w:firstLine="632"/>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82" w:val="left" w:leader="none"/>
          <w:tab w:pos="1283" w:val="left" w:leader="none"/>
          <w:tab w:pos="9261" w:val="left" w:leader="dot"/>
        </w:tabs>
        <w:spacing w:line="240" w:lineRule="auto" w:before="22" w:after="0"/>
        <w:ind w:left="252" w:right="0" w:firstLine="632"/>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82" w:val="left" w:leader="none"/>
          <w:tab w:pos="1283" w:val="left" w:leader="none"/>
          <w:tab w:pos="9264" w:val="left" w:leader="dot"/>
        </w:tabs>
        <w:spacing w:line="240" w:lineRule="auto" w:before="22" w:after="0"/>
        <w:ind w:left="252" w:right="0" w:firstLine="632"/>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5.1</w:t>
      </w:r>
    </w:p>
    <w:p>
      <w:pPr>
        <w:pStyle w:val="ListParagraph"/>
        <w:numPr>
          <w:ilvl w:val="0"/>
          <w:numId w:val="1"/>
        </w:numPr>
        <w:tabs>
          <w:tab w:pos="1282" w:val="left" w:leader="none"/>
          <w:tab w:pos="1283" w:val="left" w:leader="none"/>
          <w:tab w:pos="9261" w:val="left" w:leader="dot"/>
        </w:tabs>
        <w:spacing w:line="240" w:lineRule="auto" w:before="23" w:after="0"/>
        <w:ind w:left="252" w:right="0" w:firstLine="632"/>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6.1</w:t>
      </w:r>
    </w:p>
    <w:p>
      <w:pPr>
        <w:pStyle w:val="ListParagraph"/>
        <w:numPr>
          <w:ilvl w:val="0"/>
          <w:numId w:val="1"/>
        </w:numPr>
        <w:tabs>
          <w:tab w:pos="1282" w:val="left" w:leader="none"/>
          <w:tab w:pos="1283" w:val="left" w:leader="none"/>
          <w:tab w:pos="9264" w:val="left" w:leader="dot"/>
        </w:tabs>
        <w:spacing w:line="240" w:lineRule="auto" w:before="22" w:after="0"/>
        <w:ind w:left="252" w:right="0" w:firstLine="632"/>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8</w:t>
      </w:r>
    </w:p>
    <w:p>
      <w:pPr>
        <w:tabs>
          <w:tab w:pos="1263" w:val="left" w:leader="none"/>
        </w:tabs>
        <w:spacing w:before="22"/>
        <w:ind w:left="2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3" w:val="left" w:leader="none"/>
        </w:tabs>
        <w:spacing w:before="26"/>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1"/>
        <w:ind w:left="0"/>
        <w:rPr>
          <w:b/>
          <w:sz w:val="6"/>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453"/>
        <w:gridCol w:w="2442"/>
        <w:gridCol w:w="2588"/>
      </w:tblGrid>
      <w:tr>
        <w:trPr>
          <w:trHeight w:val="3955" w:hRule="atLeast"/>
        </w:trPr>
        <w:tc>
          <w:tcPr>
            <w:tcW w:w="235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2"/>
              </w:numPr>
              <w:tabs>
                <w:tab w:pos="726" w:val="left" w:leader="none"/>
              </w:tabs>
              <w:spacing w:line="240" w:lineRule="auto" w:before="37" w:after="0"/>
              <w:ind w:left="200" w:right="0" w:firstLine="105"/>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200" w:right="0" w:firstLine="105"/>
              <w:jc w:val="left"/>
              <w:rPr>
                <w:sz w:val="21"/>
              </w:rPr>
            </w:pPr>
            <w:r>
              <w:rPr>
                <w:spacing w:val="-3"/>
                <w:sz w:val="21"/>
              </w:rPr>
              <w:t>合同成立及生效</w:t>
            </w:r>
          </w:p>
          <w:p>
            <w:pPr>
              <w:pStyle w:val="TableParagraph"/>
              <w:numPr>
                <w:ilvl w:val="1"/>
                <w:numId w:val="2"/>
              </w:numPr>
              <w:tabs>
                <w:tab w:pos="726" w:val="left" w:leader="none"/>
              </w:tabs>
              <w:spacing w:line="273" w:lineRule="auto" w:before="37" w:after="0"/>
              <w:ind w:left="200" w:right="156" w:firstLine="105"/>
              <w:jc w:val="left"/>
              <w:rPr>
                <w:sz w:val="21"/>
              </w:rPr>
            </w:pPr>
            <w:r>
              <w:rPr>
                <w:spacing w:val="-3"/>
                <w:sz w:val="21"/>
              </w:rPr>
              <w:t>投保年龄和续保年龄</w:t>
            </w:r>
          </w:p>
          <w:p>
            <w:pPr>
              <w:pStyle w:val="TableParagraph"/>
              <w:numPr>
                <w:ilvl w:val="1"/>
                <w:numId w:val="2"/>
              </w:numPr>
              <w:tabs>
                <w:tab w:pos="726" w:val="left" w:leader="none"/>
              </w:tabs>
              <w:spacing w:line="240" w:lineRule="auto" w:before="8" w:after="0"/>
              <w:ind w:left="200" w:right="0" w:firstLine="105"/>
              <w:jc w:val="left"/>
              <w:rPr>
                <w:sz w:val="21"/>
              </w:rPr>
            </w:pPr>
            <w:r>
              <w:rPr>
                <w:spacing w:val="-2"/>
                <w:sz w:val="21"/>
              </w:rPr>
              <w:t>犹豫期</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基本保险金额</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保证续保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6" w:val="left" w:leader="none"/>
              </w:tabs>
              <w:spacing w:line="255" w:lineRule="exact" w:before="37" w:after="0"/>
              <w:ind w:left="725" w:right="0" w:hanging="420"/>
              <w:jc w:val="left"/>
              <w:rPr>
                <w:sz w:val="21"/>
              </w:rPr>
            </w:pPr>
            <w:r>
              <w:rPr>
                <w:spacing w:val="-2"/>
                <w:sz w:val="21"/>
              </w:rPr>
              <w:t>责任免除</w:t>
            </w:r>
          </w:p>
        </w:tc>
        <w:tc>
          <w:tcPr>
            <w:tcW w:w="2453" w:type="dxa"/>
          </w:tcPr>
          <w:p>
            <w:pPr>
              <w:pStyle w:val="TableParagraph"/>
              <w:numPr>
                <w:ilvl w:val="1"/>
                <w:numId w:val="3"/>
              </w:numPr>
              <w:tabs>
                <w:tab w:pos="679" w:val="left" w:leader="none"/>
              </w:tabs>
              <w:spacing w:line="211" w:lineRule="exact" w:before="0" w:after="0"/>
              <w:ind w:left="678" w:right="0" w:hanging="422"/>
              <w:jc w:val="left"/>
              <w:rPr>
                <w:sz w:val="21"/>
              </w:rPr>
            </w:pPr>
            <w:r>
              <w:rPr>
                <w:spacing w:val="-3"/>
                <w:sz w:val="21"/>
              </w:rPr>
              <w:t>保险金给付</w:t>
            </w:r>
          </w:p>
          <w:p>
            <w:pPr>
              <w:pStyle w:val="TableParagraph"/>
              <w:numPr>
                <w:ilvl w:val="1"/>
                <w:numId w:val="3"/>
              </w:numPr>
              <w:tabs>
                <w:tab w:pos="679" w:val="left" w:leader="none"/>
              </w:tabs>
              <w:spacing w:line="240" w:lineRule="auto" w:before="37" w:after="0"/>
              <w:ind w:left="678" w:right="0" w:hanging="422"/>
              <w:jc w:val="left"/>
              <w:rPr>
                <w:sz w:val="21"/>
              </w:rPr>
            </w:pPr>
            <w:r>
              <w:rPr>
                <w:spacing w:val="-3"/>
                <w:sz w:val="21"/>
              </w:rPr>
              <w:t>诉讼时效</w:t>
            </w:r>
          </w:p>
          <w:p>
            <w:pPr>
              <w:pStyle w:val="TableParagraph"/>
              <w:numPr>
                <w:ilvl w:val="0"/>
                <w:numId w:val="4"/>
              </w:numPr>
              <w:tabs>
                <w:tab w:pos="468" w:val="left" w:leader="none"/>
              </w:tabs>
              <w:spacing w:line="240" w:lineRule="auto" w:before="37" w:after="0"/>
              <w:ind w:left="467" w:right="0" w:hanging="317"/>
              <w:jc w:val="left"/>
              <w:rPr>
                <w:b/>
                <w:sz w:val="21"/>
              </w:rPr>
            </w:pPr>
            <w:r>
              <w:rPr>
                <w:b/>
                <w:sz w:val="21"/>
              </w:rPr>
              <w:t>保险费的交纳</w:t>
            </w:r>
          </w:p>
          <w:p>
            <w:pPr>
              <w:pStyle w:val="TableParagraph"/>
              <w:numPr>
                <w:ilvl w:val="1"/>
                <w:numId w:val="4"/>
              </w:numPr>
              <w:tabs>
                <w:tab w:pos="677" w:val="left" w:leader="none"/>
              </w:tabs>
              <w:spacing w:line="240" w:lineRule="auto" w:before="37" w:after="0"/>
              <w:ind w:left="676" w:right="0" w:hanging="420"/>
              <w:jc w:val="left"/>
              <w:rPr>
                <w:sz w:val="21"/>
              </w:rPr>
            </w:pPr>
            <w:r>
              <w:rPr>
                <w:spacing w:val="-3"/>
                <w:sz w:val="21"/>
              </w:rPr>
              <w:t>保险费的交纳</w:t>
            </w:r>
          </w:p>
          <w:p>
            <w:pPr>
              <w:pStyle w:val="TableParagraph"/>
              <w:numPr>
                <w:ilvl w:val="0"/>
                <w:numId w:val="4"/>
              </w:numPr>
              <w:tabs>
                <w:tab w:pos="468" w:val="left" w:leader="none"/>
              </w:tabs>
              <w:spacing w:line="240" w:lineRule="auto" w:before="37" w:after="0"/>
              <w:ind w:left="467" w:right="0" w:hanging="317"/>
              <w:jc w:val="left"/>
              <w:rPr>
                <w:b/>
                <w:sz w:val="21"/>
              </w:rPr>
            </w:pPr>
            <w:r>
              <w:rPr>
                <w:b/>
                <w:sz w:val="21"/>
              </w:rPr>
              <w:t>合同解除</w:t>
            </w:r>
          </w:p>
          <w:p>
            <w:pPr>
              <w:pStyle w:val="TableParagraph"/>
              <w:numPr>
                <w:ilvl w:val="1"/>
                <w:numId w:val="4"/>
              </w:numPr>
              <w:tabs>
                <w:tab w:pos="677" w:val="left" w:leader="none"/>
              </w:tabs>
              <w:spacing w:line="273" w:lineRule="auto" w:before="37" w:after="0"/>
              <w:ind w:left="150" w:right="303" w:firstLine="106"/>
              <w:jc w:val="left"/>
              <w:rPr>
                <w:b/>
                <w:sz w:val="21"/>
              </w:rPr>
            </w:pPr>
            <w:r>
              <w:rPr>
                <w:spacing w:val="-3"/>
                <w:sz w:val="21"/>
              </w:rPr>
              <w:t>您解除合同的手续 及 风 险      </w:t>
            </w:r>
            <w:r>
              <w:rPr>
                <w:b/>
                <w:spacing w:val="-3"/>
                <w:sz w:val="21"/>
              </w:rPr>
              <w:t>6．如实告知</w:t>
            </w:r>
          </w:p>
          <w:p>
            <w:pPr>
              <w:pStyle w:val="TableParagraph"/>
              <w:numPr>
                <w:ilvl w:val="1"/>
                <w:numId w:val="5"/>
              </w:numPr>
              <w:tabs>
                <w:tab w:pos="679" w:val="left" w:leader="none"/>
              </w:tabs>
              <w:spacing w:line="273" w:lineRule="auto" w:before="7" w:after="0"/>
              <w:ind w:left="256" w:right="300" w:firstLine="0"/>
              <w:jc w:val="left"/>
              <w:rPr>
                <w:sz w:val="21"/>
              </w:rPr>
            </w:pPr>
            <w:r>
              <w:rPr>
                <w:spacing w:val="-3"/>
                <w:sz w:val="21"/>
              </w:rPr>
              <w:t>明确说明与如实告知</w:t>
            </w:r>
          </w:p>
          <w:p>
            <w:pPr>
              <w:pStyle w:val="TableParagraph"/>
              <w:numPr>
                <w:ilvl w:val="1"/>
                <w:numId w:val="5"/>
              </w:numPr>
              <w:tabs>
                <w:tab w:pos="677" w:val="left" w:leader="none"/>
              </w:tabs>
              <w:spacing w:line="273" w:lineRule="auto" w:before="7" w:after="0"/>
              <w:ind w:left="150" w:right="303" w:firstLine="106"/>
              <w:jc w:val="left"/>
              <w:rPr>
                <w:sz w:val="21"/>
              </w:rPr>
            </w:pPr>
            <w:r>
              <w:rPr>
                <w:spacing w:val="-3"/>
                <w:sz w:val="21"/>
              </w:rPr>
              <w:t>本公司合同解除权的限制</w:t>
            </w:r>
          </w:p>
          <w:p>
            <w:pPr>
              <w:pStyle w:val="TableParagraph"/>
              <w:spacing w:line="255" w:lineRule="exact" w:before="7"/>
              <w:ind w:left="150"/>
              <w:rPr>
                <w:b/>
                <w:sz w:val="21"/>
              </w:rPr>
            </w:pPr>
            <w:r>
              <w:rPr>
                <w:b/>
                <w:sz w:val="21"/>
              </w:rPr>
              <w:t>7．其他需要关注的事项</w:t>
            </w:r>
          </w:p>
        </w:tc>
        <w:tc>
          <w:tcPr>
            <w:tcW w:w="2442" w:type="dxa"/>
          </w:tcPr>
          <w:p>
            <w:pPr>
              <w:pStyle w:val="TableParagraph"/>
              <w:numPr>
                <w:ilvl w:val="1"/>
                <w:numId w:val="6"/>
              </w:numPr>
              <w:tabs>
                <w:tab w:pos="636" w:val="left" w:leader="none"/>
              </w:tabs>
              <w:spacing w:line="211" w:lineRule="exact" w:before="0" w:after="0"/>
              <w:ind w:left="107" w:right="0" w:firstLine="106"/>
              <w:jc w:val="left"/>
              <w:rPr>
                <w:sz w:val="21"/>
              </w:rPr>
            </w:pPr>
            <w:r>
              <w:rPr>
                <w:spacing w:val="-3"/>
                <w:sz w:val="21"/>
              </w:rPr>
              <w:t>争议处理</w:t>
            </w:r>
          </w:p>
          <w:p>
            <w:pPr>
              <w:pStyle w:val="TableParagraph"/>
              <w:numPr>
                <w:ilvl w:val="1"/>
                <w:numId w:val="6"/>
              </w:numPr>
              <w:tabs>
                <w:tab w:pos="636" w:val="left" w:leader="none"/>
              </w:tabs>
              <w:spacing w:line="273" w:lineRule="auto" w:before="37" w:after="0"/>
              <w:ind w:left="107" w:right="332" w:firstLine="106"/>
              <w:jc w:val="left"/>
              <w:rPr>
                <w:sz w:val="21"/>
              </w:rPr>
            </w:pPr>
            <w:r>
              <w:rPr>
                <w:spacing w:val="-3"/>
                <w:sz w:val="21"/>
              </w:rPr>
              <w:t>身体检查与司法鉴定</w:t>
            </w:r>
          </w:p>
          <w:p>
            <w:pPr>
              <w:pStyle w:val="TableParagraph"/>
              <w:numPr>
                <w:ilvl w:val="0"/>
                <w:numId w:val="7"/>
              </w:numPr>
              <w:tabs>
                <w:tab w:pos="531" w:val="left" w:leader="none"/>
              </w:tabs>
              <w:spacing w:line="240" w:lineRule="auto" w:before="7" w:after="0"/>
              <w:ind w:left="530" w:right="0" w:hanging="317"/>
              <w:jc w:val="left"/>
              <w:rPr>
                <w:b/>
                <w:sz w:val="21"/>
              </w:rPr>
            </w:pPr>
            <w:r>
              <w:rPr>
                <w:b/>
                <w:sz w:val="21"/>
              </w:rPr>
              <w:t>释义</w:t>
            </w:r>
          </w:p>
          <w:p>
            <w:pPr>
              <w:pStyle w:val="TableParagraph"/>
              <w:numPr>
                <w:ilvl w:val="1"/>
                <w:numId w:val="7"/>
              </w:numPr>
              <w:tabs>
                <w:tab w:pos="634" w:val="left" w:leader="none"/>
              </w:tabs>
              <w:spacing w:line="240" w:lineRule="auto" w:before="36" w:after="0"/>
              <w:ind w:left="633" w:right="0" w:hanging="420"/>
              <w:jc w:val="left"/>
              <w:rPr>
                <w:sz w:val="21"/>
              </w:rPr>
            </w:pPr>
            <w:r>
              <w:rPr>
                <w:spacing w:val="-3"/>
                <w:sz w:val="21"/>
              </w:rPr>
              <w:t>保险单年度</w:t>
            </w:r>
          </w:p>
          <w:p>
            <w:pPr>
              <w:pStyle w:val="TableParagraph"/>
              <w:numPr>
                <w:ilvl w:val="1"/>
                <w:numId w:val="7"/>
              </w:numPr>
              <w:tabs>
                <w:tab w:pos="584" w:val="left" w:leader="none"/>
              </w:tabs>
              <w:spacing w:line="240" w:lineRule="auto" w:before="36" w:after="0"/>
              <w:ind w:left="583" w:right="0" w:hanging="370"/>
              <w:jc w:val="left"/>
              <w:rPr>
                <w:sz w:val="21"/>
              </w:rPr>
            </w:pPr>
            <w:r>
              <w:rPr>
                <w:spacing w:val="-3"/>
                <w:sz w:val="21"/>
              </w:rPr>
              <w:t>保险费约定交纳日</w:t>
            </w:r>
          </w:p>
          <w:p>
            <w:pPr>
              <w:pStyle w:val="TableParagraph"/>
              <w:numPr>
                <w:ilvl w:val="1"/>
                <w:numId w:val="7"/>
              </w:numPr>
              <w:tabs>
                <w:tab w:pos="636" w:val="left" w:leader="none"/>
              </w:tabs>
              <w:spacing w:line="240" w:lineRule="auto" w:before="37" w:after="0"/>
              <w:ind w:left="635" w:right="0" w:hanging="422"/>
              <w:jc w:val="left"/>
              <w:rPr>
                <w:sz w:val="21"/>
              </w:rPr>
            </w:pPr>
            <w:r>
              <w:rPr>
                <w:spacing w:val="-3"/>
                <w:sz w:val="21"/>
              </w:rPr>
              <w:t>周岁</w:t>
            </w:r>
          </w:p>
          <w:p>
            <w:pPr>
              <w:pStyle w:val="TableParagraph"/>
              <w:numPr>
                <w:ilvl w:val="1"/>
                <w:numId w:val="7"/>
              </w:numPr>
              <w:tabs>
                <w:tab w:pos="636" w:val="left" w:leader="none"/>
              </w:tabs>
              <w:spacing w:line="240" w:lineRule="auto" w:before="37" w:after="0"/>
              <w:ind w:left="635" w:right="0" w:hanging="422"/>
              <w:jc w:val="left"/>
              <w:rPr>
                <w:sz w:val="21"/>
              </w:rPr>
            </w:pPr>
            <w:r>
              <w:rPr>
                <w:spacing w:val="-3"/>
                <w:sz w:val="21"/>
              </w:rPr>
              <w:t>有效身份证件</w:t>
            </w:r>
          </w:p>
          <w:p>
            <w:pPr>
              <w:pStyle w:val="TableParagraph"/>
              <w:numPr>
                <w:ilvl w:val="1"/>
                <w:numId w:val="7"/>
              </w:numPr>
              <w:tabs>
                <w:tab w:pos="636" w:val="left" w:leader="none"/>
              </w:tabs>
              <w:spacing w:line="240" w:lineRule="auto" w:before="37" w:after="0"/>
              <w:ind w:left="635" w:right="0" w:hanging="422"/>
              <w:jc w:val="left"/>
              <w:rPr>
                <w:sz w:val="21"/>
              </w:rPr>
            </w:pPr>
            <w:r>
              <w:rPr>
                <w:spacing w:val="-3"/>
                <w:sz w:val="21"/>
              </w:rPr>
              <w:t>意外伤害事故</w:t>
            </w:r>
          </w:p>
          <w:p>
            <w:pPr>
              <w:pStyle w:val="TableParagraph"/>
              <w:numPr>
                <w:ilvl w:val="1"/>
                <w:numId w:val="7"/>
              </w:numPr>
              <w:tabs>
                <w:tab w:pos="636" w:val="left" w:leader="none"/>
              </w:tabs>
              <w:spacing w:line="240" w:lineRule="auto" w:before="37" w:after="0"/>
              <w:ind w:left="635" w:right="0" w:hanging="422"/>
              <w:jc w:val="left"/>
              <w:rPr>
                <w:sz w:val="21"/>
              </w:rPr>
            </w:pPr>
            <w:r>
              <w:rPr>
                <w:spacing w:val="-3"/>
                <w:sz w:val="21"/>
              </w:rPr>
              <w:t>医院</w:t>
            </w:r>
          </w:p>
          <w:p>
            <w:pPr>
              <w:pStyle w:val="TableParagraph"/>
              <w:numPr>
                <w:ilvl w:val="1"/>
                <w:numId w:val="7"/>
              </w:numPr>
              <w:tabs>
                <w:tab w:pos="636" w:val="left" w:leader="none"/>
              </w:tabs>
              <w:spacing w:line="240" w:lineRule="auto" w:before="37" w:after="0"/>
              <w:ind w:left="635" w:right="0" w:hanging="422"/>
              <w:jc w:val="left"/>
              <w:rPr>
                <w:sz w:val="21"/>
              </w:rPr>
            </w:pPr>
            <w:r>
              <w:rPr>
                <w:spacing w:val="-3"/>
                <w:sz w:val="21"/>
              </w:rPr>
              <w:t>专科医生</w:t>
            </w:r>
          </w:p>
          <w:p>
            <w:pPr>
              <w:pStyle w:val="TableParagraph"/>
              <w:numPr>
                <w:ilvl w:val="1"/>
                <w:numId w:val="7"/>
              </w:numPr>
              <w:tabs>
                <w:tab w:pos="636" w:val="left" w:leader="none"/>
              </w:tabs>
              <w:spacing w:line="240" w:lineRule="auto" w:before="37" w:after="0"/>
              <w:ind w:left="635" w:right="0" w:hanging="422"/>
              <w:jc w:val="left"/>
              <w:rPr>
                <w:sz w:val="21"/>
              </w:rPr>
            </w:pPr>
            <w:r>
              <w:rPr>
                <w:spacing w:val="-3"/>
                <w:sz w:val="21"/>
              </w:rPr>
              <w:t>轻型疾病</w:t>
            </w:r>
          </w:p>
          <w:p>
            <w:pPr>
              <w:pStyle w:val="TableParagraph"/>
              <w:numPr>
                <w:ilvl w:val="1"/>
                <w:numId w:val="7"/>
              </w:numPr>
              <w:tabs>
                <w:tab w:pos="636" w:val="left" w:leader="none"/>
              </w:tabs>
              <w:spacing w:line="255" w:lineRule="exact" w:before="37" w:after="0"/>
              <w:ind w:left="635" w:right="0" w:hanging="422"/>
              <w:jc w:val="left"/>
              <w:rPr>
                <w:sz w:val="21"/>
              </w:rPr>
            </w:pPr>
            <w:r>
              <w:rPr>
                <w:spacing w:val="-3"/>
                <w:sz w:val="21"/>
              </w:rPr>
              <w:t>重大疾病</w:t>
            </w:r>
          </w:p>
        </w:tc>
        <w:tc>
          <w:tcPr>
            <w:tcW w:w="2588" w:type="dxa"/>
          </w:tcPr>
          <w:p>
            <w:pPr>
              <w:pStyle w:val="TableParagraph"/>
              <w:numPr>
                <w:ilvl w:val="1"/>
                <w:numId w:val="8"/>
              </w:numPr>
              <w:tabs>
                <w:tab w:pos="708" w:val="left" w:leader="none"/>
              </w:tabs>
              <w:spacing w:line="211" w:lineRule="exact" w:before="0" w:after="0"/>
              <w:ind w:left="181" w:right="0" w:firstLine="0"/>
              <w:jc w:val="left"/>
              <w:rPr>
                <w:sz w:val="21"/>
              </w:rPr>
            </w:pPr>
            <w:r>
              <w:rPr>
                <w:spacing w:val="-3"/>
                <w:sz w:val="21"/>
              </w:rPr>
              <w:t>无有效行驶证</w:t>
            </w:r>
          </w:p>
          <w:p>
            <w:pPr>
              <w:pStyle w:val="TableParagraph"/>
              <w:numPr>
                <w:ilvl w:val="1"/>
                <w:numId w:val="8"/>
              </w:numPr>
              <w:tabs>
                <w:tab w:pos="708" w:val="left" w:leader="none"/>
              </w:tabs>
              <w:spacing w:line="240" w:lineRule="auto" w:before="37" w:after="0"/>
              <w:ind w:left="181" w:right="0" w:firstLine="0"/>
              <w:jc w:val="left"/>
              <w:rPr>
                <w:sz w:val="21"/>
              </w:rPr>
            </w:pPr>
            <w:r>
              <w:rPr>
                <w:spacing w:val="-2"/>
                <w:sz w:val="21"/>
              </w:rPr>
              <w:t>机动车</w:t>
            </w:r>
          </w:p>
          <w:p>
            <w:pPr>
              <w:pStyle w:val="TableParagraph"/>
              <w:numPr>
                <w:ilvl w:val="1"/>
                <w:numId w:val="8"/>
              </w:numPr>
              <w:tabs>
                <w:tab w:pos="708" w:val="left" w:leader="none"/>
              </w:tabs>
              <w:spacing w:line="240" w:lineRule="auto" w:before="37" w:after="0"/>
              <w:ind w:left="181" w:right="0" w:firstLine="0"/>
              <w:jc w:val="left"/>
              <w:rPr>
                <w:sz w:val="21"/>
              </w:rPr>
            </w:pPr>
            <w:r>
              <w:rPr>
                <w:sz w:val="21"/>
              </w:rPr>
              <w:t>毒品</w:t>
            </w:r>
          </w:p>
          <w:p>
            <w:pPr>
              <w:pStyle w:val="TableParagraph"/>
              <w:numPr>
                <w:ilvl w:val="1"/>
                <w:numId w:val="8"/>
              </w:numPr>
              <w:tabs>
                <w:tab w:pos="708" w:val="left" w:leader="none"/>
              </w:tabs>
              <w:spacing w:line="240" w:lineRule="auto" w:before="37" w:after="0"/>
              <w:ind w:left="181" w:right="0" w:firstLine="0"/>
              <w:jc w:val="left"/>
              <w:rPr>
                <w:sz w:val="21"/>
              </w:rPr>
            </w:pPr>
            <w:r>
              <w:rPr>
                <w:spacing w:val="-3"/>
                <w:sz w:val="21"/>
              </w:rPr>
              <w:t>遗传性疾病</w:t>
            </w:r>
          </w:p>
          <w:p>
            <w:pPr>
              <w:pStyle w:val="TableParagraph"/>
              <w:numPr>
                <w:ilvl w:val="1"/>
                <w:numId w:val="8"/>
              </w:numPr>
              <w:tabs>
                <w:tab w:pos="708" w:val="left" w:leader="none"/>
              </w:tabs>
              <w:spacing w:line="273" w:lineRule="auto" w:before="37" w:after="0"/>
              <w:ind w:left="181" w:right="407" w:firstLine="0"/>
              <w:jc w:val="left"/>
              <w:rPr>
                <w:sz w:val="21"/>
              </w:rPr>
            </w:pPr>
            <w:r>
              <w:rPr>
                <w:spacing w:val="-3"/>
                <w:sz w:val="21"/>
              </w:rPr>
              <w:t>先天性畸形、变形或染色体异常</w:t>
            </w:r>
          </w:p>
          <w:p>
            <w:pPr>
              <w:pStyle w:val="TableParagraph"/>
              <w:numPr>
                <w:ilvl w:val="1"/>
                <w:numId w:val="8"/>
              </w:numPr>
              <w:tabs>
                <w:tab w:pos="708" w:val="left" w:leader="none"/>
              </w:tabs>
              <w:spacing w:line="273" w:lineRule="auto" w:before="8" w:after="0"/>
              <w:ind w:left="181" w:right="407" w:firstLine="0"/>
              <w:jc w:val="left"/>
              <w:rPr>
                <w:sz w:val="21"/>
              </w:rPr>
            </w:pPr>
            <w:r>
              <w:rPr>
                <w:spacing w:val="-3"/>
                <w:sz w:val="21"/>
              </w:rPr>
              <w:t>感染艾滋病病毒或患艾滋病</w:t>
            </w:r>
          </w:p>
          <w:p>
            <w:pPr>
              <w:pStyle w:val="TableParagraph"/>
              <w:numPr>
                <w:ilvl w:val="1"/>
                <w:numId w:val="8"/>
              </w:numPr>
              <w:tabs>
                <w:tab w:pos="708" w:val="left" w:leader="none"/>
              </w:tabs>
              <w:spacing w:line="240" w:lineRule="auto" w:before="7" w:after="0"/>
              <w:ind w:left="181" w:right="0" w:firstLine="0"/>
              <w:jc w:val="left"/>
              <w:rPr>
                <w:sz w:val="21"/>
              </w:rPr>
            </w:pPr>
            <w:r>
              <w:rPr>
                <w:spacing w:val="-2"/>
                <w:sz w:val="21"/>
              </w:rPr>
              <w:t>现金价值</w:t>
            </w:r>
          </w:p>
          <w:p>
            <w:pPr>
              <w:pStyle w:val="TableParagraph"/>
              <w:numPr>
                <w:ilvl w:val="1"/>
                <w:numId w:val="8"/>
              </w:numPr>
              <w:tabs>
                <w:tab w:pos="708" w:val="left" w:leader="none"/>
              </w:tabs>
              <w:spacing w:line="240" w:lineRule="auto" w:before="36" w:after="0"/>
              <w:ind w:left="181" w:right="0" w:firstLine="0"/>
              <w:jc w:val="left"/>
              <w:rPr>
                <w:sz w:val="21"/>
              </w:rPr>
            </w:pPr>
            <w:r>
              <w:rPr>
                <w:spacing w:val="-3"/>
                <w:sz w:val="21"/>
              </w:rPr>
              <w:t>永久不可逆</w:t>
            </w:r>
          </w:p>
          <w:p>
            <w:pPr>
              <w:pStyle w:val="TableParagraph"/>
              <w:numPr>
                <w:ilvl w:val="1"/>
                <w:numId w:val="8"/>
              </w:numPr>
              <w:tabs>
                <w:tab w:pos="708" w:val="left" w:leader="none"/>
              </w:tabs>
              <w:spacing w:line="273" w:lineRule="auto" w:before="36" w:after="0"/>
              <w:ind w:left="181" w:right="196" w:firstLine="0"/>
              <w:jc w:val="left"/>
              <w:rPr>
                <w:sz w:val="21"/>
              </w:rPr>
            </w:pPr>
            <w:r>
              <w:rPr>
                <w:spacing w:val="-3"/>
                <w:sz w:val="21"/>
              </w:rPr>
              <w:t>六项基本日常生活活动</w:t>
            </w:r>
          </w:p>
          <w:p>
            <w:pPr>
              <w:pStyle w:val="TableParagraph"/>
              <w:numPr>
                <w:ilvl w:val="1"/>
                <w:numId w:val="8"/>
              </w:numPr>
              <w:tabs>
                <w:tab w:pos="708" w:val="left" w:leader="none"/>
              </w:tabs>
              <w:spacing w:line="255" w:lineRule="exact" w:before="7" w:after="0"/>
              <w:ind w:left="181" w:right="0" w:firstLine="0"/>
              <w:jc w:val="left"/>
              <w:rPr>
                <w:sz w:val="21"/>
              </w:rPr>
            </w:pPr>
            <w:r>
              <w:rPr>
                <w:spacing w:val="-3"/>
                <w:sz w:val="21"/>
              </w:rPr>
              <w:t>肢体机能完全丧失</w:t>
            </w:r>
          </w:p>
        </w:tc>
      </w:tr>
    </w:tbl>
    <w:p>
      <w:pPr>
        <w:spacing w:after="0" w:line="255" w:lineRule="exact"/>
        <w:jc w:val="left"/>
        <w:rPr>
          <w:sz w:val="21"/>
        </w:rPr>
        <w:sectPr>
          <w:footerReference w:type="default" r:id="rId5"/>
          <w:type w:val="continuous"/>
          <w:pgSz w:w="11910" w:h="16840"/>
          <w:pgMar w:footer="925" w:top="1580" w:bottom="1120" w:left="880" w:right="800"/>
          <w:pgNumType w:start="1"/>
        </w:sectPr>
      </w:pPr>
    </w:p>
    <w:p>
      <w:pPr>
        <w:pStyle w:val="BodyText"/>
        <w:spacing w:before="7" w:after="1"/>
        <w:ind w:left="0"/>
        <w:rPr>
          <w:rFonts w:ascii="Times New Roman"/>
          <w:sz w:val="9"/>
        </w:rPr>
      </w:pPr>
      <w:r>
        <w:rPr/>
        <w:drawing>
          <wp:anchor distT="0" distB="0" distL="0" distR="0" allowOverlap="1" layoutInCell="1" locked="0" behindDoc="1" simplePos="0" relativeHeight="268408439">
            <wp:simplePos x="0" y="0"/>
            <wp:positionH relativeFrom="page">
              <wp:posOffset>630936</wp:posOffset>
            </wp:positionH>
            <wp:positionV relativeFrom="page">
              <wp:posOffset>900683</wp:posOffset>
            </wp:positionV>
            <wp:extent cx="6104698" cy="124005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104698" cy="1240059"/>
                    </a:xfrm>
                    <a:prstGeom prst="rect">
                      <a:avLst/>
                    </a:prstGeom>
                  </pic:spPr>
                </pic:pic>
              </a:graphicData>
            </a:graphic>
          </wp:anchor>
        </w:drawing>
      </w: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2462"/>
        <w:gridCol w:w="2462"/>
        <w:gridCol w:w="2403"/>
      </w:tblGrid>
      <w:tr>
        <w:trPr>
          <w:trHeight w:val="1147" w:hRule="atLeast"/>
        </w:trPr>
        <w:tc>
          <w:tcPr>
            <w:tcW w:w="2300" w:type="dxa"/>
          </w:tcPr>
          <w:p>
            <w:pPr>
              <w:pStyle w:val="TableParagraph"/>
              <w:numPr>
                <w:ilvl w:val="0"/>
                <w:numId w:val="9"/>
              </w:numPr>
              <w:tabs>
                <w:tab w:pos="517" w:val="left" w:leader="none"/>
              </w:tabs>
              <w:spacing w:line="211" w:lineRule="exact" w:before="0" w:after="0"/>
              <w:ind w:left="516" w:right="0" w:hanging="316"/>
              <w:jc w:val="left"/>
              <w:rPr>
                <w:b/>
                <w:sz w:val="21"/>
              </w:rPr>
            </w:pPr>
            <w:r>
              <w:rPr>
                <w:b/>
                <w:sz w:val="21"/>
              </w:rPr>
              <w:t>保险金的申请</w:t>
            </w:r>
          </w:p>
          <w:p>
            <w:pPr>
              <w:pStyle w:val="TableParagraph"/>
              <w:numPr>
                <w:ilvl w:val="1"/>
                <w:numId w:val="9"/>
              </w:numPr>
              <w:tabs>
                <w:tab w:pos="726" w:val="left" w:leader="none"/>
              </w:tabs>
              <w:spacing w:line="240" w:lineRule="auto" w:before="37" w:after="0"/>
              <w:ind w:left="725" w:right="0" w:hanging="420"/>
              <w:jc w:val="left"/>
              <w:rPr>
                <w:sz w:val="21"/>
              </w:rPr>
            </w:pPr>
            <w:r>
              <w:rPr>
                <w:spacing w:val="-2"/>
                <w:sz w:val="21"/>
              </w:rPr>
              <w:t>受益人</w:t>
            </w:r>
          </w:p>
          <w:p>
            <w:pPr>
              <w:pStyle w:val="TableParagraph"/>
              <w:numPr>
                <w:ilvl w:val="1"/>
                <w:numId w:val="9"/>
              </w:numPr>
              <w:tabs>
                <w:tab w:pos="728" w:val="left" w:leader="none"/>
              </w:tabs>
              <w:spacing w:line="240" w:lineRule="auto" w:before="36" w:after="0"/>
              <w:ind w:left="728" w:right="0" w:hanging="423"/>
              <w:jc w:val="left"/>
              <w:rPr>
                <w:sz w:val="21"/>
              </w:rPr>
            </w:pPr>
            <w:r>
              <w:rPr>
                <w:spacing w:val="-3"/>
                <w:sz w:val="21"/>
              </w:rPr>
              <w:t>保险事故通知</w:t>
            </w:r>
          </w:p>
          <w:p>
            <w:pPr>
              <w:pStyle w:val="TableParagraph"/>
              <w:numPr>
                <w:ilvl w:val="1"/>
                <w:numId w:val="9"/>
              </w:numPr>
              <w:tabs>
                <w:tab w:pos="728" w:val="left" w:leader="none"/>
              </w:tabs>
              <w:spacing w:line="255" w:lineRule="exact" w:before="36" w:after="0"/>
              <w:ind w:left="728" w:right="0" w:hanging="423"/>
              <w:jc w:val="left"/>
              <w:rPr>
                <w:sz w:val="21"/>
              </w:rPr>
            </w:pPr>
            <w:r>
              <w:rPr>
                <w:spacing w:val="-3"/>
                <w:sz w:val="21"/>
              </w:rPr>
              <w:t>保险金申请</w:t>
            </w:r>
          </w:p>
        </w:tc>
        <w:tc>
          <w:tcPr>
            <w:tcW w:w="2462" w:type="dxa"/>
          </w:tcPr>
          <w:p>
            <w:pPr>
              <w:pStyle w:val="TableParagraph"/>
              <w:numPr>
                <w:ilvl w:val="1"/>
                <w:numId w:val="10"/>
              </w:numPr>
              <w:tabs>
                <w:tab w:pos="683" w:val="left" w:leader="none"/>
              </w:tabs>
              <w:spacing w:line="211" w:lineRule="exact" w:before="0" w:after="0"/>
              <w:ind w:left="682" w:right="0" w:hanging="370"/>
              <w:jc w:val="left"/>
              <w:rPr>
                <w:sz w:val="21"/>
              </w:rPr>
            </w:pPr>
            <w:r>
              <w:rPr>
                <w:spacing w:val="-3"/>
                <w:sz w:val="21"/>
              </w:rPr>
              <w:t>年龄或性别错误</w:t>
            </w:r>
          </w:p>
          <w:p>
            <w:pPr>
              <w:pStyle w:val="TableParagraph"/>
              <w:numPr>
                <w:ilvl w:val="1"/>
                <w:numId w:val="10"/>
              </w:numPr>
              <w:tabs>
                <w:tab w:pos="735" w:val="left" w:leader="none"/>
              </w:tabs>
              <w:spacing w:line="240" w:lineRule="auto" w:before="37" w:after="0"/>
              <w:ind w:left="734" w:right="0" w:hanging="422"/>
              <w:jc w:val="left"/>
              <w:rPr>
                <w:sz w:val="21"/>
              </w:rPr>
            </w:pPr>
            <w:r>
              <w:rPr>
                <w:spacing w:val="-3"/>
                <w:sz w:val="21"/>
              </w:rPr>
              <w:t>合同内容变更</w:t>
            </w:r>
          </w:p>
          <w:p>
            <w:pPr>
              <w:pStyle w:val="TableParagraph"/>
              <w:numPr>
                <w:ilvl w:val="1"/>
                <w:numId w:val="10"/>
              </w:numPr>
              <w:tabs>
                <w:tab w:pos="733" w:val="left" w:leader="none"/>
              </w:tabs>
              <w:spacing w:line="240" w:lineRule="auto" w:before="36" w:after="0"/>
              <w:ind w:left="732" w:right="0" w:hanging="420"/>
              <w:jc w:val="left"/>
              <w:rPr>
                <w:sz w:val="21"/>
              </w:rPr>
            </w:pPr>
            <w:r>
              <w:rPr>
                <w:spacing w:val="-3"/>
                <w:sz w:val="21"/>
              </w:rPr>
              <w:t>地址变更的通知</w:t>
            </w:r>
          </w:p>
        </w:tc>
        <w:tc>
          <w:tcPr>
            <w:tcW w:w="2462" w:type="dxa"/>
          </w:tcPr>
          <w:p>
            <w:pPr>
              <w:pStyle w:val="TableParagraph"/>
              <w:numPr>
                <w:ilvl w:val="1"/>
                <w:numId w:val="11"/>
              </w:numPr>
              <w:tabs>
                <w:tab w:pos="787" w:val="left" w:leader="none"/>
              </w:tabs>
              <w:spacing w:line="211" w:lineRule="exact" w:before="0" w:after="0"/>
              <w:ind w:left="260" w:right="0" w:firstLine="0"/>
              <w:jc w:val="left"/>
              <w:rPr>
                <w:sz w:val="21"/>
              </w:rPr>
            </w:pPr>
            <w:r>
              <w:rPr>
                <w:spacing w:val="-2"/>
                <w:sz w:val="21"/>
              </w:rPr>
              <w:t>特定疾病</w:t>
            </w:r>
          </w:p>
          <w:p>
            <w:pPr>
              <w:pStyle w:val="TableParagraph"/>
              <w:numPr>
                <w:ilvl w:val="1"/>
                <w:numId w:val="11"/>
              </w:numPr>
              <w:tabs>
                <w:tab w:pos="787" w:val="left" w:leader="none"/>
              </w:tabs>
              <w:spacing w:line="240" w:lineRule="auto" w:before="37" w:after="0"/>
              <w:ind w:left="260" w:right="0" w:firstLine="0"/>
              <w:jc w:val="left"/>
              <w:rPr>
                <w:sz w:val="21"/>
              </w:rPr>
            </w:pPr>
            <w:r>
              <w:rPr>
                <w:spacing w:val="-2"/>
                <w:sz w:val="21"/>
              </w:rPr>
              <w:t>酒后驾驶</w:t>
            </w:r>
          </w:p>
          <w:p>
            <w:pPr>
              <w:pStyle w:val="TableParagraph"/>
              <w:numPr>
                <w:ilvl w:val="1"/>
                <w:numId w:val="11"/>
              </w:numPr>
              <w:tabs>
                <w:tab w:pos="787" w:val="left" w:leader="none"/>
              </w:tabs>
              <w:spacing w:line="310" w:lineRule="atLeast" w:before="1" w:after="0"/>
              <w:ind w:left="260" w:right="202" w:firstLine="0"/>
              <w:jc w:val="left"/>
              <w:rPr>
                <w:sz w:val="21"/>
              </w:rPr>
            </w:pPr>
            <w:r>
              <w:rPr>
                <w:spacing w:val="-3"/>
                <w:sz w:val="21"/>
              </w:rPr>
              <w:t>无合法有效驾驶证驾驶</w:t>
            </w:r>
          </w:p>
        </w:tc>
        <w:tc>
          <w:tcPr>
            <w:tcW w:w="2403" w:type="dxa"/>
          </w:tcPr>
          <w:p>
            <w:pPr>
              <w:pStyle w:val="TableParagraph"/>
              <w:numPr>
                <w:ilvl w:val="1"/>
                <w:numId w:val="12"/>
              </w:numPr>
              <w:tabs>
                <w:tab w:pos="735" w:val="left" w:leader="none"/>
              </w:tabs>
              <w:spacing w:line="211" w:lineRule="exact" w:before="0" w:after="0"/>
              <w:ind w:left="734" w:right="0" w:hanging="526"/>
              <w:jc w:val="left"/>
              <w:rPr>
                <w:sz w:val="21"/>
              </w:rPr>
            </w:pPr>
            <w:r>
              <w:rPr>
                <w:spacing w:val="-3"/>
                <w:sz w:val="21"/>
              </w:rPr>
              <w:t>语言能力或咀嚼</w:t>
            </w:r>
          </w:p>
          <w:p>
            <w:pPr>
              <w:pStyle w:val="TableParagraph"/>
              <w:spacing w:before="37"/>
              <w:ind w:left="208"/>
              <w:rPr>
                <w:sz w:val="21"/>
              </w:rPr>
            </w:pPr>
            <w:r>
              <w:rPr>
                <w:sz w:val="21"/>
              </w:rPr>
              <w:t>吞咽能力完全丧失</w:t>
            </w:r>
          </w:p>
          <w:p>
            <w:pPr>
              <w:pStyle w:val="TableParagraph"/>
              <w:numPr>
                <w:ilvl w:val="1"/>
                <w:numId w:val="12"/>
              </w:numPr>
              <w:tabs>
                <w:tab w:pos="735" w:val="left" w:leader="none"/>
              </w:tabs>
              <w:spacing w:line="240" w:lineRule="auto" w:before="36" w:after="0"/>
              <w:ind w:left="734" w:right="0" w:hanging="526"/>
              <w:jc w:val="left"/>
              <w:rPr>
                <w:sz w:val="21"/>
              </w:rPr>
            </w:pPr>
            <w:r>
              <w:rPr>
                <w:spacing w:val="-3"/>
                <w:sz w:val="21"/>
              </w:rPr>
              <w:t>未到期保险费</w:t>
            </w:r>
          </w:p>
        </w:tc>
      </w:tr>
    </w:tbl>
    <w:p>
      <w:pPr>
        <w:spacing w:after="0" w:line="240" w:lineRule="auto"/>
        <w:jc w:val="left"/>
        <w:rPr>
          <w:sz w:val="21"/>
        </w:rPr>
        <w:sectPr>
          <w:pgSz w:w="11910" w:h="16840"/>
          <w:pgMar w:header="0" w:footer="925" w:top="1400" w:bottom="1120" w:left="880" w:right="1000"/>
        </w:sectPr>
      </w:pPr>
    </w:p>
    <w:p>
      <w:pPr>
        <w:pStyle w:val="Heading1"/>
        <w:spacing w:line="483" w:lineRule="exact"/>
        <w:ind w:left="3017"/>
      </w:pPr>
      <w:r>
        <w:rPr/>
        <w:t>华泰人寿保险股份有限公司</w:t>
      </w:r>
    </w:p>
    <w:p>
      <w:pPr>
        <w:spacing w:before="148"/>
        <w:ind w:left="2856" w:right="0" w:firstLine="0"/>
        <w:jc w:val="left"/>
        <w:rPr>
          <w:rFonts w:ascii="微软雅黑" w:eastAsia="微软雅黑" w:hint="eastAsia"/>
          <w:b/>
          <w:sz w:val="32"/>
        </w:rPr>
      </w:pPr>
      <w:r>
        <w:rPr>
          <w:rFonts w:ascii="微软雅黑" w:eastAsia="微软雅黑" w:hint="eastAsia"/>
          <w:b/>
          <w:sz w:val="32"/>
        </w:rPr>
        <w:t>金麒麟少儿重大疾病保险条款</w:t>
      </w:r>
    </w:p>
    <w:p>
      <w:pPr>
        <w:pStyle w:val="BodyText"/>
        <w:spacing w:before="5"/>
        <w:ind w:left="0"/>
        <w:rPr>
          <w:rFonts w:ascii="微软雅黑"/>
          <w:b/>
          <w:sz w:val="33"/>
        </w:rPr>
      </w:pPr>
    </w:p>
    <w:p>
      <w:pPr>
        <w:pStyle w:val="BodyText"/>
        <w:spacing w:line="273" w:lineRule="auto"/>
        <w:ind w:left="212" w:right="215"/>
        <w:jc w:val="both"/>
      </w:pPr>
      <w:r>
        <w:rPr/>
        <w:t>在本条款中，“您”指投保人，“我们”、“本公司”均指在保险单上签章的华泰人寿保险股份有限公司，“本合同”指您与我们之间订立的“金麒麟少儿重大疾病保险合同”，“被保险人”指本合同的被保险人，投保人、被保险人的姓名在保险单上载明。</w:t>
      </w:r>
    </w:p>
    <w:p>
      <w:pPr>
        <w:pStyle w:val="BodyText"/>
        <w:ind w:left="0"/>
        <w:rPr>
          <w:sz w:val="20"/>
        </w:rPr>
      </w:pPr>
    </w:p>
    <w:p>
      <w:pPr>
        <w:pStyle w:val="BodyText"/>
        <w:spacing w:before="8"/>
        <w:ind w:left="0"/>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27"/>
        <w:gridCol w:w="7379"/>
      </w:tblGrid>
      <w:tr>
        <w:trPr>
          <w:trHeight w:val="484" w:hRule="atLeast"/>
        </w:trPr>
        <w:tc>
          <w:tcPr>
            <w:tcW w:w="662" w:type="dxa"/>
            <w:tcBorders>
              <w:bottom w:val="single" w:sz="8" w:space="0" w:color="000000"/>
            </w:tcBorders>
          </w:tcPr>
          <w:p>
            <w:pPr>
              <w:pStyle w:val="TableParagraph"/>
              <w:spacing w:line="240" w:lineRule="exact"/>
              <w:ind w:left="107"/>
              <w:rPr>
                <w:b/>
                <w:sz w:val="24"/>
              </w:rPr>
            </w:pPr>
            <w:r>
              <w:rPr>
                <w:b/>
                <w:sz w:val="24"/>
              </w:rPr>
              <w:t>1.</w:t>
            </w:r>
          </w:p>
        </w:tc>
        <w:tc>
          <w:tcPr>
            <w:tcW w:w="9006" w:type="dxa"/>
            <w:gridSpan w:val="2"/>
            <w:tcBorders>
              <w:bottom w:val="single" w:sz="8" w:space="0" w:color="000000"/>
            </w:tcBorders>
          </w:tcPr>
          <w:p>
            <w:pPr>
              <w:pStyle w:val="TableParagraph"/>
              <w:spacing w:line="240" w:lineRule="exact"/>
              <w:ind w:left="236"/>
              <w:rPr>
                <w:b/>
                <w:sz w:val="24"/>
              </w:rPr>
            </w:pPr>
            <w:r>
              <w:rPr>
                <w:b/>
                <w:w w:val="95"/>
                <w:sz w:val="24"/>
              </w:rPr>
              <w:t>您与我们订立的合同</w:t>
            </w:r>
          </w:p>
        </w:tc>
      </w:tr>
      <w:tr>
        <w:trPr>
          <w:trHeight w:val="1688" w:hRule="atLeast"/>
        </w:trPr>
        <w:tc>
          <w:tcPr>
            <w:tcW w:w="662" w:type="dxa"/>
            <w:tcBorders>
              <w:top w:val="single" w:sz="8" w:space="0" w:color="000000"/>
            </w:tcBorders>
          </w:tcPr>
          <w:p>
            <w:pPr>
              <w:pStyle w:val="TableParagraph"/>
              <w:spacing w:before="136"/>
              <w:ind w:left="107"/>
              <w:rPr>
                <w:b/>
                <w:sz w:val="21"/>
              </w:rPr>
            </w:pPr>
            <w:r>
              <w:rPr>
                <w:b/>
                <w:sz w:val="21"/>
              </w:rPr>
              <w:t>1.1</w:t>
            </w:r>
          </w:p>
        </w:tc>
        <w:tc>
          <w:tcPr>
            <w:tcW w:w="1627" w:type="dxa"/>
            <w:tcBorders>
              <w:top w:val="single" w:sz="8" w:space="0" w:color="000000"/>
            </w:tcBorders>
          </w:tcPr>
          <w:p>
            <w:pPr>
              <w:pStyle w:val="TableParagraph"/>
              <w:spacing w:before="136"/>
              <w:ind w:left="236"/>
              <w:rPr>
                <w:b/>
                <w:sz w:val="21"/>
              </w:rPr>
            </w:pPr>
            <w:r>
              <w:rPr>
                <w:b/>
                <w:sz w:val="21"/>
              </w:rPr>
              <w:t>合同构成</w:t>
            </w:r>
          </w:p>
        </w:tc>
        <w:tc>
          <w:tcPr>
            <w:tcW w:w="7379" w:type="dxa"/>
            <w:tcBorders>
              <w:top w:val="single" w:sz="8" w:space="0" w:color="000000"/>
            </w:tcBorders>
          </w:tcPr>
          <w:p>
            <w:pPr>
              <w:pStyle w:val="TableParagraph"/>
              <w:spacing w:line="273" w:lineRule="auto" w:before="136"/>
              <w:ind w:left="123" w:right="-15"/>
              <w:rPr>
                <w:sz w:val="21"/>
              </w:rPr>
            </w:pPr>
            <w:r>
              <w:rPr>
                <w:spacing w:val="-3"/>
                <w:sz w:val="21"/>
              </w:rPr>
              <w:t>本合同是您与我们约定保险权利义务关系的协议，包括本保险条款、保险单或</w:t>
            </w:r>
            <w:r>
              <w:rPr>
                <w:spacing w:val="-11"/>
                <w:sz w:val="21"/>
              </w:rPr>
              <w:t>其他保险凭证、投保单、与保险合同有关的投保文件、合法有效的声明、批注、</w:t>
            </w:r>
            <w:r>
              <w:rPr>
                <w:spacing w:val="-6"/>
                <w:sz w:val="21"/>
              </w:rPr>
              <w:t>批单及其他约定您和我们之间权利义务关系的书面文件。</w:t>
            </w:r>
          </w:p>
          <w:p>
            <w:pPr>
              <w:pStyle w:val="TableParagraph"/>
              <w:spacing w:before="164"/>
              <w:ind w:left="123"/>
              <w:rPr>
                <w:sz w:val="21"/>
              </w:rPr>
            </w:pPr>
            <w:r>
              <w:rPr>
                <w:sz w:val="21"/>
              </w:rPr>
              <w:t>阅读指引和条款目录仅供辅助理解使用，不构成保险合同的组成部分。</w:t>
            </w:r>
          </w:p>
        </w:tc>
      </w:tr>
      <w:tr>
        <w:trPr>
          <w:trHeight w:val="1457" w:hRule="atLeast"/>
        </w:trPr>
        <w:tc>
          <w:tcPr>
            <w:tcW w:w="662" w:type="dxa"/>
          </w:tcPr>
          <w:p>
            <w:pPr>
              <w:pStyle w:val="TableParagraph"/>
              <w:spacing w:before="121"/>
              <w:ind w:left="107"/>
              <w:rPr>
                <w:b/>
                <w:sz w:val="21"/>
              </w:rPr>
            </w:pPr>
            <w:r>
              <w:rPr>
                <w:b/>
                <w:sz w:val="21"/>
              </w:rPr>
              <w:t>1.2</w:t>
            </w:r>
          </w:p>
        </w:tc>
        <w:tc>
          <w:tcPr>
            <w:tcW w:w="1627" w:type="dxa"/>
          </w:tcPr>
          <w:p>
            <w:pPr>
              <w:pStyle w:val="TableParagraph"/>
              <w:spacing w:line="273" w:lineRule="auto" w:before="121"/>
              <w:ind w:left="236" w:right="121"/>
              <w:rPr>
                <w:b/>
                <w:sz w:val="21"/>
              </w:rPr>
            </w:pPr>
            <w:r>
              <w:rPr>
                <w:b/>
                <w:sz w:val="21"/>
              </w:rPr>
              <w:t>合同成立及生效</w:t>
            </w:r>
          </w:p>
        </w:tc>
        <w:tc>
          <w:tcPr>
            <w:tcW w:w="7379" w:type="dxa"/>
          </w:tcPr>
          <w:p>
            <w:pPr>
              <w:pStyle w:val="TableParagraph"/>
              <w:spacing w:before="121"/>
              <w:ind w:left="123"/>
              <w:rPr>
                <w:sz w:val="21"/>
              </w:rPr>
            </w:pPr>
            <w:r>
              <w:rPr>
                <w:sz w:val="21"/>
              </w:rPr>
              <w:t>您向我们提出保险申请，我们同意承保，本合同成立。</w:t>
            </w:r>
          </w:p>
          <w:p>
            <w:pPr>
              <w:pStyle w:val="TableParagraph"/>
              <w:spacing w:before="9"/>
              <w:rPr>
                <w:sz w:val="14"/>
              </w:rPr>
            </w:pPr>
          </w:p>
          <w:p>
            <w:pPr>
              <w:pStyle w:val="TableParagraph"/>
              <w:spacing w:line="273" w:lineRule="auto" w:before="1"/>
              <w:ind w:left="123" w:right="107"/>
              <w:rPr>
                <w:sz w:val="21"/>
              </w:rPr>
            </w:pPr>
            <w:r>
              <w:rPr>
                <w:spacing w:val="-4"/>
                <w:w w:val="100"/>
                <w:sz w:val="21"/>
              </w:rPr>
              <w:t>本合同的生效日期以保险单记载的日期为准。</w:t>
            </w:r>
            <w:r>
              <w:rPr>
                <w:b/>
                <w:spacing w:val="-6"/>
                <w:w w:val="100"/>
                <w:sz w:val="21"/>
              </w:rPr>
              <w:t>保险单年度</w:t>
            </w:r>
            <w:r>
              <w:rPr>
                <w:w w:val="100"/>
                <w:sz w:val="21"/>
              </w:rPr>
              <w:t>（见</w:t>
            </w:r>
            <w:r>
              <w:rPr>
                <w:spacing w:val="-54"/>
                <w:sz w:val="21"/>
              </w:rPr>
              <w:t> </w:t>
            </w:r>
            <w:r>
              <w:rPr>
                <w:w w:val="100"/>
                <w:sz w:val="21"/>
              </w:rPr>
              <w:t>8.1</w:t>
            </w:r>
            <w:r>
              <w:rPr>
                <w:spacing w:val="-108"/>
                <w:w w:val="100"/>
                <w:sz w:val="21"/>
              </w:rPr>
              <w:t>）</w:t>
            </w:r>
            <w:r>
              <w:rPr>
                <w:spacing w:val="-22"/>
                <w:w w:val="100"/>
                <w:sz w:val="21"/>
              </w:rPr>
              <w:t>、</w:t>
            </w:r>
            <w:r>
              <w:rPr>
                <w:b/>
                <w:w w:val="100"/>
                <w:sz w:val="21"/>
              </w:rPr>
              <w:t>保险费约</w:t>
            </w:r>
            <w:r>
              <w:rPr>
                <w:b/>
                <w:sz w:val="21"/>
              </w:rPr>
              <w:t>定交纳日</w:t>
            </w:r>
            <w:r>
              <w:rPr>
                <w:spacing w:val="-3"/>
                <w:sz w:val="21"/>
              </w:rPr>
              <w:t>（</w:t>
            </w:r>
            <w:r>
              <w:rPr>
                <w:spacing w:val="-15"/>
                <w:sz w:val="21"/>
              </w:rPr>
              <w:t>见 </w:t>
            </w:r>
            <w:r>
              <w:rPr>
                <w:sz w:val="21"/>
              </w:rPr>
              <w:t>8.2）</w:t>
            </w:r>
            <w:r>
              <w:rPr>
                <w:spacing w:val="-3"/>
                <w:sz w:val="21"/>
              </w:rPr>
              <w:t>均以本合同的生效日期为基础计算。</w:t>
            </w:r>
          </w:p>
        </w:tc>
      </w:tr>
      <w:tr>
        <w:trPr>
          <w:trHeight w:val="1323" w:hRule="atLeast"/>
        </w:trPr>
        <w:tc>
          <w:tcPr>
            <w:tcW w:w="662" w:type="dxa"/>
          </w:tcPr>
          <w:p>
            <w:pPr>
              <w:pStyle w:val="TableParagraph"/>
              <w:spacing w:before="8"/>
              <w:rPr>
                <w:sz w:val="16"/>
              </w:rPr>
            </w:pPr>
          </w:p>
          <w:p>
            <w:pPr>
              <w:pStyle w:val="TableParagraph"/>
              <w:spacing w:before="1"/>
              <w:ind w:left="107"/>
              <w:rPr>
                <w:b/>
                <w:sz w:val="21"/>
              </w:rPr>
            </w:pPr>
            <w:r>
              <w:rPr>
                <w:b/>
                <w:sz w:val="21"/>
              </w:rPr>
              <w:t>1.3</w:t>
            </w:r>
          </w:p>
        </w:tc>
        <w:tc>
          <w:tcPr>
            <w:tcW w:w="1627" w:type="dxa"/>
          </w:tcPr>
          <w:p>
            <w:pPr>
              <w:pStyle w:val="TableParagraph"/>
              <w:spacing w:before="8"/>
              <w:rPr>
                <w:sz w:val="16"/>
              </w:rPr>
            </w:pPr>
          </w:p>
          <w:p>
            <w:pPr>
              <w:pStyle w:val="TableParagraph"/>
              <w:spacing w:line="273" w:lineRule="auto" w:before="1"/>
              <w:ind w:left="236" w:right="121"/>
              <w:rPr>
                <w:b/>
                <w:sz w:val="21"/>
              </w:rPr>
            </w:pPr>
            <w:r>
              <w:rPr>
                <w:b/>
                <w:sz w:val="21"/>
              </w:rPr>
              <w:t>投保年龄和续保年龄</w:t>
            </w:r>
          </w:p>
        </w:tc>
        <w:tc>
          <w:tcPr>
            <w:tcW w:w="7379" w:type="dxa"/>
          </w:tcPr>
          <w:p>
            <w:pPr>
              <w:pStyle w:val="TableParagraph"/>
              <w:spacing w:before="8"/>
              <w:rPr>
                <w:sz w:val="16"/>
              </w:rPr>
            </w:pPr>
          </w:p>
          <w:p>
            <w:pPr>
              <w:pStyle w:val="TableParagraph"/>
              <w:spacing w:line="273" w:lineRule="auto" w:before="1"/>
              <w:ind w:left="123" w:right="1"/>
              <w:rPr>
                <w:sz w:val="21"/>
              </w:rPr>
            </w:pPr>
            <w:r>
              <w:rPr>
                <w:spacing w:val="-4"/>
                <w:sz w:val="21"/>
              </w:rPr>
              <w:t>指投保和续保时被保险人的年龄，投保年龄和续保年龄以</w:t>
            </w:r>
            <w:r>
              <w:rPr>
                <w:b/>
                <w:spacing w:val="-9"/>
                <w:sz w:val="21"/>
              </w:rPr>
              <w:t>周岁</w:t>
            </w:r>
            <w:r>
              <w:rPr>
                <w:spacing w:val="-3"/>
                <w:sz w:val="21"/>
              </w:rPr>
              <w:t>（</w:t>
            </w:r>
            <w:r>
              <w:rPr>
                <w:spacing w:val="-13"/>
                <w:sz w:val="21"/>
              </w:rPr>
              <w:t>见 </w:t>
            </w:r>
            <w:r>
              <w:rPr>
                <w:spacing w:val="-6"/>
                <w:sz w:val="21"/>
              </w:rPr>
              <w:t>8.3）</w:t>
            </w:r>
            <w:r>
              <w:rPr>
                <w:spacing w:val="-2"/>
                <w:sz w:val="21"/>
              </w:rPr>
              <w:t>计算， </w:t>
            </w:r>
            <w:r>
              <w:rPr>
                <w:spacing w:val="-6"/>
                <w:sz w:val="21"/>
              </w:rPr>
              <w:t>投保本合同时被保险人的年龄须为 </w:t>
            </w:r>
            <w:r>
              <w:rPr>
                <w:sz w:val="21"/>
              </w:rPr>
              <w:t>0</w:t>
            </w:r>
            <w:r>
              <w:rPr>
                <w:spacing w:val="-18"/>
                <w:sz w:val="21"/>
              </w:rPr>
              <w:t> 周岁</w:t>
            </w:r>
            <w:r>
              <w:rPr>
                <w:sz w:val="21"/>
              </w:rPr>
              <w:t>（</w:t>
            </w:r>
            <w:r>
              <w:rPr>
                <w:spacing w:val="-14"/>
                <w:sz w:val="21"/>
              </w:rPr>
              <w:t>出生满 </w:t>
            </w:r>
            <w:r>
              <w:rPr>
                <w:sz w:val="21"/>
              </w:rPr>
              <w:t>28</w:t>
            </w:r>
            <w:r>
              <w:rPr>
                <w:spacing w:val="-25"/>
                <w:sz w:val="21"/>
              </w:rPr>
              <w:t> 天</w:t>
            </w:r>
            <w:r>
              <w:rPr>
                <w:sz w:val="21"/>
              </w:rPr>
              <w:t>）</w:t>
            </w:r>
            <w:r>
              <w:rPr>
                <w:spacing w:val="-24"/>
                <w:sz w:val="21"/>
              </w:rPr>
              <w:t>至 </w:t>
            </w:r>
            <w:r>
              <w:rPr>
                <w:sz w:val="21"/>
              </w:rPr>
              <w:t>17</w:t>
            </w:r>
            <w:r>
              <w:rPr>
                <w:spacing w:val="-10"/>
                <w:sz w:val="21"/>
              </w:rPr>
              <w:t> 周岁；续保本</w:t>
            </w:r>
          </w:p>
          <w:p>
            <w:pPr>
              <w:pStyle w:val="TableParagraph"/>
              <w:spacing w:before="8"/>
              <w:ind w:left="123"/>
              <w:rPr>
                <w:sz w:val="21"/>
              </w:rPr>
            </w:pPr>
            <w:r>
              <w:rPr>
                <w:sz w:val="21"/>
              </w:rPr>
              <w:t>合同时被保险人的年龄须为 1 周岁至 25 周岁。</w:t>
            </w:r>
          </w:p>
        </w:tc>
      </w:tr>
      <w:tr>
        <w:trPr>
          <w:trHeight w:val="2801" w:hRule="atLeast"/>
        </w:trPr>
        <w:tc>
          <w:tcPr>
            <w:tcW w:w="662" w:type="dxa"/>
          </w:tcPr>
          <w:p>
            <w:pPr>
              <w:pStyle w:val="TableParagraph"/>
              <w:spacing w:before="143"/>
              <w:ind w:left="107"/>
              <w:rPr>
                <w:b/>
                <w:sz w:val="21"/>
              </w:rPr>
            </w:pPr>
            <w:r>
              <w:rPr>
                <w:b/>
                <w:sz w:val="21"/>
              </w:rPr>
              <w:t>1.4</w:t>
            </w:r>
          </w:p>
        </w:tc>
        <w:tc>
          <w:tcPr>
            <w:tcW w:w="1627" w:type="dxa"/>
          </w:tcPr>
          <w:p>
            <w:pPr>
              <w:pStyle w:val="TableParagraph"/>
              <w:spacing w:before="143"/>
              <w:ind w:left="236"/>
              <w:rPr>
                <w:b/>
                <w:sz w:val="21"/>
              </w:rPr>
            </w:pPr>
            <w:r>
              <w:rPr>
                <w:b/>
                <w:sz w:val="21"/>
              </w:rPr>
              <w:t>犹豫期</w:t>
            </w:r>
          </w:p>
        </w:tc>
        <w:tc>
          <w:tcPr>
            <w:tcW w:w="7379" w:type="dxa"/>
          </w:tcPr>
          <w:p>
            <w:pPr>
              <w:pStyle w:val="TableParagraph"/>
              <w:spacing w:before="143"/>
              <w:ind w:left="123"/>
              <w:rPr>
                <w:sz w:val="21"/>
              </w:rPr>
            </w:pPr>
            <w:r>
              <w:rPr>
                <w:spacing w:val="-8"/>
                <w:sz w:val="21"/>
              </w:rPr>
              <w:t>自您签收本合同之日起，有 </w:t>
            </w:r>
            <w:r>
              <w:rPr>
                <w:sz w:val="21"/>
              </w:rPr>
              <w:t>10</w:t>
            </w:r>
            <w:r>
              <w:rPr>
                <w:spacing w:val="-29"/>
                <w:sz w:val="21"/>
              </w:rPr>
              <w:t> 天</w:t>
            </w:r>
            <w:r>
              <w:rPr>
                <w:sz w:val="21"/>
              </w:rPr>
              <w:t>（</w:t>
            </w:r>
            <w:r>
              <w:rPr>
                <w:spacing w:val="-3"/>
                <w:sz w:val="21"/>
              </w:rPr>
              <w:t>含</w:t>
            </w:r>
            <w:r>
              <w:rPr>
                <w:spacing w:val="-22"/>
                <w:sz w:val="21"/>
              </w:rPr>
              <w:t>）</w:t>
            </w:r>
            <w:r>
              <w:rPr>
                <w:spacing w:val="-8"/>
                <w:sz w:val="21"/>
              </w:rPr>
              <w:t>的犹豫期。在此期间，请您认真阅读本</w:t>
            </w:r>
          </w:p>
          <w:p>
            <w:pPr>
              <w:pStyle w:val="TableParagraph"/>
              <w:spacing w:line="273" w:lineRule="auto" w:before="37"/>
              <w:ind w:left="123" w:right="104"/>
              <w:rPr>
                <w:sz w:val="21"/>
              </w:rPr>
            </w:pPr>
            <w:r>
              <w:rPr>
                <w:spacing w:val="-12"/>
                <w:sz w:val="21"/>
              </w:rPr>
              <w:t>合同，您可以在此期间提出解除本合同，我们将扣除不超过 </w:t>
            </w:r>
            <w:r>
              <w:rPr>
                <w:sz w:val="21"/>
              </w:rPr>
              <w:t>10</w:t>
            </w:r>
            <w:r>
              <w:rPr>
                <w:spacing w:val="-8"/>
                <w:sz w:val="21"/>
              </w:rPr>
              <w:t> 元的工本费无息</w:t>
            </w:r>
            <w:r>
              <w:rPr>
                <w:spacing w:val="-5"/>
                <w:sz w:val="21"/>
              </w:rPr>
              <w:t>退还您所交纳的保险费。</w:t>
            </w:r>
          </w:p>
          <w:p>
            <w:pPr>
              <w:pStyle w:val="TableParagraph"/>
              <w:spacing w:line="273" w:lineRule="auto" w:before="163"/>
              <w:ind w:left="123" w:right="107"/>
              <w:rPr>
                <w:sz w:val="21"/>
              </w:rPr>
            </w:pPr>
            <w:r>
              <w:rPr>
                <w:spacing w:val="-3"/>
                <w:sz w:val="21"/>
              </w:rPr>
              <w:t>在犹豫期内解除本合同时，您需要填写申请书，并提供本合同、交费凭证及</w:t>
            </w:r>
            <w:r>
              <w:rPr>
                <w:b/>
                <w:sz w:val="21"/>
              </w:rPr>
              <w:t>有</w:t>
            </w:r>
            <w:r>
              <w:rPr>
                <w:b/>
                <w:w w:val="100"/>
                <w:sz w:val="21"/>
              </w:rPr>
              <w:t>效身份证件</w:t>
            </w:r>
            <w:r>
              <w:rPr>
                <w:spacing w:val="-3"/>
                <w:w w:val="100"/>
                <w:sz w:val="21"/>
              </w:rPr>
              <w:t>（</w:t>
            </w:r>
            <w:r>
              <w:rPr>
                <w:w w:val="100"/>
                <w:sz w:val="21"/>
              </w:rPr>
              <w:t>见</w:t>
            </w:r>
            <w:r>
              <w:rPr>
                <w:spacing w:val="-53"/>
                <w:sz w:val="21"/>
              </w:rPr>
              <w:t> </w:t>
            </w:r>
            <w:r>
              <w:rPr>
                <w:w w:val="100"/>
                <w:sz w:val="21"/>
              </w:rPr>
              <w:t>8</w:t>
            </w:r>
            <w:r>
              <w:rPr>
                <w:spacing w:val="-3"/>
                <w:w w:val="100"/>
                <w:sz w:val="21"/>
              </w:rPr>
              <w:t>.</w:t>
            </w:r>
            <w:r>
              <w:rPr>
                <w:spacing w:val="-1"/>
                <w:w w:val="100"/>
                <w:sz w:val="21"/>
              </w:rPr>
              <w:t>4</w:t>
            </w:r>
            <w:r>
              <w:rPr>
                <w:spacing w:val="-106"/>
                <w:w w:val="100"/>
                <w:sz w:val="21"/>
              </w:rPr>
              <w:t>）。</w:t>
            </w:r>
          </w:p>
          <w:p>
            <w:pPr>
              <w:pStyle w:val="TableParagraph"/>
              <w:spacing w:line="273" w:lineRule="auto" w:before="163"/>
              <w:ind w:left="123" w:right="58"/>
              <w:rPr>
                <w:b/>
                <w:sz w:val="21"/>
              </w:rPr>
            </w:pPr>
            <w:r>
              <w:rPr>
                <w:b/>
                <w:sz w:val="21"/>
              </w:rPr>
              <w:t>自我们收到您解除合同的书面申请时起，本合同即被解除，合同解除前发生的保险事故我们不承担责任。</w:t>
            </w:r>
          </w:p>
        </w:tc>
      </w:tr>
      <w:tr>
        <w:trPr>
          <w:trHeight w:val="633" w:hRule="atLeast"/>
        </w:trPr>
        <w:tc>
          <w:tcPr>
            <w:tcW w:w="662" w:type="dxa"/>
            <w:tcBorders>
              <w:bottom w:val="single" w:sz="8" w:space="0" w:color="000000"/>
            </w:tcBorders>
          </w:tcPr>
          <w:p>
            <w:pPr>
              <w:pStyle w:val="TableParagraph"/>
              <w:spacing w:before="126"/>
              <w:ind w:left="107"/>
              <w:rPr>
                <w:b/>
                <w:sz w:val="24"/>
              </w:rPr>
            </w:pPr>
            <w:r>
              <w:rPr>
                <w:b/>
                <w:sz w:val="24"/>
              </w:rPr>
              <w:t>2.</w:t>
            </w:r>
          </w:p>
        </w:tc>
        <w:tc>
          <w:tcPr>
            <w:tcW w:w="9006" w:type="dxa"/>
            <w:gridSpan w:val="2"/>
            <w:tcBorders>
              <w:bottom w:val="single" w:sz="8" w:space="0" w:color="000000"/>
            </w:tcBorders>
          </w:tcPr>
          <w:p>
            <w:pPr>
              <w:pStyle w:val="TableParagraph"/>
              <w:spacing w:before="126"/>
              <w:ind w:left="236"/>
              <w:rPr>
                <w:b/>
                <w:sz w:val="24"/>
              </w:rPr>
            </w:pPr>
            <w:r>
              <w:rPr>
                <w:b/>
                <w:w w:val="95"/>
                <w:sz w:val="24"/>
              </w:rPr>
              <w:t>我们提供的保障</w:t>
            </w:r>
          </w:p>
        </w:tc>
      </w:tr>
      <w:tr>
        <w:trPr>
          <w:trHeight w:val="625" w:hRule="atLeast"/>
        </w:trPr>
        <w:tc>
          <w:tcPr>
            <w:tcW w:w="662" w:type="dxa"/>
            <w:tcBorders>
              <w:top w:val="single" w:sz="8" w:space="0" w:color="000000"/>
            </w:tcBorders>
          </w:tcPr>
          <w:p>
            <w:pPr>
              <w:pStyle w:val="TableParagraph"/>
              <w:spacing w:before="136"/>
              <w:ind w:left="107"/>
              <w:rPr>
                <w:b/>
                <w:sz w:val="21"/>
              </w:rPr>
            </w:pPr>
            <w:r>
              <w:rPr>
                <w:b/>
                <w:sz w:val="21"/>
              </w:rPr>
              <w:t>2.1</w:t>
            </w:r>
          </w:p>
        </w:tc>
        <w:tc>
          <w:tcPr>
            <w:tcW w:w="1627" w:type="dxa"/>
            <w:tcBorders>
              <w:top w:val="single" w:sz="8" w:space="0" w:color="000000"/>
            </w:tcBorders>
          </w:tcPr>
          <w:p>
            <w:pPr>
              <w:pStyle w:val="TableParagraph"/>
              <w:spacing w:before="136"/>
              <w:ind w:left="236"/>
              <w:rPr>
                <w:b/>
                <w:sz w:val="21"/>
              </w:rPr>
            </w:pPr>
            <w:r>
              <w:rPr>
                <w:b/>
                <w:sz w:val="21"/>
              </w:rPr>
              <w:t>基本保险金额</w:t>
            </w:r>
          </w:p>
        </w:tc>
        <w:tc>
          <w:tcPr>
            <w:tcW w:w="7379" w:type="dxa"/>
            <w:tcBorders>
              <w:top w:val="single" w:sz="8" w:space="0" w:color="000000"/>
            </w:tcBorders>
          </w:tcPr>
          <w:p>
            <w:pPr>
              <w:pStyle w:val="TableParagraph"/>
              <w:spacing w:before="136"/>
              <w:ind w:left="123"/>
              <w:rPr>
                <w:sz w:val="21"/>
              </w:rPr>
            </w:pPr>
            <w:r>
              <w:rPr>
                <w:sz w:val="21"/>
              </w:rPr>
              <w:t>本合同的基本保险金额由您在投保时与我们约定，并在保险合同上载明。</w:t>
            </w:r>
          </w:p>
        </w:tc>
      </w:tr>
      <w:tr>
        <w:trPr>
          <w:trHeight w:val="879" w:hRule="atLeast"/>
        </w:trPr>
        <w:tc>
          <w:tcPr>
            <w:tcW w:w="662" w:type="dxa"/>
          </w:tcPr>
          <w:p>
            <w:pPr>
              <w:pStyle w:val="TableParagraph"/>
              <w:spacing w:before="150"/>
              <w:ind w:left="107"/>
              <w:rPr>
                <w:b/>
                <w:sz w:val="21"/>
              </w:rPr>
            </w:pPr>
            <w:r>
              <w:rPr>
                <w:b/>
                <w:sz w:val="21"/>
              </w:rPr>
              <w:t>2.2</w:t>
            </w:r>
          </w:p>
        </w:tc>
        <w:tc>
          <w:tcPr>
            <w:tcW w:w="1627" w:type="dxa"/>
          </w:tcPr>
          <w:p>
            <w:pPr>
              <w:pStyle w:val="TableParagraph"/>
              <w:spacing w:before="150"/>
              <w:ind w:left="236"/>
              <w:rPr>
                <w:b/>
                <w:sz w:val="21"/>
              </w:rPr>
            </w:pPr>
            <w:r>
              <w:rPr>
                <w:b/>
                <w:sz w:val="21"/>
              </w:rPr>
              <w:t>保险期间</w:t>
            </w:r>
          </w:p>
        </w:tc>
        <w:tc>
          <w:tcPr>
            <w:tcW w:w="7379" w:type="dxa"/>
          </w:tcPr>
          <w:p>
            <w:pPr>
              <w:pStyle w:val="TableParagraph"/>
              <w:spacing w:line="273" w:lineRule="auto" w:before="150"/>
              <w:ind w:left="123" w:right="105"/>
              <w:rPr>
                <w:sz w:val="21"/>
              </w:rPr>
            </w:pPr>
            <w:r>
              <w:rPr>
                <w:spacing w:val="-3"/>
                <w:sz w:val="21"/>
              </w:rPr>
              <w:t>本合同的保险期间为</w:t>
            </w:r>
            <w:r>
              <w:rPr>
                <w:sz w:val="21"/>
              </w:rPr>
              <w:t>1</w:t>
            </w:r>
            <w:r>
              <w:rPr>
                <w:spacing w:val="-12"/>
                <w:sz w:val="21"/>
              </w:rPr>
              <w:t>年。除合同另有约定外，本合同的保险期间自本合同生效</w:t>
            </w:r>
            <w:r>
              <w:rPr>
                <w:spacing w:val="-6"/>
                <w:sz w:val="21"/>
              </w:rPr>
              <w:t>日起，至合同约定的保险单满期日止。</w:t>
            </w:r>
          </w:p>
        </w:tc>
      </w:tr>
      <w:tr>
        <w:trPr>
          <w:trHeight w:val="977" w:hRule="atLeast"/>
        </w:trPr>
        <w:tc>
          <w:tcPr>
            <w:tcW w:w="662" w:type="dxa"/>
          </w:tcPr>
          <w:p>
            <w:pPr>
              <w:pStyle w:val="TableParagraph"/>
              <w:spacing w:before="79"/>
              <w:ind w:left="107"/>
              <w:rPr>
                <w:b/>
                <w:sz w:val="21"/>
              </w:rPr>
            </w:pPr>
            <w:r>
              <w:rPr>
                <w:b/>
                <w:sz w:val="21"/>
              </w:rPr>
              <w:t>2.3</w:t>
            </w:r>
          </w:p>
        </w:tc>
        <w:tc>
          <w:tcPr>
            <w:tcW w:w="1627" w:type="dxa"/>
          </w:tcPr>
          <w:p>
            <w:pPr>
              <w:pStyle w:val="TableParagraph"/>
              <w:spacing w:before="79"/>
              <w:ind w:left="236"/>
              <w:rPr>
                <w:b/>
                <w:sz w:val="21"/>
              </w:rPr>
            </w:pPr>
            <w:r>
              <w:rPr>
                <w:b/>
                <w:sz w:val="21"/>
              </w:rPr>
              <w:t>保证续保</w:t>
            </w:r>
          </w:p>
        </w:tc>
        <w:tc>
          <w:tcPr>
            <w:tcW w:w="7379" w:type="dxa"/>
          </w:tcPr>
          <w:p>
            <w:pPr>
              <w:pStyle w:val="TableParagraph"/>
              <w:spacing w:line="310" w:lineRule="atLeast" w:before="44"/>
              <w:ind w:left="123" w:right="106"/>
              <w:jc w:val="both"/>
              <w:rPr>
                <w:sz w:val="21"/>
              </w:rPr>
            </w:pPr>
            <w:r>
              <w:rPr>
                <w:sz w:val="21"/>
              </w:rPr>
              <w:t>若您于每个保险期间届满时，按续保时相应的费率向我们交纳续保保险费，则本合同延续一个保险期间。如果您续保时未支付续保保险费，自保险费约定交纳日的次日零时起60日内为续保交费期。续保交费期内发生的保险事故，我们</w:t>
            </w:r>
          </w:p>
        </w:tc>
      </w:tr>
    </w:tbl>
    <w:p>
      <w:pPr>
        <w:spacing w:after="0" w:line="310" w:lineRule="atLeast"/>
        <w:jc w:val="both"/>
        <w:rPr>
          <w:sz w:val="21"/>
        </w:rPr>
        <w:sectPr>
          <w:pgSz w:w="11910" w:h="16840"/>
          <w:pgMar w:header="0" w:footer="925" w:top="1140" w:bottom="1200" w:left="92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1416"/>
        <w:gridCol w:w="7760"/>
      </w:tblGrid>
      <w:tr>
        <w:trPr>
          <w:trHeight w:val="3629" w:hRule="atLeast"/>
        </w:trPr>
        <w:tc>
          <w:tcPr>
            <w:tcW w:w="754" w:type="dxa"/>
          </w:tcPr>
          <w:p>
            <w:pPr>
              <w:pStyle w:val="TableParagraph"/>
              <w:rPr>
                <w:rFonts w:ascii="Times New Roman"/>
                <w:sz w:val="20"/>
              </w:rPr>
            </w:pPr>
          </w:p>
        </w:tc>
        <w:tc>
          <w:tcPr>
            <w:tcW w:w="1416" w:type="dxa"/>
          </w:tcPr>
          <w:p>
            <w:pPr>
              <w:pStyle w:val="TableParagraph"/>
              <w:rPr>
                <w:rFonts w:ascii="Times New Roman"/>
                <w:sz w:val="20"/>
              </w:rPr>
            </w:pPr>
          </w:p>
        </w:tc>
        <w:tc>
          <w:tcPr>
            <w:tcW w:w="7760" w:type="dxa"/>
          </w:tcPr>
          <w:p>
            <w:pPr>
              <w:pStyle w:val="TableParagraph"/>
              <w:spacing w:line="202" w:lineRule="exact"/>
              <w:ind w:left="334"/>
              <w:rPr>
                <w:sz w:val="21"/>
              </w:rPr>
            </w:pPr>
            <w:r>
              <w:rPr>
                <w:sz w:val="21"/>
              </w:rPr>
              <w:t>仍会承担保险责任，但在给付保险金时会从中扣减您欠交的续保保险费。</w:t>
            </w:r>
          </w:p>
          <w:p>
            <w:pPr>
              <w:pStyle w:val="TableParagraph"/>
              <w:spacing w:line="273" w:lineRule="auto" w:before="157"/>
              <w:ind w:left="334" w:right="277"/>
              <w:rPr>
                <w:sz w:val="21"/>
              </w:rPr>
            </w:pPr>
            <w:r>
              <w:rPr>
                <w:sz w:val="21"/>
              </w:rPr>
              <w:t>本合同的续保保险费以续保时被保险人的实际年龄为基础，按续保时我们核定的费率计算。</w:t>
            </w:r>
          </w:p>
          <w:p>
            <w:pPr>
              <w:pStyle w:val="TableParagraph"/>
              <w:spacing w:before="127"/>
              <w:ind w:left="334"/>
              <w:rPr>
                <w:b/>
                <w:sz w:val="21"/>
              </w:rPr>
            </w:pPr>
            <w:r>
              <w:rPr>
                <w:b/>
                <w:sz w:val="21"/>
              </w:rPr>
              <w:t>发生下列情形之一的，我们不再接受续保：</w:t>
            </w:r>
          </w:p>
          <w:p>
            <w:pPr>
              <w:pStyle w:val="TableParagraph"/>
              <w:spacing w:before="9"/>
              <w:rPr>
                <w:sz w:val="14"/>
              </w:rPr>
            </w:pPr>
          </w:p>
          <w:p>
            <w:pPr>
              <w:pStyle w:val="TableParagraph"/>
              <w:ind w:left="334"/>
              <w:rPr>
                <w:b/>
                <w:sz w:val="21"/>
              </w:rPr>
            </w:pPr>
            <w:r>
              <w:rPr>
                <w:b/>
                <w:sz w:val="21"/>
              </w:rPr>
              <w:t>1.您在续保交费期结束之日前未交纳续保保险费；</w:t>
            </w:r>
          </w:p>
          <w:p>
            <w:pPr>
              <w:pStyle w:val="TableParagraph"/>
              <w:spacing w:before="9"/>
              <w:rPr>
                <w:sz w:val="14"/>
              </w:rPr>
            </w:pPr>
          </w:p>
          <w:p>
            <w:pPr>
              <w:pStyle w:val="TableParagraph"/>
              <w:ind w:left="334"/>
              <w:rPr>
                <w:b/>
                <w:sz w:val="21"/>
              </w:rPr>
            </w:pPr>
            <w:r>
              <w:rPr>
                <w:b/>
                <w:sz w:val="21"/>
              </w:rPr>
              <w:t>2.您于保险期间届满时做出不续保的书面申请；</w:t>
            </w:r>
          </w:p>
          <w:p>
            <w:pPr>
              <w:pStyle w:val="TableParagraph"/>
              <w:spacing w:before="9"/>
              <w:rPr>
                <w:sz w:val="14"/>
              </w:rPr>
            </w:pPr>
          </w:p>
          <w:p>
            <w:pPr>
              <w:pStyle w:val="TableParagraph"/>
              <w:ind w:left="334"/>
              <w:rPr>
                <w:b/>
                <w:sz w:val="21"/>
              </w:rPr>
            </w:pPr>
            <w:r>
              <w:rPr>
                <w:b/>
                <w:sz w:val="21"/>
              </w:rPr>
              <w:t>3.我们已给付了重大疾病保险金和特定疾病保险金两项保险金中的任意一项；</w:t>
            </w:r>
          </w:p>
          <w:p>
            <w:pPr>
              <w:pStyle w:val="TableParagraph"/>
              <w:spacing w:before="9"/>
              <w:rPr>
                <w:sz w:val="14"/>
              </w:rPr>
            </w:pPr>
          </w:p>
          <w:p>
            <w:pPr>
              <w:pStyle w:val="TableParagraph"/>
              <w:ind w:left="334"/>
              <w:rPr>
                <w:b/>
                <w:sz w:val="21"/>
              </w:rPr>
            </w:pPr>
            <w:r>
              <w:rPr>
                <w:b/>
                <w:sz w:val="21"/>
              </w:rPr>
              <w:t>4.续保时被保险人的年龄已超过 </w:t>
            </w:r>
            <w:r>
              <w:rPr>
                <w:rFonts w:ascii="Times New Roman" w:eastAsia="Times New Roman"/>
                <w:b/>
                <w:sz w:val="21"/>
              </w:rPr>
              <w:t>25 </w:t>
            </w:r>
            <w:r>
              <w:rPr>
                <w:b/>
                <w:sz w:val="21"/>
              </w:rPr>
              <w:t>周岁。</w:t>
            </w:r>
          </w:p>
        </w:tc>
      </w:tr>
      <w:tr>
        <w:trPr>
          <w:trHeight w:val="10431" w:hRule="atLeast"/>
        </w:trPr>
        <w:tc>
          <w:tcPr>
            <w:tcW w:w="754" w:type="dxa"/>
          </w:tcPr>
          <w:p>
            <w:pPr>
              <w:pStyle w:val="TableParagraph"/>
              <w:spacing w:before="7"/>
              <w:rPr>
                <w:sz w:val="21"/>
              </w:rPr>
            </w:pPr>
          </w:p>
          <w:p>
            <w:pPr>
              <w:pStyle w:val="TableParagraph"/>
              <w:ind w:left="200"/>
              <w:rPr>
                <w:b/>
                <w:sz w:val="21"/>
              </w:rPr>
            </w:pPr>
            <w:r>
              <w:rPr>
                <w:b/>
                <w:sz w:val="21"/>
              </w:rPr>
              <w:t>2.4</w:t>
            </w:r>
          </w:p>
        </w:tc>
        <w:tc>
          <w:tcPr>
            <w:tcW w:w="1416" w:type="dxa"/>
          </w:tcPr>
          <w:p>
            <w:pPr>
              <w:pStyle w:val="TableParagraph"/>
              <w:spacing w:before="7"/>
              <w:rPr>
                <w:sz w:val="21"/>
              </w:rPr>
            </w:pPr>
          </w:p>
          <w:p>
            <w:pPr>
              <w:pStyle w:val="TableParagraph"/>
              <w:ind w:left="236"/>
              <w:rPr>
                <w:b/>
                <w:sz w:val="21"/>
              </w:rPr>
            </w:pPr>
            <w:r>
              <w:rPr>
                <w:b/>
                <w:sz w:val="21"/>
              </w:rPr>
              <w:t>保险责任</w:t>
            </w:r>
          </w:p>
        </w:tc>
        <w:tc>
          <w:tcPr>
            <w:tcW w:w="7760" w:type="dxa"/>
          </w:tcPr>
          <w:p>
            <w:pPr>
              <w:pStyle w:val="TableParagraph"/>
              <w:spacing w:before="7"/>
              <w:rPr>
                <w:sz w:val="21"/>
              </w:rPr>
            </w:pPr>
          </w:p>
          <w:p>
            <w:pPr>
              <w:pStyle w:val="TableParagraph"/>
              <w:ind w:left="334"/>
              <w:rPr>
                <w:sz w:val="21"/>
              </w:rPr>
            </w:pPr>
            <w:r>
              <w:rPr>
                <w:sz w:val="21"/>
              </w:rPr>
              <w:t>在本合同保险期间内，我们按以下约定承担保险责任：</w:t>
            </w:r>
          </w:p>
          <w:p>
            <w:pPr>
              <w:pStyle w:val="TableParagraph"/>
              <w:rPr>
                <w:sz w:val="19"/>
              </w:rPr>
            </w:pPr>
          </w:p>
          <w:p>
            <w:pPr>
              <w:pStyle w:val="TableParagraph"/>
              <w:numPr>
                <w:ilvl w:val="0"/>
                <w:numId w:val="13"/>
              </w:numPr>
              <w:tabs>
                <w:tab w:pos="652" w:val="left" w:leader="none"/>
              </w:tabs>
              <w:spacing w:line="240" w:lineRule="auto" w:before="0" w:after="0"/>
              <w:ind w:left="651" w:right="0" w:hanging="317"/>
              <w:jc w:val="left"/>
              <w:rPr>
                <w:sz w:val="21"/>
              </w:rPr>
            </w:pPr>
            <w:r>
              <w:rPr>
                <w:spacing w:val="-3"/>
                <w:sz w:val="21"/>
              </w:rPr>
              <w:t>轻型疾病保险金</w:t>
            </w:r>
          </w:p>
          <w:p>
            <w:pPr>
              <w:pStyle w:val="TableParagraph"/>
              <w:spacing w:line="273" w:lineRule="auto" w:before="149"/>
              <w:ind w:left="334" w:right="164"/>
              <w:rPr>
                <w:b/>
                <w:sz w:val="21"/>
              </w:rPr>
            </w:pPr>
            <w:r>
              <w:rPr>
                <w:b/>
                <w:spacing w:val="-2"/>
                <w:w w:val="100"/>
                <w:sz w:val="21"/>
              </w:rPr>
              <w:t>若被保险人于本合同生效之日起</w:t>
            </w:r>
            <w:r>
              <w:rPr>
                <w:b/>
                <w:spacing w:val="-2"/>
                <w:sz w:val="21"/>
              </w:rPr>
              <w:t> </w:t>
            </w:r>
            <w:r>
              <w:rPr>
                <w:b/>
                <w:w w:val="99"/>
                <w:sz w:val="21"/>
              </w:rPr>
              <w:t>90</w:t>
            </w:r>
            <w:r>
              <w:rPr>
                <w:b/>
                <w:sz w:val="21"/>
              </w:rPr>
              <w:t> </w:t>
            </w:r>
            <w:r>
              <w:rPr>
                <w:b/>
                <w:w w:val="100"/>
                <w:sz w:val="21"/>
              </w:rPr>
              <w:t>天（含</w:t>
            </w:r>
            <w:r>
              <w:rPr>
                <w:b/>
                <w:spacing w:val="-106"/>
                <w:w w:val="100"/>
                <w:sz w:val="21"/>
              </w:rPr>
              <w:t>）</w:t>
            </w:r>
            <w:r>
              <w:rPr>
                <w:b/>
                <w:w w:val="100"/>
                <w:sz w:val="21"/>
              </w:rPr>
              <w:t>（此</w:t>
            </w:r>
            <w:r>
              <w:rPr>
                <w:b/>
                <w:sz w:val="21"/>
              </w:rPr>
              <w:t> </w:t>
            </w:r>
            <w:r>
              <w:rPr>
                <w:b/>
                <w:w w:val="99"/>
                <w:sz w:val="21"/>
              </w:rPr>
              <w:t>90</w:t>
            </w:r>
            <w:r>
              <w:rPr>
                <w:b/>
                <w:sz w:val="21"/>
              </w:rPr>
              <w:t> </w:t>
            </w:r>
            <w:r>
              <w:rPr>
                <w:b/>
                <w:spacing w:val="-1"/>
                <w:w w:val="100"/>
                <w:sz w:val="21"/>
              </w:rPr>
              <w:t>天称为等待期，续保时无</w:t>
            </w:r>
            <w:r>
              <w:rPr>
                <w:b/>
                <w:spacing w:val="-1"/>
                <w:sz w:val="21"/>
              </w:rPr>
              <w:t>等待期）</w:t>
            </w:r>
            <w:r>
              <w:rPr>
                <w:b/>
                <w:spacing w:val="-3"/>
                <w:sz w:val="21"/>
              </w:rPr>
              <w:t>内因意外伤害事故</w:t>
            </w:r>
            <w:r>
              <w:rPr>
                <w:b/>
                <w:sz w:val="21"/>
              </w:rPr>
              <w:t>（</w:t>
            </w:r>
            <w:r>
              <w:rPr>
                <w:b/>
                <w:spacing w:val="-11"/>
                <w:sz w:val="21"/>
              </w:rPr>
              <w:t>见 </w:t>
            </w:r>
            <w:r>
              <w:rPr>
                <w:b/>
                <w:sz w:val="21"/>
              </w:rPr>
              <w:t>8.5）</w:t>
            </w:r>
            <w:r>
              <w:rPr>
                <w:b/>
                <w:spacing w:val="-3"/>
                <w:sz w:val="21"/>
              </w:rPr>
              <w:t>之外的原因首次发生并在我们认可的医院（</w:t>
            </w:r>
            <w:r>
              <w:rPr>
                <w:b/>
                <w:spacing w:val="-8"/>
                <w:sz w:val="21"/>
              </w:rPr>
              <w:t>见 </w:t>
            </w:r>
            <w:r>
              <w:rPr>
                <w:b/>
                <w:sz w:val="21"/>
              </w:rPr>
              <w:t>8.6）</w:t>
            </w:r>
            <w:r>
              <w:rPr>
                <w:b/>
                <w:spacing w:val="-1"/>
                <w:sz w:val="21"/>
              </w:rPr>
              <w:t>由专科医生</w:t>
            </w:r>
            <w:r>
              <w:rPr>
                <w:b/>
                <w:sz w:val="21"/>
              </w:rPr>
              <w:t>（</w:t>
            </w:r>
            <w:r>
              <w:rPr>
                <w:b/>
                <w:spacing w:val="-6"/>
                <w:sz w:val="21"/>
              </w:rPr>
              <w:t>见 </w:t>
            </w:r>
            <w:r>
              <w:rPr>
                <w:b/>
                <w:sz w:val="21"/>
              </w:rPr>
              <w:t>8.7）</w:t>
            </w:r>
            <w:r>
              <w:rPr>
                <w:b/>
                <w:spacing w:val="-3"/>
                <w:sz w:val="21"/>
              </w:rPr>
              <w:t>确诊患本合同约定的任何一种或多种轻型</w:t>
            </w:r>
            <w:r>
              <w:rPr>
                <w:b/>
                <w:spacing w:val="-3"/>
                <w:w w:val="100"/>
                <w:sz w:val="21"/>
              </w:rPr>
              <w:t>疾病（见</w:t>
            </w:r>
            <w:r>
              <w:rPr>
                <w:b/>
                <w:spacing w:val="-54"/>
                <w:sz w:val="21"/>
              </w:rPr>
              <w:t> </w:t>
            </w:r>
            <w:r>
              <w:rPr>
                <w:b/>
                <w:w w:val="99"/>
                <w:sz w:val="21"/>
              </w:rPr>
              <w:t>8.8</w:t>
            </w:r>
            <w:r>
              <w:rPr>
                <w:b/>
                <w:spacing w:val="-106"/>
                <w:w w:val="100"/>
                <w:sz w:val="21"/>
              </w:rPr>
              <w:t>）</w:t>
            </w:r>
            <w:r>
              <w:rPr>
                <w:b/>
                <w:spacing w:val="-3"/>
                <w:w w:val="100"/>
                <w:sz w:val="21"/>
              </w:rPr>
              <w:t>，我们不承担给付轻型疾病保险金的责任，本项保险责任终止，</w:t>
            </w:r>
            <w:r>
              <w:rPr>
                <w:b/>
                <w:spacing w:val="-3"/>
                <w:sz w:val="21"/>
              </w:rPr>
              <w:t>本合同继续有效。</w:t>
            </w:r>
          </w:p>
          <w:p>
            <w:pPr>
              <w:pStyle w:val="TableParagraph"/>
              <w:spacing w:before="8"/>
              <w:rPr>
                <w:sz w:val="16"/>
              </w:rPr>
            </w:pPr>
          </w:p>
          <w:p>
            <w:pPr>
              <w:pStyle w:val="TableParagraph"/>
              <w:spacing w:line="314" w:lineRule="auto" w:before="1"/>
              <w:ind w:left="334" w:right="301"/>
              <w:jc w:val="both"/>
              <w:rPr>
                <w:sz w:val="21"/>
              </w:rPr>
            </w:pPr>
            <w:r>
              <w:rPr>
                <w:spacing w:val="1"/>
                <w:sz w:val="21"/>
              </w:rPr>
              <w:t>若被保险人因意外伤害事故或于本合同生效之日起</w:t>
            </w:r>
            <w:r>
              <w:rPr>
                <w:sz w:val="21"/>
              </w:rPr>
              <w:t>90</w:t>
            </w:r>
            <w:r>
              <w:rPr>
                <w:spacing w:val="1"/>
                <w:sz w:val="21"/>
              </w:rPr>
              <w:t>天后因意外伤害事故之</w:t>
            </w:r>
            <w:r>
              <w:rPr>
                <w:spacing w:val="-6"/>
                <w:sz w:val="21"/>
              </w:rPr>
              <w:t>外的原因，首次发生并在我们认可的医院由专科医生确诊患本合同约定的任何一种或多种轻型疾病，我们按本合同约定的基本保险金额的20%给付轻型疾病</w:t>
            </w:r>
            <w:r>
              <w:rPr>
                <w:spacing w:val="-3"/>
                <w:sz w:val="21"/>
              </w:rPr>
              <w:t>保险金，本项责任终止，本合同继续有效。</w:t>
            </w:r>
          </w:p>
          <w:p>
            <w:pPr>
              <w:pStyle w:val="TableParagraph"/>
              <w:rPr>
                <w:sz w:val="20"/>
              </w:rPr>
            </w:pPr>
          </w:p>
          <w:p>
            <w:pPr>
              <w:pStyle w:val="TableParagraph"/>
              <w:spacing w:before="6"/>
              <w:rPr>
                <w:sz w:val="26"/>
              </w:rPr>
            </w:pPr>
          </w:p>
          <w:p>
            <w:pPr>
              <w:pStyle w:val="TableParagraph"/>
              <w:numPr>
                <w:ilvl w:val="0"/>
                <w:numId w:val="13"/>
              </w:numPr>
              <w:tabs>
                <w:tab w:pos="652" w:val="left" w:leader="none"/>
              </w:tabs>
              <w:spacing w:line="240" w:lineRule="auto" w:before="0" w:after="0"/>
              <w:ind w:left="651" w:right="0" w:hanging="317"/>
              <w:jc w:val="left"/>
              <w:rPr>
                <w:sz w:val="21"/>
              </w:rPr>
            </w:pPr>
            <w:r>
              <w:rPr>
                <w:spacing w:val="-3"/>
                <w:sz w:val="21"/>
              </w:rPr>
              <w:t>重大疾病保险金</w:t>
            </w:r>
          </w:p>
          <w:p>
            <w:pPr>
              <w:pStyle w:val="TableParagraph"/>
              <w:spacing w:line="273" w:lineRule="auto" w:before="149"/>
              <w:ind w:left="334" w:right="301"/>
              <w:jc w:val="both"/>
              <w:rPr>
                <w:b/>
                <w:sz w:val="21"/>
              </w:rPr>
            </w:pPr>
            <w:r>
              <w:rPr>
                <w:b/>
                <w:w w:val="100"/>
                <w:sz w:val="21"/>
              </w:rPr>
              <w:t>若被保险人于本合同生效之日起</w:t>
            </w:r>
            <w:r>
              <w:rPr>
                <w:b/>
                <w:spacing w:val="-3"/>
                <w:w w:val="99"/>
                <w:sz w:val="21"/>
              </w:rPr>
              <w:t>9</w:t>
            </w:r>
            <w:r>
              <w:rPr>
                <w:b/>
                <w:spacing w:val="1"/>
                <w:w w:val="99"/>
                <w:sz w:val="21"/>
              </w:rPr>
              <w:t>0</w:t>
            </w:r>
            <w:r>
              <w:rPr>
                <w:b/>
                <w:w w:val="100"/>
                <w:sz w:val="21"/>
              </w:rPr>
              <w:t>天</w:t>
            </w:r>
            <w:r>
              <w:rPr>
                <w:b/>
                <w:spacing w:val="1"/>
                <w:w w:val="100"/>
                <w:sz w:val="21"/>
              </w:rPr>
              <w:t>（含</w:t>
            </w:r>
            <w:r>
              <w:rPr>
                <w:b/>
                <w:spacing w:val="-106"/>
                <w:w w:val="100"/>
                <w:sz w:val="21"/>
              </w:rPr>
              <w:t>）</w:t>
            </w:r>
            <w:r>
              <w:rPr>
                <w:b/>
                <w:spacing w:val="1"/>
                <w:w w:val="100"/>
                <w:sz w:val="21"/>
              </w:rPr>
              <w:t>（</w:t>
            </w:r>
            <w:r>
              <w:rPr>
                <w:b/>
                <w:w w:val="100"/>
                <w:sz w:val="21"/>
              </w:rPr>
              <w:t>等待期，续保时无等待期）内因</w:t>
            </w:r>
            <w:r>
              <w:rPr>
                <w:b/>
                <w:sz w:val="21"/>
              </w:rPr>
              <w:t>意外伤害事故之外的原因首次发生并在我们认可的医院由专科医生确诊患本</w:t>
            </w:r>
            <w:r>
              <w:rPr>
                <w:b/>
                <w:spacing w:val="-4"/>
                <w:w w:val="100"/>
                <w:sz w:val="21"/>
              </w:rPr>
              <w:t>合同约定的任何一种或多种重大疾病</w:t>
            </w:r>
            <w:r>
              <w:rPr>
                <w:b/>
                <w:w w:val="100"/>
                <w:sz w:val="21"/>
              </w:rPr>
              <w:t>（见</w:t>
            </w:r>
            <w:r>
              <w:rPr>
                <w:b/>
                <w:w w:val="99"/>
                <w:sz w:val="21"/>
              </w:rPr>
              <w:t>8.9</w:t>
            </w:r>
            <w:r>
              <w:rPr>
                <w:b/>
                <w:spacing w:val="-106"/>
                <w:w w:val="100"/>
                <w:sz w:val="21"/>
              </w:rPr>
              <w:t>）</w:t>
            </w:r>
            <w:r>
              <w:rPr>
                <w:b/>
                <w:spacing w:val="-6"/>
                <w:w w:val="100"/>
                <w:sz w:val="21"/>
              </w:rPr>
              <w:t>，我们将退还本合同所交保险费</w:t>
            </w:r>
          </w:p>
          <w:p>
            <w:pPr>
              <w:pStyle w:val="TableParagraph"/>
              <w:spacing w:before="7"/>
              <w:ind w:left="334"/>
              <w:rPr>
                <w:b/>
                <w:sz w:val="21"/>
              </w:rPr>
            </w:pPr>
            <w:r>
              <w:rPr>
                <w:b/>
                <w:w w:val="100"/>
                <w:sz w:val="21"/>
              </w:rPr>
              <w:t>（不计息</w:t>
            </w:r>
            <w:r>
              <w:rPr>
                <w:b/>
                <w:spacing w:val="-105"/>
                <w:w w:val="100"/>
                <w:sz w:val="21"/>
              </w:rPr>
              <w:t>）</w:t>
            </w:r>
            <w:r>
              <w:rPr>
                <w:b/>
                <w:spacing w:val="-2"/>
                <w:w w:val="100"/>
                <w:sz w:val="21"/>
              </w:rPr>
              <w:t>，同时本合同效力终止。</w:t>
            </w:r>
          </w:p>
          <w:p>
            <w:pPr>
              <w:pStyle w:val="TableParagraph"/>
              <w:spacing w:before="9"/>
              <w:rPr>
                <w:sz w:val="14"/>
              </w:rPr>
            </w:pPr>
          </w:p>
          <w:p>
            <w:pPr>
              <w:pStyle w:val="TableParagraph"/>
              <w:spacing w:line="273" w:lineRule="auto"/>
              <w:ind w:left="334" w:right="303"/>
              <w:jc w:val="both"/>
              <w:rPr>
                <w:sz w:val="21"/>
              </w:rPr>
            </w:pPr>
            <w:r>
              <w:rPr>
                <w:spacing w:val="0"/>
                <w:sz w:val="21"/>
              </w:rPr>
              <w:t>若被保险人因意外伤害事故或于本合同生效之日起</w:t>
            </w:r>
            <w:r>
              <w:rPr>
                <w:sz w:val="21"/>
              </w:rPr>
              <w:t>90</w:t>
            </w:r>
            <w:r>
              <w:rPr>
                <w:spacing w:val="1"/>
                <w:sz w:val="21"/>
              </w:rPr>
              <w:t>天后因意外伤害事故之</w:t>
            </w:r>
            <w:r>
              <w:rPr>
                <w:spacing w:val="-5"/>
                <w:sz w:val="21"/>
              </w:rPr>
              <w:t>外的原因，首次发生并在我们认可的医院由专科医生确诊患本合同约定的任何</w:t>
            </w:r>
            <w:r>
              <w:rPr>
                <w:spacing w:val="-6"/>
                <w:sz w:val="21"/>
              </w:rPr>
              <w:t>一种或多种重大疾病，我们将按本合同约定的基本保险金额给付重大疾病保险</w:t>
            </w:r>
            <w:r>
              <w:rPr>
                <w:spacing w:val="-3"/>
                <w:sz w:val="21"/>
              </w:rPr>
              <w:t>金，同时本合同效力终止。</w:t>
            </w:r>
          </w:p>
          <w:p>
            <w:pPr>
              <w:pStyle w:val="TableParagraph"/>
              <w:rPr>
                <w:sz w:val="20"/>
              </w:rPr>
            </w:pPr>
          </w:p>
          <w:p>
            <w:pPr>
              <w:pStyle w:val="TableParagraph"/>
              <w:rPr>
                <w:sz w:val="20"/>
              </w:rPr>
            </w:pPr>
          </w:p>
          <w:p>
            <w:pPr>
              <w:pStyle w:val="TableParagraph"/>
              <w:numPr>
                <w:ilvl w:val="0"/>
                <w:numId w:val="13"/>
              </w:numPr>
              <w:tabs>
                <w:tab w:pos="652" w:val="left" w:leader="none"/>
              </w:tabs>
              <w:spacing w:line="240" w:lineRule="auto" w:before="163" w:after="0"/>
              <w:ind w:left="651" w:right="0" w:hanging="317"/>
              <w:jc w:val="left"/>
              <w:rPr>
                <w:sz w:val="21"/>
              </w:rPr>
            </w:pPr>
            <w:r>
              <w:rPr>
                <w:spacing w:val="-3"/>
                <w:sz w:val="21"/>
              </w:rPr>
              <w:t>特定疾病保险金</w:t>
            </w:r>
          </w:p>
          <w:p>
            <w:pPr>
              <w:pStyle w:val="TableParagraph"/>
              <w:spacing w:line="310" w:lineRule="atLeast" w:before="114"/>
              <w:ind w:left="334" w:right="277"/>
              <w:jc w:val="both"/>
              <w:rPr>
                <w:b/>
                <w:sz w:val="21"/>
              </w:rPr>
            </w:pPr>
            <w:r>
              <w:rPr>
                <w:b/>
                <w:spacing w:val="-2"/>
                <w:w w:val="100"/>
                <w:sz w:val="21"/>
              </w:rPr>
              <w:t>若被保险人于本合同生效之日起</w:t>
            </w:r>
            <w:r>
              <w:rPr>
                <w:b/>
                <w:spacing w:val="-53"/>
                <w:sz w:val="21"/>
              </w:rPr>
              <w:t> </w:t>
            </w:r>
            <w:r>
              <w:rPr>
                <w:b/>
                <w:w w:val="99"/>
                <w:sz w:val="21"/>
              </w:rPr>
              <w:t>90</w:t>
            </w:r>
            <w:r>
              <w:rPr>
                <w:b/>
                <w:spacing w:val="-54"/>
                <w:sz w:val="21"/>
              </w:rPr>
              <w:t> </w:t>
            </w:r>
            <w:r>
              <w:rPr>
                <w:b/>
                <w:spacing w:val="-8"/>
                <w:w w:val="100"/>
                <w:sz w:val="21"/>
              </w:rPr>
              <w:t>天</w:t>
            </w:r>
            <w:r>
              <w:rPr>
                <w:b/>
                <w:w w:val="100"/>
                <w:sz w:val="21"/>
              </w:rPr>
              <w:t>（含</w:t>
            </w:r>
            <w:r>
              <w:rPr>
                <w:b/>
                <w:spacing w:val="-113"/>
                <w:w w:val="100"/>
                <w:sz w:val="21"/>
              </w:rPr>
              <w:t>）</w:t>
            </w:r>
            <w:r>
              <w:rPr>
                <w:b/>
                <w:w w:val="100"/>
                <w:sz w:val="21"/>
              </w:rPr>
              <w:t>（</w:t>
            </w:r>
            <w:r>
              <w:rPr>
                <w:b/>
                <w:spacing w:val="-3"/>
                <w:w w:val="100"/>
                <w:sz w:val="21"/>
              </w:rPr>
              <w:t>等待期，续保时无等待期</w:t>
            </w:r>
            <w:r>
              <w:rPr>
                <w:b/>
                <w:spacing w:val="-8"/>
                <w:w w:val="100"/>
                <w:sz w:val="21"/>
              </w:rPr>
              <w:t>）</w:t>
            </w:r>
            <w:r>
              <w:rPr>
                <w:b/>
                <w:spacing w:val="-3"/>
                <w:w w:val="100"/>
                <w:sz w:val="21"/>
              </w:rPr>
              <w:t>内因</w:t>
            </w:r>
            <w:r>
              <w:rPr>
                <w:b/>
                <w:spacing w:val="1"/>
                <w:sz w:val="21"/>
              </w:rPr>
              <w:t>意外伤害事故之外的原因首次发生并在我们认可的医院由专科医生确诊患本</w:t>
            </w:r>
            <w:r>
              <w:rPr>
                <w:b/>
                <w:spacing w:val="-1"/>
                <w:w w:val="100"/>
                <w:sz w:val="21"/>
              </w:rPr>
              <w:t>合同约定的任何一种或多种特定疾病</w:t>
            </w:r>
            <w:r>
              <w:rPr>
                <w:b/>
                <w:w w:val="100"/>
                <w:sz w:val="21"/>
              </w:rPr>
              <w:t>（见</w:t>
            </w:r>
            <w:r>
              <w:rPr>
                <w:b/>
                <w:sz w:val="21"/>
              </w:rPr>
              <w:t> </w:t>
            </w:r>
            <w:r>
              <w:rPr>
                <w:b/>
                <w:w w:val="99"/>
                <w:sz w:val="21"/>
              </w:rPr>
              <w:t>8.10</w:t>
            </w:r>
            <w:r>
              <w:rPr>
                <w:b/>
                <w:spacing w:val="-106"/>
                <w:w w:val="100"/>
                <w:sz w:val="21"/>
              </w:rPr>
              <w:t>）</w:t>
            </w:r>
            <w:r>
              <w:rPr>
                <w:b/>
                <w:spacing w:val="-3"/>
                <w:w w:val="100"/>
                <w:sz w:val="21"/>
              </w:rPr>
              <w:t>，我们将退还本合同所交保险费（不计息</w:t>
            </w:r>
            <w:r>
              <w:rPr>
                <w:b/>
                <w:spacing w:val="-105"/>
                <w:w w:val="100"/>
                <w:sz w:val="21"/>
              </w:rPr>
              <w:t>）</w:t>
            </w:r>
            <w:r>
              <w:rPr>
                <w:b/>
                <w:spacing w:val="-2"/>
                <w:w w:val="100"/>
                <w:sz w:val="21"/>
              </w:rPr>
              <w:t>，同时本合同效力终止。</w:t>
            </w:r>
          </w:p>
        </w:tc>
      </w:tr>
    </w:tbl>
    <w:p>
      <w:pPr>
        <w:spacing w:after="0" w:line="310" w:lineRule="atLeast"/>
        <w:jc w:val="both"/>
        <w:rPr>
          <w:sz w:val="21"/>
        </w:rPr>
        <w:sectPr>
          <w:pgSz w:w="11910" w:h="16840"/>
          <w:pgMar w:header="0" w:footer="925" w:top="1100" w:bottom="1120" w:left="820" w:right="9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27"/>
        <w:gridCol w:w="7378"/>
      </w:tblGrid>
      <w:tr>
        <w:trPr>
          <w:trHeight w:val="2215" w:hRule="atLeast"/>
        </w:trPr>
        <w:tc>
          <w:tcPr>
            <w:tcW w:w="662" w:type="dxa"/>
          </w:tcPr>
          <w:p>
            <w:pPr>
              <w:pStyle w:val="TableParagraph"/>
              <w:rPr>
                <w:rFonts w:ascii="Times New Roman"/>
                <w:sz w:val="20"/>
              </w:rPr>
            </w:pPr>
          </w:p>
        </w:tc>
        <w:tc>
          <w:tcPr>
            <w:tcW w:w="1627" w:type="dxa"/>
          </w:tcPr>
          <w:p>
            <w:pPr>
              <w:pStyle w:val="TableParagraph"/>
              <w:rPr>
                <w:rFonts w:ascii="Times New Roman"/>
                <w:sz w:val="20"/>
              </w:rPr>
            </w:pPr>
          </w:p>
        </w:tc>
        <w:tc>
          <w:tcPr>
            <w:tcW w:w="7378" w:type="dxa"/>
          </w:tcPr>
          <w:p>
            <w:pPr>
              <w:pStyle w:val="TableParagraph"/>
              <w:spacing w:line="202" w:lineRule="exact"/>
              <w:ind w:left="123"/>
              <w:rPr>
                <w:sz w:val="21"/>
              </w:rPr>
            </w:pPr>
            <w:r>
              <w:rPr>
                <w:sz w:val="21"/>
              </w:rPr>
              <w:t>若被保险人因意外伤害事故或于本合同生效之日起 90 天后因意外伤害事故之</w:t>
            </w:r>
          </w:p>
          <w:p>
            <w:pPr>
              <w:pStyle w:val="TableParagraph"/>
              <w:spacing w:line="273" w:lineRule="auto" w:before="37"/>
              <w:ind w:left="123" w:right="106"/>
              <w:jc w:val="both"/>
              <w:rPr>
                <w:sz w:val="21"/>
              </w:rPr>
            </w:pPr>
            <w:r>
              <w:rPr>
                <w:spacing w:val="-3"/>
                <w:sz w:val="21"/>
              </w:rPr>
              <w:t>外的原因，首次发生并在我们认可的医院由专科医生确诊患本合同约定的任何</w:t>
            </w:r>
            <w:r>
              <w:rPr>
                <w:spacing w:val="-9"/>
                <w:sz w:val="21"/>
              </w:rPr>
              <w:t>一种或多种特定疾病，我们将按本合同约定的基本保险金额的 </w:t>
            </w:r>
            <w:r>
              <w:rPr>
                <w:sz w:val="21"/>
              </w:rPr>
              <w:t>150</w:t>
            </w:r>
            <w:r>
              <w:rPr>
                <w:spacing w:val="-3"/>
                <w:sz w:val="21"/>
              </w:rPr>
              <w:t>%给付特定疾病保险金，同时本合同效力终止。</w:t>
            </w:r>
          </w:p>
          <w:p>
            <w:pPr>
              <w:pStyle w:val="TableParagraph"/>
              <w:rPr>
                <w:sz w:val="20"/>
              </w:rPr>
            </w:pPr>
          </w:p>
          <w:p>
            <w:pPr>
              <w:pStyle w:val="TableParagraph"/>
              <w:spacing w:before="6"/>
              <w:rPr>
                <w:sz w:val="25"/>
              </w:rPr>
            </w:pPr>
          </w:p>
          <w:p>
            <w:pPr>
              <w:pStyle w:val="TableParagraph"/>
              <w:ind w:left="123"/>
              <w:jc w:val="both"/>
              <w:rPr>
                <w:b/>
                <w:sz w:val="21"/>
              </w:rPr>
            </w:pPr>
            <w:r>
              <w:rPr>
                <w:b/>
                <w:sz w:val="21"/>
              </w:rPr>
              <w:t>重大疾病保险金和特定疾病保险金，我们仅给付其中一项。</w:t>
            </w:r>
          </w:p>
        </w:tc>
      </w:tr>
      <w:tr>
        <w:trPr>
          <w:trHeight w:val="7701" w:hRule="atLeast"/>
        </w:trPr>
        <w:tc>
          <w:tcPr>
            <w:tcW w:w="662" w:type="dxa"/>
          </w:tcPr>
          <w:p>
            <w:pPr>
              <w:pStyle w:val="TableParagraph"/>
              <w:spacing w:before="95"/>
              <w:ind w:left="107"/>
              <w:rPr>
                <w:b/>
                <w:sz w:val="21"/>
              </w:rPr>
            </w:pPr>
            <w:r>
              <w:rPr>
                <w:b/>
                <w:sz w:val="21"/>
              </w:rPr>
              <w:t>2.5</w:t>
            </w:r>
          </w:p>
        </w:tc>
        <w:tc>
          <w:tcPr>
            <w:tcW w:w="1627" w:type="dxa"/>
          </w:tcPr>
          <w:p>
            <w:pPr>
              <w:pStyle w:val="TableParagraph"/>
              <w:spacing w:before="95"/>
              <w:ind w:left="236"/>
              <w:rPr>
                <w:b/>
                <w:sz w:val="21"/>
              </w:rPr>
            </w:pPr>
            <w:r>
              <w:rPr>
                <w:b/>
                <w:sz w:val="21"/>
              </w:rPr>
              <w:t>责任免除</w:t>
            </w:r>
          </w:p>
        </w:tc>
        <w:tc>
          <w:tcPr>
            <w:tcW w:w="7378" w:type="dxa"/>
          </w:tcPr>
          <w:p>
            <w:pPr>
              <w:pStyle w:val="TableParagraph"/>
              <w:spacing w:line="273" w:lineRule="auto" w:before="95"/>
              <w:ind w:left="123" w:right="57"/>
              <w:rPr>
                <w:b/>
                <w:sz w:val="21"/>
              </w:rPr>
            </w:pPr>
            <w:r>
              <w:rPr>
                <w:b/>
                <w:sz w:val="21"/>
              </w:rPr>
              <w:t>因下列情形之一导致被保险人患轻型疾病、重大疾病或特定疾病的，我们不承担给付轻型疾病保险金、重大疾病保险金或特定疾病保险金责任：</w:t>
            </w:r>
          </w:p>
          <w:p>
            <w:pPr>
              <w:pStyle w:val="TableParagraph"/>
              <w:spacing w:before="163"/>
              <w:ind w:left="123"/>
              <w:rPr>
                <w:b/>
                <w:sz w:val="21"/>
              </w:rPr>
            </w:pPr>
            <w:r>
              <w:rPr>
                <w:b/>
                <w:sz w:val="21"/>
              </w:rPr>
              <w:t>1.投保人对被保险人的故意杀害、故意伤害；</w:t>
            </w:r>
          </w:p>
          <w:p>
            <w:pPr>
              <w:pStyle w:val="TableParagraph"/>
              <w:spacing w:before="9"/>
              <w:rPr>
                <w:sz w:val="14"/>
              </w:rPr>
            </w:pPr>
          </w:p>
          <w:p>
            <w:pPr>
              <w:pStyle w:val="TableParagraph"/>
              <w:ind w:left="123"/>
              <w:rPr>
                <w:b/>
                <w:sz w:val="21"/>
              </w:rPr>
            </w:pPr>
            <w:r>
              <w:rPr>
                <w:b/>
                <w:sz w:val="21"/>
              </w:rPr>
              <w:t>2.被保险人故意犯罪或者抗拒依法采取的刑事强制措施；</w:t>
            </w:r>
          </w:p>
          <w:p>
            <w:pPr>
              <w:pStyle w:val="TableParagraph"/>
              <w:spacing w:before="9"/>
              <w:rPr>
                <w:sz w:val="14"/>
              </w:rPr>
            </w:pPr>
          </w:p>
          <w:p>
            <w:pPr>
              <w:pStyle w:val="TableParagraph"/>
              <w:spacing w:line="273" w:lineRule="auto"/>
              <w:ind w:left="123" w:right="106"/>
              <w:rPr>
                <w:b/>
                <w:sz w:val="21"/>
              </w:rPr>
            </w:pPr>
            <w:r>
              <w:rPr>
                <w:b/>
                <w:w w:val="99"/>
                <w:sz w:val="21"/>
              </w:rPr>
              <w:t>3.</w:t>
            </w:r>
            <w:r>
              <w:rPr>
                <w:b/>
                <w:sz w:val="21"/>
              </w:rPr>
              <w:t> </w:t>
            </w:r>
            <w:r>
              <w:rPr>
                <w:b/>
                <w:spacing w:val="-1"/>
                <w:w w:val="100"/>
                <w:sz w:val="21"/>
              </w:rPr>
              <w:t>被保险人酒后驾驶</w:t>
            </w:r>
            <w:r>
              <w:rPr>
                <w:spacing w:val="-3"/>
                <w:w w:val="100"/>
                <w:sz w:val="21"/>
              </w:rPr>
              <w:t>（</w:t>
            </w:r>
            <w:r>
              <w:rPr>
                <w:w w:val="100"/>
                <w:sz w:val="21"/>
              </w:rPr>
              <w:t>见</w:t>
            </w:r>
            <w:r>
              <w:rPr>
                <w:spacing w:val="-53"/>
                <w:sz w:val="21"/>
              </w:rPr>
              <w:t> </w:t>
            </w:r>
            <w:r>
              <w:rPr>
                <w:w w:val="100"/>
                <w:sz w:val="21"/>
              </w:rPr>
              <w:t>8.</w:t>
            </w:r>
            <w:r>
              <w:rPr>
                <w:spacing w:val="-2"/>
                <w:w w:val="100"/>
                <w:sz w:val="21"/>
              </w:rPr>
              <w:t>1</w:t>
            </w:r>
            <w:r>
              <w:rPr>
                <w:w w:val="100"/>
                <w:sz w:val="21"/>
              </w:rPr>
              <w:t>1</w:t>
            </w:r>
            <w:r>
              <w:rPr>
                <w:spacing w:val="-108"/>
                <w:w w:val="100"/>
                <w:sz w:val="21"/>
              </w:rPr>
              <w:t>）</w:t>
            </w:r>
            <w:r>
              <w:rPr>
                <w:b/>
                <w:spacing w:val="-4"/>
                <w:w w:val="100"/>
                <w:sz w:val="21"/>
              </w:rPr>
              <w:t>，无合法有效驾驶证驾驶</w:t>
            </w:r>
            <w:r>
              <w:rPr>
                <w:w w:val="100"/>
                <w:sz w:val="21"/>
              </w:rPr>
              <w:t>（见</w:t>
            </w:r>
            <w:r>
              <w:rPr>
                <w:spacing w:val="-55"/>
                <w:sz w:val="21"/>
              </w:rPr>
              <w:t> </w:t>
            </w:r>
            <w:r>
              <w:rPr>
                <w:w w:val="100"/>
                <w:sz w:val="21"/>
              </w:rPr>
              <w:t>8.1</w:t>
            </w:r>
            <w:r>
              <w:rPr>
                <w:spacing w:val="-3"/>
                <w:w w:val="100"/>
                <w:sz w:val="21"/>
              </w:rPr>
              <w:t>2</w:t>
            </w:r>
            <w:r>
              <w:rPr>
                <w:spacing w:val="-108"/>
                <w:w w:val="100"/>
                <w:sz w:val="21"/>
              </w:rPr>
              <w:t>）</w:t>
            </w:r>
            <w:r>
              <w:rPr>
                <w:b/>
                <w:spacing w:val="-2"/>
                <w:w w:val="100"/>
                <w:sz w:val="21"/>
              </w:rPr>
              <w:t>，或驾驶无有效行驶证</w:t>
            </w:r>
            <w:r>
              <w:rPr>
                <w:spacing w:val="-3"/>
                <w:w w:val="100"/>
                <w:sz w:val="21"/>
              </w:rPr>
              <w:t>（</w:t>
            </w:r>
            <w:r>
              <w:rPr>
                <w:w w:val="100"/>
                <w:sz w:val="21"/>
              </w:rPr>
              <w:t>见</w:t>
            </w:r>
            <w:r>
              <w:rPr>
                <w:spacing w:val="-53"/>
                <w:sz w:val="21"/>
              </w:rPr>
              <w:t> </w:t>
            </w:r>
            <w:r>
              <w:rPr>
                <w:spacing w:val="-3"/>
                <w:w w:val="100"/>
                <w:sz w:val="21"/>
              </w:rPr>
              <w:t>8</w:t>
            </w:r>
            <w:r>
              <w:rPr>
                <w:w w:val="100"/>
                <w:sz w:val="21"/>
              </w:rPr>
              <w:t>.13</w:t>
            </w:r>
            <w:r>
              <w:rPr>
                <w:spacing w:val="-3"/>
                <w:w w:val="100"/>
                <w:sz w:val="21"/>
              </w:rPr>
              <w:t>）</w:t>
            </w:r>
            <w:r>
              <w:rPr>
                <w:b/>
                <w:w w:val="100"/>
                <w:sz w:val="21"/>
              </w:rPr>
              <w:t>的机动车</w:t>
            </w:r>
            <w:r>
              <w:rPr>
                <w:spacing w:val="-3"/>
                <w:w w:val="100"/>
                <w:sz w:val="21"/>
              </w:rPr>
              <w:t>（</w:t>
            </w:r>
            <w:r>
              <w:rPr>
                <w:w w:val="100"/>
                <w:sz w:val="21"/>
              </w:rPr>
              <w:t>见</w:t>
            </w:r>
            <w:r>
              <w:rPr>
                <w:spacing w:val="-53"/>
                <w:sz w:val="21"/>
              </w:rPr>
              <w:t> </w:t>
            </w:r>
            <w:r>
              <w:rPr>
                <w:w w:val="100"/>
                <w:sz w:val="21"/>
              </w:rPr>
              <w:t>8.</w:t>
            </w:r>
            <w:r>
              <w:rPr>
                <w:spacing w:val="-3"/>
                <w:w w:val="100"/>
                <w:sz w:val="21"/>
              </w:rPr>
              <w:t>1</w:t>
            </w:r>
            <w:r>
              <w:rPr>
                <w:w w:val="100"/>
                <w:sz w:val="21"/>
              </w:rPr>
              <w:t>4</w:t>
            </w:r>
            <w:r>
              <w:rPr>
                <w:spacing w:val="-108"/>
                <w:w w:val="100"/>
                <w:sz w:val="21"/>
              </w:rPr>
              <w:t>）</w:t>
            </w:r>
            <w:r>
              <w:rPr>
                <w:b/>
                <w:w w:val="100"/>
                <w:sz w:val="21"/>
              </w:rPr>
              <w:t>；</w:t>
            </w:r>
          </w:p>
          <w:p>
            <w:pPr>
              <w:pStyle w:val="TableParagraph"/>
              <w:spacing w:before="163"/>
              <w:ind w:left="123"/>
              <w:rPr>
                <w:b/>
                <w:sz w:val="21"/>
              </w:rPr>
            </w:pPr>
            <w:r>
              <w:rPr>
                <w:b/>
                <w:sz w:val="21"/>
              </w:rPr>
              <w:t>4.战争、军事冲突、暴乱或武装叛乱；</w:t>
            </w:r>
          </w:p>
          <w:p>
            <w:pPr>
              <w:pStyle w:val="TableParagraph"/>
              <w:spacing w:before="9"/>
              <w:rPr>
                <w:sz w:val="14"/>
              </w:rPr>
            </w:pPr>
          </w:p>
          <w:p>
            <w:pPr>
              <w:pStyle w:val="TableParagraph"/>
              <w:ind w:left="123"/>
              <w:rPr>
                <w:b/>
                <w:sz w:val="21"/>
              </w:rPr>
            </w:pPr>
            <w:r>
              <w:rPr>
                <w:b/>
                <w:w w:val="99"/>
                <w:sz w:val="21"/>
              </w:rPr>
              <w:t>5.</w:t>
            </w:r>
            <w:r>
              <w:rPr>
                <w:b/>
                <w:spacing w:val="-1"/>
                <w:w w:val="100"/>
                <w:sz w:val="21"/>
              </w:rPr>
              <w:t>被保险人主动吸食或注射毒品</w:t>
            </w:r>
            <w:r>
              <w:rPr>
                <w:spacing w:val="-3"/>
                <w:w w:val="100"/>
                <w:sz w:val="21"/>
              </w:rPr>
              <w:t>（</w:t>
            </w:r>
            <w:r>
              <w:rPr>
                <w:w w:val="100"/>
                <w:sz w:val="21"/>
              </w:rPr>
              <w:t>见</w:t>
            </w:r>
            <w:r>
              <w:rPr>
                <w:spacing w:val="-53"/>
                <w:sz w:val="21"/>
              </w:rPr>
              <w:t> </w:t>
            </w:r>
            <w:r>
              <w:rPr>
                <w:w w:val="100"/>
                <w:sz w:val="21"/>
              </w:rPr>
              <w:t>8.</w:t>
            </w:r>
            <w:r>
              <w:rPr>
                <w:spacing w:val="-3"/>
                <w:w w:val="100"/>
                <w:sz w:val="21"/>
              </w:rPr>
              <w:t>1</w:t>
            </w:r>
            <w:r>
              <w:rPr>
                <w:w w:val="100"/>
                <w:sz w:val="21"/>
              </w:rPr>
              <w:t>5</w:t>
            </w:r>
            <w:r>
              <w:rPr>
                <w:spacing w:val="-108"/>
                <w:w w:val="100"/>
                <w:sz w:val="21"/>
              </w:rPr>
              <w:t>）</w:t>
            </w:r>
            <w:r>
              <w:rPr>
                <w:b/>
                <w:w w:val="100"/>
                <w:sz w:val="21"/>
              </w:rPr>
              <w:t>；</w:t>
            </w:r>
          </w:p>
          <w:p>
            <w:pPr>
              <w:pStyle w:val="TableParagraph"/>
              <w:spacing w:before="9"/>
              <w:rPr>
                <w:sz w:val="14"/>
              </w:rPr>
            </w:pPr>
          </w:p>
          <w:p>
            <w:pPr>
              <w:pStyle w:val="TableParagraph"/>
              <w:spacing w:line="273" w:lineRule="auto"/>
              <w:ind w:left="123" w:right="196"/>
              <w:rPr>
                <w:b/>
                <w:sz w:val="21"/>
              </w:rPr>
            </w:pPr>
            <w:r>
              <w:rPr>
                <w:b/>
                <w:w w:val="99"/>
                <w:sz w:val="21"/>
              </w:rPr>
              <w:t>6.</w:t>
            </w:r>
            <w:r>
              <w:rPr>
                <w:b/>
                <w:w w:val="100"/>
                <w:sz w:val="21"/>
              </w:rPr>
              <w:t>遗传性疾病</w:t>
            </w:r>
            <w:r>
              <w:rPr>
                <w:spacing w:val="-3"/>
                <w:w w:val="100"/>
                <w:sz w:val="21"/>
              </w:rPr>
              <w:t>（</w:t>
            </w:r>
            <w:r>
              <w:rPr>
                <w:w w:val="100"/>
                <w:sz w:val="21"/>
              </w:rPr>
              <w:t>见</w:t>
            </w:r>
            <w:r>
              <w:rPr>
                <w:spacing w:val="-53"/>
                <w:sz w:val="21"/>
              </w:rPr>
              <w:t> </w:t>
            </w:r>
            <w:r>
              <w:rPr>
                <w:w w:val="100"/>
                <w:sz w:val="21"/>
              </w:rPr>
              <w:t>8.</w:t>
            </w:r>
            <w:r>
              <w:rPr>
                <w:spacing w:val="-3"/>
                <w:w w:val="100"/>
                <w:sz w:val="21"/>
              </w:rPr>
              <w:t>1</w:t>
            </w:r>
            <w:r>
              <w:rPr>
                <w:w w:val="100"/>
                <w:sz w:val="21"/>
              </w:rPr>
              <w:t>6</w:t>
            </w:r>
            <w:r>
              <w:rPr>
                <w:spacing w:val="-108"/>
                <w:w w:val="100"/>
                <w:sz w:val="21"/>
              </w:rPr>
              <w:t>）</w:t>
            </w:r>
            <w:r>
              <w:rPr>
                <w:b/>
                <w:spacing w:val="-2"/>
                <w:w w:val="100"/>
                <w:sz w:val="21"/>
              </w:rPr>
              <w:t>、先天性畸形、变形或染色体异常</w:t>
            </w:r>
            <w:r>
              <w:rPr>
                <w:spacing w:val="-3"/>
                <w:w w:val="100"/>
                <w:sz w:val="21"/>
              </w:rPr>
              <w:t>（</w:t>
            </w:r>
            <w:r>
              <w:rPr>
                <w:w w:val="100"/>
                <w:sz w:val="21"/>
              </w:rPr>
              <w:t>见</w:t>
            </w:r>
            <w:r>
              <w:rPr>
                <w:spacing w:val="-53"/>
                <w:sz w:val="21"/>
              </w:rPr>
              <w:t> </w:t>
            </w:r>
            <w:r>
              <w:rPr>
                <w:w w:val="100"/>
                <w:sz w:val="21"/>
              </w:rPr>
              <w:t>8.</w:t>
            </w:r>
            <w:r>
              <w:rPr>
                <w:spacing w:val="-3"/>
                <w:w w:val="100"/>
                <w:sz w:val="21"/>
              </w:rPr>
              <w:t>1</w:t>
            </w:r>
            <w:r>
              <w:rPr>
                <w:w w:val="100"/>
                <w:sz w:val="21"/>
              </w:rPr>
              <w:t>7</w:t>
            </w:r>
            <w:r>
              <w:rPr>
                <w:spacing w:val="-108"/>
                <w:w w:val="100"/>
                <w:sz w:val="21"/>
              </w:rPr>
              <w:t>）</w:t>
            </w:r>
            <w:r>
              <w:rPr>
                <w:b/>
                <w:w w:val="100"/>
                <w:sz w:val="21"/>
              </w:rPr>
              <w:t>，不包</w:t>
            </w:r>
            <w:r>
              <w:rPr>
                <w:b/>
                <w:spacing w:val="-1"/>
                <w:sz w:val="21"/>
              </w:rPr>
              <w:t>含严重肌营养不良症；</w:t>
            </w:r>
          </w:p>
          <w:p>
            <w:pPr>
              <w:pStyle w:val="TableParagraph"/>
              <w:spacing w:line="273" w:lineRule="auto" w:before="163"/>
              <w:ind w:left="123" w:right="137"/>
              <w:rPr>
                <w:b/>
                <w:sz w:val="21"/>
              </w:rPr>
            </w:pPr>
            <w:r>
              <w:rPr>
                <w:b/>
                <w:w w:val="99"/>
                <w:sz w:val="21"/>
              </w:rPr>
              <w:t>7.</w:t>
            </w:r>
            <w:r>
              <w:rPr>
                <w:b/>
                <w:spacing w:val="-1"/>
                <w:w w:val="100"/>
                <w:sz w:val="21"/>
              </w:rPr>
              <w:t>被保险人感染艾滋病病毒或患艾滋病</w:t>
            </w:r>
            <w:r>
              <w:rPr>
                <w:spacing w:val="-3"/>
                <w:w w:val="100"/>
                <w:sz w:val="21"/>
              </w:rPr>
              <w:t>（</w:t>
            </w:r>
            <w:r>
              <w:rPr>
                <w:w w:val="100"/>
                <w:sz w:val="21"/>
              </w:rPr>
              <w:t>见</w:t>
            </w:r>
            <w:r>
              <w:rPr>
                <w:spacing w:val="-53"/>
                <w:sz w:val="21"/>
              </w:rPr>
              <w:t> </w:t>
            </w:r>
            <w:r>
              <w:rPr>
                <w:spacing w:val="-3"/>
                <w:w w:val="100"/>
                <w:sz w:val="21"/>
              </w:rPr>
              <w:t>8</w:t>
            </w:r>
            <w:r>
              <w:rPr>
                <w:w w:val="100"/>
                <w:sz w:val="21"/>
              </w:rPr>
              <w:t>.18</w:t>
            </w:r>
            <w:r>
              <w:rPr>
                <w:spacing w:val="-108"/>
                <w:w w:val="100"/>
                <w:sz w:val="21"/>
              </w:rPr>
              <w:t>）</w:t>
            </w:r>
            <w:r>
              <w:rPr>
                <w:b/>
                <w:spacing w:val="-2"/>
                <w:w w:val="100"/>
                <w:sz w:val="21"/>
              </w:rPr>
              <w:t>，不包含经输血感染艾滋病</w:t>
            </w:r>
            <w:r>
              <w:rPr>
                <w:b/>
                <w:spacing w:val="-2"/>
                <w:sz w:val="21"/>
              </w:rPr>
              <w:t>病毒；</w:t>
            </w:r>
          </w:p>
          <w:p>
            <w:pPr>
              <w:pStyle w:val="TableParagraph"/>
              <w:spacing w:before="163"/>
              <w:ind w:left="123"/>
              <w:rPr>
                <w:b/>
                <w:sz w:val="21"/>
              </w:rPr>
            </w:pPr>
            <w:r>
              <w:rPr>
                <w:b/>
                <w:sz w:val="21"/>
              </w:rPr>
              <w:t>8.核爆炸、核辐射或核污染。</w:t>
            </w:r>
          </w:p>
          <w:p>
            <w:pPr>
              <w:pStyle w:val="TableParagraph"/>
              <w:spacing w:before="9"/>
              <w:rPr>
                <w:sz w:val="14"/>
              </w:rPr>
            </w:pPr>
          </w:p>
          <w:p>
            <w:pPr>
              <w:pStyle w:val="TableParagraph"/>
              <w:spacing w:line="273" w:lineRule="auto"/>
              <w:ind w:left="123" w:right="106"/>
              <w:jc w:val="both"/>
              <w:rPr>
                <w:b/>
                <w:sz w:val="21"/>
              </w:rPr>
            </w:pPr>
            <w:r>
              <w:rPr>
                <w:b/>
                <w:spacing w:val="-8"/>
                <w:sz w:val="21"/>
              </w:rPr>
              <w:t>发生上述第 </w:t>
            </w:r>
            <w:r>
              <w:rPr>
                <w:b/>
                <w:sz w:val="21"/>
              </w:rPr>
              <w:t>1</w:t>
            </w:r>
            <w:r>
              <w:rPr>
                <w:b/>
                <w:spacing w:val="-9"/>
                <w:sz w:val="21"/>
              </w:rPr>
              <w:t> 项情形导致被保险人确诊首次患本合同约定的轻型疾病、重大疾</w:t>
            </w:r>
            <w:r>
              <w:rPr>
                <w:b/>
                <w:spacing w:val="-10"/>
                <w:sz w:val="21"/>
              </w:rPr>
              <w:t>病或特定疾病的，本合同效力终止，我们向被保险人退还确诊首次患病时的保</w:t>
            </w:r>
            <w:r>
              <w:rPr>
                <w:b/>
                <w:spacing w:val="-10"/>
                <w:w w:val="100"/>
                <w:sz w:val="21"/>
              </w:rPr>
              <w:t>单现金价值</w:t>
            </w:r>
            <w:r>
              <w:rPr>
                <w:spacing w:val="-3"/>
                <w:w w:val="100"/>
                <w:sz w:val="21"/>
              </w:rPr>
              <w:t>（</w:t>
            </w:r>
            <w:r>
              <w:rPr>
                <w:w w:val="100"/>
                <w:sz w:val="21"/>
              </w:rPr>
              <w:t>见</w:t>
            </w:r>
            <w:r>
              <w:rPr>
                <w:spacing w:val="-53"/>
                <w:sz w:val="21"/>
              </w:rPr>
              <w:t> </w:t>
            </w:r>
            <w:r>
              <w:rPr>
                <w:w w:val="100"/>
                <w:sz w:val="21"/>
              </w:rPr>
              <w:t>8</w:t>
            </w:r>
            <w:r>
              <w:rPr>
                <w:spacing w:val="-3"/>
                <w:w w:val="100"/>
                <w:sz w:val="21"/>
              </w:rPr>
              <w:t>.</w:t>
            </w:r>
            <w:r>
              <w:rPr>
                <w:w w:val="100"/>
                <w:sz w:val="21"/>
              </w:rPr>
              <w:t>19</w:t>
            </w:r>
            <w:r>
              <w:rPr>
                <w:spacing w:val="-108"/>
                <w:w w:val="100"/>
                <w:sz w:val="21"/>
              </w:rPr>
              <w:t>）</w:t>
            </w:r>
            <w:r>
              <w:rPr>
                <w:b/>
                <w:w w:val="100"/>
                <w:sz w:val="21"/>
              </w:rPr>
              <w:t>。</w:t>
            </w:r>
          </w:p>
          <w:p>
            <w:pPr>
              <w:pStyle w:val="TableParagraph"/>
              <w:spacing w:line="273" w:lineRule="auto" w:before="163"/>
              <w:ind w:left="123" w:right="108"/>
              <w:jc w:val="both"/>
              <w:rPr>
                <w:b/>
                <w:sz w:val="21"/>
              </w:rPr>
            </w:pPr>
            <w:r>
              <w:rPr>
                <w:b/>
                <w:spacing w:val="-4"/>
                <w:sz w:val="21"/>
              </w:rPr>
              <w:t>发生上述其它情形导致被保险人确诊首次患本合同约定的轻型疾病、重大疾病</w:t>
            </w:r>
            <w:r>
              <w:rPr>
                <w:b/>
                <w:spacing w:val="-7"/>
                <w:sz w:val="21"/>
              </w:rPr>
              <w:t>或特定疾病的，本合同效力终止，我们向您退还被保险人确诊首次患病时的保险单现金价值。</w:t>
            </w:r>
          </w:p>
        </w:tc>
      </w:tr>
      <w:tr>
        <w:trPr>
          <w:trHeight w:val="626" w:hRule="atLeast"/>
        </w:trPr>
        <w:tc>
          <w:tcPr>
            <w:tcW w:w="662" w:type="dxa"/>
            <w:tcBorders>
              <w:bottom w:val="single" w:sz="8" w:space="0" w:color="000000"/>
            </w:tcBorders>
          </w:tcPr>
          <w:p>
            <w:pPr>
              <w:pStyle w:val="TableParagraph"/>
              <w:spacing w:before="62"/>
              <w:ind w:left="107"/>
              <w:rPr>
                <w:b/>
                <w:sz w:val="24"/>
              </w:rPr>
            </w:pPr>
            <w:r>
              <w:rPr>
                <w:b/>
                <w:sz w:val="24"/>
              </w:rPr>
              <w:t>3.</w:t>
            </w:r>
          </w:p>
        </w:tc>
        <w:tc>
          <w:tcPr>
            <w:tcW w:w="9005" w:type="dxa"/>
            <w:gridSpan w:val="2"/>
            <w:tcBorders>
              <w:bottom w:val="single" w:sz="8" w:space="0" w:color="000000"/>
            </w:tcBorders>
          </w:tcPr>
          <w:p>
            <w:pPr>
              <w:pStyle w:val="TableParagraph"/>
              <w:spacing w:before="62"/>
              <w:ind w:left="236"/>
              <w:rPr>
                <w:b/>
                <w:sz w:val="24"/>
              </w:rPr>
            </w:pPr>
            <w:r>
              <w:rPr>
                <w:b/>
                <w:w w:val="95"/>
                <w:sz w:val="24"/>
              </w:rPr>
              <w:t>保险金的申请</w:t>
            </w:r>
          </w:p>
        </w:tc>
      </w:tr>
      <w:tr>
        <w:trPr>
          <w:trHeight w:val="557" w:hRule="atLeast"/>
        </w:trPr>
        <w:tc>
          <w:tcPr>
            <w:tcW w:w="662" w:type="dxa"/>
            <w:tcBorders>
              <w:top w:val="single" w:sz="8" w:space="0" w:color="000000"/>
            </w:tcBorders>
          </w:tcPr>
          <w:p>
            <w:pPr>
              <w:pStyle w:val="TableParagraph"/>
              <w:spacing w:before="129"/>
              <w:ind w:left="107"/>
              <w:rPr>
                <w:b/>
                <w:sz w:val="21"/>
              </w:rPr>
            </w:pPr>
            <w:r>
              <w:rPr>
                <w:b/>
                <w:sz w:val="21"/>
              </w:rPr>
              <w:t>3.1</w:t>
            </w:r>
          </w:p>
        </w:tc>
        <w:tc>
          <w:tcPr>
            <w:tcW w:w="1627" w:type="dxa"/>
            <w:tcBorders>
              <w:top w:val="single" w:sz="8" w:space="0" w:color="000000"/>
            </w:tcBorders>
          </w:tcPr>
          <w:p>
            <w:pPr>
              <w:pStyle w:val="TableParagraph"/>
              <w:spacing w:before="129"/>
              <w:ind w:left="236"/>
              <w:rPr>
                <w:b/>
                <w:sz w:val="21"/>
              </w:rPr>
            </w:pPr>
            <w:r>
              <w:rPr>
                <w:b/>
                <w:sz w:val="21"/>
              </w:rPr>
              <w:t>受益人</w:t>
            </w:r>
          </w:p>
        </w:tc>
        <w:tc>
          <w:tcPr>
            <w:tcW w:w="7378" w:type="dxa"/>
            <w:tcBorders>
              <w:top w:val="single" w:sz="8" w:space="0" w:color="000000"/>
            </w:tcBorders>
          </w:tcPr>
          <w:p>
            <w:pPr>
              <w:pStyle w:val="TableParagraph"/>
              <w:spacing w:before="129"/>
              <w:ind w:left="123"/>
              <w:rPr>
                <w:sz w:val="21"/>
              </w:rPr>
            </w:pPr>
            <w:r>
              <w:rPr>
                <w:sz w:val="21"/>
              </w:rPr>
              <w:t>本合同保险金的受益人为被保险人本人。</w:t>
            </w:r>
          </w:p>
        </w:tc>
      </w:tr>
      <w:tr>
        <w:trPr>
          <w:trHeight w:val="2200" w:hRule="atLeast"/>
        </w:trPr>
        <w:tc>
          <w:tcPr>
            <w:tcW w:w="662" w:type="dxa"/>
          </w:tcPr>
          <w:p>
            <w:pPr>
              <w:pStyle w:val="TableParagraph"/>
              <w:spacing w:before="71"/>
              <w:ind w:left="107"/>
              <w:rPr>
                <w:b/>
                <w:sz w:val="21"/>
              </w:rPr>
            </w:pPr>
            <w:r>
              <w:rPr>
                <w:b/>
                <w:sz w:val="21"/>
              </w:rPr>
              <w:t>3.2</w:t>
            </w:r>
          </w:p>
        </w:tc>
        <w:tc>
          <w:tcPr>
            <w:tcW w:w="1627" w:type="dxa"/>
          </w:tcPr>
          <w:p>
            <w:pPr>
              <w:pStyle w:val="TableParagraph"/>
              <w:spacing w:before="71"/>
              <w:ind w:left="236"/>
              <w:rPr>
                <w:b/>
                <w:sz w:val="21"/>
              </w:rPr>
            </w:pPr>
            <w:r>
              <w:rPr>
                <w:b/>
                <w:sz w:val="21"/>
              </w:rPr>
              <w:t>保险事故通知</w:t>
            </w:r>
          </w:p>
        </w:tc>
        <w:tc>
          <w:tcPr>
            <w:tcW w:w="7378" w:type="dxa"/>
          </w:tcPr>
          <w:p>
            <w:pPr>
              <w:pStyle w:val="TableParagraph"/>
              <w:spacing w:before="71"/>
              <w:ind w:left="123"/>
              <w:rPr>
                <w:sz w:val="21"/>
              </w:rPr>
            </w:pPr>
            <w:r>
              <w:rPr>
                <w:sz w:val="21"/>
              </w:rPr>
              <w:t>您、被保险人或受益人应在知道保险事故发生后 10 日内通知我们。</w:t>
            </w:r>
          </w:p>
          <w:p>
            <w:pPr>
              <w:pStyle w:val="TableParagraph"/>
              <w:spacing w:before="10"/>
              <w:rPr>
                <w:sz w:val="14"/>
              </w:rPr>
            </w:pPr>
          </w:p>
          <w:p>
            <w:pPr>
              <w:pStyle w:val="TableParagraph"/>
              <w:spacing w:line="273" w:lineRule="auto"/>
              <w:ind w:left="123" w:right="103"/>
              <w:jc w:val="both"/>
              <w:rPr>
                <w:sz w:val="21"/>
              </w:rPr>
            </w:pPr>
            <w:r>
              <w:rPr>
                <w:b/>
                <w:spacing w:val="-4"/>
                <w:sz w:val="21"/>
              </w:rPr>
              <w:t>如果您、被保险人或受益人故意或者因重大过失未及时通知，致使保险事故的</w:t>
            </w:r>
            <w:r>
              <w:rPr>
                <w:b/>
                <w:spacing w:val="-7"/>
                <w:sz w:val="21"/>
              </w:rPr>
              <w:t>性质、原因、损失程度等难以确定的，我们对无法确定的部分，不承担给付保险金的责任</w:t>
            </w:r>
            <w:r>
              <w:rPr>
                <w:spacing w:val="-3"/>
                <w:sz w:val="21"/>
              </w:rPr>
              <w:t>，但我们通过其他途径已经及时知道或者应当及时知道保险事故发生的或者虽未及时通知但不影响我们确定保险事故的性质、原因、损失程度的除外。</w:t>
            </w:r>
          </w:p>
        </w:tc>
      </w:tr>
      <w:tr>
        <w:trPr>
          <w:trHeight w:val="651" w:hRule="atLeast"/>
        </w:trPr>
        <w:tc>
          <w:tcPr>
            <w:tcW w:w="662" w:type="dxa"/>
          </w:tcPr>
          <w:p>
            <w:pPr>
              <w:pStyle w:val="TableParagraph"/>
              <w:spacing w:before="56"/>
              <w:ind w:left="107"/>
              <w:rPr>
                <w:b/>
                <w:sz w:val="21"/>
              </w:rPr>
            </w:pPr>
            <w:r>
              <w:rPr>
                <w:b/>
                <w:sz w:val="21"/>
              </w:rPr>
              <w:t>3.3</w:t>
            </w:r>
          </w:p>
        </w:tc>
        <w:tc>
          <w:tcPr>
            <w:tcW w:w="1627" w:type="dxa"/>
          </w:tcPr>
          <w:p>
            <w:pPr>
              <w:pStyle w:val="TableParagraph"/>
              <w:spacing w:before="56"/>
              <w:ind w:left="236"/>
              <w:rPr>
                <w:b/>
                <w:sz w:val="21"/>
              </w:rPr>
            </w:pPr>
            <w:r>
              <w:rPr>
                <w:b/>
                <w:sz w:val="21"/>
              </w:rPr>
              <w:t>保险金申请</w:t>
            </w:r>
          </w:p>
        </w:tc>
        <w:tc>
          <w:tcPr>
            <w:tcW w:w="7378" w:type="dxa"/>
          </w:tcPr>
          <w:p>
            <w:pPr>
              <w:pStyle w:val="TableParagraph"/>
              <w:spacing w:line="310" w:lineRule="atLeast" w:before="20"/>
              <w:ind w:left="123" w:right="105"/>
              <w:rPr>
                <w:sz w:val="21"/>
              </w:rPr>
            </w:pPr>
            <w:r>
              <w:rPr>
                <w:sz w:val="21"/>
              </w:rPr>
              <w:t>在申请轻型疾病保险金、重大疾病保险金或特定疾病保险金时，受益人须填写保险金给付申请书，并须提供下列证明和资料：</w:t>
            </w:r>
          </w:p>
        </w:tc>
      </w:tr>
    </w:tbl>
    <w:p>
      <w:pPr>
        <w:spacing w:after="0" w:line="310" w:lineRule="atLeast"/>
        <w:rPr>
          <w:sz w:val="21"/>
        </w:rPr>
        <w:sectPr>
          <w:pgSz w:w="11910" w:h="16840"/>
          <w:pgMar w:header="0" w:footer="925" w:top="1100" w:bottom="1120" w:left="9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27"/>
        <w:gridCol w:w="7378"/>
      </w:tblGrid>
      <w:tr>
        <w:trPr>
          <w:trHeight w:val="4396" w:hRule="atLeast"/>
        </w:trPr>
        <w:tc>
          <w:tcPr>
            <w:tcW w:w="662" w:type="dxa"/>
          </w:tcPr>
          <w:p>
            <w:pPr>
              <w:pStyle w:val="TableParagraph"/>
              <w:rPr>
                <w:rFonts w:ascii="Times New Roman"/>
                <w:sz w:val="20"/>
              </w:rPr>
            </w:pPr>
          </w:p>
        </w:tc>
        <w:tc>
          <w:tcPr>
            <w:tcW w:w="1627" w:type="dxa"/>
          </w:tcPr>
          <w:p>
            <w:pPr>
              <w:pStyle w:val="TableParagraph"/>
              <w:rPr>
                <w:rFonts w:ascii="Times New Roman"/>
                <w:sz w:val="20"/>
              </w:rPr>
            </w:pPr>
          </w:p>
        </w:tc>
        <w:tc>
          <w:tcPr>
            <w:tcW w:w="7378" w:type="dxa"/>
          </w:tcPr>
          <w:p>
            <w:pPr>
              <w:pStyle w:val="TableParagraph"/>
              <w:spacing w:line="202" w:lineRule="exact"/>
              <w:ind w:left="123"/>
              <w:rPr>
                <w:sz w:val="21"/>
              </w:rPr>
            </w:pPr>
            <w:r>
              <w:rPr>
                <w:sz w:val="21"/>
              </w:rPr>
              <w:t>（1）保险合同；</w:t>
            </w:r>
          </w:p>
          <w:p>
            <w:pPr>
              <w:pStyle w:val="TableParagraph"/>
              <w:spacing w:before="9"/>
              <w:rPr>
                <w:sz w:val="14"/>
              </w:rPr>
            </w:pPr>
          </w:p>
          <w:p>
            <w:pPr>
              <w:pStyle w:val="TableParagraph"/>
              <w:spacing w:line="273" w:lineRule="auto" w:before="1"/>
              <w:ind w:left="123" w:right="103"/>
              <w:jc w:val="both"/>
              <w:rPr>
                <w:sz w:val="21"/>
              </w:rPr>
            </w:pPr>
            <w:r>
              <w:rPr>
                <w:w w:val="100"/>
                <w:sz w:val="21"/>
              </w:rPr>
              <w:t>（2</w:t>
            </w:r>
            <w:r>
              <w:rPr>
                <w:spacing w:val="-104"/>
                <w:w w:val="100"/>
                <w:sz w:val="21"/>
              </w:rPr>
              <w:t>）</w:t>
            </w:r>
            <w:r>
              <w:rPr>
                <w:spacing w:val="-3"/>
                <w:w w:val="100"/>
                <w:sz w:val="21"/>
              </w:rPr>
              <w:t>由我们认可的医院的专科医生出具的被保险人的疾病诊断证明及相关医疗</w:t>
            </w:r>
            <w:r>
              <w:rPr>
                <w:spacing w:val="-3"/>
                <w:sz w:val="21"/>
              </w:rPr>
              <w:t>文件（包括完整的门诊及住院病历记录、出院小结、影像学、病理检查、实验</w:t>
            </w:r>
            <w:r>
              <w:rPr>
                <w:spacing w:val="-3"/>
                <w:w w:val="100"/>
                <w:sz w:val="21"/>
              </w:rPr>
              <w:t>室检查及其他相关检查报告</w:t>
            </w:r>
            <w:r>
              <w:rPr>
                <w:spacing w:val="-106"/>
                <w:w w:val="100"/>
                <w:sz w:val="21"/>
              </w:rPr>
              <w:t>）</w:t>
            </w:r>
            <w:r>
              <w:rPr>
                <w:w w:val="100"/>
                <w:sz w:val="21"/>
              </w:rPr>
              <w:t>；</w:t>
            </w:r>
          </w:p>
          <w:p>
            <w:pPr>
              <w:pStyle w:val="TableParagraph"/>
              <w:spacing w:before="164"/>
              <w:ind w:left="123"/>
              <w:rPr>
                <w:sz w:val="21"/>
              </w:rPr>
            </w:pPr>
            <w:r>
              <w:rPr>
                <w:sz w:val="21"/>
              </w:rPr>
              <w:t>（3）受益人的有效身份证件；</w:t>
            </w:r>
          </w:p>
          <w:p>
            <w:pPr>
              <w:pStyle w:val="TableParagraph"/>
              <w:spacing w:before="10"/>
              <w:rPr>
                <w:sz w:val="14"/>
              </w:rPr>
            </w:pPr>
          </w:p>
          <w:p>
            <w:pPr>
              <w:pStyle w:val="TableParagraph"/>
              <w:ind w:left="123"/>
              <w:rPr>
                <w:sz w:val="21"/>
              </w:rPr>
            </w:pPr>
            <w:r>
              <w:rPr>
                <w:sz w:val="21"/>
              </w:rPr>
              <w:t>（4）所能提供的与确认保险事故的性质、原因等有关的其他证明和资料。</w:t>
            </w:r>
          </w:p>
          <w:p>
            <w:pPr>
              <w:pStyle w:val="TableParagraph"/>
              <w:spacing w:before="9"/>
              <w:rPr>
                <w:sz w:val="14"/>
              </w:rPr>
            </w:pPr>
          </w:p>
          <w:p>
            <w:pPr>
              <w:pStyle w:val="TableParagraph"/>
              <w:spacing w:line="273" w:lineRule="auto" w:before="1"/>
              <w:ind w:left="123" w:right="108"/>
              <w:rPr>
                <w:sz w:val="21"/>
              </w:rPr>
            </w:pPr>
            <w:r>
              <w:rPr>
                <w:sz w:val="21"/>
              </w:rPr>
              <w:t>若委托他人办理申请轻型疾病保险金、重大疾病保险金或特定疾病保险金，还须提供授权委托书及受托人身份证件等材料。</w:t>
            </w:r>
          </w:p>
          <w:p>
            <w:pPr>
              <w:pStyle w:val="TableParagraph"/>
              <w:spacing w:line="273" w:lineRule="auto" w:before="164"/>
              <w:ind w:left="123" w:right="106"/>
              <w:rPr>
                <w:sz w:val="21"/>
              </w:rPr>
            </w:pPr>
            <w:r>
              <w:rPr>
                <w:sz w:val="21"/>
              </w:rPr>
              <w:t>以上证明和资料不完整的，我们将及时一次性通知受益人补充提供有关证明和资料。</w:t>
            </w:r>
          </w:p>
          <w:p>
            <w:pPr>
              <w:pStyle w:val="TableParagraph"/>
              <w:spacing w:before="164"/>
              <w:ind w:left="123"/>
              <w:rPr>
                <w:sz w:val="21"/>
              </w:rPr>
            </w:pPr>
            <w:r>
              <w:rPr>
                <w:sz w:val="21"/>
              </w:rPr>
              <w:t>除有关法律、行政法规不允许外，我们将保留进行医学鉴定或核实的权利。</w:t>
            </w:r>
          </w:p>
        </w:tc>
      </w:tr>
      <w:tr>
        <w:trPr>
          <w:trHeight w:val="4093" w:hRule="atLeast"/>
        </w:trPr>
        <w:tc>
          <w:tcPr>
            <w:tcW w:w="662" w:type="dxa"/>
          </w:tcPr>
          <w:p>
            <w:pPr>
              <w:pStyle w:val="TableParagraph"/>
              <w:spacing w:before="56"/>
              <w:ind w:left="107"/>
              <w:rPr>
                <w:b/>
                <w:sz w:val="21"/>
              </w:rPr>
            </w:pPr>
            <w:r>
              <w:rPr>
                <w:b/>
                <w:sz w:val="21"/>
              </w:rPr>
              <w:t>3.4</w:t>
            </w:r>
          </w:p>
        </w:tc>
        <w:tc>
          <w:tcPr>
            <w:tcW w:w="1627" w:type="dxa"/>
          </w:tcPr>
          <w:p>
            <w:pPr>
              <w:pStyle w:val="TableParagraph"/>
              <w:spacing w:before="56"/>
              <w:ind w:left="236"/>
              <w:rPr>
                <w:b/>
                <w:sz w:val="21"/>
              </w:rPr>
            </w:pPr>
            <w:r>
              <w:rPr>
                <w:b/>
                <w:sz w:val="21"/>
              </w:rPr>
              <w:t>保险金给付</w:t>
            </w:r>
          </w:p>
        </w:tc>
        <w:tc>
          <w:tcPr>
            <w:tcW w:w="7378" w:type="dxa"/>
          </w:tcPr>
          <w:p>
            <w:pPr>
              <w:pStyle w:val="TableParagraph"/>
              <w:spacing w:before="56"/>
              <w:ind w:left="123"/>
              <w:rPr>
                <w:sz w:val="21"/>
              </w:rPr>
            </w:pPr>
            <w:r>
              <w:rPr>
                <w:sz w:val="21"/>
              </w:rPr>
              <w:t>我们在收到保险金给付申请书及本合同约定的证明和资料后，将在 3 日内作出</w:t>
            </w:r>
          </w:p>
          <w:p>
            <w:pPr>
              <w:pStyle w:val="TableParagraph"/>
              <w:spacing w:before="37"/>
              <w:ind w:left="123"/>
              <w:rPr>
                <w:sz w:val="21"/>
              </w:rPr>
            </w:pPr>
            <w:r>
              <w:rPr>
                <w:spacing w:val="-12"/>
                <w:sz w:val="21"/>
              </w:rPr>
              <w:t>核定；情形复杂的，在 </w:t>
            </w:r>
            <w:r>
              <w:rPr>
                <w:sz w:val="21"/>
              </w:rPr>
              <w:t>30</w:t>
            </w:r>
            <w:r>
              <w:rPr>
                <w:spacing w:val="-11"/>
                <w:sz w:val="21"/>
              </w:rPr>
              <w:t> 日内作出核定。对属于保险责任的，我们在与受益人</w:t>
            </w:r>
          </w:p>
          <w:p>
            <w:pPr>
              <w:pStyle w:val="TableParagraph"/>
              <w:spacing w:before="37"/>
              <w:ind w:left="123"/>
              <w:rPr>
                <w:sz w:val="21"/>
              </w:rPr>
            </w:pPr>
            <w:r>
              <w:rPr>
                <w:sz w:val="21"/>
              </w:rPr>
              <w:t>达成给付保险金的协议后 10 日内，履行给付保险金义务。</w:t>
            </w:r>
          </w:p>
          <w:p>
            <w:pPr>
              <w:pStyle w:val="TableParagraph"/>
              <w:spacing w:before="9"/>
              <w:rPr>
                <w:sz w:val="14"/>
              </w:rPr>
            </w:pPr>
          </w:p>
          <w:p>
            <w:pPr>
              <w:pStyle w:val="TableParagraph"/>
              <w:spacing w:line="273" w:lineRule="auto"/>
              <w:ind w:left="123" w:right="106"/>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left="123" w:right="106"/>
              <w:jc w:val="both"/>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left="123" w:right="103"/>
              <w:jc w:val="both"/>
              <w:rPr>
                <w:sz w:val="21"/>
              </w:rPr>
            </w:pPr>
            <w:r>
              <w:rPr>
                <w:spacing w:val="-5"/>
                <w:sz w:val="21"/>
              </w:rPr>
              <w:t>我们在收到保险金给付申请书及有关证明和资料之日起 </w:t>
            </w:r>
            <w:r>
              <w:rPr>
                <w:sz w:val="21"/>
              </w:rPr>
              <w:t>60</w:t>
            </w:r>
            <w:r>
              <w:rPr>
                <w:spacing w:val="-18"/>
                <w:sz w:val="21"/>
              </w:rPr>
              <w:t> 日内，对给付保险金</w:t>
            </w:r>
            <w:r>
              <w:rPr>
                <w:spacing w:val="-7"/>
                <w:sz w:val="21"/>
              </w:rPr>
              <w:t>的数额不能确定的，根据已有证明和资料可以确定的数额先予支付；我们最终</w:t>
            </w:r>
            <w:r>
              <w:rPr>
                <w:spacing w:val="-5"/>
                <w:sz w:val="21"/>
              </w:rPr>
              <w:t>确定给付保险金的数额后，将支付相应的差额。</w:t>
            </w:r>
          </w:p>
        </w:tc>
      </w:tr>
      <w:tr>
        <w:trPr>
          <w:trHeight w:val="917" w:hRule="atLeast"/>
        </w:trPr>
        <w:tc>
          <w:tcPr>
            <w:tcW w:w="662" w:type="dxa"/>
          </w:tcPr>
          <w:p>
            <w:pPr>
              <w:pStyle w:val="TableParagraph"/>
              <w:spacing w:before="93"/>
              <w:ind w:left="107"/>
              <w:rPr>
                <w:b/>
                <w:sz w:val="21"/>
              </w:rPr>
            </w:pPr>
            <w:r>
              <w:rPr>
                <w:b/>
                <w:sz w:val="21"/>
              </w:rPr>
              <w:t>3.5</w:t>
            </w:r>
          </w:p>
        </w:tc>
        <w:tc>
          <w:tcPr>
            <w:tcW w:w="1627" w:type="dxa"/>
          </w:tcPr>
          <w:p>
            <w:pPr>
              <w:pStyle w:val="TableParagraph"/>
              <w:spacing w:before="93"/>
              <w:ind w:left="236"/>
              <w:rPr>
                <w:b/>
                <w:sz w:val="21"/>
              </w:rPr>
            </w:pPr>
            <w:r>
              <w:rPr>
                <w:b/>
                <w:sz w:val="21"/>
              </w:rPr>
              <w:t>诉讼时效</w:t>
            </w:r>
          </w:p>
        </w:tc>
        <w:tc>
          <w:tcPr>
            <w:tcW w:w="7378" w:type="dxa"/>
          </w:tcPr>
          <w:p>
            <w:pPr>
              <w:pStyle w:val="TableParagraph"/>
              <w:spacing w:line="273" w:lineRule="auto" w:before="93"/>
              <w:ind w:left="123" w:right="105"/>
              <w:rPr>
                <w:sz w:val="21"/>
              </w:rPr>
            </w:pPr>
            <w:r>
              <w:rPr>
                <w:spacing w:val="-5"/>
                <w:sz w:val="21"/>
              </w:rPr>
              <w:t>被保险人或受益人向我们申请给付保险金的诉讼时效期间为 </w:t>
            </w:r>
            <w:r>
              <w:rPr>
                <w:sz w:val="21"/>
              </w:rPr>
              <w:t>2</w:t>
            </w:r>
            <w:r>
              <w:rPr>
                <w:spacing w:val="-8"/>
                <w:sz w:val="21"/>
              </w:rPr>
              <w:t> 年，自其知道或</w:t>
            </w:r>
            <w:r>
              <w:rPr>
                <w:spacing w:val="-5"/>
                <w:sz w:val="21"/>
              </w:rPr>
              <w:t>者应当知道保险事故发生之日起计算。</w:t>
            </w:r>
          </w:p>
        </w:tc>
      </w:tr>
      <w:tr>
        <w:trPr>
          <w:trHeight w:val="713" w:hRule="atLeast"/>
        </w:trPr>
        <w:tc>
          <w:tcPr>
            <w:tcW w:w="662" w:type="dxa"/>
            <w:tcBorders>
              <w:bottom w:val="single" w:sz="8" w:space="0" w:color="000000"/>
            </w:tcBorders>
          </w:tcPr>
          <w:p>
            <w:pPr>
              <w:pStyle w:val="TableParagraph"/>
              <w:spacing w:before="146"/>
              <w:ind w:left="107"/>
              <w:rPr>
                <w:b/>
                <w:sz w:val="24"/>
              </w:rPr>
            </w:pPr>
            <w:r>
              <w:rPr>
                <w:b/>
                <w:sz w:val="24"/>
              </w:rPr>
              <w:t>4.</w:t>
            </w:r>
          </w:p>
        </w:tc>
        <w:tc>
          <w:tcPr>
            <w:tcW w:w="9005" w:type="dxa"/>
            <w:gridSpan w:val="2"/>
            <w:tcBorders>
              <w:bottom w:val="single" w:sz="8" w:space="0" w:color="000000"/>
            </w:tcBorders>
          </w:tcPr>
          <w:p>
            <w:pPr>
              <w:pStyle w:val="TableParagraph"/>
              <w:spacing w:before="146"/>
              <w:ind w:left="236"/>
              <w:rPr>
                <w:b/>
                <w:sz w:val="24"/>
              </w:rPr>
            </w:pPr>
            <w:r>
              <w:rPr>
                <w:b/>
                <w:w w:val="95"/>
                <w:sz w:val="24"/>
              </w:rPr>
              <w:t>保险费的交纳</w:t>
            </w:r>
          </w:p>
        </w:tc>
      </w:tr>
      <w:tr>
        <w:trPr>
          <w:trHeight w:val="946" w:hRule="atLeast"/>
        </w:trPr>
        <w:tc>
          <w:tcPr>
            <w:tcW w:w="662" w:type="dxa"/>
            <w:tcBorders>
              <w:top w:val="single" w:sz="8" w:space="0" w:color="000000"/>
            </w:tcBorders>
          </w:tcPr>
          <w:p>
            <w:pPr>
              <w:pStyle w:val="TableParagraph"/>
              <w:spacing w:before="129"/>
              <w:ind w:left="107"/>
              <w:rPr>
                <w:b/>
                <w:sz w:val="21"/>
              </w:rPr>
            </w:pPr>
            <w:r>
              <w:rPr>
                <w:b/>
                <w:sz w:val="21"/>
              </w:rPr>
              <w:t>4.1</w:t>
            </w:r>
          </w:p>
        </w:tc>
        <w:tc>
          <w:tcPr>
            <w:tcW w:w="1627" w:type="dxa"/>
            <w:tcBorders>
              <w:top w:val="single" w:sz="8" w:space="0" w:color="000000"/>
            </w:tcBorders>
          </w:tcPr>
          <w:p>
            <w:pPr>
              <w:pStyle w:val="TableParagraph"/>
              <w:spacing w:before="129"/>
              <w:ind w:left="236"/>
              <w:rPr>
                <w:b/>
                <w:sz w:val="21"/>
              </w:rPr>
            </w:pPr>
            <w:r>
              <w:rPr>
                <w:b/>
                <w:sz w:val="21"/>
              </w:rPr>
              <w:t>保险费的交纳</w:t>
            </w:r>
          </w:p>
        </w:tc>
        <w:tc>
          <w:tcPr>
            <w:tcW w:w="7378" w:type="dxa"/>
            <w:tcBorders>
              <w:top w:val="single" w:sz="8" w:space="0" w:color="000000"/>
            </w:tcBorders>
          </w:tcPr>
          <w:p>
            <w:pPr>
              <w:pStyle w:val="TableParagraph"/>
              <w:spacing w:before="12"/>
              <w:rPr>
                <w:sz w:val="15"/>
              </w:rPr>
            </w:pPr>
          </w:p>
          <w:p>
            <w:pPr>
              <w:pStyle w:val="TableParagraph"/>
              <w:spacing w:line="271" w:lineRule="auto"/>
              <w:ind w:left="123" w:right="106"/>
              <w:rPr>
                <w:sz w:val="21"/>
              </w:rPr>
            </w:pPr>
            <w:r>
              <w:rPr>
                <w:sz w:val="21"/>
              </w:rPr>
              <w:t>本合同的保险费以我们核定的费率计算，根据您与我们约定的投保计划确定并于保险合同上载明。</w:t>
            </w:r>
          </w:p>
        </w:tc>
      </w:tr>
      <w:tr>
        <w:trPr>
          <w:trHeight w:val="626" w:hRule="atLeast"/>
        </w:trPr>
        <w:tc>
          <w:tcPr>
            <w:tcW w:w="662" w:type="dxa"/>
            <w:tcBorders>
              <w:bottom w:val="single" w:sz="8" w:space="0" w:color="000000"/>
            </w:tcBorders>
          </w:tcPr>
          <w:p>
            <w:pPr>
              <w:pStyle w:val="TableParagraph"/>
              <w:spacing w:before="62"/>
              <w:ind w:left="107"/>
              <w:rPr>
                <w:b/>
                <w:sz w:val="24"/>
              </w:rPr>
            </w:pPr>
            <w:r>
              <w:rPr>
                <w:b/>
                <w:sz w:val="24"/>
              </w:rPr>
              <w:t>5.</w:t>
            </w:r>
          </w:p>
        </w:tc>
        <w:tc>
          <w:tcPr>
            <w:tcW w:w="1627" w:type="dxa"/>
            <w:tcBorders>
              <w:bottom w:val="single" w:sz="8" w:space="0" w:color="000000"/>
            </w:tcBorders>
          </w:tcPr>
          <w:p>
            <w:pPr>
              <w:pStyle w:val="TableParagraph"/>
              <w:spacing w:before="62"/>
              <w:ind w:left="236"/>
              <w:rPr>
                <w:b/>
                <w:sz w:val="24"/>
              </w:rPr>
            </w:pPr>
            <w:r>
              <w:rPr>
                <w:b/>
                <w:sz w:val="24"/>
              </w:rPr>
              <w:t>合同解除</w:t>
            </w:r>
          </w:p>
        </w:tc>
        <w:tc>
          <w:tcPr>
            <w:tcW w:w="7378" w:type="dxa"/>
            <w:tcBorders>
              <w:bottom w:val="single" w:sz="8" w:space="0" w:color="000000"/>
            </w:tcBorders>
          </w:tcPr>
          <w:p>
            <w:pPr>
              <w:pStyle w:val="TableParagraph"/>
              <w:rPr>
                <w:rFonts w:ascii="Times New Roman"/>
                <w:sz w:val="20"/>
              </w:rPr>
            </w:pPr>
          </w:p>
        </w:tc>
      </w:tr>
      <w:tr>
        <w:trPr>
          <w:trHeight w:val="2441" w:hRule="atLeast"/>
        </w:trPr>
        <w:tc>
          <w:tcPr>
            <w:tcW w:w="662" w:type="dxa"/>
            <w:tcBorders>
              <w:top w:val="single" w:sz="8" w:space="0" w:color="000000"/>
            </w:tcBorders>
          </w:tcPr>
          <w:p>
            <w:pPr>
              <w:pStyle w:val="TableParagraph"/>
              <w:spacing w:before="130"/>
              <w:ind w:left="107"/>
              <w:rPr>
                <w:b/>
                <w:sz w:val="21"/>
              </w:rPr>
            </w:pPr>
            <w:r>
              <w:rPr>
                <w:b/>
                <w:sz w:val="21"/>
              </w:rPr>
              <w:t>5.1</w:t>
            </w:r>
          </w:p>
        </w:tc>
        <w:tc>
          <w:tcPr>
            <w:tcW w:w="1627" w:type="dxa"/>
            <w:tcBorders>
              <w:top w:val="single" w:sz="8" w:space="0" w:color="000000"/>
            </w:tcBorders>
          </w:tcPr>
          <w:p>
            <w:pPr>
              <w:pStyle w:val="TableParagraph"/>
              <w:spacing w:line="273" w:lineRule="auto" w:before="130"/>
              <w:ind w:left="236" w:right="121"/>
              <w:rPr>
                <w:b/>
                <w:sz w:val="21"/>
              </w:rPr>
            </w:pPr>
            <w:r>
              <w:rPr>
                <w:b/>
                <w:sz w:val="21"/>
              </w:rPr>
              <w:t>您解除合同的手续及风险</w:t>
            </w:r>
          </w:p>
        </w:tc>
        <w:tc>
          <w:tcPr>
            <w:tcW w:w="7378" w:type="dxa"/>
            <w:tcBorders>
              <w:top w:val="single" w:sz="8" w:space="0" w:color="000000"/>
            </w:tcBorders>
          </w:tcPr>
          <w:p>
            <w:pPr>
              <w:pStyle w:val="TableParagraph"/>
              <w:spacing w:line="273" w:lineRule="auto" w:before="130"/>
              <w:ind w:left="123" w:right="106"/>
              <w:rPr>
                <w:sz w:val="21"/>
              </w:rPr>
            </w:pPr>
            <w:r>
              <w:rPr>
                <w:sz w:val="21"/>
              </w:rPr>
              <w:t>如您在犹豫期后申请解除本合同，请填写解除合同申请书并向我们提供下列资料：</w:t>
            </w:r>
          </w:p>
          <w:p>
            <w:pPr>
              <w:pStyle w:val="TableParagraph"/>
              <w:spacing w:before="163"/>
              <w:ind w:left="123"/>
              <w:rPr>
                <w:sz w:val="21"/>
              </w:rPr>
            </w:pPr>
            <w:r>
              <w:rPr>
                <w:sz w:val="21"/>
              </w:rPr>
              <w:t>1.保险合同；</w:t>
            </w:r>
          </w:p>
          <w:p>
            <w:pPr>
              <w:pStyle w:val="TableParagraph"/>
              <w:spacing w:before="9"/>
              <w:rPr>
                <w:sz w:val="14"/>
              </w:rPr>
            </w:pPr>
          </w:p>
          <w:p>
            <w:pPr>
              <w:pStyle w:val="TableParagraph"/>
              <w:ind w:left="123"/>
              <w:rPr>
                <w:sz w:val="21"/>
              </w:rPr>
            </w:pPr>
            <w:r>
              <w:rPr>
                <w:sz w:val="21"/>
              </w:rPr>
              <w:t>2.您的有效身份证件。</w:t>
            </w:r>
          </w:p>
          <w:p>
            <w:pPr>
              <w:pStyle w:val="TableParagraph"/>
              <w:spacing w:line="310" w:lineRule="atLeast" w:before="157"/>
              <w:ind w:left="123" w:right="105"/>
              <w:rPr>
                <w:sz w:val="21"/>
              </w:rPr>
            </w:pPr>
            <w:r>
              <w:rPr>
                <w:sz w:val="21"/>
              </w:rPr>
              <w:t>如您委托他人办理书面申请解除本合同，还须提供授权委托书及受托人身份证件。</w:t>
            </w:r>
          </w:p>
        </w:tc>
      </w:tr>
    </w:tbl>
    <w:p>
      <w:pPr>
        <w:spacing w:after="0" w:line="310" w:lineRule="atLeast"/>
        <w:rPr>
          <w:sz w:val="21"/>
        </w:rPr>
        <w:sectPr>
          <w:pgSz w:w="11910" w:h="16840"/>
          <w:pgMar w:header="0" w:footer="925" w:top="1100" w:bottom="1120" w:left="9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19"/>
        <w:gridCol w:w="7387"/>
      </w:tblGrid>
      <w:tr>
        <w:trPr>
          <w:trHeight w:val="1166" w:hRule="atLeast"/>
        </w:trPr>
        <w:tc>
          <w:tcPr>
            <w:tcW w:w="662" w:type="dxa"/>
          </w:tcPr>
          <w:p>
            <w:pPr>
              <w:pStyle w:val="TableParagraph"/>
              <w:rPr>
                <w:rFonts w:ascii="Times New Roman"/>
                <w:sz w:val="20"/>
              </w:rPr>
            </w:pPr>
          </w:p>
        </w:tc>
        <w:tc>
          <w:tcPr>
            <w:tcW w:w="1619" w:type="dxa"/>
          </w:tcPr>
          <w:p>
            <w:pPr>
              <w:pStyle w:val="TableParagraph"/>
              <w:rPr>
                <w:rFonts w:ascii="Times New Roman"/>
                <w:sz w:val="20"/>
              </w:rPr>
            </w:pPr>
          </w:p>
        </w:tc>
        <w:tc>
          <w:tcPr>
            <w:tcW w:w="7387" w:type="dxa"/>
          </w:tcPr>
          <w:p>
            <w:pPr>
              <w:pStyle w:val="TableParagraph"/>
              <w:spacing w:line="202" w:lineRule="exact"/>
              <w:ind w:left="131"/>
              <w:rPr>
                <w:sz w:val="21"/>
              </w:rPr>
            </w:pPr>
            <w:r>
              <w:rPr>
                <w:b/>
                <w:sz w:val="21"/>
              </w:rPr>
              <w:t>自我们收到您解除合同申请书时起，本合同终止。</w:t>
            </w:r>
            <w:r>
              <w:rPr>
                <w:sz w:val="21"/>
              </w:rPr>
              <w:t>我们自合同终止之日起 30</w:t>
            </w:r>
          </w:p>
          <w:p>
            <w:pPr>
              <w:pStyle w:val="TableParagraph"/>
              <w:spacing w:line="408" w:lineRule="auto" w:before="37"/>
              <w:ind w:left="131" w:right="3047"/>
              <w:rPr>
                <w:b/>
                <w:sz w:val="21"/>
              </w:rPr>
            </w:pPr>
            <w:r>
              <w:rPr>
                <w:sz w:val="21"/>
              </w:rPr>
              <w:t>日内向您退还合同终止时保险单的现金价值。</w:t>
            </w:r>
            <w:r>
              <w:rPr>
                <w:b/>
                <w:sz w:val="21"/>
              </w:rPr>
              <w:t>您犹豫期后解除合同会遭受一定损失。</w:t>
            </w:r>
          </w:p>
        </w:tc>
      </w:tr>
      <w:tr>
        <w:trPr>
          <w:trHeight w:val="651" w:hRule="atLeast"/>
        </w:trPr>
        <w:tc>
          <w:tcPr>
            <w:tcW w:w="662" w:type="dxa"/>
            <w:tcBorders>
              <w:bottom w:val="single" w:sz="8" w:space="0" w:color="000000"/>
            </w:tcBorders>
          </w:tcPr>
          <w:p>
            <w:pPr>
              <w:pStyle w:val="TableParagraph"/>
              <w:spacing w:before="92"/>
              <w:ind w:left="107"/>
              <w:rPr>
                <w:b/>
                <w:sz w:val="24"/>
              </w:rPr>
            </w:pPr>
            <w:r>
              <w:rPr>
                <w:b/>
                <w:sz w:val="24"/>
              </w:rPr>
              <w:t>6.</w:t>
            </w:r>
          </w:p>
        </w:tc>
        <w:tc>
          <w:tcPr>
            <w:tcW w:w="1619" w:type="dxa"/>
            <w:tcBorders>
              <w:bottom w:val="single" w:sz="8" w:space="0" w:color="000000"/>
            </w:tcBorders>
          </w:tcPr>
          <w:p>
            <w:pPr>
              <w:pStyle w:val="TableParagraph"/>
              <w:spacing w:before="92"/>
              <w:ind w:left="236"/>
              <w:rPr>
                <w:b/>
                <w:sz w:val="24"/>
              </w:rPr>
            </w:pPr>
            <w:r>
              <w:rPr>
                <w:b/>
                <w:sz w:val="24"/>
              </w:rPr>
              <w:t>如实告知</w:t>
            </w:r>
          </w:p>
        </w:tc>
        <w:tc>
          <w:tcPr>
            <w:tcW w:w="7387" w:type="dxa"/>
            <w:tcBorders>
              <w:bottom w:val="single" w:sz="8" w:space="0" w:color="000000"/>
            </w:tcBorders>
          </w:tcPr>
          <w:p>
            <w:pPr>
              <w:pStyle w:val="TableParagraph"/>
              <w:rPr>
                <w:rFonts w:ascii="Times New Roman"/>
                <w:sz w:val="20"/>
              </w:rPr>
            </w:pPr>
          </w:p>
        </w:tc>
      </w:tr>
      <w:tr>
        <w:trPr>
          <w:trHeight w:val="5531" w:hRule="atLeast"/>
        </w:trPr>
        <w:tc>
          <w:tcPr>
            <w:tcW w:w="662" w:type="dxa"/>
            <w:tcBorders>
              <w:top w:val="single" w:sz="8" w:space="0" w:color="000000"/>
            </w:tcBorders>
          </w:tcPr>
          <w:p>
            <w:pPr>
              <w:pStyle w:val="TableParagraph"/>
              <w:spacing w:before="127"/>
              <w:ind w:left="107"/>
              <w:rPr>
                <w:b/>
                <w:sz w:val="21"/>
              </w:rPr>
            </w:pPr>
            <w:r>
              <w:rPr>
                <w:b/>
                <w:sz w:val="21"/>
              </w:rPr>
              <w:t>6.1</w:t>
            </w:r>
          </w:p>
        </w:tc>
        <w:tc>
          <w:tcPr>
            <w:tcW w:w="1619" w:type="dxa"/>
            <w:tcBorders>
              <w:top w:val="single" w:sz="8" w:space="0" w:color="000000"/>
            </w:tcBorders>
          </w:tcPr>
          <w:p>
            <w:pPr>
              <w:pStyle w:val="TableParagraph"/>
              <w:spacing w:line="273" w:lineRule="auto" w:before="127"/>
              <w:ind w:left="236" w:right="113"/>
              <w:rPr>
                <w:b/>
                <w:sz w:val="21"/>
              </w:rPr>
            </w:pPr>
            <w:r>
              <w:rPr>
                <w:b/>
                <w:sz w:val="21"/>
              </w:rPr>
              <w:t>明确说明与如实告知</w:t>
            </w:r>
          </w:p>
        </w:tc>
        <w:tc>
          <w:tcPr>
            <w:tcW w:w="7387" w:type="dxa"/>
            <w:tcBorders>
              <w:top w:val="single" w:sz="8" w:space="0" w:color="000000"/>
            </w:tcBorders>
          </w:tcPr>
          <w:p>
            <w:pPr>
              <w:pStyle w:val="TableParagraph"/>
              <w:spacing w:before="127"/>
              <w:ind w:left="131"/>
              <w:rPr>
                <w:sz w:val="21"/>
              </w:rPr>
            </w:pPr>
            <w:r>
              <w:rPr>
                <w:sz w:val="21"/>
              </w:rPr>
              <w:t>订立本合同时，我们应向您说明本合同的内容。</w:t>
            </w:r>
          </w:p>
          <w:p>
            <w:pPr>
              <w:pStyle w:val="TableParagraph"/>
              <w:spacing w:before="9"/>
              <w:rPr>
                <w:sz w:val="14"/>
              </w:rPr>
            </w:pPr>
          </w:p>
          <w:p>
            <w:pPr>
              <w:pStyle w:val="TableParagraph"/>
              <w:spacing w:line="273" w:lineRule="auto"/>
              <w:ind w:left="131" w:right="1"/>
              <w:jc w:val="both"/>
              <w:rPr>
                <w:sz w:val="21"/>
              </w:rPr>
            </w:pPr>
            <w:r>
              <w:rPr>
                <w:b/>
                <w:spacing w:val="-4"/>
                <w:sz w:val="21"/>
              </w:rPr>
              <w:t>对保险条款中免除我们责任的条款，我们在订立合同时应当在投保单、保险单或者其他保险凭证上作出足以引起您注意的提示</w:t>
            </w:r>
            <w:r>
              <w:rPr>
                <w:spacing w:val="-5"/>
                <w:sz w:val="21"/>
              </w:rPr>
              <w:t>，并对该条款的内容以书面或</w:t>
            </w:r>
            <w:r>
              <w:rPr>
                <w:spacing w:val="-10"/>
                <w:sz w:val="21"/>
              </w:rPr>
              <w:t>者口头形式向您作出明确说明，未作提示或者明确说明的，该条款不产生效力。</w:t>
            </w:r>
          </w:p>
          <w:p>
            <w:pPr>
              <w:pStyle w:val="TableParagraph"/>
              <w:spacing w:before="163"/>
              <w:ind w:left="131"/>
              <w:rPr>
                <w:sz w:val="21"/>
              </w:rPr>
            </w:pPr>
            <w:r>
              <w:rPr>
                <w:sz w:val="21"/>
              </w:rPr>
              <w:t>我们就您和被保险人的有关情况提出询问，您应当如实告知。</w:t>
            </w:r>
          </w:p>
          <w:p>
            <w:pPr>
              <w:pStyle w:val="TableParagraph"/>
              <w:spacing w:before="9"/>
              <w:rPr>
                <w:sz w:val="14"/>
              </w:rPr>
            </w:pPr>
          </w:p>
          <w:p>
            <w:pPr>
              <w:pStyle w:val="TableParagraph"/>
              <w:spacing w:line="273" w:lineRule="auto" w:before="1"/>
              <w:ind w:left="131" w:right="58"/>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4"/>
              <w:ind w:left="131" w:right="58"/>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4"/>
              <w:ind w:left="131" w:right="110"/>
              <w:jc w:val="both"/>
              <w:rPr>
                <w:b/>
                <w:sz w:val="21"/>
              </w:rPr>
            </w:pPr>
            <w:r>
              <w:rPr>
                <w:b/>
                <w:spacing w:val="-4"/>
                <w:sz w:val="21"/>
              </w:rPr>
              <w:t>如果您因重大过失未履行如实告知义务，对保险事故的发生有严重影响的，对</w:t>
            </w:r>
            <w:r>
              <w:rPr>
                <w:b/>
                <w:spacing w:val="-6"/>
                <w:sz w:val="21"/>
              </w:rPr>
              <w:t>于本合同解除前发生的保险事故，我们不承担给付保险金的责任，但应当退还保险费。</w:t>
            </w:r>
          </w:p>
          <w:p>
            <w:pPr>
              <w:pStyle w:val="TableParagraph"/>
              <w:spacing w:line="273" w:lineRule="auto" w:before="164"/>
              <w:ind w:left="131" w:right="107"/>
              <w:rPr>
                <w:sz w:val="21"/>
              </w:rPr>
            </w:pPr>
            <w:r>
              <w:rPr>
                <w:sz w:val="21"/>
              </w:rPr>
              <w:t>我们在合同订立时已经知道您未如实告知的情况的，我们不得解除合同；发生保险事故的，我们承担给付保险金的责任。</w:t>
            </w:r>
          </w:p>
        </w:tc>
      </w:tr>
      <w:tr>
        <w:trPr>
          <w:trHeight w:val="1138" w:hRule="atLeast"/>
        </w:trPr>
        <w:tc>
          <w:tcPr>
            <w:tcW w:w="662" w:type="dxa"/>
          </w:tcPr>
          <w:p>
            <w:pPr>
              <w:pStyle w:val="TableParagraph"/>
              <w:spacing w:before="56"/>
              <w:ind w:left="107"/>
              <w:rPr>
                <w:b/>
                <w:sz w:val="21"/>
              </w:rPr>
            </w:pPr>
            <w:r>
              <w:rPr>
                <w:b/>
                <w:sz w:val="21"/>
              </w:rPr>
              <w:t>6.2</w:t>
            </w:r>
          </w:p>
        </w:tc>
        <w:tc>
          <w:tcPr>
            <w:tcW w:w="1619" w:type="dxa"/>
          </w:tcPr>
          <w:p>
            <w:pPr>
              <w:pStyle w:val="TableParagraph"/>
              <w:spacing w:line="273" w:lineRule="auto" w:before="56"/>
              <w:ind w:left="236" w:right="113"/>
              <w:rPr>
                <w:b/>
                <w:sz w:val="21"/>
              </w:rPr>
            </w:pPr>
            <w:r>
              <w:rPr>
                <w:b/>
                <w:sz w:val="21"/>
              </w:rPr>
              <w:t>本公司合同解除权的限制</w:t>
            </w:r>
          </w:p>
        </w:tc>
        <w:tc>
          <w:tcPr>
            <w:tcW w:w="7387" w:type="dxa"/>
          </w:tcPr>
          <w:p>
            <w:pPr>
              <w:pStyle w:val="TableParagraph"/>
              <w:spacing w:before="56"/>
              <w:ind w:left="131"/>
              <w:rPr>
                <w:sz w:val="21"/>
              </w:rPr>
            </w:pPr>
            <w:r>
              <w:rPr>
                <w:spacing w:val="-11"/>
                <w:sz w:val="21"/>
              </w:rPr>
              <w:t>前条规定的合同解除权，自我们知道有解除事由之日起，超过 </w:t>
            </w:r>
            <w:r>
              <w:rPr>
                <w:sz w:val="21"/>
              </w:rPr>
              <w:t>30</w:t>
            </w:r>
            <w:r>
              <w:rPr>
                <w:spacing w:val="-7"/>
                <w:sz w:val="21"/>
              </w:rPr>
              <w:t> 日不行使而消</w:t>
            </w:r>
          </w:p>
          <w:p>
            <w:pPr>
              <w:pStyle w:val="TableParagraph"/>
              <w:spacing w:line="273" w:lineRule="auto" w:before="37"/>
              <w:ind w:left="131" w:right="107"/>
              <w:rPr>
                <w:sz w:val="21"/>
              </w:rPr>
            </w:pPr>
            <w:r>
              <w:rPr>
                <w:spacing w:val="-6"/>
                <w:sz w:val="21"/>
              </w:rPr>
              <w:t>灭。自本合同成立之日起超过 </w:t>
            </w:r>
            <w:r>
              <w:rPr>
                <w:sz w:val="21"/>
              </w:rPr>
              <w:t>2</w:t>
            </w:r>
            <w:r>
              <w:rPr>
                <w:spacing w:val="-8"/>
                <w:sz w:val="21"/>
              </w:rPr>
              <w:t> 年的，我们不得解除合同；发生保险事故的， </w:t>
            </w:r>
            <w:r>
              <w:rPr>
                <w:spacing w:val="-5"/>
                <w:sz w:val="21"/>
              </w:rPr>
              <w:t>我们承担给付保险金的责任。</w:t>
            </w:r>
          </w:p>
        </w:tc>
      </w:tr>
      <w:tr>
        <w:trPr>
          <w:trHeight w:val="659" w:hRule="atLeast"/>
        </w:trPr>
        <w:tc>
          <w:tcPr>
            <w:tcW w:w="662" w:type="dxa"/>
            <w:tcBorders>
              <w:bottom w:val="single" w:sz="8" w:space="0" w:color="000000"/>
            </w:tcBorders>
          </w:tcPr>
          <w:p>
            <w:pPr>
              <w:pStyle w:val="TableParagraph"/>
              <w:spacing w:before="92"/>
              <w:ind w:left="107"/>
              <w:rPr>
                <w:b/>
                <w:sz w:val="24"/>
              </w:rPr>
            </w:pPr>
            <w:r>
              <w:rPr>
                <w:b/>
                <w:sz w:val="24"/>
              </w:rPr>
              <w:t>7.</w:t>
            </w:r>
          </w:p>
        </w:tc>
        <w:tc>
          <w:tcPr>
            <w:tcW w:w="9006" w:type="dxa"/>
            <w:gridSpan w:val="2"/>
            <w:tcBorders>
              <w:bottom w:val="single" w:sz="8" w:space="0" w:color="000000"/>
            </w:tcBorders>
          </w:tcPr>
          <w:p>
            <w:pPr>
              <w:pStyle w:val="TableParagraph"/>
              <w:spacing w:before="92"/>
              <w:ind w:left="236"/>
              <w:rPr>
                <w:b/>
                <w:sz w:val="24"/>
              </w:rPr>
            </w:pPr>
            <w:r>
              <w:rPr>
                <w:b/>
                <w:w w:val="95"/>
                <w:sz w:val="24"/>
              </w:rPr>
              <w:t>其他需要关注的事项</w:t>
            </w:r>
          </w:p>
        </w:tc>
      </w:tr>
      <w:tr>
        <w:trPr>
          <w:trHeight w:val="4127" w:hRule="atLeast"/>
        </w:trPr>
        <w:tc>
          <w:tcPr>
            <w:tcW w:w="662" w:type="dxa"/>
            <w:tcBorders>
              <w:top w:val="single" w:sz="8" w:space="0" w:color="000000"/>
            </w:tcBorders>
          </w:tcPr>
          <w:p>
            <w:pPr>
              <w:pStyle w:val="TableParagraph"/>
              <w:spacing w:before="127"/>
              <w:ind w:left="107"/>
              <w:rPr>
                <w:b/>
                <w:sz w:val="21"/>
              </w:rPr>
            </w:pPr>
            <w:r>
              <w:rPr>
                <w:b/>
                <w:sz w:val="21"/>
              </w:rPr>
              <w:t>7.1</w:t>
            </w:r>
          </w:p>
        </w:tc>
        <w:tc>
          <w:tcPr>
            <w:tcW w:w="1619" w:type="dxa"/>
            <w:tcBorders>
              <w:top w:val="single" w:sz="8" w:space="0" w:color="000000"/>
            </w:tcBorders>
          </w:tcPr>
          <w:p>
            <w:pPr>
              <w:pStyle w:val="TableParagraph"/>
              <w:spacing w:line="273" w:lineRule="auto" w:before="127"/>
              <w:ind w:left="236" w:right="113"/>
              <w:rPr>
                <w:b/>
                <w:sz w:val="21"/>
              </w:rPr>
            </w:pPr>
            <w:r>
              <w:rPr>
                <w:b/>
                <w:sz w:val="21"/>
              </w:rPr>
              <w:t>年龄或性别错误</w:t>
            </w:r>
          </w:p>
        </w:tc>
        <w:tc>
          <w:tcPr>
            <w:tcW w:w="7387" w:type="dxa"/>
            <w:tcBorders>
              <w:top w:val="single" w:sz="8" w:space="0" w:color="000000"/>
            </w:tcBorders>
          </w:tcPr>
          <w:p>
            <w:pPr>
              <w:pStyle w:val="TableParagraph"/>
              <w:spacing w:line="273" w:lineRule="auto" w:before="127"/>
              <w:ind w:left="131" w:right="107" w:firstLine="2"/>
              <w:rPr>
                <w:sz w:val="21"/>
              </w:rPr>
            </w:pPr>
            <w:r>
              <w:rPr>
                <w:sz w:val="21"/>
              </w:rPr>
              <w:t>您在申请投保时，应将与有效身份证件相符的被保险人的出生日期及性别在投保单上填明，如果发生错误按照下列方式办理：</w:t>
            </w:r>
          </w:p>
          <w:p>
            <w:pPr>
              <w:pStyle w:val="TableParagraph"/>
              <w:spacing w:line="273" w:lineRule="auto" w:before="163"/>
              <w:ind w:left="116" w:right="1" w:firstLine="14"/>
              <w:rPr>
                <w:b/>
                <w:sz w:val="21"/>
              </w:rPr>
            </w:pPr>
            <w:r>
              <w:rPr>
                <w:sz w:val="21"/>
              </w:rPr>
              <w:t>1.</w:t>
            </w:r>
            <w:r>
              <w:rPr>
                <w:b/>
                <w:spacing w:val="-3"/>
                <w:sz w:val="21"/>
              </w:rPr>
              <w:t>您申报的被保险人年龄不真实，并且其真实年龄不符合本合同约定投保年龄</w:t>
            </w:r>
            <w:r>
              <w:rPr>
                <w:b/>
                <w:spacing w:val="-12"/>
                <w:sz w:val="21"/>
              </w:rPr>
              <w:t>限制的，我们有权解除本合同。对于解除本合同的，本合同自解除之日起终止， </w:t>
            </w:r>
            <w:r>
              <w:rPr>
                <w:b/>
                <w:spacing w:val="-10"/>
                <w:sz w:val="21"/>
              </w:rPr>
              <w:t>我们向您退还本合同终止时的现金价值。对于本合同解除前发生的保险事故， </w:t>
            </w:r>
            <w:r>
              <w:rPr>
                <w:b/>
                <w:spacing w:val="-9"/>
                <w:sz w:val="21"/>
              </w:rPr>
              <w:t>我们不承担给付保险金的责任。</w:t>
            </w:r>
          </w:p>
          <w:p>
            <w:pPr>
              <w:pStyle w:val="TableParagraph"/>
              <w:spacing w:line="273" w:lineRule="auto" w:before="163"/>
              <w:ind w:left="128" w:right="1" w:hanging="15"/>
              <w:rPr>
                <w:sz w:val="21"/>
              </w:rPr>
            </w:pPr>
            <w:r>
              <w:rPr>
                <w:sz w:val="21"/>
              </w:rPr>
              <w:t>2.</w:t>
            </w:r>
            <w:r>
              <w:rPr>
                <w:spacing w:val="-8"/>
                <w:sz w:val="21"/>
              </w:rPr>
              <w:t>您申报的被保险人年龄或性别不真实，致使您实付保险费少于应付保险费的， </w:t>
            </w:r>
            <w:r>
              <w:rPr>
                <w:spacing w:val="-6"/>
                <w:sz w:val="21"/>
              </w:rPr>
              <w:t>我们有权更正并要求您补交保险费。</w:t>
            </w:r>
            <w:r>
              <w:rPr>
                <w:b/>
                <w:spacing w:val="-3"/>
                <w:sz w:val="21"/>
              </w:rPr>
              <w:t>若已经发生保险事故，在给付保险金时按实付保险费和应付保险费的比例给付</w:t>
            </w:r>
            <w:r>
              <w:rPr>
                <w:sz w:val="21"/>
              </w:rPr>
              <w:t>。</w:t>
            </w:r>
          </w:p>
          <w:p>
            <w:pPr>
              <w:pStyle w:val="TableParagraph"/>
              <w:spacing w:line="273" w:lineRule="auto" w:before="163"/>
              <w:ind w:left="131"/>
              <w:rPr>
                <w:sz w:val="21"/>
              </w:rPr>
            </w:pPr>
            <w:r>
              <w:rPr>
                <w:sz w:val="21"/>
              </w:rPr>
              <w:t>3.</w:t>
            </w:r>
            <w:r>
              <w:rPr>
                <w:spacing w:val="-9"/>
                <w:sz w:val="21"/>
              </w:rPr>
              <w:t>您申报的被保险人年龄或性别不真实，致使您实付保险费多于应付保险费的， </w:t>
            </w:r>
            <w:r>
              <w:rPr>
                <w:spacing w:val="-5"/>
                <w:sz w:val="21"/>
              </w:rPr>
              <w:t>我们会将多收的保险费退还给您。</w:t>
            </w:r>
          </w:p>
        </w:tc>
      </w:tr>
      <w:tr>
        <w:trPr>
          <w:trHeight w:val="963" w:hRule="atLeast"/>
        </w:trPr>
        <w:tc>
          <w:tcPr>
            <w:tcW w:w="662" w:type="dxa"/>
          </w:tcPr>
          <w:p>
            <w:pPr>
              <w:pStyle w:val="TableParagraph"/>
              <w:spacing w:before="56"/>
              <w:ind w:left="107"/>
              <w:rPr>
                <w:b/>
                <w:sz w:val="21"/>
              </w:rPr>
            </w:pPr>
            <w:r>
              <w:rPr>
                <w:b/>
                <w:sz w:val="21"/>
              </w:rPr>
              <w:t>7.2</w:t>
            </w:r>
          </w:p>
        </w:tc>
        <w:tc>
          <w:tcPr>
            <w:tcW w:w="1619" w:type="dxa"/>
          </w:tcPr>
          <w:p>
            <w:pPr>
              <w:pStyle w:val="TableParagraph"/>
              <w:spacing w:before="56"/>
              <w:ind w:left="236"/>
              <w:rPr>
                <w:b/>
                <w:sz w:val="21"/>
              </w:rPr>
            </w:pPr>
            <w:r>
              <w:rPr>
                <w:b/>
                <w:sz w:val="21"/>
              </w:rPr>
              <w:t>合同内容变更</w:t>
            </w:r>
          </w:p>
        </w:tc>
        <w:tc>
          <w:tcPr>
            <w:tcW w:w="7387" w:type="dxa"/>
          </w:tcPr>
          <w:p>
            <w:pPr>
              <w:pStyle w:val="TableParagraph"/>
              <w:spacing w:line="310" w:lineRule="atLeast" w:before="20"/>
              <w:ind w:left="131" w:right="1"/>
              <w:jc w:val="both"/>
              <w:rPr>
                <w:sz w:val="21"/>
              </w:rPr>
            </w:pPr>
            <w:r>
              <w:rPr>
                <w:spacing w:val="-3"/>
                <w:sz w:val="21"/>
              </w:rPr>
              <w:t>在本合同有效期间内，除本合同另有约定外，经您与我们协商一致，可以变更本合同的有关内容。您提出变更申请后，应当由我们在原保险单或者其他保险</w:t>
            </w:r>
            <w:r>
              <w:rPr>
                <w:spacing w:val="-9"/>
                <w:sz w:val="21"/>
              </w:rPr>
              <w:t>凭证上批注或者附贴批单，或由您与我们订立书面的变更协议后，该变更生效。</w:t>
            </w:r>
          </w:p>
        </w:tc>
      </w:tr>
    </w:tbl>
    <w:p>
      <w:pPr>
        <w:spacing w:after="0" w:line="310" w:lineRule="atLeast"/>
        <w:jc w:val="both"/>
        <w:rPr>
          <w:sz w:val="21"/>
        </w:rPr>
        <w:sectPr>
          <w:pgSz w:w="11910" w:h="16840"/>
          <w:pgMar w:header="0" w:footer="925" w:top="1100" w:bottom="1120" w:left="920" w:right="11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2"/>
        <w:gridCol w:w="1627"/>
        <w:gridCol w:w="7380"/>
      </w:tblGrid>
      <w:tr>
        <w:trPr>
          <w:trHeight w:val="1276" w:hRule="atLeast"/>
        </w:trPr>
        <w:tc>
          <w:tcPr>
            <w:tcW w:w="662" w:type="dxa"/>
          </w:tcPr>
          <w:p>
            <w:pPr>
              <w:pStyle w:val="TableParagraph"/>
              <w:spacing w:line="202" w:lineRule="exact"/>
              <w:ind w:left="107"/>
              <w:rPr>
                <w:b/>
                <w:sz w:val="21"/>
              </w:rPr>
            </w:pPr>
            <w:r>
              <w:rPr>
                <w:b/>
                <w:sz w:val="21"/>
              </w:rPr>
              <w:t>7.3</w:t>
            </w:r>
          </w:p>
        </w:tc>
        <w:tc>
          <w:tcPr>
            <w:tcW w:w="1627" w:type="dxa"/>
          </w:tcPr>
          <w:p>
            <w:pPr>
              <w:pStyle w:val="TableParagraph"/>
              <w:spacing w:line="202" w:lineRule="exact"/>
              <w:ind w:left="236"/>
              <w:rPr>
                <w:b/>
                <w:sz w:val="21"/>
              </w:rPr>
            </w:pPr>
            <w:r>
              <w:rPr>
                <w:b/>
                <w:sz w:val="21"/>
              </w:rPr>
              <w:t>地址变更的通</w:t>
            </w:r>
          </w:p>
          <w:p>
            <w:pPr>
              <w:pStyle w:val="TableParagraph"/>
              <w:spacing w:before="37"/>
              <w:ind w:left="236"/>
              <w:rPr>
                <w:b/>
                <w:sz w:val="21"/>
              </w:rPr>
            </w:pPr>
            <w:r>
              <w:rPr>
                <w:b/>
                <w:w w:val="100"/>
                <w:sz w:val="21"/>
              </w:rPr>
              <w:t>知</w:t>
            </w:r>
          </w:p>
        </w:tc>
        <w:tc>
          <w:tcPr>
            <w:tcW w:w="7380" w:type="dxa"/>
          </w:tcPr>
          <w:p>
            <w:pPr>
              <w:pStyle w:val="TableParagraph"/>
              <w:spacing w:line="202" w:lineRule="exact"/>
              <w:ind w:left="123"/>
              <w:rPr>
                <w:sz w:val="21"/>
              </w:rPr>
            </w:pPr>
            <w:r>
              <w:rPr>
                <w:sz w:val="21"/>
              </w:rPr>
              <w:t>为了保障您的合法权益，您的住所、通讯地址或电话等联系方式变更时，请及</w:t>
            </w:r>
          </w:p>
          <w:p>
            <w:pPr>
              <w:pStyle w:val="TableParagraph"/>
              <w:spacing w:line="273" w:lineRule="auto" w:before="37"/>
              <w:ind w:left="123" w:right="108"/>
              <w:jc w:val="both"/>
              <w:rPr>
                <w:sz w:val="21"/>
              </w:rPr>
            </w:pPr>
            <w:r>
              <w:rPr>
                <w:sz w:val="21"/>
              </w:rPr>
              <w:t>时以书面形式或双方认可的其他形式通知我们。若您未以书面形式或双方认可的其他形式通知我们，我们按本合同载明的最后住所或通讯地址所发送的有关通知，均视为已送达给您。</w:t>
            </w:r>
          </w:p>
        </w:tc>
      </w:tr>
      <w:tr>
        <w:trPr>
          <w:trHeight w:val="780" w:hRule="atLeast"/>
        </w:trPr>
        <w:tc>
          <w:tcPr>
            <w:tcW w:w="662" w:type="dxa"/>
          </w:tcPr>
          <w:p>
            <w:pPr>
              <w:pStyle w:val="TableParagraph"/>
              <w:spacing w:before="56"/>
              <w:ind w:left="107"/>
              <w:rPr>
                <w:b/>
                <w:sz w:val="21"/>
              </w:rPr>
            </w:pPr>
            <w:r>
              <w:rPr>
                <w:b/>
                <w:sz w:val="21"/>
              </w:rPr>
              <w:t>7.4</w:t>
            </w:r>
          </w:p>
        </w:tc>
        <w:tc>
          <w:tcPr>
            <w:tcW w:w="1627" w:type="dxa"/>
          </w:tcPr>
          <w:p>
            <w:pPr>
              <w:pStyle w:val="TableParagraph"/>
              <w:spacing w:before="56"/>
              <w:ind w:left="236"/>
              <w:rPr>
                <w:b/>
                <w:sz w:val="21"/>
              </w:rPr>
            </w:pPr>
            <w:r>
              <w:rPr>
                <w:b/>
                <w:sz w:val="21"/>
              </w:rPr>
              <w:t>争议处理</w:t>
            </w:r>
          </w:p>
        </w:tc>
        <w:tc>
          <w:tcPr>
            <w:tcW w:w="7380" w:type="dxa"/>
          </w:tcPr>
          <w:p>
            <w:pPr>
              <w:pStyle w:val="TableParagraph"/>
              <w:spacing w:line="273" w:lineRule="auto" w:before="56"/>
              <w:ind w:left="123" w:right="108"/>
              <w:rPr>
                <w:sz w:val="21"/>
              </w:rPr>
            </w:pPr>
            <w:r>
              <w:rPr>
                <w:sz w:val="21"/>
              </w:rPr>
              <w:t>本合同履行过程中，双方发生争议时，首先应协商解决，协商不成的，可以依法向被告所在地人民法院起诉。</w:t>
            </w:r>
          </w:p>
        </w:tc>
      </w:tr>
      <w:tr>
        <w:trPr>
          <w:trHeight w:val="1107" w:hRule="atLeast"/>
        </w:trPr>
        <w:tc>
          <w:tcPr>
            <w:tcW w:w="662" w:type="dxa"/>
          </w:tcPr>
          <w:p>
            <w:pPr>
              <w:pStyle w:val="TableParagraph"/>
              <w:spacing w:before="56"/>
              <w:ind w:left="107"/>
              <w:rPr>
                <w:b/>
                <w:sz w:val="21"/>
              </w:rPr>
            </w:pPr>
            <w:r>
              <w:rPr>
                <w:b/>
                <w:sz w:val="21"/>
              </w:rPr>
              <w:t>7.5</w:t>
            </w:r>
          </w:p>
        </w:tc>
        <w:tc>
          <w:tcPr>
            <w:tcW w:w="1627" w:type="dxa"/>
          </w:tcPr>
          <w:p>
            <w:pPr>
              <w:pStyle w:val="TableParagraph"/>
              <w:spacing w:line="273" w:lineRule="auto" w:before="56"/>
              <w:ind w:left="236" w:right="121"/>
              <w:rPr>
                <w:b/>
                <w:sz w:val="21"/>
              </w:rPr>
            </w:pPr>
            <w:r>
              <w:rPr>
                <w:b/>
                <w:sz w:val="21"/>
              </w:rPr>
              <w:t>身体检查与司法鉴定</w:t>
            </w:r>
          </w:p>
        </w:tc>
        <w:tc>
          <w:tcPr>
            <w:tcW w:w="7380" w:type="dxa"/>
          </w:tcPr>
          <w:p>
            <w:pPr>
              <w:pStyle w:val="TableParagraph"/>
              <w:spacing w:line="273" w:lineRule="auto" w:before="56"/>
              <w:ind w:left="123" w:right="108"/>
              <w:rPr>
                <w:sz w:val="21"/>
              </w:rPr>
            </w:pPr>
            <w:r>
              <w:rPr>
                <w:spacing w:val="-3"/>
                <w:sz w:val="21"/>
              </w:rPr>
              <w:t>保险金受益人申请本合同保险金时，我们有权要求被保险人做身体检查或提供有关的检验报告,有权申请司法机构或者国家认可的鉴定机构对保险事故进行鉴定。</w:t>
            </w:r>
          </w:p>
        </w:tc>
      </w:tr>
      <w:tr>
        <w:trPr>
          <w:trHeight w:val="627" w:hRule="atLeast"/>
        </w:trPr>
        <w:tc>
          <w:tcPr>
            <w:tcW w:w="662" w:type="dxa"/>
            <w:tcBorders>
              <w:bottom w:val="single" w:sz="8" w:space="0" w:color="000000"/>
            </w:tcBorders>
          </w:tcPr>
          <w:p>
            <w:pPr>
              <w:pStyle w:val="TableParagraph"/>
              <w:spacing w:before="61"/>
              <w:ind w:left="107"/>
              <w:rPr>
                <w:b/>
                <w:sz w:val="24"/>
              </w:rPr>
            </w:pPr>
            <w:r>
              <w:rPr>
                <w:b/>
                <w:sz w:val="24"/>
              </w:rPr>
              <w:t>8.</w:t>
            </w:r>
          </w:p>
        </w:tc>
        <w:tc>
          <w:tcPr>
            <w:tcW w:w="1627" w:type="dxa"/>
            <w:tcBorders>
              <w:bottom w:val="single" w:sz="8" w:space="0" w:color="000000"/>
            </w:tcBorders>
          </w:tcPr>
          <w:p>
            <w:pPr>
              <w:pStyle w:val="TableParagraph"/>
              <w:spacing w:before="61"/>
              <w:ind w:left="236"/>
              <w:rPr>
                <w:b/>
                <w:sz w:val="24"/>
              </w:rPr>
            </w:pPr>
            <w:r>
              <w:rPr>
                <w:b/>
                <w:sz w:val="24"/>
              </w:rPr>
              <w:t>释义</w:t>
            </w:r>
          </w:p>
        </w:tc>
        <w:tc>
          <w:tcPr>
            <w:tcW w:w="7380" w:type="dxa"/>
            <w:tcBorders>
              <w:bottom w:val="single" w:sz="8" w:space="0" w:color="000000"/>
            </w:tcBorders>
          </w:tcPr>
          <w:p>
            <w:pPr>
              <w:pStyle w:val="TableParagraph"/>
              <w:rPr>
                <w:rFonts w:ascii="Times New Roman"/>
                <w:sz w:val="20"/>
              </w:rPr>
            </w:pPr>
          </w:p>
        </w:tc>
      </w:tr>
      <w:tr>
        <w:trPr>
          <w:trHeight w:val="811" w:hRule="atLeast"/>
        </w:trPr>
        <w:tc>
          <w:tcPr>
            <w:tcW w:w="662" w:type="dxa"/>
            <w:tcBorders>
              <w:top w:val="single" w:sz="8" w:space="0" w:color="000000"/>
            </w:tcBorders>
          </w:tcPr>
          <w:p>
            <w:pPr>
              <w:pStyle w:val="TableParagraph"/>
              <w:spacing w:before="129"/>
              <w:ind w:left="107"/>
              <w:rPr>
                <w:b/>
                <w:sz w:val="21"/>
              </w:rPr>
            </w:pPr>
            <w:r>
              <w:rPr>
                <w:b/>
                <w:sz w:val="21"/>
              </w:rPr>
              <w:t>8.1</w:t>
            </w:r>
          </w:p>
        </w:tc>
        <w:tc>
          <w:tcPr>
            <w:tcW w:w="1627" w:type="dxa"/>
            <w:tcBorders>
              <w:top w:val="single" w:sz="8" w:space="0" w:color="000000"/>
            </w:tcBorders>
          </w:tcPr>
          <w:p>
            <w:pPr>
              <w:pStyle w:val="TableParagraph"/>
              <w:spacing w:before="129"/>
              <w:ind w:left="236"/>
              <w:rPr>
                <w:b/>
                <w:sz w:val="21"/>
              </w:rPr>
            </w:pPr>
            <w:r>
              <w:rPr>
                <w:b/>
                <w:sz w:val="21"/>
              </w:rPr>
              <w:t>保险单年度</w:t>
            </w:r>
          </w:p>
        </w:tc>
        <w:tc>
          <w:tcPr>
            <w:tcW w:w="7380" w:type="dxa"/>
            <w:tcBorders>
              <w:top w:val="single" w:sz="8" w:space="0" w:color="000000"/>
            </w:tcBorders>
          </w:tcPr>
          <w:p>
            <w:pPr>
              <w:pStyle w:val="TableParagraph"/>
              <w:spacing w:line="273" w:lineRule="auto" w:before="129"/>
              <w:ind w:left="123" w:right="108"/>
              <w:rPr>
                <w:sz w:val="21"/>
              </w:rPr>
            </w:pPr>
            <w:r>
              <w:rPr>
                <w:sz w:val="21"/>
              </w:rPr>
              <w:t>指从本合同生效日或生效对应日零时起至下一年度本合同生效对应日零时止的期间为一个保险单年度。</w:t>
            </w:r>
          </w:p>
        </w:tc>
      </w:tr>
      <w:tr>
        <w:trPr>
          <w:trHeight w:val="692" w:hRule="atLeast"/>
        </w:trPr>
        <w:tc>
          <w:tcPr>
            <w:tcW w:w="662" w:type="dxa"/>
          </w:tcPr>
          <w:p>
            <w:pPr>
              <w:pStyle w:val="TableParagraph"/>
              <w:spacing w:before="12"/>
              <w:ind w:left="107"/>
              <w:rPr>
                <w:b/>
                <w:sz w:val="21"/>
              </w:rPr>
            </w:pPr>
            <w:r>
              <w:rPr>
                <w:b/>
                <w:sz w:val="21"/>
              </w:rPr>
              <w:t>8.2</w:t>
            </w:r>
          </w:p>
        </w:tc>
        <w:tc>
          <w:tcPr>
            <w:tcW w:w="1627" w:type="dxa"/>
          </w:tcPr>
          <w:p>
            <w:pPr>
              <w:pStyle w:val="TableParagraph"/>
              <w:spacing w:line="273" w:lineRule="auto" w:before="12"/>
              <w:ind w:left="236" w:right="121"/>
              <w:rPr>
                <w:b/>
                <w:sz w:val="21"/>
              </w:rPr>
            </w:pPr>
            <w:r>
              <w:rPr>
                <w:b/>
                <w:sz w:val="21"/>
              </w:rPr>
              <w:t>保险费约定交纳日</w:t>
            </w:r>
          </w:p>
        </w:tc>
        <w:tc>
          <w:tcPr>
            <w:tcW w:w="7380" w:type="dxa"/>
          </w:tcPr>
          <w:p>
            <w:pPr>
              <w:pStyle w:val="TableParagraph"/>
              <w:spacing w:line="273" w:lineRule="auto" w:before="12"/>
              <w:ind w:left="123"/>
              <w:rPr>
                <w:sz w:val="21"/>
              </w:rPr>
            </w:pPr>
            <w:r>
              <w:rPr>
                <w:spacing w:val="-9"/>
                <w:sz w:val="21"/>
              </w:rPr>
              <w:t>指本合同生效日在每月、每季、每半年或每年</w:t>
            </w:r>
            <w:r>
              <w:rPr>
                <w:sz w:val="21"/>
              </w:rPr>
              <w:t>（</w:t>
            </w:r>
            <w:r>
              <w:rPr>
                <w:spacing w:val="-3"/>
                <w:sz w:val="21"/>
              </w:rPr>
              <w:t>根据交费方式确定</w:t>
            </w:r>
            <w:r>
              <w:rPr>
                <w:spacing w:val="-29"/>
                <w:sz w:val="21"/>
              </w:rPr>
              <w:t>）</w:t>
            </w:r>
            <w:r>
              <w:rPr>
                <w:spacing w:val="-3"/>
                <w:sz w:val="21"/>
              </w:rPr>
              <w:t>的对应日。如果当月无对应的同一日，则以该月最后一日为对应日。</w:t>
            </w:r>
          </w:p>
        </w:tc>
      </w:tr>
      <w:tr>
        <w:trPr>
          <w:trHeight w:val="692" w:hRule="atLeast"/>
        </w:trPr>
        <w:tc>
          <w:tcPr>
            <w:tcW w:w="662" w:type="dxa"/>
          </w:tcPr>
          <w:p>
            <w:pPr>
              <w:pStyle w:val="TableParagraph"/>
              <w:spacing w:before="11"/>
              <w:ind w:left="107"/>
              <w:rPr>
                <w:b/>
                <w:sz w:val="21"/>
              </w:rPr>
            </w:pPr>
            <w:r>
              <w:rPr>
                <w:b/>
                <w:sz w:val="21"/>
              </w:rPr>
              <w:t>8.3</w:t>
            </w:r>
          </w:p>
        </w:tc>
        <w:tc>
          <w:tcPr>
            <w:tcW w:w="1627" w:type="dxa"/>
          </w:tcPr>
          <w:p>
            <w:pPr>
              <w:pStyle w:val="TableParagraph"/>
              <w:spacing w:before="11"/>
              <w:ind w:left="236"/>
              <w:rPr>
                <w:b/>
                <w:sz w:val="21"/>
              </w:rPr>
            </w:pPr>
            <w:r>
              <w:rPr>
                <w:b/>
                <w:sz w:val="21"/>
              </w:rPr>
              <w:t>周岁</w:t>
            </w:r>
          </w:p>
        </w:tc>
        <w:tc>
          <w:tcPr>
            <w:tcW w:w="7380" w:type="dxa"/>
          </w:tcPr>
          <w:p>
            <w:pPr>
              <w:pStyle w:val="TableParagraph"/>
              <w:spacing w:line="273" w:lineRule="auto" w:before="11"/>
              <w:ind w:left="123" w:right="163"/>
              <w:rPr>
                <w:sz w:val="21"/>
              </w:rPr>
            </w:pPr>
            <w:r>
              <w:rPr>
                <w:spacing w:val="-3"/>
                <w:sz w:val="21"/>
              </w:rPr>
              <w:t>以户籍证明或其他法定的身份证件中记载的出生日期为标准计算年龄（</w:t>
            </w:r>
            <w:r>
              <w:rPr>
                <w:spacing w:val="-10"/>
                <w:sz w:val="21"/>
              </w:rPr>
              <w:t>不足 </w:t>
            </w:r>
            <w:r>
              <w:rPr>
                <w:sz w:val="21"/>
              </w:rPr>
              <w:t>1 </w:t>
            </w:r>
            <w:r>
              <w:rPr>
                <w:spacing w:val="-1"/>
                <w:sz w:val="21"/>
              </w:rPr>
              <w:t>年不计</w:t>
            </w:r>
            <w:r>
              <w:rPr>
                <w:spacing w:val="-106"/>
                <w:sz w:val="21"/>
              </w:rPr>
              <w:t>）。</w:t>
            </w:r>
          </w:p>
        </w:tc>
      </w:tr>
      <w:tr>
        <w:trPr>
          <w:trHeight w:val="717" w:hRule="atLeast"/>
        </w:trPr>
        <w:tc>
          <w:tcPr>
            <w:tcW w:w="662" w:type="dxa"/>
          </w:tcPr>
          <w:p>
            <w:pPr>
              <w:pStyle w:val="TableParagraph"/>
              <w:spacing w:before="12"/>
              <w:ind w:left="107"/>
              <w:rPr>
                <w:b/>
                <w:sz w:val="21"/>
              </w:rPr>
            </w:pPr>
            <w:r>
              <w:rPr>
                <w:b/>
                <w:sz w:val="21"/>
              </w:rPr>
              <w:t>8.4</w:t>
            </w:r>
          </w:p>
        </w:tc>
        <w:tc>
          <w:tcPr>
            <w:tcW w:w="1627" w:type="dxa"/>
          </w:tcPr>
          <w:p>
            <w:pPr>
              <w:pStyle w:val="TableParagraph"/>
              <w:spacing w:before="12"/>
              <w:ind w:left="236"/>
              <w:rPr>
                <w:b/>
                <w:sz w:val="21"/>
              </w:rPr>
            </w:pPr>
            <w:r>
              <w:rPr>
                <w:b/>
                <w:sz w:val="21"/>
              </w:rPr>
              <w:t>有效身份证件</w:t>
            </w:r>
          </w:p>
        </w:tc>
        <w:tc>
          <w:tcPr>
            <w:tcW w:w="7380" w:type="dxa"/>
          </w:tcPr>
          <w:p>
            <w:pPr>
              <w:pStyle w:val="TableParagraph"/>
              <w:spacing w:line="273" w:lineRule="auto" w:before="12"/>
              <w:ind w:left="123" w:right="108"/>
              <w:rPr>
                <w:sz w:val="21"/>
              </w:rPr>
            </w:pPr>
            <w:r>
              <w:rPr>
                <w:sz w:val="21"/>
              </w:rPr>
              <w:t>指由政府主管部门规定的证明其身份的证件，如：居民身份证、按规定可使用的有效护照、军官证、警官证、士兵证、户口簿等证件。</w:t>
            </w:r>
          </w:p>
        </w:tc>
      </w:tr>
      <w:tr>
        <w:trPr>
          <w:trHeight w:val="756" w:hRule="atLeast"/>
        </w:trPr>
        <w:tc>
          <w:tcPr>
            <w:tcW w:w="662" w:type="dxa"/>
          </w:tcPr>
          <w:p>
            <w:pPr>
              <w:pStyle w:val="TableParagraph"/>
              <w:spacing w:before="36"/>
              <w:ind w:left="107"/>
              <w:rPr>
                <w:b/>
                <w:sz w:val="21"/>
              </w:rPr>
            </w:pPr>
            <w:r>
              <w:rPr>
                <w:b/>
                <w:sz w:val="21"/>
              </w:rPr>
              <w:t>8.5</w:t>
            </w:r>
          </w:p>
        </w:tc>
        <w:tc>
          <w:tcPr>
            <w:tcW w:w="1627" w:type="dxa"/>
          </w:tcPr>
          <w:p>
            <w:pPr>
              <w:pStyle w:val="TableParagraph"/>
              <w:spacing w:before="36"/>
              <w:ind w:left="236"/>
              <w:rPr>
                <w:b/>
                <w:sz w:val="21"/>
              </w:rPr>
            </w:pPr>
            <w:r>
              <w:rPr>
                <w:b/>
                <w:sz w:val="21"/>
              </w:rPr>
              <w:t>意外伤害事故</w:t>
            </w:r>
          </w:p>
        </w:tc>
        <w:tc>
          <w:tcPr>
            <w:tcW w:w="7380" w:type="dxa"/>
          </w:tcPr>
          <w:p>
            <w:pPr>
              <w:pStyle w:val="TableParagraph"/>
              <w:spacing w:line="273" w:lineRule="auto" w:before="36"/>
              <w:ind w:left="123" w:right="108"/>
              <w:rPr>
                <w:sz w:val="21"/>
              </w:rPr>
            </w:pPr>
            <w:r>
              <w:rPr>
                <w:sz w:val="21"/>
              </w:rPr>
              <w:t>指遭受外来的、突发的、非本意的、非由疾病引起的使身体受到伤害的客观事件。</w:t>
            </w:r>
          </w:p>
        </w:tc>
      </w:tr>
      <w:tr>
        <w:trPr>
          <w:trHeight w:val="2095" w:hRule="atLeast"/>
        </w:trPr>
        <w:tc>
          <w:tcPr>
            <w:tcW w:w="662" w:type="dxa"/>
          </w:tcPr>
          <w:p>
            <w:pPr>
              <w:pStyle w:val="TableParagraph"/>
              <w:spacing w:before="51"/>
              <w:ind w:left="107"/>
              <w:rPr>
                <w:b/>
                <w:sz w:val="21"/>
              </w:rPr>
            </w:pPr>
            <w:r>
              <w:rPr>
                <w:b/>
                <w:sz w:val="21"/>
              </w:rPr>
              <w:t>8.6</w:t>
            </w:r>
          </w:p>
        </w:tc>
        <w:tc>
          <w:tcPr>
            <w:tcW w:w="1627" w:type="dxa"/>
          </w:tcPr>
          <w:p>
            <w:pPr>
              <w:pStyle w:val="TableParagraph"/>
              <w:spacing w:before="51"/>
              <w:ind w:left="236"/>
              <w:rPr>
                <w:b/>
                <w:sz w:val="21"/>
              </w:rPr>
            </w:pPr>
            <w:r>
              <w:rPr>
                <w:b/>
                <w:sz w:val="21"/>
              </w:rPr>
              <w:t>医院</w:t>
            </w:r>
          </w:p>
        </w:tc>
        <w:tc>
          <w:tcPr>
            <w:tcW w:w="7380" w:type="dxa"/>
          </w:tcPr>
          <w:p>
            <w:pPr>
              <w:pStyle w:val="TableParagraph"/>
              <w:spacing w:line="273" w:lineRule="auto" w:before="51"/>
              <w:ind w:left="123" w:right="2"/>
              <w:rPr>
                <w:sz w:val="21"/>
              </w:rPr>
            </w:pPr>
            <w:r>
              <w:rPr>
                <w:spacing w:val="-3"/>
                <w:sz w:val="21"/>
              </w:rPr>
              <w:t>本合同所称医院指我们指定医院或经中华人民共和国卫生部门评审确定的二级</w:t>
            </w:r>
            <w:r>
              <w:rPr>
                <w:spacing w:val="-9"/>
                <w:sz w:val="21"/>
              </w:rPr>
              <w:t>或以上之公立医院，但不包括精神病院及专供康复、护理、疗养、戒酒、戒毒、</w:t>
            </w:r>
            <w:r>
              <w:rPr>
                <w:spacing w:val="-5"/>
                <w:sz w:val="21"/>
              </w:rPr>
              <w:t>养老等非以直接诊治病人为目的之医疗机构。该医院必须具有符合国家有关医</w:t>
            </w:r>
            <w:r>
              <w:rPr>
                <w:spacing w:val="-13"/>
                <w:sz w:val="21"/>
              </w:rPr>
              <w:t>院管理规则设置标准的医疗设备，且全天 </w:t>
            </w:r>
            <w:r>
              <w:rPr>
                <w:sz w:val="21"/>
              </w:rPr>
              <w:t>24</w:t>
            </w:r>
            <w:r>
              <w:rPr>
                <w:spacing w:val="-8"/>
                <w:sz w:val="21"/>
              </w:rPr>
              <w:t> 小时有合格的医生和护士驻院提供</w:t>
            </w:r>
            <w:r>
              <w:rPr>
                <w:spacing w:val="-5"/>
                <w:sz w:val="21"/>
              </w:rPr>
              <w:t>医疗和护理服务。当被保险人因急诊和遭受意外伤害事故须急救时不受此限， </w:t>
            </w:r>
            <w:r>
              <w:rPr>
                <w:spacing w:val="-4"/>
                <w:sz w:val="21"/>
              </w:rPr>
              <w:t>但病情稳定后须转入本合同所指医院治疗。</w:t>
            </w:r>
          </w:p>
        </w:tc>
      </w:tr>
      <w:tr>
        <w:trPr>
          <w:trHeight w:val="2149" w:hRule="atLeast"/>
        </w:trPr>
        <w:tc>
          <w:tcPr>
            <w:tcW w:w="662" w:type="dxa"/>
          </w:tcPr>
          <w:p>
            <w:pPr>
              <w:pStyle w:val="TableParagraph"/>
              <w:spacing w:before="128"/>
              <w:ind w:left="107"/>
              <w:rPr>
                <w:b/>
                <w:sz w:val="21"/>
              </w:rPr>
            </w:pPr>
            <w:r>
              <w:rPr>
                <w:b/>
                <w:sz w:val="21"/>
              </w:rPr>
              <w:t>8.7</w:t>
            </w:r>
          </w:p>
        </w:tc>
        <w:tc>
          <w:tcPr>
            <w:tcW w:w="1627" w:type="dxa"/>
          </w:tcPr>
          <w:p>
            <w:pPr>
              <w:pStyle w:val="TableParagraph"/>
              <w:spacing w:before="128"/>
              <w:ind w:left="236"/>
              <w:rPr>
                <w:b/>
                <w:sz w:val="21"/>
              </w:rPr>
            </w:pPr>
            <w:r>
              <w:rPr>
                <w:b/>
                <w:sz w:val="21"/>
              </w:rPr>
              <w:t>专科医生</w:t>
            </w:r>
          </w:p>
        </w:tc>
        <w:tc>
          <w:tcPr>
            <w:tcW w:w="7380" w:type="dxa"/>
          </w:tcPr>
          <w:p>
            <w:pPr>
              <w:pStyle w:val="TableParagraph"/>
              <w:spacing w:before="128"/>
              <w:ind w:left="123"/>
              <w:rPr>
                <w:sz w:val="21"/>
              </w:rPr>
            </w:pPr>
            <w:r>
              <w:rPr>
                <w:sz w:val="21"/>
              </w:rPr>
              <w:t>专科医生应当同时满足以下四项资格条件：</w:t>
            </w:r>
          </w:p>
          <w:p>
            <w:pPr>
              <w:pStyle w:val="TableParagraph"/>
              <w:spacing w:before="37"/>
              <w:ind w:left="123"/>
              <w:rPr>
                <w:sz w:val="21"/>
              </w:rPr>
            </w:pPr>
            <w:r>
              <w:rPr>
                <w:sz w:val="21"/>
              </w:rPr>
              <w:t>1.具有有效的中华人民共和国《医师资格证书》；</w:t>
            </w:r>
          </w:p>
          <w:p>
            <w:pPr>
              <w:pStyle w:val="TableParagraph"/>
              <w:spacing w:before="37"/>
              <w:ind w:left="123"/>
              <w:rPr>
                <w:sz w:val="21"/>
              </w:rPr>
            </w:pPr>
            <w:r>
              <w:rPr>
                <w:sz w:val="21"/>
              </w:rPr>
              <w:t>2.</w:t>
            </w:r>
            <w:r>
              <w:rPr>
                <w:spacing w:val="-10"/>
                <w:sz w:val="21"/>
              </w:rPr>
              <w:t>具有有效的中华人民共和国《医师执业证书》，并按期到相关部门登记注册；</w:t>
            </w:r>
          </w:p>
          <w:p>
            <w:pPr>
              <w:pStyle w:val="TableParagraph"/>
              <w:spacing w:line="273" w:lineRule="auto" w:before="37"/>
              <w:ind w:left="123" w:right="317"/>
              <w:rPr>
                <w:sz w:val="21"/>
              </w:rPr>
            </w:pPr>
            <w:r>
              <w:rPr>
                <w:sz w:val="21"/>
              </w:rPr>
              <w:t>3.具有有效的中华人民共和国主治医师或主治医师以上职称的《医师职称证书》；</w:t>
            </w:r>
          </w:p>
          <w:p>
            <w:pPr>
              <w:pStyle w:val="TableParagraph"/>
              <w:spacing w:before="7"/>
              <w:ind w:left="123"/>
              <w:rPr>
                <w:sz w:val="21"/>
              </w:rPr>
            </w:pPr>
            <w:r>
              <w:rPr>
                <w:sz w:val="21"/>
              </w:rPr>
              <w:t>4.在二级或二级以上医院的相应科室从事临床工作</w:t>
            </w:r>
            <w:r>
              <w:rPr>
                <w:rFonts w:ascii="Times New Roman" w:eastAsia="Times New Roman"/>
                <w:sz w:val="21"/>
              </w:rPr>
              <w:t>3</w:t>
            </w:r>
            <w:r>
              <w:rPr>
                <w:sz w:val="21"/>
              </w:rPr>
              <w:t>年以上。</w:t>
            </w:r>
          </w:p>
        </w:tc>
      </w:tr>
      <w:tr>
        <w:trPr>
          <w:trHeight w:val="2559" w:hRule="atLeast"/>
        </w:trPr>
        <w:tc>
          <w:tcPr>
            <w:tcW w:w="662" w:type="dxa"/>
          </w:tcPr>
          <w:p>
            <w:pPr>
              <w:pStyle w:val="TableParagraph"/>
              <w:spacing w:before="89"/>
              <w:ind w:left="107"/>
              <w:rPr>
                <w:b/>
                <w:sz w:val="21"/>
              </w:rPr>
            </w:pPr>
            <w:r>
              <w:rPr>
                <w:b/>
                <w:sz w:val="21"/>
              </w:rPr>
              <w:t>8.8</w:t>
            </w:r>
          </w:p>
        </w:tc>
        <w:tc>
          <w:tcPr>
            <w:tcW w:w="1627" w:type="dxa"/>
          </w:tcPr>
          <w:p>
            <w:pPr>
              <w:pStyle w:val="TableParagraph"/>
              <w:spacing w:before="89"/>
              <w:ind w:left="236"/>
              <w:rPr>
                <w:b/>
                <w:sz w:val="21"/>
              </w:rPr>
            </w:pPr>
            <w:r>
              <w:rPr>
                <w:b/>
                <w:sz w:val="21"/>
              </w:rPr>
              <w:t>轻型疾病</w:t>
            </w:r>
          </w:p>
        </w:tc>
        <w:tc>
          <w:tcPr>
            <w:tcW w:w="7380" w:type="dxa"/>
          </w:tcPr>
          <w:p>
            <w:pPr>
              <w:pStyle w:val="TableParagraph"/>
              <w:spacing w:before="108"/>
              <w:ind w:left="123"/>
              <w:rPr>
                <w:sz w:val="21"/>
              </w:rPr>
            </w:pPr>
            <w:r>
              <w:rPr>
                <w:sz w:val="21"/>
              </w:rPr>
              <w:t>本合同中所列轻型疾病包括以下 10 种：</w:t>
            </w:r>
          </w:p>
          <w:p>
            <w:pPr>
              <w:pStyle w:val="TableParagraph"/>
              <w:numPr>
                <w:ilvl w:val="0"/>
                <w:numId w:val="14"/>
              </w:numPr>
              <w:tabs>
                <w:tab w:pos="544" w:val="left" w:leader="none"/>
              </w:tabs>
              <w:spacing w:line="273" w:lineRule="auto" w:before="176" w:after="0"/>
              <w:ind w:left="544" w:right="103" w:hanging="421"/>
              <w:jc w:val="both"/>
              <w:rPr>
                <w:b/>
                <w:sz w:val="21"/>
              </w:rPr>
            </w:pPr>
            <w:r>
              <w:rPr>
                <w:b/>
                <w:spacing w:val="-4"/>
                <w:sz w:val="21"/>
              </w:rPr>
              <w:t>慢性淋巴细胞白血病</w:t>
            </w:r>
            <w:r>
              <w:rPr>
                <w:b/>
                <w:sz w:val="21"/>
              </w:rPr>
              <w:t>（Binet</w:t>
            </w:r>
            <w:r>
              <w:rPr>
                <w:b/>
                <w:spacing w:val="-17"/>
                <w:sz w:val="21"/>
              </w:rPr>
              <w:t> 分期方案 </w:t>
            </w:r>
            <w:r>
              <w:rPr>
                <w:b/>
                <w:sz w:val="21"/>
              </w:rPr>
              <w:t>A</w:t>
            </w:r>
            <w:r>
              <w:rPr>
                <w:b/>
                <w:spacing w:val="-25"/>
                <w:sz w:val="21"/>
              </w:rPr>
              <w:t> 期</w:t>
            </w:r>
            <w:r>
              <w:rPr>
                <w:b/>
                <w:spacing w:val="-70"/>
                <w:sz w:val="21"/>
              </w:rPr>
              <w:t>）：</w:t>
            </w:r>
            <w:r>
              <w:rPr>
                <w:spacing w:val="-3"/>
                <w:sz w:val="21"/>
              </w:rPr>
              <w:t>是血液及造血组织的恶性肿瘤，其特征为白细胞不受控制的进行性增长和扩散，可经血管转移到身体</w:t>
            </w:r>
            <w:r>
              <w:rPr>
                <w:spacing w:val="-8"/>
                <w:sz w:val="21"/>
              </w:rPr>
              <w:t>其它部位。</w:t>
            </w:r>
            <w:r>
              <w:rPr>
                <w:b/>
                <w:spacing w:val="-5"/>
                <w:sz w:val="21"/>
              </w:rPr>
              <w:t>经组织病理学检查被明确诊断为 </w:t>
            </w:r>
            <w:r>
              <w:rPr>
                <w:b/>
                <w:sz w:val="21"/>
              </w:rPr>
              <w:t>Binet</w:t>
            </w:r>
            <w:r>
              <w:rPr>
                <w:b/>
                <w:spacing w:val="-19"/>
                <w:sz w:val="21"/>
              </w:rPr>
              <w:t> 分期方案 </w:t>
            </w:r>
            <w:r>
              <w:rPr>
                <w:b/>
                <w:sz w:val="21"/>
              </w:rPr>
              <w:t>A</w:t>
            </w:r>
            <w:r>
              <w:rPr>
                <w:b/>
                <w:spacing w:val="-10"/>
                <w:sz w:val="21"/>
              </w:rPr>
              <w:t> 期程度的慢</w:t>
            </w:r>
            <w:r>
              <w:rPr>
                <w:b/>
                <w:spacing w:val="-9"/>
                <w:sz w:val="21"/>
              </w:rPr>
              <w:t>性淋巴细胞白血病，并且接受了相应的治疗。</w:t>
            </w:r>
          </w:p>
          <w:p>
            <w:pPr>
              <w:pStyle w:val="TableParagraph"/>
              <w:numPr>
                <w:ilvl w:val="0"/>
                <w:numId w:val="14"/>
              </w:numPr>
              <w:tabs>
                <w:tab w:pos="543" w:val="left" w:leader="none"/>
                <w:tab w:pos="544" w:val="left" w:leader="none"/>
              </w:tabs>
              <w:spacing w:line="310" w:lineRule="atLeast" w:before="128" w:after="0"/>
              <w:ind w:left="544" w:right="-15" w:hanging="421"/>
              <w:jc w:val="left"/>
              <w:rPr>
                <w:sz w:val="21"/>
              </w:rPr>
            </w:pPr>
            <w:r>
              <w:rPr>
                <w:b/>
                <w:sz w:val="21"/>
              </w:rPr>
              <w:t>原位癌</w:t>
            </w:r>
            <w:r>
              <w:rPr>
                <w:spacing w:val="-3"/>
                <w:sz w:val="21"/>
              </w:rPr>
              <w:t>：指异型增生的细胞在形态和生物学特性上与癌细胞相同，并累及</w:t>
            </w:r>
            <w:r>
              <w:rPr>
                <w:spacing w:val="-12"/>
                <w:sz w:val="21"/>
              </w:rPr>
              <w:t>上皮的全层，但没有突破基底膜向下浸润。须经病理学检查结果明确诊断，</w:t>
            </w:r>
          </w:p>
        </w:tc>
      </w:tr>
    </w:tbl>
    <w:p>
      <w:pPr>
        <w:spacing w:after="0" w:line="310" w:lineRule="atLeast"/>
        <w:jc w:val="left"/>
        <w:rPr>
          <w:sz w:val="21"/>
        </w:rPr>
        <w:sectPr>
          <w:pgSz w:w="11910" w:h="16840"/>
          <w:pgMar w:header="0" w:footer="925" w:top="1100" w:bottom="1120" w:left="920" w:right="1100"/>
        </w:sectPr>
      </w:pPr>
    </w:p>
    <w:p>
      <w:pPr>
        <w:pStyle w:val="BodyText"/>
        <w:spacing w:before="7"/>
      </w:pPr>
      <w:r>
        <w:rPr/>
        <w:t>临床诊断属于世界卫生组织《疾病和有关健康问题的国际统计分类》</w:t>
      </w:r>
    </w:p>
    <w:p>
      <w:pPr>
        <w:pStyle w:val="Heading2"/>
        <w:spacing w:line="273" w:lineRule="auto" w:before="36"/>
        <w:ind w:right="216"/>
        <w:jc w:val="both"/>
      </w:pPr>
      <w:r>
        <w:rPr>
          <w:b w:val="0"/>
          <w:spacing w:val="-1"/>
        </w:rPr>
        <w:t>（ICD-10）</w:t>
      </w:r>
      <w:r>
        <w:rPr>
          <w:b w:val="0"/>
          <w:spacing w:val="-4"/>
        </w:rPr>
        <w:t>的原位癌范畴。</w:t>
      </w:r>
      <w:r>
        <w:rPr>
          <w:spacing w:val="-3"/>
        </w:rPr>
        <w:t>被保险人必须经组织病理学检查被明确诊断为</w:t>
      </w:r>
      <w:r>
        <w:rPr>
          <w:spacing w:val="-5"/>
        </w:rPr>
        <w:t>原位癌，并且接受了相应的治疗。</w:t>
      </w:r>
      <w:r>
        <w:rPr>
          <w:b w:val="0"/>
          <w:spacing w:val="-4"/>
        </w:rPr>
        <w:t>原位癌必须在生前诊断。</w:t>
      </w:r>
      <w:r>
        <w:rPr/>
        <w:t>被保险人所患</w:t>
      </w:r>
      <w:r>
        <w:rPr>
          <w:spacing w:val="-5"/>
        </w:rPr>
        <w:t>癌症在被诊断时已经超越原位癌阶段者不在本保障范围内。癌前病变</w:t>
      </w:r>
      <w:r>
        <w:rPr/>
        <w:t>（包</w:t>
      </w:r>
      <w:r>
        <w:rPr>
          <w:spacing w:val="-5"/>
        </w:rPr>
        <w:t>括宫颈上皮内瘤样病变 CIN-1，CIN-2</w:t>
      </w:r>
      <w:r>
        <w:rPr>
          <w:spacing w:val="-3"/>
        </w:rPr>
        <w:t>，重度不典型增生但非原位癌</w:t>
      </w:r>
      <w:r>
        <w:rPr>
          <w:spacing w:val="-27"/>
        </w:rPr>
        <w:t>）</w:t>
      </w:r>
      <w:r>
        <w:rPr/>
        <w:t>不在</w:t>
      </w:r>
      <w:r>
        <w:rPr>
          <w:spacing w:val="-4"/>
        </w:rPr>
        <w:t>本保障范围之内。感染艾滋病病毒或患艾滋病期间所患原位癌不在保障范围内。</w:t>
      </w:r>
    </w:p>
    <w:p>
      <w:pPr>
        <w:pStyle w:val="ListParagraph"/>
        <w:numPr>
          <w:ilvl w:val="1"/>
          <w:numId w:val="1"/>
        </w:numPr>
        <w:tabs>
          <w:tab w:pos="2177" w:val="left" w:leader="none"/>
          <w:tab w:pos="2178" w:val="left" w:leader="none"/>
        </w:tabs>
        <w:spacing w:line="273" w:lineRule="auto" w:before="163" w:after="0"/>
        <w:ind w:left="2177" w:right="218" w:hanging="420"/>
        <w:jc w:val="left"/>
        <w:rPr>
          <w:sz w:val="21"/>
        </w:rPr>
      </w:pPr>
      <w:r>
        <w:rPr>
          <w:b/>
          <w:sz w:val="21"/>
        </w:rPr>
        <w:t>皮肤癌</w:t>
      </w:r>
      <w:r>
        <w:rPr>
          <w:spacing w:val="-3"/>
          <w:sz w:val="21"/>
        </w:rPr>
        <w:t>：指皮肤表皮发生的恶性肿瘤。皮肤癌必须经我们认可的医院的专科医生诊断并且经病理学检查结果确诊。</w:t>
      </w:r>
    </w:p>
    <w:p>
      <w:pPr>
        <w:pStyle w:val="Heading2"/>
      </w:pPr>
      <w:r>
        <w:rPr/>
        <w:t>恶性黑色素瘤及已发生转移的皮肤癌不在保障范围内。</w:t>
      </w:r>
    </w:p>
    <w:p>
      <w:pPr>
        <w:pStyle w:val="BodyText"/>
        <w:spacing w:before="9"/>
        <w:ind w:left="0"/>
        <w:rPr>
          <w:b/>
          <w:sz w:val="14"/>
        </w:rPr>
      </w:pPr>
    </w:p>
    <w:p>
      <w:pPr>
        <w:pStyle w:val="ListParagraph"/>
        <w:numPr>
          <w:ilvl w:val="1"/>
          <w:numId w:val="1"/>
        </w:numPr>
        <w:tabs>
          <w:tab w:pos="2177" w:val="left" w:leader="none"/>
          <w:tab w:pos="2178" w:val="left" w:leader="none"/>
        </w:tabs>
        <w:spacing w:line="273" w:lineRule="auto" w:before="0" w:after="0"/>
        <w:ind w:left="2177" w:right="218" w:hanging="420"/>
        <w:jc w:val="left"/>
        <w:rPr>
          <w:sz w:val="21"/>
        </w:rPr>
      </w:pPr>
      <w:r>
        <w:rPr>
          <w:b/>
          <w:sz w:val="21"/>
        </w:rPr>
        <w:t>心脏瓣膜介入手术</w:t>
      </w:r>
      <w:r>
        <w:rPr>
          <w:spacing w:val="-3"/>
          <w:sz w:val="21"/>
        </w:rPr>
        <w:t>：为了治疗心脏瓣膜疾病，实际实施的非开胸的经胸壁打孔内镜手术或经皮经导管介入手术进行的心脏瓣膜置换或修复手术。</w:t>
      </w:r>
    </w:p>
    <w:p>
      <w:pPr>
        <w:pStyle w:val="ListParagraph"/>
        <w:numPr>
          <w:ilvl w:val="1"/>
          <w:numId w:val="1"/>
        </w:numPr>
        <w:tabs>
          <w:tab w:pos="2178" w:val="left" w:leader="none"/>
        </w:tabs>
        <w:spacing w:line="273" w:lineRule="auto" w:before="164" w:after="0"/>
        <w:ind w:left="2177" w:right="218" w:hanging="420"/>
        <w:jc w:val="both"/>
        <w:rPr>
          <w:b/>
          <w:sz w:val="21"/>
        </w:rPr>
      </w:pPr>
      <w:r>
        <w:rPr>
          <w:b/>
          <w:sz w:val="21"/>
        </w:rPr>
        <w:t>主动脉内手术</w:t>
      </w:r>
      <w:r>
        <w:rPr>
          <w:spacing w:val="-3"/>
          <w:sz w:val="21"/>
        </w:rPr>
        <w:t>：为了治疗主动脉疾病实际实施的经皮经导管进行的动脉内</w:t>
      </w:r>
      <w:r>
        <w:rPr>
          <w:spacing w:val="-5"/>
          <w:sz w:val="21"/>
        </w:rPr>
        <w:t>手术。主动脉指胸主动脉和腹主动脉，</w:t>
      </w:r>
      <w:r>
        <w:rPr>
          <w:b/>
          <w:spacing w:val="-1"/>
          <w:sz w:val="21"/>
        </w:rPr>
        <w:t>不包括胸主动脉和腹主动脉的分支血管。</w:t>
      </w:r>
    </w:p>
    <w:p>
      <w:pPr>
        <w:pStyle w:val="ListParagraph"/>
        <w:numPr>
          <w:ilvl w:val="1"/>
          <w:numId w:val="1"/>
        </w:numPr>
        <w:tabs>
          <w:tab w:pos="2177" w:val="left" w:leader="none"/>
          <w:tab w:pos="2178" w:val="left" w:leader="none"/>
        </w:tabs>
        <w:spacing w:line="273" w:lineRule="auto" w:before="163" w:after="0"/>
        <w:ind w:left="2177" w:right="218" w:hanging="420"/>
        <w:jc w:val="left"/>
        <w:rPr>
          <w:sz w:val="21"/>
        </w:rPr>
      </w:pPr>
      <w:r>
        <w:rPr>
          <w:b/>
          <w:spacing w:val="-2"/>
          <w:sz w:val="21"/>
        </w:rPr>
        <w:t>听力严重受损 - 三岁始理赔</w:t>
      </w:r>
      <w:r>
        <w:rPr>
          <w:spacing w:val="-3"/>
          <w:sz w:val="21"/>
        </w:rPr>
        <w:t>：指因疾病或意外伤害导致但而活双耳听力</w:t>
      </w:r>
      <w:r>
        <w:rPr>
          <w:b/>
          <w:spacing w:val="-3"/>
          <w:sz w:val="21"/>
        </w:rPr>
        <w:t>永久不可逆</w:t>
      </w:r>
      <w:r>
        <w:rPr>
          <w:spacing w:val="-3"/>
          <w:sz w:val="21"/>
        </w:rPr>
        <w:t>（</w:t>
      </w:r>
      <w:r>
        <w:rPr>
          <w:spacing w:val="-26"/>
          <w:sz w:val="21"/>
        </w:rPr>
        <w:t>见 </w:t>
      </w:r>
      <w:r>
        <w:rPr>
          <w:sz w:val="21"/>
        </w:rPr>
        <w:t>8.20）</w:t>
      </w:r>
      <w:r>
        <w:rPr>
          <w:spacing w:val="-11"/>
          <w:sz w:val="21"/>
        </w:rPr>
        <w:t>性丧失，在 </w:t>
      </w:r>
      <w:r>
        <w:rPr>
          <w:sz w:val="21"/>
        </w:rPr>
        <w:t>500</w:t>
      </w:r>
      <w:r>
        <w:rPr>
          <w:spacing w:val="-14"/>
          <w:sz w:val="21"/>
        </w:rPr>
        <w:t> 赫兹，</w:t>
      </w:r>
      <w:r>
        <w:rPr>
          <w:sz w:val="21"/>
        </w:rPr>
        <w:t>1000</w:t>
      </w:r>
      <w:r>
        <w:rPr>
          <w:spacing w:val="-22"/>
          <w:sz w:val="21"/>
        </w:rPr>
        <w:t> 赫兹和 </w:t>
      </w:r>
      <w:r>
        <w:rPr>
          <w:sz w:val="21"/>
        </w:rPr>
        <w:t>2000</w:t>
      </w:r>
      <w:r>
        <w:rPr>
          <w:spacing w:val="-12"/>
          <w:sz w:val="21"/>
        </w:rPr>
        <w:t> 赫兹语音频率下，平均听阈大于 </w:t>
      </w:r>
      <w:r>
        <w:rPr>
          <w:sz w:val="21"/>
        </w:rPr>
        <w:t>70</w:t>
      </w:r>
      <w:r>
        <w:rPr>
          <w:spacing w:val="-12"/>
          <w:sz w:val="21"/>
        </w:rPr>
        <w:t> 分贝，即便使用助听器仍不能改善。需有纯音听</w:t>
      </w:r>
      <w:r>
        <w:rPr>
          <w:spacing w:val="-6"/>
          <w:sz w:val="21"/>
        </w:rPr>
        <w:t>力测试、声道抗检测或听觉诱发电位检测等证实。</w:t>
      </w:r>
    </w:p>
    <w:p>
      <w:pPr>
        <w:pStyle w:val="BodyText"/>
        <w:spacing w:before="163"/>
      </w:pPr>
      <w:r>
        <w:rPr/>
        <w:t>申请理赔时，须提供理赔当时的听力丧失诊断及检查证据。</w:t>
      </w:r>
    </w:p>
    <w:p>
      <w:pPr>
        <w:pStyle w:val="BodyText"/>
        <w:spacing w:before="9"/>
        <w:ind w:left="0"/>
        <w:rPr>
          <w:sz w:val="14"/>
        </w:rPr>
      </w:pPr>
    </w:p>
    <w:p>
      <w:pPr>
        <w:pStyle w:val="Heading2"/>
        <w:spacing w:line="273" w:lineRule="auto" w:before="1"/>
        <w:ind w:right="173"/>
      </w:pPr>
      <w:r>
        <w:rPr/>
        <w:t>被保险人申请理赔时年龄必须在三周岁以上，并且提供理赔当时的听力丧失诊断及检查证据。</w:t>
      </w:r>
    </w:p>
    <w:p>
      <w:pPr>
        <w:pStyle w:val="ListParagraph"/>
        <w:numPr>
          <w:ilvl w:val="1"/>
          <w:numId w:val="1"/>
        </w:numPr>
        <w:tabs>
          <w:tab w:pos="2177" w:val="left" w:leader="none"/>
          <w:tab w:pos="2178" w:val="left" w:leader="none"/>
        </w:tabs>
        <w:spacing w:line="273" w:lineRule="auto" w:before="164" w:after="0"/>
        <w:ind w:left="2177" w:right="115" w:hanging="420"/>
        <w:jc w:val="left"/>
        <w:rPr>
          <w:sz w:val="21"/>
        </w:rPr>
      </w:pPr>
      <w:r>
        <w:rPr>
          <w:b/>
          <w:sz w:val="21"/>
        </w:rPr>
        <w:t>脑损伤</w:t>
      </w:r>
      <w:r>
        <w:rPr>
          <w:spacing w:val="-3"/>
          <w:sz w:val="21"/>
        </w:rPr>
        <w:t>：指因头部遭受机械性外力，引起脑重要部位损伤，导致神经系统</w:t>
      </w:r>
      <w:r>
        <w:rPr>
          <w:spacing w:val="-3"/>
          <w:w w:val="100"/>
          <w:sz w:val="21"/>
        </w:rPr>
        <w:t>永久性的功能障碍。须由头颅断层扫描（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2"/>
          <w:w w:val="100"/>
          <w:sz w:val="21"/>
        </w:rPr>
        <w:t>或正</w:t>
      </w:r>
      <w:r>
        <w:rPr>
          <w:spacing w:val="-12"/>
          <w:sz w:val="21"/>
        </w:rPr>
        <w:t>电子发射断层扫描</w:t>
      </w:r>
      <w:r>
        <w:rPr>
          <w:spacing w:val="-16"/>
          <w:sz w:val="21"/>
        </w:rPr>
        <w:t>（PET）</w:t>
      </w:r>
      <w:r>
        <w:rPr>
          <w:spacing w:val="-10"/>
          <w:sz w:val="21"/>
        </w:rPr>
        <w:t>等影像学检查证实。神经系统永久性的功能障碍， </w:t>
      </w:r>
      <w:r>
        <w:rPr>
          <w:spacing w:val="-14"/>
          <w:sz w:val="21"/>
        </w:rPr>
        <w:t>指脑损伤 </w:t>
      </w:r>
      <w:r>
        <w:rPr>
          <w:sz w:val="21"/>
        </w:rPr>
        <w:t>180</w:t>
      </w:r>
      <w:r>
        <w:rPr>
          <w:spacing w:val="-9"/>
          <w:sz w:val="21"/>
        </w:rPr>
        <w:t> 天后，仍严重丧失自主生活能力，无法独立完成</w:t>
      </w:r>
      <w:r>
        <w:rPr>
          <w:b/>
          <w:sz w:val="21"/>
        </w:rPr>
        <w:t>六项基本日常生活活动</w:t>
      </w:r>
      <w:r>
        <w:rPr>
          <w:spacing w:val="-3"/>
          <w:sz w:val="21"/>
        </w:rPr>
        <w:t>（</w:t>
      </w:r>
      <w:r>
        <w:rPr>
          <w:spacing w:val="-23"/>
          <w:sz w:val="21"/>
        </w:rPr>
        <w:t>见 </w:t>
      </w:r>
      <w:r>
        <w:rPr>
          <w:sz w:val="21"/>
        </w:rPr>
        <w:t>8.21）</w:t>
      </w:r>
      <w:r>
        <w:rPr>
          <w:spacing w:val="-3"/>
          <w:sz w:val="21"/>
        </w:rPr>
        <w:t>中的二项。</w:t>
      </w:r>
    </w:p>
    <w:p>
      <w:pPr>
        <w:pStyle w:val="ListParagraph"/>
        <w:numPr>
          <w:ilvl w:val="1"/>
          <w:numId w:val="1"/>
        </w:numPr>
        <w:tabs>
          <w:tab w:pos="2177" w:val="left" w:leader="none"/>
          <w:tab w:pos="2178" w:val="left" w:leader="none"/>
        </w:tabs>
        <w:spacing w:line="273" w:lineRule="auto" w:before="163" w:after="0"/>
        <w:ind w:left="2177" w:right="218" w:hanging="420"/>
        <w:jc w:val="left"/>
        <w:rPr>
          <w:sz w:val="21"/>
        </w:rPr>
      </w:pPr>
      <w:r>
        <w:rPr>
          <w:b/>
          <w:spacing w:val="-2"/>
          <w:w w:val="100"/>
          <w:sz w:val="21"/>
        </w:rPr>
        <w:t>脑垂体瘤、脑囊肿、脑动脉瘤及脑血管瘤</w:t>
      </w:r>
      <w:r>
        <w:rPr>
          <w:spacing w:val="-3"/>
          <w:w w:val="100"/>
          <w:sz w:val="21"/>
        </w:rPr>
        <w:t>：指经头颅断层扫描</w:t>
      </w:r>
      <w:r>
        <w:rPr>
          <w:w w:val="100"/>
          <w:sz w:val="21"/>
        </w:rPr>
        <w:t>（C</w:t>
      </w:r>
      <w:r>
        <w:rPr>
          <w:spacing w:val="-3"/>
          <w:w w:val="100"/>
          <w:sz w:val="21"/>
        </w:rPr>
        <w:t>T</w:t>
      </w:r>
      <w:r>
        <w:rPr>
          <w:spacing w:val="-106"/>
          <w:w w:val="100"/>
          <w:sz w:val="21"/>
        </w:rPr>
        <w:t>）</w:t>
      </w:r>
      <w:r>
        <w:rPr>
          <w:spacing w:val="-2"/>
          <w:w w:val="100"/>
          <w:sz w:val="21"/>
        </w:rPr>
        <w:t>、核</w:t>
      </w:r>
      <w:r>
        <w:rPr>
          <w:spacing w:val="-14"/>
          <w:sz w:val="21"/>
        </w:rPr>
        <w:t>磁共振</w:t>
      </w:r>
      <w:r>
        <w:rPr>
          <w:spacing w:val="-9"/>
          <w:sz w:val="21"/>
        </w:rPr>
        <w:t>（MRI）</w:t>
      </w:r>
      <w:r>
        <w:rPr>
          <w:spacing w:val="-5"/>
          <w:sz w:val="21"/>
        </w:rPr>
        <w:t>或其他影像学检查被确诊为下列病变，并实际接受了手术或</w:t>
      </w:r>
      <w:r>
        <w:rPr>
          <w:spacing w:val="-4"/>
          <w:sz w:val="21"/>
        </w:rPr>
        <w:t>放射治疗。</w:t>
      </w:r>
    </w:p>
    <w:p>
      <w:pPr>
        <w:pStyle w:val="BodyText"/>
        <w:spacing w:before="163"/>
      </w:pPr>
      <w:r>
        <w:rPr/>
        <w:t>（1）脑垂体瘤；</w:t>
      </w:r>
    </w:p>
    <w:p>
      <w:pPr>
        <w:pStyle w:val="BodyText"/>
        <w:spacing w:before="9"/>
        <w:ind w:left="0"/>
        <w:rPr>
          <w:sz w:val="14"/>
        </w:rPr>
      </w:pPr>
    </w:p>
    <w:p>
      <w:pPr>
        <w:pStyle w:val="BodyText"/>
      </w:pPr>
      <w:r>
        <w:rPr/>
        <w:t>（2）脑囊肿；</w:t>
      </w:r>
    </w:p>
    <w:p>
      <w:pPr>
        <w:pStyle w:val="BodyText"/>
        <w:spacing w:before="9"/>
        <w:ind w:left="0"/>
        <w:rPr>
          <w:sz w:val="14"/>
        </w:rPr>
      </w:pPr>
    </w:p>
    <w:p>
      <w:pPr>
        <w:pStyle w:val="BodyText"/>
        <w:spacing w:before="1"/>
      </w:pPr>
      <w:r>
        <w:rPr/>
        <w:t>（3）脑动脉瘤、脑血管瘤。</w:t>
      </w:r>
    </w:p>
    <w:p>
      <w:pPr>
        <w:pStyle w:val="BodyText"/>
        <w:spacing w:before="10"/>
        <w:ind w:left="0"/>
        <w:rPr>
          <w:sz w:val="14"/>
        </w:rPr>
      </w:pPr>
    </w:p>
    <w:p>
      <w:pPr>
        <w:pStyle w:val="ListParagraph"/>
        <w:numPr>
          <w:ilvl w:val="1"/>
          <w:numId w:val="1"/>
        </w:numPr>
        <w:tabs>
          <w:tab w:pos="2177" w:val="left" w:leader="none"/>
          <w:tab w:pos="2178" w:val="left" w:leader="none"/>
        </w:tabs>
        <w:spacing w:line="273" w:lineRule="auto" w:before="0" w:after="0"/>
        <w:ind w:left="2177" w:right="218" w:hanging="420"/>
        <w:jc w:val="left"/>
        <w:rPr>
          <w:b/>
          <w:sz w:val="21"/>
        </w:rPr>
      </w:pPr>
      <w:r>
        <w:rPr>
          <w:b/>
          <w:spacing w:val="-9"/>
          <w:sz w:val="21"/>
        </w:rPr>
        <w:t>较小面积 </w:t>
      </w:r>
      <w:r>
        <w:rPr>
          <w:b/>
          <w:sz w:val="21"/>
        </w:rPr>
        <w:t>III</w:t>
      </w:r>
      <w:r>
        <w:rPr>
          <w:b/>
          <w:spacing w:val="-11"/>
          <w:sz w:val="21"/>
        </w:rPr>
        <w:t> 度烧伤</w:t>
      </w:r>
      <w:r>
        <w:rPr>
          <w:spacing w:val="-3"/>
          <w:sz w:val="21"/>
        </w:rPr>
        <w:t>：指烧伤程度为Ⅲ度，且Ⅲ度烧伤面积达到全身体表</w:t>
      </w:r>
      <w:r>
        <w:rPr>
          <w:spacing w:val="-12"/>
          <w:sz w:val="21"/>
        </w:rPr>
        <w:t>面积的 </w:t>
      </w:r>
      <w:r>
        <w:rPr>
          <w:sz w:val="21"/>
        </w:rPr>
        <w:t>10%（</w:t>
      </w:r>
      <w:r>
        <w:rPr>
          <w:spacing w:val="-3"/>
          <w:sz w:val="21"/>
        </w:rPr>
        <w:t>百分之十）</w:t>
      </w:r>
      <w:r>
        <w:rPr>
          <w:spacing w:val="-12"/>
          <w:sz w:val="21"/>
        </w:rPr>
        <w:t>但少于 </w:t>
      </w:r>
      <w:r>
        <w:rPr>
          <w:sz w:val="21"/>
        </w:rPr>
        <w:t>20%（</w:t>
      </w:r>
      <w:r>
        <w:rPr>
          <w:spacing w:val="-3"/>
          <w:sz w:val="21"/>
        </w:rPr>
        <w:t>百分之二十</w:t>
      </w:r>
      <w:r>
        <w:rPr>
          <w:spacing w:val="-108"/>
          <w:sz w:val="21"/>
        </w:rPr>
        <w:t>）</w:t>
      </w:r>
      <w:r>
        <w:rPr>
          <w:spacing w:val="-3"/>
          <w:sz w:val="21"/>
        </w:rPr>
        <w:t>。体表面积根据《中国</w:t>
      </w:r>
      <w:r>
        <w:rPr>
          <w:spacing w:val="-2"/>
          <w:sz w:val="21"/>
        </w:rPr>
        <w:t>新九分法》计算。 </w:t>
      </w:r>
      <w:r>
        <w:rPr>
          <w:b/>
          <w:spacing w:val="-3"/>
          <w:sz w:val="21"/>
        </w:rPr>
        <w:t>若被保险人已符合重大疾病“严重Ⅲ度烧伤”给付标准的，则不在本疾病保障范围内。</w:t>
      </w:r>
    </w:p>
    <w:p>
      <w:pPr>
        <w:pStyle w:val="ListParagraph"/>
        <w:numPr>
          <w:ilvl w:val="1"/>
          <w:numId w:val="1"/>
        </w:numPr>
        <w:tabs>
          <w:tab w:pos="2178" w:val="left" w:leader="none"/>
        </w:tabs>
        <w:spacing w:line="240" w:lineRule="auto" w:before="163" w:after="0"/>
        <w:ind w:left="2177" w:right="0" w:hanging="420"/>
        <w:jc w:val="left"/>
        <w:rPr>
          <w:sz w:val="21"/>
        </w:rPr>
      </w:pPr>
      <w:r>
        <w:rPr>
          <w:b/>
          <w:sz w:val="21"/>
        </w:rPr>
        <w:t>单个肢体缺失</w:t>
      </w:r>
      <w:r>
        <w:rPr>
          <w:spacing w:val="-3"/>
          <w:sz w:val="21"/>
        </w:rPr>
        <w:t>：指因疾病或意外伤害导致一个肢体自腕关节或踝关节近端</w:t>
      </w:r>
    </w:p>
    <w:p>
      <w:pPr>
        <w:pStyle w:val="BodyText"/>
        <w:spacing w:before="36"/>
      </w:pPr>
      <w:r>
        <w:rPr/>
        <w:t>（靠近躯干端）以上完全性断离。</w:t>
      </w:r>
    </w:p>
    <w:p>
      <w:pPr>
        <w:spacing w:after="0"/>
        <w:sectPr>
          <w:pgSz w:w="11910" w:h="16840"/>
          <w:pgMar w:header="0" w:footer="925" w:top="1020" w:bottom="1120" w:left="168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1416"/>
        <w:gridCol w:w="7789"/>
      </w:tblGrid>
      <w:tr>
        <w:trPr>
          <w:trHeight w:val="14253" w:hRule="atLeast"/>
        </w:trPr>
        <w:tc>
          <w:tcPr>
            <w:tcW w:w="754" w:type="dxa"/>
          </w:tcPr>
          <w:p>
            <w:pPr>
              <w:pStyle w:val="TableParagraph"/>
              <w:spacing w:line="202" w:lineRule="exact"/>
              <w:ind w:left="200"/>
              <w:rPr>
                <w:b/>
                <w:sz w:val="21"/>
              </w:rPr>
            </w:pPr>
            <w:r>
              <w:rPr>
                <w:b/>
                <w:sz w:val="21"/>
              </w:rPr>
              <w:t>8.9</w:t>
            </w:r>
          </w:p>
        </w:tc>
        <w:tc>
          <w:tcPr>
            <w:tcW w:w="1416" w:type="dxa"/>
          </w:tcPr>
          <w:p>
            <w:pPr>
              <w:pStyle w:val="TableParagraph"/>
              <w:spacing w:line="202" w:lineRule="exact"/>
              <w:ind w:left="236"/>
              <w:rPr>
                <w:b/>
                <w:sz w:val="21"/>
              </w:rPr>
            </w:pPr>
            <w:r>
              <w:rPr>
                <w:b/>
                <w:sz w:val="21"/>
              </w:rPr>
              <w:t>重大疾病</w:t>
            </w:r>
          </w:p>
        </w:tc>
        <w:tc>
          <w:tcPr>
            <w:tcW w:w="7789" w:type="dxa"/>
          </w:tcPr>
          <w:p>
            <w:pPr>
              <w:pStyle w:val="TableParagraph"/>
              <w:spacing w:line="202" w:lineRule="exact"/>
              <w:ind w:left="334"/>
              <w:rPr>
                <w:sz w:val="21"/>
              </w:rPr>
            </w:pPr>
            <w:r>
              <w:rPr>
                <w:sz w:val="21"/>
              </w:rPr>
              <w:t>本合同中所列重大疾病包括以下31种：</w:t>
            </w:r>
          </w:p>
          <w:p>
            <w:pPr>
              <w:pStyle w:val="TableParagraph"/>
              <w:spacing w:before="9"/>
              <w:rPr>
                <w:sz w:val="14"/>
              </w:rPr>
            </w:pPr>
          </w:p>
          <w:p>
            <w:pPr>
              <w:pStyle w:val="TableParagraph"/>
              <w:numPr>
                <w:ilvl w:val="0"/>
                <w:numId w:val="15"/>
              </w:numPr>
              <w:tabs>
                <w:tab w:pos="755" w:val="left" w:leader="none"/>
              </w:tabs>
              <w:spacing w:line="273" w:lineRule="auto" w:before="1" w:after="0"/>
              <w:ind w:left="755" w:right="304" w:hanging="421"/>
              <w:jc w:val="both"/>
              <w:rPr>
                <w:sz w:val="21"/>
              </w:rPr>
            </w:pPr>
            <w:r>
              <w:rPr>
                <w:b/>
                <w:sz w:val="21"/>
              </w:rPr>
              <w:t>恶性肿瘤</w:t>
            </w:r>
            <w:r>
              <w:rPr>
                <w:spacing w:val="-3"/>
                <w:sz w:val="21"/>
              </w:rPr>
              <w:t>：指恶性细胞不受控制的进行性增长和扩散，浸润和破坏周围正常组织，可以经血管、淋巴管和体腔扩散转移到身体其它部位的疾病。经病理学检查结果明确诊断，临床诊断属于世界卫生组织《疾病和有关健康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4"/>
              <w:ind w:left="755"/>
              <w:rPr>
                <w:b/>
                <w:sz w:val="21"/>
              </w:rPr>
            </w:pPr>
            <w:r>
              <w:rPr>
                <w:b/>
                <w:sz w:val="21"/>
              </w:rPr>
              <w:t>下列疾病不在保障范围内：</w:t>
            </w:r>
          </w:p>
          <w:p>
            <w:pPr>
              <w:pStyle w:val="TableParagraph"/>
              <w:spacing w:before="10"/>
              <w:rPr>
                <w:sz w:val="14"/>
              </w:rPr>
            </w:pPr>
          </w:p>
          <w:p>
            <w:pPr>
              <w:pStyle w:val="TableParagraph"/>
              <w:ind w:left="755"/>
              <w:rPr>
                <w:b/>
                <w:sz w:val="21"/>
              </w:rPr>
            </w:pPr>
            <w:r>
              <w:rPr>
                <w:b/>
                <w:sz w:val="21"/>
              </w:rPr>
              <w:t>（1）原位癌；</w:t>
            </w:r>
          </w:p>
          <w:p>
            <w:pPr>
              <w:pStyle w:val="TableParagraph"/>
              <w:spacing w:before="9"/>
              <w:rPr>
                <w:sz w:val="14"/>
              </w:rPr>
            </w:pPr>
          </w:p>
          <w:p>
            <w:pPr>
              <w:pStyle w:val="TableParagraph"/>
              <w:spacing w:before="1"/>
              <w:ind w:left="755"/>
              <w:rPr>
                <w:b/>
                <w:sz w:val="21"/>
              </w:rPr>
            </w:pPr>
            <w:r>
              <w:rPr>
                <w:b/>
                <w:sz w:val="21"/>
              </w:rPr>
              <w:t>（2）相当于 Binet 分期方案 A 期程度的慢性淋巴细胞白血病；</w:t>
            </w:r>
          </w:p>
          <w:p>
            <w:pPr>
              <w:pStyle w:val="TableParagraph"/>
              <w:spacing w:before="10"/>
              <w:rPr>
                <w:sz w:val="14"/>
              </w:rPr>
            </w:pPr>
          </w:p>
          <w:p>
            <w:pPr>
              <w:pStyle w:val="TableParagraph"/>
              <w:ind w:left="755"/>
              <w:rPr>
                <w:b/>
                <w:sz w:val="21"/>
              </w:rPr>
            </w:pPr>
            <w:r>
              <w:rPr>
                <w:b/>
                <w:sz w:val="21"/>
              </w:rPr>
              <w:t>（3）相当于 Ann Arbor 分期方案 I 期程度的何杰金氏病；</w:t>
            </w:r>
          </w:p>
          <w:p>
            <w:pPr>
              <w:pStyle w:val="TableParagraph"/>
              <w:spacing w:before="9"/>
              <w:rPr>
                <w:sz w:val="14"/>
              </w:rPr>
            </w:pPr>
          </w:p>
          <w:p>
            <w:pPr>
              <w:pStyle w:val="TableParagraph"/>
              <w:spacing w:before="1"/>
              <w:ind w:left="755"/>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9"/>
              <w:rPr>
                <w:sz w:val="14"/>
              </w:rPr>
            </w:pPr>
          </w:p>
          <w:p>
            <w:pPr>
              <w:pStyle w:val="TableParagraph"/>
              <w:ind w:left="755"/>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pStyle w:val="TableParagraph"/>
              <w:spacing w:before="10"/>
              <w:rPr>
                <w:sz w:val="14"/>
              </w:rPr>
            </w:pPr>
          </w:p>
          <w:p>
            <w:pPr>
              <w:pStyle w:val="TableParagraph"/>
              <w:ind w:left="755"/>
              <w:rPr>
                <w:b/>
                <w:sz w:val="21"/>
              </w:rPr>
            </w:pPr>
            <w:r>
              <w:rPr>
                <w:b/>
                <w:sz w:val="21"/>
              </w:rPr>
              <w:t>（6）感染艾滋病病毒或患艾滋病期间所患恶性肿瘤。</w:t>
            </w:r>
          </w:p>
          <w:p>
            <w:pPr>
              <w:pStyle w:val="TableParagraph"/>
              <w:spacing w:before="8"/>
              <w:rPr>
                <w:sz w:val="17"/>
              </w:rPr>
            </w:pPr>
          </w:p>
          <w:p>
            <w:pPr>
              <w:pStyle w:val="TableParagraph"/>
              <w:numPr>
                <w:ilvl w:val="0"/>
                <w:numId w:val="15"/>
              </w:numPr>
              <w:tabs>
                <w:tab w:pos="755" w:val="left" w:leader="none"/>
              </w:tabs>
              <w:spacing w:line="338" w:lineRule="auto" w:before="1" w:after="0"/>
              <w:ind w:left="755" w:right="303" w:hanging="421"/>
              <w:jc w:val="both"/>
              <w:rPr>
                <w:sz w:val="21"/>
              </w:rPr>
            </w:pPr>
            <w:r>
              <w:rPr>
                <w:b/>
                <w:spacing w:val="-1"/>
                <w:sz w:val="21"/>
              </w:rPr>
              <w:t>急性心肌梗塞：</w:t>
            </w:r>
            <w:r>
              <w:rPr>
                <w:spacing w:val="-3"/>
                <w:sz w:val="21"/>
              </w:rPr>
              <w:t>指因冠状动脉阻塞导致的相应区域供血不足造成部分心肌坏死。须满足下列至少三项条件：</w:t>
            </w:r>
          </w:p>
          <w:p>
            <w:pPr>
              <w:pStyle w:val="TableParagraph"/>
              <w:spacing w:before="3"/>
              <w:rPr>
                <w:sz w:val="14"/>
              </w:rPr>
            </w:pPr>
          </w:p>
          <w:p>
            <w:pPr>
              <w:pStyle w:val="TableParagraph"/>
              <w:ind w:left="531"/>
              <w:rPr>
                <w:sz w:val="21"/>
              </w:rPr>
            </w:pPr>
            <w:r>
              <w:rPr>
                <w:sz w:val="21"/>
              </w:rPr>
              <w:t>（1）典型临床表现，例如急性胸痛等；</w:t>
            </w:r>
          </w:p>
          <w:p>
            <w:pPr>
              <w:pStyle w:val="TableParagraph"/>
              <w:spacing w:before="8"/>
              <w:rPr>
                <w:sz w:val="20"/>
              </w:rPr>
            </w:pPr>
          </w:p>
          <w:p>
            <w:pPr>
              <w:pStyle w:val="TableParagraph"/>
              <w:ind w:left="531"/>
              <w:rPr>
                <w:sz w:val="21"/>
              </w:rPr>
            </w:pPr>
            <w:r>
              <w:rPr>
                <w:sz w:val="21"/>
              </w:rPr>
              <w:t>（2）新近的心电图改变提示急性心肌梗塞；</w:t>
            </w:r>
          </w:p>
          <w:p>
            <w:pPr>
              <w:pStyle w:val="TableParagraph"/>
              <w:spacing w:before="10"/>
              <w:rPr>
                <w:sz w:val="20"/>
              </w:rPr>
            </w:pPr>
          </w:p>
          <w:p>
            <w:pPr>
              <w:pStyle w:val="TableParagraph"/>
              <w:spacing w:line="338" w:lineRule="auto"/>
              <w:ind w:left="531" w:right="303"/>
              <w:rPr>
                <w:sz w:val="21"/>
              </w:rPr>
            </w:pPr>
            <w:r>
              <w:rPr>
                <w:spacing w:val="-16"/>
                <w:sz w:val="21"/>
              </w:rPr>
              <w:t>（3）</w:t>
            </w:r>
            <w:r>
              <w:rPr>
                <w:spacing w:val="-6"/>
                <w:sz w:val="21"/>
              </w:rPr>
              <w:t>心肌酶或肌钙蛋白有诊断意义的升高，或呈符合急性心肌梗塞的动态性变化；</w:t>
            </w:r>
          </w:p>
          <w:p>
            <w:pPr>
              <w:pStyle w:val="TableParagraph"/>
              <w:spacing w:before="2"/>
              <w:rPr>
                <w:sz w:val="14"/>
              </w:rPr>
            </w:pPr>
          </w:p>
          <w:p>
            <w:pPr>
              <w:pStyle w:val="TableParagraph"/>
              <w:spacing w:before="1"/>
              <w:ind w:left="531"/>
              <w:rPr>
                <w:sz w:val="21"/>
              </w:rPr>
            </w:pPr>
            <w:r>
              <w:rPr>
                <w:sz w:val="21"/>
              </w:rPr>
              <w:t>（4）发病90天后，经检查证实左心室功能降低，如左心室射血分数低于50%。</w:t>
            </w:r>
          </w:p>
          <w:p>
            <w:pPr>
              <w:pStyle w:val="TableParagraph"/>
              <w:spacing w:before="8"/>
              <w:rPr>
                <w:sz w:val="20"/>
              </w:rPr>
            </w:pPr>
          </w:p>
          <w:p>
            <w:pPr>
              <w:pStyle w:val="TableParagraph"/>
              <w:numPr>
                <w:ilvl w:val="0"/>
                <w:numId w:val="15"/>
              </w:numPr>
              <w:tabs>
                <w:tab w:pos="755" w:val="left" w:leader="none"/>
              </w:tabs>
              <w:spacing w:line="340" w:lineRule="auto" w:before="0" w:after="0"/>
              <w:ind w:left="755" w:right="301" w:hanging="421"/>
              <w:jc w:val="both"/>
              <w:rPr>
                <w:sz w:val="21"/>
              </w:rPr>
            </w:pPr>
            <w:r>
              <w:rPr>
                <w:b/>
                <w:sz w:val="21"/>
              </w:rPr>
              <w:t>脑中风后遗症：</w:t>
            </w:r>
            <w:r>
              <w:rPr>
                <w:spacing w:val="-3"/>
                <w:sz w:val="21"/>
              </w:rPr>
              <w:t>指因脑血管的突发病变引起脑血管出血、栓塞或梗塞，并导致神经系统永久性的功能障碍。神经系统永久性的功能障碍，指疾病确</w:t>
            </w:r>
            <w:r>
              <w:rPr>
                <w:spacing w:val="-1"/>
                <w:sz w:val="21"/>
              </w:rPr>
              <w:t>诊180</w:t>
            </w:r>
            <w:r>
              <w:rPr>
                <w:spacing w:val="-3"/>
                <w:sz w:val="21"/>
              </w:rPr>
              <w:t>天后，仍遗留下列一种或一种以上障碍：</w:t>
            </w:r>
          </w:p>
          <w:p>
            <w:pPr>
              <w:pStyle w:val="TableParagraph"/>
              <w:rPr>
                <w:sz w:val="14"/>
              </w:rPr>
            </w:pPr>
          </w:p>
          <w:p>
            <w:pPr>
              <w:pStyle w:val="TableParagraph"/>
              <w:ind w:left="531"/>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见8</w:t>
            </w:r>
            <w:r>
              <w:rPr>
                <w:spacing w:val="-3"/>
                <w:w w:val="100"/>
                <w:sz w:val="21"/>
              </w:rPr>
              <w:t>.</w:t>
            </w:r>
            <w:r>
              <w:rPr>
                <w:w w:val="100"/>
                <w:sz w:val="21"/>
              </w:rPr>
              <w:t>2</w:t>
            </w:r>
            <w:r>
              <w:rPr>
                <w:spacing w:val="-1"/>
                <w:w w:val="100"/>
                <w:sz w:val="21"/>
              </w:rPr>
              <w:t>2</w:t>
            </w:r>
            <w:r>
              <w:rPr>
                <w:spacing w:val="-108"/>
                <w:w w:val="100"/>
                <w:sz w:val="21"/>
              </w:rPr>
              <w:t>）；</w:t>
            </w:r>
          </w:p>
          <w:p>
            <w:pPr>
              <w:pStyle w:val="TableParagraph"/>
              <w:spacing w:before="7"/>
              <w:rPr>
                <w:sz w:val="20"/>
              </w:rPr>
            </w:pPr>
          </w:p>
          <w:p>
            <w:pPr>
              <w:pStyle w:val="TableParagraph"/>
              <w:ind w:left="531"/>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见8</w:t>
            </w:r>
            <w:r>
              <w:rPr>
                <w:spacing w:val="-3"/>
                <w:w w:val="100"/>
                <w:sz w:val="21"/>
              </w:rPr>
              <w:t>.</w:t>
            </w:r>
            <w:r>
              <w:rPr>
                <w:w w:val="100"/>
                <w:sz w:val="21"/>
              </w:rPr>
              <w:t>2</w:t>
            </w:r>
            <w:r>
              <w:rPr>
                <w:spacing w:val="-1"/>
                <w:w w:val="100"/>
                <w:sz w:val="21"/>
              </w:rPr>
              <w:t>3</w:t>
            </w:r>
            <w:r>
              <w:rPr>
                <w:spacing w:val="-108"/>
                <w:w w:val="100"/>
                <w:sz w:val="21"/>
              </w:rPr>
              <w:t>）</w:t>
            </w:r>
            <w:r>
              <w:rPr>
                <w:w w:val="100"/>
                <w:sz w:val="21"/>
              </w:rPr>
              <w:t>；</w:t>
            </w:r>
          </w:p>
          <w:p>
            <w:pPr>
              <w:pStyle w:val="TableParagraph"/>
              <w:spacing w:before="10"/>
              <w:rPr>
                <w:sz w:val="20"/>
              </w:rPr>
            </w:pPr>
          </w:p>
          <w:p>
            <w:pPr>
              <w:pStyle w:val="TableParagraph"/>
              <w:spacing w:line="338" w:lineRule="auto"/>
              <w:ind w:left="531" w:right="303"/>
              <w:rPr>
                <w:sz w:val="21"/>
              </w:rPr>
            </w:pPr>
            <w:r>
              <w:rPr>
                <w:spacing w:val="-16"/>
                <w:sz w:val="21"/>
              </w:rPr>
              <w:t>（3）</w:t>
            </w:r>
            <w:r>
              <w:rPr>
                <w:spacing w:val="-7"/>
                <w:sz w:val="21"/>
              </w:rPr>
              <w:t>自主生活能力完全丧失，无法独立完成六项基本日常生活活动中的三项</w:t>
            </w:r>
            <w:r>
              <w:rPr>
                <w:spacing w:val="-5"/>
                <w:sz w:val="21"/>
              </w:rPr>
              <w:t>或三项以上。</w:t>
            </w:r>
          </w:p>
          <w:p>
            <w:pPr>
              <w:pStyle w:val="TableParagraph"/>
              <w:numPr>
                <w:ilvl w:val="0"/>
                <w:numId w:val="15"/>
              </w:numPr>
              <w:tabs>
                <w:tab w:pos="755" w:val="left" w:leader="none"/>
              </w:tabs>
              <w:spacing w:line="273" w:lineRule="auto" w:before="148" w:after="0"/>
              <w:ind w:left="755" w:right="306" w:hanging="421"/>
              <w:jc w:val="both"/>
              <w:rPr>
                <w:sz w:val="21"/>
              </w:rPr>
            </w:pPr>
            <w:r>
              <w:rPr>
                <w:b/>
                <w:spacing w:val="-2"/>
                <w:sz w:val="21"/>
              </w:rPr>
              <w:t>重大器官移植术或造血干细胞移植术</w:t>
            </w:r>
            <w:r>
              <w:rPr>
                <w:spacing w:val="-4"/>
                <w:sz w:val="21"/>
              </w:rPr>
              <w:t>：重大器官移植术，指因相应器官功</w:t>
            </w:r>
            <w:r>
              <w:rPr>
                <w:spacing w:val="-3"/>
                <w:sz w:val="21"/>
              </w:rPr>
              <w:t>能衰竭，已经实施了肾脏、肝脏、心脏或肺脏的异体移植手术。造血干细胞移植术，指因造血功能损害或造血系统恶性肿瘤，已经实施了造血干细胞（包括骨髓造血干细胞、外周血造血干细胞和脐血造血干细胞）</w:t>
            </w:r>
            <w:r>
              <w:rPr>
                <w:spacing w:val="-2"/>
                <w:sz w:val="21"/>
              </w:rPr>
              <w:t>的异体移植手术。</w:t>
            </w:r>
          </w:p>
          <w:p>
            <w:pPr>
              <w:pStyle w:val="TableParagraph"/>
              <w:numPr>
                <w:ilvl w:val="0"/>
                <w:numId w:val="15"/>
              </w:numPr>
              <w:tabs>
                <w:tab w:pos="755" w:val="left" w:leader="none"/>
              </w:tabs>
              <w:spacing w:line="310" w:lineRule="atLeast" w:before="128" w:after="0"/>
              <w:ind w:left="755" w:right="395" w:hanging="421"/>
              <w:jc w:val="both"/>
              <w:rPr>
                <w:sz w:val="21"/>
              </w:rPr>
            </w:pPr>
            <w:r>
              <w:rPr>
                <w:b/>
                <w:w w:val="100"/>
                <w:sz w:val="21"/>
              </w:rPr>
              <w:t>冠状动脉搭桥术（</w:t>
            </w:r>
            <w:r>
              <w:rPr>
                <w:b/>
                <w:spacing w:val="-3"/>
                <w:w w:val="100"/>
                <w:sz w:val="21"/>
              </w:rPr>
              <w:t>或称冠状动脉旁路移植术</w:t>
            </w:r>
            <w:r>
              <w:rPr>
                <w:b/>
                <w:spacing w:val="-106"/>
                <w:w w:val="100"/>
                <w:sz w:val="21"/>
              </w:rPr>
              <w:t>）</w:t>
            </w:r>
            <w:r>
              <w:rPr>
                <w:b/>
                <w:w w:val="100"/>
                <w:sz w:val="21"/>
              </w:rPr>
              <w:t>：</w:t>
            </w:r>
            <w:r>
              <w:rPr>
                <w:spacing w:val="-3"/>
                <w:w w:val="100"/>
                <w:sz w:val="21"/>
              </w:rPr>
              <w:t>指为治疗严重的冠心病，</w:t>
            </w:r>
            <w:r>
              <w:rPr>
                <w:spacing w:val="-3"/>
                <w:sz w:val="21"/>
              </w:rPr>
              <w:t>实际实施了开胸进行的冠状动脉血管旁路移植的手术。</w:t>
            </w:r>
          </w:p>
        </w:tc>
      </w:tr>
    </w:tbl>
    <w:p>
      <w:pPr>
        <w:spacing w:after="0" w:line="310" w:lineRule="atLeast"/>
        <w:jc w:val="both"/>
        <w:rPr>
          <w:sz w:val="21"/>
        </w:rPr>
        <w:sectPr>
          <w:pgSz w:w="11910" w:h="16840"/>
          <w:pgMar w:header="0" w:footer="925" w:top="1100" w:bottom="1120" w:left="820" w:right="900"/>
        </w:sectPr>
      </w:pPr>
    </w:p>
    <w:p>
      <w:pPr>
        <w:pStyle w:val="Heading2"/>
        <w:spacing w:line="273" w:lineRule="auto" w:before="7"/>
        <w:ind w:right="172"/>
      </w:pPr>
      <w:r>
        <w:rPr/>
        <w:t>冠状动脉支架植入术、心导管球囊扩张术、激光射频技术及其它非开胸的介入手术、腔镜手术不在保障范围内。</w:t>
      </w:r>
    </w:p>
    <w:p>
      <w:pPr>
        <w:pStyle w:val="ListParagraph"/>
        <w:numPr>
          <w:ilvl w:val="0"/>
          <w:numId w:val="16"/>
        </w:numPr>
        <w:tabs>
          <w:tab w:pos="2178" w:val="left" w:leader="none"/>
        </w:tabs>
        <w:spacing w:line="273" w:lineRule="auto" w:before="163" w:after="0"/>
        <w:ind w:left="2177" w:right="307" w:hanging="420"/>
        <w:jc w:val="both"/>
        <w:rPr>
          <w:b/>
          <w:sz w:val="21"/>
        </w:rPr>
      </w:pPr>
      <w:r>
        <w:rPr>
          <w:b/>
          <w:w w:val="100"/>
          <w:sz w:val="21"/>
        </w:rPr>
        <w:t>终末期肾病（</w:t>
      </w:r>
      <w:r>
        <w:rPr>
          <w:b/>
          <w:spacing w:val="-2"/>
          <w:w w:val="100"/>
          <w:sz w:val="21"/>
        </w:rPr>
        <w:t>或称慢性肾功能衰竭尿毒症期</w:t>
      </w:r>
      <w:r>
        <w:rPr>
          <w:b/>
          <w:spacing w:val="-106"/>
          <w:w w:val="100"/>
          <w:sz w:val="21"/>
        </w:rPr>
        <w:t>）</w:t>
      </w:r>
      <w:r>
        <w:rPr>
          <w:spacing w:val="-3"/>
          <w:w w:val="100"/>
          <w:sz w:val="21"/>
        </w:rPr>
        <w:t>：指双肾功能慢性不可逆性</w:t>
      </w:r>
      <w:r>
        <w:rPr>
          <w:spacing w:val="-3"/>
          <w:sz w:val="21"/>
        </w:rPr>
        <w:t>衰竭，达到尿毒症期</w:t>
      </w:r>
      <w:r>
        <w:rPr>
          <w:b/>
          <w:spacing w:val="-7"/>
          <w:sz w:val="21"/>
        </w:rPr>
        <w:t>，经诊断后已经进行了至少 </w:t>
      </w:r>
      <w:r>
        <w:rPr>
          <w:b/>
          <w:sz w:val="21"/>
        </w:rPr>
        <w:t>90</w:t>
      </w:r>
      <w:r>
        <w:rPr>
          <w:b/>
          <w:spacing w:val="-7"/>
          <w:sz w:val="21"/>
        </w:rPr>
        <w:t> 天的规律性透析治疗或实施了肾脏移植手术。</w:t>
      </w:r>
    </w:p>
    <w:p>
      <w:pPr>
        <w:pStyle w:val="ListParagraph"/>
        <w:numPr>
          <w:ilvl w:val="0"/>
          <w:numId w:val="16"/>
        </w:numPr>
        <w:tabs>
          <w:tab w:pos="2178" w:val="left" w:leader="none"/>
        </w:tabs>
        <w:spacing w:line="273" w:lineRule="auto" w:before="163" w:after="0"/>
        <w:ind w:left="2177" w:right="218" w:hanging="420"/>
        <w:jc w:val="both"/>
        <w:rPr>
          <w:b/>
          <w:sz w:val="21"/>
        </w:rPr>
      </w:pPr>
      <w:r>
        <w:rPr>
          <w:b/>
          <w:spacing w:val="-1"/>
          <w:sz w:val="21"/>
        </w:rPr>
        <w:t>急性或亚急性重症肝炎</w:t>
      </w:r>
      <w:r>
        <w:rPr>
          <w:spacing w:val="-4"/>
          <w:sz w:val="21"/>
        </w:rPr>
        <w:t>：指因肝炎病毒感染引起肝脏组织弥漫性坏死，导致急性肝功能衰竭，且经血清学或病毒学检查证实，</w:t>
      </w:r>
      <w:r>
        <w:rPr>
          <w:b/>
          <w:spacing w:val="-1"/>
          <w:sz w:val="21"/>
        </w:rPr>
        <w:t>并须满足下列全部条件：</w:t>
      </w:r>
    </w:p>
    <w:p>
      <w:pPr>
        <w:pStyle w:val="BodyText"/>
        <w:spacing w:before="7"/>
      </w:pPr>
      <w:r>
        <w:rPr/>
        <w:t>（1）重度黄疸或黄疸迅速加重；</w:t>
      </w:r>
    </w:p>
    <w:p>
      <w:pPr>
        <w:pStyle w:val="BodyText"/>
        <w:spacing w:before="9"/>
        <w:ind w:left="0"/>
        <w:rPr>
          <w:sz w:val="14"/>
        </w:rPr>
      </w:pPr>
    </w:p>
    <w:p>
      <w:pPr>
        <w:pStyle w:val="BodyText"/>
      </w:pPr>
      <w:r>
        <w:rPr/>
        <w:t>（2）肝性脑病；</w:t>
      </w:r>
    </w:p>
    <w:p>
      <w:pPr>
        <w:pStyle w:val="BodyText"/>
        <w:spacing w:before="9"/>
        <w:ind w:left="0"/>
        <w:rPr>
          <w:sz w:val="14"/>
        </w:rPr>
      </w:pPr>
    </w:p>
    <w:p>
      <w:pPr>
        <w:pStyle w:val="BodyText"/>
      </w:pPr>
      <w:r>
        <w:rPr/>
        <w:t>（3）B 超或其它影像学检查显示肝脏体积急速萎缩；</w:t>
      </w:r>
    </w:p>
    <w:p>
      <w:pPr>
        <w:pStyle w:val="BodyText"/>
        <w:spacing w:before="9"/>
        <w:ind w:left="0"/>
        <w:rPr>
          <w:sz w:val="14"/>
        </w:rPr>
      </w:pPr>
    </w:p>
    <w:p>
      <w:pPr>
        <w:pStyle w:val="BodyText"/>
      </w:pPr>
      <w:r>
        <w:rPr/>
        <w:t>（4）肝功能指标进行性恶化。</w:t>
      </w:r>
    </w:p>
    <w:p>
      <w:pPr>
        <w:pStyle w:val="BodyText"/>
        <w:spacing w:before="10"/>
        <w:ind w:left="0"/>
        <w:rPr>
          <w:sz w:val="14"/>
        </w:rPr>
      </w:pPr>
    </w:p>
    <w:p>
      <w:pPr>
        <w:pStyle w:val="ListParagraph"/>
        <w:numPr>
          <w:ilvl w:val="0"/>
          <w:numId w:val="16"/>
        </w:numPr>
        <w:tabs>
          <w:tab w:pos="2178" w:val="left" w:leader="none"/>
        </w:tabs>
        <w:spacing w:line="273" w:lineRule="auto" w:before="0" w:after="0"/>
        <w:ind w:left="2177" w:right="218" w:hanging="420"/>
        <w:jc w:val="both"/>
        <w:rPr>
          <w:b/>
          <w:sz w:val="21"/>
        </w:rPr>
      </w:pPr>
      <w:r>
        <w:rPr>
          <w:b/>
          <w:sz w:val="21"/>
        </w:rPr>
        <w:t>良性脑肿瘤</w:t>
      </w:r>
      <w:r>
        <w:rPr>
          <w:spacing w:val="-3"/>
          <w:sz w:val="21"/>
        </w:rPr>
        <w:t>：指脑的良性肿瘤，已经引起颅内压增高，临床表现为视神经乳头水肿、精神症状、癫痫及运动感觉障碍等，并危及生命。须由头颅断</w:t>
      </w:r>
      <w:r>
        <w:rPr>
          <w:spacing w:val="-9"/>
          <w:w w:val="100"/>
          <w:sz w:val="21"/>
        </w:rPr>
        <w:t>层扫描</w:t>
      </w:r>
      <w:r>
        <w:rPr>
          <w:w w:val="100"/>
          <w:sz w:val="21"/>
        </w:rPr>
        <w:t>（C</w:t>
      </w:r>
      <w:r>
        <w:rPr>
          <w:spacing w:val="-3"/>
          <w:w w:val="100"/>
          <w:sz w:val="21"/>
        </w:rPr>
        <w:t>T</w:t>
      </w:r>
      <w:r>
        <w:rPr>
          <w:spacing w:val="-106"/>
          <w:w w:val="100"/>
          <w:sz w:val="21"/>
        </w:rPr>
        <w:t>）</w:t>
      </w:r>
      <w:r>
        <w:rPr>
          <w:spacing w:val="-8"/>
          <w:w w:val="100"/>
          <w:sz w:val="21"/>
        </w:rPr>
        <w:t>、核磁共振检查</w:t>
      </w:r>
      <w:r>
        <w:rPr>
          <w:w w:val="100"/>
          <w:sz w:val="21"/>
        </w:rPr>
        <w:t>（M</w:t>
      </w:r>
      <w:r>
        <w:rPr>
          <w:spacing w:val="-3"/>
          <w:w w:val="100"/>
          <w:sz w:val="21"/>
        </w:rPr>
        <w:t>R</w:t>
      </w:r>
      <w:r>
        <w:rPr>
          <w:spacing w:val="-1"/>
          <w:w w:val="100"/>
          <w:sz w:val="21"/>
        </w:rPr>
        <w:t>I</w:t>
      </w:r>
      <w:r>
        <w:rPr>
          <w:spacing w:val="-20"/>
          <w:w w:val="100"/>
          <w:sz w:val="21"/>
        </w:rPr>
        <w:t>）</w:t>
      </w:r>
      <w:r>
        <w:rPr>
          <w:spacing w:val="-5"/>
          <w:w w:val="100"/>
          <w:sz w:val="21"/>
        </w:rPr>
        <w:t>或正电子发射断层扫描</w:t>
      </w:r>
      <w:r>
        <w:rPr>
          <w:w w:val="100"/>
          <w:sz w:val="21"/>
        </w:rPr>
        <w:t>（P</w:t>
      </w:r>
      <w:r>
        <w:rPr>
          <w:spacing w:val="-3"/>
          <w:w w:val="100"/>
          <w:sz w:val="21"/>
        </w:rPr>
        <w:t>E</w:t>
      </w:r>
      <w:r>
        <w:rPr>
          <w:spacing w:val="-1"/>
          <w:w w:val="100"/>
          <w:sz w:val="21"/>
        </w:rPr>
        <w:t>T</w:t>
      </w:r>
      <w:r>
        <w:rPr>
          <w:spacing w:val="-20"/>
          <w:w w:val="100"/>
          <w:sz w:val="21"/>
        </w:rPr>
        <w:t>）</w:t>
      </w:r>
      <w:r>
        <w:rPr>
          <w:spacing w:val="-2"/>
          <w:w w:val="100"/>
          <w:sz w:val="21"/>
        </w:rPr>
        <w:t>等影像</w:t>
      </w:r>
      <w:r>
        <w:rPr>
          <w:spacing w:val="-3"/>
          <w:sz w:val="21"/>
        </w:rPr>
        <w:t>学检查证实，</w:t>
      </w:r>
      <w:r>
        <w:rPr>
          <w:b/>
          <w:spacing w:val="-1"/>
          <w:sz w:val="21"/>
        </w:rPr>
        <w:t>并须满足下列至少一项条件：</w:t>
      </w:r>
    </w:p>
    <w:p>
      <w:pPr>
        <w:pStyle w:val="BodyText"/>
        <w:spacing w:before="163"/>
      </w:pPr>
      <w:r>
        <w:rPr/>
        <w:t>（1）实际实施了开颅进行的脑肿瘤完全切除或部分切除的手术；</w:t>
      </w:r>
    </w:p>
    <w:p>
      <w:pPr>
        <w:pStyle w:val="BodyText"/>
        <w:spacing w:before="9"/>
        <w:ind w:left="0"/>
        <w:rPr>
          <w:sz w:val="14"/>
        </w:rPr>
      </w:pPr>
    </w:p>
    <w:p>
      <w:pPr>
        <w:pStyle w:val="BodyText"/>
      </w:pPr>
      <w:r>
        <w:rPr/>
        <w:t>（2）实际实施了对脑肿瘤进行的放射治疗。</w:t>
      </w:r>
    </w:p>
    <w:p>
      <w:pPr>
        <w:pStyle w:val="BodyText"/>
        <w:spacing w:before="9"/>
        <w:ind w:left="0"/>
        <w:rPr>
          <w:sz w:val="14"/>
        </w:rPr>
      </w:pPr>
    </w:p>
    <w:p>
      <w:pPr>
        <w:pStyle w:val="Heading2"/>
        <w:spacing w:before="0"/>
      </w:pPr>
      <w:r>
        <w:rPr/>
        <w:t>脑垂体瘤、脑囊肿、脑血管性疾病不在保障范围内。</w:t>
      </w:r>
    </w:p>
    <w:p>
      <w:pPr>
        <w:pStyle w:val="BodyText"/>
        <w:spacing w:before="9"/>
        <w:ind w:left="0"/>
        <w:rPr>
          <w:b/>
          <w:sz w:val="14"/>
        </w:rPr>
      </w:pPr>
    </w:p>
    <w:p>
      <w:pPr>
        <w:pStyle w:val="ListParagraph"/>
        <w:numPr>
          <w:ilvl w:val="0"/>
          <w:numId w:val="16"/>
        </w:numPr>
        <w:tabs>
          <w:tab w:pos="2178" w:val="left" w:leader="none"/>
        </w:tabs>
        <w:spacing w:line="273" w:lineRule="auto" w:before="0" w:after="0"/>
        <w:ind w:left="2177" w:right="220" w:hanging="420"/>
        <w:jc w:val="both"/>
        <w:rPr>
          <w:sz w:val="21"/>
        </w:rPr>
      </w:pPr>
      <w:r>
        <w:rPr>
          <w:b/>
          <w:spacing w:val="-2"/>
          <w:sz w:val="21"/>
        </w:rPr>
        <w:t>脑炎后遗症或脑膜炎后遗症</w:t>
      </w:r>
      <w:r>
        <w:rPr>
          <w:spacing w:val="-3"/>
          <w:sz w:val="21"/>
        </w:rPr>
        <w:t>：指因患脑炎或脑膜炎导致的神经系统永久性</w:t>
      </w:r>
      <w:r>
        <w:rPr>
          <w:spacing w:val="-5"/>
          <w:sz w:val="21"/>
        </w:rPr>
        <w:t>的功能障碍。神经系统永久性的功能障碍，指疾病确诊 </w:t>
      </w:r>
      <w:r>
        <w:rPr>
          <w:sz w:val="21"/>
        </w:rPr>
        <w:t>180</w:t>
      </w:r>
      <w:r>
        <w:rPr>
          <w:spacing w:val="-8"/>
          <w:sz w:val="21"/>
        </w:rPr>
        <w:t> 天后，仍遗留</w:t>
      </w:r>
      <w:r>
        <w:rPr>
          <w:spacing w:val="-5"/>
          <w:sz w:val="21"/>
        </w:rPr>
        <w:t>下列一种或一种以上障碍：</w:t>
      </w:r>
    </w:p>
    <w:p>
      <w:pPr>
        <w:pStyle w:val="BodyText"/>
        <w:spacing w:before="163"/>
      </w:pPr>
      <w:r>
        <w:rPr/>
        <w:t>（1）一肢或一肢以上肢体机能完全丧失；</w:t>
      </w:r>
    </w:p>
    <w:p>
      <w:pPr>
        <w:pStyle w:val="BodyText"/>
        <w:spacing w:before="9"/>
        <w:ind w:left="0"/>
        <w:rPr>
          <w:sz w:val="14"/>
        </w:rPr>
      </w:pPr>
    </w:p>
    <w:p>
      <w:pPr>
        <w:pStyle w:val="BodyText"/>
      </w:pPr>
      <w:r>
        <w:rPr/>
        <w:t>（2）语言能力或咀嚼吞咽能力完全丧失；</w:t>
      </w:r>
    </w:p>
    <w:p>
      <w:pPr>
        <w:pStyle w:val="BodyText"/>
        <w:spacing w:before="9"/>
        <w:ind w:left="0"/>
        <w:rPr>
          <w:sz w:val="14"/>
        </w:rPr>
      </w:pPr>
    </w:p>
    <w:p>
      <w:pPr>
        <w:pStyle w:val="BodyText"/>
        <w:spacing w:line="273" w:lineRule="auto"/>
        <w:ind w:right="218"/>
      </w:pPr>
      <w:r>
        <w:rPr>
          <w:spacing w:val="-18"/>
        </w:rPr>
        <w:t>（3）</w:t>
      </w:r>
      <w:r>
        <w:rPr>
          <w:spacing w:val="-8"/>
        </w:rPr>
        <w:t>自主生活能力完全丧失，无法独立完成六项基本日常生活活动中的三</w:t>
      </w:r>
      <w:r>
        <w:rPr>
          <w:spacing w:val="-5"/>
        </w:rPr>
        <w:t>项或三项以上。</w:t>
      </w:r>
    </w:p>
    <w:p>
      <w:pPr>
        <w:pStyle w:val="ListParagraph"/>
        <w:numPr>
          <w:ilvl w:val="0"/>
          <w:numId w:val="16"/>
        </w:numPr>
        <w:tabs>
          <w:tab w:pos="2178" w:val="left" w:leader="none"/>
        </w:tabs>
        <w:spacing w:line="273" w:lineRule="auto" w:before="163" w:after="0"/>
        <w:ind w:left="2177" w:right="117" w:hanging="420"/>
        <w:jc w:val="left"/>
        <w:rPr>
          <w:sz w:val="21"/>
        </w:rPr>
      </w:pPr>
      <w:r>
        <w:rPr>
          <w:b/>
          <w:sz w:val="21"/>
        </w:rPr>
        <w:t>深度昏迷</w:t>
      </w:r>
      <w:r>
        <w:rPr>
          <w:spacing w:val="-13"/>
          <w:sz w:val="21"/>
        </w:rPr>
        <w:t>：指因疾病或意外伤害导致意识丧失,对外界刺激和体内需求均无</w:t>
      </w:r>
      <w:r>
        <w:rPr>
          <w:spacing w:val="-6"/>
          <w:sz w:val="21"/>
        </w:rPr>
        <w:t>反应,昏迷程度按照</w:t>
      </w:r>
      <w:r>
        <w:rPr>
          <w:b/>
          <w:spacing w:val="-1"/>
          <w:sz w:val="21"/>
        </w:rPr>
        <w:t>格拉斯哥昏迷分级</w:t>
      </w:r>
      <w:r>
        <w:rPr>
          <w:sz w:val="21"/>
        </w:rPr>
        <w:t>（Glasgow</w:t>
      </w:r>
      <w:r>
        <w:rPr>
          <w:spacing w:val="25"/>
          <w:sz w:val="21"/>
        </w:rPr>
        <w:t> </w:t>
      </w:r>
      <w:r>
        <w:rPr>
          <w:sz w:val="21"/>
        </w:rPr>
        <w:t>coma</w:t>
      </w:r>
      <w:r>
        <w:rPr>
          <w:spacing w:val="25"/>
          <w:sz w:val="21"/>
        </w:rPr>
        <w:t> </w:t>
      </w:r>
      <w:r>
        <w:rPr>
          <w:sz w:val="21"/>
        </w:rPr>
        <w:t>scale）</w:t>
      </w:r>
      <w:r>
        <w:rPr>
          <w:spacing w:val="-9"/>
          <w:sz w:val="21"/>
        </w:rPr>
        <w:t>结果为 </w:t>
      </w:r>
      <w:r>
        <w:rPr>
          <w:sz w:val="21"/>
        </w:rPr>
        <w:t>5 </w:t>
      </w:r>
      <w:r>
        <w:rPr>
          <w:spacing w:val="-15"/>
          <w:sz w:val="21"/>
        </w:rPr>
        <w:t>分或 </w:t>
      </w:r>
      <w:r>
        <w:rPr>
          <w:sz w:val="21"/>
        </w:rPr>
        <w:t>5</w:t>
      </w:r>
      <w:r>
        <w:rPr>
          <w:spacing w:val="-10"/>
          <w:sz w:val="21"/>
        </w:rPr>
        <w:t> 分以下，且已经持续使用呼吸机及其它生命维持系统 </w:t>
      </w:r>
      <w:r>
        <w:rPr>
          <w:sz w:val="21"/>
        </w:rPr>
        <w:t>96</w:t>
      </w:r>
      <w:r>
        <w:rPr>
          <w:spacing w:val="-10"/>
          <w:sz w:val="21"/>
        </w:rPr>
        <w:t> 小时以上。</w:t>
      </w:r>
    </w:p>
    <w:p>
      <w:pPr>
        <w:pStyle w:val="Heading2"/>
      </w:pPr>
      <w:r>
        <w:rPr/>
        <w:t>因酗酒或药物滥用导致的深度昏迷不在保障范围内。</w:t>
      </w:r>
    </w:p>
    <w:p>
      <w:pPr>
        <w:pStyle w:val="BodyText"/>
        <w:spacing w:before="10"/>
        <w:ind w:left="0"/>
        <w:rPr>
          <w:b/>
          <w:sz w:val="14"/>
        </w:rPr>
      </w:pPr>
    </w:p>
    <w:p>
      <w:pPr>
        <w:pStyle w:val="ListParagraph"/>
        <w:numPr>
          <w:ilvl w:val="0"/>
          <w:numId w:val="16"/>
        </w:numPr>
        <w:tabs>
          <w:tab w:pos="2178" w:val="left" w:leader="none"/>
        </w:tabs>
        <w:spacing w:line="273" w:lineRule="auto" w:before="0" w:after="0"/>
        <w:ind w:left="2177" w:right="276" w:hanging="420"/>
        <w:jc w:val="both"/>
        <w:rPr>
          <w:sz w:val="21"/>
        </w:rPr>
      </w:pPr>
      <w:r>
        <w:rPr>
          <w:b/>
          <w:spacing w:val="1"/>
          <w:sz w:val="21"/>
        </w:rPr>
        <w:t>双耳失聪 </w:t>
      </w:r>
      <w:r>
        <w:rPr>
          <w:spacing w:val="3"/>
          <w:sz w:val="21"/>
        </w:rPr>
        <w:t>- </w:t>
      </w:r>
      <w:r>
        <w:rPr>
          <w:b/>
          <w:sz w:val="21"/>
        </w:rPr>
        <w:t>三岁始理赔</w:t>
      </w:r>
      <w:r>
        <w:rPr>
          <w:spacing w:val="-3"/>
          <w:sz w:val="21"/>
        </w:rPr>
        <w:t>：指因疾病或意外伤害导致双耳听力永久不可逆</w:t>
      </w:r>
      <w:r>
        <w:rPr>
          <w:spacing w:val="-11"/>
          <w:sz w:val="21"/>
        </w:rPr>
        <w:t>性丧失，在 </w:t>
      </w:r>
      <w:r>
        <w:rPr>
          <w:sz w:val="21"/>
        </w:rPr>
        <w:t>500</w:t>
      </w:r>
      <w:r>
        <w:rPr>
          <w:spacing w:val="-14"/>
          <w:sz w:val="21"/>
        </w:rPr>
        <w:t> 赫兹、</w:t>
      </w:r>
      <w:r>
        <w:rPr>
          <w:sz w:val="21"/>
        </w:rPr>
        <w:t>1000</w:t>
      </w:r>
      <w:r>
        <w:rPr>
          <w:spacing w:val="-20"/>
          <w:sz w:val="21"/>
        </w:rPr>
        <w:t> 赫兹和 </w:t>
      </w:r>
      <w:r>
        <w:rPr>
          <w:sz w:val="21"/>
        </w:rPr>
        <w:t>2000</w:t>
      </w:r>
      <w:r>
        <w:rPr>
          <w:spacing w:val="-9"/>
          <w:sz w:val="21"/>
        </w:rPr>
        <w:t> 赫兹语音频率下，平均听阈大于</w:t>
      </w:r>
    </w:p>
    <w:p>
      <w:pPr>
        <w:pStyle w:val="BodyText"/>
        <w:spacing w:before="7"/>
      </w:pPr>
      <w:r>
        <w:rPr/>
        <w:t>90 分贝，且经纯音听力测试、声导抗检测或听觉诱发电位检测等证实。</w:t>
      </w:r>
    </w:p>
    <w:p>
      <w:pPr>
        <w:pStyle w:val="BodyText"/>
        <w:spacing w:before="9"/>
        <w:ind w:left="0"/>
        <w:rPr>
          <w:sz w:val="14"/>
        </w:rPr>
      </w:pPr>
    </w:p>
    <w:p>
      <w:pPr>
        <w:pStyle w:val="Heading2"/>
        <w:spacing w:line="273" w:lineRule="auto" w:before="0"/>
        <w:ind w:right="173"/>
      </w:pPr>
      <w:r>
        <w:rPr/>
        <w:t>被保险人申请理赔时年龄必须在三周岁以上，并且提供理赔当时的听力丧失诊断及检查证据。</w:t>
      </w:r>
    </w:p>
    <w:p>
      <w:pPr>
        <w:pStyle w:val="ListParagraph"/>
        <w:numPr>
          <w:ilvl w:val="0"/>
          <w:numId w:val="16"/>
        </w:numPr>
        <w:tabs>
          <w:tab w:pos="2178" w:val="left" w:leader="none"/>
        </w:tabs>
        <w:spacing w:line="273" w:lineRule="auto" w:before="163" w:after="0"/>
        <w:ind w:left="2177" w:right="319" w:hanging="420"/>
        <w:jc w:val="both"/>
        <w:rPr>
          <w:sz w:val="21"/>
        </w:rPr>
      </w:pPr>
      <w:r>
        <w:rPr>
          <w:b/>
          <w:spacing w:val="1"/>
          <w:sz w:val="21"/>
        </w:rPr>
        <w:t>双目失明 </w:t>
      </w:r>
      <w:r>
        <w:rPr>
          <w:spacing w:val="5"/>
          <w:sz w:val="21"/>
        </w:rPr>
        <w:t>- </w:t>
      </w:r>
      <w:r>
        <w:rPr>
          <w:b/>
          <w:sz w:val="21"/>
        </w:rPr>
        <w:t>三岁始理赔</w:t>
      </w:r>
      <w:r>
        <w:rPr>
          <w:spacing w:val="-3"/>
          <w:sz w:val="21"/>
        </w:rPr>
        <w:t>：指因疾病或意外伤害导致双眼视力永久不可逆性丧失，双眼中较好眼须满足下列至少一项条件：</w:t>
      </w:r>
    </w:p>
    <w:p>
      <w:pPr>
        <w:spacing w:after="0" w:line="273" w:lineRule="auto"/>
        <w:jc w:val="both"/>
        <w:rPr>
          <w:sz w:val="21"/>
        </w:rPr>
        <w:sectPr>
          <w:pgSz w:w="11910" w:h="16840"/>
          <w:pgMar w:header="0" w:footer="925" w:top="1020" w:bottom="1120" w:left="1680" w:right="1100"/>
        </w:sectPr>
      </w:pPr>
    </w:p>
    <w:p>
      <w:pPr>
        <w:pStyle w:val="BodyText"/>
        <w:spacing w:before="7"/>
      </w:pPr>
      <w:r>
        <w:rPr/>
        <w:t>（1）眼球缺失或摘除；</w:t>
      </w:r>
    </w:p>
    <w:p>
      <w:pPr>
        <w:pStyle w:val="BodyText"/>
        <w:spacing w:before="9"/>
        <w:ind w:left="0"/>
        <w:rPr>
          <w:sz w:val="14"/>
        </w:rPr>
      </w:pPr>
    </w:p>
    <w:p>
      <w:pPr>
        <w:pStyle w:val="BodyText"/>
        <w:spacing w:line="273" w:lineRule="auto"/>
        <w:ind w:right="173"/>
      </w:pPr>
      <w:r>
        <w:rPr/>
        <w:t>（2）</w:t>
      </w:r>
      <w:r>
        <w:rPr>
          <w:spacing w:val="-7"/>
        </w:rPr>
        <w:t>矫正视力低于 </w:t>
      </w:r>
      <w:r>
        <w:rPr/>
        <w:t>0.02（</w:t>
      </w:r>
      <w:r>
        <w:rPr>
          <w:spacing w:val="-3"/>
        </w:rPr>
        <w:t>采用国际标准视力表，如果使用其它视力表应</w:t>
      </w:r>
      <w:r>
        <w:rPr>
          <w:spacing w:val="-3"/>
          <w:w w:val="100"/>
        </w:rPr>
        <w:t>进行换算</w:t>
      </w:r>
      <w:r>
        <w:rPr>
          <w:spacing w:val="-108"/>
          <w:w w:val="100"/>
        </w:rPr>
        <w:t>）</w:t>
      </w:r>
      <w:r>
        <w:rPr>
          <w:w w:val="100"/>
        </w:rPr>
        <w:t>；</w:t>
      </w:r>
    </w:p>
    <w:p>
      <w:pPr>
        <w:pStyle w:val="BodyText"/>
        <w:spacing w:before="163"/>
      </w:pPr>
      <w:r>
        <w:rPr/>
        <w:t>（3）视野半径小于 5 度。</w:t>
      </w:r>
    </w:p>
    <w:p>
      <w:pPr>
        <w:pStyle w:val="BodyText"/>
        <w:spacing w:before="9"/>
        <w:ind w:left="0"/>
        <w:rPr>
          <w:sz w:val="14"/>
        </w:rPr>
      </w:pPr>
    </w:p>
    <w:p>
      <w:pPr>
        <w:pStyle w:val="Heading2"/>
        <w:spacing w:line="273" w:lineRule="auto" w:before="0"/>
        <w:ind w:right="73"/>
      </w:pPr>
      <w:r>
        <w:rPr/>
        <w:t>被保险人申请理赔时年龄必须在三周岁以上，并且提供理赔当时的视力丧失诊断及检查证据。</w:t>
      </w:r>
    </w:p>
    <w:p>
      <w:pPr>
        <w:pStyle w:val="ListParagraph"/>
        <w:numPr>
          <w:ilvl w:val="0"/>
          <w:numId w:val="16"/>
        </w:numPr>
        <w:tabs>
          <w:tab w:pos="2178" w:val="left" w:leader="none"/>
        </w:tabs>
        <w:spacing w:line="273" w:lineRule="auto" w:before="163" w:after="0"/>
        <w:ind w:left="2177" w:right="120" w:hanging="420"/>
        <w:jc w:val="both"/>
        <w:rPr>
          <w:sz w:val="21"/>
        </w:rPr>
      </w:pPr>
      <w:r>
        <w:rPr>
          <w:b/>
          <w:sz w:val="21"/>
        </w:rPr>
        <w:t>瘫痪</w:t>
      </w:r>
      <w:r>
        <w:rPr>
          <w:spacing w:val="-3"/>
          <w:sz w:val="21"/>
        </w:rPr>
        <w:t>：指因疾病或意外伤害导致两肢或两肢以上肢体机能永久完全丧失。</w:t>
      </w:r>
      <w:r>
        <w:rPr>
          <w:spacing w:val="-6"/>
          <w:sz w:val="21"/>
        </w:rPr>
        <w:t>肢体机能永久完全丧失，指疾病确诊 </w:t>
      </w:r>
      <w:r>
        <w:rPr>
          <w:sz w:val="21"/>
        </w:rPr>
        <w:t>180</w:t>
      </w:r>
      <w:r>
        <w:rPr>
          <w:spacing w:val="-13"/>
          <w:sz w:val="21"/>
        </w:rPr>
        <w:t> 天后或意外伤害发生 </w:t>
      </w:r>
      <w:r>
        <w:rPr>
          <w:sz w:val="21"/>
        </w:rPr>
        <w:t>180</w:t>
      </w:r>
      <w:r>
        <w:rPr>
          <w:spacing w:val="-13"/>
          <w:sz w:val="21"/>
        </w:rPr>
        <w:t> 天后， </w:t>
      </w:r>
      <w:r>
        <w:rPr>
          <w:spacing w:val="-6"/>
          <w:sz w:val="21"/>
        </w:rPr>
        <w:t>每肢三大关节中的两大关节仍然完全僵硬，或不能随意识活动。</w:t>
      </w:r>
    </w:p>
    <w:p>
      <w:pPr>
        <w:pStyle w:val="ListParagraph"/>
        <w:numPr>
          <w:ilvl w:val="0"/>
          <w:numId w:val="16"/>
        </w:numPr>
        <w:tabs>
          <w:tab w:pos="2178" w:val="left" w:leader="none"/>
        </w:tabs>
        <w:spacing w:line="273" w:lineRule="auto" w:before="163" w:after="0"/>
        <w:ind w:left="2177" w:right="118" w:hanging="420"/>
        <w:jc w:val="both"/>
        <w:rPr>
          <w:sz w:val="21"/>
        </w:rPr>
      </w:pPr>
      <w:r>
        <w:rPr>
          <w:b/>
          <w:sz w:val="21"/>
        </w:rPr>
        <w:t>严重脑损伤</w:t>
      </w:r>
      <w:r>
        <w:rPr>
          <w:spacing w:val="-3"/>
          <w:sz w:val="21"/>
        </w:rPr>
        <w:t>：指因头部遭受机械性外力，引起脑重要部位损伤，导致神经</w:t>
      </w:r>
      <w:r>
        <w:rPr>
          <w:spacing w:val="-3"/>
          <w:w w:val="100"/>
          <w:sz w:val="21"/>
        </w:rPr>
        <w:t>系统永久性的功能障碍。须由头颅断层扫描（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7"/>
          <w:sz w:val="21"/>
        </w:rPr>
        <w:t>或正电子发射断层扫描</w:t>
      </w:r>
      <w:r>
        <w:rPr>
          <w:spacing w:val="-9"/>
          <w:sz w:val="21"/>
        </w:rPr>
        <w:t>（PET）</w:t>
      </w:r>
      <w:r>
        <w:rPr>
          <w:spacing w:val="-7"/>
          <w:sz w:val="21"/>
        </w:rPr>
        <w:t>等影像学检查证实。神经系统永久性的功能</w:t>
      </w:r>
      <w:r>
        <w:rPr>
          <w:spacing w:val="-9"/>
          <w:sz w:val="21"/>
        </w:rPr>
        <w:t>障碍，指脑损伤 </w:t>
      </w:r>
      <w:r>
        <w:rPr>
          <w:sz w:val="21"/>
        </w:rPr>
        <w:t>180</w:t>
      </w:r>
      <w:r>
        <w:rPr>
          <w:spacing w:val="-8"/>
          <w:sz w:val="21"/>
        </w:rPr>
        <w:t> 天后，仍遗留下列一种或一种以上障碍：</w:t>
      </w:r>
    </w:p>
    <w:p>
      <w:pPr>
        <w:pStyle w:val="BodyText"/>
        <w:spacing w:before="163"/>
      </w:pPr>
      <w:r>
        <w:rPr/>
        <w:t>（1）一肢或一肢以上肢体机能完全丧失；</w:t>
      </w:r>
    </w:p>
    <w:p>
      <w:pPr>
        <w:pStyle w:val="BodyText"/>
        <w:spacing w:before="9"/>
        <w:ind w:left="0"/>
        <w:rPr>
          <w:sz w:val="14"/>
        </w:rPr>
      </w:pPr>
    </w:p>
    <w:p>
      <w:pPr>
        <w:pStyle w:val="BodyText"/>
        <w:spacing w:before="1"/>
      </w:pPr>
      <w:r>
        <w:rPr/>
        <w:t>（2）语言能力或咀嚼吞咽能力完全丧失；</w:t>
      </w:r>
    </w:p>
    <w:p>
      <w:pPr>
        <w:pStyle w:val="BodyText"/>
        <w:spacing w:before="10"/>
        <w:ind w:left="0"/>
        <w:rPr>
          <w:sz w:val="14"/>
        </w:rPr>
      </w:pPr>
    </w:p>
    <w:p>
      <w:pPr>
        <w:pStyle w:val="BodyText"/>
        <w:spacing w:line="273" w:lineRule="auto"/>
        <w:ind w:right="118"/>
      </w:pPr>
      <w:r>
        <w:rPr>
          <w:spacing w:val="-18"/>
        </w:rPr>
        <w:t>（3）</w:t>
      </w:r>
      <w:r>
        <w:rPr>
          <w:spacing w:val="-8"/>
        </w:rPr>
        <w:t>自主生活能力完全丧失，无法独立完成六项基本日常生活活动中的三</w:t>
      </w:r>
      <w:r>
        <w:rPr>
          <w:spacing w:val="-5"/>
        </w:rPr>
        <w:t>项或三项以上。</w:t>
      </w:r>
    </w:p>
    <w:p>
      <w:pPr>
        <w:pStyle w:val="ListParagraph"/>
        <w:numPr>
          <w:ilvl w:val="0"/>
          <w:numId w:val="16"/>
        </w:numPr>
        <w:tabs>
          <w:tab w:pos="2178" w:val="left" w:leader="none"/>
        </w:tabs>
        <w:spacing w:line="273" w:lineRule="auto" w:before="163" w:after="0"/>
        <w:ind w:left="2177" w:right="120" w:hanging="420"/>
        <w:jc w:val="both"/>
        <w:rPr>
          <w:sz w:val="21"/>
        </w:rPr>
      </w:pPr>
      <w:r>
        <w:rPr>
          <w:b/>
          <w:sz w:val="21"/>
        </w:rPr>
        <w:t>严重Ⅲ度烧伤</w:t>
      </w:r>
      <w:r>
        <w:rPr>
          <w:spacing w:val="-3"/>
          <w:sz w:val="21"/>
        </w:rPr>
        <w:t>：指烧伤程度为Ⅲ度，且Ⅲ度烧伤的面积达到全身体表面积</w:t>
      </w:r>
      <w:r>
        <w:rPr>
          <w:spacing w:val="-23"/>
          <w:sz w:val="21"/>
        </w:rPr>
        <w:t>的 </w:t>
      </w:r>
      <w:r>
        <w:rPr>
          <w:sz w:val="21"/>
        </w:rPr>
        <w:t>20</w:t>
      </w:r>
      <w:r>
        <w:rPr>
          <w:spacing w:val="-14"/>
          <w:sz w:val="21"/>
        </w:rPr>
        <w:t>％或 </w:t>
      </w:r>
      <w:r>
        <w:rPr>
          <w:sz w:val="21"/>
        </w:rPr>
        <w:t>20</w:t>
      </w:r>
      <w:r>
        <w:rPr>
          <w:spacing w:val="-3"/>
          <w:sz w:val="21"/>
        </w:rPr>
        <w:t>％以上。体表面积根据《中国新九分法》计算。</w:t>
      </w:r>
    </w:p>
    <w:p>
      <w:pPr>
        <w:pStyle w:val="ListParagraph"/>
        <w:numPr>
          <w:ilvl w:val="0"/>
          <w:numId w:val="16"/>
        </w:numPr>
        <w:tabs>
          <w:tab w:pos="2178" w:val="left" w:leader="none"/>
        </w:tabs>
        <w:spacing w:line="273" w:lineRule="auto" w:before="163" w:after="0"/>
        <w:ind w:left="2177" w:right="118" w:hanging="420"/>
        <w:jc w:val="both"/>
        <w:rPr>
          <w:b/>
          <w:sz w:val="21"/>
        </w:rPr>
      </w:pPr>
      <w:r>
        <w:rPr>
          <w:b/>
          <w:sz w:val="21"/>
        </w:rPr>
        <w:t>重型再生障碍性贫血</w:t>
      </w:r>
      <w:r>
        <w:rPr>
          <w:spacing w:val="-4"/>
          <w:sz w:val="21"/>
        </w:rPr>
        <w:t>：指因骨髓造血功能慢性持续性衰竭导致的贫血、中</w:t>
      </w:r>
      <w:r>
        <w:rPr>
          <w:spacing w:val="-3"/>
          <w:sz w:val="21"/>
        </w:rPr>
        <w:t>性粒细胞减少及血小板减少。</w:t>
      </w:r>
      <w:r>
        <w:rPr>
          <w:b/>
          <w:spacing w:val="-1"/>
          <w:sz w:val="21"/>
        </w:rPr>
        <w:t>须满足下列全部条件：</w:t>
      </w:r>
    </w:p>
    <w:p>
      <w:pPr>
        <w:pStyle w:val="BodyText"/>
        <w:spacing w:before="164"/>
      </w:pPr>
      <w:r>
        <w:rPr/>
        <w:t>（1）骨髓穿刺检查或骨髓活检结果支持诊断；</w:t>
      </w:r>
    </w:p>
    <w:p>
      <w:pPr>
        <w:pStyle w:val="BodyText"/>
        <w:spacing w:before="9"/>
        <w:ind w:left="0"/>
        <w:rPr>
          <w:sz w:val="14"/>
        </w:rPr>
      </w:pPr>
    </w:p>
    <w:p>
      <w:pPr>
        <w:pStyle w:val="BodyText"/>
        <w:spacing w:before="1"/>
      </w:pPr>
      <w:r>
        <w:rPr/>
        <w:t>（2）外周血象须具备以下三项条件：</w:t>
      </w:r>
    </w:p>
    <w:p>
      <w:pPr>
        <w:pStyle w:val="BodyText"/>
        <w:spacing w:before="10"/>
        <w:ind w:left="0"/>
        <w:rPr>
          <w:sz w:val="14"/>
        </w:rPr>
      </w:pPr>
    </w:p>
    <w:p>
      <w:pPr>
        <w:pStyle w:val="BodyText"/>
        <w:ind w:left="2703"/>
      </w:pPr>
      <w:r>
        <w:rPr/>
        <w:t>① 中性粒细胞绝对值≤0.5×10</w:t>
      </w:r>
      <w:r>
        <w:rPr>
          <w:position w:val="11"/>
          <w:sz w:val="11"/>
        </w:rPr>
        <w:t>9</w:t>
      </w:r>
      <w:r>
        <w:rPr/>
        <w:t>/L；</w:t>
      </w:r>
    </w:p>
    <w:p>
      <w:pPr>
        <w:pStyle w:val="BodyText"/>
        <w:spacing w:before="193"/>
        <w:ind w:left="2703"/>
      </w:pPr>
      <w:r>
        <w:rPr/>
        <w:t>② 网织红细胞＜1%；</w:t>
      </w:r>
    </w:p>
    <w:p>
      <w:pPr>
        <w:pStyle w:val="BodyText"/>
        <w:spacing w:before="9"/>
        <w:ind w:left="0"/>
        <w:rPr>
          <w:sz w:val="14"/>
        </w:rPr>
      </w:pPr>
    </w:p>
    <w:p>
      <w:pPr>
        <w:pStyle w:val="BodyText"/>
        <w:spacing w:before="1"/>
        <w:ind w:left="2703"/>
      </w:pPr>
      <w:r>
        <w:rPr/>
        <w:t>③ 血小板绝对值≤20×10</w:t>
      </w:r>
      <w:r>
        <w:rPr>
          <w:position w:val="11"/>
          <w:sz w:val="11"/>
        </w:rPr>
        <w:t>9</w:t>
      </w:r>
      <w:r>
        <w:rPr/>
        <w:t>/L。</w:t>
      </w:r>
    </w:p>
    <w:p>
      <w:pPr>
        <w:pStyle w:val="ListParagraph"/>
        <w:numPr>
          <w:ilvl w:val="0"/>
          <w:numId w:val="16"/>
        </w:numPr>
        <w:tabs>
          <w:tab w:pos="2178" w:val="left" w:leader="none"/>
        </w:tabs>
        <w:spacing w:line="273" w:lineRule="auto" w:before="193" w:after="0"/>
        <w:ind w:left="2177" w:right="116" w:hanging="420"/>
        <w:jc w:val="both"/>
        <w:rPr>
          <w:sz w:val="21"/>
        </w:rPr>
      </w:pPr>
      <w:r>
        <w:rPr>
          <w:b/>
          <w:sz w:val="21"/>
        </w:rPr>
        <w:t>主动脉手术：</w:t>
      </w:r>
      <w:r>
        <w:rPr>
          <w:spacing w:val="-3"/>
          <w:sz w:val="21"/>
        </w:rPr>
        <w:t>指为治疗主动脉疾病，实际实施了开胸或开腹进行的切除、置换、修补病损主动脉血管的手术。主动脉指胸主动脉和腹主动脉，不包括胸主动脉和腹主动脉的分支血管。</w:t>
      </w:r>
    </w:p>
    <w:p>
      <w:pPr>
        <w:pStyle w:val="Heading2"/>
      </w:pPr>
      <w:r>
        <w:rPr/>
        <w:t>动脉内血管成形术不在保障范围内。</w:t>
      </w:r>
    </w:p>
    <w:p>
      <w:pPr>
        <w:pStyle w:val="BodyText"/>
        <w:spacing w:before="10"/>
        <w:ind w:left="0"/>
        <w:rPr>
          <w:b/>
          <w:sz w:val="14"/>
        </w:rPr>
      </w:pPr>
    </w:p>
    <w:p>
      <w:pPr>
        <w:pStyle w:val="ListParagraph"/>
        <w:numPr>
          <w:ilvl w:val="0"/>
          <w:numId w:val="16"/>
        </w:numPr>
        <w:tabs>
          <w:tab w:pos="2178" w:val="left" w:leader="none"/>
        </w:tabs>
        <w:spacing w:line="273" w:lineRule="auto" w:before="0" w:after="0"/>
        <w:ind w:left="2177" w:right="118" w:hanging="420"/>
        <w:jc w:val="both"/>
        <w:rPr>
          <w:sz w:val="21"/>
        </w:rPr>
      </w:pPr>
      <w:r>
        <w:rPr>
          <w:b/>
          <w:sz w:val="21"/>
        </w:rPr>
        <w:t>严重哮喘</w:t>
      </w:r>
      <w:r>
        <w:rPr>
          <w:spacing w:val="-3"/>
          <w:sz w:val="21"/>
        </w:rPr>
        <w:t>：被保险人必须在首次确诊严重哮喘之日的前两年内曾发生哮喘持续状态，并满足以下标准中的两项或两项以上标准：</w:t>
      </w:r>
    </w:p>
    <w:p>
      <w:pPr>
        <w:pStyle w:val="ListParagraph"/>
        <w:numPr>
          <w:ilvl w:val="1"/>
          <w:numId w:val="16"/>
        </w:numPr>
        <w:tabs>
          <w:tab w:pos="2601" w:val="left" w:leader="none"/>
        </w:tabs>
        <w:spacing w:line="240" w:lineRule="auto" w:before="163" w:after="0"/>
        <w:ind w:left="2600" w:right="0" w:hanging="423"/>
        <w:jc w:val="left"/>
        <w:rPr>
          <w:sz w:val="21"/>
        </w:rPr>
      </w:pPr>
      <w:r>
        <w:rPr>
          <w:spacing w:val="-3"/>
          <w:sz w:val="21"/>
        </w:rPr>
        <w:t>运动耐受力永久并持续地减少并且轻微的运动能引起气促；</w:t>
      </w:r>
    </w:p>
    <w:p>
      <w:pPr>
        <w:pStyle w:val="BodyText"/>
        <w:spacing w:before="9"/>
        <w:ind w:left="0"/>
        <w:rPr>
          <w:sz w:val="14"/>
        </w:rPr>
      </w:pPr>
    </w:p>
    <w:p>
      <w:pPr>
        <w:pStyle w:val="ListParagraph"/>
        <w:numPr>
          <w:ilvl w:val="1"/>
          <w:numId w:val="16"/>
        </w:numPr>
        <w:tabs>
          <w:tab w:pos="2601" w:val="left" w:leader="none"/>
        </w:tabs>
        <w:spacing w:line="240" w:lineRule="auto" w:before="0" w:after="0"/>
        <w:ind w:left="2600" w:right="0" w:hanging="423"/>
        <w:jc w:val="left"/>
        <w:rPr>
          <w:sz w:val="21"/>
        </w:rPr>
      </w:pPr>
      <w:r>
        <w:rPr>
          <w:spacing w:val="-3"/>
          <w:sz w:val="21"/>
        </w:rPr>
        <w:t>长期胸腔过渡膨胀而导致胸腔畸形；</w:t>
      </w:r>
    </w:p>
    <w:p>
      <w:pPr>
        <w:pStyle w:val="BodyText"/>
        <w:spacing w:before="9"/>
        <w:ind w:left="0"/>
        <w:rPr>
          <w:sz w:val="14"/>
        </w:rPr>
      </w:pPr>
    </w:p>
    <w:p>
      <w:pPr>
        <w:pStyle w:val="ListParagraph"/>
        <w:numPr>
          <w:ilvl w:val="1"/>
          <w:numId w:val="16"/>
        </w:numPr>
        <w:tabs>
          <w:tab w:pos="2601" w:val="left" w:leader="none"/>
        </w:tabs>
        <w:spacing w:line="240" w:lineRule="auto" w:before="0" w:after="0"/>
        <w:ind w:left="2600" w:right="0" w:hanging="423"/>
        <w:jc w:val="left"/>
        <w:rPr>
          <w:sz w:val="21"/>
        </w:rPr>
      </w:pPr>
      <w:r>
        <w:rPr>
          <w:spacing w:val="-3"/>
          <w:sz w:val="21"/>
        </w:rPr>
        <w:t>在家及在静息状态下需要吸氧；</w:t>
      </w:r>
    </w:p>
    <w:p>
      <w:pPr>
        <w:spacing w:after="0" w:line="240" w:lineRule="auto"/>
        <w:jc w:val="left"/>
        <w:rPr>
          <w:sz w:val="21"/>
        </w:rPr>
        <w:sectPr>
          <w:pgSz w:w="11910" w:h="16840"/>
          <w:pgMar w:header="0" w:footer="925" w:top="1020" w:bottom="1200" w:left="1680" w:right="1200"/>
        </w:sectPr>
      </w:pPr>
    </w:p>
    <w:p>
      <w:pPr>
        <w:pStyle w:val="ListParagraph"/>
        <w:numPr>
          <w:ilvl w:val="1"/>
          <w:numId w:val="16"/>
        </w:numPr>
        <w:tabs>
          <w:tab w:pos="2601" w:val="left" w:leader="none"/>
        </w:tabs>
        <w:spacing w:line="240" w:lineRule="auto" w:before="7" w:after="0"/>
        <w:ind w:left="2600" w:right="0" w:hanging="423"/>
        <w:jc w:val="left"/>
        <w:rPr>
          <w:sz w:val="21"/>
        </w:rPr>
      </w:pPr>
      <w:r>
        <w:rPr>
          <w:spacing w:val="-3"/>
          <w:sz w:val="21"/>
        </w:rPr>
        <w:t>持续的每天服用类固醇药物</w:t>
      </w:r>
      <w:r>
        <w:rPr>
          <w:sz w:val="21"/>
        </w:rPr>
        <w:t>（</w:t>
      </w:r>
      <w:r>
        <w:rPr>
          <w:spacing w:val="-11"/>
          <w:sz w:val="21"/>
        </w:rPr>
        <w:t>至少持续 </w:t>
      </w:r>
      <w:r>
        <w:rPr>
          <w:sz w:val="21"/>
        </w:rPr>
        <w:t>6</w:t>
      </w:r>
      <w:r>
        <w:rPr>
          <w:spacing w:val="-10"/>
          <w:sz w:val="21"/>
        </w:rPr>
        <w:t> 个月以上</w:t>
      </w:r>
      <w:r>
        <w:rPr>
          <w:spacing w:val="-108"/>
          <w:sz w:val="21"/>
        </w:rPr>
        <w:t>）</w:t>
      </w:r>
      <w:r>
        <w:rPr>
          <w:sz w:val="21"/>
        </w:rPr>
        <w:t>。</w:t>
      </w:r>
    </w:p>
    <w:p>
      <w:pPr>
        <w:pStyle w:val="BodyText"/>
        <w:spacing w:before="9"/>
        <w:ind w:left="0"/>
        <w:rPr>
          <w:sz w:val="14"/>
        </w:rPr>
      </w:pPr>
    </w:p>
    <w:p>
      <w:pPr>
        <w:pStyle w:val="ListParagraph"/>
        <w:numPr>
          <w:ilvl w:val="0"/>
          <w:numId w:val="16"/>
        </w:numPr>
        <w:tabs>
          <w:tab w:pos="2178" w:val="left" w:leader="none"/>
        </w:tabs>
        <w:spacing w:line="273" w:lineRule="auto" w:before="0" w:after="0"/>
        <w:ind w:left="2177" w:right="112" w:hanging="420"/>
        <w:jc w:val="left"/>
        <w:rPr>
          <w:b/>
          <w:sz w:val="21"/>
        </w:rPr>
      </w:pPr>
      <w:r>
        <w:rPr>
          <w:b/>
          <w:sz w:val="21"/>
        </w:rPr>
        <w:t>植物人状态</w:t>
      </w:r>
      <w:r>
        <w:rPr>
          <w:spacing w:val="-3"/>
          <w:sz w:val="21"/>
        </w:rPr>
        <w:t>：指由于严重颅脑外伤、缺氧持续状态、严重的脑炎或者某种神经毒素造成大脑或脑干严重损害，并导致意识丧失和中枢神经系统功能</w:t>
      </w:r>
      <w:r>
        <w:rPr>
          <w:spacing w:val="-19"/>
          <w:sz w:val="21"/>
        </w:rPr>
        <w:t>丧失，仅残存植物神经功能的疾病状态，且植物人状态须已持续 </w:t>
      </w:r>
      <w:r>
        <w:rPr>
          <w:sz w:val="21"/>
        </w:rPr>
        <w:t>30</w:t>
      </w:r>
      <w:r>
        <w:rPr>
          <w:spacing w:val="-9"/>
          <w:sz w:val="21"/>
        </w:rPr>
        <w:t> 天以上。</w:t>
      </w:r>
      <w:r>
        <w:rPr>
          <w:b/>
          <w:spacing w:val="-9"/>
          <w:sz w:val="21"/>
        </w:rPr>
        <w:t>因酗酒或者药物滥用导致的植物人状态不在保障范围内。</w:t>
      </w:r>
    </w:p>
    <w:p>
      <w:pPr>
        <w:pStyle w:val="ListParagraph"/>
        <w:numPr>
          <w:ilvl w:val="0"/>
          <w:numId w:val="16"/>
        </w:numPr>
        <w:tabs>
          <w:tab w:pos="2178" w:val="left" w:leader="none"/>
        </w:tabs>
        <w:spacing w:line="273" w:lineRule="auto" w:before="163" w:after="0"/>
        <w:ind w:left="2177" w:right="218" w:hanging="420"/>
        <w:jc w:val="both"/>
        <w:rPr>
          <w:sz w:val="21"/>
        </w:rPr>
      </w:pPr>
      <w:r>
        <w:rPr>
          <w:b/>
          <w:sz w:val="21"/>
        </w:rPr>
        <w:t>Ｉ型糖尿病</w:t>
      </w:r>
      <w:r>
        <w:rPr>
          <w:spacing w:val="-3"/>
          <w:sz w:val="21"/>
        </w:rPr>
        <w:t>：指由于胰岛素分泌绝对不足引起的慢性血糖升高，且已经持</w:t>
      </w:r>
      <w:r>
        <w:rPr>
          <w:spacing w:val="-7"/>
          <w:sz w:val="21"/>
        </w:rPr>
        <w:t>续性地依赖外源性胰岛素维持 </w:t>
      </w:r>
      <w:r>
        <w:rPr>
          <w:sz w:val="21"/>
        </w:rPr>
        <w:t>180</w:t>
      </w:r>
      <w:r>
        <w:rPr>
          <w:spacing w:val="-12"/>
          <w:sz w:val="21"/>
        </w:rPr>
        <w:t> 天以上。须经血胰岛素测定、血 </w:t>
      </w:r>
      <w:r>
        <w:rPr>
          <w:sz w:val="21"/>
        </w:rPr>
        <w:t>C</w:t>
      </w:r>
      <w:r>
        <w:rPr>
          <w:spacing w:val="-18"/>
          <w:sz w:val="21"/>
        </w:rPr>
        <w:t> 肽测</w:t>
      </w:r>
      <w:r>
        <w:rPr>
          <w:spacing w:val="-11"/>
          <w:sz w:val="21"/>
        </w:rPr>
        <w:t>定或尿 </w:t>
      </w:r>
      <w:r>
        <w:rPr>
          <w:sz w:val="21"/>
        </w:rPr>
        <w:t>C</w:t>
      </w:r>
      <w:r>
        <w:rPr>
          <w:spacing w:val="-8"/>
          <w:sz w:val="21"/>
        </w:rPr>
        <w:t> 肽测定，结果异常，并由内分泌科专科医生明确诊断。</w:t>
      </w:r>
    </w:p>
    <w:p>
      <w:pPr>
        <w:pStyle w:val="ListParagraph"/>
        <w:numPr>
          <w:ilvl w:val="0"/>
          <w:numId w:val="16"/>
        </w:numPr>
        <w:tabs>
          <w:tab w:pos="2178" w:val="left" w:leader="none"/>
        </w:tabs>
        <w:spacing w:line="273" w:lineRule="auto" w:before="163" w:after="0"/>
        <w:ind w:left="2177" w:right="113" w:hanging="420"/>
        <w:jc w:val="both"/>
        <w:rPr>
          <w:sz w:val="21"/>
        </w:rPr>
      </w:pPr>
      <w:r>
        <w:rPr>
          <w:b/>
          <w:sz w:val="21"/>
        </w:rPr>
        <w:t>细菌性脑脊髓膜炎</w:t>
      </w:r>
      <w:r>
        <w:rPr>
          <w:spacing w:val="-3"/>
          <w:sz w:val="21"/>
        </w:rPr>
        <w:t>：指因脑膜炎双球菌感染引起脑脊髓膜化脓性病变，且</w:t>
      </w:r>
      <w:r>
        <w:rPr>
          <w:spacing w:val="-11"/>
          <w:sz w:val="21"/>
        </w:rPr>
        <w:t>导致永久性神经损害，持续 </w:t>
      </w:r>
      <w:r>
        <w:rPr>
          <w:sz w:val="21"/>
        </w:rPr>
        <w:t>90</w:t>
      </w:r>
      <w:r>
        <w:rPr>
          <w:spacing w:val="-11"/>
          <w:sz w:val="21"/>
        </w:rPr>
        <w:t> 天以上，并且脑脊液检查显示脑膜炎双球菌</w:t>
      </w:r>
      <w:r>
        <w:rPr>
          <w:spacing w:val="-6"/>
          <w:sz w:val="21"/>
        </w:rPr>
        <w:t>阳性。永久性神经损害是指由细菌性脑脊髓膜炎引起的耳聋、失明、动眼</w:t>
      </w:r>
      <w:r>
        <w:rPr>
          <w:spacing w:val="-18"/>
          <w:sz w:val="21"/>
        </w:rPr>
        <w:t>神经麻痹、瘫痪、脑积水的损害，且上述症状持续 </w:t>
      </w:r>
      <w:r>
        <w:rPr>
          <w:sz w:val="21"/>
        </w:rPr>
        <w:t>90</w:t>
      </w:r>
      <w:r>
        <w:rPr>
          <w:spacing w:val="-7"/>
          <w:sz w:val="21"/>
        </w:rPr>
        <w:t> 天以上仍无改善迹象。</w:t>
      </w:r>
    </w:p>
    <w:p>
      <w:pPr>
        <w:pStyle w:val="ListParagraph"/>
        <w:numPr>
          <w:ilvl w:val="0"/>
          <w:numId w:val="16"/>
        </w:numPr>
        <w:tabs>
          <w:tab w:pos="2178" w:val="left" w:leader="none"/>
        </w:tabs>
        <w:spacing w:line="273" w:lineRule="auto" w:before="164" w:after="0"/>
        <w:ind w:left="2177" w:right="215" w:hanging="420"/>
        <w:jc w:val="both"/>
        <w:rPr>
          <w:sz w:val="21"/>
        </w:rPr>
      </w:pPr>
      <w:r>
        <w:rPr>
          <w:b/>
          <w:sz w:val="21"/>
        </w:rPr>
        <w:t>严重心肌炎</w:t>
      </w:r>
      <w:r>
        <w:rPr>
          <w:spacing w:val="-3"/>
          <w:sz w:val="21"/>
        </w:rPr>
        <w:t>：指心肌局限性或弥漫性的急性或慢性炎症病变，导致心脏功</w:t>
      </w:r>
      <w:r>
        <w:rPr>
          <w:spacing w:val="-11"/>
          <w:sz w:val="21"/>
        </w:rPr>
        <w:t>能障碍，达到美国纽约心脏病学会心功能分级状态分级 </w:t>
      </w:r>
      <w:r>
        <w:rPr>
          <w:sz w:val="21"/>
        </w:rPr>
        <w:t>IV</w:t>
      </w:r>
      <w:r>
        <w:rPr>
          <w:spacing w:val="-14"/>
          <w:sz w:val="21"/>
        </w:rPr>
        <w:t> 级，且需持续至</w:t>
      </w:r>
      <w:r>
        <w:rPr>
          <w:spacing w:val="-33"/>
          <w:sz w:val="21"/>
        </w:rPr>
        <w:t>少 </w:t>
      </w:r>
      <w:r>
        <w:rPr>
          <w:sz w:val="21"/>
        </w:rPr>
        <w:t>90</w:t>
      </w:r>
      <w:r>
        <w:rPr>
          <w:spacing w:val="-18"/>
          <w:sz w:val="21"/>
        </w:rPr>
        <w:t> 天。</w:t>
      </w:r>
    </w:p>
    <w:p>
      <w:pPr>
        <w:pStyle w:val="BodyText"/>
        <w:spacing w:before="164"/>
      </w:pPr>
      <w:r>
        <w:rPr/>
        <w:t>美国纽约心脏病学会心功能分级标准:</w:t>
      </w:r>
    </w:p>
    <w:p>
      <w:pPr>
        <w:pStyle w:val="BodyText"/>
        <w:spacing w:before="10"/>
        <w:ind w:left="0"/>
        <w:rPr>
          <w:sz w:val="14"/>
        </w:rPr>
      </w:pPr>
    </w:p>
    <w:p>
      <w:pPr>
        <w:pStyle w:val="ListParagraph"/>
        <w:numPr>
          <w:ilvl w:val="0"/>
          <w:numId w:val="17"/>
        </w:numPr>
        <w:tabs>
          <w:tab w:pos="2337" w:val="left" w:leader="none"/>
        </w:tabs>
        <w:spacing w:line="273" w:lineRule="auto" w:before="0" w:after="0"/>
        <w:ind w:left="2177" w:right="273" w:firstLine="0"/>
        <w:jc w:val="left"/>
        <w:rPr>
          <w:sz w:val="21"/>
        </w:rPr>
      </w:pPr>
      <w:r>
        <w:rPr>
          <w:spacing w:val="-3"/>
          <w:sz w:val="21"/>
        </w:rPr>
        <w:t>级：患者患有心脏病，但活动量不受限制，平时一般活动不引起疲乏、心悸、呼吸困难或心绞痛；</w:t>
      </w:r>
    </w:p>
    <w:p>
      <w:pPr>
        <w:pStyle w:val="ListParagraph"/>
        <w:numPr>
          <w:ilvl w:val="0"/>
          <w:numId w:val="17"/>
        </w:numPr>
        <w:tabs>
          <w:tab w:pos="2442" w:val="left" w:leader="none"/>
        </w:tabs>
        <w:spacing w:line="273" w:lineRule="auto" w:before="163" w:after="0"/>
        <w:ind w:left="2177" w:right="218" w:firstLine="0"/>
        <w:jc w:val="left"/>
        <w:rPr>
          <w:sz w:val="21"/>
        </w:rPr>
      </w:pPr>
      <w:r>
        <w:rPr>
          <w:spacing w:val="-7"/>
          <w:sz w:val="21"/>
        </w:rPr>
        <w:t>级：心脏病患者的体力活动受到轻度的限制，休息时无自觉症状，但一</w:t>
      </w:r>
      <w:r>
        <w:rPr>
          <w:spacing w:val="-5"/>
          <w:sz w:val="21"/>
        </w:rPr>
        <w:t>般体力活动下可出现疲乏、心悸、呼吸困难或心绞痛；</w:t>
      </w:r>
    </w:p>
    <w:p>
      <w:pPr>
        <w:pStyle w:val="ListParagraph"/>
        <w:numPr>
          <w:ilvl w:val="0"/>
          <w:numId w:val="17"/>
        </w:numPr>
        <w:tabs>
          <w:tab w:pos="2548" w:val="left" w:leader="none"/>
        </w:tabs>
        <w:spacing w:line="273" w:lineRule="auto" w:before="163" w:after="0"/>
        <w:ind w:left="2177" w:right="273" w:firstLine="0"/>
        <w:jc w:val="left"/>
        <w:rPr>
          <w:sz w:val="21"/>
        </w:rPr>
      </w:pPr>
      <w:r>
        <w:rPr>
          <w:spacing w:val="-3"/>
          <w:sz w:val="21"/>
        </w:rPr>
        <w:t>级：心脏病患者体力活动明显受限，小于平时一般活动即引起上述的症状；</w:t>
      </w:r>
    </w:p>
    <w:p>
      <w:pPr>
        <w:pStyle w:val="ListParagraph"/>
        <w:numPr>
          <w:ilvl w:val="0"/>
          <w:numId w:val="17"/>
        </w:numPr>
        <w:tabs>
          <w:tab w:pos="2442" w:val="left" w:leader="none"/>
        </w:tabs>
        <w:spacing w:line="273" w:lineRule="auto" w:before="164" w:after="0"/>
        <w:ind w:left="2177" w:right="170" w:firstLine="0"/>
        <w:jc w:val="left"/>
        <w:rPr>
          <w:sz w:val="21"/>
        </w:rPr>
      </w:pPr>
      <w:r>
        <w:rPr>
          <w:spacing w:val="-3"/>
          <w:sz w:val="21"/>
        </w:rPr>
        <w:t>级：心脏病患者不能从事任何体力活动。休息状态下出现心衰的症状， 体力活动后加重。</w:t>
      </w:r>
    </w:p>
    <w:p>
      <w:pPr>
        <w:pStyle w:val="ListParagraph"/>
        <w:numPr>
          <w:ilvl w:val="0"/>
          <w:numId w:val="16"/>
        </w:numPr>
        <w:tabs>
          <w:tab w:pos="2178" w:val="left" w:leader="none"/>
        </w:tabs>
        <w:spacing w:line="273" w:lineRule="auto" w:before="163" w:after="0"/>
        <w:ind w:left="2177" w:right="218" w:hanging="420"/>
        <w:jc w:val="both"/>
        <w:rPr>
          <w:sz w:val="21"/>
        </w:rPr>
      </w:pPr>
      <w:r>
        <w:rPr>
          <w:b/>
          <w:spacing w:val="-2"/>
          <w:sz w:val="21"/>
        </w:rPr>
        <w:t>系统性红斑狼疮 －</w:t>
      </w:r>
      <w:r>
        <w:rPr>
          <w:b/>
          <w:spacing w:val="-13"/>
          <w:sz w:val="21"/>
        </w:rPr>
        <w:t>（</w:t>
      </w:r>
      <w:r>
        <w:rPr>
          <w:b/>
          <w:spacing w:val="-2"/>
          <w:sz w:val="21"/>
        </w:rPr>
        <w:t>并发</w:t>
      </w:r>
      <w:r>
        <w:rPr>
          <w:b/>
          <w:spacing w:val="-6"/>
          <w:sz w:val="21"/>
        </w:rPr>
        <w:t>）III</w:t>
      </w:r>
      <w:r>
        <w:rPr>
          <w:b/>
          <w:spacing w:val="-8"/>
          <w:sz w:val="21"/>
        </w:rPr>
        <w:t> 型或以上狼疮性肾炎</w:t>
      </w:r>
      <w:r>
        <w:rPr>
          <w:spacing w:val="-6"/>
          <w:sz w:val="21"/>
        </w:rPr>
        <w:t>：系统性红斑狼疮是</w:t>
      </w:r>
      <w:r>
        <w:rPr>
          <w:spacing w:val="-4"/>
          <w:sz w:val="21"/>
        </w:rPr>
        <w:t>由多种因素引起，累及多系统的自身免疫性疾病。其特点是生成自身抗体</w:t>
      </w:r>
      <w:r>
        <w:rPr>
          <w:spacing w:val="-3"/>
          <w:sz w:val="21"/>
        </w:rPr>
        <w:t>对抗多种自身抗原。</w:t>
      </w:r>
    </w:p>
    <w:p>
      <w:pPr>
        <w:pStyle w:val="Heading2"/>
        <w:spacing w:line="273" w:lineRule="auto"/>
        <w:ind w:right="218"/>
        <w:jc w:val="both"/>
      </w:pPr>
      <w:r>
        <w:rPr>
          <w:spacing w:val="-3"/>
        </w:rPr>
        <w:t>本合同所指的系统性红斑狼疮仅限于累及肾脏</w:t>
      </w:r>
      <w:r>
        <w:rPr/>
        <w:t>（</w:t>
      </w:r>
      <w:r>
        <w:rPr>
          <w:spacing w:val="-4"/>
        </w:rPr>
        <w:t>经肾脏活检确认的，符合</w:t>
      </w:r>
      <w:r>
        <w:rPr>
          <w:spacing w:val="-11"/>
        </w:rPr>
        <w:t>世界卫生组织 </w:t>
      </w:r>
      <w:r>
        <w:rPr/>
        <w:t>WHO</w:t>
      </w:r>
      <w:r>
        <w:rPr>
          <w:spacing w:val="-15"/>
        </w:rPr>
        <w:t> 诊断标准定义 </w:t>
      </w:r>
      <w:r>
        <w:rPr/>
        <w:t>III</w:t>
      </w:r>
      <w:r>
        <w:rPr>
          <w:spacing w:val="-27"/>
        </w:rPr>
        <w:t> 型或 </w:t>
      </w:r>
      <w:r>
        <w:rPr/>
        <w:t>III</w:t>
      </w:r>
      <w:r>
        <w:rPr>
          <w:spacing w:val="-8"/>
        </w:rPr>
        <w:t> 型以上狼疮性肾炎</w:t>
      </w:r>
      <w:r>
        <w:rPr>
          <w:spacing w:val="-27"/>
        </w:rPr>
        <w:t>）</w:t>
      </w:r>
      <w:r>
        <w:rPr/>
        <w:t>的系统</w:t>
      </w:r>
      <w:r>
        <w:rPr>
          <w:spacing w:val="-5"/>
        </w:rPr>
        <w:t>性红斑狼疮。其他类型的红斑性狼疮，如盘状狼疮、仅累及血液及关节的狼疮不在保障范围內。</w:t>
      </w:r>
    </w:p>
    <w:p>
      <w:pPr>
        <w:pStyle w:val="BodyText"/>
        <w:spacing w:before="163"/>
        <w:jc w:val="both"/>
      </w:pPr>
      <w:r>
        <w:rPr/>
        <w:t>世界卫生组织（WHO）狼疮性肾炎分型：</w:t>
      </w:r>
    </w:p>
    <w:p>
      <w:pPr>
        <w:pStyle w:val="BodyText"/>
        <w:spacing w:before="9"/>
        <w:ind w:left="0"/>
        <w:rPr>
          <w:sz w:val="14"/>
        </w:rPr>
      </w:pPr>
    </w:p>
    <w:p>
      <w:pPr>
        <w:pStyle w:val="ListParagraph"/>
        <w:numPr>
          <w:ilvl w:val="0"/>
          <w:numId w:val="18"/>
        </w:numPr>
        <w:tabs>
          <w:tab w:pos="2337" w:val="left" w:leader="none"/>
        </w:tabs>
        <w:spacing w:line="240" w:lineRule="auto" w:before="1" w:after="0"/>
        <w:ind w:left="2336" w:right="0" w:hanging="159"/>
        <w:jc w:val="both"/>
        <w:rPr>
          <w:sz w:val="21"/>
        </w:rPr>
      </w:pPr>
      <w:r>
        <w:rPr>
          <w:spacing w:val="-1"/>
          <w:sz w:val="21"/>
        </w:rPr>
        <w:t>型 微小病变型</w:t>
      </w:r>
    </w:p>
    <w:p>
      <w:pPr>
        <w:pStyle w:val="BodyText"/>
        <w:spacing w:before="10"/>
        <w:ind w:left="0"/>
        <w:rPr>
          <w:sz w:val="14"/>
        </w:rPr>
      </w:pPr>
    </w:p>
    <w:p>
      <w:pPr>
        <w:pStyle w:val="ListParagraph"/>
        <w:numPr>
          <w:ilvl w:val="0"/>
          <w:numId w:val="18"/>
        </w:numPr>
        <w:tabs>
          <w:tab w:pos="2442" w:val="left" w:leader="none"/>
        </w:tabs>
        <w:spacing w:line="240" w:lineRule="auto" w:before="0" w:after="0"/>
        <w:ind w:left="2441" w:right="0" w:hanging="264"/>
        <w:jc w:val="both"/>
        <w:rPr>
          <w:sz w:val="21"/>
        </w:rPr>
      </w:pPr>
      <w:r>
        <w:rPr>
          <w:spacing w:val="-1"/>
          <w:sz w:val="21"/>
        </w:rPr>
        <w:t>型 系膜病变型</w:t>
      </w:r>
    </w:p>
    <w:p>
      <w:pPr>
        <w:pStyle w:val="BodyText"/>
        <w:spacing w:before="9"/>
        <w:ind w:left="0"/>
        <w:rPr>
          <w:sz w:val="14"/>
        </w:rPr>
      </w:pPr>
    </w:p>
    <w:p>
      <w:pPr>
        <w:pStyle w:val="ListParagraph"/>
        <w:numPr>
          <w:ilvl w:val="0"/>
          <w:numId w:val="18"/>
        </w:numPr>
        <w:tabs>
          <w:tab w:pos="2548" w:val="left" w:leader="none"/>
        </w:tabs>
        <w:spacing w:line="240" w:lineRule="auto" w:before="1" w:after="0"/>
        <w:ind w:left="2547" w:right="0" w:hanging="370"/>
        <w:jc w:val="both"/>
        <w:rPr>
          <w:sz w:val="21"/>
        </w:rPr>
      </w:pPr>
      <w:r>
        <w:rPr>
          <w:spacing w:val="-3"/>
          <w:sz w:val="21"/>
        </w:rPr>
        <w:t>型 局灶及节段增生型</w:t>
      </w:r>
    </w:p>
    <w:p>
      <w:pPr>
        <w:pStyle w:val="BodyText"/>
        <w:spacing w:before="10"/>
        <w:ind w:left="0"/>
        <w:rPr>
          <w:sz w:val="14"/>
        </w:rPr>
      </w:pPr>
    </w:p>
    <w:p>
      <w:pPr>
        <w:pStyle w:val="ListParagraph"/>
        <w:numPr>
          <w:ilvl w:val="0"/>
          <w:numId w:val="18"/>
        </w:numPr>
        <w:tabs>
          <w:tab w:pos="2442" w:val="left" w:leader="none"/>
        </w:tabs>
        <w:spacing w:line="240" w:lineRule="auto" w:before="0" w:after="0"/>
        <w:ind w:left="2441" w:right="0" w:hanging="264"/>
        <w:jc w:val="both"/>
        <w:rPr>
          <w:sz w:val="21"/>
        </w:rPr>
      </w:pPr>
      <w:r>
        <w:rPr>
          <w:spacing w:val="-1"/>
          <w:sz w:val="21"/>
        </w:rPr>
        <w:t>型 弥漫增生型</w:t>
      </w:r>
    </w:p>
    <w:p>
      <w:pPr>
        <w:pStyle w:val="BodyText"/>
        <w:spacing w:before="9"/>
        <w:ind w:left="0"/>
        <w:rPr>
          <w:sz w:val="14"/>
        </w:rPr>
      </w:pPr>
    </w:p>
    <w:p>
      <w:pPr>
        <w:pStyle w:val="ListParagraph"/>
        <w:numPr>
          <w:ilvl w:val="0"/>
          <w:numId w:val="18"/>
        </w:numPr>
        <w:tabs>
          <w:tab w:pos="2337" w:val="left" w:leader="none"/>
        </w:tabs>
        <w:spacing w:line="240" w:lineRule="auto" w:before="0" w:after="0"/>
        <w:ind w:left="2336" w:right="0" w:hanging="159"/>
        <w:jc w:val="both"/>
        <w:rPr>
          <w:sz w:val="21"/>
        </w:rPr>
      </w:pPr>
      <w:r>
        <w:rPr>
          <w:sz w:val="21"/>
        </w:rPr>
        <w:t>型 膜型</w:t>
      </w:r>
    </w:p>
    <w:p>
      <w:pPr>
        <w:spacing w:after="0" w:line="240" w:lineRule="auto"/>
        <w:jc w:val="both"/>
        <w:rPr>
          <w:sz w:val="21"/>
        </w:rPr>
        <w:sectPr>
          <w:pgSz w:w="11910" w:h="16840"/>
          <w:pgMar w:header="0" w:footer="925" w:top="1020" w:bottom="1200" w:left="1680" w:right="1100"/>
        </w:sectPr>
      </w:pPr>
    </w:p>
    <w:p>
      <w:pPr>
        <w:pStyle w:val="ListParagraph"/>
        <w:numPr>
          <w:ilvl w:val="0"/>
          <w:numId w:val="18"/>
        </w:numPr>
        <w:tabs>
          <w:tab w:pos="2442" w:val="left" w:leader="none"/>
        </w:tabs>
        <w:spacing w:line="240" w:lineRule="auto" w:before="7" w:after="0"/>
        <w:ind w:left="2441" w:right="0" w:hanging="264"/>
        <w:jc w:val="left"/>
        <w:rPr>
          <w:sz w:val="21"/>
        </w:rPr>
      </w:pPr>
      <w:r>
        <w:rPr>
          <w:spacing w:val="-1"/>
          <w:sz w:val="21"/>
        </w:rPr>
        <w:t>型 肾小球硬化型</w:t>
      </w:r>
    </w:p>
    <w:p>
      <w:pPr>
        <w:pStyle w:val="BodyText"/>
        <w:spacing w:before="9"/>
        <w:ind w:left="0"/>
        <w:rPr>
          <w:sz w:val="14"/>
        </w:rPr>
      </w:pPr>
    </w:p>
    <w:p>
      <w:pPr>
        <w:pStyle w:val="ListParagraph"/>
        <w:numPr>
          <w:ilvl w:val="0"/>
          <w:numId w:val="16"/>
        </w:numPr>
        <w:tabs>
          <w:tab w:pos="2178" w:val="left" w:leader="none"/>
        </w:tabs>
        <w:spacing w:line="273" w:lineRule="auto" w:before="0" w:after="0"/>
        <w:ind w:left="2177" w:right="220" w:hanging="420"/>
        <w:jc w:val="left"/>
        <w:rPr>
          <w:b/>
          <w:sz w:val="21"/>
        </w:rPr>
      </w:pPr>
      <w:r>
        <w:rPr>
          <w:b/>
          <w:sz w:val="21"/>
        </w:rPr>
        <w:t>严重溃疡性结肠炎</w:t>
      </w:r>
      <w:r>
        <w:rPr>
          <w:spacing w:val="-3"/>
          <w:sz w:val="21"/>
        </w:rPr>
        <w:t>：指伴有致命性电解质紊乱的急性暴发性溃疡性结肠 炎，病变累及全结肠，表现为严重的血便和系统性症状体征，治疗通常采取全结肠切除和回肠造瘘术。</w:t>
      </w:r>
      <w:r>
        <w:rPr>
          <w:b/>
          <w:spacing w:val="-1"/>
          <w:sz w:val="21"/>
        </w:rPr>
        <w:t>溃疡性结肠炎必须根据组织病理学特点诊 </w:t>
      </w:r>
      <w:r>
        <w:rPr>
          <w:b/>
          <w:spacing w:val="-3"/>
          <w:sz w:val="21"/>
        </w:rPr>
        <w:t>断，并且被保险人已经接受了结肠切除和回肠造瘘术。</w:t>
      </w:r>
    </w:p>
    <w:p>
      <w:pPr>
        <w:pStyle w:val="ListParagraph"/>
        <w:numPr>
          <w:ilvl w:val="0"/>
          <w:numId w:val="16"/>
        </w:numPr>
        <w:tabs>
          <w:tab w:pos="2178" w:val="left" w:leader="none"/>
        </w:tabs>
        <w:spacing w:line="273" w:lineRule="auto" w:before="163" w:after="0"/>
        <w:ind w:left="2177" w:right="319" w:hanging="420"/>
        <w:jc w:val="left"/>
        <w:rPr>
          <w:b/>
          <w:sz w:val="21"/>
        </w:rPr>
      </w:pPr>
      <w:r>
        <w:rPr>
          <w:b/>
          <w:spacing w:val="-1"/>
          <w:sz w:val="21"/>
        </w:rPr>
        <w:t>经输血感染艾滋病病毒</w:t>
      </w:r>
      <w:r>
        <w:rPr>
          <w:spacing w:val="-3"/>
          <w:sz w:val="21"/>
        </w:rPr>
        <w:t>：指被保险人感染上人类免疫缺陷病毒</w:t>
      </w:r>
      <w:r>
        <w:rPr>
          <w:sz w:val="21"/>
        </w:rPr>
        <w:t>（HIV）</w:t>
      </w:r>
      <w:r>
        <w:rPr>
          <w:b/>
          <w:sz w:val="21"/>
        </w:rPr>
        <w:t>并</w:t>
      </w:r>
      <w:r>
        <w:rPr>
          <w:b/>
          <w:spacing w:val="-1"/>
          <w:sz w:val="21"/>
        </w:rPr>
        <w:t>且满足下列全部条件：</w:t>
      </w:r>
    </w:p>
    <w:p>
      <w:pPr>
        <w:pStyle w:val="BodyText"/>
        <w:spacing w:before="163"/>
      </w:pPr>
      <w:r>
        <w:rPr/>
        <w:t>（1）被保险人等待期后因输血而感染 HIV；</w:t>
      </w:r>
    </w:p>
    <w:p>
      <w:pPr>
        <w:pStyle w:val="BodyText"/>
        <w:spacing w:before="9"/>
        <w:ind w:left="0"/>
        <w:rPr>
          <w:sz w:val="14"/>
        </w:rPr>
      </w:pPr>
    </w:p>
    <w:p>
      <w:pPr>
        <w:pStyle w:val="BodyText"/>
        <w:spacing w:line="273" w:lineRule="auto"/>
        <w:ind w:right="218"/>
      </w:pPr>
      <w:r>
        <w:rPr>
          <w:w w:val="100"/>
        </w:rPr>
        <w:t>（2</w:t>
      </w:r>
      <w:r>
        <w:rPr>
          <w:spacing w:val="-104"/>
          <w:w w:val="100"/>
        </w:rPr>
        <w:t>）</w:t>
      </w:r>
      <w:r>
        <w:rPr>
          <w:spacing w:val="-3"/>
          <w:w w:val="100"/>
        </w:rPr>
        <w:t>提供输血治疗的输血中心或医院出具该项输血感染属医疗责任事故的</w:t>
      </w:r>
      <w:r>
        <w:rPr>
          <w:spacing w:val="-3"/>
        </w:rPr>
        <w:t>报告，或者法院终审裁定为医疗责任并且不准上诉；</w:t>
      </w:r>
    </w:p>
    <w:p>
      <w:pPr>
        <w:pStyle w:val="BodyText"/>
        <w:spacing w:before="163"/>
      </w:pPr>
      <w:r>
        <w:rPr/>
        <w:t>（3）受感染的被保险人不是血友病患者。</w:t>
      </w:r>
    </w:p>
    <w:p>
      <w:pPr>
        <w:pStyle w:val="BodyText"/>
        <w:spacing w:before="10"/>
        <w:ind w:left="0"/>
        <w:rPr>
          <w:sz w:val="14"/>
        </w:rPr>
      </w:pPr>
    </w:p>
    <w:p>
      <w:pPr>
        <w:spacing w:line="273" w:lineRule="auto" w:before="0"/>
        <w:ind w:left="2177" w:right="216" w:firstLine="0"/>
        <w:jc w:val="both"/>
        <w:rPr>
          <w:sz w:val="21"/>
        </w:rPr>
      </w:pPr>
      <w:r>
        <w:rPr>
          <w:b/>
          <w:spacing w:val="-2"/>
          <w:sz w:val="21"/>
        </w:rPr>
        <w:t>任何因其他传播方式</w:t>
      </w:r>
      <w:r>
        <w:rPr>
          <w:b/>
          <w:sz w:val="21"/>
        </w:rPr>
        <w:t>（</w:t>
      </w:r>
      <w:r>
        <w:rPr>
          <w:b/>
          <w:spacing w:val="-3"/>
          <w:sz w:val="21"/>
        </w:rPr>
        <w:t>包括：性传播或静脉注射毒品</w:t>
      </w:r>
      <w:r>
        <w:rPr>
          <w:b/>
          <w:spacing w:val="-8"/>
          <w:sz w:val="21"/>
        </w:rPr>
        <w:t>）</w:t>
      </w:r>
      <w:r>
        <w:rPr>
          <w:b/>
          <w:spacing w:val="-13"/>
          <w:sz w:val="21"/>
        </w:rPr>
        <w:t>导致的 </w:t>
      </w:r>
      <w:r>
        <w:rPr>
          <w:b/>
          <w:sz w:val="21"/>
        </w:rPr>
        <w:t>HIV</w:t>
      </w:r>
      <w:r>
        <w:rPr>
          <w:b/>
          <w:spacing w:val="-13"/>
          <w:sz w:val="21"/>
        </w:rPr>
        <w:t> 感染不</w:t>
      </w:r>
      <w:r>
        <w:rPr>
          <w:b/>
          <w:spacing w:val="-11"/>
          <w:sz w:val="21"/>
        </w:rPr>
        <w:t>在保障范围内。</w:t>
      </w:r>
      <w:r>
        <w:rPr>
          <w:spacing w:val="-3"/>
          <w:sz w:val="21"/>
        </w:rPr>
        <w:t>我们保留获得使用被保险人的所有血液样本的权利，并对这些样本进行独立检验。</w:t>
      </w:r>
    </w:p>
    <w:p>
      <w:pPr>
        <w:pStyle w:val="ListParagraph"/>
        <w:numPr>
          <w:ilvl w:val="0"/>
          <w:numId w:val="16"/>
        </w:numPr>
        <w:tabs>
          <w:tab w:pos="2178" w:val="left" w:leader="none"/>
        </w:tabs>
        <w:spacing w:line="273" w:lineRule="auto" w:before="163" w:after="0"/>
        <w:ind w:left="2177" w:right="216" w:hanging="420"/>
        <w:jc w:val="left"/>
        <w:rPr>
          <w:b/>
          <w:sz w:val="21"/>
        </w:rPr>
      </w:pPr>
      <w:r>
        <w:rPr>
          <w:b/>
          <w:sz w:val="21"/>
        </w:rPr>
        <w:t>严重肌营养不良症</w:t>
      </w:r>
      <w:r>
        <w:rPr>
          <w:spacing w:val="-3"/>
          <w:sz w:val="21"/>
        </w:rPr>
        <w:t>：指一组原发于肌肉的遗传性疾病，临床表现为与神经系统无关的肌肉无力和肌肉萎缩。</w:t>
      </w:r>
      <w:r>
        <w:rPr>
          <w:b/>
          <w:spacing w:val="-1"/>
          <w:sz w:val="21"/>
        </w:rPr>
        <w:t>且须满足下列全部条件：</w:t>
      </w:r>
    </w:p>
    <w:p>
      <w:pPr>
        <w:pStyle w:val="BodyText"/>
        <w:spacing w:line="273" w:lineRule="auto" w:before="163"/>
        <w:ind w:right="218"/>
      </w:pPr>
      <w:r>
        <w:rPr>
          <w:spacing w:val="-18"/>
        </w:rPr>
        <w:t>（1）</w:t>
      </w:r>
      <w:r>
        <w:rPr>
          <w:spacing w:val="-6"/>
        </w:rPr>
        <w:t>肌肉组织活检结果满足肌营养不良症的肌肉细胞变性、坏死等阳性改变；</w:t>
      </w:r>
    </w:p>
    <w:p>
      <w:pPr>
        <w:pStyle w:val="BodyText"/>
        <w:spacing w:line="273" w:lineRule="auto" w:before="163"/>
        <w:ind w:right="218"/>
      </w:pPr>
      <w:r>
        <w:rPr>
          <w:spacing w:val="-18"/>
        </w:rPr>
        <w:t>（2）</w:t>
      </w:r>
      <w:r>
        <w:rPr>
          <w:spacing w:val="-8"/>
        </w:rPr>
        <w:t>自主生活能力完全丧失，无法独立完成六项基本日常生活活动中的三</w:t>
      </w:r>
      <w:r>
        <w:rPr>
          <w:spacing w:val="-5"/>
        </w:rPr>
        <w:t>项或三项以上。</w:t>
      </w:r>
    </w:p>
    <w:p>
      <w:pPr>
        <w:pStyle w:val="ListParagraph"/>
        <w:numPr>
          <w:ilvl w:val="0"/>
          <w:numId w:val="16"/>
        </w:numPr>
        <w:tabs>
          <w:tab w:pos="2178" w:val="left" w:leader="none"/>
        </w:tabs>
        <w:spacing w:line="273" w:lineRule="auto" w:before="163" w:after="0"/>
        <w:ind w:left="2177" w:right="218" w:hanging="420"/>
        <w:jc w:val="both"/>
        <w:rPr>
          <w:sz w:val="21"/>
        </w:rPr>
      </w:pPr>
      <w:r>
        <w:rPr>
          <w:b/>
          <w:sz w:val="21"/>
        </w:rPr>
        <w:t>严重脊髓灰质炎</w:t>
      </w:r>
      <w:r>
        <w:rPr>
          <w:spacing w:val="-3"/>
          <w:sz w:val="21"/>
        </w:rPr>
        <w:t>：脊髓灰质炎指由于脊髓灰质炎病毒感染所致的瘫痪性疾病，临床表现为运动功能损害或呼吸无力。脊髓灰质炎必须明确诊断。</w:t>
      </w:r>
      <w:r>
        <w:rPr>
          <w:b/>
          <w:sz w:val="21"/>
        </w:rPr>
        <w:t>本</w:t>
      </w:r>
      <w:r>
        <w:rPr>
          <w:b/>
          <w:spacing w:val="-5"/>
          <w:sz w:val="21"/>
        </w:rPr>
        <w:t>合同所称“严重脊髓灰质炎”仅指脊髓灰质炎造成的神经系统功能损害导</w:t>
      </w:r>
      <w:r>
        <w:rPr>
          <w:b/>
          <w:spacing w:val="-6"/>
          <w:sz w:val="21"/>
        </w:rPr>
        <w:t>致被保险人一肢或一肢以上肢体机能永久完全丧失的情形。</w:t>
      </w:r>
      <w:r>
        <w:rPr>
          <w:spacing w:val="-3"/>
          <w:sz w:val="21"/>
        </w:rPr>
        <w:t>肢体机能永久</w:t>
      </w:r>
      <w:r>
        <w:rPr>
          <w:spacing w:val="-7"/>
          <w:sz w:val="21"/>
        </w:rPr>
        <w:t>完全丧失，指疾病确诊 </w:t>
      </w:r>
      <w:r>
        <w:rPr>
          <w:sz w:val="21"/>
        </w:rPr>
        <w:t>180</w:t>
      </w:r>
      <w:r>
        <w:rPr>
          <w:spacing w:val="-8"/>
          <w:sz w:val="21"/>
        </w:rPr>
        <w:t> 天后，每肢三大关节中的两大关节仍然完全僵</w:t>
      </w:r>
      <w:r>
        <w:rPr>
          <w:spacing w:val="-5"/>
          <w:sz w:val="21"/>
        </w:rPr>
        <w:t>硬，或不能随意识活动。</w:t>
      </w:r>
    </w:p>
    <w:p>
      <w:pPr>
        <w:pStyle w:val="Heading2"/>
        <w:spacing w:line="273" w:lineRule="auto"/>
        <w:ind w:right="199"/>
      </w:pPr>
      <w:r>
        <w:rPr/>
        <w:t>若无因此感染而导致麻痹性瘫痪的事实结果，以及其它病因所致的麻痹， 例如格林巴利综合征，则不属于本合同所指的脊髓灰质炎。</w:t>
      </w:r>
    </w:p>
    <w:p>
      <w:pPr>
        <w:pStyle w:val="ListParagraph"/>
        <w:numPr>
          <w:ilvl w:val="0"/>
          <w:numId w:val="16"/>
        </w:numPr>
        <w:tabs>
          <w:tab w:pos="2178" w:val="left" w:leader="none"/>
        </w:tabs>
        <w:spacing w:line="273" w:lineRule="auto" w:before="163" w:after="0"/>
        <w:ind w:left="2177" w:right="218" w:hanging="420"/>
        <w:jc w:val="both"/>
        <w:rPr>
          <w:b/>
          <w:sz w:val="21"/>
        </w:rPr>
      </w:pPr>
      <w:r>
        <w:rPr>
          <w:b/>
          <w:sz w:val="21"/>
        </w:rPr>
        <w:t>重症肌无力</w:t>
      </w:r>
      <w:r>
        <w:rPr>
          <w:spacing w:val="-3"/>
          <w:sz w:val="21"/>
        </w:rPr>
        <w:t>：重症肌无力是一种神经肌肉接头传递障碍所致的疾病，表现为局部或全身骨骼肌</w:t>
      </w:r>
      <w:r>
        <w:rPr>
          <w:sz w:val="21"/>
        </w:rPr>
        <w:t>（</w:t>
      </w:r>
      <w:r>
        <w:rPr>
          <w:spacing w:val="-3"/>
          <w:sz w:val="21"/>
        </w:rPr>
        <w:t>特别是眼外肌</w:t>
      </w:r>
      <w:r>
        <w:rPr>
          <w:sz w:val="21"/>
        </w:rPr>
        <w:t>）</w:t>
      </w:r>
      <w:r>
        <w:rPr>
          <w:spacing w:val="-3"/>
          <w:sz w:val="21"/>
        </w:rPr>
        <w:t>极易疲劳。疾病可以累及呼吸肌、上肢或下肢的近端肌群或全身肌肉，</w:t>
      </w:r>
      <w:r>
        <w:rPr>
          <w:b/>
          <w:spacing w:val="-1"/>
          <w:sz w:val="21"/>
        </w:rPr>
        <w:t>必须满足下列全部条件：</w:t>
      </w:r>
    </w:p>
    <w:p>
      <w:pPr>
        <w:pStyle w:val="BodyText"/>
        <w:spacing w:before="163"/>
      </w:pPr>
      <w:r>
        <w:rPr/>
        <w:t>（1）经药物治疗和胸腺切除治疗一年以上仍无法控制病情；</w:t>
      </w:r>
    </w:p>
    <w:p>
      <w:pPr>
        <w:pStyle w:val="BodyText"/>
        <w:spacing w:before="10"/>
        <w:ind w:left="0"/>
        <w:rPr>
          <w:sz w:val="14"/>
        </w:rPr>
      </w:pPr>
    </w:p>
    <w:p>
      <w:pPr>
        <w:pStyle w:val="BodyText"/>
        <w:spacing w:line="273" w:lineRule="auto"/>
        <w:ind w:right="218"/>
      </w:pPr>
      <w:r>
        <w:rPr>
          <w:spacing w:val="-18"/>
        </w:rPr>
        <w:t>（2）</w:t>
      </w:r>
      <w:r>
        <w:rPr>
          <w:spacing w:val="-8"/>
        </w:rPr>
        <w:t>自主生活能力完全丧失，无法独立完成六项基本日常生活活动中的三</w:t>
      </w:r>
      <w:r>
        <w:rPr>
          <w:spacing w:val="-5"/>
        </w:rPr>
        <w:t>项或三项以上。</w:t>
      </w:r>
    </w:p>
    <w:p>
      <w:pPr>
        <w:pStyle w:val="ListParagraph"/>
        <w:numPr>
          <w:ilvl w:val="0"/>
          <w:numId w:val="16"/>
        </w:numPr>
        <w:tabs>
          <w:tab w:pos="2178" w:val="left" w:leader="none"/>
        </w:tabs>
        <w:spacing w:line="273" w:lineRule="auto" w:before="163" w:after="0"/>
        <w:ind w:left="2177" w:right="112" w:hanging="420"/>
        <w:jc w:val="left"/>
        <w:rPr>
          <w:b/>
          <w:sz w:val="21"/>
        </w:rPr>
      </w:pPr>
      <w:r>
        <w:rPr>
          <w:b/>
          <w:spacing w:val="-2"/>
          <w:w w:val="100"/>
          <w:sz w:val="21"/>
        </w:rPr>
        <w:t>疾病或外伤所致智力障碍</w:t>
      </w:r>
      <w:r>
        <w:rPr>
          <w:b/>
          <w:w w:val="100"/>
          <w:sz w:val="21"/>
        </w:rPr>
        <w:t>（或残疾</w:t>
      </w:r>
      <w:r>
        <w:rPr>
          <w:b/>
          <w:spacing w:val="-106"/>
          <w:w w:val="100"/>
          <w:sz w:val="21"/>
        </w:rPr>
        <w:t>）</w:t>
      </w:r>
      <w:r>
        <w:rPr>
          <w:spacing w:val="-3"/>
          <w:w w:val="100"/>
          <w:sz w:val="21"/>
        </w:rPr>
        <w:t>：因严重头部外伤或疾病造成被保险 </w:t>
      </w:r>
      <w:r>
        <w:rPr>
          <w:spacing w:val="-20"/>
          <w:w w:val="100"/>
          <w:sz w:val="21"/>
        </w:rPr>
        <w:t>人智力低常</w:t>
      </w:r>
      <w:r>
        <w:rPr>
          <w:w w:val="100"/>
          <w:sz w:val="21"/>
        </w:rPr>
        <w:t>（</w:t>
      </w:r>
      <w:r>
        <w:rPr>
          <w:spacing w:val="-3"/>
          <w:w w:val="100"/>
          <w:sz w:val="21"/>
        </w:rPr>
        <w:t>智力低于常态</w:t>
      </w:r>
      <w:r>
        <w:rPr>
          <w:spacing w:val="-106"/>
          <w:w w:val="100"/>
          <w:sz w:val="21"/>
        </w:rPr>
        <w:t>）</w:t>
      </w:r>
      <w:r>
        <w:rPr>
          <w:spacing w:val="-36"/>
          <w:w w:val="100"/>
          <w:sz w:val="21"/>
        </w:rPr>
        <w:t>。根据智商</w:t>
      </w:r>
      <w:r>
        <w:rPr>
          <w:spacing w:val="-1"/>
          <w:w w:val="100"/>
          <w:sz w:val="21"/>
        </w:rPr>
        <w:t>（</w:t>
      </w:r>
      <w:r>
        <w:rPr>
          <w:w w:val="100"/>
          <w:sz w:val="21"/>
        </w:rPr>
        <w:t>IQ</w:t>
      </w:r>
      <w:r>
        <w:rPr>
          <w:spacing w:val="-87"/>
          <w:w w:val="100"/>
          <w:sz w:val="21"/>
        </w:rPr>
        <w:t>）</w:t>
      </w:r>
      <w:r>
        <w:rPr>
          <w:spacing w:val="-14"/>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w:t>
      </w:r>
      <w:r>
        <w:rPr>
          <w:w w:val="100"/>
          <w:sz w:val="21"/>
        </w:rPr>
        <w:t>70</w:t>
      </w:r>
      <w:r>
        <w:rPr>
          <w:spacing w:val="-106"/>
          <w:w w:val="100"/>
          <w:sz w:val="21"/>
        </w:rPr>
        <w:t>）；</w:t>
      </w:r>
      <w:r>
        <w:rPr>
          <w:spacing w:val="-9"/>
          <w:w w:val="100"/>
          <w:sz w:val="21"/>
        </w:rPr>
        <w:t>中度</w:t>
      </w:r>
      <w:r>
        <w:rPr>
          <w:spacing w:val="-3"/>
          <w:w w:val="100"/>
          <w:sz w:val="21"/>
        </w:rPr>
        <w:t>（</w:t>
      </w:r>
      <w:r>
        <w:rPr>
          <w:w w:val="100"/>
          <w:sz w:val="21"/>
        </w:rPr>
        <w:t>IQ3</w:t>
      </w:r>
      <w:r>
        <w:rPr>
          <w:spacing w:val="-3"/>
          <w:w w:val="100"/>
          <w:sz w:val="21"/>
        </w:rPr>
        <w:t>5</w:t>
      </w:r>
      <w:r>
        <w:rPr>
          <w:w w:val="100"/>
          <w:sz w:val="21"/>
        </w:rPr>
        <w:t>-50</w:t>
      </w:r>
      <w:r>
        <w:rPr>
          <w:spacing w:val="-108"/>
          <w:w w:val="100"/>
          <w:sz w:val="21"/>
        </w:rPr>
        <w:t>）</w:t>
      </w:r>
      <w:r>
        <w:rPr>
          <w:spacing w:val="-13"/>
          <w:w w:val="100"/>
          <w:sz w:val="21"/>
        </w:rPr>
        <w:t>；重度</w:t>
      </w:r>
      <w:r>
        <w:rPr>
          <w:spacing w:val="-3"/>
          <w:w w:val="100"/>
          <w:sz w:val="21"/>
        </w:rPr>
        <w:t>（I</w:t>
      </w:r>
      <w:r>
        <w:rPr>
          <w:w w:val="100"/>
          <w:sz w:val="21"/>
        </w:rPr>
        <w:t>Q20-3</w:t>
      </w:r>
      <w:r>
        <w:rPr>
          <w:spacing w:val="-3"/>
          <w:w w:val="100"/>
          <w:sz w:val="21"/>
        </w:rPr>
        <w:t>5</w:t>
      </w:r>
      <w:r>
        <w:rPr>
          <w:spacing w:val="-17"/>
          <w:w w:val="100"/>
          <w:sz w:val="21"/>
        </w:rPr>
        <w:t>）</w:t>
      </w:r>
      <w:r>
        <w:rPr>
          <w:spacing w:val="-7"/>
          <w:w w:val="100"/>
          <w:sz w:val="21"/>
        </w:rPr>
        <w:t>和极重度</w:t>
      </w:r>
      <w:r>
        <w:rPr>
          <w:spacing w:val="-3"/>
          <w:w w:val="100"/>
          <w:sz w:val="21"/>
        </w:rPr>
        <w:t>（</w:t>
      </w:r>
      <w:r>
        <w:rPr>
          <w:w w:val="100"/>
          <w:sz w:val="21"/>
        </w:rPr>
        <w:t>IQ&lt;</w:t>
      </w:r>
      <w:r>
        <w:rPr>
          <w:spacing w:val="-3"/>
          <w:w w:val="100"/>
          <w:sz w:val="21"/>
        </w:rPr>
        <w:t>20</w:t>
      </w:r>
      <w:r>
        <w:rPr>
          <w:spacing w:val="-106"/>
          <w:w w:val="100"/>
          <w:sz w:val="21"/>
        </w:rPr>
        <w:t>）</w:t>
      </w:r>
      <w:r>
        <w:rPr>
          <w:spacing w:val="-5"/>
          <w:w w:val="100"/>
          <w:sz w:val="21"/>
        </w:rPr>
        <w:t>。根据被保险人年龄</w:t>
      </w:r>
      <w:r>
        <w:rPr>
          <w:spacing w:val="-10"/>
          <w:sz w:val="21"/>
        </w:rPr>
        <w:t>采用对应的智力量表如韦克斯勒智力量表</w:t>
      </w:r>
      <w:r>
        <w:rPr>
          <w:spacing w:val="-3"/>
          <w:sz w:val="21"/>
        </w:rPr>
        <w:t>（儿童智力量表或成人智力量表</w:t>
      </w:r>
      <w:r>
        <w:rPr>
          <w:sz w:val="21"/>
        </w:rPr>
        <w:t>） </w:t>
      </w:r>
      <w:r>
        <w:rPr>
          <w:spacing w:val="-4"/>
          <w:sz w:val="21"/>
        </w:rPr>
        <w:t>检测证实。</w:t>
      </w:r>
      <w:r>
        <w:rPr>
          <w:b/>
          <w:spacing w:val="-4"/>
          <w:sz w:val="21"/>
        </w:rPr>
        <w:t>智商的检测必须由本公司认可的专职心理测验工作者进行，心</w:t>
      </w:r>
    </w:p>
    <w:p>
      <w:pPr>
        <w:spacing w:after="0" w:line="273" w:lineRule="auto"/>
        <w:jc w:val="left"/>
        <w:rPr>
          <w:sz w:val="21"/>
        </w:rPr>
        <w:sectPr>
          <w:pgSz w:w="11910" w:h="16840"/>
          <w:pgMar w:header="0" w:footer="925" w:top="1020" w:bottom="1200" w:left="1680" w:right="11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363"/>
        <w:gridCol w:w="7789"/>
      </w:tblGrid>
      <w:tr>
        <w:trPr>
          <w:trHeight w:val="7672" w:hRule="atLeast"/>
        </w:trPr>
        <w:tc>
          <w:tcPr>
            <w:tcW w:w="806" w:type="dxa"/>
          </w:tcPr>
          <w:p>
            <w:pPr>
              <w:pStyle w:val="TableParagraph"/>
              <w:rPr>
                <w:rFonts w:ascii="Times New Roman"/>
                <w:sz w:val="20"/>
              </w:rPr>
            </w:pPr>
          </w:p>
        </w:tc>
        <w:tc>
          <w:tcPr>
            <w:tcW w:w="1363" w:type="dxa"/>
          </w:tcPr>
          <w:p>
            <w:pPr>
              <w:pStyle w:val="TableParagraph"/>
              <w:rPr>
                <w:rFonts w:ascii="Times New Roman"/>
                <w:sz w:val="20"/>
              </w:rPr>
            </w:pPr>
          </w:p>
        </w:tc>
        <w:tc>
          <w:tcPr>
            <w:tcW w:w="7789" w:type="dxa"/>
          </w:tcPr>
          <w:p>
            <w:pPr>
              <w:pStyle w:val="TableParagraph"/>
              <w:spacing w:line="202" w:lineRule="exact"/>
              <w:ind w:left="755"/>
              <w:rPr>
                <w:b/>
                <w:sz w:val="21"/>
              </w:rPr>
            </w:pPr>
            <w:r>
              <w:rPr>
                <w:b/>
                <w:sz w:val="21"/>
              </w:rPr>
              <w:t>理检测工作者必须持有心理测量专业委员会资格认定书。</w:t>
            </w:r>
          </w:p>
          <w:p>
            <w:pPr>
              <w:pStyle w:val="TableParagraph"/>
              <w:spacing w:before="9"/>
              <w:rPr>
                <w:b/>
                <w:sz w:val="14"/>
              </w:rPr>
            </w:pPr>
          </w:p>
          <w:p>
            <w:pPr>
              <w:pStyle w:val="TableParagraph"/>
              <w:spacing w:before="1"/>
              <w:ind w:left="755"/>
              <w:rPr>
                <w:b/>
                <w:sz w:val="21"/>
              </w:rPr>
            </w:pPr>
            <w:r>
              <w:rPr>
                <w:b/>
                <w:sz w:val="21"/>
              </w:rPr>
              <w:t>理赔时必须满足下列全部条件：</w:t>
            </w:r>
          </w:p>
          <w:p>
            <w:pPr>
              <w:pStyle w:val="TableParagraph"/>
              <w:spacing w:before="10"/>
              <w:rPr>
                <w:b/>
                <w:sz w:val="14"/>
              </w:rPr>
            </w:pPr>
          </w:p>
          <w:p>
            <w:pPr>
              <w:pStyle w:val="TableParagraph"/>
              <w:spacing w:line="273" w:lineRule="auto"/>
              <w:ind w:left="755" w:right="302"/>
              <w:rPr>
                <w:sz w:val="21"/>
              </w:rPr>
            </w:pPr>
            <w:r>
              <w:rPr>
                <w:spacing w:val="-12"/>
                <w:sz w:val="21"/>
              </w:rPr>
              <w:t>（1）</w:t>
            </w:r>
            <w:r>
              <w:rPr>
                <w:spacing w:val="-5"/>
                <w:sz w:val="21"/>
              </w:rPr>
              <w:t>造成被保险人智力低常的严重头部外伤或疾病</w:t>
            </w:r>
            <w:r>
              <w:rPr>
                <w:sz w:val="21"/>
              </w:rPr>
              <w:t>（</w:t>
            </w:r>
            <w:r>
              <w:rPr>
                <w:spacing w:val="-3"/>
                <w:sz w:val="21"/>
              </w:rPr>
              <w:t>以诊断日期为准</w:t>
            </w:r>
            <w:r>
              <w:rPr>
                <w:spacing w:val="-36"/>
                <w:sz w:val="21"/>
              </w:rPr>
              <w:t>）</w:t>
            </w:r>
            <w:r>
              <w:rPr>
                <w:sz w:val="21"/>
              </w:rPr>
              <w:t>发</w:t>
            </w:r>
            <w:r>
              <w:rPr>
                <w:spacing w:val="-3"/>
                <w:sz w:val="21"/>
              </w:rPr>
              <w:t>生在被保险人五周岁以后；</w:t>
            </w:r>
          </w:p>
          <w:p>
            <w:pPr>
              <w:pStyle w:val="TableParagraph"/>
              <w:spacing w:line="273" w:lineRule="auto" w:before="163"/>
              <w:ind w:left="755" w:right="302"/>
              <w:rPr>
                <w:sz w:val="21"/>
              </w:rPr>
            </w:pPr>
            <w:r>
              <w:rPr>
                <w:w w:val="100"/>
                <w:sz w:val="21"/>
              </w:rPr>
              <w:t>（2</w:t>
            </w:r>
            <w:r>
              <w:rPr>
                <w:spacing w:val="-104"/>
                <w:w w:val="100"/>
                <w:sz w:val="21"/>
              </w:rPr>
              <w:t>）</w:t>
            </w:r>
            <w:r>
              <w:rPr>
                <w:spacing w:val="-3"/>
                <w:w w:val="100"/>
                <w:sz w:val="21"/>
              </w:rPr>
              <w:t>由儿科专科的主任医师级别的医生确诊被保险人由于严重头部创伤或</w:t>
            </w:r>
            <w:r>
              <w:rPr>
                <w:spacing w:val="-3"/>
                <w:sz w:val="21"/>
              </w:rPr>
              <w:t>疾病造成智力低常；</w:t>
            </w:r>
          </w:p>
          <w:p>
            <w:pPr>
              <w:pStyle w:val="TableParagraph"/>
              <w:spacing w:line="273" w:lineRule="auto" w:before="163"/>
              <w:ind w:left="755" w:right="302"/>
              <w:rPr>
                <w:sz w:val="21"/>
              </w:rPr>
            </w:pPr>
            <w:r>
              <w:rPr>
                <w:w w:val="100"/>
                <w:sz w:val="21"/>
              </w:rPr>
              <w:t>（3</w:t>
            </w:r>
            <w:r>
              <w:rPr>
                <w:spacing w:val="-104"/>
                <w:w w:val="100"/>
                <w:sz w:val="21"/>
              </w:rPr>
              <w:t>）</w:t>
            </w:r>
            <w:r>
              <w:rPr>
                <w:spacing w:val="-3"/>
                <w:w w:val="100"/>
                <w:sz w:val="21"/>
              </w:rPr>
              <w:t>本公司认可的专职合格心理检测工作者做的心理检测证实被保险人智</w:t>
            </w:r>
            <w:r>
              <w:rPr>
                <w:spacing w:val="-2"/>
                <w:w w:val="100"/>
                <w:sz w:val="21"/>
              </w:rPr>
              <w:t>力低常</w:t>
            </w:r>
            <w:r>
              <w:rPr>
                <w:spacing w:val="-53"/>
                <w:sz w:val="21"/>
              </w:rPr>
              <w:t> </w:t>
            </w:r>
            <w:r>
              <w:rPr>
                <w:w w:val="100"/>
                <w:sz w:val="21"/>
              </w:rPr>
              <w:t>IQ</w:t>
            </w:r>
            <w:r>
              <w:rPr>
                <w:spacing w:val="-3"/>
                <w:w w:val="100"/>
                <w:sz w:val="21"/>
              </w:rPr>
              <w:t>&lt;</w:t>
            </w:r>
            <w:r>
              <w:rPr>
                <w:w w:val="100"/>
                <w:sz w:val="21"/>
              </w:rPr>
              <w:t>5</w:t>
            </w:r>
            <w:r>
              <w:rPr>
                <w:spacing w:val="-1"/>
                <w:w w:val="100"/>
                <w:sz w:val="21"/>
              </w:rPr>
              <w:t>0</w:t>
            </w:r>
            <w:r>
              <w:rPr>
                <w:spacing w:val="-3"/>
                <w:w w:val="100"/>
                <w:sz w:val="21"/>
              </w:rPr>
              <w:t>（中度、重度或极重度</w:t>
            </w:r>
            <w:r>
              <w:rPr>
                <w:spacing w:val="-106"/>
                <w:w w:val="100"/>
                <w:sz w:val="21"/>
              </w:rPr>
              <w:t>）</w:t>
            </w:r>
            <w:r>
              <w:rPr>
                <w:w w:val="100"/>
                <w:sz w:val="21"/>
              </w:rPr>
              <w:t>；</w:t>
            </w:r>
          </w:p>
          <w:p>
            <w:pPr>
              <w:pStyle w:val="TableParagraph"/>
              <w:spacing w:before="163"/>
              <w:ind w:left="755"/>
              <w:rPr>
                <w:sz w:val="21"/>
              </w:rPr>
            </w:pPr>
            <w:r>
              <w:rPr>
                <w:sz w:val="21"/>
              </w:rPr>
              <w:t>（4）被保险人的智力低常自诊断确认日起持续 180 天以上。</w:t>
            </w:r>
          </w:p>
          <w:p>
            <w:pPr>
              <w:pStyle w:val="TableParagraph"/>
              <w:spacing w:before="9"/>
              <w:rPr>
                <w:b/>
                <w:sz w:val="14"/>
              </w:rPr>
            </w:pPr>
          </w:p>
          <w:p>
            <w:pPr>
              <w:pStyle w:val="TableParagraph"/>
              <w:numPr>
                <w:ilvl w:val="0"/>
                <w:numId w:val="19"/>
              </w:numPr>
              <w:tabs>
                <w:tab w:pos="756" w:val="left" w:leader="none"/>
              </w:tabs>
              <w:spacing w:line="273" w:lineRule="auto" w:before="0" w:after="0"/>
              <w:ind w:left="756" w:right="503" w:hanging="421"/>
              <w:jc w:val="left"/>
              <w:rPr>
                <w:b/>
                <w:sz w:val="21"/>
              </w:rPr>
            </w:pPr>
            <w:r>
              <w:rPr>
                <w:b/>
                <w:spacing w:val="-2"/>
                <w:sz w:val="21"/>
              </w:rPr>
              <w:t>严重幼年型类风湿关节炎</w:t>
            </w:r>
            <w:r>
              <w:rPr>
                <w:spacing w:val="-3"/>
                <w:sz w:val="21"/>
              </w:rPr>
              <w:t>：严重幼年型类风湿关节炎</w:t>
            </w:r>
            <w:r>
              <w:rPr>
                <w:b/>
                <w:sz w:val="21"/>
              </w:rPr>
              <w:t>须满足下列全部条件：</w:t>
            </w:r>
          </w:p>
          <w:p>
            <w:pPr>
              <w:pStyle w:val="TableParagraph"/>
              <w:numPr>
                <w:ilvl w:val="1"/>
                <w:numId w:val="19"/>
              </w:numPr>
              <w:tabs>
                <w:tab w:pos="1179" w:val="left" w:leader="none"/>
              </w:tabs>
              <w:spacing w:line="240" w:lineRule="auto" w:before="163" w:after="0"/>
              <w:ind w:left="1178" w:right="0" w:hanging="422"/>
              <w:jc w:val="left"/>
              <w:rPr>
                <w:sz w:val="21"/>
              </w:rPr>
            </w:pPr>
            <w:r>
              <w:rPr>
                <w:spacing w:val="-3"/>
                <w:sz w:val="21"/>
              </w:rPr>
              <w:t>因该病引致广泛性关节破坏，以致需要进</w:t>
            </w:r>
            <w:r>
              <w:rPr>
                <w:rFonts w:ascii="Arial" w:eastAsia="Arial"/>
                <w:w w:val="115"/>
                <w:sz w:val="21"/>
              </w:rPr>
              <w:t>行</w:t>
            </w:r>
            <w:r>
              <w:rPr>
                <w:spacing w:val="-3"/>
                <w:sz w:val="21"/>
              </w:rPr>
              <w:t>髋及膝关节置换；</w:t>
            </w:r>
          </w:p>
          <w:p>
            <w:pPr>
              <w:pStyle w:val="TableParagraph"/>
              <w:numPr>
                <w:ilvl w:val="1"/>
                <w:numId w:val="19"/>
              </w:numPr>
              <w:tabs>
                <w:tab w:pos="1179" w:val="left" w:leader="none"/>
              </w:tabs>
              <w:spacing w:line="240" w:lineRule="auto" w:before="177" w:after="0"/>
              <w:ind w:left="1178" w:right="0" w:hanging="422"/>
              <w:jc w:val="left"/>
              <w:rPr>
                <w:sz w:val="21"/>
              </w:rPr>
            </w:pPr>
            <w:r>
              <w:rPr>
                <w:spacing w:val="-3"/>
                <w:sz w:val="21"/>
              </w:rPr>
              <w:t>由风湿病专科医生确定诊断。</w:t>
            </w:r>
          </w:p>
          <w:p>
            <w:pPr>
              <w:pStyle w:val="TableParagraph"/>
              <w:spacing w:before="9"/>
              <w:rPr>
                <w:b/>
                <w:sz w:val="14"/>
              </w:rPr>
            </w:pPr>
          </w:p>
          <w:p>
            <w:pPr>
              <w:pStyle w:val="TableParagraph"/>
              <w:numPr>
                <w:ilvl w:val="0"/>
                <w:numId w:val="19"/>
              </w:numPr>
              <w:tabs>
                <w:tab w:pos="756" w:val="left" w:leader="none"/>
              </w:tabs>
              <w:spacing w:line="268" w:lineRule="auto" w:before="0" w:after="0"/>
              <w:ind w:left="756" w:right="302" w:hanging="421"/>
              <w:jc w:val="left"/>
              <w:rPr>
                <w:rFonts w:ascii="Times New Roman" w:eastAsia="Times New Roman"/>
                <w:b/>
                <w:sz w:val="21"/>
              </w:rPr>
            </w:pPr>
            <w:r>
              <w:rPr>
                <w:b/>
                <w:sz w:val="21"/>
              </w:rPr>
              <w:t>严重的原发性心肌病</w:t>
            </w:r>
            <w:r>
              <w:rPr>
                <w:spacing w:val="-4"/>
                <w:sz w:val="21"/>
              </w:rPr>
              <w:t>：指不明原因引起的一类心肌病变，包括原发性扩张</w:t>
            </w:r>
            <w:r>
              <w:rPr>
                <w:spacing w:val="-3"/>
                <w:sz w:val="21"/>
              </w:rPr>
              <w:t>型心肌病、原发性肥厚型心肌病及原发性限制型心肌病三种，病变必须已造成事实上心室功能障碍而出现明显的心功能衰竭(美国纽约心脏协会心</w:t>
            </w:r>
            <w:r>
              <w:rPr>
                <w:spacing w:val="-3"/>
                <w:w w:val="100"/>
                <w:sz w:val="21"/>
              </w:rPr>
              <w:t>功能分类标准心功能达</w:t>
            </w:r>
            <w:r>
              <w:rPr>
                <w:spacing w:val="-53"/>
                <w:sz w:val="21"/>
              </w:rPr>
              <w:t> </w:t>
            </w:r>
            <w:r>
              <w:rPr>
                <w:spacing w:val="-3"/>
                <w:w w:val="100"/>
                <w:sz w:val="21"/>
              </w:rPr>
              <w:t>I</w:t>
            </w:r>
            <w:r>
              <w:rPr>
                <w:w w:val="100"/>
                <w:sz w:val="21"/>
              </w:rPr>
              <w:t>V</w:t>
            </w:r>
            <w:r>
              <w:rPr>
                <w:spacing w:val="-55"/>
                <w:sz w:val="21"/>
              </w:rPr>
              <w:t> </w:t>
            </w:r>
            <w:r>
              <w:rPr>
                <w:spacing w:val="-12"/>
                <w:w w:val="100"/>
                <w:sz w:val="21"/>
              </w:rPr>
              <w:t>级)，且有相关住院医疗记录显示</w:t>
            </w:r>
            <w:r>
              <w:rPr>
                <w:spacing w:val="-52"/>
                <w:sz w:val="21"/>
              </w:rPr>
              <w:t> </w:t>
            </w:r>
            <w:r>
              <w:rPr>
                <w:w w:val="100"/>
                <w:sz w:val="21"/>
              </w:rPr>
              <w:t>IV</w:t>
            </w:r>
            <w:r>
              <w:rPr>
                <w:spacing w:val="-55"/>
                <w:sz w:val="21"/>
              </w:rPr>
              <w:t> </w:t>
            </w:r>
            <w:r>
              <w:rPr>
                <w:spacing w:val="-3"/>
                <w:w w:val="100"/>
                <w:sz w:val="21"/>
              </w:rPr>
              <w:t>级心功能衰</w:t>
            </w:r>
            <w:r>
              <w:rPr>
                <w:spacing w:val="-3"/>
                <w:sz w:val="21"/>
              </w:rPr>
              <w:t>竭状态持续至少一百八十天。该疾病索赔时须要经心内科专科医生做出明</w:t>
            </w:r>
            <w:r>
              <w:rPr>
                <w:spacing w:val="-8"/>
                <w:sz w:val="21"/>
              </w:rPr>
              <w:t>确诊断。</w:t>
            </w:r>
            <w:r>
              <w:rPr>
                <w:b/>
                <w:spacing w:val="-3"/>
                <w:sz w:val="21"/>
              </w:rPr>
              <w:t>继发于全身性疾病或其它器官系统疾病以及由于酒精和药物滥用导致的心肌病不在保障范围内。</w:t>
            </w:r>
          </w:p>
        </w:tc>
      </w:tr>
      <w:tr>
        <w:trPr>
          <w:trHeight w:val="5148" w:hRule="atLeast"/>
        </w:trPr>
        <w:tc>
          <w:tcPr>
            <w:tcW w:w="806" w:type="dxa"/>
          </w:tcPr>
          <w:p>
            <w:pPr>
              <w:pStyle w:val="TableParagraph"/>
              <w:spacing w:before="56"/>
              <w:ind w:left="200"/>
              <w:rPr>
                <w:b/>
                <w:sz w:val="21"/>
              </w:rPr>
            </w:pPr>
            <w:r>
              <w:rPr>
                <w:b/>
                <w:sz w:val="21"/>
              </w:rPr>
              <w:t>8.10</w:t>
            </w:r>
          </w:p>
        </w:tc>
        <w:tc>
          <w:tcPr>
            <w:tcW w:w="1363" w:type="dxa"/>
          </w:tcPr>
          <w:p>
            <w:pPr>
              <w:pStyle w:val="TableParagraph"/>
              <w:spacing w:before="56"/>
              <w:ind w:left="184"/>
              <w:rPr>
                <w:b/>
                <w:sz w:val="21"/>
              </w:rPr>
            </w:pPr>
            <w:r>
              <w:rPr>
                <w:b/>
                <w:sz w:val="21"/>
              </w:rPr>
              <w:t>特定疾病</w:t>
            </w:r>
          </w:p>
        </w:tc>
        <w:tc>
          <w:tcPr>
            <w:tcW w:w="7789" w:type="dxa"/>
          </w:tcPr>
          <w:p>
            <w:pPr>
              <w:pStyle w:val="TableParagraph"/>
              <w:numPr>
                <w:ilvl w:val="0"/>
                <w:numId w:val="20"/>
              </w:numPr>
              <w:tabs>
                <w:tab w:pos="755" w:val="left" w:leader="none"/>
                <w:tab w:pos="756" w:val="left" w:leader="none"/>
              </w:tabs>
              <w:spacing w:line="273" w:lineRule="auto" w:before="56" w:after="0"/>
              <w:ind w:left="756" w:right="199" w:hanging="421"/>
              <w:jc w:val="left"/>
              <w:rPr>
                <w:sz w:val="21"/>
              </w:rPr>
            </w:pPr>
            <w:r>
              <w:rPr>
                <w:b/>
                <w:sz w:val="21"/>
              </w:rPr>
              <w:t>白血病</w:t>
            </w:r>
            <w:r>
              <w:rPr>
                <w:spacing w:val="-3"/>
                <w:sz w:val="21"/>
              </w:rPr>
              <w:t>：是血液及造血组织的恶性肿瘤，其特征为白细胞不受控制的进行性增长和扩散，可经血管转移到身体其它部位。经病理学检查结果明确诊</w:t>
            </w:r>
            <w:r>
              <w:rPr>
                <w:spacing w:val="-7"/>
                <w:sz w:val="21"/>
              </w:rPr>
              <w:t>断，属于世界卫生组织《疾病和有关健康问题的国际统计分类》</w:t>
            </w:r>
            <w:r>
              <w:rPr>
                <w:sz w:val="21"/>
              </w:rPr>
              <w:t>（ICD-10） </w:t>
            </w:r>
            <w:r>
              <w:rPr>
                <w:spacing w:val="-2"/>
                <w:sz w:val="21"/>
              </w:rPr>
              <w:t>的白血病范畴。</w:t>
            </w:r>
          </w:p>
          <w:p>
            <w:pPr>
              <w:pStyle w:val="TableParagraph"/>
              <w:spacing w:before="164"/>
              <w:ind w:left="755"/>
              <w:rPr>
                <w:b/>
                <w:sz w:val="21"/>
              </w:rPr>
            </w:pPr>
            <w:r>
              <w:rPr>
                <w:b/>
                <w:sz w:val="21"/>
              </w:rPr>
              <w:t>相当于 Binet 分期方案 A 期程度的慢性淋巴细胞白血病不在保障范围内。</w:t>
            </w:r>
          </w:p>
          <w:p>
            <w:pPr>
              <w:pStyle w:val="TableParagraph"/>
              <w:spacing w:before="10"/>
              <w:rPr>
                <w:b/>
                <w:sz w:val="14"/>
              </w:rPr>
            </w:pPr>
          </w:p>
          <w:p>
            <w:pPr>
              <w:pStyle w:val="TableParagraph"/>
              <w:numPr>
                <w:ilvl w:val="0"/>
                <w:numId w:val="20"/>
              </w:numPr>
              <w:tabs>
                <w:tab w:pos="755" w:val="left" w:leader="none"/>
                <w:tab w:pos="756" w:val="left" w:leader="none"/>
              </w:tabs>
              <w:spacing w:line="273" w:lineRule="auto" w:before="0" w:after="0"/>
              <w:ind w:left="756" w:right="197" w:hanging="421"/>
              <w:jc w:val="left"/>
              <w:rPr>
                <w:b/>
                <w:sz w:val="21"/>
              </w:rPr>
            </w:pPr>
            <w:r>
              <w:rPr>
                <w:b/>
                <w:sz w:val="21"/>
              </w:rPr>
              <w:t>重症手足口病</w:t>
            </w:r>
            <w:r>
              <w:rPr>
                <w:spacing w:val="-12"/>
                <w:sz w:val="21"/>
              </w:rPr>
              <w:t>：是由肠道病毒引起的急性传染病，主要症状表现为手、足、</w:t>
            </w:r>
            <w:r>
              <w:rPr>
                <w:spacing w:val="-6"/>
                <w:sz w:val="21"/>
              </w:rPr>
              <w:t>口腔等部位的斑丘疹、疱疹。</w:t>
            </w:r>
            <w:r>
              <w:rPr>
                <w:b/>
                <w:spacing w:val="-1"/>
                <w:sz w:val="21"/>
              </w:rPr>
              <w:t>重症手足口病必须符合下列全部条件：</w:t>
            </w:r>
          </w:p>
          <w:p>
            <w:pPr>
              <w:pStyle w:val="TableParagraph"/>
              <w:numPr>
                <w:ilvl w:val="0"/>
                <w:numId w:val="21"/>
              </w:numPr>
              <w:tabs>
                <w:tab w:pos="759" w:val="left" w:leader="none"/>
              </w:tabs>
              <w:spacing w:line="240" w:lineRule="auto" w:before="163" w:after="0"/>
              <w:ind w:left="758" w:right="0" w:hanging="423"/>
              <w:jc w:val="left"/>
              <w:rPr>
                <w:sz w:val="21"/>
              </w:rPr>
            </w:pPr>
            <w:r>
              <w:rPr>
                <w:spacing w:val="-3"/>
                <w:sz w:val="21"/>
              </w:rPr>
              <w:t>经我们认可的医院的专科医生诊断为手足口病；</w:t>
            </w:r>
          </w:p>
          <w:p>
            <w:pPr>
              <w:pStyle w:val="TableParagraph"/>
              <w:spacing w:before="9"/>
              <w:rPr>
                <w:b/>
                <w:sz w:val="14"/>
              </w:rPr>
            </w:pPr>
          </w:p>
          <w:p>
            <w:pPr>
              <w:pStyle w:val="TableParagraph"/>
              <w:numPr>
                <w:ilvl w:val="0"/>
                <w:numId w:val="21"/>
              </w:numPr>
              <w:tabs>
                <w:tab w:pos="759" w:val="left" w:leader="none"/>
              </w:tabs>
              <w:spacing w:line="240" w:lineRule="auto" w:before="0" w:after="0"/>
              <w:ind w:left="758" w:right="0" w:hanging="423"/>
              <w:jc w:val="left"/>
              <w:rPr>
                <w:sz w:val="21"/>
              </w:rPr>
            </w:pPr>
            <w:r>
              <w:rPr>
                <w:spacing w:val="-3"/>
                <w:sz w:val="21"/>
              </w:rPr>
              <w:t>伴有所列危重并发症之一：脑膜炎、脑脊髓炎或肺水肿；</w:t>
            </w:r>
          </w:p>
          <w:p>
            <w:pPr>
              <w:pStyle w:val="TableParagraph"/>
              <w:spacing w:before="9"/>
              <w:rPr>
                <w:b/>
                <w:sz w:val="14"/>
              </w:rPr>
            </w:pPr>
          </w:p>
          <w:p>
            <w:pPr>
              <w:pStyle w:val="TableParagraph"/>
              <w:numPr>
                <w:ilvl w:val="0"/>
                <w:numId w:val="21"/>
              </w:numPr>
              <w:tabs>
                <w:tab w:pos="759" w:val="left" w:leader="none"/>
              </w:tabs>
              <w:spacing w:line="240" w:lineRule="auto" w:before="0" w:after="0"/>
              <w:ind w:left="758" w:right="0" w:hanging="423"/>
              <w:jc w:val="left"/>
              <w:rPr>
                <w:sz w:val="21"/>
              </w:rPr>
            </w:pPr>
            <w:r>
              <w:rPr>
                <w:spacing w:val="-3"/>
                <w:sz w:val="21"/>
              </w:rPr>
              <w:t>接受了住院治疗；</w:t>
            </w:r>
          </w:p>
          <w:p>
            <w:pPr>
              <w:pStyle w:val="TableParagraph"/>
              <w:spacing w:before="9"/>
              <w:rPr>
                <w:b/>
                <w:sz w:val="14"/>
              </w:rPr>
            </w:pPr>
          </w:p>
          <w:p>
            <w:pPr>
              <w:pStyle w:val="TableParagraph"/>
              <w:tabs>
                <w:tab w:pos="755" w:val="left" w:leader="none"/>
              </w:tabs>
              <w:spacing w:line="273" w:lineRule="auto" w:before="1"/>
              <w:ind w:left="755" w:right="305" w:hanging="421"/>
              <w:rPr>
                <w:b/>
                <w:sz w:val="21"/>
              </w:rPr>
            </w:pPr>
            <w:r>
              <w:rPr>
                <w:sz w:val="21"/>
              </w:rPr>
              <w:t>3.</w:t>
              <w:tab/>
            </w:r>
            <w:r>
              <w:rPr>
                <w:b/>
                <w:sz w:val="21"/>
              </w:rPr>
              <w:t>严重川崎病</w:t>
            </w:r>
            <w:r>
              <w:rPr>
                <w:spacing w:val="-4"/>
                <w:sz w:val="21"/>
              </w:rPr>
              <w:t>：为一种病因不明的系统性血管炎。</w:t>
            </w:r>
            <w:r>
              <w:rPr>
                <w:b/>
                <w:spacing w:val="-1"/>
                <w:sz w:val="21"/>
              </w:rPr>
              <w:t>本合同仅对诊断性检查证 </w:t>
            </w:r>
            <w:r>
              <w:rPr>
                <w:b/>
                <w:spacing w:val="-3"/>
                <w:sz w:val="21"/>
              </w:rPr>
              <w:t>实川崎病并发动脉瘤或其他心血管异常并且实际接受了手术治疗的情况予以理赔。</w:t>
            </w:r>
          </w:p>
        </w:tc>
      </w:tr>
      <w:tr>
        <w:trPr>
          <w:trHeight w:val="1157" w:hRule="atLeast"/>
        </w:trPr>
        <w:tc>
          <w:tcPr>
            <w:tcW w:w="806" w:type="dxa"/>
          </w:tcPr>
          <w:p>
            <w:pPr>
              <w:pStyle w:val="TableParagraph"/>
              <w:spacing w:before="56"/>
              <w:ind w:left="200"/>
              <w:rPr>
                <w:b/>
                <w:sz w:val="21"/>
              </w:rPr>
            </w:pPr>
            <w:r>
              <w:rPr>
                <w:b/>
                <w:sz w:val="21"/>
              </w:rPr>
              <w:t>8.11</w:t>
            </w:r>
          </w:p>
        </w:tc>
        <w:tc>
          <w:tcPr>
            <w:tcW w:w="1363" w:type="dxa"/>
          </w:tcPr>
          <w:p>
            <w:pPr>
              <w:pStyle w:val="TableParagraph"/>
              <w:spacing w:before="56"/>
              <w:ind w:left="184"/>
              <w:rPr>
                <w:b/>
                <w:sz w:val="21"/>
              </w:rPr>
            </w:pPr>
            <w:r>
              <w:rPr>
                <w:b/>
                <w:sz w:val="21"/>
              </w:rPr>
              <w:t>酒后驾驶</w:t>
            </w:r>
          </w:p>
        </w:tc>
        <w:tc>
          <w:tcPr>
            <w:tcW w:w="7789" w:type="dxa"/>
          </w:tcPr>
          <w:p>
            <w:pPr>
              <w:pStyle w:val="TableParagraph"/>
              <w:spacing w:line="338" w:lineRule="auto" w:before="94"/>
              <w:ind w:left="335" w:right="305"/>
              <w:rPr>
                <w:sz w:val="21"/>
              </w:rPr>
            </w:pPr>
            <w:r>
              <w:rPr>
                <w:sz w:val="21"/>
              </w:rPr>
              <w:t>指经检测或鉴定，发生事故时车辆驾驶人员每百毫升血液中的酒精含量达到或超过一定的标准，公安机关交通管理部门依据《道路交通安全法》的规定认定</w:t>
            </w:r>
          </w:p>
          <w:p>
            <w:pPr>
              <w:pStyle w:val="TableParagraph"/>
              <w:spacing w:line="264" w:lineRule="exact" w:before="30"/>
              <w:ind w:left="335"/>
              <w:rPr>
                <w:sz w:val="21"/>
              </w:rPr>
            </w:pPr>
            <w:r>
              <w:rPr>
                <w:sz w:val="21"/>
              </w:rPr>
              <w:t>为饮酒后驾驶或醉酒后驾驶。</w:t>
            </w:r>
          </w:p>
        </w:tc>
      </w:tr>
    </w:tbl>
    <w:p>
      <w:pPr>
        <w:spacing w:after="0" w:line="264" w:lineRule="exact"/>
        <w:rPr>
          <w:sz w:val="21"/>
        </w:rPr>
        <w:sectPr>
          <w:pgSz w:w="11910" w:h="16840"/>
          <w:pgMar w:header="0" w:footer="925" w:top="1100" w:bottom="112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574"/>
        <w:gridCol w:w="7572"/>
      </w:tblGrid>
      <w:tr>
        <w:trPr>
          <w:trHeight w:val="3361" w:hRule="atLeast"/>
        </w:trPr>
        <w:tc>
          <w:tcPr>
            <w:tcW w:w="806" w:type="dxa"/>
          </w:tcPr>
          <w:p>
            <w:pPr>
              <w:pStyle w:val="TableParagraph"/>
              <w:spacing w:line="202" w:lineRule="exact"/>
              <w:ind w:left="200"/>
              <w:rPr>
                <w:b/>
                <w:sz w:val="21"/>
              </w:rPr>
            </w:pPr>
            <w:r>
              <w:rPr>
                <w:b/>
                <w:sz w:val="21"/>
              </w:rPr>
              <w:t>8.12</w:t>
            </w:r>
          </w:p>
        </w:tc>
        <w:tc>
          <w:tcPr>
            <w:tcW w:w="1574" w:type="dxa"/>
          </w:tcPr>
          <w:p>
            <w:pPr>
              <w:pStyle w:val="TableParagraph"/>
              <w:spacing w:line="202" w:lineRule="exact"/>
              <w:ind w:left="184"/>
              <w:rPr>
                <w:b/>
                <w:sz w:val="21"/>
              </w:rPr>
            </w:pPr>
            <w:r>
              <w:rPr>
                <w:b/>
                <w:sz w:val="21"/>
              </w:rPr>
              <w:t>无合法有效驾</w:t>
            </w:r>
          </w:p>
          <w:p>
            <w:pPr>
              <w:pStyle w:val="TableParagraph"/>
              <w:spacing w:before="37"/>
              <w:ind w:left="184"/>
              <w:rPr>
                <w:b/>
                <w:sz w:val="21"/>
              </w:rPr>
            </w:pPr>
            <w:r>
              <w:rPr>
                <w:b/>
                <w:sz w:val="21"/>
              </w:rPr>
              <w:t>驶证驾驶</w:t>
            </w:r>
          </w:p>
        </w:tc>
        <w:tc>
          <w:tcPr>
            <w:tcW w:w="7572" w:type="dxa"/>
          </w:tcPr>
          <w:p>
            <w:pPr>
              <w:pStyle w:val="TableParagraph"/>
              <w:spacing w:line="202" w:lineRule="exact"/>
              <w:ind w:left="124"/>
              <w:rPr>
                <w:sz w:val="21"/>
              </w:rPr>
            </w:pPr>
            <w:r>
              <w:rPr>
                <w:sz w:val="21"/>
              </w:rPr>
              <w:t>指下列情形之一：</w:t>
            </w:r>
          </w:p>
          <w:p>
            <w:pPr>
              <w:pStyle w:val="TableParagraph"/>
              <w:spacing w:before="9"/>
              <w:rPr>
                <w:b/>
                <w:sz w:val="14"/>
              </w:rPr>
            </w:pPr>
          </w:p>
          <w:p>
            <w:pPr>
              <w:pStyle w:val="TableParagraph"/>
              <w:spacing w:before="1"/>
              <w:ind w:left="124"/>
              <w:rPr>
                <w:sz w:val="21"/>
              </w:rPr>
            </w:pPr>
            <w:r>
              <w:rPr>
                <w:sz w:val="21"/>
              </w:rPr>
              <w:t>1.没有取得中华人民共和国有关主管部门颁发或者认可的驾驶资格；</w:t>
            </w:r>
          </w:p>
          <w:p>
            <w:pPr>
              <w:pStyle w:val="TableParagraph"/>
              <w:spacing w:before="10"/>
              <w:rPr>
                <w:b/>
                <w:sz w:val="14"/>
              </w:rPr>
            </w:pPr>
          </w:p>
          <w:p>
            <w:pPr>
              <w:pStyle w:val="TableParagraph"/>
              <w:ind w:left="124"/>
              <w:rPr>
                <w:sz w:val="21"/>
              </w:rPr>
            </w:pPr>
            <w:r>
              <w:rPr>
                <w:sz w:val="21"/>
              </w:rPr>
              <w:t>2.驾驶与合法有效驾驶证准驾车型不相符合的车辆；</w:t>
            </w:r>
          </w:p>
          <w:p>
            <w:pPr>
              <w:pStyle w:val="TableParagraph"/>
              <w:spacing w:before="9"/>
              <w:rPr>
                <w:b/>
                <w:sz w:val="14"/>
              </w:rPr>
            </w:pPr>
          </w:p>
          <w:p>
            <w:pPr>
              <w:pStyle w:val="TableParagraph"/>
              <w:ind w:left="124"/>
              <w:rPr>
                <w:sz w:val="21"/>
              </w:rPr>
            </w:pPr>
            <w:r>
              <w:rPr>
                <w:sz w:val="21"/>
              </w:rPr>
              <w:t>3.持审验不合格或已过期的驾驶证驾驶；</w:t>
            </w:r>
          </w:p>
          <w:p>
            <w:pPr>
              <w:pStyle w:val="TableParagraph"/>
              <w:spacing w:before="9"/>
              <w:rPr>
                <w:b/>
                <w:sz w:val="14"/>
              </w:rPr>
            </w:pPr>
          </w:p>
          <w:p>
            <w:pPr>
              <w:pStyle w:val="TableParagraph"/>
              <w:spacing w:line="273" w:lineRule="auto"/>
              <w:ind w:left="124" w:right="299"/>
              <w:rPr>
                <w:sz w:val="21"/>
              </w:rPr>
            </w:pPr>
            <w:r>
              <w:rPr>
                <w:sz w:val="21"/>
              </w:rPr>
              <w:t>4.持学习驾驶证学习驾车时，无教练员随车指导，或不按指定时间、路线学习驾车；</w:t>
            </w:r>
          </w:p>
          <w:p>
            <w:pPr>
              <w:pStyle w:val="TableParagraph"/>
              <w:spacing w:line="390" w:lineRule="atLeast" w:before="86"/>
              <w:ind w:left="124" w:right="297"/>
              <w:rPr>
                <w:sz w:val="21"/>
              </w:rPr>
            </w:pPr>
            <w:r>
              <w:rPr>
                <w:spacing w:val="-17"/>
                <w:sz w:val="21"/>
              </w:rPr>
              <w:t>5</w:t>
            </w:r>
            <w:r>
              <w:rPr>
                <w:spacing w:val="-8"/>
                <w:sz w:val="21"/>
              </w:rPr>
              <w:t>．在驾驶证有效期内未按照中华人民共和国法律、行政法规的规定，定期对机</w:t>
            </w:r>
            <w:r>
              <w:rPr>
                <w:spacing w:val="-5"/>
                <w:sz w:val="21"/>
              </w:rPr>
              <w:t>动车驾驶证实施审验的。</w:t>
            </w:r>
          </w:p>
        </w:tc>
      </w:tr>
      <w:tr>
        <w:trPr>
          <w:trHeight w:val="1892" w:hRule="atLeast"/>
        </w:trPr>
        <w:tc>
          <w:tcPr>
            <w:tcW w:w="806" w:type="dxa"/>
          </w:tcPr>
          <w:p>
            <w:pPr>
              <w:pStyle w:val="TableParagraph"/>
              <w:spacing w:line="273" w:lineRule="exact"/>
              <w:ind w:left="200"/>
              <w:rPr>
                <w:b/>
                <w:sz w:val="21"/>
              </w:rPr>
            </w:pPr>
            <w:r>
              <w:rPr>
                <w:b/>
                <w:sz w:val="21"/>
              </w:rPr>
              <w:t>8.13</w:t>
            </w:r>
          </w:p>
        </w:tc>
        <w:tc>
          <w:tcPr>
            <w:tcW w:w="1574" w:type="dxa"/>
          </w:tcPr>
          <w:p>
            <w:pPr>
              <w:pStyle w:val="TableParagraph"/>
              <w:spacing w:line="273" w:lineRule="exact"/>
              <w:ind w:left="184"/>
              <w:rPr>
                <w:b/>
                <w:sz w:val="21"/>
              </w:rPr>
            </w:pPr>
            <w:r>
              <w:rPr>
                <w:b/>
                <w:sz w:val="21"/>
              </w:rPr>
              <w:t>无有效行驶证</w:t>
            </w:r>
          </w:p>
        </w:tc>
        <w:tc>
          <w:tcPr>
            <w:tcW w:w="7572" w:type="dxa"/>
          </w:tcPr>
          <w:p>
            <w:pPr>
              <w:pStyle w:val="TableParagraph"/>
              <w:spacing w:line="273" w:lineRule="exact"/>
              <w:ind w:left="124"/>
              <w:rPr>
                <w:sz w:val="21"/>
              </w:rPr>
            </w:pPr>
            <w:r>
              <w:rPr>
                <w:sz w:val="21"/>
              </w:rPr>
              <w:t>指下列情形之一：</w:t>
            </w:r>
          </w:p>
          <w:p>
            <w:pPr>
              <w:pStyle w:val="TableParagraph"/>
              <w:spacing w:before="9"/>
              <w:rPr>
                <w:b/>
                <w:sz w:val="14"/>
              </w:rPr>
            </w:pPr>
          </w:p>
          <w:p>
            <w:pPr>
              <w:pStyle w:val="TableParagraph"/>
              <w:spacing w:before="1"/>
              <w:ind w:left="124"/>
              <w:rPr>
                <w:sz w:val="21"/>
              </w:rPr>
            </w:pPr>
            <w:r>
              <w:rPr>
                <w:sz w:val="21"/>
              </w:rPr>
              <w:t>1.机动车行驶证被依法注销登记的；</w:t>
            </w:r>
          </w:p>
          <w:p>
            <w:pPr>
              <w:pStyle w:val="TableParagraph"/>
              <w:spacing w:before="10"/>
              <w:rPr>
                <w:b/>
                <w:sz w:val="14"/>
              </w:rPr>
            </w:pPr>
          </w:p>
          <w:p>
            <w:pPr>
              <w:pStyle w:val="TableParagraph"/>
              <w:ind w:left="124"/>
              <w:rPr>
                <w:sz w:val="21"/>
              </w:rPr>
            </w:pPr>
            <w:r>
              <w:rPr>
                <w:sz w:val="21"/>
              </w:rPr>
              <w:t>2.未办理行驶证或者行驶证在申办过程中；</w:t>
            </w:r>
          </w:p>
          <w:p>
            <w:pPr>
              <w:pStyle w:val="TableParagraph"/>
              <w:spacing w:before="8"/>
              <w:rPr>
                <w:b/>
                <w:sz w:val="17"/>
              </w:rPr>
            </w:pPr>
          </w:p>
          <w:p>
            <w:pPr>
              <w:pStyle w:val="TableParagraph"/>
              <w:ind w:left="124"/>
              <w:rPr>
                <w:sz w:val="21"/>
              </w:rPr>
            </w:pPr>
            <w:r>
              <w:rPr>
                <w:sz w:val="21"/>
              </w:rPr>
              <w:t>3.未在行驶证检验有效期内依法按时进行或通过机动车安全技术检验。</w:t>
            </w:r>
          </w:p>
        </w:tc>
      </w:tr>
      <w:tr>
        <w:trPr>
          <w:trHeight w:val="922" w:hRule="atLeast"/>
        </w:trPr>
        <w:tc>
          <w:tcPr>
            <w:tcW w:w="806" w:type="dxa"/>
          </w:tcPr>
          <w:p>
            <w:pPr>
              <w:pStyle w:val="TableParagraph"/>
              <w:spacing w:before="95"/>
              <w:ind w:left="200"/>
              <w:rPr>
                <w:b/>
                <w:sz w:val="21"/>
              </w:rPr>
            </w:pPr>
            <w:r>
              <w:rPr>
                <w:b/>
                <w:sz w:val="21"/>
              </w:rPr>
              <w:t>8.14</w:t>
            </w:r>
          </w:p>
        </w:tc>
        <w:tc>
          <w:tcPr>
            <w:tcW w:w="1574" w:type="dxa"/>
          </w:tcPr>
          <w:p>
            <w:pPr>
              <w:pStyle w:val="TableParagraph"/>
              <w:spacing w:before="95"/>
              <w:ind w:left="184"/>
              <w:rPr>
                <w:b/>
                <w:sz w:val="21"/>
              </w:rPr>
            </w:pPr>
            <w:r>
              <w:rPr>
                <w:b/>
                <w:sz w:val="21"/>
              </w:rPr>
              <w:t>机动车</w:t>
            </w:r>
          </w:p>
        </w:tc>
        <w:tc>
          <w:tcPr>
            <w:tcW w:w="7572" w:type="dxa"/>
          </w:tcPr>
          <w:p>
            <w:pPr>
              <w:pStyle w:val="TableParagraph"/>
              <w:spacing w:line="338" w:lineRule="auto" w:before="134"/>
              <w:ind w:left="124" w:right="299"/>
              <w:rPr>
                <w:sz w:val="21"/>
              </w:rPr>
            </w:pPr>
            <w:r>
              <w:rPr>
                <w:sz w:val="21"/>
              </w:rPr>
              <w:t>指以动力装置驱动或者牵引，上道路行驶的供人员乘用或者用于运送物品以及进行工程专项作业的轮式车辆。</w:t>
            </w:r>
          </w:p>
        </w:tc>
      </w:tr>
      <w:tr>
        <w:trPr>
          <w:trHeight w:val="1634" w:hRule="atLeast"/>
        </w:trPr>
        <w:tc>
          <w:tcPr>
            <w:tcW w:w="806" w:type="dxa"/>
          </w:tcPr>
          <w:p>
            <w:pPr>
              <w:pStyle w:val="TableParagraph"/>
              <w:spacing w:before="44"/>
              <w:ind w:left="200"/>
              <w:rPr>
                <w:b/>
                <w:sz w:val="21"/>
              </w:rPr>
            </w:pPr>
            <w:r>
              <w:rPr>
                <w:b/>
                <w:sz w:val="21"/>
              </w:rPr>
              <w:t>8.15</w:t>
            </w:r>
          </w:p>
        </w:tc>
        <w:tc>
          <w:tcPr>
            <w:tcW w:w="1574" w:type="dxa"/>
          </w:tcPr>
          <w:p>
            <w:pPr>
              <w:pStyle w:val="TableParagraph"/>
              <w:spacing w:before="44"/>
              <w:ind w:left="184"/>
              <w:rPr>
                <w:b/>
                <w:sz w:val="21"/>
              </w:rPr>
            </w:pPr>
            <w:r>
              <w:rPr>
                <w:b/>
                <w:sz w:val="21"/>
              </w:rPr>
              <w:t>毒品</w:t>
            </w:r>
          </w:p>
        </w:tc>
        <w:tc>
          <w:tcPr>
            <w:tcW w:w="7572" w:type="dxa"/>
          </w:tcPr>
          <w:p>
            <w:pPr>
              <w:pStyle w:val="TableParagraph"/>
              <w:spacing w:line="340" w:lineRule="auto" w:before="82"/>
              <w:ind w:left="124" w:right="196"/>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902" w:hRule="atLeast"/>
        </w:trPr>
        <w:tc>
          <w:tcPr>
            <w:tcW w:w="806" w:type="dxa"/>
          </w:tcPr>
          <w:p>
            <w:pPr>
              <w:pStyle w:val="TableParagraph"/>
              <w:spacing w:before="24"/>
              <w:ind w:left="200"/>
              <w:rPr>
                <w:b/>
                <w:sz w:val="21"/>
              </w:rPr>
            </w:pPr>
            <w:r>
              <w:rPr>
                <w:b/>
                <w:sz w:val="21"/>
              </w:rPr>
              <w:t>8.16</w:t>
            </w:r>
          </w:p>
        </w:tc>
        <w:tc>
          <w:tcPr>
            <w:tcW w:w="1574" w:type="dxa"/>
          </w:tcPr>
          <w:p>
            <w:pPr>
              <w:pStyle w:val="TableParagraph"/>
              <w:spacing w:before="24"/>
              <w:ind w:left="184"/>
              <w:rPr>
                <w:b/>
                <w:sz w:val="21"/>
              </w:rPr>
            </w:pPr>
            <w:r>
              <w:rPr>
                <w:b/>
                <w:sz w:val="21"/>
              </w:rPr>
              <w:t>遗传性疾病</w:t>
            </w:r>
          </w:p>
        </w:tc>
        <w:tc>
          <w:tcPr>
            <w:tcW w:w="7572" w:type="dxa"/>
          </w:tcPr>
          <w:p>
            <w:pPr>
              <w:pStyle w:val="TableParagraph"/>
              <w:spacing w:line="343" w:lineRule="auto" w:before="63"/>
              <w:ind w:left="124" w:right="299"/>
              <w:rPr>
                <w:sz w:val="21"/>
              </w:rPr>
            </w:pPr>
            <w:r>
              <w:rPr>
                <w:sz w:val="21"/>
              </w:rPr>
              <w:t>指生殖细胞或受精卵的遗传物质（染色体和基因）发生突变或畸变所引起的疾病，通常具有由亲代传至后代的垂直传递的特征。</w:t>
            </w:r>
          </w:p>
        </w:tc>
      </w:tr>
      <w:tr>
        <w:trPr>
          <w:trHeight w:val="1128" w:hRule="atLeast"/>
        </w:trPr>
        <w:tc>
          <w:tcPr>
            <w:tcW w:w="806" w:type="dxa"/>
          </w:tcPr>
          <w:p>
            <w:pPr>
              <w:pStyle w:val="TableParagraph"/>
              <w:spacing w:before="92"/>
              <w:ind w:left="200"/>
              <w:rPr>
                <w:b/>
                <w:sz w:val="21"/>
              </w:rPr>
            </w:pPr>
            <w:r>
              <w:rPr>
                <w:b/>
                <w:sz w:val="21"/>
              </w:rPr>
              <w:t>8.17</w:t>
            </w:r>
          </w:p>
        </w:tc>
        <w:tc>
          <w:tcPr>
            <w:tcW w:w="1574" w:type="dxa"/>
          </w:tcPr>
          <w:p>
            <w:pPr>
              <w:pStyle w:val="TableParagraph"/>
              <w:spacing w:line="273" w:lineRule="auto" w:before="92"/>
              <w:ind w:left="184" w:right="120"/>
              <w:jc w:val="both"/>
              <w:rPr>
                <w:b/>
                <w:sz w:val="21"/>
              </w:rPr>
            </w:pPr>
            <w:r>
              <w:rPr>
                <w:b/>
                <w:sz w:val="21"/>
              </w:rPr>
              <w:t>先天性畸形、变形或染色体异常</w:t>
            </w:r>
          </w:p>
        </w:tc>
        <w:tc>
          <w:tcPr>
            <w:tcW w:w="7572" w:type="dxa"/>
          </w:tcPr>
          <w:p>
            <w:pPr>
              <w:pStyle w:val="TableParagraph"/>
              <w:spacing w:line="340" w:lineRule="auto" w:before="130"/>
              <w:ind w:left="124" w:right="299"/>
              <w:rPr>
                <w:sz w:val="21"/>
              </w:rPr>
            </w:pPr>
            <w:r>
              <w:rPr>
                <w:sz w:val="21"/>
              </w:rPr>
              <w:t>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393" w:hRule="atLeast"/>
        </w:trPr>
        <w:tc>
          <w:tcPr>
            <w:tcW w:w="806" w:type="dxa"/>
          </w:tcPr>
          <w:p>
            <w:pPr>
              <w:pStyle w:val="TableParagraph"/>
              <w:spacing w:before="56"/>
              <w:ind w:left="200"/>
              <w:rPr>
                <w:b/>
                <w:sz w:val="21"/>
              </w:rPr>
            </w:pPr>
            <w:r>
              <w:rPr>
                <w:b/>
                <w:sz w:val="21"/>
              </w:rPr>
              <w:t>8.18</w:t>
            </w:r>
          </w:p>
        </w:tc>
        <w:tc>
          <w:tcPr>
            <w:tcW w:w="1574" w:type="dxa"/>
          </w:tcPr>
          <w:p>
            <w:pPr>
              <w:pStyle w:val="TableParagraph"/>
              <w:spacing w:line="273" w:lineRule="auto" w:before="56"/>
              <w:ind w:left="184" w:right="120"/>
              <w:rPr>
                <w:b/>
                <w:sz w:val="21"/>
              </w:rPr>
            </w:pPr>
            <w:r>
              <w:rPr>
                <w:b/>
                <w:sz w:val="21"/>
              </w:rPr>
              <w:t>感染艾滋病病毒或患艾滋病</w:t>
            </w:r>
          </w:p>
        </w:tc>
        <w:tc>
          <w:tcPr>
            <w:tcW w:w="7572" w:type="dxa"/>
          </w:tcPr>
          <w:p>
            <w:pPr>
              <w:pStyle w:val="TableParagraph"/>
              <w:spacing w:line="273" w:lineRule="auto" w:before="56"/>
              <w:ind w:left="124" w:right="299"/>
              <w:jc w:val="both"/>
              <w:rPr>
                <w:sz w:val="21"/>
              </w:rPr>
            </w:pPr>
            <w:r>
              <w:rPr>
                <w:spacing w:val="-5"/>
                <w:sz w:val="21"/>
              </w:rPr>
              <w:t>艾滋病病毒指人类免疫缺陷病毒，英文缩写为 </w:t>
            </w:r>
            <w:r>
              <w:rPr>
                <w:sz w:val="21"/>
              </w:rPr>
              <w:t>HIV</w:t>
            </w:r>
            <w:r>
              <w:rPr>
                <w:spacing w:val="-3"/>
                <w:sz w:val="21"/>
              </w:rPr>
              <w:t>。艾滋病指人类免疫缺陷病</w:t>
            </w:r>
            <w:r>
              <w:rPr>
                <w:spacing w:val="-6"/>
                <w:sz w:val="21"/>
              </w:rPr>
              <w:t>毒引起的获得性免疫缺陷综合征，英文缩写为 </w:t>
            </w:r>
            <w:r>
              <w:rPr>
                <w:sz w:val="21"/>
              </w:rPr>
              <w:t>AIDS</w:t>
            </w:r>
            <w:r>
              <w:rPr>
                <w:spacing w:val="-7"/>
                <w:sz w:val="21"/>
              </w:rPr>
              <w:t>。在人体血液或其它样本中</w:t>
            </w:r>
            <w:r>
              <w:rPr>
                <w:spacing w:val="-5"/>
                <w:sz w:val="21"/>
              </w:rPr>
              <w:t>检测到艾滋病病毒或其抗体呈阳性，没有出现临床症状或体征的，为感染艾滋</w:t>
            </w:r>
            <w:r>
              <w:rPr>
                <w:spacing w:val="-4"/>
                <w:sz w:val="21"/>
              </w:rPr>
              <w:t>病病毒；如果同时出现了明显临床症状或体征的，为患艾滋病。</w:t>
            </w:r>
          </w:p>
        </w:tc>
      </w:tr>
      <w:tr>
        <w:trPr>
          <w:trHeight w:val="1095" w:hRule="atLeast"/>
        </w:trPr>
        <w:tc>
          <w:tcPr>
            <w:tcW w:w="806" w:type="dxa"/>
          </w:tcPr>
          <w:p>
            <w:pPr>
              <w:pStyle w:val="TableParagraph"/>
              <w:spacing w:before="45"/>
              <w:ind w:left="200"/>
              <w:rPr>
                <w:b/>
                <w:sz w:val="21"/>
              </w:rPr>
            </w:pPr>
            <w:r>
              <w:rPr>
                <w:b/>
                <w:sz w:val="21"/>
              </w:rPr>
              <w:t>8.19</w:t>
            </w:r>
          </w:p>
        </w:tc>
        <w:tc>
          <w:tcPr>
            <w:tcW w:w="1574" w:type="dxa"/>
          </w:tcPr>
          <w:p>
            <w:pPr>
              <w:pStyle w:val="TableParagraph"/>
              <w:spacing w:before="45"/>
              <w:ind w:left="184"/>
              <w:rPr>
                <w:b/>
                <w:sz w:val="21"/>
              </w:rPr>
            </w:pPr>
            <w:r>
              <w:rPr>
                <w:b/>
                <w:sz w:val="21"/>
              </w:rPr>
              <w:t>现金价值</w:t>
            </w:r>
          </w:p>
        </w:tc>
        <w:tc>
          <w:tcPr>
            <w:tcW w:w="7572" w:type="dxa"/>
          </w:tcPr>
          <w:p>
            <w:pPr>
              <w:pStyle w:val="TableParagraph"/>
              <w:spacing w:line="273" w:lineRule="auto" w:before="45"/>
              <w:ind w:left="124" w:right="299"/>
              <w:rPr>
                <w:sz w:val="21"/>
              </w:rPr>
            </w:pPr>
            <w:r>
              <w:rPr>
                <w:sz w:val="21"/>
              </w:rPr>
              <w:t>指保险单所具有的价值，通常体现为解除合同时，根据精算原理计算的，由我们退还的那部分金额。本合同的现金价值为扣除手续费后的</w:t>
            </w:r>
            <w:r>
              <w:rPr>
                <w:b/>
                <w:sz w:val="21"/>
              </w:rPr>
              <w:t>未到期保险费</w:t>
            </w:r>
            <w:r>
              <w:rPr>
                <w:sz w:val="21"/>
              </w:rPr>
              <w:t>（见</w:t>
            </w:r>
          </w:p>
          <w:p>
            <w:pPr>
              <w:pStyle w:val="TableParagraph"/>
              <w:spacing w:before="8"/>
              <w:ind w:left="124"/>
              <w:rPr>
                <w:sz w:val="21"/>
              </w:rPr>
            </w:pPr>
            <w:r>
              <w:rPr>
                <w:w w:val="100"/>
                <w:sz w:val="21"/>
              </w:rPr>
              <w:t>8.24</w:t>
            </w:r>
            <w:r>
              <w:rPr>
                <w:spacing w:val="-108"/>
                <w:w w:val="100"/>
                <w:sz w:val="21"/>
              </w:rPr>
              <w:t>）</w:t>
            </w:r>
            <w:r>
              <w:rPr>
                <w:spacing w:val="-3"/>
                <w:w w:val="100"/>
                <w:sz w:val="21"/>
              </w:rPr>
              <w:t>。其中手续费=</w:t>
            </w:r>
            <w:r>
              <w:rPr>
                <w:w w:val="100"/>
                <w:sz w:val="21"/>
              </w:rPr>
              <w:t>35</w:t>
            </w:r>
            <w:r>
              <w:rPr>
                <w:spacing w:val="-3"/>
                <w:w w:val="100"/>
                <w:sz w:val="21"/>
              </w:rPr>
              <w:t>%×未到期保险费。</w:t>
            </w:r>
          </w:p>
        </w:tc>
      </w:tr>
      <w:tr>
        <w:trPr>
          <w:trHeight w:val="664" w:hRule="atLeast"/>
        </w:trPr>
        <w:tc>
          <w:tcPr>
            <w:tcW w:w="806" w:type="dxa"/>
          </w:tcPr>
          <w:p>
            <w:pPr>
              <w:pStyle w:val="TableParagraph"/>
              <w:spacing w:before="69"/>
              <w:ind w:left="200"/>
              <w:rPr>
                <w:b/>
                <w:sz w:val="21"/>
              </w:rPr>
            </w:pPr>
            <w:r>
              <w:rPr>
                <w:b/>
                <w:sz w:val="21"/>
              </w:rPr>
              <w:t>8.20</w:t>
            </w:r>
          </w:p>
        </w:tc>
        <w:tc>
          <w:tcPr>
            <w:tcW w:w="1574" w:type="dxa"/>
          </w:tcPr>
          <w:p>
            <w:pPr>
              <w:pStyle w:val="TableParagraph"/>
              <w:spacing w:before="69"/>
              <w:ind w:left="184"/>
              <w:rPr>
                <w:b/>
                <w:sz w:val="21"/>
              </w:rPr>
            </w:pPr>
            <w:r>
              <w:rPr>
                <w:b/>
                <w:sz w:val="21"/>
              </w:rPr>
              <w:t>永久不可逆</w:t>
            </w:r>
          </w:p>
        </w:tc>
        <w:tc>
          <w:tcPr>
            <w:tcW w:w="7572" w:type="dxa"/>
          </w:tcPr>
          <w:p>
            <w:pPr>
              <w:pStyle w:val="TableParagraph"/>
              <w:spacing w:line="310" w:lineRule="atLeast" w:before="34"/>
              <w:ind w:left="124" w:right="298"/>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bl>
    <w:p>
      <w:pPr>
        <w:spacing w:after="0" w:line="310" w:lineRule="atLeast"/>
        <w:rPr>
          <w:sz w:val="21"/>
        </w:rPr>
        <w:sectPr>
          <w:pgSz w:w="11910" w:h="16840"/>
          <w:pgMar w:header="0" w:footer="925" w:top="1100" w:bottom="1120" w:left="820" w:right="9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574"/>
        <w:gridCol w:w="7577"/>
      </w:tblGrid>
      <w:tr>
        <w:trPr>
          <w:trHeight w:val="2714" w:hRule="atLeast"/>
        </w:trPr>
        <w:tc>
          <w:tcPr>
            <w:tcW w:w="806" w:type="dxa"/>
          </w:tcPr>
          <w:p>
            <w:pPr>
              <w:pStyle w:val="TableParagraph"/>
              <w:spacing w:line="202" w:lineRule="exact"/>
              <w:ind w:left="200"/>
              <w:rPr>
                <w:b/>
                <w:sz w:val="21"/>
              </w:rPr>
            </w:pPr>
            <w:r>
              <w:rPr>
                <w:b/>
                <w:sz w:val="21"/>
              </w:rPr>
              <w:t>8.21</w:t>
            </w:r>
          </w:p>
        </w:tc>
        <w:tc>
          <w:tcPr>
            <w:tcW w:w="1574" w:type="dxa"/>
          </w:tcPr>
          <w:p>
            <w:pPr>
              <w:pStyle w:val="TableParagraph"/>
              <w:spacing w:line="202" w:lineRule="exact"/>
              <w:ind w:left="184"/>
              <w:rPr>
                <w:b/>
                <w:sz w:val="21"/>
              </w:rPr>
            </w:pPr>
            <w:r>
              <w:rPr>
                <w:b/>
                <w:sz w:val="21"/>
              </w:rPr>
              <w:t>六项基本日常</w:t>
            </w:r>
          </w:p>
          <w:p>
            <w:pPr>
              <w:pStyle w:val="TableParagraph"/>
              <w:spacing w:before="37"/>
              <w:ind w:left="184"/>
              <w:rPr>
                <w:b/>
                <w:sz w:val="21"/>
              </w:rPr>
            </w:pPr>
            <w:r>
              <w:rPr>
                <w:b/>
                <w:sz w:val="21"/>
              </w:rPr>
              <w:t>生活活动</w:t>
            </w:r>
          </w:p>
        </w:tc>
        <w:tc>
          <w:tcPr>
            <w:tcW w:w="7577" w:type="dxa"/>
          </w:tcPr>
          <w:p>
            <w:pPr>
              <w:pStyle w:val="TableParagraph"/>
              <w:spacing w:line="202" w:lineRule="exact"/>
              <w:ind w:left="124"/>
              <w:rPr>
                <w:sz w:val="21"/>
              </w:rPr>
            </w:pPr>
            <w:r>
              <w:rPr>
                <w:sz w:val="21"/>
              </w:rPr>
              <w:t>（1）穿衣：自己能够穿衣及脱衣；</w:t>
            </w:r>
          </w:p>
          <w:p>
            <w:pPr>
              <w:pStyle w:val="TableParagraph"/>
              <w:spacing w:before="9"/>
              <w:rPr>
                <w:b/>
                <w:sz w:val="14"/>
              </w:rPr>
            </w:pPr>
          </w:p>
          <w:p>
            <w:pPr>
              <w:pStyle w:val="TableParagraph"/>
              <w:spacing w:before="1"/>
              <w:ind w:left="124"/>
              <w:rPr>
                <w:sz w:val="21"/>
              </w:rPr>
            </w:pPr>
            <w:r>
              <w:rPr>
                <w:sz w:val="21"/>
              </w:rPr>
              <w:t>（2）移动：自己从一个房间到另一个房间；</w:t>
            </w:r>
          </w:p>
          <w:p>
            <w:pPr>
              <w:pStyle w:val="TableParagraph"/>
              <w:spacing w:before="10"/>
              <w:rPr>
                <w:b/>
                <w:sz w:val="14"/>
              </w:rPr>
            </w:pPr>
          </w:p>
          <w:p>
            <w:pPr>
              <w:pStyle w:val="TableParagraph"/>
              <w:ind w:left="124"/>
              <w:rPr>
                <w:sz w:val="21"/>
              </w:rPr>
            </w:pPr>
            <w:r>
              <w:rPr>
                <w:sz w:val="21"/>
              </w:rPr>
              <w:t>（3）行动：自己上下床或上下轮椅；</w:t>
            </w:r>
          </w:p>
          <w:p>
            <w:pPr>
              <w:pStyle w:val="TableParagraph"/>
              <w:spacing w:before="9"/>
              <w:rPr>
                <w:b/>
                <w:sz w:val="14"/>
              </w:rPr>
            </w:pPr>
          </w:p>
          <w:p>
            <w:pPr>
              <w:pStyle w:val="TableParagraph"/>
              <w:ind w:left="124"/>
              <w:rPr>
                <w:sz w:val="21"/>
              </w:rPr>
            </w:pPr>
            <w:r>
              <w:rPr>
                <w:sz w:val="21"/>
              </w:rPr>
              <w:t>（4）如厕：自己控制进行大小便；</w:t>
            </w:r>
          </w:p>
          <w:p>
            <w:pPr>
              <w:pStyle w:val="TableParagraph"/>
              <w:spacing w:before="9"/>
              <w:rPr>
                <w:b/>
                <w:sz w:val="14"/>
              </w:rPr>
            </w:pPr>
          </w:p>
          <w:p>
            <w:pPr>
              <w:pStyle w:val="TableParagraph"/>
              <w:ind w:left="124"/>
              <w:rPr>
                <w:sz w:val="21"/>
              </w:rPr>
            </w:pPr>
            <w:r>
              <w:rPr>
                <w:sz w:val="21"/>
              </w:rPr>
              <w:t>（5）进食：自己从已准备好的碗或碟中取食物放入口中；</w:t>
            </w:r>
          </w:p>
          <w:p>
            <w:pPr>
              <w:pStyle w:val="TableParagraph"/>
              <w:spacing w:before="9"/>
              <w:rPr>
                <w:b/>
                <w:sz w:val="14"/>
              </w:rPr>
            </w:pPr>
          </w:p>
          <w:p>
            <w:pPr>
              <w:pStyle w:val="TableParagraph"/>
              <w:ind w:left="124"/>
              <w:rPr>
                <w:sz w:val="21"/>
              </w:rPr>
            </w:pPr>
            <w:r>
              <w:rPr>
                <w:sz w:val="21"/>
              </w:rPr>
              <w:t>（6）洗澡：自己进行淋浴或盆浴。</w:t>
            </w:r>
          </w:p>
        </w:tc>
      </w:tr>
      <w:tr>
        <w:trPr>
          <w:trHeight w:val="873" w:hRule="atLeast"/>
        </w:trPr>
        <w:tc>
          <w:tcPr>
            <w:tcW w:w="806" w:type="dxa"/>
          </w:tcPr>
          <w:p>
            <w:pPr>
              <w:pStyle w:val="TableParagraph"/>
              <w:spacing w:before="90"/>
              <w:ind w:left="200"/>
              <w:rPr>
                <w:b/>
                <w:sz w:val="21"/>
              </w:rPr>
            </w:pPr>
            <w:r>
              <w:rPr>
                <w:b/>
                <w:sz w:val="21"/>
              </w:rPr>
              <w:t>8.22</w:t>
            </w:r>
          </w:p>
        </w:tc>
        <w:tc>
          <w:tcPr>
            <w:tcW w:w="1574" w:type="dxa"/>
          </w:tcPr>
          <w:p>
            <w:pPr>
              <w:pStyle w:val="TableParagraph"/>
              <w:spacing w:line="273" w:lineRule="auto" w:before="90"/>
              <w:ind w:left="184" w:right="120"/>
              <w:rPr>
                <w:b/>
                <w:sz w:val="21"/>
              </w:rPr>
            </w:pPr>
            <w:r>
              <w:rPr>
                <w:b/>
                <w:sz w:val="21"/>
              </w:rPr>
              <w:t>肢体机能完全丧失</w:t>
            </w:r>
          </w:p>
        </w:tc>
        <w:tc>
          <w:tcPr>
            <w:tcW w:w="7577" w:type="dxa"/>
          </w:tcPr>
          <w:p>
            <w:pPr>
              <w:pStyle w:val="TableParagraph"/>
              <w:spacing w:line="273" w:lineRule="auto" w:before="90"/>
              <w:ind w:left="124" w:right="304"/>
              <w:rPr>
                <w:sz w:val="21"/>
              </w:rPr>
            </w:pPr>
            <w:r>
              <w:rPr>
                <w:sz w:val="21"/>
              </w:rPr>
              <w:t>指肢体的三大关节中的两大关节僵硬，或不能随意识活动。肢体是指包括肩关节的整个上肢或包括髋关节的整个下肢。</w:t>
            </w:r>
          </w:p>
        </w:tc>
      </w:tr>
      <w:tr>
        <w:trPr>
          <w:trHeight w:val="1464" w:hRule="atLeast"/>
        </w:trPr>
        <w:tc>
          <w:tcPr>
            <w:tcW w:w="806" w:type="dxa"/>
          </w:tcPr>
          <w:p>
            <w:pPr>
              <w:pStyle w:val="TableParagraph"/>
              <w:spacing w:before="114"/>
              <w:ind w:left="200"/>
              <w:rPr>
                <w:b/>
                <w:sz w:val="21"/>
              </w:rPr>
            </w:pPr>
            <w:r>
              <w:rPr>
                <w:b/>
                <w:sz w:val="21"/>
              </w:rPr>
              <w:t>8.23</w:t>
            </w:r>
          </w:p>
        </w:tc>
        <w:tc>
          <w:tcPr>
            <w:tcW w:w="1574" w:type="dxa"/>
          </w:tcPr>
          <w:p>
            <w:pPr>
              <w:pStyle w:val="TableParagraph"/>
              <w:spacing w:line="273" w:lineRule="auto" w:before="114"/>
              <w:ind w:left="184" w:right="120"/>
              <w:jc w:val="both"/>
              <w:rPr>
                <w:b/>
                <w:sz w:val="21"/>
              </w:rPr>
            </w:pPr>
            <w:r>
              <w:rPr>
                <w:b/>
                <w:sz w:val="21"/>
              </w:rPr>
              <w:t>语言能力或咀嚼吞咽能力完全丧失</w:t>
            </w:r>
          </w:p>
        </w:tc>
        <w:tc>
          <w:tcPr>
            <w:tcW w:w="7577" w:type="dxa"/>
          </w:tcPr>
          <w:p>
            <w:pPr>
              <w:pStyle w:val="TableParagraph"/>
              <w:spacing w:line="273" w:lineRule="auto" w:before="114"/>
              <w:ind w:left="124" w:right="196"/>
              <w:rPr>
                <w:sz w:val="21"/>
              </w:rPr>
            </w:pPr>
            <w:r>
              <w:rPr>
                <w:spacing w:val="-3"/>
                <w:sz w:val="21"/>
              </w:rPr>
              <w:t>语言能力完全丧失，指无法发出四种语音</w:t>
            </w:r>
            <w:r>
              <w:rPr>
                <w:sz w:val="21"/>
              </w:rPr>
              <w:t>（</w:t>
            </w:r>
            <w:r>
              <w:rPr>
                <w:spacing w:val="-3"/>
                <w:sz w:val="21"/>
              </w:rPr>
              <w:t>包括口唇音、齿舌音、口盖音和喉头音</w:t>
            </w:r>
            <w:r>
              <w:rPr>
                <w:spacing w:val="-34"/>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不能做咀嚼吞咽运动，除流质食物外不能摄取或吞咽的状态。</w:t>
            </w:r>
          </w:p>
        </w:tc>
      </w:tr>
      <w:tr>
        <w:trPr>
          <w:trHeight w:val="340" w:hRule="atLeast"/>
        </w:trPr>
        <w:tc>
          <w:tcPr>
            <w:tcW w:w="806" w:type="dxa"/>
          </w:tcPr>
          <w:p>
            <w:pPr>
              <w:pStyle w:val="TableParagraph"/>
              <w:spacing w:line="264" w:lineRule="exact" w:before="57"/>
              <w:ind w:left="200"/>
              <w:rPr>
                <w:b/>
                <w:sz w:val="21"/>
              </w:rPr>
            </w:pPr>
            <w:r>
              <w:rPr>
                <w:b/>
                <w:sz w:val="21"/>
              </w:rPr>
              <w:t>8.24</w:t>
            </w:r>
          </w:p>
        </w:tc>
        <w:tc>
          <w:tcPr>
            <w:tcW w:w="1574" w:type="dxa"/>
          </w:tcPr>
          <w:p>
            <w:pPr>
              <w:pStyle w:val="TableParagraph"/>
              <w:spacing w:line="264" w:lineRule="exact" w:before="57"/>
              <w:ind w:left="184"/>
              <w:rPr>
                <w:b/>
                <w:sz w:val="21"/>
              </w:rPr>
            </w:pPr>
            <w:r>
              <w:rPr>
                <w:b/>
                <w:sz w:val="21"/>
              </w:rPr>
              <w:t>未到期保险费</w:t>
            </w:r>
          </w:p>
        </w:tc>
        <w:tc>
          <w:tcPr>
            <w:tcW w:w="7577" w:type="dxa"/>
          </w:tcPr>
          <w:p>
            <w:pPr>
              <w:pStyle w:val="TableParagraph"/>
              <w:spacing w:line="264" w:lineRule="exact" w:before="57"/>
              <w:ind w:left="124"/>
              <w:rPr>
                <w:sz w:val="21"/>
              </w:rPr>
            </w:pPr>
            <w:r>
              <w:rPr>
                <w:spacing w:val="-1"/>
                <w:sz w:val="21"/>
              </w:rPr>
              <w:t>未到期保险费 = 保险费×</w:t>
            </w:r>
            <w:r>
              <w:rPr>
                <w:sz w:val="21"/>
              </w:rPr>
              <w:t>（</w:t>
            </w:r>
            <w:r>
              <w:rPr>
                <w:spacing w:val="-3"/>
                <w:sz w:val="21"/>
              </w:rPr>
              <w:t>未经过天数/保险期间天数</w:t>
            </w:r>
            <w:r>
              <w:rPr>
                <w:spacing w:val="-106"/>
                <w:sz w:val="21"/>
              </w:rPr>
              <w:t>）</w:t>
            </w:r>
            <w:r>
              <w:rPr>
                <w:sz w:val="21"/>
              </w:rPr>
              <w:t>。</w:t>
            </w:r>
          </w:p>
        </w:tc>
      </w:tr>
    </w:tbl>
    <w:p>
      <w:pPr>
        <w:pStyle w:val="BodyText"/>
        <w:ind w:left="0"/>
        <w:rPr>
          <w:b/>
          <w:sz w:val="20"/>
        </w:rPr>
      </w:pPr>
    </w:p>
    <w:p>
      <w:pPr>
        <w:pStyle w:val="BodyText"/>
        <w:spacing w:before="3"/>
        <w:ind w:left="0"/>
        <w:rPr>
          <w:b/>
          <w:sz w:val="16"/>
        </w:rPr>
      </w:pPr>
    </w:p>
    <w:p>
      <w:pPr>
        <w:pStyle w:val="BodyText"/>
        <w:ind w:left="3972" w:right="4077"/>
        <w:jc w:val="center"/>
      </w:pPr>
      <w:r>
        <w:rPr/>
        <w:t>（保险条款内容结束）</w:t>
      </w:r>
    </w:p>
    <w:sectPr>
      <w:pgSz w:w="11910" w:h="16840"/>
      <w:pgMar w:header="0" w:footer="925" w:top="1100" w:bottom="1120" w:left="8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2706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758" w:hanging="423"/>
        <w:jc w:val="left"/>
      </w:pPr>
      <w:rPr>
        <w:rFonts w:hint="default" w:ascii="宋体" w:hAnsi="宋体" w:eastAsia="宋体" w:cs="宋体"/>
        <w:w w:val="100"/>
        <w:sz w:val="21"/>
        <w:szCs w:val="21"/>
      </w:rPr>
    </w:lvl>
    <w:lvl w:ilvl="1">
      <w:start w:val="0"/>
      <w:numFmt w:val="bullet"/>
      <w:lvlText w:val="•"/>
      <w:lvlJc w:val="left"/>
      <w:pPr>
        <w:ind w:left="1462" w:hanging="423"/>
      </w:pPr>
      <w:rPr>
        <w:rFonts w:hint="default"/>
      </w:rPr>
    </w:lvl>
    <w:lvl w:ilvl="2">
      <w:start w:val="0"/>
      <w:numFmt w:val="bullet"/>
      <w:lvlText w:val="•"/>
      <w:lvlJc w:val="left"/>
      <w:pPr>
        <w:ind w:left="2165" w:hanging="423"/>
      </w:pPr>
      <w:rPr>
        <w:rFonts w:hint="default"/>
      </w:rPr>
    </w:lvl>
    <w:lvl w:ilvl="3">
      <w:start w:val="0"/>
      <w:numFmt w:val="bullet"/>
      <w:lvlText w:val="•"/>
      <w:lvlJc w:val="left"/>
      <w:pPr>
        <w:ind w:left="2868" w:hanging="423"/>
      </w:pPr>
      <w:rPr>
        <w:rFonts w:hint="default"/>
      </w:rPr>
    </w:lvl>
    <w:lvl w:ilvl="4">
      <w:start w:val="0"/>
      <w:numFmt w:val="bullet"/>
      <w:lvlText w:val="•"/>
      <w:lvlJc w:val="left"/>
      <w:pPr>
        <w:ind w:left="3571" w:hanging="423"/>
      </w:pPr>
      <w:rPr>
        <w:rFonts w:hint="default"/>
      </w:rPr>
    </w:lvl>
    <w:lvl w:ilvl="5">
      <w:start w:val="0"/>
      <w:numFmt w:val="bullet"/>
      <w:lvlText w:val="•"/>
      <w:lvlJc w:val="left"/>
      <w:pPr>
        <w:ind w:left="4274" w:hanging="423"/>
      </w:pPr>
      <w:rPr>
        <w:rFonts w:hint="default"/>
      </w:rPr>
    </w:lvl>
    <w:lvl w:ilvl="6">
      <w:start w:val="0"/>
      <w:numFmt w:val="bullet"/>
      <w:lvlText w:val="•"/>
      <w:lvlJc w:val="left"/>
      <w:pPr>
        <w:ind w:left="4977" w:hanging="423"/>
      </w:pPr>
      <w:rPr>
        <w:rFonts w:hint="default"/>
      </w:rPr>
    </w:lvl>
    <w:lvl w:ilvl="7">
      <w:start w:val="0"/>
      <w:numFmt w:val="bullet"/>
      <w:lvlText w:val="•"/>
      <w:lvlJc w:val="left"/>
      <w:pPr>
        <w:ind w:left="5680" w:hanging="423"/>
      </w:pPr>
      <w:rPr>
        <w:rFonts w:hint="default"/>
      </w:rPr>
    </w:lvl>
    <w:lvl w:ilvl="8">
      <w:start w:val="0"/>
      <w:numFmt w:val="bullet"/>
      <w:lvlText w:val="•"/>
      <w:lvlJc w:val="left"/>
      <w:pPr>
        <w:ind w:left="6383" w:hanging="423"/>
      </w:pPr>
      <w:rPr>
        <w:rFonts w:hint="default"/>
      </w:rPr>
    </w:lvl>
  </w:abstractNum>
  <w:abstractNum w:abstractNumId="19">
    <w:multiLevelType w:val="hybridMultilevel"/>
    <w:lvl w:ilvl="0">
      <w:start w:val="1"/>
      <w:numFmt w:val="decimal"/>
      <w:lvlText w:val="%1."/>
      <w:lvlJc w:val="left"/>
      <w:pPr>
        <w:ind w:left="756" w:hanging="421"/>
        <w:jc w:val="left"/>
      </w:pPr>
      <w:rPr>
        <w:rFonts w:hint="default" w:ascii="宋体" w:hAnsi="宋体" w:eastAsia="宋体" w:cs="宋体"/>
        <w:w w:val="100"/>
        <w:sz w:val="21"/>
        <w:szCs w:val="21"/>
      </w:rPr>
    </w:lvl>
    <w:lvl w:ilvl="1">
      <w:start w:val="0"/>
      <w:numFmt w:val="bullet"/>
      <w:lvlText w:val="•"/>
      <w:lvlJc w:val="left"/>
      <w:pPr>
        <w:ind w:left="1462" w:hanging="421"/>
      </w:pPr>
      <w:rPr>
        <w:rFonts w:hint="default"/>
      </w:rPr>
    </w:lvl>
    <w:lvl w:ilvl="2">
      <w:start w:val="0"/>
      <w:numFmt w:val="bullet"/>
      <w:lvlText w:val="•"/>
      <w:lvlJc w:val="left"/>
      <w:pPr>
        <w:ind w:left="2165" w:hanging="421"/>
      </w:pPr>
      <w:rPr>
        <w:rFonts w:hint="default"/>
      </w:rPr>
    </w:lvl>
    <w:lvl w:ilvl="3">
      <w:start w:val="0"/>
      <w:numFmt w:val="bullet"/>
      <w:lvlText w:val="•"/>
      <w:lvlJc w:val="left"/>
      <w:pPr>
        <w:ind w:left="2868" w:hanging="421"/>
      </w:pPr>
      <w:rPr>
        <w:rFonts w:hint="default"/>
      </w:rPr>
    </w:lvl>
    <w:lvl w:ilvl="4">
      <w:start w:val="0"/>
      <w:numFmt w:val="bullet"/>
      <w:lvlText w:val="•"/>
      <w:lvlJc w:val="left"/>
      <w:pPr>
        <w:ind w:left="3571" w:hanging="421"/>
      </w:pPr>
      <w:rPr>
        <w:rFonts w:hint="default"/>
      </w:rPr>
    </w:lvl>
    <w:lvl w:ilvl="5">
      <w:start w:val="0"/>
      <w:numFmt w:val="bullet"/>
      <w:lvlText w:val="•"/>
      <w:lvlJc w:val="left"/>
      <w:pPr>
        <w:ind w:left="4274" w:hanging="421"/>
      </w:pPr>
      <w:rPr>
        <w:rFonts w:hint="default"/>
      </w:rPr>
    </w:lvl>
    <w:lvl w:ilvl="6">
      <w:start w:val="0"/>
      <w:numFmt w:val="bullet"/>
      <w:lvlText w:val="•"/>
      <w:lvlJc w:val="left"/>
      <w:pPr>
        <w:ind w:left="4977" w:hanging="421"/>
      </w:pPr>
      <w:rPr>
        <w:rFonts w:hint="default"/>
      </w:rPr>
    </w:lvl>
    <w:lvl w:ilvl="7">
      <w:start w:val="0"/>
      <w:numFmt w:val="bullet"/>
      <w:lvlText w:val="•"/>
      <w:lvlJc w:val="left"/>
      <w:pPr>
        <w:ind w:left="5680" w:hanging="421"/>
      </w:pPr>
      <w:rPr>
        <w:rFonts w:hint="default"/>
      </w:rPr>
    </w:lvl>
    <w:lvl w:ilvl="8">
      <w:start w:val="0"/>
      <w:numFmt w:val="bullet"/>
      <w:lvlText w:val="•"/>
      <w:lvlJc w:val="left"/>
      <w:pPr>
        <w:ind w:left="6383" w:hanging="421"/>
      </w:pPr>
      <w:rPr>
        <w:rFonts w:hint="default"/>
      </w:rPr>
    </w:lvl>
  </w:abstractNum>
  <w:abstractNum w:abstractNumId="18">
    <w:multiLevelType w:val="hybridMultilevel"/>
    <w:lvl w:ilvl="0">
      <w:start w:val="30"/>
      <w:numFmt w:val="decimal"/>
      <w:lvlText w:val="%1."/>
      <w:lvlJc w:val="left"/>
      <w:pPr>
        <w:ind w:left="756" w:hanging="421"/>
        <w:jc w:val="left"/>
      </w:pPr>
      <w:rPr>
        <w:rFonts w:hint="default"/>
        <w:w w:val="100"/>
      </w:rPr>
    </w:lvl>
    <w:lvl w:ilvl="1">
      <w:start w:val="1"/>
      <w:numFmt w:val="decimal"/>
      <w:lvlText w:val="(%2)"/>
      <w:lvlJc w:val="left"/>
      <w:pPr>
        <w:ind w:left="1178" w:hanging="423"/>
        <w:jc w:val="left"/>
      </w:pPr>
      <w:rPr>
        <w:rFonts w:hint="default" w:ascii="宋体" w:hAnsi="宋体" w:eastAsia="宋体" w:cs="宋体"/>
        <w:w w:val="100"/>
        <w:sz w:val="21"/>
        <w:szCs w:val="21"/>
      </w:rPr>
    </w:lvl>
    <w:lvl w:ilvl="2">
      <w:start w:val="0"/>
      <w:numFmt w:val="bullet"/>
      <w:lvlText w:val="•"/>
      <w:lvlJc w:val="left"/>
      <w:pPr>
        <w:ind w:left="1914" w:hanging="423"/>
      </w:pPr>
      <w:rPr>
        <w:rFonts w:hint="default"/>
      </w:rPr>
    </w:lvl>
    <w:lvl w:ilvl="3">
      <w:start w:val="0"/>
      <w:numFmt w:val="bullet"/>
      <w:lvlText w:val="•"/>
      <w:lvlJc w:val="left"/>
      <w:pPr>
        <w:ind w:left="2648" w:hanging="423"/>
      </w:pPr>
      <w:rPr>
        <w:rFonts w:hint="default"/>
      </w:rPr>
    </w:lvl>
    <w:lvl w:ilvl="4">
      <w:start w:val="0"/>
      <w:numFmt w:val="bullet"/>
      <w:lvlText w:val="•"/>
      <w:lvlJc w:val="left"/>
      <w:pPr>
        <w:ind w:left="3383" w:hanging="423"/>
      </w:pPr>
      <w:rPr>
        <w:rFonts w:hint="default"/>
      </w:rPr>
    </w:lvl>
    <w:lvl w:ilvl="5">
      <w:start w:val="0"/>
      <w:numFmt w:val="bullet"/>
      <w:lvlText w:val="•"/>
      <w:lvlJc w:val="left"/>
      <w:pPr>
        <w:ind w:left="4117" w:hanging="423"/>
      </w:pPr>
      <w:rPr>
        <w:rFonts w:hint="default"/>
      </w:rPr>
    </w:lvl>
    <w:lvl w:ilvl="6">
      <w:start w:val="0"/>
      <w:numFmt w:val="bullet"/>
      <w:lvlText w:val="•"/>
      <w:lvlJc w:val="left"/>
      <w:pPr>
        <w:ind w:left="4851" w:hanging="423"/>
      </w:pPr>
      <w:rPr>
        <w:rFonts w:hint="default"/>
      </w:rPr>
    </w:lvl>
    <w:lvl w:ilvl="7">
      <w:start w:val="0"/>
      <w:numFmt w:val="bullet"/>
      <w:lvlText w:val="•"/>
      <w:lvlJc w:val="left"/>
      <w:pPr>
        <w:ind w:left="5586" w:hanging="423"/>
      </w:pPr>
      <w:rPr>
        <w:rFonts w:hint="default"/>
      </w:rPr>
    </w:lvl>
    <w:lvl w:ilvl="8">
      <w:start w:val="0"/>
      <w:numFmt w:val="bullet"/>
      <w:lvlText w:val="•"/>
      <w:lvlJc w:val="left"/>
      <w:pPr>
        <w:ind w:left="6320" w:hanging="423"/>
      </w:pPr>
      <w:rPr>
        <w:rFonts w:hint="default"/>
      </w:rPr>
    </w:lvl>
  </w:abstractNum>
  <w:abstractNum w:abstractNumId="17">
    <w:multiLevelType w:val="hybridMultilevel"/>
    <w:lvl w:ilvl="0">
      <w:start w:val="1"/>
      <w:numFmt w:val="upperRoman"/>
      <w:lvlText w:val="%1"/>
      <w:lvlJc w:val="left"/>
      <w:pPr>
        <w:ind w:left="2336" w:hanging="159"/>
        <w:jc w:val="left"/>
      </w:pPr>
      <w:rPr>
        <w:rFonts w:hint="default" w:ascii="宋体" w:hAnsi="宋体" w:eastAsia="宋体" w:cs="宋体"/>
        <w:w w:val="100"/>
        <w:sz w:val="21"/>
        <w:szCs w:val="21"/>
      </w:rPr>
    </w:lvl>
    <w:lvl w:ilvl="1">
      <w:start w:val="0"/>
      <w:numFmt w:val="bullet"/>
      <w:lvlText w:val="•"/>
      <w:lvlJc w:val="left"/>
      <w:pPr>
        <w:ind w:left="3018" w:hanging="159"/>
      </w:pPr>
      <w:rPr>
        <w:rFonts w:hint="default"/>
      </w:rPr>
    </w:lvl>
    <w:lvl w:ilvl="2">
      <w:start w:val="0"/>
      <w:numFmt w:val="bullet"/>
      <w:lvlText w:val="•"/>
      <w:lvlJc w:val="left"/>
      <w:pPr>
        <w:ind w:left="3697" w:hanging="159"/>
      </w:pPr>
      <w:rPr>
        <w:rFonts w:hint="default"/>
      </w:rPr>
    </w:lvl>
    <w:lvl w:ilvl="3">
      <w:start w:val="0"/>
      <w:numFmt w:val="bullet"/>
      <w:lvlText w:val="•"/>
      <w:lvlJc w:val="left"/>
      <w:pPr>
        <w:ind w:left="4375" w:hanging="159"/>
      </w:pPr>
      <w:rPr>
        <w:rFonts w:hint="default"/>
      </w:rPr>
    </w:lvl>
    <w:lvl w:ilvl="4">
      <w:start w:val="0"/>
      <w:numFmt w:val="bullet"/>
      <w:lvlText w:val="•"/>
      <w:lvlJc w:val="left"/>
      <w:pPr>
        <w:ind w:left="5054" w:hanging="159"/>
      </w:pPr>
      <w:rPr>
        <w:rFonts w:hint="default"/>
      </w:rPr>
    </w:lvl>
    <w:lvl w:ilvl="5">
      <w:start w:val="0"/>
      <w:numFmt w:val="bullet"/>
      <w:lvlText w:val="•"/>
      <w:lvlJc w:val="left"/>
      <w:pPr>
        <w:ind w:left="5733" w:hanging="159"/>
      </w:pPr>
      <w:rPr>
        <w:rFonts w:hint="default"/>
      </w:rPr>
    </w:lvl>
    <w:lvl w:ilvl="6">
      <w:start w:val="0"/>
      <w:numFmt w:val="bullet"/>
      <w:lvlText w:val="•"/>
      <w:lvlJc w:val="left"/>
      <w:pPr>
        <w:ind w:left="6411" w:hanging="159"/>
      </w:pPr>
      <w:rPr>
        <w:rFonts w:hint="default"/>
      </w:rPr>
    </w:lvl>
    <w:lvl w:ilvl="7">
      <w:start w:val="0"/>
      <w:numFmt w:val="bullet"/>
      <w:lvlText w:val="•"/>
      <w:lvlJc w:val="left"/>
      <w:pPr>
        <w:ind w:left="7090" w:hanging="159"/>
      </w:pPr>
      <w:rPr>
        <w:rFonts w:hint="default"/>
      </w:rPr>
    </w:lvl>
    <w:lvl w:ilvl="8">
      <w:start w:val="0"/>
      <w:numFmt w:val="bullet"/>
      <w:lvlText w:val="•"/>
      <w:lvlJc w:val="left"/>
      <w:pPr>
        <w:ind w:left="7769" w:hanging="159"/>
      </w:pPr>
      <w:rPr>
        <w:rFonts w:hint="default"/>
      </w:rPr>
    </w:lvl>
  </w:abstractNum>
  <w:abstractNum w:abstractNumId="16">
    <w:multiLevelType w:val="hybridMultilevel"/>
    <w:lvl w:ilvl="0">
      <w:start w:val="1"/>
      <w:numFmt w:val="upperRoman"/>
      <w:lvlText w:val="%1"/>
      <w:lvlJc w:val="left"/>
      <w:pPr>
        <w:ind w:left="2177" w:hanging="159"/>
        <w:jc w:val="left"/>
      </w:pPr>
      <w:rPr>
        <w:rFonts w:hint="default" w:ascii="宋体" w:hAnsi="宋体" w:eastAsia="宋体" w:cs="宋体"/>
        <w:w w:val="100"/>
        <w:sz w:val="21"/>
        <w:szCs w:val="21"/>
      </w:rPr>
    </w:lvl>
    <w:lvl w:ilvl="1">
      <w:start w:val="0"/>
      <w:numFmt w:val="bullet"/>
      <w:lvlText w:val="•"/>
      <w:lvlJc w:val="left"/>
      <w:pPr>
        <w:ind w:left="2874" w:hanging="159"/>
      </w:pPr>
      <w:rPr>
        <w:rFonts w:hint="default"/>
      </w:rPr>
    </w:lvl>
    <w:lvl w:ilvl="2">
      <w:start w:val="0"/>
      <w:numFmt w:val="bullet"/>
      <w:lvlText w:val="•"/>
      <w:lvlJc w:val="left"/>
      <w:pPr>
        <w:ind w:left="3569" w:hanging="159"/>
      </w:pPr>
      <w:rPr>
        <w:rFonts w:hint="default"/>
      </w:rPr>
    </w:lvl>
    <w:lvl w:ilvl="3">
      <w:start w:val="0"/>
      <w:numFmt w:val="bullet"/>
      <w:lvlText w:val="•"/>
      <w:lvlJc w:val="left"/>
      <w:pPr>
        <w:ind w:left="4263" w:hanging="159"/>
      </w:pPr>
      <w:rPr>
        <w:rFonts w:hint="default"/>
      </w:rPr>
    </w:lvl>
    <w:lvl w:ilvl="4">
      <w:start w:val="0"/>
      <w:numFmt w:val="bullet"/>
      <w:lvlText w:val="•"/>
      <w:lvlJc w:val="left"/>
      <w:pPr>
        <w:ind w:left="4958" w:hanging="159"/>
      </w:pPr>
      <w:rPr>
        <w:rFonts w:hint="default"/>
      </w:rPr>
    </w:lvl>
    <w:lvl w:ilvl="5">
      <w:start w:val="0"/>
      <w:numFmt w:val="bullet"/>
      <w:lvlText w:val="•"/>
      <w:lvlJc w:val="left"/>
      <w:pPr>
        <w:ind w:left="5653" w:hanging="159"/>
      </w:pPr>
      <w:rPr>
        <w:rFonts w:hint="default"/>
      </w:rPr>
    </w:lvl>
    <w:lvl w:ilvl="6">
      <w:start w:val="0"/>
      <w:numFmt w:val="bullet"/>
      <w:lvlText w:val="•"/>
      <w:lvlJc w:val="left"/>
      <w:pPr>
        <w:ind w:left="6347" w:hanging="159"/>
      </w:pPr>
      <w:rPr>
        <w:rFonts w:hint="default"/>
      </w:rPr>
    </w:lvl>
    <w:lvl w:ilvl="7">
      <w:start w:val="0"/>
      <w:numFmt w:val="bullet"/>
      <w:lvlText w:val="•"/>
      <w:lvlJc w:val="left"/>
      <w:pPr>
        <w:ind w:left="7042" w:hanging="159"/>
      </w:pPr>
      <w:rPr>
        <w:rFonts w:hint="default"/>
      </w:rPr>
    </w:lvl>
    <w:lvl w:ilvl="8">
      <w:start w:val="0"/>
      <w:numFmt w:val="bullet"/>
      <w:lvlText w:val="•"/>
      <w:lvlJc w:val="left"/>
      <w:pPr>
        <w:ind w:left="7737" w:hanging="159"/>
      </w:pPr>
      <w:rPr>
        <w:rFonts w:hint="default"/>
      </w:rPr>
    </w:lvl>
  </w:abstractNum>
  <w:abstractNum w:abstractNumId="15">
    <w:multiLevelType w:val="hybridMultilevel"/>
    <w:lvl w:ilvl="0">
      <w:start w:val="6"/>
      <w:numFmt w:val="decimal"/>
      <w:lvlText w:val="%1."/>
      <w:lvlJc w:val="left"/>
      <w:pPr>
        <w:ind w:left="2177" w:hanging="421"/>
        <w:jc w:val="left"/>
      </w:pPr>
      <w:rPr>
        <w:rFonts w:hint="default" w:ascii="宋体" w:hAnsi="宋体" w:eastAsia="宋体" w:cs="宋体"/>
        <w:w w:val="100"/>
        <w:sz w:val="21"/>
        <w:szCs w:val="21"/>
      </w:rPr>
    </w:lvl>
    <w:lvl w:ilvl="1">
      <w:start w:val="1"/>
      <w:numFmt w:val="decimal"/>
      <w:lvlText w:val="(%2)"/>
      <w:lvlJc w:val="left"/>
      <w:pPr>
        <w:ind w:left="2600" w:hanging="423"/>
        <w:jc w:val="left"/>
      </w:pPr>
      <w:rPr>
        <w:rFonts w:hint="default" w:ascii="宋体" w:hAnsi="宋体" w:eastAsia="宋体" w:cs="宋体"/>
        <w:w w:val="100"/>
        <w:sz w:val="21"/>
        <w:szCs w:val="21"/>
      </w:rPr>
    </w:lvl>
    <w:lvl w:ilvl="2">
      <w:start w:val="0"/>
      <w:numFmt w:val="bullet"/>
      <w:lvlText w:val="•"/>
      <w:lvlJc w:val="left"/>
      <w:pPr>
        <w:ind w:left="2600" w:hanging="423"/>
      </w:pPr>
      <w:rPr>
        <w:rFonts w:hint="default"/>
      </w:rPr>
    </w:lvl>
    <w:lvl w:ilvl="3">
      <w:start w:val="0"/>
      <w:numFmt w:val="bullet"/>
      <w:lvlText w:val="•"/>
      <w:lvlJc w:val="left"/>
      <w:pPr>
        <w:ind w:left="3403" w:hanging="423"/>
      </w:pPr>
      <w:rPr>
        <w:rFonts w:hint="default"/>
      </w:rPr>
    </w:lvl>
    <w:lvl w:ilvl="4">
      <w:start w:val="0"/>
      <w:numFmt w:val="bullet"/>
      <w:lvlText w:val="•"/>
      <w:lvlJc w:val="left"/>
      <w:pPr>
        <w:ind w:left="4206" w:hanging="423"/>
      </w:pPr>
      <w:rPr>
        <w:rFonts w:hint="default"/>
      </w:rPr>
    </w:lvl>
    <w:lvl w:ilvl="5">
      <w:start w:val="0"/>
      <w:numFmt w:val="bullet"/>
      <w:lvlText w:val="•"/>
      <w:lvlJc w:val="left"/>
      <w:pPr>
        <w:ind w:left="5009" w:hanging="423"/>
      </w:pPr>
      <w:rPr>
        <w:rFonts w:hint="default"/>
      </w:rPr>
    </w:lvl>
    <w:lvl w:ilvl="6">
      <w:start w:val="0"/>
      <w:numFmt w:val="bullet"/>
      <w:lvlText w:val="•"/>
      <w:lvlJc w:val="left"/>
      <w:pPr>
        <w:ind w:left="5813" w:hanging="423"/>
      </w:pPr>
      <w:rPr>
        <w:rFonts w:hint="default"/>
      </w:rPr>
    </w:lvl>
    <w:lvl w:ilvl="7">
      <w:start w:val="0"/>
      <w:numFmt w:val="bullet"/>
      <w:lvlText w:val="•"/>
      <w:lvlJc w:val="left"/>
      <w:pPr>
        <w:ind w:left="6616" w:hanging="423"/>
      </w:pPr>
      <w:rPr>
        <w:rFonts w:hint="default"/>
      </w:rPr>
    </w:lvl>
    <w:lvl w:ilvl="8">
      <w:start w:val="0"/>
      <w:numFmt w:val="bullet"/>
      <w:lvlText w:val="•"/>
      <w:lvlJc w:val="left"/>
      <w:pPr>
        <w:ind w:left="7419" w:hanging="423"/>
      </w:pPr>
      <w:rPr>
        <w:rFonts w:hint="default"/>
      </w:rPr>
    </w:lvl>
  </w:abstractNum>
  <w:abstractNum w:abstractNumId="14">
    <w:multiLevelType w:val="hybridMultilevel"/>
    <w:lvl w:ilvl="0">
      <w:start w:val="1"/>
      <w:numFmt w:val="decimal"/>
      <w:lvlText w:val="%1."/>
      <w:lvlJc w:val="left"/>
      <w:pPr>
        <w:ind w:left="755" w:hanging="421"/>
        <w:jc w:val="left"/>
      </w:pPr>
      <w:rPr>
        <w:rFonts w:hint="default" w:ascii="宋体" w:hAnsi="宋体" w:eastAsia="宋体" w:cs="宋体"/>
        <w:w w:val="100"/>
        <w:sz w:val="21"/>
        <w:szCs w:val="21"/>
      </w:rPr>
    </w:lvl>
    <w:lvl w:ilvl="1">
      <w:start w:val="0"/>
      <w:numFmt w:val="bullet"/>
      <w:lvlText w:val="•"/>
      <w:lvlJc w:val="left"/>
      <w:pPr>
        <w:ind w:left="1280" w:hanging="421"/>
      </w:pPr>
      <w:rPr>
        <w:rFonts w:hint="default"/>
      </w:rPr>
    </w:lvl>
    <w:lvl w:ilvl="2">
      <w:start w:val="0"/>
      <w:numFmt w:val="bullet"/>
      <w:lvlText w:val="•"/>
      <w:lvlJc w:val="left"/>
      <w:pPr>
        <w:ind w:left="2003" w:hanging="421"/>
      </w:pPr>
      <w:rPr>
        <w:rFonts w:hint="default"/>
      </w:rPr>
    </w:lvl>
    <w:lvl w:ilvl="3">
      <w:start w:val="0"/>
      <w:numFmt w:val="bullet"/>
      <w:lvlText w:val="•"/>
      <w:lvlJc w:val="left"/>
      <w:pPr>
        <w:ind w:left="2726" w:hanging="421"/>
      </w:pPr>
      <w:rPr>
        <w:rFonts w:hint="default"/>
      </w:rPr>
    </w:lvl>
    <w:lvl w:ilvl="4">
      <w:start w:val="0"/>
      <w:numFmt w:val="bullet"/>
      <w:lvlText w:val="•"/>
      <w:lvlJc w:val="left"/>
      <w:pPr>
        <w:ind w:left="3449" w:hanging="421"/>
      </w:pPr>
      <w:rPr>
        <w:rFonts w:hint="default"/>
      </w:rPr>
    </w:lvl>
    <w:lvl w:ilvl="5">
      <w:start w:val="0"/>
      <w:numFmt w:val="bullet"/>
      <w:lvlText w:val="•"/>
      <w:lvlJc w:val="left"/>
      <w:pPr>
        <w:ind w:left="4172" w:hanging="421"/>
      </w:pPr>
      <w:rPr>
        <w:rFonts w:hint="default"/>
      </w:rPr>
    </w:lvl>
    <w:lvl w:ilvl="6">
      <w:start w:val="0"/>
      <w:numFmt w:val="bullet"/>
      <w:lvlText w:val="•"/>
      <w:lvlJc w:val="left"/>
      <w:pPr>
        <w:ind w:left="4896" w:hanging="421"/>
      </w:pPr>
      <w:rPr>
        <w:rFonts w:hint="default"/>
      </w:rPr>
    </w:lvl>
    <w:lvl w:ilvl="7">
      <w:start w:val="0"/>
      <w:numFmt w:val="bullet"/>
      <w:lvlText w:val="•"/>
      <w:lvlJc w:val="left"/>
      <w:pPr>
        <w:ind w:left="5619" w:hanging="421"/>
      </w:pPr>
      <w:rPr>
        <w:rFonts w:hint="default"/>
      </w:rPr>
    </w:lvl>
    <w:lvl w:ilvl="8">
      <w:start w:val="0"/>
      <w:numFmt w:val="bullet"/>
      <w:lvlText w:val="•"/>
      <w:lvlJc w:val="left"/>
      <w:pPr>
        <w:ind w:left="6342" w:hanging="421"/>
      </w:pPr>
      <w:rPr>
        <w:rFonts w:hint="default"/>
      </w:rPr>
    </w:lvl>
  </w:abstractNum>
  <w:abstractNum w:abstractNumId="13">
    <w:multiLevelType w:val="hybridMultilevel"/>
    <w:lvl w:ilvl="0">
      <w:start w:val="1"/>
      <w:numFmt w:val="decimal"/>
      <w:lvlText w:val="%1."/>
      <w:lvlJc w:val="left"/>
      <w:pPr>
        <w:ind w:left="544" w:hanging="421"/>
        <w:jc w:val="left"/>
      </w:pPr>
      <w:rPr>
        <w:rFonts w:hint="default" w:ascii="宋体" w:hAnsi="宋体" w:eastAsia="宋体" w:cs="宋体"/>
        <w:w w:val="100"/>
        <w:sz w:val="21"/>
        <w:szCs w:val="21"/>
      </w:rPr>
    </w:lvl>
    <w:lvl w:ilvl="1">
      <w:start w:val="0"/>
      <w:numFmt w:val="bullet"/>
      <w:lvlText w:val="•"/>
      <w:lvlJc w:val="left"/>
      <w:pPr>
        <w:ind w:left="1224" w:hanging="421"/>
      </w:pPr>
      <w:rPr>
        <w:rFonts w:hint="default"/>
      </w:rPr>
    </w:lvl>
    <w:lvl w:ilvl="2">
      <w:start w:val="0"/>
      <w:numFmt w:val="bullet"/>
      <w:lvlText w:val="•"/>
      <w:lvlJc w:val="left"/>
      <w:pPr>
        <w:ind w:left="1908" w:hanging="421"/>
      </w:pPr>
      <w:rPr>
        <w:rFonts w:hint="default"/>
      </w:rPr>
    </w:lvl>
    <w:lvl w:ilvl="3">
      <w:start w:val="0"/>
      <w:numFmt w:val="bullet"/>
      <w:lvlText w:val="•"/>
      <w:lvlJc w:val="left"/>
      <w:pPr>
        <w:ind w:left="2592" w:hanging="421"/>
      </w:pPr>
      <w:rPr>
        <w:rFonts w:hint="default"/>
      </w:rPr>
    </w:lvl>
    <w:lvl w:ilvl="4">
      <w:start w:val="0"/>
      <w:numFmt w:val="bullet"/>
      <w:lvlText w:val="•"/>
      <w:lvlJc w:val="left"/>
      <w:pPr>
        <w:ind w:left="3276" w:hanging="421"/>
      </w:pPr>
      <w:rPr>
        <w:rFonts w:hint="default"/>
      </w:rPr>
    </w:lvl>
    <w:lvl w:ilvl="5">
      <w:start w:val="0"/>
      <w:numFmt w:val="bullet"/>
      <w:lvlText w:val="•"/>
      <w:lvlJc w:val="left"/>
      <w:pPr>
        <w:ind w:left="3960" w:hanging="421"/>
      </w:pPr>
      <w:rPr>
        <w:rFonts w:hint="default"/>
      </w:rPr>
    </w:lvl>
    <w:lvl w:ilvl="6">
      <w:start w:val="0"/>
      <w:numFmt w:val="bullet"/>
      <w:lvlText w:val="•"/>
      <w:lvlJc w:val="left"/>
      <w:pPr>
        <w:ind w:left="4644" w:hanging="421"/>
      </w:pPr>
      <w:rPr>
        <w:rFonts w:hint="default"/>
      </w:rPr>
    </w:lvl>
    <w:lvl w:ilvl="7">
      <w:start w:val="0"/>
      <w:numFmt w:val="bullet"/>
      <w:lvlText w:val="•"/>
      <w:lvlJc w:val="left"/>
      <w:pPr>
        <w:ind w:left="5328" w:hanging="421"/>
      </w:pPr>
      <w:rPr>
        <w:rFonts w:hint="default"/>
      </w:rPr>
    </w:lvl>
    <w:lvl w:ilvl="8">
      <w:start w:val="0"/>
      <w:numFmt w:val="bullet"/>
      <w:lvlText w:val="•"/>
      <w:lvlJc w:val="left"/>
      <w:pPr>
        <w:ind w:left="6012" w:hanging="421"/>
      </w:pPr>
      <w:rPr>
        <w:rFonts w:hint="default"/>
      </w:rPr>
    </w:lvl>
  </w:abstractNum>
  <w:abstractNum w:abstractNumId="12">
    <w:multiLevelType w:val="hybridMultilevel"/>
    <w:lvl w:ilvl="0">
      <w:start w:val="1"/>
      <w:numFmt w:val="decimal"/>
      <w:lvlText w:val="%1."/>
      <w:lvlJc w:val="left"/>
      <w:pPr>
        <w:ind w:left="651" w:hanging="318"/>
        <w:jc w:val="left"/>
      </w:pPr>
      <w:rPr>
        <w:rFonts w:hint="default" w:ascii="宋体" w:hAnsi="宋体" w:eastAsia="宋体" w:cs="宋体"/>
        <w:w w:val="100"/>
        <w:sz w:val="21"/>
        <w:szCs w:val="21"/>
      </w:rPr>
    </w:lvl>
    <w:lvl w:ilvl="1">
      <w:start w:val="0"/>
      <w:numFmt w:val="bullet"/>
      <w:lvlText w:val="•"/>
      <w:lvlJc w:val="left"/>
      <w:pPr>
        <w:ind w:left="1370" w:hanging="318"/>
      </w:pPr>
      <w:rPr>
        <w:rFonts w:hint="default"/>
      </w:rPr>
    </w:lvl>
    <w:lvl w:ilvl="2">
      <w:start w:val="0"/>
      <w:numFmt w:val="bullet"/>
      <w:lvlText w:val="•"/>
      <w:lvlJc w:val="left"/>
      <w:pPr>
        <w:ind w:left="2080" w:hanging="318"/>
      </w:pPr>
      <w:rPr>
        <w:rFonts w:hint="default"/>
      </w:rPr>
    </w:lvl>
    <w:lvl w:ilvl="3">
      <w:start w:val="0"/>
      <w:numFmt w:val="bullet"/>
      <w:lvlText w:val="•"/>
      <w:lvlJc w:val="left"/>
      <w:pPr>
        <w:ind w:left="2790" w:hanging="318"/>
      </w:pPr>
      <w:rPr>
        <w:rFonts w:hint="default"/>
      </w:rPr>
    </w:lvl>
    <w:lvl w:ilvl="4">
      <w:start w:val="0"/>
      <w:numFmt w:val="bullet"/>
      <w:lvlText w:val="•"/>
      <w:lvlJc w:val="left"/>
      <w:pPr>
        <w:ind w:left="3500" w:hanging="318"/>
      </w:pPr>
      <w:rPr>
        <w:rFonts w:hint="default"/>
      </w:rPr>
    </w:lvl>
    <w:lvl w:ilvl="5">
      <w:start w:val="0"/>
      <w:numFmt w:val="bullet"/>
      <w:lvlText w:val="•"/>
      <w:lvlJc w:val="left"/>
      <w:pPr>
        <w:ind w:left="4210" w:hanging="318"/>
      </w:pPr>
      <w:rPr>
        <w:rFonts w:hint="default"/>
      </w:rPr>
    </w:lvl>
    <w:lvl w:ilvl="6">
      <w:start w:val="0"/>
      <w:numFmt w:val="bullet"/>
      <w:lvlText w:val="•"/>
      <w:lvlJc w:val="left"/>
      <w:pPr>
        <w:ind w:left="4920" w:hanging="318"/>
      </w:pPr>
      <w:rPr>
        <w:rFonts w:hint="default"/>
      </w:rPr>
    </w:lvl>
    <w:lvl w:ilvl="7">
      <w:start w:val="0"/>
      <w:numFmt w:val="bullet"/>
      <w:lvlText w:val="•"/>
      <w:lvlJc w:val="left"/>
      <w:pPr>
        <w:ind w:left="5630" w:hanging="318"/>
      </w:pPr>
      <w:rPr>
        <w:rFonts w:hint="default"/>
      </w:rPr>
    </w:lvl>
    <w:lvl w:ilvl="8">
      <w:start w:val="0"/>
      <w:numFmt w:val="bullet"/>
      <w:lvlText w:val="•"/>
      <w:lvlJc w:val="left"/>
      <w:pPr>
        <w:ind w:left="6340" w:hanging="318"/>
      </w:pPr>
      <w:rPr>
        <w:rFonts w:hint="default"/>
      </w:rPr>
    </w:lvl>
  </w:abstractNum>
  <w:abstractNum w:abstractNumId="11">
    <w:multiLevelType w:val="hybridMultilevel"/>
    <w:lvl w:ilvl="0">
      <w:start w:val="8"/>
      <w:numFmt w:val="decimal"/>
      <w:lvlText w:val="%1"/>
      <w:lvlJc w:val="left"/>
      <w:pPr>
        <w:ind w:left="734" w:hanging="527"/>
        <w:jc w:val="left"/>
      </w:pPr>
      <w:rPr>
        <w:rFonts w:hint="default"/>
      </w:rPr>
    </w:lvl>
    <w:lvl w:ilvl="1">
      <w:start w:val="23"/>
      <w:numFmt w:val="decimal"/>
      <w:lvlText w:val="%1.%2"/>
      <w:lvlJc w:val="left"/>
      <w:pPr>
        <w:ind w:left="734" w:hanging="527"/>
        <w:jc w:val="left"/>
      </w:pPr>
      <w:rPr>
        <w:rFonts w:hint="default" w:ascii="宋体" w:hAnsi="宋体" w:eastAsia="宋体" w:cs="宋体"/>
        <w:w w:val="100"/>
        <w:sz w:val="21"/>
        <w:szCs w:val="21"/>
      </w:rPr>
    </w:lvl>
    <w:lvl w:ilvl="2">
      <w:start w:val="0"/>
      <w:numFmt w:val="bullet"/>
      <w:lvlText w:val="•"/>
      <w:lvlJc w:val="left"/>
      <w:pPr>
        <w:ind w:left="1072" w:hanging="527"/>
      </w:pPr>
      <w:rPr>
        <w:rFonts w:hint="default"/>
      </w:rPr>
    </w:lvl>
    <w:lvl w:ilvl="3">
      <w:start w:val="0"/>
      <w:numFmt w:val="bullet"/>
      <w:lvlText w:val="•"/>
      <w:lvlJc w:val="left"/>
      <w:pPr>
        <w:ind w:left="1238" w:hanging="527"/>
      </w:pPr>
      <w:rPr>
        <w:rFonts w:hint="default"/>
      </w:rPr>
    </w:lvl>
    <w:lvl w:ilvl="4">
      <w:start w:val="0"/>
      <w:numFmt w:val="bullet"/>
      <w:lvlText w:val="•"/>
      <w:lvlJc w:val="left"/>
      <w:pPr>
        <w:ind w:left="1405" w:hanging="527"/>
      </w:pPr>
      <w:rPr>
        <w:rFonts w:hint="default"/>
      </w:rPr>
    </w:lvl>
    <w:lvl w:ilvl="5">
      <w:start w:val="0"/>
      <w:numFmt w:val="bullet"/>
      <w:lvlText w:val="•"/>
      <w:lvlJc w:val="left"/>
      <w:pPr>
        <w:ind w:left="1571" w:hanging="527"/>
      </w:pPr>
      <w:rPr>
        <w:rFonts w:hint="default"/>
      </w:rPr>
    </w:lvl>
    <w:lvl w:ilvl="6">
      <w:start w:val="0"/>
      <w:numFmt w:val="bullet"/>
      <w:lvlText w:val="•"/>
      <w:lvlJc w:val="left"/>
      <w:pPr>
        <w:ind w:left="1737" w:hanging="527"/>
      </w:pPr>
      <w:rPr>
        <w:rFonts w:hint="default"/>
      </w:rPr>
    </w:lvl>
    <w:lvl w:ilvl="7">
      <w:start w:val="0"/>
      <w:numFmt w:val="bullet"/>
      <w:lvlText w:val="•"/>
      <w:lvlJc w:val="left"/>
      <w:pPr>
        <w:ind w:left="1904" w:hanging="527"/>
      </w:pPr>
      <w:rPr>
        <w:rFonts w:hint="default"/>
      </w:rPr>
    </w:lvl>
    <w:lvl w:ilvl="8">
      <w:start w:val="0"/>
      <w:numFmt w:val="bullet"/>
      <w:lvlText w:val="•"/>
      <w:lvlJc w:val="left"/>
      <w:pPr>
        <w:ind w:left="2070" w:hanging="527"/>
      </w:pPr>
      <w:rPr>
        <w:rFonts w:hint="default"/>
      </w:rPr>
    </w:lvl>
  </w:abstractNum>
  <w:abstractNum w:abstractNumId="10">
    <w:multiLevelType w:val="hybridMultilevel"/>
    <w:lvl w:ilvl="0">
      <w:start w:val="8"/>
      <w:numFmt w:val="decimal"/>
      <w:lvlText w:val="%1"/>
      <w:lvlJc w:val="left"/>
      <w:pPr>
        <w:ind w:left="786" w:hanging="526"/>
        <w:jc w:val="left"/>
      </w:pPr>
      <w:rPr>
        <w:rFonts w:hint="default"/>
      </w:rPr>
    </w:lvl>
    <w:lvl w:ilvl="1">
      <w:start w:val="10"/>
      <w:numFmt w:val="decimal"/>
      <w:lvlText w:val="%1.%2"/>
      <w:lvlJc w:val="left"/>
      <w:pPr>
        <w:ind w:left="260" w:hanging="526"/>
        <w:jc w:val="left"/>
      </w:pPr>
      <w:rPr>
        <w:rFonts w:hint="default" w:ascii="宋体" w:hAnsi="宋体" w:eastAsia="宋体" w:cs="宋体"/>
        <w:w w:val="100"/>
        <w:sz w:val="21"/>
        <w:szCs w:val="21"/>
      </w:rPr>
    </w:lvl>
    <w:lvl w:ilvl="2">
      <w:start w:val="0"/>
      <w:numFmt w:val="bullet"/>
      <w:lvlText w:val="•"/>
      <w:lvlJc w:val="left"/>
      <w:pPr>
        <w:ind w:left="966" w:hanging="526"/>
      </w:pPr>
      <w:rPr>
        <w:rFonts w:hint="default"/>
      </w:rPr>
    </w:lvl>
    <w:lvl w:ilvl="3">
      <w:start w:val="0"/>
      <w:numFmt w:val="bullet"/>
      <w:lvlText w:val="•"/>
      <w:lvlJc w:val="left"/>
      <w:pPr>
        <w:ind w:left="1153" w:hanging="526"/>
      </w:pPr>
      <w:rPr>
        <w:rFonts w:hint="default"/>
      </w:rPr>
    </w:lvl>
    <w:lvl w:ilvl="4">
      <w:start w:val="0"/>
      <w:numFmt w:val="bullet"/>
      <w:lvlText w:val="•"/>
      <w:lvlJc w:val="left"/>
      <w:pPr>
        <w:ind w:left="1340" w:hanging="526"/>
      </w:pPr>
      <w:rPr>
        <w:rFonts w:hint="default"/>
      </w:rPr>
    </w:lvl>
    <w:lvl w:ilvl="5">
      <w:start w:val="0"/>
      <w:numFmt w:val="bullet"/>
      <w:lvlText w:val="•"/>
      <w:lvlJc w:val="left"/>
      <w:pPr>
        <w:ind w:left="1527" w:hanging="526"/>
      </w:pPr>
      <w:rPr>
        <w:rFonts w:hint="default"/>
      </w:rPr>
    </w:lvl>
    <w:lvl w:ilvl="6">
      <w:start w:val="0"/>
      <w:numFmt w:val="bullet"/>
      <w:lvlText w:val="•"/>
      <w:lvlJc w:val="left"/>
      <w:pPr>
        <w:ind w:left="1714" w:hanging="526"/>
      </w:pPr>
      <w:rPr>
        <w:rFonts w:hint="default"/>
      </w:rPr>
    </w:lvl>
    <w:lvl w:ilvl="7">
      <w:start w:val="0"/>
      <w:numFmt w:val="bullet"/>
      <w:lvlText w:val="•"/>
      <w:lvlJc w:val="left"/>
      <w:pPr>
        <w:ind w:left="1901" w:hanging="526"/>
      </w:pPr>
      <w:rPr>
        <w:rFonts w:hint="default"/>
      </w:rPr>
    </w:lvl>
    <w:lvl w:ilvl="8">
      <w:start w:val="0"/>
      <w:numFmt w:val="bullet"/>
      <w:lvlText w:val="•"/>
      <w:lvlJc w:val="left"/>
      <w:pPr>
        <w:ind w:left="2088" w:hanging="526"/>
      </w:pPr>
      <w:rPr>
        <w:rFonts w:hint="default"/>
      </w:rPr>
    </w:lvl>
  </w:abstractNum>
  <w:abstractNum w:abstractNumId="9">
    <w:multiLevelType w:val="hybridMultilevel"/>
    <w:lvl w:ilvl="0">
      <w:start w:val="7"/>
      <w:numFmt w:val="decimal"/>
      <w:lvlText w:val="%1"/>
      <w:lvlJc w:val="left"/>
      <w:pPr>
        <w:ind w:left="682" w:hanging="370"/>
        <w:jc w:val="left"/>
      </w:pPr>
      <w:rPr>
        <w:rFonts w:hint="default"/>
      </w:rPr>
    </w:lvl>
    <w:lvl w:ilvl="1">
      <w:start w:val="1"/>
      <w:numFmt w:val="decimal"/>
      <w:lvlText w:val="%1.%2"/>
      <w:lvlJc w:val="left"/>
      <w:pPr>
        <w:ind w:left="682" w:hanging="370"/>
        <w:jc w:val="left"/>
      </w:pPr>
      <w:rPr>
        <w:rFonts w:hint="default" w:ascii="宋体" w:hAnsi="宋体" w:eastAsia="宋体" w:cs="宋体"/>
        <w:w w:val="100"/>
        <w:sz w:val="21"/>
        <w:szCs w:val="21"/>
      </w:rPr>
    </w:lvl>
    <w:lvl w:ilvl="2">
      <w:start w:val="0"/>
      <w:numFmt w:val="bullet"/>
      <w:lvlText w:val="•"/>
      <w:lvlJc w:val="left"/>
      <w:pPr>
        <w:ind w:left="1036" w:hanging="370"/>
      </w:pPr>
      <w:rPr>
        <w:rFonts w:hint="default"/>
      </w:rPr>
    </w:lvl>
    <w:lvl w:ilvl="3">
      <w:start w:val="0"/>
      <w:numFmt w:val="bullet"/>
      <w:lvlText w:val="•"/>
      <w:lvlJc w:val="left"/>
      <w:pPr>
        <w:ind w:left="1214" w:hanging="370"/>
      </w:pPr>
      <w:rPr>
        <w:rFonts w:hint="default"/>
      </w:rPr>
    </w:lvl>
    <w:lvl w:ilvl="4">
      <w:start w:val="0"/>
      <w:numFmt w:val="bullet"/>
      <w:lvlText w:val="•"/>
      <w:lvlJc w:val="left"/>
      <w:pPr>
        <w:ind w:left="1392" w:hanging="370"/>
      </w:pPr>
      <w:rPr>
        <w:rFonts w:hint="default"/>
      </w:rPr>
    </w:lvl>
    <w:lvl w:ilvl="5">
      <w:start w:val="0"/>
      <w:numFmt w:val="bullet"/>
      <w:lvlText w:val="•"/>
      <w:lvlJc w:val="left"/>
      <w:pPr>
        <w:ind w:left="1571" w:hanging="370"/>
      </w:pPr>
      <w:rPr>
        <w:rFonts w:hint="default"/>
      </w:rPr>
    </w:lvl>
    <w:lvl w:ilvl="6">
      <w:start w:val="0"/>
      <w:numFmt w:val="bullet"/>
      <w:lvlText w:val="•"/>
      <w:lvlJc w:val="left"/>
      <w:pPr>
        <w:ind w:left="1749" w:hanging="370"/>
      </w:pPr>
      <w:rPr>
        <w:rFonts w:hint="default"/>
      </w:rPr>
    </w:lvl>
    <w:lvl w:ilvl="7">
      <w:start w:val="0"/>
      <w:numFmt w:val="bullet"/>
      <w:lvlText w:val="•"/>
      <w:lvlJc w:val="left"/>
      <w:pPr>
        <w:ind w:left="1927" w:hanging="370"/>
      </w:pPr>
      <w:rPr>
        <w:rFonts w:hint="default"/>
      </w:rPr>
    </w:lvl>
    <w:lvl w:ilvl="8">
      <w:start w:val="0"/>
      <w:numFmt w:val="bullet"/>
      <w:lvlText w:val="•"/>
      <w:lvlJc w:val="left"/>
      <w:pPr>
        <w:ind w:left="2105" w:hanging="370"/>
      </w:pPr>
      <w:rPr>
        <w:rFonts w:hint="default"/>
      </w:rPr>
    </w:lvl>
  </w:abstractNum>
  <w:abstractNum w:abstractNumId="8">
    <w:multiLevelType w:val="hybridMultilevel"/>
    <w:lvl w:ilvl="0">
      <w:start w:val="3"/>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895" w:hanging="420"/>
      </w:pPr>
      <w:rPr>
        <w:rFonts w:hint="default"/>
      </w:rPr>
    </w:lvl>
    <w:lvl w:ilvl="3">
      <w:start w:val="0"/>
      <w:numFmt w:val="bullet"/>
      <w:lvlText w:val="•"/>
      <w:lvlJc w:val="left"/>
      <w:pPr>
        <w:ind w:left="1071" w:hanging="420"/>
      </w:pPr>
      <w:rPr>
        <w:rFonts w:hint="default"/>
      </w:rPr>
    </w:lvl>
    <w:lvl w:ilvl="4">
      <w:start w:val="0"/>
      <w:numFmt w:val="bullet"/>
      <w:lvlText w:val="•"/>
      <w:lvlJc w:val="left"/>
      <w:pPr>
        <w:ind w:left="1246" w:hanging="420"/>
      </w:pPr>
      <w:rPr>
        <w:rFonts w:hint="default"/>
      </w:rPr>
    </w:lvl>
    <w:lvl w:ilvl="5">
      <w:start w:val="0"/>
      <w:numFmt w:val="bullet"/>
      <w:lvlText w:val="•"/>
      <w:lvlJc w:val="left"/>
      <w:pPr>
        <w:ind w:left="1422" w:hanging="420"/>
      </w:pPr>
      <w:rPr>
        <w:rFonts w:hint="default"/>
      </w:rPr>
    </w:lvl>
    <w:lvl w:ilvl="6">
      <w:start w:val="0"/>
      <w:numFmt w:val="bullet"/>
      <w:lvlText w:val="•"/>
      <w:lvlJc w:val="left"/>
      <w:pPr>
        <w:ind w:left="1597" w:hanging="420"/>
      </w:pPr>
      <w:rPr>
        <w:rFonts w:hint="default"/>
      </w:rPr>
    </w:lvl>
    <w:lvl w:ilvl="7">
      <w:start w:val="0"/>
      <w:numFmt w:val="bullet"/>
      <w:lvlText w:val="•"/>
      <w:lvlJc w:val="left"/>
      <w:pPr>
        <w:ind w:left="1773" w:hanging="420"/>
      </w:pPr>
      <w:rPr>
        <w:rFonts w:hint="default"/>
      </w:rPr>
    </w:lvl>
    <w:lvl w:ilvl="8">
      <w:start w:val="0"/>
      <w:numFmt w:val="bullet"/>
      <w:lvlText w:val="•"/>
      <w:lvlJc w:val="left"/>
      <w:pPr>
        <w:ind w:left="1948" w:hanging="420"/>
      </w:pPr>
      <w:rPr>
        <w:rFonts w:hint="default"/>
      </w:rPr>
    </w:lvl>
  </w:abstractNum>
  <w:abstractNum w:abstractNumId="7">
    <w:multiLevelType w:val="hybridMultilevel"/>
    <w:lvl w:ilvl="0">
      <w:start w:val="8"/>
      <w:numFmt w:val="decimal"/>
      <w:lvlText w:val="%1"/>
      <w:lvlJc w:val="left"/>
      <w:pPr>
        <w:ind w:left="707" w:hanging="527"/>
        <w:jc w:val="left"/>
      </w:pPr>
      <w:rPr>
        <w:rFonts w:hint="default"/>
      </w:rPr>
    </w:lvl>
    <w:lvl w:ilvl="1">
      <w:start w:val="13"/>
      <w:numFmt w:val="decimal"/>
      <w:lvlText w:val="%1.%2"/>
      <w:lvlJc w:val="left"/>
      <w:pPr>
        <w:ind w:left="181" w:hanging="527"/>
        <w:jc w:val="left"/>
      </w:pPr>
      <w:rPr>
        <w:rFonts w:hint="default" w:ascii="宋体" w:hAnsi="宋体" w:eastAsia="宋体" w:cs="宋体"/>
        <w:w w:val="100"/>
        <w:sz w:val="21"/>
        <w:szCs w:val="21"/>
      </w:rPr>
    </w:lvl>
    <w:lvl w:ilvl="2">
      <w:start w:val="0"/>
      <w:numFmt w:val="bullet"/>
      <w:lvlText w:val="•"/>
      <w:lvlJc w:val="left"/>
      <w:pPr>
        <w:ind w:left="909" w:hanging="527"/>
      </w:pPr>
      <w:rPr>
        <w:rFonts w:hint="default"/>
      </w:rPr>
    </w:lvl>
    <w:lvl w:ilvl="3">
      <w:start w:val="0"/>
      <w:numFmt w:val="bullet"/>
      <w:lvlText w:val="•"/>
      <w:lvlJc w:val="left"/>
      <w:pPr>
        <w:ind w:left="1119" w:hanging="527"/>
      </w:pPr>
      <w:rPr>
        <w:rFonts w:hint="default"/>
      </w:rPr>
    </w:lvl>
    <w:lvl w:ilvl="4">
      <w:start w:val="0"/>
      <w:numFmt w:val="bullet"/>
      <w:lvlText w:val="•"/>
      <w:lvlJc w:val="left"/>
      <w:pPr>
        <w:ind w:left="1329" w:hanging="527"/>
      </w:pPr>
      <w:rPr>
        <w:rFonts w:hint="default"/>
      </w:rPr>
    </w:lvl>
    <w:lvl w:ilvl="5">
      <w:start w:val="0"/>
      <w:numFmt w:val="bullet"/>
      <w:lvlText w:val="•"/>
      <w:lvlJc w:val="left"/>
      <w:pPr>
        <w:ind w:left="1539" w:hanging="527"/>
      </w:pPr>
      <w:rPr>
        <w:rFonts w:hint="default"/>
      </w:rPr>
    </w:lvl>
    <w:lvl w:ilvl="6">
      <w:start w:val="0"/>
      <w:numFmt w:val="bullet"/>
      <w:lvlText w:val="•"/>
      <w:lvlJc w:val="left"/>
      <w:pPr>
        <w:ind w:left="1748" w:hanging="527"/>
      </w:pPr>
      <w:rPr>
        <w:rFonts w:hint="default"/>
      </w:rPr>
    </w:lvl>
    <w:lvl w:ilvl="7">
      <w:start w:val="0"/>
      <w:numFmt w:val="bullet"/>
      <w:lvlText w:val="•"/>
      <w:lvlJc w:val="left"/>
      <w:pPr>
        <w:ind w:left="1958" w:hanging="527"/>
      </w:pPr>
      <w:rPr>
        <w:rFonts w:hint="default"/>
      </w:rPr>
    </w:lvl>
    <w:lvl w:ilvl="8">
      <w:start w:val="0"/>
      <w:numFmt w:val="bullet"/>
      <w:lvlText w:val="•"/>
      <w:lvlJc w:val="left"/>
      <w:pPr>
        <w:ind w:left="2168" w:hanging="527"/>
      </w:pPr>
      <w:rPr>
        <w:rFonts w:hint="default"/>
      </w:rPr>
    </w:lvl>
  </w:abstractNum>
  <w:abstractNum w:abstractNumId="6">
    <w:multiLevelType w:val="hybridMultilevel"/>
    <w:lvl w:ilvl="0">
      <w:start w:val="8"/>
      <w:numFmt w:val="decimal"/>
      <w:lvlText w:val="%1."/>
      <w:lvlJc w:val="left"/>
      <w:pPr>
        <w:ind w:left="530" w:hanging="318"/>
        <w:jc w:val="left"/>
      </w:pPr>
      <w:rPr>
        <w:rFonts w:hint="default" w:ascii="宋体" w:hAnsi="宋体" w:eastAsia="宋体" w:cs="宋体"/>
        <w:b/>
        <w:bCs/>
        <w:w w:val="99"/>
        <w:sz w:val="21"/>
        <w:szCs w:val="21"/>
      </w:rPr>
    </w:lvl>
    <w:lvl w:ilvl="1">
      <w:start w:val="1"/>
      <w:numFmt w:val="decimal"/>
      <w:lvlText w:val="%1.%2"/>
      <w:lvlJc w:val="left"/>
      <w:pPr>
        <w:ind w:left="633" w:hanging="421"/>
        <w:jc w:val="left"/>
      </w:pPr>
      <w:rPr>
        <w:rFonts w:hint="default" w:ascii="宋体" w:hAnsi="宋体" w:eastAsia="宋体" w:cs="宋体"/>
        <w:w w:val="100"/>
        <w:sz w:val="21"/>
        <w:szCs w:val="21"/>
      </w:rPr>
    </w:lvl>
    <w:lvl w:ilvl="2">
      <w:start w:val="0"/>
      <w:numFmt w:val="bullet"/>
      <w:lvlText w:val="•"/>
      <w:lvlJc w:val="left"/>
      <w:pPr>
        <w:ind w:left="840" w:hanging="421"/>
      </w:pPr>
      <w:rPr>
        <w:rFonts w:hint="default"/>
      </w:rPr>
    </w:lvl>
    <w:lvl w:ilvl="3">
      <w:start w:val="0"/>
      <w:numFmt w:val="bullet"/>
      <w:lvlText w:val="•"/>
      <w:lvlJc w:val="left"/>
      <w:pPr>
        <w:ind w:left="1040" w:hanging="421"/>
      </w:pPr>
      <w:rPr>
        <w:rFonts w:hint="default"/>
      </w:rPr>
    </w:lvl>
    <w:lvl w:ilvl="4">
      <w:start w:val="0"/>
      <w:numFmt w:val="bullet"/>
      <w:lvlText w:val="•"/>
      <w:lvlJc w:val="left"/>
      <w:pPr>
        <w:ind w:left="1240" w:hanging="421"/>
      </w:pPr>
      <w:rPr>
        <w:rFonts w:hint="default"/>
      </w:rPr>
    </w:lvl>
    <w:lvl w:ilvl="5">
      <w:start w:val="0"/>
      <w:numFmt w:val="bullet"/>
      <w:lvlText w:val="•"/>
      <w:lvlJc w:val="left"/>
      <w:pPr>
        <w:ind w:left="1440" w:hanging="421"/>
      </w:pPr>
      <w:rPr>
        <w:rFonts w:hint="default"/>
      </w:rPr>
    </w:lvl>
    <w:lvl w:ilvl="6">
      <w:start w:val="0"/>
      <w:numFmt w:val="bullet"/>
      <w:lvlText w:val="•"/>
      <w:lvlJc w:val="left"/>
      <w:pPr>
        <w:ind w:left="1641" w:hanging="421"/>
      </w:pPr>
      <w:rPr>
        <w:rFonts w:hint="default"/>
      </w:rPr>
    </w:lvl>
    <w:lvl w:ilvl="7">
      <w:start w:val="0"/>
      <w:numFmt w:val="bullet"/>
      <w:lvlText w:val="•"/>
      <w:lvlJc w:val="left"/>
      <w:pPr>
        <w:ind w:left="1841" w:hanging="421"/>
      </w:pPr>
      <w:rPr>
        <w:rFonts w:hint="default"/>
      </w:rPr>
    </w:lvl>
    <w:lvl w:ilvl="8">
      <w:start w:val="0"/>
      <w:numFmt w:val="bullet"/>
      <w:lvlText w:val="•"/>
      <w:lvlJc w:val="left"/>
      <w:pPr>
        <w:ind w:left="2041" w:hanging="421"/>
      </w:pPr>
      <w:rPr>
        <w:rFonts w:hint="default"/>
      </w:rPr>
    </w:lvl>
  </w:abstractNum>
  <w:abstractNum w:abstractNumId="5">
    <w:multiLevelType w:val="hybridMultilevel"/>
    <w:lvl w:ilvl="0">
      <w:start w:val="7"/>
      <w:numFmt w:val="decimal"/>
      <w:lvlText w:val="%1"/>
      <w:lvlJc w:val="left"/>
      <w:pPr>
        <w:ind w:left="107" w:hanging="423"/>
        <w:jc w:val="left"/>
      </w:pPr>
      <w:rPr>
        <w:rFonts w:hint="default"/>
      </w:rPr>
    </w:lvl>
    <w:lvl w:ilvl="1">
      <w:start w:val="4"/>
      <w:numFmt w:val="decimal"/>
      <w:lvlText w:val="%1.%2"/>
      <w:lvlJc w:val="left"/>
      <w:pPr>
        <w:ind w:left="107" w:hanging="423"/>
        <w:jc w:val="left"/>
      </w:pPr>
      <w:rPr>
        <w:rFonts w:hint="default" w:ascii="宋体" w:hAnsi="宋体" w:eastAsia="宋体" w:cs="宋体"/>
        <w:w w:val="100"/>
        <w:sz w:val="21"/>
        <w:szCs w:val="21"/>
      </w:rPr>
    </w:lvl>
    <w:lvl w:ilvl="2">
      <w:start w:val="0"/>
      <w:numFmt w:val="bullet"/>
      <w:lvlText w:val="•"/>
      <w:lvlJc w:val="left"/>
      <w:pPr>
        <w:ind w:left="568" w:hanging="423"/>
      </w:pPr>
      <w:rPr>
        <w:rFonts w:hint="default"/>
      </w:rPr>
    </w:lvl>
    <w:lvl w:ilvl="3">
      <w:start w:val="0"/>
      <w:numFmt w:val="bullet"/>
      <w:lvlText w:val="•"/>
      <w:lvlJc w:val="left"/>
      <w:pPr>
        <w:ind w:left="802" w:hanging="423"/>
      </w:pPr>
      <w:rPr>
        <w:rFonts w:hint="default"/>
      </w:rPr>
    </w:lvl>
    <w:lvl w:ilvl="4">
      <w:start w:val="0"/>
      <w:numFmt w:val="bullet"/>
      <w:lvlText w:val="•"/>
      <w:lvlJc w:val="left"/>
      <w:pPr>
        <w:ind w:left="1036" w:hanging="423"/>
      </w:pPr>
      <w:rPr>
        <w:rFonts w:hint="default"/>
      </w:rPr>
    </w:lvl>
    <w:lvl w:ilvl="5">
      <w:start w:val="0"/>
      <w:numFmt w:val="bullet"/>
      <w:lvlText w:val="•"/>
      <w:lvlJc w:val="left"/>
      <w:pPr>
        <w:ind w:left="1271" w:hanging="423"/>
      </w:pPr>
      <w:rPr>
        <w:rFonts w:hint="default"/>
      </w:rPr>
    </w:lvl>
    <w:lvl w:ilvl="6">
      <w:start w:val="0"/>
      <w:numFmt w:val="bullet"/>
      <w:lvlText w:val="•"/>
      <w:lvlJc w:val="left"/>
      <w:pPr>
        <w:ind w:left="1505" w:hanging="423"/>
      </w:pPr>
      <w:rPr>
        <w:rFonts w:hint="default"/>
      </w:rPr>
    </w:lvl>
    <w:lvl w:ilvl="7">
      <w:start w:val="0"/>
      <w:numFmt w:val="bullet"/>
      <w:lvlText w:val="•"/>
      <w:lvlJc w:val="left"/>
      <w:pPr>
        <w:ind w:left="1739" w:hanging="423"/>
      </w:pPr>
      <w:rPr>
        <w:rFonts w:hint="default"/>
      </w:rPr>
    </w:lvl>
    <w:lvl w:ilvl="8">
      <w:start w:val="0"/>
      <w:numFmt w:val="bullet"/>
      <w:lvlText w:val="•"/>
      <w:lvlJc w:val="left"/>
      <w:pPr>
        <w:ind w:left="1973" w:hanging="423"/>
      </w:pPr>
      <w:rPr>
        <w:rFonts w:hint="default"/>
      </w:rPr>
    </w:lvl>
  </w:abstractNum>
  <w:abstractNum w:abstractNumId="4">
    <w:multiLevelType w:val="hybridMultilevel"/>
    <w:lvl w:ilvl="0">
      <w:start w:val="6"/>
      <w:numFmt w:val="decimal"/>
      <w:lvlText w:val="%1"/>
      <w:lvlJc w:val="left"/>
      <w:pPr>
        <w:ind w:left="256" w:hanging="423"/>
        <w:jc w:val="left"/>
      </w:pPr>
      <w:rPr>
        <w:rFonts w:hint="default"/>
      </w:rPr>
    </w:lvl>
    <w:lvl w:ilvl="1">
      <w:start w:val="1"/>
      <w:numFmt w:val="decimal"/>
      <w:lvlText w:val="%1.%2"/>
      <w:lvlJc w:val="left"/>
      <w:pPr>
        <w:ind w:left="256" w:hanging="423"/>
        <w:jc w:val="left"/>
      </w:pPr>
      <w:rPr>
        <w:rFonts w:hint="default" w:ascii="宋体" w:hAnsi="宋体" w:eastAsia="宋体" w:cs="宋体"/>
        <w:w w:val="100"/>
        <w:sz w:val="21"/>
        <w:szCs w:val="21"/>
      </w:rPr>
    </w:lvl>
    <w:lvl w:ilvl="2">
      <w:start w:val="0"/>
      <w:numFmt w:val="bullet"/>
      <w:lvlText w:val="•"/>
      <w:lvlJc w:val="left"/>
      <w:pPr>
        <w:ind w:left="698" w:hanging="423"/>
      </w:pPr>
      <w:rPr>
        <w:rFonts w:hint="default"/>
      </w:rPr>
    </w:lvl>
    <w:lvl w:ilvl="3">
      <w:start w:val="0"/>
      <w:numFmt w:val="bullet"/>
      <w:lvlText w:val="•"/>
      <w:lvlJc w:val="left"/>
      <w:pPr>
        <w:ind w:left="917" w:hanging="423"/>
      </w:pPr>
      <w:rPr>
        <w:rFonts w:hint="default"/>
      </w:rPr>
    </w:lvl>
    <w:lvl w:ilvl="4">
      <w:start w:val="0"/>
      <w:numFmt w:val="bullet"/>
      <w:lvlText w:val="•"/>
      <w:lvlJc w:val="left"/>
      <w:pPr>
        <w:ind w:left="1137" w:hanging="423"/>
      </w:pPr>
      <w:rPr>
        <w:rFonts w:hint="default"/>
      </w:rPr>
    </w:lvl>
    <w:lvl w:ilvl="5">
      <w:start w:val="0"/>
      <w:numFmt w:val="bullet"/>
      <w:lvlText w:val="•"/>
      <w:lvlJc w:val="left"/>
      <w:pPr>
        <w:ind w:left="1356" w:hanging="423"/>
      </w:pPr>
      <w:rPr>
        <w:rFonts w:hint="default"/>
      </w:rPr>
    </w:lvl>
    <w:lvl w:ilvl="6">
      <w:start w:val="0"/>
      <w:numFmt w:val="bullet"/>
      <w:lvlText w:val="•"/>
      <w:lvlJc w:val="left"/>
      <w:pPr>
        <w:ind w:left="1575" w:hanging="423"/>
      </w:pPr>
      <w:rPr>
        <w:rFonts w:hint="default"/>
      </w:rPr>
    </w:lvl>
    <w:lvl w:ilvl="7">
      <w:start w:val="0"/>
      <w:numFmt w:val="bullet"/>
      <w:lvlText w:val="•"/>
      <w:lvlJc w:val="left"/>
      <w:pPr>
        <w:ind w:left="1795" w:hanging="423"/>
      </w:pPr>
      <w:rPr>
        <w:rFonts w:hint="default"/>
      </w:rPr>
    </w:lvl>
    <w:lvl w:ilvl="8">
      <w:start w:val="0"/>
      <w:numFmt w:val="bullet"/>
      <w:lvlText w:val="•"/>
      <w:lvlJc w:val="left"/>
      <w:pPr>
        <w:ind w:left="2014" w:hanging="423"/>
      </w:pPr>
      <w:rPr>
        <w:rFonts w:hint="default"/>
      </w:rPr>
    </w:lvl>
  </w:abstractNum>
  <w:abstractNum w:abstractNumId="3">
    <w:multiLevelType w:val="hybridMultilevel"/>
    <w:lvl w:ilvl="0">
      <w:start w:val="4"/>
      <w:numFmt w:val="decimal"/>
      <w:lvlText w:val="%1."/>
      <w:lvlJc w:val="left"/>
      <w:pPr>
        <w:ind w:left="467" w:hanging="318"/>
        <w:jc w:val="left"/>
      </w:pPr>
      <w:rPr>
        <w:rFonts w:hint="default" w:ascii="宋体" w:hAnsi="宋体" w:eastAsia="宋体" w:cs="宋体"/>
        <w:b/>
        <w:bCs/>
        <w:w w:val="99"/>
        <w:sz w:val="21"/>
        <w:szCs w:val="21"/>
      </w:rPr>
    </w:lvl>
    <w:lvl w:ilvl="1">
      <w:start w:val="1"/>
      <w:numFmt w:val="decimal"/>
      <w:lvlText w:val="%1.%2"/>
      <w:lvlJc w:val="left"/>
      <w:pPr>
        <w:ind w:left="676" w:hanging="420"/>
        <w:jc w:val="left"/>
      </w:pPr>
      <w:rPr>
        <w:rFonts w:hint="default" w:ascii="宋体" w:hAnsi="宋体" w:eastAsia="宋体" w:cs="宋体"/>
        <w:w w:val="100"/>
        <w:sz w:val="21"/>
        <w:szCs w:val="21"/>
      </w:rPr>
    </w:lvl>
    <w:lvl w:ilvl="2">
      <w:start w:val="0"/>
      <w:numFmt w:val="bullet"/>
      <w:lvlText w:val="•"/>
      <w:lvlJc w:val="left"/>
      <w:pPr>
        <w:ind w:left="680" w:hanging="420"/>
      </w:pPr>
      <w:rPr>
        <w:rFonts w:hint="default"/>
      </w:rPr>
    </w:lvl>
    <w:lvl w:ilvl="3">
      <w:start w:val="0"/>
      <w:numFmt w:val="bullet"/>
      <w:lvlText w:val="•"/>
      <w:lvlJc w:val="left"/>
      <w:pPr>
        <w:ind w:left="901" w:hanging="420"/>
      </w:pPr>
      <w:rPr>
        <w:rFonts w:hint="default"/>
      </w:rPr>
    </w:lvl>
    <w:lvl w:ilvl="4">
      <w:start w:val="0"/>
      <w:numFmt w:val="bullet"/>
      <w:lvlText w:val="•"/>
      <w:lvlJc w:val="left"/>
      <w:pPr>
        <w:ind w:left="1123" w:hanging="420"/>
      </w:pPr>
      <w:rPr>
        <w:rFonts w:hint="default"/>
      </w:rPr>
    </w:lvl>
    <w:lvl w:ilvl="5">
      <w:start w:val="0"/>
      <w:numFmt w:val="bullet"/>
      <w:lvlText w:val="•"/>
      <w:lvlJc w:val="left"/>
      <w:pPr>
        <w:ind w:left="1344" w:hanging="420"/>
      </w:pPr>
      <w:rPr>
        <w:rFonts w:hint="default"/>
      </w:rPr>
    </w:lvl>
    <w:lvl w:ilvl="6">
      <w:start w:val="0"/>
      <w:numFmt w:val="bullet"/>
      <w:lvlText w:val="•"/>
      <w:lvlJc w:val="left"/>
      <w:pPr>
        <w:ind w:left="1566" w:hanging="420"/>
      </w:pPr>
      <w:rPr>
        <w:rFonts w:hint="default"/>
      </w:rPr>
    </w:lvl>
    <w:lvl w:ilvl="7">
      <w:start w:val="0"/>
      <w:numFmt w:val="bullet"/>
      <w:lvlText w:val="•"/>
      <w:lvlJc w:val="left"/>
      <w:pPr>
        <w:ind w:left="1788" w:hanging="420"/>
      </w:pPr>
      <w:rPr>
        <w:rFonts w:hint="default"/>
      </w:rPr>
    </w:lvl>
    <w:lvl w:ilvl="8">
      <w:start w:val="0"/>
      <w:numFmt w:val="bullet"/>
      <w:lvlText w:val="•"/>
      <w:lvlJc w:val="left"/>
      <w:pPr>
        <w:ind w:left="2009" w:hanging="420"/>
      </w:pPr>
      <w:rPr>
        <w:rFonts w:hint="default"/>
      </w:rPr>
    </w:lvl>
  </w:abstractNum>
  <w:abstractNum w:abstractNumId="2">
    <w:multiLevelType w:val="hybridMultilevel"/>
    <w:lvl w:ilvl="0">
      <w:start w:val="3"/>
      <w:numFmt w:val="decimal"/>
      <w:lvlText w:val="%1"/>
      <w:lvlJc w:val="left"/>
      <w:pPr>
        <w:ind w:left="678" w:hanging="423"/>
        <w:jc w:val="left"/>
      </w:pPr>
      <w:rPr>
        <w:rFonts w:hint="default"/>
      </w:rPr>
    </w:lvl>
    <w:lvl w:ilvl="1">
      <w:start w:val="4"/>
      <w:numFmt w:val="decimal"/>
      <w:lvlText w:val="%1.%2"/>
      <w:lvlJc w:val="left"/>
      <w:pPr>
        <w:ind w:left="678" w:hanging="423"/>
        <w:jc w:val="left"/>
      </w:pPr>
      <w:rPr>
        <w:rFonts w:hint="default" w:ascii="宋体" w:hAnsi="宋体" w:eastAsia="宋体" w:cs="宋体"/>
        <w:w w:val="100"/>
        <w:sz w:val="21"/>
        <w:szCs w:val="21"/>
      </w:rPr>
    </w:lvl>
    <w:lvl w:ilvl="2">
      <w:start w:val="0"/>
      <w:numFmt w:val="bullet"/>
      <w:lvlText w:val="•"/>
      <w:lvlJc w:val="left"/>
      <w:pPr>
        <w:ind w:left="1034" w:hanging="423"/>
      </w:pPr>
      <w:rPr>
        <w:rFonts w:hint="default"/>
      </w:rPr>
    </w:lvl>
    <w:lvl w:ilvl="3">
      <w:start w:val="0"/>
      <w:numFmt w:val="bullet"/>
      <w:lvlText w:val="•"/>
      <w:lvlJc w:val="left"/>
      <w:pPr>
        <w:ind w:left="1211" w:hanging="423"/>
      </w:pPr>
      <w:rPr>
        <w:rFonts w:hint="default"/>
      </w:rPr>
    </w:lvl>
    <w:lvl w:ilvl="4">
      <w:start w:val="0"/>
      <w:numFmt w:val="bullet"/>
      <w:lvlText w:val="•"/>
      <w:lvlJc w:val="left"/>
      <w:pPr>
        <w:ind w:left="1389" w:hanging="423"/>
      </w:pPr>
      <w:rPr>
        <w:rFonts w:hint="default"/>
      </w:rPr>
    </w:lvl>
    <w:lvl w:ilvl="5">
      <w:start w:val="0"/>
      <w:numFmt w:val="bullet"/>
      <w:lvlText w:val="•"/>
      <w:lvlJc w:val="left"/>
      <w:pPr>
        <w:ind w:left="1566" w:hanging="423"/>
      </w:pPr>
      <w:rPr>
        <w:rFonts w:hint="default"/>
      </w:rPr>
    </w:lvl>
    <w:lvl w:ilvl="6">
      <w:start w:val="0"/>
      <w:numFmt w:val="bullet"/>
      <w:lvlText w:val="•"/>
      <w:lvlJc w:val="left"/>
      <w:pPr>
        <w:ind w:left="1743" w:hanging="423"/>
      </w:pPr>
      <w:rPr>
        <w:rFonts w:hint="default"/>
      </w:rPr>
    </w:lvl>
    <w:lvl w:ilvl="7">
      <w:start w:val="0"/>
      <w:numFmt w:val="bullet"/>
      <w:lvlText w:val="•"/>
      <w:lvlJc w:val="left"/>
      <w:pPr>
        <w:ind w:left="1921" w:hanging="423"/>
      </w:pPr>
      <w:rPr>
        <w:rFonts w:hint="default"/>
      </w:rPr>
    </w:lvl>
    <w:lvl w:ilvl="8">
      <w:start w:val="0"/>
      <w:numFmt w:val="bullet"/>
      <w:lvlText w:val="•"/>
      <w:lvlJc w:val="left"/>
      <w:pPr>
        <w:ind w:left="209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200"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4" w:hanging="420"/>
      </w:pPr>
      <w:rPr>
        <w:rFonts w:hint="default"/>
      </w:rPr>
    </w:lvl>
    <w:lvl w:ilvl="4">
      <w:start w:val="0"/>
      <w:numFmt w:val="bullet"/>
      <w:lvlText w:val="•"/>
      <w:lvlJc w:val="left"/>
      <w:pPr>
        <w:ind w:left="1129" w:hanging="420"/>
      </w:pPr>
      <w:rPr>
        <w:rFonts w:hint="default"/>
      </w:rPr>
    </w:lvl>
    <w:lvl w:ilvl="5">
      <w:start w:val="0"/>
      <w:numFmt w:val="bullet"/>
      <w:lvlText w:val="•"/>
      <w:lvlJc w:val="left"/>
      <w:pPr>
        <w:ind w:left="1333" w:hanging="420"/>
      </w:pPr>
      <w:rPr>
        <w:rFonts w:hint="default"/>
      </w:rPr>
    </w:lvl>
    <w:lvl w:ilvl="6">
      <w:start w:val="0"/>
      <w:numFmt w:val="bullet"/>
      <w:lvlText w:val="•"/>
      <w:lvlJc w:val="left"/>
      <w:pPr>
        <w:ind w:left="1538" w:hanging="420"/>
      </w:pPr>
      <w:rPr>
        <w:rFonts w:hint="default"/>
      </w:rPr>
    </w:lvl>
    <w:lvl w:ilvl="7">
      <w:start w:val="0"/>
      <w:numFmt w:val="bullet"/>
      <w:lvlText w:val="•"/>
      <w:lvlJc w:val="left"/>
      <w:pPr>
        <w:ind w:left="1742" w:hanging="420"/>
      </w:pPr>
      <w:rPr>
        <w:rFonts w:hint="default"/>
      </w:rPr>
    </w:lvl>
    <w:lvl w:ilvl="8">
      <w:start w:val="0"/>
      <w:numFmt w:val="bullet"/>
      <w:lvlText w:val="•"/>
      <w:lvlJc w:val="left"/>
      <w:pPr>
        <w:ind w:left="1947" w:hanging="420"/>
      </w:pPr>
      <w:rPr>
        <w:rFonts w:hint="default"/>
      </w:rPr>
    </w:lvl>
  </w:abstractNum>
  <w:abstractNum w:abstractNumId="0">
    <w:multiLevelType w:val="hybridMultilevel"/>
    <w:lvl w:ilvl="0">
      <w:start w:val="0"/>
      <w:numFmt w:val="bullet"/>
      <w:lvlText w:val=""/>
      <w:lvlJc w:val="left"/>
      <w:pPr>
        <w:ind w:left="252" w:hanging="399"/>
      </w:pPr>
      <w:rPr>
        <w:rFonts w:hint="default" w:ascii="Wingdings" w:hAnsi="Wingdings" w:eastAsia="Wingdings" w:cs="Wingdings"/>
        <w:w w:val="100"/>
        <w:sz w:val="21"/>
        <w:szCs w:val="21"/>
      </w:rPr>
    </w:lvl>
    <w:lvl w:ilvl="1">
      <w:start w:val="3"/>
      <w:numFmt w:val="decimal"/>
      <w:lvlText w:val="%2."/>
      <w:lvlJc w:val="left"/>
      <w:pPr>
        <w:ind w:left="2177" w:hanging="421"/>
        <w:jc w:val="left"/>
      </w:pPr>
      <w:rPr>
        <w:rFonts w:hint="default" w:ascii="宋体" w:hAnsi="宋体" w:eastAsia="宋体" w:cs="宋体"/>
        <w:w w:val="100"/>
        <w:sz w:val="21"/>
        <w:szCs w:val="21"/>
      </w:rPr>
    </w:lvl>
    <w:lvl w:ilvl="2">
      <w:start w:val="0"/>
      <w:numFmt w:val="bullet"/>
      <w:lvlText w:val="•"/>
      <w:lvlJc w:val="left"/>
      <w:pPr>
        <w:ind w:left="2951" w:hanging="421"/>
      </w:pPr>
      <w:rPr>
        <w:rFonts w:hint="default"/>
      </w:rPr>
    </w:lvl>
    <w:lvl w:ilvl="3">
      <w:start w:val="0"/>
      <w:numFmt w:val="bullet"/>
      <w:lvlText w:val="•"/>
      <w:lvlJc w:val="left"/>
      <w:pPr>
        <w:ind w:left="3723" w:hanging="421"/>
      </w:pPr>
      <w:rPr>
        <w:rFonts w:hint="default"/>
      </w:rPr>
    </w:lvl>
    <w:lvl w:ilvl="4">
      <w:start w:val="0"/>
      <w:numFmt w:val="bullet"/>
      <w:lvlText w:val="•"/>
      <w:lvlJc w:val="left"/>
      <w:pPr>
        <w:ind w:left="4495" w:hanging="421"/>
      </w:pPr>
      <w:rPr>
        <w:rFonts w:hint="default"/>
      </w:rPr>
    </w:lvl>
    <w:lvl w:ilvl="5">
      <w:start w:val="0"/>
      <w:numFmt w:val="bullet"/>
      <w:lvlText w:val="•"/>
      <w:lvlJc w:val="left"/>
      <w:pPr>
        <w:ind w:left="5267" w:hanging="421"/>
      </w:pPr>
      <w:rPr>
        <w:rFonts w:hint="default"/>
      </w:rPr>
    </w:lvl>
    <w:lvl w:ilvl="6">
      <w:start w:val="0"/>
      <w:numFmt w:val="bullet"/>
      <w:lvlText w:val="•"/>
      <w:lvlJc w:val="left"/>
      <w:pPr>
        <w:ind w:left="6039" w:hanging="421"/>
      </w:pPr>
      <w:rPr>
        <w:rFonts w:hint="default"/>
      </w:rPr>
    </w:lvl>
    <w:lvl w:ilvl="7">
      <w:start w:val="0"/>
      <w:numFmt w:val="bullet"/>
      <w:lvlText w:val="•"/>
      <w:lvlJc w:val="left"/>
      <w:pPr>
        <w:ind w:left="6810" w:hanging="421"/>
      </w:pPr>
      <w:rPr>
        <w:rFonts w:hint="default"/>
      </w:rPr>
    </w:lvl>
    <w:lvl w:ilvl="8">
      <w:start w:val="0"/>
      <w:numFmt w:val="bullet"/>
      <w:lvlText w:val="•"/>
      <w:lvlJc w:val="left"/>
      <w:pPr>
        <w:ind w:left="7582" w:hanging="421"/>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177"/>
    </w:pPr>
    <w:rPr>
      <w:rFonts w:ascii="宋体" w:hAnsi="宋体" w:eastAsia="宋体" w:cs="宋体"/>
      <w:sz w:val="21"/>
      <w:szCs w:val="21"/>
    </w:rPr>
  </w:style>
  <w:style w:styleId="Heading1" w:type="paragraph">
    <w:name w:val="Heading 1"/>
    <w:basedOn w:val="Normal"/>
    <w:uiPriority w:val="1"/>
    <w:qFormat/>
    <w:pPr>
      <w:ind w:left="2856"/>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63"/>
      <w:ind w:left="2177"/>
      <w:outlineLvl w:val="2"/>
    </w:pPr>
    <w:rPr>
      <w:rFonts w:ascii="宋体" w:hAnsi="宋体" w:eastAsia="宋体" w:cs="宋体"/>
      <w:b/>
      <w:bCs/>
      <w:sz w:val="21"/>
      <w:szCs w:val="21"/>
    </w:rPr>
  </w:style>
  <w:style w:styleId="ListParagraph" w:type="paragraph">
    <w:name w:val="List Paragraph"/>
    <w:basedOn w:val="Normal"/>
    <w:uiPriority w:val="1"/>
    <w:qFormat/>
    <w:pPr>
      <w:spacing w:before="163"/>
      <w:ind w:left="217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个人终身寿险（万能型）条款</dc:title>
  <dcterms:created xsi:type="dcterms:W3CDTF">2018-10-20T03:40:34Z</dcterms:created>
  <dcterms:modified xsi:type="dcterms:W3CDTF">2018-10-20T03:40:34Z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2017-05-10T00:00:00Z</vt:filetime>
  </property>
  <property fmtid="{D5CDD505-2E9C-101B-9397-08002B2CF9AE}" pid="3" name="Creator">
    <vt:lpwstr>Microsoft® Office Word 2007</vt:lpwstr>
  </property>
  <property fmtid="{D5CDD505-2E9C-101B-9397-08002B2CF9AE}" pid="4" name="LastSaved">
    <vt:filetime>2018-10-19T00:00:00Z</vt:filetime>
  </property>
</Properties>
</file>