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3"/>
        <w:rPr>
          <w:rFonts w:ascii="Times New Roman"/>
          <w:sz w:val="25"/>
        </w:rPr>
      </w:pPr>
    </w:p>
    <w:p>
      <w:pPr>
        <w:pStyle w:val="Heading1"/>
        <w:spacing w:line="357" w:lineRule="auto" w:before="1"/>
        <w:ind w:left="4042" w:right="3712"/>
      </w:pPr>
      <w:r>
        <w:rPr/>
        <w:drawing>
          <wp:anchor distT="0" distB="0" distL="0" distR="0" allowOverlap="1" layoutInCell="1" locked="0" behindDoc="0" simplePos="0" relativeHeight="1048">
            <wp:simplePos x="0" y="0"/>
            <wp:positionH relativeFrom="page">
              <wp:posOffset>6123940</wp:posOffset>
            </wp:positionH>
            <wp:positionV relativeFrom="paragraph">
              <wp:posOffset>-476789</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460.200012pt;margin-top:25.457491pt;width:120pt;height:38.550pt;mso-position-horizontal-relative:page;mso-position-vertical-relative:paragraph;z-index:-27568" type="#_x0000_t202" filled="false" stroked="true" strokeweight=".75pt" strokecolor="#c9eacc">
            <v:textbox inset="0,0,0,0">
              <w:txbxContent>
                <w:p>
                  <w:pPr>
                    <w:spacing w:line="408" w:lineRule="auto" w:before="114"/>
                    <w:ind w:left="145" w:right="211" w:firstLine="0"/>
                    <w:jc w:val="left"/>
                    <w:rPr>
                      <w:sz w:val="14"/>
                    </w:rPr>
                  </w:pPr>
                  <w:r>
                    <w:rPr>
                      <w:sz w:val="14"/>
                    </w:rPr>
                    <w:t>安邦人寿[2010]疾病保险 028 号</w:t>
                  </w:r>
                  <w:r>
                    <w:rPr>
                      <w:w w:val="95"/>
                      <w:sz w:val="14"/>
                    </w:rPr>
                    <w:t>请扫描以查询验证条款</w:t>
                  </w:r>
                </w:p>
              </w:txbxContent>
            </v:textbox>
            <v:stroke dashstyle="solid"/>
            <w10:wrap type="none"/>
          </v:shape>
        </w:pict>
      </w:r>
      <w:r>
        <w:rPr/>
        <w:t>安邦团体重大疾病保险条款阅 读 指 引</w:t>
      </w:r>
    </w:p>
    <w:p>
      <w:pPr>
        <w:pStyle w:val="BodyText"/>
        <w:spacing w:line="261" w:lineRule="auto"/>
        <w:ind w:left="343" w:right="811"/>
      </w:pPr>
      <w:r>
        <w:rPr/>
        <w:drawing>
          <wp:anchor distT="0" distB="0" distL="0" distR="0" allowOverlap="1" layoutInCell="1" locked="0" behindDoc="1" simplePos="0" relativeHeight="268407839">
            <wp:simplePos x="0" y="0"/>
            <wp:positionH relativeFrom="page">
              <wp:posOffset>678180</wp:posOffset>
            </wp:positionH>
            <wp:positionV relativeFrom="paragraph">
              <wp:posOffset>489504</wp:posOffset>
            </wp:positionV>
            <wp:extent cx="6345936" cy="7273493"/>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45936" cy="7273493"/>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投</w:t>
      </w:r>
      <w:r>
        <w:rPr>
          <w:spacing w:val="-63"/>
          <w:w w:val="100"/>
          <w:position w:val="-7"/>
        </w:rPr>
        <w:t>．</w:t>
      </w:r>
      <w:r>
        <w:rPr>
          <w:spacing w:val="-149"/>
          <w:w w:val="100"/>
        </w:rPr>
        <w:t>保</w:t>
      </w:r>
      <w:r>
        <w:rPr>
          <w:spacing w:val="-63"/>
          <w:w w:val="100"/>
          <w:position w:val="-7"/>
        </w:rPr>
        <w:t>．</w:t>
      </w:r>
      <w:r>
        <w:rPr>
          <w:spacing w:val="-152"/>
          <w:w w:val="100"/>
        </w:rPr>
        <w:t>人</w:t>
      </w:r>
      <w:r>
        <w:rPr>
          <w:spacing w:val="-62"/>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52"/>
          <w:w w:val="100"/>
        </w:rPr>
        <w:t>条</w:t>
      </w:r>
      <w:r>
        <w:rPr>
          <w:spacing w:val="-63"/>
          <w:w w:val="100"/>
          <w:position w:val="-7"/>
        </w:rPr>
        <w:t>．</w:t>
      </w:r>
      <w:r>
        <w:rPr>
          <w:spacing w:val="-152"/>
          <w:w w:val="100"/>
        </w:rPr>
        <w:t>款</w:t>
      </w:r>
      <w:r>
        <w:rPr>
          <w:spacing w:val="-63"/>
          <w:w w:val="100"/>
          <w:position w:val="-7"/>
        </w:rPr>
        <w:t>．</w:t>
      </w:r>
      <w:r>
        <w:rPr>
          <w:spacing w:val="-154"/>
          <w:w w:val="100"/>
        </w:rPr>
        <w:t>，</w:t>
      </w:r>
      <w:r>
        <w:rPr>
          <w:spacing w:val="-65"/>
          <w:w w:val="100"/>
          <w:position w:val="-7"/>
        </w:rPr>
        <w:t>．</w:t>
      </w:r>
      <w:r>
        <w:rPr>
          <w:spacing w:val="-152"/>
          <w:w w:val="100"/>
        </w:rPr>
        <w:t>对</w:t>
      </w:r>
      <w:r>
        <w:rPr>
          <w:spacing w:val="-63"/>
          <w:w w:val="100"/>
          <w:position w:val="-7"/>
        </w:rPr>
        <w:t>．</w:t>
      </w:r>
      <w:r>
        <w:rPr>
          <w:spacing w:val="-150"/>
          <w:w w:val="100"/>
        </w:rPr>
        <w:t>本</w:t>
      </w:r>
      <w:r>
        <w:rPr>
          <w:spacing w:val="-63"/>
          <w:w w:val="100"/>
          <w:position w:val="-7"/>
        </w:rPr>
        <w:t>．</w:t>
      </w:r>
      <w:r>
        <w:rPr>
          <w:spacing w:val="-152"/>
          <w:w w:val="100"/>
        </w:rPr>
        <w:t>主</w:t>
      </w:r>
      <w:r>
        <w:rPr>
          <w:spacing w:val="-63"/>
          <w:w w:val="100"/>
          <w:position w:val="-7"/>
        </w:rPr>
        <w:t>．</w:t>
      </w:r>
      <w:r>
        <w:rPr>
          <w:spacing w:val="-149"/>
          <w:w w:val="100"/>
        </w:rPr>
        <w:t>险</w:t>
      </w:r>
      <w:r>
        <w:rPr>
          <w:spacing w:val="-63"/>
          <w:w w:val="100"/>
          <w:position w:val="-7"/>
        </w:rPr>
        <w:t>．</w:t>
      </w:r>
      <w:r>
        <w:rPr>
          <w:spacing w:val="-152"/>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49"/>
          <w:w w:val="100"/>
        </w:rPr>
        <w:t>容</w:t>
      </w:r>
      <w:r>
        <w:rPr>
          <w:spacing w:val="-63"/>
          <w:w w:val="100"/>
          <w:position w:val="-7"/>
        </w:rPr>
        <w:t>．</w:t>
      </w:r>
      <w:r>
        <w:rPr>
          <w:spacing w:val="-151"/>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52"/>
          <w:w w:val="100"/>
        </w:rPr>
        <w:t>准</w:t>
      </w:r>
      <w:r>
        <w:rPr>
          <w:spacing w:val="-63"/>
          <w:w w:val="100"/>
          <w:position w:val="-7"/>
        </w:rPr>
        <w:t>．</w:t>
      </w:r>
      <w:r>
        <w:rPr>
          <w:spacing w:val="-154"/>
          <w:w w:val="100"/>
        </w:rPr>
        <w:t>。</w:t>
      </w:r>
      <w:r>
        <w:rPr>
          <w:spacing w:val="-67"/>
          <w:w w:val="100"/>
          <w:position w:val="-7"/>
        </w:rPr>
        <w:t>．</w:t>
      </w:r>
      <w:r>
        <w:rPr>
          <w:spacing w:val="-150"/>
          <w:w w:val="100"/>
        </w:rPr>
        <w:t>在</w:t>
      </w:r>
      <w:r>
        <w:rPr>
          <w:spacing w:val="-63"/>
          <w:w w:val="100"/>
          <w:position w:val="-7"/>
        </w:rPr>
        <w:t>．</w:t>
      </w:r>
      <w:r>
        <w:rPr>
          <w:spacing w:val="-149"/>
          <w:w w:val="100"/>
        </w:rPr>
        <w:t>本</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中</w:t>
      </w:r>
      <w:r>
        <w:rPr>
          <w:spacing w:val="-63"/>
          <w:w w:val="100"/>
          <w:position w:val="-7"/>
        </w:rPr>
        <w:t>．</w:t>
      </w:r>
      <w:r>
        <w:rPr>
          <w:spacing w:val="-202"/>
          <w:w w:val="100"/>
        </w:rPr>
        <w:t>，</w:t>
      </w:r>
      <w:r>
        <w:rPr>
          <w:spacing w:val="-123"/>
          <w:w w:val="100"/>
          <w:position w:val="-7"/>
        </w:rPr>
        <w:t>．</w:t>
      </w:r>
      <w:r>
        <w:rPr>
          <w:spacing w:val="-147"/>
          <w:w w:val="100"/>
        </w:rPr>
        <w:t>“</w:t>
      </w:r>
      <w:r>
        <w:rPr>
          <w:spacing w:val="-68"/>
          <w:w w:val="100"/>
          <w:position w:val="-7"/>
        </w:rPr>
        <w:t>．</w:t>
      </w:r>
      <w:r>
        <w:rPr>
          <w:spacing w:val="-149"/>
          <w:w w:val="100"/>
        </w:rPr>
        <w:t>本</w:t>
      </w:r>
      <w:r>
        <w:rPr>
          <w:spacing w:val="-63"/>
          <w:w w:val="100"/>
          <w:position w:val="-7"/>
        </w:rPr>
        <w:t>．</w:t>
      </w:r>
      <w:r>
        <w:rPr>
          <w:spacing w:val="-152"/>
          <w:w w:val="100"/>
        </w:rPr>
        <w:t>公</w:t>
      </w:r>
      <w:r>
        <w:rPr>
          <w:spacing w:val="-63"/>
          <w:w w:val="100"/>
          <w:position w:val="-7"/>
        </w:rPr>
        <w:t>．</w:t>
      </w:r>
      <w:r>
        <w:rPr>
          <w:spacing w:val="-149"/>
          <w:w w:val="100"/>
        </w:rPr>
        <w:t>司</w:t>
      </w:r>
      <w:r>
        <w:rPr>
          <w:spacing w:val="-63"/>
          <w:w w:val="100"/>
          <w:position w:val="-7"/>
        </w:rPr>
        <w:t>．</w:t>
      </w:r>
      <w:r>
        <w:rPr>
          <w:spacing w:val="-154"/>
          <w:w w:val="100"/>
        </w:rPr>
        <w:t>”</w:t>
      </w:r>
      <w:r>
        <w:rPr>
          <w:spacing w:val="-67"/>
          <w:w w:val="100"/>
          <w:position w:val="-7"/>
        </w:rPr>
        <w:t>．</w:t>
      </w:r>
      <w:r>
        <w:rPr>
          <w:spacing w:val="-152"/>
          <w:w w:val="100"/>
        </w:rPr>
        <w:t>指</w:t>
      </w:r>
      <w:r>
        <w:rPr>
          <w:spacing w:val="-63"/>
          <w:w w:val="100"/>
          <w:position w:val="-7"/>
        </w:rPr>
        <w:t>．</w:t>
      </w:r>
      <w:r>
        <w:rPr>
          <w:spacing w:val="-150"/>
          <w:w w:val="100"/>
        </w:rPr>
        <w:t>安</w:t>
      </w:r>
      <w:r>
        <w:rPr>
          <w:w w:val="100"/>
          <w:position w:val="-7"/>
        </w:rPr>
        <w:t>．</w:t>
      </w:r>
      <w:r>
        <w:rPr>
          <w:spacing w:val="-149"/>
        </w:rPr>
        <w:t>邦</w:t>
      </w:r>
      <w:r>
        <w:rPr>
          <w:spacing w:val="-63"/>
          <w:position w:val="-7"/>
        </w:rPr>
        <w:t>．</w:t>
      </w:r>
      <w:r>
        <w:rPr>
          <w:spacing w:val="-149"/>
        </w:rPr>
        <w:t>人</w:t>
      </w:r>
      <w:r>
        <w:rPr>
          <w:spacing w:val="-63"/>
          <w:position w:val="-7"/>
        </w:rPr>
        <w:t>．</w:t>
      </w:r>
      <w:r>
        <w:rPr>
          <w:spacing w:val="-152"/>
        </w:rPr>
        <w:t>寿</w:t>
      </w:r>
      <w:r>
        <w:rPr>
          <w:spacing w:val="-63"/>
          <w:position w:val="-7"/>
        </w:rPr>
        <w:t>．</w:t>
      </w:r>
      <w:r>
        <w:rPr>
          <w:spacing w:val="-149"/>
        </w:rPr>
        <w:t>保</w:t>
      </w:r>
      <w:r>
        <w:rPr>
          <w:spacing w:val="-63"/>
          <w:position w:val="-7"/>
        </w:rPr>
        <w:t>．</w:t>
      </w:r>
      <w:r>
        <w:rPr>
          <w:spacing w:val="-152"/>
        </w:rPr>
        <w:t>险</w:t>
      </w:r>
      <w:r>
        <w:rPr>
          <w:spacing w:val="-63"/>
          <w:position w:val="-7"/>
        </w:rPr>
        <w:t>．</w:t>
      </w:r>
      <w:r>
        <w:rPr>
          <w:spacing w:val="-150"/>
        </w:rPr>
        <w:t>股</w:t>
      </w:r>
      <w:r>
        <w:rPr>
          <w:spacing w:val="-63"/>
          <w:position w:val="-7"/>
        </w:rPr>
        <w:t>．</w:t>
      </w:r>
      <w:r>
        <w:rPr>
          <w:spacing w:val="-152"/>
        </w:rPr>
        <w:t>份</w:t>
      </w:r>
      <w:r>
        <w:rPr>
          <w:spacing w:val="-63"/>
          <w:position w:val="-7"/>
        </w:rPr>
        <w:t>．</w:t>
      </w:r>
      <w:r>
        <w:rPr>
          <w:spacing w:val="-150"/>
        </w:rPr>
        <w:t>有</w:t>
      </w:r>
      <w:r>
        <w:rPr>
          <w:spacing w:val="-63"/>
          <w:position w:val="-7"/>
        </w:rPr>
        <w:t>．</w:t>
      </w:r>
      <w:r>
        <w:rPr>
          <w:spacing w:val="-152"/>
        </w:rPr>
        <w:t>限</w:t>
      </w:r>
      <w:r>
        <w:rPr>
          <w:spacing w:val="-63"/>
          <w:position w:val="-7"/>
        </w:rPr>
        <w:t>．</w:t>
      </w:r>
      <w:r>
        <w:rPr>
          <w:spacing w:val="-150"/>
        </w:rPr>
        <w:t>公</w:t>
      </w:r>
      <w:r>
        <w:rPr>
          <w:spacing w:val="-63"/>
          <w:position w:val="-7"/>
        </w:rPr>
        <w:t>．</w:t>
      </w:r>
      <w:r>
        <w:rPr>
          <w:spacing w:val="-152"/>
        </w:rPr>
        <w:t>司</w:t>
      </w:r>
      <w:r>
        <w:rPr>
          <w:spacing w:val="-62"/>
          <w:position w:val="-7"/>
        </w:rPr>
        <w:t>．</w:t>
      </w:r>
      <w:r>
        <w:rPr>
          <w:spacing w:val="-149"/>
        </w:rPr>
        <w:t>。</w:t>
      </w:r>
      <w:r>
        <w:rPr>
          <w:position w:val="-7"/>
        </w:rPr>
        <w:t>．</w:t>
      </w:r>
    </w:p>
    <w:p>
      <w:pPr>
        <w:tabs>
          <w:tab w:pos="1260" w:val="left" w:leader="none"/>
        </w:tabs>
        <w:spacing w:before="71"/>
        <w:ind w:left="250" w:right="0" w:firstLine="0"/>
        <w:jc w:val="left"/>
        <w:rPr>
          <w:b/>
          <w:sz w:val="21"/>
        </w:rPr>
      </w:pPr>
      <w:r>
        <w:rPr>
          <w:rFonts w:ascii="Arial" w:hAnsi="Arial" w:eastAsia="Arial"/>
          <w:b/>
          <w:w w:val="105"/>
          <w:position w:val="-11"/>
          <w:sz w:val="52"/>
        </w:rPr>
        <w:t></w:t>
        <w:tab/>
      </w:r>
      <w:r>
        <w:rPr>
          <w:b/>
          <w:spacing w:val="-1"/>
          <w:sz w:val="21"/>
        </w:rPr>
        <w:t>投保人拥有的重要权益</w:t>
      </w:r>
    </w:p>
    <w:p>
      <w:pPr>
        <w:pStyle w:val="ListParagraph"/>
        <w:numPr>
          <w:ilvl w:val="0"/>
          <w:numId w:val="1"/>
        </w:numPr>
        <w:tabs>
          <w:tab w:pos="1279" w:val="left" w:leader="none"/>
          <w:tab w:pos="1280" w:val="left" w:leader="none"/>
          <w:tab w:pos="9887" w:val="right" w:leader="dot"/>
        </w:tabs>
        <w:spacing w:line="240" w:lineRule="auto" w:before="57" w:after="0"/>
        <w:ind w:left="1279" w:right="0" w:hanging="398"/>
        <w:jc w:val="left"/>
        <w:rPr>
          <w:sz w:val="21"/>
        </w:rPr>
      </w:pPr>
      <w:r>
        <w:rPr>
          <w:spacing w:val="-3"/>
          <w:sz w:val="21"/>
        </w:rPr>
        <w:t>投</w:t>
      </w:r>
      <w:r>
        <w:rPr>
          <w:sz w:val="21"/>
        </w:rPr>
        <w:t>保</w:t>
      </w:r>
      <w:r>
        <w:rPr>
          <w:spacing w:val="-3"/>
          <w:sz w:val="21"/>
        </w:rPr>
        <w:t>人</w:t>
      </w:r>
      <w:r>
        <w:rPr>
          <w:sz w:val="21"/>
        </w:rPr>
        <w:t>有</w:t>
      </w:r>
      <w:r>
        <w:rPr>
          <w:spacing w:val="-3"/>
          <w:sz w:val="21"/>
        </w:rPr>
        <w:t>退保</w:t>
      </w:r>
      <w:r>
        <w:rPr>
          <w:sz w:val="21"/>
        </w:rPr>
        <w:t>的权利</w:t>
        <w:tab/>
        <w:t>1.4</w:t>
      </w:r>
    </w:p>
    <w:p>
      <w:pPr>
        <w:pStyle w:val="ListParagraph"/>
        <w:numPr>
          <w:ilvl w:val="0"/>
          <w:numId w:val="1"/>
        </w:numPr>
        <w:tabs>
          <w:tab w:pos="1279" w:val="left" w:leader="none"/>
          <w:tab w:pos="1280" w:val="left" w:leader="none"/>
          <w:tab w:pos="9892" w:val="right" w:leader="dot"/>
        </w:tabs>
        <w:spacing w:line="240" w:lineRule="auto" w:before="84" w:after="0"/>
        <w:ind w:left="1279" w:right="0" w:hanging="398"/>
        <w:jc w:val="left"/>
        <w:rPr>
          <w:sz w:val="21"/>
        </w:rPr>
      </w:pPr>
      <w:r>
        <w:rPr>
          <w:spacing w:val="-3"/>
          <w:sz w:val="21"/>
        </w:rPr>
        <w:t>本</w:t>
      </w:r>
      <w:r>
        <w:rPr>
          <w:sz w:val="21"/>
        </w:rPr>
        <w:t>主险</w:t>
      </w:r>
      <w:r>
        <w:rPr>
          <w:spacing w:val="-3"/>
          <w:sz w:val="21"/>
        </w:rPr>
        <w:t>合</w:t>
      </w:r>
      <w:r>
        <w:rPr>
          <w:sz w:val="21"/>
        </w:rPr>
        <w:t>同</w:t>
      </w:r>
      <w:r>
        <w:rPr>
          <w:spacing w:val="-3"/>
          <w:sz w:val="21"/>
        </w:rPr>
        <w:t>提</w:t>
      </w:r>
      <w:r>
        <w:rPr>
          <w:sz w:val="21"/>
        </w:rPr>
        <w:t>供</w:t>
      </w:r>
      <w:r>
        <w:rPr>
          <w:spacing w:val="-3"/>
          <w:sz w:val="21"/>
        </w:rPr>
        <w:t>的保</w:t>
      </w:r>
      <w:r>
        <w:rPr>
          <w:sz w:val="21"/>
        </w:rPr>
        <w:t>障在</w:t>
      </w:r>
      <w:r>
        <w:rPr>
          <w:spacing w:val="-3"/>
          <w:sz w:val="21"/>
        </w:rPr>
        <w:t>保</w:t>
      </w:r>
      <w:r>
        <w:rPr>
          <w:sz w:val="21"/>
        </w:rPr>
        <w:t>险</w:t>
      </w:r>
      <w:r>
        <w:rPr>
          <w:spacing w:val="-3"/>
          <w:sz w:val="21"/>
        </w:rPr>
        <w:t>责</w:t>
      </w:r>
      <w:r>
        <w:rPr>
          <w:sz w:val="21"/>
        </w:rPr>
        <w:t>任</w:t>
      </w:r>
      <w:r>
        <w:rPr>
          <w:spacing w:val="-3"/>
          <w:sz w:val="21"/>
        </w:rPr>
        <w:t>条</w:t>
      </w:r>
      <w:r>
        <w:rPr>
          <w:sz w:val="21"/>
        </w:rPr>
        <w:t>款</w:t>
      </w:r>
      <w:r>
        <w:rPr>
          <w:spacing w:val="-3"/>
          <w:sz w:val="21"/>
        </w:rPr>
        <w:t>中</w:t>
      </w:r>
      <w:r>
        <w:rPr>
          <w:sz w:val="21"/>
        </w:rPr>
        <w:t>列明</w:t>
        <w:tab/>
        <w:t>2.3</w:t>
      </w:r>
    </w:p>
    <w:p>
      <w:pPr>
        <w:tabs>
          <w:tab w:pos="1260" w:val="left" w:leader="none"/>
        </w:tabs>
        <w:spacing w:before="53"/>
        <w:ind w:left="250" w:right="0" w:firstLine="0"/>
        <w:jc w:val="left"/>
        <w:rPr>
          <w:b/>
          <w:sz w:val="21"/>
        </w:rPr>
      </w:pPr>
      <w:r>
        <w:rPr>
          <w:rFonts w:ascii="Arial" w:hAnsi="Arial" w:eastAsia="Arial"/>
          <w:b/>
          <w:w w:val="105"/>
          <w:position w:val="-11"/>
          <w:sz w:val="52"/>
        </w:rPr>
        <w:t></w:t>
        <w:tab/>
      </w:r>
      <w:r>
        <w:rPr>
          <w:b/>
          <w:spacing w:val="-1"/>
          <w:sz w:val="21"/>
        </w:rPr>
        <w:t>投保人应当特别注意的事项</w:t>
      </w:r>
    </w:p>
    <w:p>
      <w:pPr>
        <w:pStyle w:val="ListParagraph"/>
        <w:numPr>
          <w:ilvl w:val="0"/>
          <w:numId w:val="1"/>
        </w:numPr>
        <w:tabs>
          <w:tab w:pos="1269" w:val="left" w:leader="none"/>
          <w:tab w:pos="1270" w:val="left" w:leader="none"/>
          <w:tab w:pos="9885" w:val="right" w:leader="dot"/>
        </w:tabs>
        <w:spacing w:line="240" w:lineRule="auto" w:before="56" w:after="0"/>
        <w:ind w:left="1270" w:right="0" w:hanging="389"/>
        <w:jc w:val="left"/>
        <w:rPr>
          <w:sz w:val="21"/>
        </w:rPr>
      </w:pPr>
      <w:r>
        <w:rPr>
          <w:sz w:val="21"/>
        </w:rPr>
        <w:t>退保</w:t>
      </w:r>
      <w:r>
        <w:rPr>
          <w:spacing w:val="-3"/>
          <w:sz w:val="21"/>
        </w:rPr>
        <w:t>会</w:t>
      </w:r>
      <w:r>
        <w:rPr>
          <w:sz w:val="21"/>
        </w:rPr>
        <w:t>给</w:t>
      </w:r>
      <w:r>
        <w:rPr>
          <w:spacing w:val="-3"/>
          <w:sz w:val="21"/>
        </w:rPr>
        <w:t>投</w:t>
      </w:r>
      <w:r>
        <w:rPr>
          <w:sz w:val="21"/>
        </w:rPr>
        <w:t>保人造</w:t>
      </w:r>
      <w:r>
        <w:rPr>
          <w:spacing w:val="-3"/>
          <w:sz w:val="21"/>
        </w:rPr>
        <w:t>成</w:t>
      </w:r>
      <w:r>
        <w:rPr>
          <w:sz w:val="21"/>
        </w:rPr>
        <w:t>一</w:t>
      </w:r>
      <w:r>
        <w:rPr>
          <w:spacing w:val="-3"/>
          <w:sz w:val="21"/>
        </w:rPr>
        <w:t>定</w:t>
      </w:r>
      <w:r>
        <w:rPr>
          <w:sz w:val="21"/>
        </w:rPr>
        <w:t>的损</w:t>
      </w:r>
      <w:r>
        <w:rPr>
          <w:spacing w:val="-3"/>
          <w:sz w:val="21"/>
        </w:rPr>
        <w:t>失</w:t>
      </w:r>
      <w:r>
        <w:rPr>
          <w:sz w:val="21"/>
        </w:rPr>
        <w:t>，</w:t>
      </w:r>
      <w:r>
        <w:rPr>
          <w:spacing w:val="-3"/>
          <w:sz w:val="21"/>
        </w:rPr>
        <w:t>请</w:t>
      </w:r>
      <w:r>
        <w:rPr>
          <w:sz w:val="21"/>
        </w:rPr>
        <w:t>投</w:t>
      </w:r>
      <w:r>
        <w:rPr>
          <w:spacing w:val="-3"/>
          <w:sz w:val="21"/>
        </w:rPr>
        <w:t>保</w:t>
      </w:r>
      <w:r>
        <w:rPr>
          <w:sz w:val="21"/>
        </w:rPr>
        <w:t>人</w:t>
      </w:r>
      <w:r>
        <w:rPr>
          <w:spacing w:val="-3"/>
          <w:sz w:val="21"/>
        </w:rPr>
        <w:t>慎</w:t>
      </w:r>
      <w:r>
        <w:rPr>
          <w:sz w:val="21"/>
        </w:rPr>
        <w:t>重</w:t>
      </w:r>
      <w:r>
        <w:rPr>
          <w:spacing w:val="-3"/>
          <w:sz w:val="21"/>
        </w:rPr>
        <w:t>决</w:t>
      </w:r>
      <w:r>
        <w:rPr>
          <w:sz w:val="21"/>
        </w:rPr>
        <w:t>策</w:t>
        <w:tab/>
        <w:t>1.4</w:t>
      </w:r>
    </w:p>
    <w:p>
      <w:pPr>
        <w:pStyle w:val="ListParagraph"/>
        <w:numPr>
          <w:ilvl w:val="0"/>
          <w:numId w:val="1"/>
        </w:numPr>
        <w:tabs>
          <w:tab w:pos="1269" w:val="left" w:leader="none"/>
          <w:tab w:pos="1270" w:val="left" w:leader="none"/>
          <w:tab w:pos="9882" w:val="right" w:leader="dot"/>
        </w:tabs>
        <w:spacing w:line="240" w:lineRule="auto" w:before="84" w:after="0"/>
        <w:ind w:left="1270" w:right="0" w:hanging="389"/>
        <w:jc w:val="left"/>
        <w:rPr>
          <w:sz w:val="21"/>
        </w:rPr>
      </w:pPr>
      <w:r>
        <w:rPr>
          <w:sz w:val="21"/>
        </w:rPr>
        <w:t>本主</w:t>
      </w:r>
      <w:r>
        <w:rPr>
          <w:spacing w:val="-3"/>
          <w:sz w:val="21"/>
        </w:rPr>
        <w:t>险</w:t>
      </w:r>
      <w:r>
        <w:rPr>
          <w:sz w:val="21"/>
        </w:rPr>
        <w:t>合</w:t>
      </w:r>
      <w:r>
        <w:rPr>
          <w:spacing w:val="-3"/>
          <w:sz w:val="21"/>
        </w:rPr>
        <w:t>同</w:t>
      </w:r>
      <w:r>
        <w:rPr>
          <w:sz w:val="21"/>
        </w:rPr>
        <w:t>有</w:t>
      </w:r>
      <w:r>
        <w:rPr>
          <w:spacing w:val="-53"/>
          <w:sz w:val="21"/>
        </w:rPr>
        <w:t> </w:t>
      </w:r>
      <w:r>
        <w:rPr>
          <w:sz w:val="21"/>
        </w:rPr>
        <w:t>30</w:t>
      </w:r>
      <w:r>
        <w:rPr>
          <w:spacing w:val="-52"/>
          <w:sz w:val="21"/>
        </w:rPr>
        <w:t> </w:t>
      </w:r>
      <w:r>
        <w:rPr>
          <w:spacing w:val="-3"/>
          <w:sz w:val="21"/>
        </w:rPr>
        <w:t>天</w:t>
      </w:r>
      <w:r>
        <w:rPr>
          <w:sz w:val="21"/>
        </w:rPr>
        <w:t>的</w:t>
      </w:r>
      <w:r>
        <w:rPr>
          <w:spacing w:val="-3"/>
          <w:sz w:val="21"/>
        </w:rPr>
        <w:t>等待</w:t>
      </w:r>
      <w:r>
        <w:rPr>
          <w:sz w:val="21"/>
        </w:rPr>
        <w:t>期</w:t>
        <w:tab/>
        <w:t>2.3</w:t>
      </w:r>
    </w:p>
    <w:p>
      <w:pPr>
        <w:pStyle w:val="ListParagraph"/>
        <w:numPr>
          <w:ilvl w:val="0"/>
          <w:numId w:val="1"/>
        </w:numPr>
        <w:tabs>
          <w:tab w:pos="1279" w:val="left" w:leader="none"/>
          <w:tab w:pos="1280" w:val="left" w:leader="none"/>
          <w:tab w:pos="9892" w:val="right" w:leader="dot"/>
        </w:tabs>
        <w:spacing w:line="240" w:lineRule="auto" w:before="84" w:after="0"/>
        <w:ind w:left="1279" w:right="0" w:hanging="398"/>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本公</w:t>
      </w:r>
      <w:r>
        <w:rPr>
          <w:sz w:val="21"/>
        </w:rPr>
        <w:t>司不</w:t>
      </w:r>
      <w:r>
        <w:rPr>
          <w:spacing w:val="-3"/>
          <w:sz w:val="21"/>
        </w:rPr>
        <w:t>承</w:t>
      </w:r>
      <w:r>
        <w:rPr>
          <w:sz w:val="21"/>
        </w:rPr>
        <w:t>担</w:t>
      </w:r>
      <w:r>
        <w:rPr>
          <w:spacing w:val="-3"/>
          <w:sz w:val="21"/>
        </w:rPr>
        <w:t>保</w:t>
      </w:r>
      <w:r>
        <w:rPr>
          <w:sz w:val="21"/>
        </w:rPr>
        <w:t>险</w:t>
      </w:r>
      <w:r>
        <w:rPr>
          <w:spacing w:val="-3"/>
          <w:sz w:val="21"/>
        </w:rPr>
        <w:t>责</w:t>
      </w:r>
      <w:r>
        <w:rPr>
          <w:sz w:val="21"/>
        </w:rPr>
        <w:t>任</w:t>
        <w:tab/>
        <w:t>2.4</w:t>
      </w:r>
    </w:p>
    <w:p>
      <w:pPr>
        <w:pStyle w:val="ListParagraph"/>
        <w:numPr>
          <w:ilvl w:val="0"/>
          <w:numId w:val="1"/>
        </w:numPr>
        <w:tabs>
          <w:tab w:pos="1279" w:val="left" w:leader="none"/>
          <w:tab w:pos="1280" w:val="left" w:leader="none"/>
          <w:tab w:pos="9889" w:val="right" w:leader="dot"/>
        </w:tabs>
        <w:spacing w:line="240" w:lineRule="auto" w:before="84" w:after="0"/>
        <w:ind w:left="1279" w:right="0" w:hanging="398"/>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投</w:t>
      </w:r>
      <w:r>
        <w:rPr>
          <w:sz w:val="21"/>
        </w:rPr>
        <w:t>保</w:t>
      </w:r>
      <w:r>
        <w:rPr>
          <w:spacing w:val="-3"/>
          <w:sz w:val="21"/>
        </w:rPr>
        <w:t>人</w:t>
      </w:r>
      <w:r>
        <w:rPr>
          <w:sz w:val="21"/>
        </w:rPr>
        <w:t>及</w:t>
      </w:r>
      <w:r>
        <w:rPr>
          <w:spacing w:val="-3"/>
          <w:sz w:val="21"/>
        </w:rPr>
        <w:t>时</w:t>
      </w:r>
      <w:r>
        <w:rPr>
          <w:sz w:val="21"/>
        </w:rPr>
        <w:t>通</w:t>
      </w:r>
      <w:r>
        <w:rPr>
          <w:spacing w:val="-3"/>
          <w:sz w:val="21"/>
        </w:rPr>
        <w:t>知</w:t>
      </w:r>
      <w:r>
        <w:rPr>
          <w:sz w:val="21"/>
        </w:rPr>
        <w:t>本</w:t>
      </w:r>
      <w:r>
        <w:rPr>
          <w:spacing w:val="-3"/>
          <w:sz w:val="21"/>
        </w:rPr>
        <w:t>公</w:t>
      </w:r>
      <w:r>
        <w:rPr>
          <w:sz w:val="21"/>
        </w:rPr>
        <w:t>司</w:t>
        <w:tab/>
        <w:t>4.2</w:t>
      </w:r>
    </w:p>
    <w:p>
      <w:pPr>
        <w:pStyle w:val="ListParagraph"/>
        <w:numPr>
          <w:ilvl w:val="0"/>
          <w:numId w:val="1"/>
        </w:numPr>
        <w:tabs>
          <w:tab w:pos="1279" w:val="left" w:leader="none"/>
          <w:tab w:pos="1280" w:val="left" w:leader="none"/>
          <w:tab w:pos="9885" w:val="right" w:leader="dot"/>
        </w:tabs>
        <w:spacing w:line="240" w:lineRule="auto" w:before="84" w:after="0"/>
        <w:ind w:left="1279" w:right="0" w:hanging="398"/>
        <w:jc w:val="left"/>
        <w:rPr>
          <w:sz w:val="21"/>
        </w:rPr>
      </w:pPr>
      <w:r>
        <w:rPr>
          <w:spacing w:val="-3"/>
          <w:sz w:val="21"/>
        </w:rPr>
        <w:t>投</w:t>
      </w:r>
      <w:r>
        <w:rPr>
          <w:sz w:val="21"/>
        </w:rPr>
        <w:t>保</w:t>
      </w:r>
      <w:r>
        <w:rPr>
          <w:spacing w:val="-3"/>
          <w:sz w:val="21"/>
        </w:rPr>
        <w:t>人</w:t>
      </w:r>
      <w:r>
        <w:rPr>
          <w:sz w:val="21"/>
        </w:rPr>
        <w:t>有</w:t>
      </w:r>
      <w:r>
        <w:rPr>
          <w:spacing w:val="-3"/>
          <w:sz w:val="21"/>
        </w:rPr>
        <w:t>如实</w:t>
      </w:r>
      <w:r>
        <w:rPr>
          <w:sz w:val="21"/>
        </w:rPr>
        <w:t>告知</w:t>
      </w:r>
      <w:r>
        <w:rPr>
          <w:spacing w:val="-3"/>
          <w:sz w:val="21"/>
        </w:rPr>
        <w:t>的</w:t>
      </w:r>
      <w:r>
        <w:rPr>
          <w:sz w:val="21"/>
        </w:rPr>
        <w:t>义务</w:t>
        <w:tab/>
      </w:r>
      <w:r>
        <w:rPr>
          <w:spacing w:val="-3"/>
          <w:sz w:val="21"/>
        </w:rPr>
        <w:t>5.1</w:t>
      </w:r>
    </w:p>
    <w:p>
      <w:pPr>
        <w:pStyle w:val="ListParagraph"/>
        <w:numPr>
          <w:ilvl w:val="0"/>
          <w:numId w:val="1"/>
        </w:numPr>
        <w:tabs>
          <w:tab w:pos="1279" w:val="left" w:leader="none"/>
          <w:tab w:pos="1280" w:val="left" w:leader="none"/>
          <w:tab w:pos="9678" w:val="right" w:leader="dot"/>
        </w:tabs>
        <w:spacing w:line="240" w:lineRule="auto" w:before="84" w:after="0"/>
        <w:ind w:left="1279" w:right="0" w:hanging="398"/>
        <w:jc w:val="left"/>
        <w:rPr>
          <w:sz w:val="21"/>
        </w:rPr>
      </w:pPr>
      <w:r>
        <w:rPr>
          <w:spacing w:val="-3"/>
          <w:sz w:val="21"/>
        </w:rPr>
        <w:t>本</w:t>
      </w:r>
      <w:r>
        <w:rPr>
          <w:sz w:val="21"/>
        </w:rPr>
        <w:t>公</w:t>
      </w:r>
      <w:r>
        <w:rPr>
          <w:spacing w:val="-3"/>
          <w:sz w:val="21"/>
        </w:rPr>
        <w:t>司</w:t>
      </w:r>
      <w:r>
        <w:rPr>
          <w:sz w:val="21"/>
        </w:rPr>
        <w:t>对</w:t>
      </w:r>
      <w:r>
        <w:rPr>
          <w:spacing w:val="-3"/>
          <w:sz w:val="21"/>
        </w:rPr>
        <w:t>一些</w:t>
      </w:r>
      <w:r>
        <w:rPr>
          <w:sz w:val="21"/>
        </w:rPr>
        <w:t>重要</w:t>
      </w:r>
      <w:r>
        <w:rPr>
          <w:spacing w:val="-3"/>
          <w:sz w:val="21"/>
        </w:rPr>
        <w:t>术</w:t>
      </w:r>
      <w:r>
        <w:rPr>
          <w:sz w:val="21"/>
        </w:rPr>
        <w:t>语</w:t>
      </w:r>
      <w:r>
        <w:rPr>
          <w:spacing w:val="-3"/>
          <w:sz w:val="21"/>
        </w:rPr>
        <w:t>进</w:t>
      </w:r>
      <w:r>
        <w:rPr>
          <w:sz w:val="21"/>
        </w:rPr>
        <w:t>行</w:t>
      </w:r>
      <w:r>
        <w:rPr>
          <w:spacing w:val="-3"/>
          <w:sz w:val="21"/>
        </w:rPr>
        <w:t>了</w:t>
      </w:r>
      <w:r>
        <w:rPr>
          <w:sz w:val="21"/>
        </w:rPr>
        <w:t>解</w:t>
      </w:r>
      <w:r>
        <w:rPr>
          <w:spacing w:val="-3"/>
          <w:sz w:val="21"/>
        </w:rPr>
        <w:t>释</w:t>
      </w:r>
      <w:r>
        <w:rPr>
          <w:sz w:val="21"/>
        </w:rPr>
        <w:t>，</w:t>
      </w:r>
      <w:r>
        <w:rPr>
          <w:spacing w:val="-3"/>
          <w:sz w:val="21"/>
        </w:rPr>
        <w:t>并</w:t>
      </w:r>
      <w:r>
        <w:rPr>
          <w:sz w:val="21"/>
        </w:rPr>
        <w:t>作了</w:t>
      </w:r>
      <w:r>
        <w:rPr>
          <w:spacing w:val="-3"/>
          <w:sz w:val="21"/>
        </w:rPr>
        <w:t>显</w:t>
      </w:r>
      <w:r>
        <w:rPr>
          <w:sz w:val="21"/>
        </w:rPr>
        <w:t>著</w:t>
      </w:r>
      <w:r>
        <w:rPr>
          <w:spacing w:val="-3"/>
          <w:sz w:val="21"/>
        </w:rPr>
        <w:t>标</w:t>
      </w:r>
      <w:r>
        <w:rPr>
          <w:sz w:val="21"/>
        </w:rPr>
        <w:t>识</w:t>
      </w:r>
      <w:r>
        <w:rPr>
          <w:spacing w:val="-3"/>
          <w:sz w:val="21"/>
        </w:rPr>
        <w:t>，</w:t>
      </w:r>
      <w:r>
        <w:rPr>
          <w:sz w:val="21"/>
        </w:rPr>
        <w:t>请</w:t>
      </w:r>
      <w:r>
        <w:rPr>
          <w:spacing w:val="-3"/>
          <w:sz w:val="21"/>
        </w:rPr>
        <w:t>投</w:t>
      </w:r>
      <w:r>
        <w:rPr>
          <w:sz w:val="21"/>
        </w:rPr>
        <w:t>保</w:t>
      </w:r>
      <w:r>
        <w:rPr>
          <w:spacing w:val="-3"/>
          <w:sz w:val="21"/>
        </w:rPr>
        <w:t>人</w:t>
      </w:r>
      <w:r>
        <w:rPr>
          <w:sz w:val="21"/>
        </w:rPr>
        <w:t>注意</w:t>
        <w:tab/>
      </w:r>
      <w:r>
        <w:rPr>
          <w:spacing w:val="-3"/>
          <w:sz w:val="21"/>
        </w:rPr>
        <w:t>6</w:t>
      </w:r>
    </w:p>
    <w:p>
      <w:pPr>
        <w:tabs>
          <w:tab w:pos="1260" w:val="left" w:leader="none"/>
        </w:tabs>
        <w:spacing w:before="53"/>
        <w:ind w:left="250" w:right="0" w:firstLine="0"/>
        <w:jc w:val="left"/>
        <w:rPr>
          <w:b/>
          <w:sz w:val="21"/>
        </w:rPr>
      </w:pPr>
      <w:r>
        <w:rPr>
          <w:rFonts w:ascii="Arial" w:hAnsi="Arial" w:eastAsia="Arial"/>
          <w:b/>
          <w:w w:val="105"/>
          <w:position w:val="-11"/>
          <w:sz w:val="52"/>
        </w:rPr>
        <w:t></w:t>
        <w:tab/>
      </w:r>
      <w:r>
        <w:rPr>
          <w:b/>
          <w:spacing w:val="-3"/>
          <w:sz w:val="21"/>
        </w:rPr>
        <w:t>条款是保险合同的重要内容，为充分保障投保人的权益，请投保人仔细阅读本条款。</w:t>
      </w:r>
    </w:p>
    <w:p>
      <w:pPr>
        <w:tabs>
          <w:tab w:pos="1260" w:val="left" w:leader="none"/>
        </w:tabs>
        <w:spacing w:before="83" w:after="53"/>
        <w:ind w:left="250" w:right="0" w:firstLine="0"/>
        <w:jc w:val="left"/>
        <w:rPr>
          <w:b/>
          <w:sz w:val="21"/>
        </w:rPr>
      </w:pPr>
      <w:r>
        <w:rPr>
          <w:rFonts w:ascii="Arial" w:hAnsi="Arial" w:eastAsia="Arial"/>
          <w:b/>
          <w:w w:val="110"/>
          <w:position w:val="-11"/>
          <w:sz w:val="52"/>
        </w:rPr>
        <w:t></w:t>
        <w:tab/>
      </w:r>
      <w:r>
        <w:rPr>
          <w:b/>
          <w:sz w:val="21"/>
        </w:rPr>
        <w:t>条款目录</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2"/>
        <w:gridCol w:w="3305"/>
        <w:gridCol w:w="3420"/>
      </w:tblGrid>
      <w:tr>
        <w:trPr>
          <w:trHeight w:val="5703" w:hRule="atLeast"/>
        </w:trPr>
        <w:tc>
          <w:tcPr>
            <w:tcW w:w="3242" w:type="dxa"/>
          </w:tcPr>
          <w:p>
            <w:pPr>
              <w:pStyle w:val="TableParagraph"/>
              <w:numPr>
                <w:ilvl w:val="0"/>
                <w:numId w:val="2"/>
              </w:numPr>
              <w:tabs>
                <w:tab w:pos="517" w:val="left" w:leader="none"/>
              </w:tabs>
              <w:spacing w:line="211" w:lineRule="exact" w:before="0" w:after="0"/>
              <w:ind w:left="516" w:right="0" w:hanging="316"/>
              <w:jc w:val="left"/>
              <w:rPr>
                <w:b/>
                <w:sz w:val="21"/>
              </w:rPr>
            </w:pPr>
            <w:r>
              <w:rPr>
                <w:b/>
                <w:spacing w:val="-1"/>
                <w:sz w:val="21"/>
              </w:rPr>
              <w:t>投保人与本公司的合同</w:t>
            </w:r>
          </w:p>
          <w:p>
            <w:pPr>
              <w:pStyle w:val="TableParagraph"/>
              <w:numPr>
                <w:ilvl w:val="1"/>
                <w:numId w:val="2"/>
              </w:numPr>
              <w:tabs>
                <w:tab w:pos="728" w:val="left" w:leader="none"/>
              </w:tabs>
              <w:spacing w:line="240" w:lineRule="auto" w:before="68" w:after="0"/>
              <w:ind w:left="725" w:right="0" w:hanging="420"/>
              <w:jc w:val="left"/>
              <w:rPr>
                <w:sz w:val="21"/>
              </w:rPr>
            </w:pPr>
            <w:r>
              <w:rPr>
                <w:spacing w:val="-3"/>
                <w:sz w:val="21"/>
              </w:rPr>
              <w:t>合同构成</w:t>
            </w:r>
          </w:p>
          <w:p>
            <w:pPr>
              <w:pStyle w:val="TableParagraph"/>
              <w:numPr>
                <w:ilvl w:val="1"/>
                <w:numId w:val="2"/>
              </w:numPr>
              <w:tabs>
                <w:tab w:pos="728" w:val="left" w:leader="none"/>
              </w:tabs>
              <w:spacing w:line="240" w:lineRule="auto" w:before="68" w:after="0"/>
              <w:ind w:left="725" w:right="0" w:hanging="420"/>
              <w:jc w:val="left"/>
              <w:rPr>
                <w:sz w:val="21"/>
              </w:rPr>
            </w:pPr>
            <w:r>
              <w:rPr>
                <w:spacing w:val="-3"/>
                <w:sz w:val="21"/>
              </w:rPr>
              <w:t>投保范围</w:t>
            </w:r>
          </w:p>
          <w:p>
            <w:pPr>
              <w:pStyle w:val="TableParagraph"/>
              <w:numPr>
                <w:ilvl w:val="1"/>
                <w:numId w:val="2"/>
              </w:numPr>
              <w:tabs>
                <w:tab w:pos="736" w:val="left" w:leader="none"/>
              </w:tabs>
              <w:spacing w:line="300" w:lineRule="auto" w:before="68" w:after="0"/>
              <w:ind w:left="725" w:right="104" w:hanging="420"/>
              <w:jc w:val="left"/>
              <w:rPr>
                <w:sz w:val="21"/>
              </w:rPr>
            </w:pPr>
            <w:r>
              <w:rPr>
                <w:spacing w:val="3"/>
                <w:sz w:val="21"/>
              </w:rPr>
              <w:t>合同成立与生效和保险责</w:t>
            </w:r>
            <w:r>
              <w:rPr>
                <w:spacing w:val="-3"/>
                <w:sz w:val="21"/>
              </w:rPr>
              <w:t>任的开始</w:t>
            </w:r>
          </w:p>
          <w:p>
            <w:pPr>
              <w:pStyle w:val="TableParagraph"/>
              <w:numPr>
                <w:ilvl w:val="1"/>
                <w:numId w:val="2"/>
              </w:numPr>
              <w:tabs>
                <w:tab w:pos="728" w:val="left" w:leader="none"/>
              </w:tabs>
              <w:spacing w:line="240" w:lineRule="auto" w:before="15" w:after="0"/>
              <w:ind w:left="725" w:right="0" w:hanging="420"/>
              <w:jc w:val="left"/>
              <w:rPr>
                <w:sz w:val="21"/>
              </w:rPr>
            </w:pPr>
            <w:r>
              <w:rPr>
                <w:spacing w:val="-3"/>
                <w:sz w:val="21"/>
              </w:rPr>
              <w:t>解除合同的手续和风险</w:t>
            </w:r>
          </w:p>
          <w:p>
            <w:pPr>
              <w:pStyle w:val="TableParagraph"/>
              <w:numPr>
                <w:ilvl w:val="0"/>
                <w:numId w:val="2"/>
              </w:numPr>
              <w:tabs>
                <w:tab w:pos="517" w:val="left" w:leader="none"/>
              </w:tabs>
              <w:spacing w:line="240" w:lineRule="auto" w:before="68" w:after="0"/>
              <w:ind w:left="516" w:right="0" w:hanging="316"/>
              <w:jc w:val="left"/>
              <w:rPr>
                <w:b/>
                <w:sz w:val="21"/>
              </w:rPr>
            </w:pPr>
            <w:r>
              <w:rPr>
                <w:b/>
                <w:sz w:val="21"/>
              </w:rPr>
              <w:t>本公司提供的保障</w:t>
            </w:r>
          </w:p>
          <w:p>
            <w:pPr>
              <w:pStyle w:val="TableParagraph"/>
              <w:numPr>
                <w:ilvl w:val="1"/>
                <w:numId w:val="2"/>
              </w:numPr>
              <w:tabs>
                <w:tab w:pos="728" w:val="left" w:leader="none"/>
              </w:tabs>
              <w:spacing w:line="240" w:lineRule="auto" w:before="69" w:after="0"/>
              <w:ind w:left="728" w:right="0" w:hanging="423"/>
              <w:jc w:val="left"/>
              <w:rPr>
                <w:sz w:val="21"/>
              </w:rPr>
            </w:pPr>
            <w:r>
              <w:rPr>
                <w:spacing w:val="-3"/>
                <w:sz w:val="21"/>
              </w:rPr>
              <w:t>保险金额</w:t>
            </w:r>
          </w:p>
          <w:p>
            <w:pPr>
              <w:pStyle w:val="TableParagraph"/>
              <w:numPr>
                <w:ilvl w:val="1"/>
                <w:numId w:val="2"/>
              </w:numPr>
              <w:tabs>
                <w:tab w:pos="728" w:val="left" w:leader="none"/>
              </w:tabs>
              <w:spacing w:line="240" w:lineRule="auto" w:before="68" w:after="0"/>
              <w:ind w:left="728" w:right="0" w:hanging="423"/>
              <w:jc w:val="left"/>
              <w:rPr>
                <w:sz w:val="21"/>
              </w:rPr>
            </w:pPr>
            <w:r>
              <w:rPr>
                <w:spacing w:val="-3"/>
                <w:sz w:val="21"/>
              </w:rPr>
              <w:t>保险期间</w:t>
            </w:r>
          </w:p>
          <w:p>
            <w:pPr>
              <w:pStyle w:val="TableParagraph"/>
              <w:numPr>
                <w:ilvl w:val="1"/>
                <w:numId w:val="2"/>
              </w:numPr>
              <w:tabs>
                <w:tab w:pos="728" w:val="left" w:leader="none"/>
              </w:tabs>
              <w:spacing w:line="240" w:lineRule="auto" w:before="68" w:after="0"/>
              <w:ind w:left="728" w:right="0" w:hanging="423"/>
              <w:jc w:val="left"/>
              <w:rPr>
                <w:sz w:val="21"/>
              </w:rPr>
            </w:pPr>
            <w:r>
              <w:rPr>
                <w:spacing w:val="-3"/>
                <w:sz w:val="21"/>
              </w:rPr>
              <w:t>保险责任</w:t>
            </w:r>
          </w:p>
          <w:p>
            <w:pPr>
              <w:pStyle w:val="TableParagraph"/>
              <w:numPr>
                <w:ilvl w:val="1"/>
                <w:numId w:val="2"/>
              </w:numPr>
              <w:tabs>
                <w:tab w:pos="728" w:val="left" w:leader="none"/>
              </w:tabs>
              <w:spacing w:line="240" w:lineRule="auto" w:before="68" w:after="0"/>
              <w:ind w:left="728" w:right="0" w:hanging="423"/>
              <w:jc w:val="left"/>
              <w:rPr>
                <w:sz w:val="21"/>
              </w:rPr>
            </w:pPr>
            <w:r>
              <w:rPr>
                <w:spacing w:val="-3"/>
                <w:sz w:val="21"/>
              </w:rPr>
              <w:t>保险责任的免除</w:t>
            </w:r>
          </w:p>
          <w:p>
            <w:pPr>
              <w:pStyle w:val="TableParagraph"/>
              <w:numPr>
                <w:ilvl w:val="0"/>
                <w:numId w:val="2"/>
              </w:numPr>
              <w:tabs>
                <w:tab w:pos="517" w:val="left" w:leader="none"/>
              </w:tabs>
              <w:spacing w:line="240" w:lineRule="auto" w:before="68" w:after="0"/>
              <w:ind w:left="516" w:right="0" w:hanging="316"/>
              <w:jc w:val="left"/>
              <w:rPr>
                <w:b/>
                <w:sz w:val="21"/>
              </w:rPr>
            </w:pPr>
            <w:r>
              <w:rPr>
                <w:b/>
                <w:sz w:val="21"/>
              </w:rPr>
              <w:t>保险费的交纳和续保</w:t>
            </w:r>
          </w:p>
          <w:p>
            <w:pPr>
              <w:pStyle w:val="TableParagraph"/>
              <w:numPr>
                <w:ilvl w:val="1"/>
                <w:numId w:val="2"/>
              </w:numPr>
              <w:tabs>
                <w:tab w:pos="726" w:val="left" w:leader="none"/>
              </w:tabs>
              <w:spacing w:line="240" w:lineRule="auto" w:before="68" w:after="0"/>
              <w:ind w:left="725" w:right="0" w:hanging="417"/>
              <w:jc w:val="left"/>
              <w:rPr>
                <w:sz w:val="21"/>
              </w:rPr>
            </w:pPr>
            <w:r>
              <w:rPr>
                <w:spacing w:val="-3"/>
                <w:sz w:val="21"/>
              </w:rPr>
              <w:t>保险费的交纳</w:t>
            </w:r>
          </w:p>
          <w:p>
            <w:pPr>
              <w:pStyle w:val="TableParagraph"/>
              <w:numPr>
                <w:ilvl w:val="1"/>
                <w:numId w:val="2"/>
              </w:numPr>
              <w:tabs>
                <w:tab w:pos="726" w:val="left" w:leader="none"/>
              </w:tabs>
              <w:spacing w:line="240" w:lineRule="auto" w:before="68" w:after="0"/>
              <w:ind w:left="725" w:right="0" w:hanging="420"/>
              <w:jc w:val="left"/>
              <w:rPr>
                <w:sz w:val="21"/>
              </w:rPr>
            </w:pPr>
            <w:r>
              <w:rPr>
                <w:sz w:val="21"/>
              </w:rPr>
              <w:t>续保</w:t>
            </w:r>
          </w:p>
          <w:p>
            <w:pPr>
              <w:pStyle w:val="TableParagraph"/>
              <w:numPr>
                <w:ilvl w:val="0"/>
                <w:numId w:val="2"/>
              </w:numPr>
              <w:tabs>
                <w:tab w:pos="517" w:val="left" w:leader="none"/>
              </w:tabs>
              <w:spacing w:line="240" w:lineRule="auto" w:before="68" w:after="0"/>
              <w:ind w:left="516" w:right="0" w:hanging="316"/>
              <w:jc w:val="left"/>
              <w:rPr>
                <w:b/>
                <w:sz w:val="21"/>
              </w:rPr>
            </w:pPr>
            <w:r>
              <w:rPr>
                <w:b/>
                <w:sz w:val="21"/>
              </w:rPr>
              <w:t>如何申请领取保险金</w:t>
            </w:r>
          </w:p>
          <w:p>
            <w:pPr>
              <w:pStyle w:val="TableParagraph"/>
              <w:numPr>
                <w:ilvl w:val="1"/>
                <w:numId w:val="2"/>
              </w:numPr>
              <w:tabs>
                <w:tab w:pos="728" w:val="left" w:leader="none"/>
              </w:tabs>
              <w:spacing w:line="240" w:lineRule="auto" w:before="68" w:after="0"/>
              <w:ind w:left="728" w:right="0" w:hanging="423"/>
              <w:jc w:val="left"/>
              <w:rPr>
                <w:sz w:val="21"/>
              </w:rPr>
            </w:pPr>
            <w:r>
              <w:rPr>
                <w:spacing w:val="-3"/>
                <w:sz w:val="21"/>
              </w:rPr>
              <w:t>保险金受益人</w:t>
            </w:r>
          </w:p>
          <w:p>
            <w:pPr>
              <w:pStyle w:val="TableParagraph"/>
              <w:numPr>
                <w:ilvl w:val="1"/>
                <w:numId w:val="2"/>
              </w:numPr>
              <w:tabs>
                <w:tab w:pos="728" w:val="left" w:leader="none"/>
              </w:tabs>
              <w:spacing w:line="255" w:lineRule="exact" w:before="68" w:after="0"/>
              <w:ind w:left="728" w:right="0" w:hanging="423"/>
              <w:jc w:val="left"/>
              <w:rPr>
                <w:sz w:val="21"/>
              </w:rPr>
            </w:pPr>
            <w:r>
              <w:rPr>
                <w:spacing w:val="-3"/>
                <w:sz w:val="21"/>
              </w:rPr>
              <w:t>保险事故通知</w:t>
            </w:r>
          </w:p>
        </w:tc>
        <w:tc>
          <w:tcPr>
            <w:tcW w:w="3305" w:type="dxa"/>
          </w:tcPr>
          <w:p>
            <w:pPr>
              <w:pStyle w:val="TableParagraph"/>
              <w:numPr>
                <w:ilvl w:val="1"/>
                <w:numId w:val="3"/>
              </w:numPr>
              <w:tabs>
                <w:tab w:pos="636" w:val="left" w:leader="none"/>
              </w:tabs>
              <w:spacing w:line="211" w:lineRule="exact" w:before="0" w:after="0"/>
              <w:ind w:left="635" w:right="0" w:hanging="423"/>
              <w:jc w:val="left"/>
              <w:rPr>
                <w:sz w:val="21"/>
              </w:rPr>
            </w:pPr>
            <w:r>
              <w:rPr>
                <w:spacing w:val="-3"/>
                <w:sz w:val="21"/>
              </w:rPr>
              <w:t>保险金申请</w:t>
            </w:r>
          </w:p>
          <w:p>
            <w:pPr>
              <w:pStyle w:val="TableParagraph"/>
              <w:numPr>
                <w:ilvl w:val="1"/>
                <w:numId w:val="3"/>
              </w:numPr>
              <w:tabs>
                <w:tab w:pos="636" w:val="left" w:leader="none"/>
              </w:tabs>
              <w:spacing w:line="240" w:lineRule="auto" w:before="68" w:after="0"/>
              <w:ind w:left="635" w:right="0" w:hanging="423"/>
              <w:jc w:val="left"/>
              <w:rPr>
                <w:sz w:val="21"/>
              </w:rPr>
            </w:pPr>
            <w:r>
              <w:rPr>
                <w:spacing w:val="-3"/>
                <w:sz w:val="21"/>
              </w:rPr>
              <w:t>保险金的给付</w:t>
            </w:r>
          </w:p>
          <w:p>
            <w:pPr>
              <w:pStyle w:val="TableParagraph"/>
              <w:numPr>
                <w:ilvl w:val="1"/>
                <w:numId w:val="3"/>
              </w:numPr>
              <w:tabs>
                <w:tab w:pos="636" w:val="left" w:leader="none"/>
              </w:tabs>
              <w:spacing w:line="240" w:lineRule="auto" w:before="68" w:after="0"/>
              <w:ind w:left="635" w:right="0" w:hanging="423"/>
              <w:jc w:val="left"/>
              <w:rPr>
                <w:sz w:val="21"/>
              </w:rPr>
            </w:pPr>
            <w:r>
              <w:rPr>
                <w:spacing w:val="-3"/>
                <w:sz w:val="21"/>
              </w:rPr>
              <w:t>诉讼时效</w:t>
            </w:r>
          </w:p>
          <w:p>
            <w:pPr>
              <w:pStyle w:val="TableParagraph"/>
              <w:numPr>
                <w:ilvl w:val="0"/>
                <w:numId w:val="4"/>
              </w:numPr>
              <w:tabs>
                <w:tab w:pos="425" w:val="left" w:leader="none"/>
              </w:tabs>
              <w:spacing w:line="240" w:lineRule="auto" w:before="68" w:after="0"/>
              <w:ind w:left="424" w:right="0" w:hanging="317"/>
              <w:jc w:val="left"/>
              <w:rPr>
                <w:b/>
                <w:sz w:val="21"/>
              </w:rPr>
            </w:pPr>
            <w:r>
              <w:rPr>
                <w:b/>
                <w:sz w:val="21"/>
              </w:rPr>
              <w:t>其他事项</w:t>
            </w:r>
          </w:p>
          <w:p>
            <w:pPr>
              <w:pStyle w:val="TableParagraph"/>
              <w:numPr>
                <w:ilvl w:val="1"/>
                <w:numId w:val="4"/>
              </w:numPr>
              <w:tabs>
                <w:tab w:pos="636" w:val="left" w:leader="none"/>
              </w:tabs>
              <w:spacing w:line="240" w:lineRule="auto" w:before="68" w:after="0"/>
              <w:ind w:left="635" w:right="0" w:hanging="423"/>
              <w:jc w:val="left"/>
              <w:rPr>
                <w:sz w:val="21"/>
              </w:rPr>
            </w:pPr>
            <w:r>
              <w:rPr>
                <w:spacing w:val="-3"/>
                <w:sz w:val="21"/>
              </w:rPr>
              <w:t>明确说明与如实告知</w:t>
            </w:r>
          </w:p>
          <w:p>
            <w:pPr>
              <w:pStyle w:val="TableParagraph"/>
              <w:numPr>
                <w:ilvl w:val="1"/>
                <w:numId w:val="4"/>
              </w:numPr>
              <w:tabs>
                <w:tab w:pos="636" w:val="left" w:leader="none"/>
              </w:tabs>
              <w:spacing w:line="240" w:lineRule="auto" w:before="68" w:after="0"/>
              <w:ind w:left="635" w:right="0" w:hanging="423"/>
              <w:jc w:val="left"/>
              <w:rPr>
                <w:sz w:val="21"/>
              </w:rPr>
            </w:pPr>
            <w:r>
              <w:rPr>
                <w:spacing w:val="-3"/>
                <w:sz w:val="21"/>
              </w:rPr>
              <w:t>本公司合同解除权的限制</w:t>
            </w:r>
          </w:p>
          <w:p>
            <w:pPr>
              <w:pStyle w:val="TableParagraph"/>
              <w:numPr>
                <w:ilvl w:val="1"/>
                <w:numId w:val="4"/>
              </w:numPr>
              <w:tabs>
                <w:tab w:pos="636" w:val="left" w:leader="none"/>
              </w:tabs>
              <w:spacing w:line="240" w:lineRule="auto" w:before="68" w:after="0"/>
              <w:ind w:left="635" w:right="0" w:hanging="423"/>
              <w:jc w:val="left"/>
              <w:rPr>
                <w:sz w:val="21"/>
              </w:rPr>
            </w:pPr>
            <w:r>
              <w:rPr>
                <w:spacing w:val="-3"/>
                <w:sz w:val="21"/>
              </w:rPr>
              <w:t>年龄性别错误</w:t>
            </w:r>
          </w:p>
          <w:p>
            <w:pPr>
              <w:pStyle w:val="TableParagraph"/>
              <w:numPr>
                <w:ilvl w:val="1"/>
                <w:numId w:val="4"/>
              </w:numPr>
              <w:tabs>
                <w:tab w:pos="636" w:val="left" w:leader="none"/>
              </w:tabs>
              <w:spacing w:line="240" w:lineRule="auto" w:before="69" w:after="0"/>
              <w:ind w:left="635" w:right="0" w:hanging="423"/>
              <w:jc w:val="left"/>
              <w:rPr>
                <w:sz w:val="21"/>
              </w:rPr>
            </w:pPr>
            <w:r>
              <w:rPr>
                <w:spacing w:val="-3"/>
                <w:sz w:val="21"/>
              </w:rPr>
              <w:t>被保险人变动</w:t>
            </w:r>
          </w:p>
          <w:p>
            <w:pPr>
              <w:pStyle w:val="TableParagraph"/>
              <w:numPr>
                <w:ilvl w:val="1"/>
                <w:numId w:val="4"/>
              </w:numPr>
              <w:tabs>
                <w:tab w:pos="636" w:val="left" w:leader="none"/>
              </w:tabs>
              <w:spacing w:line="240" w:lineRule="auto" w:before="68" w:after="0"/>
              <w:ind w:left="635" w:right="0" w:hanging="423"/>
              <w:jc w:val="left"/>
              <w:rPr>
                <w:sz w:val="21"/>
              </w:rPr>
            </w:pPr>
            <w:r>
              <w:rPr>
                <w:spacing w:val="-3"/>
                <w:sz w:val="21"/>
              </w:rPr>
              <w:t>身体检查</w:t>
            </w:r>
          </w:p>
          <w:p>
            <w:pPr>
              <w:pStyle w:val="TableParagraph"/>
              <w:numPr>
                <w:ilvl w:val="1"/>
                <w:numId w:val="4"/>
              </w:numPr>
              <w:tabs>
                <w:tab w:pos="636" w:val="left" w:leader="none"/>
              </w:tabs>
              <w:spacing w:line="240" w:lineRule="auto" w:before="68" w:after="0"/>
              <w:ind w:left="635" w:right="0" w:hanging="423"/>
              <w:jc w:val="left"/>
              <w:rPr>
                <w:sz w:val="21"/>
              </w:rPr>
            </w:pPr>
            <w:r>
              <w:rPr>
                <w:spacing w:val="-3"/>
                <w:sz w:val="21"/>
              </w:rPr>
              <w:t>合同内容变更</w:t>
            </w:r>
          </w:p>
          <w:p>
            <w:pPr>
              <w:pStyle w:val="TableParagraph"/>
              <w:numPr>
                <w:ilvl w:val="1"/>
                <w:numId w:val="4"/>
              </w:numPr>
              <w:tabs>
                <w:tab w:pos="636" w:val="left" w:leader="none"/>
              </w:tabs>
              <w:spacing w:line="240" w:lineRule="auto" w:before="68" w:after="0"/>
              <w:ind w:left="635" w:right="0" w:hanging="423"/>
              <w:jc w:val="left"/>
              <w:rPr>
                <w:sz w:val="21"/>
              </w:rPr>
            </w:pPr>
            <w:r>
              <w:rPr>
                <w:spacing w:val="-3"/>
                <w:sz w:val="21"/>
              </w:rPr>
              <w:t>争议处理</w:t>
            </w:r>
          </w:p>
          <w:p>
            <w:pPr>
              <w:pStyle w:val="TableParagraph"/>
              <w:numPr>
                <w:ilvl w:val="0"/>
                <w:numId w:val="4"/>
              </w:numPr>
              <w:tabs>
                <w:tab w:pos="425" w:val="left" w:leader="none"/>
              </w:tabs>
              <w:spacing w:line="240" w:lineRule="auto" w:before="68" w:after="0"/>
              <w:ind w:left="424" w:right="0" w:hanging="317"/>
              <w:jc w:val="left"/>
              <w:rPr>
                <w:b/>
                <w:sz w:val="21"/>
              </w:rPr>
            </w:pPr>
            <w:r>
              <w:rPr>
                <w:b/>
                <w:sz w:val="21"/>
              </w:rPr>
              <w:t>释义</w:t>
            </w:r>
          </w:p>
          <w:p>
            <w:pPr>
              <w:pStyle w:val="TableParagraph"/>
              <w:numPr>
                <w:ilvl w:val="1"/>
                <w:numId w:val="4"/>
              </w:numPr>
              <w:tabs>
                <w:tab w:pos="636" w:val="left" w:leader="none"/>
              </w:tabs>
              <w:spacing w:line="240" w:lineRule="auto" w:before="68" w:after="0"/>
              <w:ind w:left="635" w:right="0" w:hanging="423"/>
              <w:jc w:val="left"/>
              <w:rPr>
                <w:sz w:val="21"/>
              </w:rPr>
            </w:pPr>
            <w:r>
              <w:rPr>
                <w:spacing w:val="-3"/>
                <w:sz w:val="21"/>
              </w:rPr>
              <w:t>周岁</w:t>
            </w:r>
          </w:p>
          <w:p>
            <w:pPr>
              <w:pStyle w:val="TableParagraph"/>
              <w:numPr>
                <w:ilvl w:val="1"/>
                <w:numId w:val="4"/>
              </w:numPr>
              <w:tabs>
                <w:tab w:pos="636" w:val="left" w:leader="none"/>
              </w:tabs>
              <w:spacing w:line="240" w:lineRule="auto" w:before="68" w:after="0"/>
              <w:ind w:left="635" w:right="0" w:hanging="423"/>
              <w:jc w:val="left"/>
              <w:rPr>
                <w:sz w:val="21"/>
              </w:rPr>
            </w:pPr>
            <w:r>
              <w:rPr>
                <w:spacing w:val="-3"/>
                <w:sz w:val="21"/>
              </w:rPr>
              <w:t>现金价值</w:t>
            </w:r>
          </w:p>
          <w:p>
            <w:pPr>
              <w:pStyle w:val="TableParagraph"/>
              <w:numPr>
                <w:ilvl w:val="1"/>
                <w:numId w:val="4"/>
              </w:numPr>
              <w:tabs>
                <w:tab w:pos="636" w:val="left" w:leader="none"/>
              </w:tabs>
              <w:spacing w:line="240" w:lineRule="auto" w:before="68" w:after="0"/>
              <w:ind w:left="635" w:right="0" w:hanging="423"/>
              <w:jc w:val="left"/>
              <w:rPr>
                <w:sz w:val="21"/>
              </w:rPr>
            </w:pPr>
            <w:r>
              <w:rPr>
                <w:spacing w:val="-3"/>
                <w:sz w:val="21"/>
              </w:rPr>
              <w:t>医院</w:t>
            </w:r>
          </w:p>
          <w:p>
            <w:pPr>
              <w:pStyle w:val="TableParagraph"/>
              <w:numPr>
                <w:ilvl w:val="1"/>
                <w:numId w:val="4"/>
              </w:numPr>
              <w:tabs>
                <w:tab w:pos="636" w:val="left" w:leader="none"/>
              </w:tabs>
              <w:spacing w:line="240" w:lineRule="auto" w:before="68" w:after="0"/>
              <w:ind w:left="635" w:right="0" w:hanging="423"/>
              <w:jc w:val="left"/>
              <w:rPr>
                <w:sz w:val="21"/>
              </w:rPr>
            </w:pPr>
            <w:r>
              <w:rPr>
                <w:spacing w:val="-3"/>
                <w:sz w:val="21"/>
              </w:rPr>
              <w:t>重大疾病</w:t>
            </w:r>
          </w:p>
          <w:p>
            <w:pPr>
              <w:pStyle w:val="TableParagraph"/>
              <w:numPr>
                <w:ilvl w:val="1"/>
                <w:numId w:val="4"/>
              </w:numPr>
              <w:tabs>
                <w:tab w:pos="636" w:val="left" w:leader="none"/>
              </w:tabs>
              <w:spacing w:line="255" w:lineRule="exact" w:before="68" w:after="0"/>
              <w:ind w:left="635" w:right="0" w:hanging="423"/>
              <w:jc w:val="left"/>
              <w:rPr>
                <w:sz w:val="21"/>
              </w:rPr>
            </w:pPr>
            <w:r>
              <w:rPr>
                <w:spacing w:val="-3"/>
                <w:sz w:val="21"/>
              </w:rPr>
              <w:t>本公司认可的其他医疗机构</w:t>
            </w:r>
          </w:p>
        </w:tc>
        <w:tc>
          <w:tcPr>
            <w:tcW w:w="3420" w:type="dxa"/>
          </w:tcPr>
          <w:p>
            <w:pPr>
              <w:pStyle w:val="TableParagraph"/>
              <w:numPr>
                <w:ilvl w:val="1"/>
                <w:numId w:val="5"/>
              </w:numPr>
              <w:tabs>
                <w:tab w:pos="677" w:val="left" w:leader="none"/>
              </w:tabs>
              <w:spacing w:line="211" w:lineRule="exact" w:before="0" w:after="0"/>
              <w:ind w:left="148" w:right="0" w:firstLine="105"/>
              <w:jc w:val="left"/>
              <w:rPr>
                <w:sz w:val="21"/>
              </w:rPr>
            </w:pPr>
            <w:r>
              <w:rPr>
                <w:spacing w:val="-3"/>
                <w:sz w:val="21"/>
              </w:rPr>
              <w:t>毒品</w:t>
            </w:r>
          </w:p>
          <w:p>
            <w:pPr>
              <w:pStyle w:val="TableParagraph"/>
              <w:numPr>
                <w:ilvl w:val="1"/>
                <w:numId w:val="5"/>
              </w:numPr>
              <w:tabs>
                <w:tab w:pos="677" w:val="left" w:leader="none"/>
              </w:tabs>
              <w:spacing w:line="240" w:lineRule="auto" w:before="68" w:after="0"/>
              <w:ind w:left="148" w:right="0" w:firstLine="105"/>
              <w:jc w:val="left"/>
              <w:rPr>
                <w:sz w:val="21"/>
              </w:rPr>
            </w:pPr>
            <w:r>
              <w:rPr>
                <w:spacing w:val="-3"/>
                <w:sz w:val="21"/>
              </w:rPr>
              <w:t>酒后驾驶</w:t>
            </w:r>
          </w:p>
          <w:p>
            <w:pPr>
              <w:pStyle w:val="TableParagraph"/>
              <w:numPr>
                <w:ilvl w:val="1"/>
                <w:numId w:val="5"/>
              </w:numPr>
              <w:tabs>
                <w:tab w:pos="677" w:val="left" w:leader="none"/>
              </w:tabs>
              <w:spacing w:line="240" w:lineRule="auto" w:before="68" w:after="0"/>
              <w:ind w:left="148" w:right="0" w:firstLine="105"/>
              <w:jc w:val="left"/>
              <w:rPr>
                <w:sz w:val="21"/>
              </w:rPr>
            </w:pPr>
            <w:r>
              <w:rPr>
                <w:spacing w:val="-3"/>
                <w:sz w:val="21"/>
              </w:rPr>
              <w:t>无合法有效驾驶证驾驶</w:t>
            </w:r>
          </w:p>
          <w:p>
            <w:pPr>
              <w:pStyle w:val="TableParagraph"/>
              <w:numPr>
                <w:ilvl w:val="1"/>
                <w:numId w:val="5"/>
              </w:numPr>
              <w:tabs>
                <w:tab w:pos="677" w:val="left" w:leader="none"/>
              </w:tabs>
              <w:spacing w:line="240" w:lineRule="auto" w:before="68" w:after="0"/>
              <w:ind w:left="148" w:right="0" w:firstLine="105"/>
              <w:jc w:val="left"/>
              <w:rPr>
                <w:sz w:val="21"/>
              </w:rPr>
            </w:pPr>
            <w:r>
              <w:rPr>
                <w:spacing w:val="-3"/>
                <w:sz w:val="21"/>
              </w:rPr>
              <w:t>无有效行驶证</w:t>
            </w:r>
          </w:p>
          <w:p>
            <w:pPr>
              <w:pStyle w:val="TableParagraph"/>
              <w:numPr>
                <w:ilvl w:val="1"/>
                <w:numId w:val="5"/>
              </w:numPr>
              <w:tabs>
                <w:tab w:pos="790" w:val="left" w:leader="none"/>
              </w:tabs>
              <w:spacing w:line="261" w:lineRule="auto" w:before="32" w:after="0"/>
              <w:ind w:left="148" w:right="230" w:firstLine="105"/>
              <w:jc w:val="left"/>
              <w:rPr>
                <w:sz w:val="21"/>
              </w:rPr>
            </w:pPr>
            <w:r>
              <w:rPr>
                <w:spacing w:val="3"/>
                <w:sz w:val="21"/>
              </w:rPr>
              <w:t>感染艾滋病病毒或患艾滋病</w:t>
            </w:r>
          </w:p>
          <w:p>
            <w:pPr>
              <w:pStyle w:val="TableParagraph"/>
              <w:numPr>
                <w:ilvl w:val="1"/>
                <w:numId w:val="5"/>
              </w:numPr>
              <w:tabs>
                <w:tab w:pos="727" w:val="left" w:leader="none"/>
              </w:tabs>
              <w:spacing w:line="240" w:lineRule="auto" w:before="42" w:after="0"/>
              <w:ind w:left="726" w:right="0" w:hanging="473"/>
              <w:jc w:val="left"/>
              <w:rPr>
                <w:sz w:val="21"/>
              </w:rPr>
            </w:pPr>
            <w:r>
              <w:rPr>
                <w:spacing w:val="-3"/>
                <w:sz w:val="21"/>
              </w:rPr>
              <w:t>遗传性疾病</w:t>
            </w:r>
          </w:p>
          <w:p>
            <w:pPr>
              <w:pStyle w:val="TableParagraph"/>
              <w:numPr>
                <w:ilvl w:val="1"/>
                <w:numId w:val="5"/>
              </w:numPr>
              <w:tabs>
                <w:tab w:pos="783" w:val="left" w:leader="none"/>
              </w:tabs>
              <w:spacing w:line="240" w:lineRule="auto" w:before="68" w:after="0"/>
              <w:ind w:left="782" w:right="0" w:hanging="529"/>
              <w:jc w:val="left"/>
              <w:rPr>
                <w:sz w:val="21"/>
              </w:rPr>
            </w:pPr>
            <w:r>
              <w:rPr>
                <w:spacing w:val="-39"/>
                <w:sz w:val="21"/>
              </w:rPr>
              <w:t>先天性畸形、变形或染色体异常</w:t>
            </w:r>
          </w:p>
          <w:p>
            <w:pPr>
              <w:pStyle w:val="TableParagraph"/>
              <w:numPr>
                <w:ilvl w:val="1"/>
                <w:numId w:val="5"/>
              </w:numPr>
              <w:tabs>
                <w:tab w:pos="781" w:val="left" w:leader="none"/>
              </w:tabs>
              <w:spacing w:line="240" w:lineRule="auto" w:before="69" w:after="0"/>
              <w:ind w:left="780" w:right="0" w:hanging="527"/>
              <w:jc w:val="left"/>
              <w:rPr>
                <w:sz w:val="21"/>
              </w:rPr>
            </w:pPr>
            <w:r>
              <w:rPr>
                <w:spacing w:val="-3"/>
                <w:sz w:val="21"/>
              </w:rPr>
              <w:t>极短期保险费</w:t>
            </w:r>
          </w:p>
          <w:p>
            <w:pPr>
              <w:pStyle w:val="TableParagraph"/>
              <w:numPr>
                <w:ilvl w:val="1"/>
                <w:numId w:val="5"/>
              </w:numPr>
              <w:tabs>
                <w:tab w:pos="781" w:val="left" w:leader="none"/>
              </w:tabs>
              <w:spacing w:line="240" w:lineRule="auto" w:before="68" w:after="0"/>
              <w:ind w:left="780" w:right="0" w:hanging="527"/>
              <w:jc w:val="left"/>
              <w:rPr>
                <w:sz w:val="21"/>
              </w:rPr>
            </w:pPr>
            <w:r>
              <w:rPr>
                <w:spacing w:val="-3"/>
                <w:sz w:val="21"/>
              </w:rPr>
              <w:t>有效身份证件</w:t>
            </w:r>
          </w:p>
          <w:p>
            <w:pPr>
              <w:pStyle w:val="TableParagraph"/>
              <w:numPr>
                <w:ilvl w:val="1"/>
                <w:numId w:val="5"/>
              </w:numPr>
              <w:tabs>
                <w:tab w:pos="781" w:val="left" w:leader="none"/>
              </w:tabs>
              <w:spacing w:line="240" w:lineRule="auto" w:before="68" w:after="0"/>
              <w:ind w:left="780" w:right="0" w:hanging="527"/>
              <w:jc w:val="left"/>
              <w:rPr>
                <w:sz w:val="21"/>
              </w:rPr>
            </w:pPr>
            <w:r>
              <w:rPr>
                <w:sz w:val="21"/>
              </w:rPr>
              <w:t>离职</w:t>
            </w:r>
          </w:p>
          <w:p>
            <w:pPr>
              <w:pStyle w:val="TableParagraph"/>
              <w:numPr>
                <w:ilvl w:val="1"/>
                <w:numId w:val="5"/>
              </w:numPr>
              <w:tabs>
                <w:tab w:pos="727" w:val="left" w:leader="none"/>
              </w:tabs>
              <w:spacing w:line="240" w:lineRule="auto" w:before="66" w:after="0"/>
              <w:ind w:left="726" w:right="0" w:hanging="473"/>
              <w:jc w:val="left"/>
              <w:rPr>
                <w:sz w:val="21"/>
              </w:rPr>
            </w:pPr>
            <w:r>
              <w:rPr>
                <w:spacing w:val="-2"/>
                <w:sz w:val="21"/>
              </w:rPr>
              <w:t>专科医生</w:t>
            </w:r>
          </w:p>
          <w:p>
            <w:pPr>
              <w:pStyle w:val="TableParagraph"/>
              <w:numPr>
                <w:ilvl w:val="1"/>
                <w:numId w:val="5"/>
              </w:numPr>
              <w:tabs>
                <w:tab w:pos="781" w:val="left" w:leader="none"/>
              </w:tabs>
              <w:spacing w:line="240" w:lineRule="auto" w:before="68" w:after="0"/>
              <w:ind w:left="780" w:right="0" w:hanging="527"/>
              <w:jc w:val="left"/>
              <w:rPr>
                <w:sz w:val="21"/>
              </w:rPr>
            </w:pPr>
            <w:r>
              <w:rPr>
                <w:spacing w:val="-3"/>
                <w:sz w:val="21"/>
              </w:rPr>
              <w:t>肢体机能完全丧失</w:t>
            </w:r>
          </w:p>
          <w:p>
            <w:pPr>
              <w:pStyle w:val="TableParagraph"/>
              <w:numPr>
                <w:ilvl w:val="1"/>
                <w:numId w:val="5"/>
              </w:numPr>
              <w:tabs>
                <w:tab w:pos="790" w:val="left" w:leader="none"/>
              </w:tabs>
              <w:spacing w:line="300" w:lineRule="auto" w:before="68" w:after="0"/>
              <w:ind w:left="780" w:right="228" w:hanging="527"/>
              <w:jc w:val="left"/>
              <w:rPr>
                <w:sz w:val="21"/>
              </w:rPr>
            </w:pPr>
            <w:r>
              <w:rPr>
                <w:spacing w:val="3"/>
                <w:sz w:val="21"/>
              </w:rPr>
              <w:t>语言能力或咀嚼吞咽能力</w:t>
            </w:r>
            <w:r>
              <w:rPr>
                <w:sz w:val="21"/>
              </w:rPr>
              <w:t>完全丧失</w:t>
            </w:r>
          </w:p>
          <w:p>
            <w:pPr>
              <w:pStyle w:val="TableParagraph"/>
              <w:numPr>
                <w:ilvl w:val="1"/>
                <w:numId w:val="5"/>
              </w:numPr>
              <w:tabs>
                <w:tab w:pos="781" w:val="left" w:leader="none"/>
              </w:tabs>
              <w:spacing w:line="240" w:lineRule="auto" w:before="15" w:after="0"/>
              <w:ind w:left="780" w:right="0" w:hanging="527"/>
              <w:jc w:val="left"/>
              <w:rPr>
                <w:sz w:val="21"/>
              </w:rPr>
            </w:pPr>
            <w:r>
              <w:rPr>
                <w:spacing w:val="-3"/>
                <w:sz w:val="21"/>
              </w:rPr>
              <w:t>六项基本日常生活活动</w:t>
            </w:r>
          </w:p>
          <w:p>
            <w:pPr>
              <w:pStyle w:val="TableParagraph"/>
              <w:numPr>
                <w:ilvl w:val="1"/>
                <w:numId w:val="5"/>
              </w:numPr>
              <w:tabs>
                <w:tab w:pos="727" w:val="left" w:leader="none"/>
              </w:tabs>
              <w:spacing w:line="240" w:lineRule="auto" w:before="67" w:after="0"/>
              <w:ind w:left="726" w:right="0" w:hanging="473"/>
              <w:jc w:val="left"/>
              <w:rPr>
                <w:sz w:val="21"/>
              </w:rPr>
            </w:pPr>
            <w:r>
              <w:rPr>
                <w:spacing w:val="-3"/>
                <w:sz w:val="21"/>
              </w:rPr>
              <w:t>永久不可逆</w:t>
            </w:r>
          </w:p>
        </w:tc>
      </w:tr>
    </w:tbl>
    <w:p>
      <w:pPr>
        <w:spacing w:after="0" w:line="240" w:lineRule="auto"/>
        <w:jc w:val="left"/>
        <w:rPr>
          <w:sz w:val="21"/>
        </w:rPr>
        <w:sectPr>
          <w:type w:val="continuous"/>
          <w:pgSz w:w="11910" w:h="16840"/>
          <w:pgMar w:top="700" w:bottom="280" w:left="960" w:right="200"/>
        </w:sectPr>
      </w:pPr>
    </w:p>
    <w:p>
      <w:pPr>
        <w:pStyle w:val="Heading1"/>
        <w:spacing w:line="390" w:lineRule="exact"/>
        <w:ind w:firstLine="0"/>
      </w:pPr>
      <w:r>
        <w:rPr>
          <w:w w:val="95"/>
        </w:rPr>
        <w:t>安邦团体重大疾病保险条款</w:t>
      </w:r>
    </w:p>
    <w:p>
      <w:pPr>
        <w:pStyle w:val="BodyText"/>
        <w:rPr>
          <w:b/>
          <w:sz w:val="20"/>
        </w:rPr>
      </w:pPr>
    </w:p>
    <w:p>
      <w:pPr>
        <w:pStyle w:val="BodyText"/>
        <w:spacing w:before="3"/>
        <w:rPr>
          <w:b/>
          <w:sz w:val="20"/>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1717"/>
        <w:gridCol w:w="7234"/>
      </w:tblGrid>
      <w:tr>
        <w:trPr>
          <w:trHeight w:val="522" w:hRule="atLeast"/>
        </w:trPr>
        <w:tc>
          <w:tcPr>
            <w:tcW w:w="713" w:type="dxa"/>
            <w:tcBorders>
              <w:bottom w:val="single" w:sz="8" w:space="0" w:color="000000"/>
            </w:tcBorders>
          </w:tcPr>
          <w:p>
            <w:pPr>
              <w:pStyle w:val="TableParagraph"/>
              <w:spacing w:line="423" w:lineRule="exact" w:before="0"/>
              <w:ind w:left="108"/>
              <w:rPr>
                <w:rFonts w:ascii="Arial" w:hAnsi="Arial"/>
                <w:b/>
                <w:sz w:val="40"/>
              </w:rPr>
            </w:pPr>
            <w:r>
              <w:rPr>
                <w:rFonts w:ascii="Arial" w:hAnsi="Arial"/>
                <w:b/>
                <w:w w:val="119"/>
                <w:sz w:val="40"/>
              </w:rPr>
              <w:t></w:t>
            </w:r>
          </w:p>
        </w:tc>
        <w:tc>
          <w:tcPr>
            <w:tcW w:w="8951" w:type="dxa"/>
            <w:gridSpan w:val="2"/>
            <w:tcBorders>
              <w:bottom w:val="single" w:sz="8" w:space="0" w:color="000000"/>
            </w:tcBorders>
          </w:tcPr>
          <w:p>
            <w:pPr>
              <w:pStyle w:val="TableParagraph"/>
              <w:spacing w:before="42"/>
              <w:ind w:left="247"/>
              <w:rPr>
                <w:b/>
                <w:sz w:val="21"/>
              </w:rPr>
            </w:pPr>
            <w:r>
              <w:rPr>
                <w:b/>
                <w:sz w:val="21"/>
              </w:rPr>
              <w:t>投保人与本公司的合同</w:t>
            </w:r>
          </w:p>
        </w:tc>
      </w:tr>
      <w:tr>
        <w:trPr>
          <w:trHeight w:val="1716" w:hRule="atLeast"/>
        </w:trPr>
        <w:tc>
          <w:tcPr>
            <w:tcW w:w="713" w:type="dxa"/>
            <w:tcBorders>
              <w:top w:val="single" w:sz="8" w:space="0" w:color="000000"/>
            </w:tcBorders>
          </w:tcPr>
          <w:p>
            <w:pPr>
              <w:pStyle w:val="TableParagraph"/>
              <w:spacing w:before="0"/>
              <w:ind w:left="0"/>
              <w:rPr>
                <w:b/>
                <w:sz w:val="16"/>
              </w:rPr>
            </w:pPr>
          </w:p>
          <w:p>
            <w:pPr>
              <w:pStyle w:val="TableParagraph"/>
              <w:spacing w:before="1"/>
              <w:ind w:left="108"/>
              <w:rPr>
                <w:b/>
                <w:sz w:val="21"/>
              </w:rPr>
            </w:pPr>
            <w:r>
              <w:rPr>
                <w:b/>
                <w:sz w:val="21"/>
              </w:rPr>
              <w:t>1.1</w:t>
            </w:r>
          </w:p>
        </w:tc>
        <w:tc>
          <w:tcPr>
            <w:tcW w:w="1717" w:type="dxa"/>
            <w:tcBorders>
              <w:top w:val="single" w:sz="8" w:space="0" w:color="000000"/>
            </w:tcBorders>
          </w:tcPr>
          <w:p>
            <w:pPr>
              <w:pStyle w:val="TableParagraph"/>
              <w:spacing w:before="0"/>
              <w:ind w:left="0"/>
              <w:rPr>
                <w:b/>
                <w:sz w:val="16"/>
              </w:rPr>
            </w:pPr>
          </w:p>
          <w:p>
            <w:pPr>
              <w:pStyle w:val="TableParagraph"/>
              <w:spacing w:before="1"/>
              <w:ind w:left="247"/>
              <w:rPr>
                <w:b/>
                <w:sz w:val="21"/>
              </w:rPr>
            </w:pPr>
            <w:r>
              <w:rPr>
                <w:b/>
                <w:sz w:val="21"/>
              </w:rPr>
              <w:t>合同构成</w:t>
            </w:r>
          </w:p>
        </w:tc>
        <w:tc>
          <w:tcPr>
            <w:tcW w:w="7234" w:type="dxa"/>
            <w:tcBorders>
              <w:top w:val="single" w:sz="8" w:space="0" w:color="000000"/>
            </w:tcBorders>
          </w:tcPr>
          <w:p>
            <w:pPr>
              <w:pStyle w:val="TableParagraph"/>
              <w:spacing w:before="0"/>
              <w:ind w:left="0"/>
              <w:rPr>
                <w:b/>
                <w:sz w:val="16"/>
              </w:rPr>
            </w:pPr>
          </w:p>
          <w:p>
            <w:pPr>
              <w:pStyle w:val="TableParagraph"/>
              <w:spacing w:line="300" w:lineRule="auto" w:before="1"/>
              <w:ind w:right="90"/>
              <w:rPr>
                <w:sz w:val="21"/>
              </w:rPr>
            </w:pPr>
            <w:r>
              <w:rPr>
                <w:spacing w:val="-3"/>
                <w:sz w:val="21"/>
              </w:rPr>
              <w:t>安邦团体重大疾病保险合同</w:t>
            </w:r>
            <w:r>
              <w:rPr>
                <w:sz w:val="21"/>
              </w:rPr>
              <w:t>（</w:t>
            </w:r>
            <w:r>
              <w:rPr>
                <w:spacing w:val="-3"/>
                <w:sz w:val="21"/>
              </w:rPr>
              <w:t>以下简称本主险合同</w:t>
            </w:r>
            <w:r>
              <w:rPr>
                <w:sz w:val="21"/>
              </w:rPr>
              <w:t>）</w:t>
            </w:r>
            <w:r>
              <w:rPr>
                <w:spacing w:val="-3"/>
                <w:sz w:val="21"/>
              </w:rPr>
              <w:t>由以下几个部分构成： </w:t>
            </w:r>
            <w:r>
              <w:rPr>
                <w:spacing w:val="-4"/>
                <w:sz w:val="21"/>
              </w:rPr>
              <w:t>本保险条款、保险单或其他保险凭证、投保单</w:t>
            </w:r>
            <w:r>
              <w:rPr>
                <w:sz w:val="21"/>
              </w:rPr>
              <w:t>（</w:t>
            </w:r>
            <w:r>
              <w:rPr>
                <w:spacing w:val="-3"/>
                <w:sz w:val="21"/>
              </w:rPr>
              <w:t>经本公司核实的复印件或电子影像印刷件与正本具有同等效力</w:t>
            </w:r>
            <w:r>
              <w:rPr>
                <w:spacing w:val="-108"/>
                <w:sz w:val="21"/>
              </w:rPr>
              <w:t>）</w:t>
            </w:r>
            <w:r>
              <w:rPr>
                <w:spacing w:val="-3"/>
                <w:sz w:val="21"/>
              </w:rPr>
              <w:t>、合法有效的声明、批注、批单，及投保人与本公司共同认可的、与本主险合同有关的其它书面文件。</w:t>
            </w:r>
          </w:p>
        </w:tc>
      </w:tr>
      <w:tr>
        <w:trPr>
          <w:trHeight w:val="1987" w:hRule="atLeast"/>
        </w:trPr>
        <w:tc>
          <w:tcPr>
            <w:tcW w:w="713" w:type="dxa"/>
          </w:tcPr>
          <w:p>
            <w:pPr>
              <w:pStyle w:val="TableParagraph"/>
              <w:spacing w:before="138"/>
              <w:ind w:left="108"/>
              <w:rPr>
                <w:b/>
                <w:sz w:val="21"/>
              </w:rPr>
            </w:pPr>
            <w:r>
              <w:rPr>
                <w:b/>
                <w:sz w:val="21"/>
              </w:rPr>
              <w:t>1.2</w:t>
            </w:r>
          </w:p>
        </w:tc>
        <w:tc>
          <w:tcPr>
            <w:tcW w:w="1717" w:type="dxa"/>
          </w:tcPr>
          <w:p>
            <w:pPr>
              <w:pStyle w:val="TableParagraph"/>
              <w:spacing w:before="138"/>
              <w:ind w:left="247"/>
              <w:rPr>
                <w:b/>
                <w:sz w:val="21"/>
              </w:rPr>
            </w:pPr>
            <w:r>
              <w:rPr>
                <w:b/>
                <w:sz w:val="21"/>
              </w:rPr>
              <w:t>投保范围</w:t>
            </w:r>
          </w:p>
        </w:tc>
        <w:tc>
          <w:tcPr>
            <w:tcW w:w="7234" w:type="dxa"/>
          </w:tcPr>
          <w:p>
            <w:pPr>
              <w:pStyle w:val="TableParagraph"/>
              <w:spacing w:line="300" w:lineRule="auto" w:before="138"/>
              <w:ind w:right="98"/>
              <w:jc w:val="both"/>
              <w:rPr>
                <w:sz w:val="21"/>
              </w:rPr>
            </w:pPr>
            <w:r>
              <w:rPr>
                <w:w w:val="100"/>
                <w:sz w:val="21"/>
              </w:rPr>
              <w:t>年满</w:t>
            </w:r>
            <w:r>
              <w:rPr>
                <w:spacing w:val="-53"/>
                <w:sz w:val="21"/>
              </w:rPr>
              <w:t> </w:t>
            </w:r>
            <w:r>
              <w:rPr>
                <w:spacing w:val="-3"/>
                <w:w w:val="100"/>
                <w:sz w:val="21"/>
              </w:rPr>
              <w:t>1</w:t>
            </w:r>
            <w:r>
              <w:rPr>
                <w:w w:val="100"/>
                <w:sz w:val="21"/>
              </w:rPr>
              <w:t>6</w:t>
            </w:r>
            <w:r>
              <w:rPr>
                <w:spacing w:val="-53"/>
                <w:sz w:val="21"/>
              </w:rPr>
              <w:t> </w:t>
            </w:r>
            <w:r>
              <w:rPr>
                <w:spacing w:val="-2"/>
                <w:w w:val="100"/>
                <w:sz w:val="21"/>
              </w:rPr>
              <w:t>周岁到</w:t>
            </w:r>
            <w:r>
              <w:rPr>
                <w:spacing w:val="-55"/>
                <w:sz w:val="21"/>
              </w:rPr>
              <w:t> </w:t>
            </w:r>
            <w:r>
              <w:rPr>
                <w:w w:val="100"/>
                <w:sz w:val="21"/>
              </w:rPr>
              <w:t>65</w:t>
            </w:r>
            <w:r>
              <w:rPr>
                <w:spacing w:val="-55"/>
                <w:sz w:val="21"/>
              </w:rPr>
              <w:t> </w:t>
            </w:r>
            <w:r>
              <w:rPr>
                <w:b/>
                <w:spacing w:val="-15"/>
                <w:w w:val="100"/>
                <w:sz w:val="21"/>
              </w:rPr>
              <w:t>周岁</w:t>
            </w:r>
            <w:r>
              <w:rPr>
                <w:spacing w:val="-3"/>
                <w:w w:val="100"/>
                <w:sz w:val="21"/>
              </w:rPr>
              <w:t>（</w:t>
            </w:r>
            <w:r>
              <w:rPr>
                <w:spacing w:val="-2"/>
                <w:w w:val="100"/>
                <w:sz w:val="21"/>
              </w:rPr>
              <w:t>见释义</w:t>
            </w:r>
            <w:r>
              <w:rPr>
                <w:spacing w:val="-2"/>
                <w:sz w:val="21"/>
              </w:rPr>
              <w:t> </w:t>
            </w:r>
            <w:r>
              <w:rPr>
                <w:w w:val="100"/>
                <w:sz w:val="21"/>
              </w:rPr>
              <w:t>6.</w:t>
            </w:r>
            <w:r>
              <w:rPr>
                <w:spacing w:val="-3"/>
                <w:w w:val="100"/>
                <w:sz w:val="21"/>
              </w:rPr>
              <w:t>1</w:t>
            </w:r>
            <w:r>
              <w:rPr>
                <w:spacing w:val="-106"/>
                <w:w w:val="100"/>
                <w:sz w:val="21"/>
              </w:rPr>
              <w:t>）</w:t>
            </w:r>
            <w:r>
              <w:rPr>
                <w:spacing w:val="-7"/>
                <w:w w:val="100"/>
                <w:sz w:val="21"/>
              </w:rPr>
              <w:t>、身体健康能正常工作或正常劳动的公</w:t>
            </w:r>
            <w:r>
              <w:rPr>
                <w:spacing w:val="-4"/>
                <w:sz w:val="21"/>
              </w:rPr>
              <w:t>民，可作为被保险人参加本保险。被保险人之配偶或子女，经本公司审核同</w:t>
            </w:r>
            <w:r>
              <w:rPr>
                <w:spacing w:val="-3"/>
                <w:sz w:val="21"/>
              </w:rPr>
              <w:t>意，可以作为本主险合同的附属被保险人。</w:t>
            </w:r>
          </w:p>
          <w:p>
            <w:pPr>
              <w:pStyle w:val="TableParagraph"/>
              <w:spacing w:line="300" w:lineRule="auto" w:before="15"/>
              <w:ind w:right="98"/>
              <w:jc w:val="both"/>
              <w:rPr>
                <w:sz w:val="21"/>
              </w:rPr>
            </w:pPr>
            <w:r>
              <w:rPr>
                <w:sz w:val="21"/>
              </w:rPr>
              <w:t>对被保险人有保险利益或经被保险人书面同意的机关、企业、事业单位和其他合法团体均可作为投保人，向本公司投保本保险。</w:t>
            </w:r>
          </w:p>
        </w:tc>
      </w:tr>
      <w:tr>
        <w:trPr>
          <w:trHeight w:val="1988" w:hRule="atLeast"/>
        </w:trPr>
        <w:tc>
          <w:tcPr>
            <w:tcW w:w="713" w:type="dxa"/>
          </w:tcPr>
          <w:p>
            <w:pPr>
              <w:pStyle w:val="TableParagraph"/>
              <w:spacing w:before="138"/>
              <w:ind w:left="108"/>
              <w:rPr>
                <w:b/>
                <w:sz w:val="21"/>
              </w:rPr>
            </w:pPr>
            <w:r>
              <w:rPr>
                <w:b/>
                <w:sz w:val="21"/>
              </w:rPr>
              <w:t>1.3</w:t>
            </w:r>
          </w:p>
        </w:tc>
        <w:tc>
          <w:tcPr>
            <w:tcW w:w="1717" w:type="dxa"/>
          </w:tcPr>
          <w:p>
            <w:pPr>
              <w:pStyle w:val="TableParagraph"/>
              <w:spacing w:line="300" w:lineRule="auto" w:before="138"/>
              <w:ind w:left="247" w:right="200"/>
              <w:jc w:val="both"/>
              <w:rPr>
                <w:b/>
                <w:sz w:val="21"/>
              </w:rPr>
            </w:pPr>
            <w:r>
              <w:rPr>
                <w:b/>
                <w:sz w:val="21"/>
              </w:rPr>
              <w:t>合同成立与生效和保险责任的开始</w:t>
            </w:r>
          </w:p>
        </w:tc>
        <w:tc>
          <w:tcPr>
            <w:tcW w:w="7234" w:type="dxa"/>
          </w:tcPr>
          <w:p>
            <w:pPr>
              <w:pStyle w:val="TableParagraph"/>
              <w:spacing w:line="300" w:lineRule="auto" w:before="138"/>
              <w:ind w:right="98"/>
              <w:rPr>
                <w:sz w:val="21"/>
              </w:rPr>
            </w:pPr>
            <w:r>
              <w:rPr>
                <w:sz w:val="21"/>
              </w:rPr>
              <w:t>投保人提出保险申请、本公司同意承保，本主险合同成立，本主险合同成立日期在保险单上载明。</w:t>
            </w:r>
          </w:p>
          <w:p>
            <w:pPr>
              <w:pStyle w:val="TableParagraph"/>
              <w:spacing w:line="300" w:lineRule="auto" w:before="16"/>
              <w:ind w:right="98"/>
              <w:rPr>
                <w:sz w:val="21"/>
              </w:rPr>
            </w:pPr>
            <w:r>
              <w:rPr>
                <w:sz w:val="21"/>
              </w:rPr>
              <w:t>自本主险合同成立、本公司收取保险费并签发保险单的次日零时起本主险合同生效，本主险合同生效日期在保险单上载明。</w:t>
            </w:r>
          </w:p>
          <w:p>
            <w:pPr>
              <w:pStyle w:val="TableParagraph"/>
              <w:spacing w:before="16"/>
              <w:rPr>
                <w:sz w:val="21"/>
              </w:rPr>
            </w:pPr>
            <w:r>
              <w:rPr>
                <w:sz w:val="21"/>
              </w:rPr>
              <w:t>除另有约定外，本主险合同生效的日期为本公司开始承担保险责任的日期。</w:t>
            </w:r>
          </w:p>
        </w:tc>
      </w:tr>
      <w:tr>
        <w:trPr>
          <w:trHeight w:val="4752" w:hRule="atLeast"/>
        </w:trPr>
        <w:tc>
          <w:tcPr>
            <w:tcW w:w="713" w:type="dxa"/>
          </w:tcPr>
          <w:p>
            <w:pPr>
              <w:pStyle w:val="TableParagraph"/>
              <w:spacing w:before="139"/>
              <w:ind w:left="108"/>
              <w:rPr>
                <w:b/>
                <w:sz w:val="21"/>
              </w:rPr>
            </w:pPr>
            <w:r>
              <w:rPr>
                <w:b/>
                <w:sz w:val="21"/>
              </w:rPr>
              <w:t>1.4</w:t>
            </w:r>
          </w:p>
        </w:tc>
        <w:tc>
          <w:tcPr>
            <w:tcW w:w="1717" w:type="dxa"/>
          </w:tcPr>
          <w:p>
            <w:pPr>
              <w:pStyle w:val="TableParagraph"/>
              <w:spacing w:line="300" w:lineRule="auto" w:before="139"/>
              <w:ind w:left="247" w:right="200"/>
              <w:rPr>
                <w:b/>
                <w:sz w:val="21"/>
              </w:rPr>
            </w:pPr>
            <w:r>
              <w:rPr>
                <w:b/>
                <w:sz w:val="21"/>
              </w:rPr>
              <w:t>解除合同的手续和风险</w:t>
            </w:r>
          </w:p>
        </w:tc>
        <w:tc>
          <w:tcPr>
            <w:tcW w:w="7234" w:type="dxa"/>
          </w:tcPr>
          <w:p>
            <w:pPr>
              <w:pStyle w:val="TableParagraph"/>
              <w:spacing w:line="300" w:lineRule="auto" w:before="139"/>
              <w:ind w:right="100"/>
              <w:rPr>
                <w:sz w:val="21"/>
              </w:rPr>
            </w:pPr>
            <w:r>
              <w:rPr>
                <w:spacing w:val="-3"/>
                <w:sz w:val="21"/>
              </w:rPr>
              <w:t>一、投保人于本主险合同成立后，可以书面通知要求解除本主险合同（即</w:t>
            </w:r>
            <w:r>
              <w:rPr>
                <w:b/>
                <w:sz w:val="21"/>
              </w:rPr>
              <w:t>退保</w:t>
            </w:r>
            <w:r>
              <w:rPr>
                <w:spacing w:val="-108"/>
                <w:sz w:val="21"/>
              </w:rPr>
              <w:t>）。</w:t>
            </w:r>
          </w:p>
          <w:p>
            <w:pPr>
              <w:pStyle w:val="TableParagraph"/>
              <w:spacing w:before="16"/>
              <w:rPr>
                <w:sz w:val="21"/>
              </w:rPr>
            </w:pPr>
            <w:r>
              <w:rPr>
                <w:sz w:val="21"/>
              </w:rPr>
              <w:t>二、投保人要求解除本主险合同时，应提供下列证明和资料：</w:t>
            </w:r>
          </w:p>
          <w:p>
            <w:pPr>
              <w:pStyle w:val="TableParagraph"/>
              <w:rPr>
                <w:sz w:val="21"/>
              </w:rPr>
            </w:pPr>
            <w:r>
              <w:rPr>
                <w:sz w:val="21"/>
              </w:rPr>
              <w:t>（1）保险合同；</w:t>
            </w:r>
          </w:p>
          <w:p>
            <w:pPr>
              <w:pStyle w:val="TableParagraph"/>
              <w:rPr>
                <w:sz w:val="21"/>
              </w:rPr>
            </w:pPr>
            <w:r>
              <w:rPr>
                <w:sz w:val="21"/>
              </w:rPr>
              <w:t>（2）保险单或其他保险凭证；</w:t>
            </w:r>
          </w:p>
          <w:p>
            <w:pPr>
              <w:pStyle w:val="TableParagraph"/>
              <w:rPr>
                <w:sz w:val="21"/>
              </w:rPr>
            </w:pPr>
            <w:r>
              <w:rPr>
                <w:sz w:val="21"/>
              </w:rPr>
              <w:t>（3）解除合同申请书；</w:t>
            </w:r>
          </w:p>
          <w:p>
            <w:pPr>
              <w:pStyle w:val="TableParagraph"/>
              <w:rPr>
                <w:sz w:val="21"/>
              </w:rPr>
            </w:pPr>
            <w:r>
              <w:rPr>
                <w:sz w:val="21"/>
              </w:rPr>
              <w:t>（4）保险费收据；</w:t>
            </w:r>
          </w:p>
          <w:p>
            <w:pPr>
              <w:pStyle w:val="TableParagraph"/>
              <w:rPr>
                <w:sz w:val="21"/>
              </w:rPr>
            </w:pPr>
            <w:r>
              <w:rPr>
                <w:sz w:val="21"/>
              </w:rPr>
              <w:t>（5）投保单位证明。</w:t>
            </w:r>
          </w:p>
          <w:p>
            <w:pPr>
              <w:pStyle w:val="TableParagraph"/>
              <w:spacing w:line="300" w:lineRule="auto"/>
              <w:ind w:right="100"/>
              <w:rPr>
                <w:sz w:val="21"/>
              </w:rPr>
            </w:pPr>
            <w:r>
              <w:rPr>
                <w:spacing w:val="-3"/>
                <w:sz w:val="21"/>
              </w:rPr>
              <w:t>三、投保人要求解除本主险合同的，自本公司接到解除本主险合同申请书之</w:t>
            </w:r>
            <w:r>
              <w:rPr>
                <w:spacing w:val="-5"/>
                <w:sz w:val="21"/>
              </w:rPr>
              <w:t>日二十四时起，保险责任终止，并于接到上述证明和资料之日起 </w:t>
            </w:r>
            <w:r>
              <w:rPr>
                <w:sz w:val="21"/>
              </w:rPr>
              <w:t>30</w:t>
            </w:r>
            <w:r>
              <w:rPr>
                <w:spacing w:val="-12"/>
                <w:sz w:val="21"/>
              </w:rPr>
              <w:t> 日内向</w:t>
            </w:r>
            <w:r>
              <w:rPr>
                <w:spacing w:val="-6"/>
                <w:sz w:val="21"/>
              </w:rPr>
              <w:t>投保人退还本主险合同项下未发生保险事故的各被保险人对应的保险单的</w:t>
            </w:r>
            <w:r>
              <w:rPr>
                <w:b/>
                <w:w w:val="100"/>
                <w:sz w:val="21"/>
              </w:rPr>
              <w:t>现金价值</w:t>
            </w:r>
            <w:r>
              <w:rPr>
                <w:spacing w:val="-3"/>
                <w:w w:val="100"/>
                <w:sz w:val="21"/>
              </w:rPr>
              <w:t>（</w:t>
            </w:r>
            <w:r>
              <w:rPr>
                <w:spacing w:val="-2"/>
                <w:w w:val="100"/>
                <w:sz w:val="21"/>
              </w:rPr>
              <w:t>见释义</w:t>
            </w:r>
            <w:r>
              <w:rPr>
                <w:spacing w:val="-53"/>
                <w:sz w:val="21"/>
              </w:rPr>
              <w:t> </w:t>
            </w:r>
            <w:r>
              <w:rPr>
                <w:w w:val="100"/>
                <w:sz w:val="21"/>
              </w:rPr>
              <w:t>6.</w:t>
            </w:r>
            <w:r>
              <w:rPr>
                <w:spacing w:val="-3"/>
                <w:w w:val="100"/>
                <w:sz w:val="21"/>
              </w:rPr>
              <w:t>2</w:t>
            </w:r>
            <w:r>
              <w:rPr>
                <w:spacing w:val="-106"/>
                <w:w w:val="100"/>
                <w:sz w:val="21"/>
              </w:rPr>
              <w:t>）</w:t>
            </w:r>
            <w:r>
              <w:rPr>
                <w:w w:val="100"/>
                <w:sz w:val="21"/>
              </w:rPr>
              <w:t>。</w:t>
            </w:r>
          </w:p>
          <w:p>
            <w:pPr>
              <w:pStyle w:val="TableParagraph"/>
              <w:spacing w:before="15"/>
              <w:rPr>
                <w:rFonts w:ascii="黑体" w:eastAsia="黑体" w:hint="eastAsia"/>
                <w:sz w:val="21"/>
              </w:rPr>
            </w:pPr>
            <w:r>
              <w:rPr>
                <w:rFonts w:ascii="黑体" w:eastAsia="黑体" w:hint="eastAsia"/>
                <w:sz w:val="21"/>
              </w:rPr>
              <w:t>投保人解除合同会遭受一定损失。</w:t>
            </w:r>
          </w:p>
        </w:tc>
      </w:tr>
      <w:tr>
        <w:trPr>
          <w:trHeight w:val="741" w:hRule="atLeast"/>
        </w:trPr>
        <w:tc>
          <w:tcPr>
            <w:tcW w:w="713" w:type="dxa"/>
            <w:tcBorders>
              <w:bottom w:val="single" w:sz="8" w:space="0" w:color="000000"/>
            </w:tcBorders>
          </w:tcPr>
          <w:p>
            <w:pPr>
              <w:pStyle w:val="TableParagraph"/>
              <w:spacing w:before="182"/>
              <w:ind w:left="108"/>
              <w:rPr>
                <w:rFonts w:ascii="Arial" w:hAnsi="Arial"/>
                <w:b/>
                <w:sz w:val="40"/>
              </w:rPr>
            </w:pPr>
            <w:r>
              <w:rPr>
                <w:rFonts w:ascii="Arial" w:hAnsi="Arial"/>
                <w:b/>
                <w:w w:val="119"/>
                <w:sz w:val="40"/>
              </w:rPr>
              <w:t></w:t>
            </w:r>
          </w:p>
        </w:tc>
        <w:tc>
          <w:tcPr>
            <w:tcW w:w="8951" w:type="dxa"/>
            <w:gridSpan w:val="2"/>
            <w:tcBorders>
              <w:bottom w:val="single" w:sz="8" w:space="0" w:color="000000"/>
            </w:tcBorders>
          </w:tcPr>
          <w:p>
            <w:pPr>
              <w:pStyle w:val="TableParagraph"/>
              <w:spacing w:before="0"/>
              <w:ind w:left="0"/>
              <w:rPr>
                <w:b/>
                <w:sz w:val="18"/>
              </w:rPr>
            </w:pPr>
          </w:p>
          <w:p>
            <w:pPr>
              <w:pStyle w:val="TableParagraph"/>
              <w:spacing w:before="0"/>
              <w:ind w:left="247"/>
              <w:rPr>
                <w:b/>
                <w:sz w:val="24"/>
              </w:rPr>
            </w:pPr>
            <w:r>
              <w:rPr>
                <w:b/>
                <w:w w:val="95"/>
                <w:sz w:val="24"/>
              </w:rPr>
              <w:t>本公司提供的保障</w:t>
            </w:r>
          </w:p>
        </w:tc>
      </w:tr>
      <w:tr>
        <w:trPr>
          <w:trHeight w:val="687" w:hRule="atLeast"/>
        </w:trPr>
        <w:tc>
          <w:tcPr>
            <w:tcW w:w="713" w:type="dxa"/>
            <w:tcBorders>
              <w:top w:val="single" w:sz="8" w:space="0" w:color="000000"/>
            </w:tcBorders>
          </w:tcPr>
          <w:p>
            <w:pPr>
              <w:pStyle w:val="TableParagraph"/>
              <w:spacing w:before="0"/>
              <w:ind w:left="0"/>
              <w:rPr>
                <w:b/>
                <w:sz w:val="16"/>
              </w:rPr>
            </w:pPr>
          </w:p>
          <w:p>
            <w:pPr>
              <w:pStyle w:val="TableParagraph"/>
              <w:spacing w:before="1"/>
              <w:ind w:left="108"/>
              <w:rPr>
                <w:b/>
                <w:sz w:val="21"/>
              </w:rPr>
            </w:pPr>
            <w:r>
              <w:rPr>
                <w:b/>
                <w:sz w:val="21"/>
              </w:rPr>
              <w:t>2.1</w:t>
            </w:r>
          </w:p>
        </w:tc>
        <w:tc>
          <w:tcPr>
            <w:tcW w:w="1717" w:type="dxa"/>
            <w:tcBorders>
              <w:top w:val="single" w:sz="8" w:space="0" w:color="000000"/>
            </w:tcBorders>
          </w:tcPr>
          <w:p>
            <w:pPr>
              <w:pStyle w:val="TableParagraph"/>
              <w:spacing w:before="0"/>
              <w:ind w:left="0"/>
              <w:rPr>
                <w:b/>
                <w:sz w:val="16"/>
              </w:rPr>
            </w:pPr>
          </w:p>
          <w:p>
            <w:pPr>
              <w:pStyle w:val="TableParagraph"/>
              <w:spacing w:before="1"/>
              <w:ind w:left="247"/>
              <w:rPr>
                <w:b/>
                <w:sz w:val="21"/>
              </w:rPr>
            </w:pPr>
            <w:r>
              <w:rPr>
                <w:b/>
                <w:sz w:val="21"/>
              </w:rPr>
              <w:t>保险金额</w:t>
            </w:r>
          </w:p>
        </w:tc>
        <w:tc>
          <w:tcPr>
            <w:tcW w:w="7234" w:type="dxa"/>
            <w:tcBorders>
              <w:top w:val="single" w:sz="8" w:space="0" w:color="000000"/>
            </w:tcBorders>
          </w:tcPr>
          <w:p>
            <w:pPr>
              <w:pStyle w:val="TableParagraph"/>
              <w:spacing w:before="0"/>
              <w:ind w:left="0"/>
              <w:rPr>
                <w:b/>
                <w:sz w:val="16"/>
              </w:rPr>
            </w:pPr>
          </w:p>
          <w:p>
            <w:pPr>
              <w:pStyle w:val="TableParagraph"/>
              <w:spacing w:before="1"/>
              <w:rPr>
                <w:sz w:val="21"/>
              </w:rPr>
            </w:pPr>
            <w:r>
              <w:rPr>
                <w:sz w:val="21"/>
              </w:rPr>
              <w:t>保险金额由投保人和本公司双方约定，并在保险单中载明。</w:t>
            </w:r>
          </w:p>
        </w:tc>
      </w:tr>
      <w:tr>
        <w:trPr>
          <w:trHeight w:val="413" w:hRule="atLeast"/>
        </w:trPr>
        <w:tc>
          <w:tcPr>
            <w:tcW w:w="713" w:type="dxa"/>
          </w:tcPr>
          <w:p>
            <w:pPr>
              <w:pStyle w:val="TableParagraph"/>
              <w:spacing w:line="255" w:lineRule="exact" w:before="138"/>
              <w:ind w:left="108"/>
              <w:rPr>
                <w:b/>
                <w:sz w:val="21"/>
              </w:rPr>
            </w:pPr>
            <w:r>
              <w:rPr>
                <w:b/>
                <w:sz w:val="21"/>
              </w:rPr>
              <w:t>2.2</w:t>
            </w:r>
          </w:p>
        </w:tc>
        <w:tc>
          <w:tcPr>
            <w:tcW w:w="1717" w:type="dxa"/>
          </w:tcPr>
          <w:p>
            <w:pPr>
              <w:pStyle w:val="TableParagraph"/>
              <w:spacing w:line="255" w:lineRule="exact" w:before="138"/>
              <w:ind w:left="247"/>
              <w:rPr>
                <w:b/>
                <w:sz w:val="21"/>
              </w:rPr>
            </w:pPr>
            <w:r>
              <w:rPr>
                <w:b/>
                <w:sz w:val="21"/>
              </w:rPr>
              <w:t>保险期间</w:t>
            </w:r>
          </w:p>
        </w:tc>
        <w:tc>
          <w:tcPr>
            <w:tcW w:w="7234" w:type="dxa"/>
          </w:tcPr>
          <w:p>
            <w:pPr>
              <w:pStyle w:val="TableParagraph"/>
              <w:spacing w:line="255" w:lineRule="exact" w:before="138"/>
              <w:rPr>
                <w:sz w:val="21"/>
              </w:rPr>
            </w:pPr>
            <w:r>
              <w:rPr>
                <w:sz w:val="21"/>
              </w:rPr>
              <w:t>本主险合同的保险期间由投保人和本公司在投保时确定，最长不超过一年。</w:t>
            </w:r>
          </w:p>
        </w:tc>
      </w:tr>
    </w:tbl>
    <w:p>
      <w:pPr>
        <w:spacing w:after="0" w:line="255" w:lineRule="exact"/>
        <w:rPr>
          <w:sz w:val="21"/>
        </w:rPr>
        <w:sectPr>
          <w:pgSz w:w="11910" w:h="16840"/>
          <w:pgMar w:top="1480" w:bottom="280" w:left="1080" w:right="9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1717"/>
        <w:gridCol w:w="7234"/>
      </w:tblGrid>
      <w:tr>
        <w:trPr>
          <w:trHeight w:val="756" w:hRule="atLeast"/>
        </w:trPr>
        <w:tc>
          <w:tcPr>
            <w:tcW w:w="713" w:type="dxa"/>
          </w:tcPr>
          <w:p>
            <w:pPr>
              <w:pStyle w:val="TableParagraph"/>
              <w:spacing w:before="0"/>
              <w:ind w:left="0"/>
              <w:rPr>
                <w:rFonts w:ascii="Times New Roman"/>
                <w:sz w:val="20"/>
              </w:rPr>
            </w:pPr>
          </w:p>
        </w:tc>
        <w:tc>
          <w:tcPr>
            <w:tcW w:w="1717" w:type="dxa"/>
          </w:tcPr>
          <w:p>
            <w:pPr>
              <w:pStyle w:val="TableParagraph"/>
              <w:spacing w:before="0"/>
              <w:ind w:left="0"/>
              <w:rPr>
                <w:rFonts w:ascii="Times New Roman"/>
                <w:sz w:val="20"/>
              </w:rPr>
            </w:pPr>
          </w:p>
        </w:tc>
        <w:tc>
          <w:tcPr>
            <w:tcW w:w="7234" w:type="dxa"/>
          </w:tcPr>
          <w:p>
            <w:pPr>
              <w:pStyle w:val="TableParagraph"/>
              <w:spacing w:line="211" w:lineRule="exact" w:before="0"/>
              <w:rPr>
                <w:sz w:val="21"/>
              </w:rPr>
            </w:pPr>
            <w:r>
              <w:rPr>
                <w:sz w:val="21"/>
              </w:rPr>
              <w:t>本主险合同的保险期间自本主险合同生效之日零时起至期满之日二十四时</w:t>
            </w:r>
          </w:p>
          <w:p>
            <w:pPr>
              <w:pStyle w:val="TableParagraph"/>
              <w:rPr>
                <w:sz w:val="21"/>
              </w:rPr>
            </w:pPr>
            <w:r>
              <w:rPr>
                <w:sz w:val="21"/>
              </w:rPr>
              <w:t>止。</w:t>
            </w:r>
          </w:p>
        </w:tc>
      </w:tr>
      <w:tr>
        <w:trPr>
          <w:trHeight w:val="3017" w:hRule="atLeast"/>
        </w:trPr>
        <w:tc>
          <w:tcPr>
            <w:tcW w:w="713" w:type="dxa"/>
          </w:tcPr>
          <w:p>
            <w:pPr>
              <w:pStyle w:val="TableParagraph"/>
              <w:spacing w:before="138"/>
              <w:ind w:left="108"/>
              <w:rPr>
                <w:b/>
                <w:sz w:val="21"/>
              </w:rPr>
            </w:pPr>
            <w:r>
              <w:rPr>
                <w:b/>
                <w:sz w:val="21"/>
              </w:rPr>
              <w:t>2.3</w:t>
            </w:r>
          </w:p>
        </w:tc>
        <w:tc>
          <w:tcPr>
            <w:tcW w:w="1717" w:type="dxa"/>
          </w:tcPr>
          <w:p>
            <w:pPr>
              <w:pStyle w:val="TableParagraph"/>
              <w:spacing w:line="300" w:lineRule="auto" w:before="138"/>
              <w:ind w:left="247" w:right="622"/>
              <w:rPr>
                <w:b/>
                <w:sz w:val="21"/>
              </w:rPr>
            </w:pPr>
            <w:r>
              <w:rPr>
                <w:b/>
                <w:sz w:val="21"/>
              </w:rPr>
              <w:t>保险责任等待期</w:t>
            </w:r>
          </w:p>
        </w:tc>
        <w:tc>
          <w:tcPr>
            <w:tcW w:w="7234" w:type="dxa"/>
          </w:tcPr>
          <w:p>
            <w:pPr>
              <w:pStyle w:val="TableParagraph"/>
              <w:spacing w:before="138"/>
              <w:rPr>
                <w:sz w:val="21"/>
              </w:rPr>
            </w:pPr>
            <w:r>
              <w:rPr>
                <w:sz w:val="21"/>
              </w:rPr>
              <w:t>在本主险合同有效期内，本公司承担如下保险责任：</w:t>
            </w:r>
          </w:p>
          <w:p>
            <w:pPr>
              <w:pStyle w:val="TableParagraph"/>
              <w:rPr>
                <w:sz w:val="21"/>
              </w:rPr>
            </w:pPr>
            <w:r>
              <w:rPr>
                <w:sz w:val="21"/>
              </w:rPr>
              <w:t>第一次投保本保险或非连续投保本保险时，从本主险合同保险责任生效日起</w:t>
            </w:r>
          </w:p>
          <w:p>
            <w:pPr>
              <w:pStyle w:val="TableParagraph"/>
              <w:spacing w:line="300" w:lineRule="auto"/>
              <w:ind w:right="100"/>
              <w:jc w:val="both"/>
              <w:rPr>
                <w:sz w:val="21"/>
              </w:rPr>
            </w:pPr>
            <w:r>
              <w:rPr>
                <w:sz w:val="21"/>
              </w:rPr>
              <w:t>30</w:t>
            </w:r>
            <w:r>
              <w:rPr>
                <w:spacing w:val="-8"/>
                <w:sz w:val="21"/>
              </w:rPr>
              <w:t> 天为等待期。对于等待期内被保险人因疾病被</w:t>
            </w:r>
            <w:r>
              <w:rPr>
                <w:b/>
                <w:sz w:val="21"/>
              </w:rPr>
              <w:t>医院</w:t>
            </w:r>
            <w:r>
              <w:rPr>
                <w:sz w:val="21"/>
              </w:rPr>
              <w:t>（</w:t>
            </w:r>
            <w:r>
              <w:rPr>
                <w:spacing w:val="-13"/>
                <w:sz w:val="21"/>
              </w:rPr>
              <w:t>见释义 </w:t>
            </w:r>
            <w:r>
              <w:rPr>
                <w:sz w:val="21"/>
              </w:rPr>
              <w:t>6.3）</w:t>
            </w:r>
            <w:r>
              <w:rPr>
                <w:spacing w:val="-2"/>
                <w:sz w:val="21"/>
              </w:rPr>
              <w:t>诊断为</w:t>
            </w:r>
            <w:r>
              <w:rPr>
                <w:spacing w:val="-3"/>
                <w:w w:val="100"/>
                <w:sz w:val="21"/>
              </w:rPr>
              <w:t>本主险合同所定义的</w:t>
            </w:r>
            <w:r>
              <w:rPr>
                <w:b/>
                <w:spacing w:val="-10"/>
                <w:w w:val="100"/>
                <w:sz w:val="21"/>
              </w:rPr>
              <w:t>重大疾病</w:t>
            </w:r>
            <w:r>
              <w:rPr>
                <w:w w:val="100"/>
                <w:sz w:val="21"/>
              </w:rPr>
              <w:t>（</w:t>
            </w:r>
            <w:r>
              <w:rPr>
                <w:spacing w:val="-2"/>
                <w:w w:val="100"/>
                <w:sz w:val="21"/>
              </w:rPr>
              <w:t>见释义</w:t>
            </w:r>
            <w:r>
              <w:rPr>
                <w:spacing w:val="-55"/>
                <w:sz w:val="21"/>
              </w:rPr>
              <w:t> </w:t>
            </w:r>
            <w:r>
              <w:rPr>
                <w:w w:val="100"/>
                <w:sz w:val="21"/>
              </w:rPr>
              <w:t>6.4</w:t>
            </w:r>
            <w:r>
              <w:rPr>
                <w:spacing w:val="-108"/>
                <w:w w:val="100"/>
                <w:sz w:val="21"/>
              </w:rPr>
              <w:t>）</w:t>
            </w:r>
            <w:r>
              <w:rPr>
                <w:spacing w:val="-7"/>
                <w:w w:val="100"/>
                <w:sz w:val="21"/>
              </w:rPr>
              <w:t>，本公司无息返还该被保险人对</w:t>
            </w:r>
            <w:r>
              <w:rPr>
                <w:spacing w:val="-5"/>
                <w:sz w:val="21"/>
              </w:rPr>
              <w:t>应的保险费，本主险合同对该被保险人的保险责任终止。</w:t>
            </w:r>
          </w:p>
          <w:p>
            <w:pPr>
              <w:pStyle w:val="TableParagraph"/>
              <w:spacing w:before="16"/>
              <w:rPr>
                <w:sz w:val="21"/>
              </w:rPr>
            </w:pPr>
            <w:r>
              <w:rPr>
                <w:sz w:val="21"/>
              </w:rPr>
              <w:t>被保险人因遭受意外伤害事故发生上述情形的，无等待期。</w:t>
            </w:r>
          </w:p>
          <w:p>
            <w:pPr>
              <w:pStyle w:val="TableParagraph"/>
              <w:spacing w:line="300" w:lineRule="auto"/>
              <w:ind w:right="827"/>
              <w:rPr>
                <w:sz w:val="21"/>
              </w:rPr>
            </w:pPr>
            <w:r>
              <w:rPr>
                <w:spacing w:val="-6"/>
                <w:sz w:val="21"/>
              </w:rPr>
              <w:t>投保人在本主险合同保险期间届满前 </w:t>
            </w:r>
            <w:r>
              <w:rPr>
                <w:sz w:val="21"/>
              </w:rPr>
              <w:t>30</w:t>
            </w:r>
            <w:r>
              <w:rPr>
                <w:spacing w:val="-8"/>
                <w:sz w:val="21"/>
              </w:rPr>
              <w:t> 日提出续保的，无等待期。</w:t>
            </w:r>
            <w:r>
              <w:rPr>
                <w:spacing w:val="-3"/>
                <w:sz w:val="21"/>
              </w:rPr>
              <w:t>如果在等待期后发生保险事故，本公司按照下列方式给付保险金。</w:t>
            </w:r>
          </w:p>
        </w:tc>
      </w:tr>
      <w:tr>
        <w:trPr>
          <w:trHeight w:val="1645" w:hRule="atLeast"/>
        </w:trPr>
        <w:tc>
          <w:tcPr>
            <w:tcW w:w="713" w:type="dxa"/>
          </w:tcPr>
          <w:p>
            <w:pPr>
              <w:pStyle w:val="TableParagraph"/>
              <w:spacing w:before="0"/>
              <w:ind w:left="0"/>
              <w:rPr>
                <w:rFonts w:ascii="Times New Roman"/>
                <w:sz w:val="20"/>
              </w:rPr>
            </w:pPr>
          </w:p>
        </w:tc>
        <w:tc>
          <w:tcPr>
            <w:tcW w:w="1717" w:type="dxa"/>
          </w:tcPr>
          <w:p>
            <w:pPr>
              <w:pStyle w:val="TableParagraph"/>
              <w:spacing w:line="300" w:lineRule="auto" w:before="138"/>
              <w:ind w:left="247" w:right="200"/>
              <w:rPr>
                <w:b/>
                <w:sz w:val="21"/>
              </w:rPr>
            </w:pPr>
            <w:r>
              <w:rPr>
                <w:b/>
                <w:sz w:val="21"/>
              </w:rPr>
              <w:t>重大疾病保险金</w:t>
            </w:r>
          </w:p>
        </w:tc>
        <w:tc>
          <w:tcPr>
            <w:tcW w:w="7234" w:type="dxa"/>
          </w:tcPr>
          <w:p>
            <w:pPr>
              <w:pStyle w:val="TableParagraph"/>
              <w:spacing w:line="300" w:lineRule="auto" w:before="138"/>
              <w:ind w:right="98"/>
              <w:jc w:val="both"/>
              <w:rPr>
                <w:sz w:val="21"/>
              </w:rPr>
            </w:pPr>
            <w:r>
              <w:rPr>
                <w:spacing w:val="-3"/>
                <w:sz w:val="21"/>
              </w:rPr>
              <w:t>被保险人初次发生且经医院或</w:t>
            </w:r>
            <w:r>
              <w:rPr>
                <w:b/>
                <w:spacing w:val="-1"/>
                <w:sz w:val="21"/>
              </w:rPr>
              <w:t>本公司认可的其他医疗机构</w:t>
            </w:r>
            <w:r>
              <w:rPr>
                <w:sz w:val="21"/>
              </w:rPr>
              <w:t>（</w:t>
            </w:r>
            <w:r>
              <w:rPr>
                <w:spacing w:val="-12"/>
                <w:sz w:val="21"/>
              </w:rPr>
              <w:t>见释义 </w:t>
            </w:r>
            <w:r>
              <w:rPr>
                <w:sz w:val="21"/>
              </w:rPr>
              <w:t>6.5）确</w:t>
            </w:r>
            <w:r>
              <w:rPr>
                <w:spacing w:val="-5"/>
                <w:sz w:val="21"/>
              </w:rPr>
              <w:t>诊患本主险合同所指的重大疾病，并且自确诊之日起 </w:t>
            </w:r>
            <w:r>
              <w:rPr>
                <w:sz w:val="21"/>
              </w:rPr>
              <w:t>30</w:t>
            </w:r>
            <w:r>
              <w:rPr>
                <w:spacing w:val="-8"/>
                <w:sz w:val="21"/>
              </w:rPr>
              <w:t> 日后仍生存，本公</w:t>
            </w:r>
            <w:r>
              <w:rPr>
                <w:spacing w:val="-6"/>
                <w:sz w:val="21"/>
              </w:rPr>
              <w:t>司按照约定的该被保险人的保险金额给付重大疾病保险金，本主险合同对该</w:t>
            </w:r>
            <w:r>
              <w:rPr>
                <w:spacing w:val="-4"/>
                <w:sz w:val="21"/>
              </w:rPr>
              <w:t>被保险人的保险责任终止。</w:t>
            </w:r>
          </w:p>
        </w:tc>
      </w:tr>
      <w:tr>
        <w:trPr>
          <w:trHeight w:val="6125" w:hRule="atLeast"/>
        </w:trPr>
        <w:tc>
          <w:tcPr>
            <w:tcW w:w="713" w:type="dxa"/>
          </w:tcPr>
          <w:p>
            <w:pPr>
              <w:pStyle w:val="TableParagraph"/>
              <w:spacing w:before="139"/>
              <w:ind w:left="108"/>
              <w:rPr>
                <w:b/>
                <w:sz w:val="21"/>
              </w:rPr>
            </w:pPr>
            <w:r>
              <w:rPr>
                <w:b/>
                <w:sz w:val="21"/>
              </w:rPr>
              <w:t>2.4</w:t>
            </w:r>
          </w:p>
        </w:tc>
        <w:tc>
          <w:tcPr>
            <w:tcW w:w="1717" w:type="dxa"/>
          </w:tcPr>
          <w:p>
            <w:pPr>
              <w:pStyle w:val="TableParagraph"/>
              <w:spacing w:line="300" w:lineRule="auto" w:before="139"/>
              <w:ind w:left="247" w:right="200"/>
              <w:rPr>
                <w:b/>
                <w:sz w:val="21"/>
              </w:rPr>
            </w:pPr>
            <w:r>
              <w:rPr>
                <w:b/>
                <w:sz w:val="21"/>
              </w:rPr>
              <w:t>保险责任的免除</w:t>
            </w:r>
          </w:p>
        </w:tc>
        <w:tc>
          <w:tcPr>
            <w:tcW w:w="7234" w:type="dxa"/>
          </w:tcPr>
          <w:p>
            <w:pPr>
              <w:pStyle w:val="TableParagraph"/>
              <w:spacing w:line="300" w:lineRule="auto" w:before="139"/>
              <w:ind w:right="98"/>
              <w:rPr>
                <w:rFonts w:ascii="黑体" w:eastAsia="黑体" w:hint="eastAsia"/>
                <w:sz w:val="21"/>
              </w:rPr>
            </w:pPr>
            <w:r>
              <w:rPr>
                <w:rFonts w:ascii="黑体" w:eastAsia="黑体" w:hint="eastAsia"/>
                <w:sz w:val="21"/>
              </w:rPr>
              <w:t>因下列情形之一造成被保险人患本主险合同所指的重大疾病的，本公司不承担给付保险金的责任：</w:t>
            </w:r>
          </w:p>
          <w:p>
            <w:pPr>
              <w:pStyle w:val="TableParagraph"/>
              <w:numPr>
                <w:ilvl w:val="0"/>
                <w:numId w:val="6"/>
              </w:numPr>
              <w:tabs>
                <w:tab w:pos="924" w:val="left" w:leader="none"/>
              </w:tabs>
              <w:spacing w:line="240" w:lineRule="auto" w:before="16" w:after="0"/>
              <w:ind w:left="923" w:right="0" w:hanging="720"/>
              <w:jc w:val="both"/>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6"/>
              </w:numPr>
              <w:tabs>
                <w:tab w:pos="924" w:val="left" w:leader="none"/>
              </w:tabs>
              <w:spacing w:line="240" w:lineRule="auto" w:before="69" w:after="0"/>
              <w:ind w:left="923" w:right="0" w:hanging="720"/>
              <w:jc w:val="both"/>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6"/>
              </w:numPr>
              <w:tabs>
                <w:tab w:pos="924" w:val="left" w:leader="none"/>
              </w:tabs>
              <w:spacing w:line="240" w:lineRule="auto" w:before="68" w:after="0"/>
              <w:ind w:left="923" w:right="0" w:hanging="720"/>
              <w:jc w:val="both"/>
              <w:rPr>
                <w:rFonts w:ascii="黑体" w:eastAsia="黑体" w:hint="eastAsia"/>
                <w:sz w:val="21"/>
              </w:rPr>
            </w:pPr>
            <w:r>
              <w:rPr>
                <w:rFonts w:ascii="黑体" w:eastAsia="黑体" w:hint="eastAsia"/>
                <w:spacing w:val="-3"/>
                <w:sz w:val="21"/>
              </w:rPr>
              <w:t>被保险人故意自伤；</w:t>
            </w:r>
          </w:p>
          <w:p>
            <w:pPr>
              <w:pStyle w:val="TableParagraph"/>
              <w:numPr>
                <w:ilvl w:val="0"/>
                <w:numId w:val="6"/>
              </w:numPr>
              <w:tabs>
                <w:tab w:pos="924" w:val="left" w:leader="none"/>
              </w:tabs>
              <w:spacing w:line="240" w:lineRule="auto" w:before="68" w:after="0"/>
              <w:ind w:left="923" w:right="0" w:hanging="720"/>
              <w:jc w:val="both"/>
              <w:rPr>
                <w:rFonts w:ascii="黑体" w:eastAsia="黑体" w:hint="eastAsia"/>
                <w:sz w:val="21"/>
              </w:rPr>
            </w:pPr>
            <w:r>
              <w:rPr>
                <w:rFonts w:ascii="黑体" w:eastAsia="黑体" w:hint="eastAsia"/>
                <w:spacing w:val="-3"/>
                <w:w w:val="100"/>
                <w:sz w:val="21"/>
              </w:rPr>
              <w:t>被保险人服用、吸食或注射</w:t>
            </w:r>
            <w:r>
              <w:rPr>
                <w:rFonts w:ascii="黑体" w:eastAsia="黑体" w:hint="eastAsia"/>
                <w:b/>
                <w:w w:val="100"/>
                <w:sz w:val="21"/>
              </w:rPr>
              <w:t>毒品</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2"/>
                <w:w w:val="100"/>
                <w:sz w:val="21"/>
              </w:rPr>
              <w:t>.</w:t>
            </w:r>
            <w:r>
              <w:rPr>
                <w:rFonts w:ascii="黑体" w:eastAsia="黑体" w:hint="eastAsia"/>
                <w:w w:val="100"/>
                <w:sz w:val="21"/>
              </w:rPr>
              <w:t>6</w:t>
            </w:r>
            <w:r>
              <w:rPr>
                <w:rFonts w:ascii="黑体" w:eastAsia="黑体" w:hint="eastAsia"/>
                <w:spacing w:val="-106"/>
                <w:w w:val="100"/>
                <w:sz w:val="21"/>
              </w:rPr>
              <w:t>）</w:t>
            </w:r>
            <w:r>
              <w:rPr>
                <w:rFonts w:ascii="黑体" w:eastAsia="黑体" w:hint="eastAsia"/>
                <w:w w:val="100"/>
                <w:sz w:val="21"/>
              </w:rPr>
              <w:t>；</w:t>
            </w:r>
          </w:p>
          <w:p>
            <w:pPr>
              <w:pStyle w:val="TableParagraph"/>
              <w:numPr>
                <w:ilvl w:val="0"/>
                <w:numId w:val="6"/>
              </w:numPr>
              <w:tabs>
                <w:tab w:pos="924" w:val="left" w:leader="none"/>
              </w:tabs>
              <w:spacing w:line="240" w:lineRule="auto" w:before="68" w:after="0"/>
              <w:ind w:left="923" w:right="0" w:hanging="720"/>
              <w:jc w:val="both"/>
              <w:rPr>
                <w:rFonts w:ascii="黑体" w:eastAsia="黑体" w:hint="eastAsia"/>
                <w:sz w:val="21"/>
              </w:rPr>
            </w:pPr>
            <w:r>
              <w:rPr>
                <w:rFonts w:ascii="黑体" w:eastAsia="黑体" w:hint="eastAsia"/>
                <w:spacing w:val="-2"/>
                <w:w w:val="100"/>
                <w:sz w:val="21"/>
              </w:rPr>
              <w:t>被保险人</w:t>
            </w:r>
            <w:r>
              <w:rPr>
                <w:rFonts w:ascii="黑体" w:eastAsia="黑体" w:hint="eastAsia"/>
                <w:b/>
                <w:w w:val="100"/>
                <w:sz w:val="21"/>
              </w:rPr>
              <w:t>酒后驾驶</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2"/>
                <w:sz w:val="21"/>
              </w:rPr>
              <w:t> </w:t>
            </w:r>
            <w:r>
              <w:rPr>
                <w:rFonts w:ascii="黑体" w:eastAsia="黑体" w:hint="eastAsia"/>
                <w:w w:val="100"/>
                <w:sz w:val="21"/>
              </w:rPr>
              <w:t>6</w:t>
            </w:r>
            <w:r>
              <w:rPr>
                <w:rFonts w:ascii="黑体" w:eastAsia="黑体" w:hint="eastAsia"/>
                <w:spacing w:val="-3"/>
                <w:w w:val="100"/>
                <w:sz w:val="21"/>
              </w:rPr>
              <w:t>.</w:t>
            </w:r>
            <w:r>
              <w:rPr>
                <w:rFonts w:ascii="黑体" w:eastAsia="黑体" w:hint="eastAsia"/>
                <w:w w:val="100"/>
                <w:sz w:val="21"/>
              </w:rPr>
              <w:t>7</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无合法有效驾驶证驾驶</w:t>
            </w:r>
            <w:r>
              <w:rPr>
                <w:rFonts w:ascii="黑体" w:eastAsia="黑体" w:hint="eastAsia"/>
                <w:w w:val="100"/>
                <w:sz w:val="21"/>
              </w:rPr>
              <w:t>（</w:t>
            </w:r>
            <w:r>
              <w:rPr>
                <w:rFonts w:ascii="黑体" w:eastAsia="黑体" w:hint="eastAsia"/>
                <w:spacing w:val="-2"/>
                <w:w w:val="100"/>
                <w:sz w:val="21"/>
              </w:rPr>
              <w:t>见释义</w:t>
            </w:r>
          </w:p>
          <w:p>
            <w:pPr>
              <w:pStyle w:val="TableParagraph"/>
              <w:ind w:left="923"/>
              <w:rPr>
                <w:rFonts w:ascii="黑体" w:eastAsia="黑体" w:hint="eastAsia"/>
                <w:sz w:val="21"/>
              </w:rPr>
            </w:pPr>
            <w:r>
              <w:rPr>
                <w:rFonts w:ascii="黑体" w:eastAsia="黑体" w:hint="eastAsia"/>
                <w:sz w:val="21"/>
              </w:rPr>
              <w:t>6.8）或驾驶</w:t>
            </w:r>
            <w:r>
              <w:rPr>
                <w:rFonts w:ascii="黑体" w:eastAsia="黑体" w:hint="eastAsia"/>
                <w:b/>
                <w:sz w:val="21"/>
              </w:rPr>
              <w:t>无有效行驶证</w:t>
            </w:r>
            <w:r>
              <w:rPr>
                <w:rFonts w:ascii="黑体" w:eastAsia="黑体" w:hint="eastAsia"/>
                <w:sz w:val="21"/>
              </w:rPr>
              <w:t>（见释义 6.9）的机动车；</w:t>
            </w:r>
          </w:p>
          <w:p>
            <w:pPr>
              <w:pStyle w:val="TableParagraph"/>
              <w:numPr>
                <w:ilvl w:val="0"/>
                <w:numId w:val="7"/>
              </w:numPr>
              <w:tabs>
                <w:tab w:pos="924" w:val="left" w:leader="none"/>
              </w:tabs>
              <w:spacing w:line="240" w:lineRule="auto" w:before="68" w:after="0"/>
              <w:ind w:left="923" w:right="0" w:hanging="720"/>
              <w:jc w:val="both"/>
              <w:rPr>
                <w:rFonts w:ascii="黑体" w:eastAsia="黑体" w:hint="eastAsia"/>
                <w:sz w:val="21"/>
              </w:rPr>
            </w:pPr>
            <w:r>
              <w:rPr>
                <w:rFonts w:ascii="黑体" w:eastAsia="黑体" w:hint="eastAsia"/>
                <w:spacing w:val="-2"/>
                <w:w w:val="100"/>
                <w:sz w:val="21"/>
              </w:rPr>
              <w:t>被保险人</w:t>
            </w:r>
            <w:r>
              <w:rPr>
                <w:rFonts w:ascii="黑体" w:eastAsia="黑体" w:hint="eastAsia"/>
                <w:b/>
                <w:spacing w:val="-1"/>
                <w:w w:val="100"/>
                <w:sz w:val="21"/>
              </w:rPr>
              <w:t>感染艾滋病病毒或患艾滋病</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w w:val="100"/>
                <w:sz w:val="21"/>
              </w:rPr>
              <w:t>6</w:t>
            </w:r>
            <w:r>
              <w:rPr>
                <w:rFonts w:ascii="黑体" w:eastAsia="黑体" w:hint="eastAsia"/>
                <w:spacing w:val="-3"/>
                <w:w w:val="100"/>
                <w:sz w:val="21"/>
              </w:rPr>
              <w:t>.</w:t>
            </w:r>
            <w:r>
              <w:rPr>
                <w:rFonts w:ascii="黑体" w:eastAsia="黑体" w:hint="eastAsia"/>
                <w:w w:val="100"/>
                <w:sz w:val="21"/>
              </w:rPr>
              <w:t>1</w:t>
            </w:r>
            <w:r>
              <w:rPr>
                <w:rFonts w:ascii="黑体" w:eastAsia="黑体" w:hint="eastAsia"/>
                <w:spacing w:val="-3"/>
                <w:w w:val="100"/>
                <w:sz w:val="21"/>
              </w:rPr>
              <w:t>0</w:t>
            </w:r>
            <w:r>
              <w:rPr>
                <w:rFonts w:ascii="黑体" w:eastAsia="黑体" w:hint="eastAsia"/>
                <w:spacing w:val="-106"/>
                <w:w w:val="100"/>
                <w:sz w:val="21"/>
              </w:rPr>
              <w:t>）</w:t>
            </w:r>
            <w:r>
              <w:rPr>
                <w:rFonts w:ascii="黑体" w:eastAsia="黑体" w:hint="eastAsia"/>
                <w:w w:val="100"/>
                <w:sz w:val="21"/>
              </w:rPr>
              <w:t>；</w:t>
            </w:r>
          </w:p>
          <w:p>
            <w:pPr>
              <w:pStyle w:val="TableParagraph"/>
              <w:numPr>
                <w:ilvl w:val="0"/>
                <w:numId w:val="7"/>
              </w:numPr>
              <w:tabs>
                <w:tab w:pos="924" w:val="left" w:leader="none"/>
              </w:tabs>
              <w:spacing w:line="240" w:lineRule="auto" w:before="68" w:after="0"/>
              <w:ind w:left="923" w:right="0" w:hanging="720"/>
              <w:jc w:val="both"/>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7"/>
              </w:numPr>
              <w:tabs>
                <w:tab w:pos="924" w:val="left" w:leader="none"/>
              </w:tabs>
              <w:spacing w:line="240" w:lineRule="auto" w:before="68" w:after="0"/>
              <w:ind w:left="923" w:right="0" w:hanging="720"/>
              <w:jc w:val="both"/>
              <w:rPr>
                <w:rFonts w:ascii="黑体" w:eastAsia="黑体" w:hint="eastAsia"/>
                <w:sz w:val="21"/>
              </w:rPr>
            </w:pPr>
            <w:r>
              <w:rPr>
                <w:rFonts w:ascii="黑体" w:eastAsia="黑体" w:hint="eastAsia"/>
                <w:spacing w:val="-3"/>
                <w:sz w:val="21"/>
              </w:rPr>
              <w:t>核爆炸、核辐射或核污染；</w:t>
            </w:r>
          </w:p>
          <w:p>
            <w:pPr>
              <w:pStyle w:val="TableParagraph"/>
              <w:numPr>
                <w:ilvl w:val="0"/>
                <w:numId w:val="7"/>
              </w:numPr>
              <w:tabs>
                <w:tab w:pos="924" w:val="left" w:leader="none"/>
              </w:tabs>
              <w:spacing w:line="300" w:lineRule="auto" w:before="68" w:after="0"/>
              <w:ind w:left="923" w:right="100" w:hanging="720"/>
              <w:jc w:val="left"/>
              <w:rPr>
                <w:rFonts w:ascii="黑体" w:eastAsia="黑体" w:hint="eastAsia"/>
                <w:sz w:val="21"/>
              </w:rPr>
            </w:pPr>
            <w:r>
              <w:rPr>
                <w:rFonts w:ascii="黑体" w:eastAsia="黑体" w:hint="eastAsia"/>
                <w:b/>
                <w:spacing w:val="-3"/>
                <w:w w:val="100"/>
                <w:sz w:val="21"/>
              </w:rPr>
              <w:t>遗传性疾病</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w w:val="100"/>
                <w:sz w:val="21"/>
              </w:rPr>
              <w:t>6</w:t>
            </w:r>
            <w:r>
              <w:rPr>
                <w:rFonts w:ascii="黑体" w:eastAsia="黑体" w:hint="eastAsia"/>
                <w:spacing w:val="-3"/>
                <w:w w:val="100"/>
                <w:sz w:val="21"/>
              </w:rPr>
              <w:t>.</w:t>
            </w:r>
            <w:r>
              <w:rPr>
                <w:rFonts w:ascii="黑体" w:eastAsia="黑体" w:hint="eastAsia"/>
                <w:w w:val="100"/>
                <w:sz w:val="21"/>
              </w:rPr>
              <w:t>1</w:t>
            </w:r>
            <w:r>
              <w:rPr>
                <w:rFonts w:ascii="黑体" w:eastAsia="黑体" w:hint="eastAsia"/>
                <w:spacing w:val="-3"/>
                <w:w w:val="100"/>
                <w:sz w:val="21"/>
              </w:rPr>
              <w:t>1</w:t>
            </w:r>
            <w:r>
              <w:rPr>
                <w:rFonts w:ascii="黑体" w:eastAsia="黑体" w:hint="eastAsia"/>
                <w:spacing w:val="-106"/>
                <w:w w:val="100"/>
                <w:sz w:val="21"/>
              </w:rPr>
              <w:t>）</w:t>
            </w:r>
            <w:r>
              <w:rPr>
                <w:rFonts w:ascii="黑体" w:eastAsia="黑体" w:hint="eastAsia"/>
                <w:spacing w:val="-17"/>
                <w:w w:val="100"/>
                <w:sz w:val="21"/>
              </w:rPr>
              <w:t>，</w:t>
            </w:r>
            <w:r>
              <w:rPr>
                <w:rFonts w:ascii="黑体" w:eastAsia="黑体" w:hint="eastAsia"/>
                <w:b/>
                <w:spacing w:val="-4"/>
                <w:w w:val="100"/>
                <w:sz w:val="21"/>
              </w:rPr>
              <w:t>先天性畸形、变形或染色体异常</w:t>
            </w:r>
            <w:r>
              <w:rPr>
                <w:rFonts w:ascii="黑体" w:eastAsia="黑体" w:hint="eastAsia"/>
                <w:spacing w:val="-3"/>
                <w:w w:val="100"/>
                <w:sz w:val="21"/>
              </w:rPr>
              <w:t>（</w:t>
            </w:r>
            <w:r>
              <w:rPr>
                <w:rFonts w:ascii="黑体" w:eastAsia="黑体" w:hint="eastAsia"/>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3"/>
                <w:w w:val="100"/>
                <w:sz w:val="21"/>
              </w:rPr>
              <w:t>1</w:t>
            </w:r>
            <w:r>
              <w:rPr>
                <w:rFonts w:ascii="黑体" w:eastAsia="黑体" w:hint="eastAsia"/>
                <w:w w:val="100"/>
                <w:sz w:val="21"/>
              </w:rPr>
              <w:t>2</w:t>
            </w:r>
            <w:r>
              <w:rPr>
                <w:rFonts w:ascii="黑体" w:eastAsia="黑体" w:hint="eastAsia"/>
                <w:spacing w:val="-106"/>
                <w:w w:val="100"/>
                <w:sz w:val="21"/>
              </w:rPr>
              <w:t>）。</w:t>
            </w:r>
          </w:p>
          <w:p>
            <w:pPr>
              <w:pStyle w:val="TableParagraph"/>
              <w:spacing w:line="300" w:lineRule="auto" w:before="16"/>
              <w:ind w:right="91"/>
              <w:jc w:val="both"/>
              <w:rPr>
                <w:rFonts w:ascii="黑体" w:eastAsia="黑体" w:hint="eastAsia"/>
                <w:sz w:val="21"/>
              </w:rPr>
            </w:pPr>
            <w:r>
              <w:rPr>
                <w:rFonts w:ascii="黑体" w:eastAsia="黑体" w:hint="eastAsia"/>
                <w:w w:val="100"/>
                <w:sz w:val="21"/>
              </w:rPr>
              <w:t>发Th</w:t>
            </w:r>
            <w:r>
              <w:rPr>
                <w:rFonts w:ascii="黑体" w:eastAsia="黑体" w:hint="eastAsia"/>
                <w:spacing w:val="-3"/>
                <w:w w:val="100"/>
                <w:sz w:val="21"/>
              </w:rPr>
              <w:t>上述第</w:t>
            </w:r>
            <w:r>
              <w:rPr>
                <w:rFonts w:ascii="黑体" w:eastAsia="黑体" w:hint="eastAsia"/>
                <w:spacing w:val="-1"/>
                <w:w w:val="100"/>
                <w:sz w:val="21"/>
              </w:rPr>
              <w:t>（</w:t>
            </w:r>
            <w:r>
              <w:rPr>
                <w:rFonts w:ascii="黑体" w:eastAsia="黑体" w:hint="eastAsia"/>
                <w:w w:val="100"/>
                <w:sz w:val="21"/>
              </w:rPr>
              <w:t>1</w:t>
            </w:r>
            <w:r>
              <w:rPr>
                <w:rFonts w:ascii="黑体" w:eastAsia="黑体" w:hint="eastAsia"/>
                <w:spacing w:val="-108"/>
                <w:w w:val="100"/>
                <w:sz w:val="21"/>
              </w:rPr>
              <w:t>）</w:t>
            </w:r>
            <w:r>
              <w:rPr>
                <w:rFonts w:ascii="黑体" w:eastAsia="黑体" w:hint="eastAsia"/>
                <w:spacing w:val="-106"/>
                <w:w w:val="100"/>
                <w:sz w:val="21"/>
              </w:rPr>
              <w:t>、</w:t>
            </w:r>
            <w:r>
              <w:rPr>
                <w:rFonts w:ascii="黑体" w:eastAsia="黑体" w:hint="eastAsia"/>
                <w:w w:val="100"/>
                <w:sz w:val="21"/>
              </w:rPr>
              <w:t>（</w:t>
            </w:r>
            <w:r>
              <w:rPr>
                <w:rFonts w:ascii="黑体" w:eastAsia="黑体" w:hint="eastAsia"/>
                <w:spacing w:val="-3"/>
                <w:w w:val="100"/>
                <w:sz w:val="21"/>
              </w:rPr>
              <w:t>2</w:t>
            </w:r>
            <w:r>
              <w:rPr>
                <w:rFonts w:ascii="黑体" w:eastAsia="黑体" w:hint="eastAsia"/>
                <w:w w:val="100"/>
                <w:sz w:val="21"/>
              </w:rPr>
              <w:t>）</w:t>
            </w:r>
            <w:r>
              <w:rPr>
                <w:rFonts w:ascii="黑体" w:eastAsia="黑体" w:hint="eastAsia"/>
                <w:spacing w:val="-3"/>
                <w:w w:val="100"/>
                <w:sz w:val="21"/>
              </w:rPr>
              <w:t>项情形导致被保险人患本主险合同所指重大疾病的，</w:t>
            </w:r>
            <w:r>
              <w:rPr>
                <w:rFonts w:ascii="黑体" w:eastAsia="黑体" w:hint="eastAsia"/>
                <w:spacing w:val="-4"/>
                <w:sz w:val="21"/>
              </w:rPr>
              <w:t>本公司对该被保险人的保险责任终止。发</w:t>
            </w:r>
            <w:r>
              <w:rPr>
                <w:rFonts w:ascii="黑体" w:eastAsia="黑体" w:hint="eastAsia"/>
                <w:sz w:val="21"/>
              </w:rPr>
              <w:t>Th</w:t>
            </w:r>
            <w:r>
              <w:rPr>
                <w:rFonts w:ascii="黑体" w:eastAsia="黑体" w:hint="eastAsia"/>
                <w:spacing w:val="-3"/>
                <w:sz w:val="21"/>
              </w:rPr>
              <w:t>上述其他情形的，导致被保险人患本主险合同所指重大疾病的，本公司对该被保险人的保险责任终止，本公司向投保人退还保险单的现金价值。</w:t>
            </w:r>
          </w:p>
        </w:tc>
      </w:tr>
      <w:tr>
        <w:trPr>
          <w:trHeight w:val="741" w:hRule="atLeast"/>
        </w:trPr>
        <w:tc>
          <w:tcPr>
            <w:tcW w:w="713" w:type="dxa"/>
            <w:tcBorders>
              <w:bottom w:val="single" w:sz="8" w:space="0" w:color="000000"/>
            </w:tcBorders>
          </w:tcPr>
          <w:p>
            <w:pPr>
              <w:pStyle w:val="TableParagraph"/>
              <w:spacing w:before="182"/>
              <w:ind w:left="108"/>
              <w:rPr>
                <w:rFonts w:ascii="Arial" w:hAnsi="Arial"/>
                <w:b/>
                <w:sz w:val="40"/>
              </w:rPr>
            </w:pPr>
            <w:r>
              <w:rPr>
                <w:rFonts w:ascii="Arial" w:hAnsi="Arial"/>
                <w:b/>
                <w:w w:val="119"/>
                <w:sz w:val="40"/>
              </w:rPr>
              <w:t></w:t>
            </w:r>
          </w:p>
        </w:tc>
        <w:tc>
          <w:tcPr>
            <w:tcW w:w="8951" w:type="dxa"/>
            <w:gridSpan w:val="2"/>
            <w:tcBorders>
              <w:bottom w:val="single" w:sz="8" w:space="0" w:color="000000"/>
            </w:tcBorders>
          </w:tcPr>
          <w:p>
            <w:pPr>
              <w:pStyle w:val="TableParagraph"/>
              <w:spacing w:before="0"/>
              <w:ind w:left="0"/>
              <w:rPr>
                <w:b/>
                <w:sz w:val="18"/>
              </w:rPr>
            </w:pPr>
          </w:p>
          <w:p>
            <w:pPr>
              <w:pStyle w:val="TableParagraph"/>
              <w:spacing w:before="0"/>
              <w:ind w:left="247"/>
              <w:rPr>
                <w:b/>
                <w:sz w:val="24"/>
              </w:rPr>
            </w:pPr>
            <w:r>
              <w:rPr>
                <w:b/>
                <w:w w:val="95"/>
                <w:sz w:val="24"/>
              </w:rPr>
              <w:t>保险费的交纳和续保</w:t>
            </w:r>
          </w:p>
        </w:tc>
      </w:tr>
      <w:tr>
        <w:trPr>
          <w:trHeight w:val="1030" w:hRule="atLeast"/>
        </w:trPr>
        <w:tc>
          <w:tcPr>
            <w:tcW w:w="713" w:type="dxa"/>
            <w:tcBorders>
              <w:top w:val="single" w:sz="8" w:space="0" w:color="000000"/>
            </w:tcBorders>
          </w:tcPr>
          <w:p>
            <w:pPr>
              <w:pStyle w:val="TableParagraph"/>
              <w:spacing w:before="0"/>
              <w:ind w:left="0"/>
              <w:rPr>
                <w:b/>
                <w:sz w:val="16"/>
              </w:rPr>
            </w:pPr>
          </w:p>
          <w:p>
            <w:pPr>
              <w:pStyle w:val="TableParagraph"/>
              <w:spacing w:before="1"/>
              <w:ind w:left="108"/>
              <w:rPr>
                <w:b/>
                <w:sz w:val="21"/>
              </w:rPr>
            </w:pPr>
            <w:r>
              <w:rPr>
                <w:b/>
                <w:sz w:val="21"/>
              </w:rPr>
              <w:t>3.1</w:t>
            </w:r>
          </w:p>
        </w:tc>
        <w:tc>
          <w:tcPr>
            <w:tcW w:w="1717" w:type="dxa"/>
            <w:tcBorders>
              <w:top w:val="single" w:sz="8" w:space="0" w:color="000000"/>
            </w:tcBorders>
          </w:tcPr>
          <w:p>
            <w:pPr>
              <w:pStyle w:val="TableParagraph"/>
              <w:spacing w:before="0"/>
              <w:ind w:left="0"/>
              <w:rPr>
                <w:b/>
                <w:sz w:val="16"/>
              </w:rPr>
            </w:pPr>
          </w:p>
          <w:p>
            <w:pPr>
              <w:pStyle w:val="TableParagraph"/>
              <w:spacing w:before="1"/>
              <w:ind w:left="247"/>
              <w:rPr>
                <w:b/>
                <w:sz w:val="21"/>
              </w:rPr>
            </w:pPr>
            <w:r>
              <w:rPr>
                <w:b/>
                <w:sz w:val="21"/>
              </w:rPr>
              <w:t>保险费的交纳</w:t>
            </w:r>
          </w:p>
        </w:tc>
        <w:tc>
          <w:tcPr>
            <w:tcW w:w="7234" w:type="dxa"/>
            <w:tcBorders>
              <w:top w:val="single" w:sz="8" w:space="0" w:color="000000"/>
            </w:tcBorders>
          </w:tcPr>
          <w:p>
            <w:pPr>
              <w:pStyle w:val="TableParagraph"/>
              <w:spacing w:before="0"/>
              <w:ind w:left="0"/>
              <w:rPr>
                <w:b/>
                <w:sz w:val="16"/>
              </w:rPr>
            </w:pPr>
          </w:p>
          <w:p>
            <w:pPr>
              <w:pStyle w:val="TableParagraph"/>
              <w:spacing w:line="300" w:lineRule="auto" w:before="1"/>
              <w:ind w:right="80"/>
              <w:rPr>
                <w:sz w:val="21"/>
              </w:rPr>
            </w:pPr>
            <w:r>
              <w:rPr>
                <w:sz w:val="21"/>
              </w:rPr>
              <w:t>本主险合同的保险费须于投保时一次交清。保险期间不满一年的，本公司按</w:t>
            </w:r>
            <w:r>
              <w:rPr>
                <w:b/>
                <w:sz w:val="21"/>
              </w:rPr>
              <w:t>极短期保险费</w:t>
            </w:r>
            <w:r>
              <w:rPr>
                <w:sz w:val="21"/>
              </w:rPr>
              <w:t>（见释义 6.13）收取保险费。</w:t>
            </w:r>
          </w:p>
        </w:tc>
      </w:tr>
      <w:tr>
        <w:trPr>
          <w:trHeight w:val="412" w:hRule="atLeast"/>
        </w:trPr>
        <w:tc>
          <w:tcPr>
            <w:tcW w:w="713" w:type="dxa"/>
          </w:tcPr>
          <w:p>
            <w:pPr>
              <w:pStyle w:val="TableParagraph"/>
              <w:spacing w:line="255" w:lineRule="exact" w:before="138"/>
              <w:ind w:left="108"/>
              <w:rPr>
                <w:b/>
                <w:sz w:val="21"/>
              </w:rPr>
            </w:pPr>
            <w:r>
              <w:rPr>
                <w:b/>
                <w:sz w:val="21"/>
              </w:rPr>
              <w:t>3.2</w:t>
            </w:r>
          </w:p>
        </w:tc>
        <w:tc>
          <w:tcPr>
            <w:tcW w:w="1717" w:type="dxa"/>
          </w:tcPr>
          <w:p>
            <w:pPr>
              <w:pStyle w:val="TableParagraph"/>
              <w:spacing w:line="255" w:lineRule="exact" w:before="138"/>
              <w:ind w:left="247"/>
              <w:rPr>
                <w:b/>
                <w:sz w:val="21"/>
              </w:rPr>
            </w:pPr>
            <w:r>
              <w:rPr>
                <w:b/>
                <w:sz w:val="21"/>
              </w:rPr>
              <w:t>续保</w:t>
            </w:r>
          </w:p>
        </w:tc>
        <w:tc>
          <w:tcPr>
            <w:tcW w:w="7234" w:type="dxa"/>
          </w:tcPr>
          <w:p>
            <w:pPr>
              <w:pStyle w:val="TableParagraph"/>
              <w:spacing w:line="255" w:lineRule="exact" w:before="138"/>
              <w:rPr>
                <w:sz w:val="21"/>
              </w:rPr>
            </w:pPr>
            <w:r>
              <w:rPr>
                <w:spacing w:val="-7"/>
                <w:sz w:val="21"/>
              </w:rPr>
              <w:t>保险期间届满前 </w:t>
            </w:r>
            <w:r>
              <w:rPr>
                <w:sz w:val="21"/>
              </w:rPr>
              <w:t>30</w:t>
            </w:r>
            <w:r>
              <w:rPr>
                <w:spacing w:val="-9"/>
                <w:sz w:val="21"/>
              </w:rPr>
              <w:t> 日内，投保人提出申请，经本公司同意后可续保本保险，</w:t>
            </w:r>
          </w:p>
        </w:tc>
      </w:tr>
    </w:tbl>
    <w:p>
      <w:pPr>
        <w:spacing w:after="0" w:line="255" w:lineRule="exact"/>
        <w:rPr>
          <w:sz w:val="21"/>
        </w:rPr>
        <w:sectPr>
          <w:pgSz w:w="11910" w:h="16840"/>
          <w:pgMar w:top="1460" w:bottom="280" w:left="1080" w:right="9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1717"/>
        <w:gridCol w:w="7235"/>
      </w:tblGrid>
      <w:tr>
        <w:trPr>
          <w:trHeight w:val="1116" w:hRule="atLeast"/>
        </w:trPr>
        <w:tc>
          <w:tcPr>
            <w:tcW w:w="713" w:type="dxa"/>
          </w:tcPr>
          <w:p>
            <w:pPr>
              <w:pStyle w:val="TableParagraph"/>
              <w:spacing w:before="0"/>
              <w:ind w:left="0"/>
              <w:rPr>
                <w:rFonts w:ascii="Times New Roman"/>
                <w:sz w:val="20"/>
              </w:rPr>
            </w:pPr>
          </w:p>
        </w:tc>
        <w:tc>
          <w:tcPr>
            <w:tcW w:w="1717" w:type="dxa"/>
          </w:tcPr>
          <w:p>
            <w:pPr>
              <w:pStyle w:val="TableParagraph"/>
              <w:spacing w:before="0"/>
              <w:ind w:left="0"/>
              <w:rPr>
                <w:rFonts w:ascii="Times New Roman"/>
                <w:sz w:val="20"/>
              </w:rPr>
            </w:pPr>
          </w:p>
        </w:tc>
        <w:tc>
          <w:tcPr>
            <w:tcW w:w="7235" w:type="dxa"/>
          </w:tcPr>
          <w:p>
            <w:pPr>
              <w:pStyle w:val="TableParagraph"/>
              <w:spacing w:line="211" w:lineRule="exact" w:before="0"/>
              <w:rPr>
                <w:sz w:val="21"/>
              </w:rPr>
            </w:pPr>
            <w:r>
              <w:rPr>
                <w:sz w:val="21"/>
              </w:rPr>
              <w:t>本公司将按照续保当时被保险人的年龄收取保险费。</w:t>
            </w:r>
          </w:p>
          <w:p>
            <w:pPr>
              <w:pStyle w:val="TableParagraph"/>
              <w:spacing w:line="300" w:lineRule="auto"/>
              <w:ind w:right="97"/>
              <w:rPr>
                <w:sz w:val="21"/>
              </w:rPr>
            </w:pPr>
            <w:r>
              <w:rPr>
                <w:sz w:val="21"/>
              </w:rPr>
              <w:t>本公司有权调整本保险的保险费率，经调整的保险费率将通知投保人，自续保起适用。</w:t>
            </w:r>
          </w:p>
        </w:tc>
      </w:tr>
      <w:tr>
        <w:trPr>
          <w:trHeight w:val="741" w:hRule="atLeast"/>
        </w:trPr>
        <w:tc>
          <w:tcPr>
            <w:tcW w:w="713" w:type="dxa"/>
            <w:tcBorders>
              <w:bottom w:val="single" w:sz="8" w:space="0" w:color="000000"/>
            </w:tcBorders>
          </w:tcPr>
          <w:p>
            <w:pPr>
              <w:pStyle w:val="TableParagraph"/>
              <w:spacing w:before="182"/>
              <w:ind w:left="108"/>
              <w:rPr>
                <w:rFonts w:ascii="Arial" w:hAnsi="Arial"/>
                <w:b/>
                <w:sz w:val="40"/>
              </w:rPr>
            </w:pPr>
            <w:r>
              <w:rPr>
                <w:rFonts w:ascii="Arial" w:hAnsi="Arial"/>
                <w:b/>
                <w:w w:val="119"/>
                <w:sz w:val="40"/>
              </w:rPr>
              <w:t></w:t>
            </w:r>
          </w:p>
        </w:tc>
        <w:tc>
          <w:tcPr>
            <w:tcW w:w="8952" w:type="dxa"/>
            <w:gridSpan w:val="2"/>
            <w:tcBorders>
              <w:bottom w:val="single" w:sz="8" w:space="0" w:color="000000"/>
            </w:tcBorders>
          </w:tcPr>
          <w:p>
            <w:pPr>
              <w:pStyle w:val="TableParagraph"/>
              <w:spacing w:before="0"/>
              <w:ind w:left="0"/>
              <w:rPr>
                <w:b/>
                <w:sz w:val="18"/>
              </w:rPr>
            </w:pPr>
          </w:p>
          <w:p>
            <w:pPr>
              <w:pStyle w:val="TableParagraph"/>
              <w:spacing w:before="0"/>
              <w:ind w:left="247"/>
              <w:rPr>
                <w:b/>
                <w:sz w:val="24"/>
              </w:rPr>
            </w:pPr>
            <w:r>
              <w:rPr>
                <w:b/>
                <w:w w:val="95"/>
                <w:sz w:val="24"/>
              </w:rPr>
              <w:t>如何申请领取保险金</w:t>
            </w:r>
          </w:p>
        </w:tc>
      </w:tr>
      <w:tr>
        <w:trPr>
          <w:trHeight w:val="1716" w:hRule="atLeast"/>
        </w:trPr>
        <w:tc>
          <w:tcPr>
            <w:tcW w:w="713" w:type="dxa"/>
            <w:tcBorders>
              <w:top w:val="single" w:sz="8" w:space="0" w:color="000000"/>
            </w:tcBorders>
          </w:tcPr>
          <w:p>
            <w:pPr>
              <w:pStyle w:val="TableParagraph"/>
              <w:spacing w:before="0"/>
              <w:ind w:left="0"/>
              <w:rPr>
                <w:b/>
                <w:sz w:val="16"/>
              </w:rPr>
            </w:pPr>
          </w:p>
          <w:p>
            <w:pPr>
              <w:pStyle w:val="TableParagraph"/>
              <w:spacing w:before="1"/>
              <w:ind w:left="108"/>
              <w:rPr>
                <w:b/>
                <w:sz w:val="21"/>
              </w:rPr>
            </w:pPr>
            <w:r>
              <w:rPr>
                <w:b/>
                <w:sz w:val="21"/>
              </w:rPr>
              <w:t>4.1</w:t>
            </w:r>
          </w:p>
        </w:tc>
        <w:tc>
          <w:tcPr>
            <w:tcW w:w="1717" w:type="dxa"/>
            <w:tcBorders>
              <w:top w:val="single" w:sz="8" w:space="0" w:color="000000"/>
            </w:tcBorders>
          </w:tcPr>
          <w:p>
            <w:pPr>
              <w:pStyle w:val="TableParagraph"/>
              <w:spacing w:before="0"/>
              <w:ind w:left="0"/>
              <w:rPr>
                <w:b/>
                <w:sz w:val="16"/>
              </w:rPr>
            </w:pPr>
          </w:p>
          <w:p>
            <w:pPr>
              <w:pStyle w:val="TableParagraph"/>
              <w:spacing w:before="1"/>
              <w:ind w:left="247"/>
              <w:rPr>
                <w:b/>
                <w:sz w:val="21"/>
              </w:rPr>
            </w:pPr>
            <w:r>
              <w:rPr>
                <w:b/>
                <w:sz w:val="21"/>
              </w:rPr>
              <w:t>保险金受益人</w:t>
            </w:r>
          </w:p>
        </w:tc>
        <w:tc>
          <w:tcPr>
            <w:tcW w:w="7235" w:type="dxa"/>
            <w:tcBorders>
              <w:top w:val="single" w:sz="8" w:space="0" w:color="000000"/>
            </w:tcBorders>
          </w:tcPr>
          <w:p>
            <w:pPr>
              <w:pStyle w:val="TableParagraph"/>
              <w:spacing w:before="0"/>
              <w:ind w:left="0"/>
              <w:rPr>
                <w:b/>
                <w:sz w:val="16"/>
              </w:rPr>
            </w:pPr>
          </w:p>
          <w:p>
            <w:pPr>
              <w:pStyle w:val="TableParagraph"/>
              <w:spacing w:before="1"/>
              <w:rPr>
                <w:sz w:val="21"/>
              </w:rPr>
            </w:pPr>
            <w:r>
              <w:rPr>
                <w:sz w:val="21"/>
              </w:rPr>
              <w:t>除另有约定，</w:t>
            </w:r>
            <w:r>
              <w:rPr>
                <w:rFonts w:ascii="黑体" w:eastAsia="黑体" w:hint="eastAsia"/>
                <w:sz w:val="21"/>
              </w:rPr>
              <w:t>重大疾病保险金的受益人为被保险人本人</w:t>
            </w:r>
            <w:r>
              <w:rPr>
                <w:sz w:val="21"/>
              </w:rPr>
              <w:t>。</w:t>
            </w:r>
          </w:p>
          <w:p>
            <w:pPr>
              <w:pStyle w:val="TableParagraph"/>
              <w:spacing w:line="300" w:lineRule="auto"/>
              <w:ind w:right="200"/>
              <w:rPr>
                <w:sz w:val="21"/>
              </w:rPr>
            </w:pPr>
            <w:r>
              <w:rPr>
                <w:spacing w:val="-3"/>
                <w:sz w:val="21"/>
              </w:rPr>
              <w:t>被保险人初次发生且经本公司认可的医疗机构确诊患本合同所指的重大疾</w:t>
            </w:r>
            <w:r>
              <w:rPr>
                <w:spacing w:val="-7"/>
                <w:sz w:val="21"/>
              </w:rPr>
              <w:t>病，并且自确诊之日起 </w:t>
            </w:r>
            <w:r>
              <w:rPr>
                <w:sz w:val="21"/>
              </w:rPr>
              <w:t>30</w:t>
            </w:r>
            <w:r>
              <w:rPr>
                <w:spacing w:val="-8"/>
                <w:sz w:val="21"/>
              </w:rPr>
              <w:t> 天后仍生存，但未及领取保险金而身故时，保险</w:t>
            </w:r>
            <w:r>
              <w:rPr>
                <w:spacing w:val="-5"/>
                <w:sz w:val="21"/>
              </w:rPr>
              <w:t>金作为被保险人的遗产处理。</w:t>
            </w:r>
          </w:p>
        </w:tc>
      </w:tr>
      <w:tr>
        <w:trPr>
          <w:trHeight w:val="2330" w:hRule="atLeast"/>
        </w:trPr>
        <w:tc>
          <w:tcPr>
            <w:tcW w:w="713" w:type="dxa"/>
          </w:tcPr>
          <w:p>
            <w:pPr>
              <w:pStyle w:val="TableParagraph"/>
              <w:spacing w:before="138"/>
              <w:ind w:left="108"/>
              <w:rPr>
                <w:b/>
                <w:sz w:val="21"/>
              </w:rPr>
            </w:pPr>
            <w:r>
              <w:rPr>
                <w:b/>
                <w:sz w:val="21"/>
              </w:rPr>
              <w:t>4.2</w:t>
            </w:r>
          </w:p>
        </w:tc>
        <w:tc>
          <w:tcPr>
            <w:tcW w:w="1717" w:type="dxa"/>
          </w:tcPr>
          <w:p>
            <w:pPr>
              <w:pStyle w:val="TableParagraph"/>
              <w:spacing w:before="138"/>
              <w:ind w:left="247"/>
              <w:rPr>
                <w:b/>
                <w:sz w:val="21"/>
              </w:rPr>
            </w:pPr>
            <w:r>
              <w:rPr>
                <w:b/>
                <w:sz w:val="21"/>
              </w:rPr>
              <w:t>保险事故通知</w:t>
            </w:r>
          </w:p>
        </w:tc>
        <w:tc>
          <w:tcPr>
            <w:tcW w:w="7235" w:type="dxa"/>
          </w:tcPr>
          <w:p>
            <w:pPr>
              <w:pStyle w:val="TableParagraph"/>
              <w:spacing w:before="138"/>
              <w:rPr>
                <w:sz w:val="21"/>
              </w:rPr>
            </w:pPr>
            <w:r>
              <w:rPr>
                <w:sz w:val="21"/>
              </w:rPr>
              <w:t>投保人或受益人应当在知道保险事故发生后 10 日内通知本公司。</w:t>
            </w:r>
          </w:p>
          <w:p>
            <w:pPr>
              <w:pStyle w:val="TableParagraph"/>
              <w:spacing w:line="300" w:lineRule="auto"/>
              <w:ind w:right="99"/>
              <w:rPr>
                <w:sz w:val="21"/>
              </w:rPr>
            </w:pPr>
            <w:r>
              <w:rPr>
                <w:rFonts w:ascii="黑体" w:eastAsia="黑体" w:hint="eastAsia"/>
                <w:spacing w:val="-3"/>
                <w:sz w:val="21"/>
              </w:rPr>
              <w:t>如果投保人或受益人故意或者因重大过失未及时通知，致使保险事故的性 </w:t>
            </w:r>
            <w:r>
              <w:rPr>
                <w:rFonts w:ascii="黑体" w:eastAsia="黑体" w:hint="eastAsia"/>
                <w:spacing w:val="-5"/>
                <w:sz w:val="21"/>
              </w:rPr>
              <w:t>质、原因、损失程度等难以确定的，本公司对无法确定的部分不承担给付保</w:t>
            </w:r>
            <w:r>
              <w:rPr>
                <w:rFonts w:ascii="黑体" w:eastAsia="黑体" w:hint="eastAsia"/>
                <w:spacing w:val="-4"/>
                <w:sz w:val="21"/>
              </w:rPr>
              <w:t>险金的责任</w:t>
            </w:r>
            <w:r>
              <w:rPr>
                <w:spacing w:val="-4"/>
                <w:sz w:val="21"/>
              </w:rPr>
              <w:t>，但本公司通过其他途径已经及时知道或者应当及时知道保险事故发生或者虽然未及时通知但不影响本公司确定保险事故的性质、原因、损</w:t>
            </w:r>
            <w:r>
              <w:rPr>
                <w:spacing w:val="-3"/>
                <w:sz w:val="21"/>
              </w:rPr>
              <w:t>失程度的除外。</w:t>
            </w:r>
          </w:p>
        </w:tc>
      </w:tr>
      <w:tr>
        <w:trPr>
          <w:trHeight w:val="4391" w:hRule="atLeast"/>
        </w:trPr>
        <w:tc>
          <w:tcPr>
            <w:tcW w:w="713" w:type="dxa"/>
          </w:tcPr>
          <w:p>
            <w:pPr>
              <w:pStyle w:val="TableParagraph"/>
              <w:spacing w:before="138"/>
              <w:ind w:left="108"/>
              <w:rPr>
                <w:b/>
                <w:sz w:val="21"/>
              </w:rPr>
            </w:pPr>
            <w:r>
              <w:rPr>
                <w:b/>
                <w:sz w:val="21"/>
              </w:rPr>
              <w:t>4.3</w:t>
            </w:r>
          </w:p>
        </w:tc>
        <w:tc>
          <w:tcPr>
            <w:tcW w:w="1717" w:type="dxa"/>
          </w:tcPr>
          <w:p>
            <w:pPr>
              <w:pStyle w:val="TableParagraph"/>
              <w:spacing w:before="138"/>
              <w:ind w:left="247"/>
              <w:rPr>
                <w:b/>
                <w:sz w:val="21"/>
              </w:rPr>
            </w:pPr>
            <w:r>
              <w:rPr>
                <w:b/>
                <w:sz w:val="21"/>
              </w:rPr>
              <w:t>保险金申请</w:t>
            </w:r>
          </w:p>
        </w:tc>
        <w:tc>
          <w:tcPr>
            <w:tcW w:w="7235" w:type="dxa"/>
          </w:tcPr>
          <w:p>
            <w:pPr>
              <w:pStyle w:val="TableParagraph"/>
              <w:spacing w:before="138"/>
              <w:rPr>
                <w:sz w:val="21"/>
              </w:rPr>
            </w:pPr>
            <w:r>
              <w:rPr>
                <w:sz w:val="21"/>
              </w:rPr>
              <w:t>由受益人作为申请人填写保险金给付申请书，并须提供下列证明和资料：</w:t>
            </w:r>
          </w:p>
          <w:p>
            <w:pPr>
              <w:pStyle w:val="TableParagraph"/>
              <w:numPr>
                <w:ilvl w:val="0"/>
                <w:numId w:val="8"/>
              </w:numPr>
              <w:tabs>
                <w:tab w:pos="564" w:val="left" w:leader="none"/>
              </w:tabs>
              <w:spacing w:line="240" w:lineRule="auto" w:before="68" w:after="0"/>
              <w:ind w:left="563" w:right="0" w:hanging="360"/>
              <w:jc w:val="left"/>
              <w:rPr>
                <w:sz w:val="21"/>
              </w:rPr>
            </w:pPr>
            <w:r>
              <w:rPr>
                <w:spacing w:val="-3"/>
                <w:sz w:val="21"/>
              </w:rPr>
              <w:t>保险单及投保单位证明；</w:t>
            </w:r>
          </w:p>
          <w:p>
            <w:pPr>
              <w:pStyle w:val="TableParagraph"/>
              <w:numPr>
                <w:ilvl w:val="0"/>
                <w:numId w:val="8"/>
              </w:numPr>
              <w:tabs>
                <w:tab w:pos="564" w:val="left" w:leader="none"/>
              </w:tabs>
              <w:spacing w:line="240" w:lineRule="auto" w:before="68" w:after="0"/>
              <w:ind w:left="563" w:right="0" w:hanging="360"/>
              <w:jc w:val="left"/>
              <w:rPr>
                <w:sz w:val="21"/>
              </w:rPr>
            </w:pPr>
            <w:r>
              <w:rPr>
                <w:spacing w:val="-2"/>
                <w:w w:val="100"/>
                <w:sz w:val="21"/>
              </w:rPr>
              <w:t>受益人的</w:t>
            </w:r>
            <w:r>
              <w:rPr>
                <w:b/>
                <w:w w:val="100"/>
                <w:sz w:val="21"/>
              </w:rPr>
              <w:t>有效身份证件</w:t>
            </w:r>
            <w:r>
              <w:rPr>
                <w:spacing w:val="-3"/>
                <w:w w:val="100"/>
                <w:sz w:val="21"/>
              </w:rPr>
              <w:t>（</w:t>
            </w:r>
            <w:r>
              <w:rPr>
                <w:spacing w:val="-2"/>
                <w:w w:val="100"/>
                <w:sz w:val="21"/>
              </w:rPr>
              <w:t>见释义</w:t>
            </w:r>
            <w:r>
              <w:rPr>
                <w:spacing w:val="-53"/>
                <w:sz w:val="21"/>
              </w:rPr>
              <w:t> </w:t>
            </w:r>
            <w:r>
              <w:rPr>
                <w:w w:val="100"/>
                <w:sz w:val="21"/>
              </w:rPr>
              <w:t>6.</w:t>
            </w:r>
            <w:r>
              <w:rPr>
                <w:spacing w:val="-3"/>
                <w:w w:val="100"/>
                <w:sz w:val="21"/>
              </w:rPr>
              <w:t>1</w:t>
            </w:r>
            <w:r>
              <w:rPr>
                <w:w w:val="100"/>
                <w:sz w:val="21"/>
              </w:rPr>
              <w:t>4</w:t>
            </w:r>
            <w:r>
              <w:rPr>
                <w:spacing w:val="-106"/>
                <w:w w:val="100"/>
                <w:sz w:val="21"/>
              </w:rPr>
              <w:t>）</w:t>
            </w:r>
            <w:r>
              <w:rPr>
                <w:w w:val="100"/>
                <w:sz w:val="21"/>
              </w:rPr>
              <w:t>；</w:t>
            </w:r>
          </w:p>
          <w:p>
            <w:pPr>
              <w:pStyle w:val="TableParagraph"/>
              <w:numPr>
                <w:ilvl w:val="0"/>
                <w:numId w:val="8"/>
              </w:numPr>
              <w:tabs>
                <w:tab w:pos="564" w:val="left" w:leader="none"/>
              </w:tabs>
              <w:spacing w:line="300" w:lineRule="auto" w:before="68" w:after="0"/>
              <w:ind w:left="563" w:right="48" w:hanging="360"/>
              <w:jc w:val="left"/>
              <w:rPr>
                <w:sz w:val="21"/>
              </w:rPr>
            </w:pPr>
            <w:r>
              <w:rPr>
                <w:spacing w:val="-3"/>
                <w:sz w:val="21"/>
              </w:rPr>
              <w:t>医院或本公司认可的其他医疗机构出具的诊断证明书(包括：完整病历、出院小结、病理组织检查报告、血液检查及其它科学方法检验报告的病史资料及疾病诊断报告书)；</w:t>
            </w:r>
          </w:p>
          <w:p>
            <w:pPr>
              <w:pStyle w:val="TableParagraph"/>
              <w:numPr>
                <w:ilvl w:val="0"/>
                <w:numId w:val="8"/>
              </w:numPr>
              <w:tabs>
                <w:tab w:pos="564" w:val="left" w:leader="none"/>
              </w:tabs>
              <w:spacing w:line="300" w:lineRule="auto" w:before="15" w:after="0"/>
              <w:ind w:left="563" w:right="152" w:hanging="360"/>
              <w:jc w:val="left"/>
              <w:rPr>
                <w:sz w:val="21"/>
              </w:rPr>
            </w:pPr>
            <w:r>
              <w:rPr>
                <w:spacing w:val="-3"/>
                <w:sz w:val="21"/>
              </w:rPr>
              <w:t>如受益人委托他人申领保险金，还需提供授权委托书及受托人的有效身份证件；</w:t>
            </w:r>
          </w:p>
          <w:p>
            <w:pPr>
              <w:pStyle w:val="TableParagraph"/>
              <w:numPr>
                <w:ilvl w:val="0"/>
                <w:numId w:val="8"/>
              </w:numPr>
              <w:tabs>
                <w:tab w:pos="564" w:val="left" w:leader="none"/>
              </w:tabs>
              <w:spacing w:line="240" w:lineRule="auto" w:before="15" w:after="0"/>
              <w:ind w:left="563" w:right="0" w:hanging="360"/>
              <w:jc w:val="left"/>
              <w:rPr>
                <w:sz w:val="21"/>
              </w:rPr>
            </w:pPr>
            <w:r>
              <w:rPr>
                <w:spacing w:val="-3"/>
                <w:sz w:val="21"/>
              </w:rPr>
              <w:t>本公司所需的其它与索赔相关的证明和资料。</w:t>
            </w:r>
          </w:p>
          <w:p>
            <w:pPr>
              <w:pStyle w:val="TableParagraph"/>
              <w:spacing w:line="300" w:lineRule="auto"/>
              <w:ind w:right="94"/>
              <w:jc w:val="both"/>
              <w:rPr>
                <w:sz w:val="21"/>
              </w:rPr>
            </w:pPr>
            <w:r>
              <w:rPr>
                <w:sz w:val="21"/>
              </w:rPr>
              <w:t>保险金作为被保险人遗产时，必须提供可证明合法继承权的相关权利文件。以上证明和资料不完整的，本公司将及时一次性通知申请人补充提供有关证明和资料。</w:t>
            </w:r>
          </w:p>
        </w:tc>
      </w:tr>
      <w:tr>
        <w:trPr>
          <w:trHeight w:val="3503" w:hRule="atLeast"/>
        </w:trPr>
        <w:tc>
          <w:tcPr>
            <w:tcW w:w="713" w:type="dxa"/>
          </w:tcPr>
          <w:p>
            <w:pPr>
              <w:pStyle w:val="TableParagraph"/>
              <w:spacing w:before="139"/>
              <w:ind w:left="108"/>
              <w:rPr>
                <w:b/>
                <w:sz w:val="21"/>
              </w:rPr>
            </w:pPr>
            <w:r>
              <w:rPr>
                <w:b/>
                <w:sz w:val="21"/>
              </w:rPr>
              <w:t>4.4</w:t>
            </w:r>
          </w:p>
        </w:tc>
        <w:tc>
          <w:tcPr>
            <w:tcW w:w="1717" w:type="dxa"/>
          </w:tcPr>
          <w:p>
            <w:pPr>
              <w:pStyle w:val="TableParagraph"/>
              <w:spacing w:before="139"/>
              <w:ind w:left="247"/>
              <w:rPr>
                <w:b/>
                <w:sz w:val="21"/>
              </w:rPr>
            </w:pPr>
            <w:r>
              <w:rPr>
                <w:b/>
                <w:sz w:val="21"/>
              </w:rPr>
              <w:t>保险金的给付</w:t>
            </w:r>
          </w:p>
        </w:tc>
        <w:tc>
          <w:tcPr>
            <w:tcW w:w="7235" w:type="dxa"/>
          </w:tcPr>
          <w:p>
            <w:pPr>
              <w:pStyle w:val="TableParagraph"/>
              <w:spacing w:before="139"/>
              <w:rPr>
                <w:sz w:val="21"/>
              </w:rPr>
            </w:pPr>
            <w:r>
              <w:rPr>
                <w:sz w:val="21"/>
              </w:rPr>
              <w:t>本公司收到申请人的保险金给付申请书及合同约定的证明和资料后，将在 5</w:t>
            </w:r>
          </w:p>
          <w:p>
            <w:pPr>
              <w:pStyle w:val="TableParagraph"/>
              <w:ind w:right="-15"/>
              <w:rPr>
                <w:sz w:val="21"/>
              </w:rPr>
            </w:pPr>
            <w:r>
              <w:rPr>
                <w:spacing w:val="-6"/>
                <w:sz w:val="21"/>
              </w:rPr>
              <w:t>日内作出核定；情形复杂的，在 </w:t>
            </w:r>
            <w:r>
              <w:rPr>
                <w:sz w:val="21"/>
              </w:rPr>
              <w:t>30</w:t>
            </w:r>
            <w:r>
              <w:rPr>
                <w:spacing w:val="-7"/>
                <w:sz w:val="21"/>
              </w:rPr>
              <w:t> 日内作出核定。本合同另有约定的除外。</w:t>
            </w:r>
          </w:p>
          <w:p>
            <w:pPr>
              <w:pStyle w:val="TableParagraph"/>
              <w:spacing w:line="300" w:lineRule="auto"/>
              <w:ind w:right="92"/>
              <w:rPr>
                <w:sz w:val="21"/>
              </w:rPr>
            </w:pPr>
            <w:r>
              <w:rPr>
                <w:spacing w:val="-5"/>
                <w:sz w:val="21"/>
              </w:rPr>
              <w:t>对属于保险责任的，在与申请人达成有关给付保险金的协议后 </w:t>
            </w:r>
            <w:r>
              <w:rPr>
                <w:sz w:val="21"/>
              </w:rPr>
              <w:t>10</w:t>
            </w:r>
            <w:r>
              <w:rPr>
                <w:spacing w:val="-11"/>
                <w:sz w:val="21"/>
              </w:rPr>
              <w:t> 日内，履</w:t>
            </w:r>
            <w:r>
              <w:rPr>
                <w:spacing w:val="-6"/>
                <w:sz w:val="21"/>
              </w:rPr>
              <w:t>行给付保险金义务。本公司未及时履行前款规定义务的，除支付保险金外， </w:t>
            </w:r>
            <w:r>
              <w:rPr>
                <w:spacing w:val="-4"/>
                <w:sz w:val="21"/>
              </w:rPr>
              <w:t>应当赔偿受益人因此受到的损失。</w:t>
            </w:r>
          </w:p>
          <w:p>
            <w:pPr>
              <w:pStyle w:val="TableParagraph"/>
              <w:spacing w:line="300" w:lineRule="auto" w:before="15"/>
              <w:ind w:right="99"/>
              <w:rPr>
                <w:sz w:val="21"/>
              </w:rPr>
            </w:pPr>
            <w:r>
              <w:rPr>
                <w:spacing w:val="-6"/>
                <w:sz w:val="21"/>
              </w:rPr>
              <w:t>对不属于保险责任的，本公司自作出核定之日起 </w:t>
            </w:r>
            <w:r>
              <w:rPr>
                <w:sz w:val="21"/>
              </w:rPr>
              <w:t>3</w:t>
            </w:r>
            <w:r>
              <w:rPr>
                <w:spacing w:val="-7"/>
                <w:sz w:val="21"/>
              </w:rPr>
              <w:t> 日内向申请人发出拒绝给</w:t>
            </w:r>
            <w:r>
              <w:rPr>
                <w:spacing w:val="-5"/>
                <w:sz w:val="21"/>
              </w:rPr>
              <w:t>付保险金通知书并说明理由。</w:t>
            </w:r>
          </w:p>
          <w:p>
            <w:pPr>
              <w:pStyle w:val="TableParagraph"/>
              <w:spacing w:before="15"/>
              <w:rPr>
                <w:sz w:val="21"/>
              </w:rPr>
            </w:pPr>
            <w:r>
              <w:rPr>
                <w:sz w:val="21"/>
              </w:rPr>
              <w:t>本公司在收到保险金给付申请书及有关证明和资料之日起 60 日内，对给付</w:t>
            </w:r>
          </w:p>
          <w:p>
            <w:pPr>
              <w:pStyle w:val="TableParagraph"/>
              <w:spacing w:line="340" w:lineRule="atLeast" w:before="3"/>
              <w:ind w:right="92"/>
              <w:rPr>
                <w:sz w:val="21"/>
              </w:rPr>
            </w:pPr>
            <w:r>
              <w:rPr>
                <w:sz w:val="21"/>
              </w:rPr>
              <w:t>保险金的数额不能确定的，根据已有证明和资料可以确定的数额先予支付； 本公司最终确定给付保险金的数额后，将支付相应的差额。</w:t>
            </w:r>
          </w:p>
        </w:tc>
      </w:tr>
    </w:tbl>
    <w:p>
      <w:pPr>
        <w:spacing w:after="0" w:line="340" w:lineRule="atLeast"/>
        <w:rPr>
          <w:sz w:val="21"/>
        </w:rPr>
        <w:sectPr>
          <w:pgSz w:w="11910" w:h="16840"/>
          <w:pgMar w:top="1460" w:bottom="280" w:left="1080" w:right="940"/>
        </w:sectPr>
      </w:pPr>
    </w:p>
    <w:p>
      <w:pPr>
        <w:pStyle w:val="BodyText"/>
        <w:spacing w:before="7" w:after="1"/>
        <w:rPr>
          <w:rFonts w:ascii="Times New Roman"/>
          <w:sz w:val="13"/>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1717"/>
        <w:gridCol w:w="7234"/>
      </w:tblGrid>
      <w:tr>
        <w:trPr>
          <w:trHeight w:val="773" w:hRule="atLeast"/>
        </w:trPr>
        <w:tc>
          <w:tcPr>
            <w:tcW w:w="713" w:type="dxa"/>
          </w:tcPr>
          <w:p>
            <w:pPr>
              <w:pStyle w:val="TableParagraph"/>
              <w:spacing w:line="211" w:lineRule="exact" w:before="0"/>
              <w:ind w:left="108"/>
              <w:rPr>
                <w:b/>
                <w:sz w:val="21"/>
              </w:rPr>
            </w:pPr>
            <w:r>
              <w:rPr>
                <w:b/>
                <w:sz w:val="21"/>
              </w:rPr>
              <w:t>4.5</w:t>
            </w:r>
          </w:p>
        </w:tc>
        <w:tc>
          <w:tcPr>
            <w:tcW w:w="1717" w:type="dxa"/>
          </w:tcPr>
          <w:p>
            <w:pPr>
              <w:pStyle w:val="TableParagraph"/>
              <w:spacing w:line="211" w:lineRule="exact" w:before="0"/>
              <w:ind w:left="247"/>
              <w:rPr>
                <w:b/>
                <w:sz w:val="21"/>
              </w:rPr>
            </w:pPr>
            <w:r>
              <w:rPr>
                <w:b/>
                <w:sz w:val="21"/>
              </w:rPr>
              <w:t>诉讼时效</w:t>
            </w:r>
          </w:p>
        </w:tc>
        <w:tc>
          <w:tcPr>
            <w:tcW w:w="7234" w:type="dxa"/>
          </w:tcPr>
          <w:p>
            <w:pPr>
              <w:pStyle w:val="TableParagraph"/>
              <w:spacing w:line="211" w:lineRule="exact" w:before="0"/>
              <w:rPr>
                <w:sz w:val="21"/>
              </w:rPr>
            </w:pPr>
            <w:r>
              <w:rPr>
                <w:spacing w:val="-5"/>
                <w:sz w:val="21"/>
              </w:rPr>
              <w:t>受益人向本公司请求给付保险金的诉讼时效期间为 </w:t>
            </w:r>
            <w:r>
              <w:rPr>
                <w:sz w:val="21"/>
              </w:rPr>
              <w:t>2</w:t>
            </w:r>
            <w:r>
              <w:rPr>
                <w:spacing w:val="-8"/>
                <w:sz w:val="21"/>
              </w:rPr>
              <w:t> 年，自其知道或应当知</w:t>
            </w:r>
          </w:p>
          <w:p>
            <w:pPr>
              <w:pStyle w:val="TableParagraph"/>
              <w:rPr>
                <w:sz w:val="21"/>
              </w:rPr>
            </w:pPr>
            <w:r>
              <w:rPr>
                <w:sz w:val="21"/>
              </w:rPr>
              <w:t>道保险事故发生之日起计算。</w:t>
            </w:r>
          </w:p>
        </w:tc>
      </w:tr>
      <w:tr>
        <w:trPr>
          <w:trHeight w:val="741" w:hRule="atLeast"/>
        </w:trPr>
        <w:tc>
          <w:tcPr>
            <w:tcW w:w="713" w:type="dxa"/>
            <w:tcBorders>
              <w:bottom w:val="single" w:sz="8" w:space="0" w:color="000000"/>
            </w:tcBorders>
          </w:tcPr>
          <w:p>
            <w:pPr>
              <w:pStyle w:val="TableParagraph"/>
              <w:spacing w:before="182"/>
              <w:ind w:left="108"/>
              <w:rPr>
                <w:rFonts w:ascii="Arial" w:hAnsi="Arial"/>
                <w:b/>
                <w:sz w:val="40"/>
              </w:rPr>
            </w:pPr>
            <w:r>
              <w:rPr>
                <w:rFonts w:ascii="Arial" w:hAnsi="Arial"/>
                <w:b/>
                <w:w w:val="119"/>
                <w:sz w:val="40"/>
              </w:rPr>
              <w:t></w:t>
            </w:r>
          </w:p>
        </w:tc>
        <w:tc>
          <w:tcPr>
            <w:tcW w:w="1717" w:type="dxa"/>
            <w:tcBorders>
              <w:bottom w:val="single" w:sz="8" w:space="0" w:color="000000"/>
            </w:tcBorders>
          </w:tcPr>
          <w:p>
            <w:pPr>
              <w:pStyle w:val="TableParagraph"/>
              <w:spacing w:before="6"/>
              <w:ind w:left="0"/>
              <w:rPr>
                <w:rFonts w:ascii="Times New Roman"/>
                <w:sz w:val="20"/>
              </w:rPr>
            </w:pPr>
          </w:p>
          <w:p>
            <w:pPr>
              <w:pStyle w:val="TableParagraph"/>
              <w:spacing w:before="0"/>
              <w:ind w:left="247"/>
              <w:rPr>
                <w:b/>
                <w:sz w:val="24"/>
              </w:rPr>
            </w:pPr>
            <w:r>
              <w:rPr>
                <w:b/>
                <w:sz w:val="24"/>
              </w:rPr>
              <w:t>其他事项</w:t>
            </w:r>
          </w:p>
        </w:tc>
        <w:tc>
          <w:tcPr>
            <w:tcW w:w="7234" w:type="dxa"/>
            <w:tcBorders>
              <w:bottom w:val="single" w:sz="8" w:space="0" w:color="000000"/>
            </w:tcBorders>
          </w:tcPr>
          <w:p>
            <w:pPr>
              <w:pStyle w:val="TableParagraph"/>
              <w:spacing w:before="0"/>
              <w:ind w:left="0"/>
              <w:rPr>
                <w:rFonts w:ascii="Times New Roman"/>
                <w:sz w:val="20"/>
              </w:rPr>
            </w:pPr>
          </w:p>
        </w:tc>
      </w:tr>
      <w:tr>
        <w:trPr>
          <w:trHeight w:val="5835" w:hRule="atLeast"/>
        </w:trPr>
        <w:tc>
          <w:tcPr>
            <w:tcW w:w="713" w:type="dxa"/>
            <w:tcBorders>
              <w:top w:val="single" w:sz="8" w:space="0" w:color="000000"/>
            </w:tcBorders>
          </w:tcPr>
          <w:p>
            <w:pPr>
              <w:pStyle w:val="TableParagraph"/>
              <w:spacing w:before="3"/>
              <w:ind w:left="0"/>
              <w:rPr>
                <w:rFonts w:ascii="Times New Roman"/>
                <w:sz w:val="18"/>
              </w:rPr>
            </w:pPr>
          </w:p>
          <w:p>
            <w:pPr>
              <w:pStyle w:val="TableParagraph"/>
              <w:spacing w:before="0"/>
              <w:ind w:left="108"/>
              <w:rPr>
                <w:b/>
                <w:sz w:val="21"/>
              </w:rPr>
            </w:pPr>
            <w:r>
              <w:rPr>
                <w:b/>
                <w:sz w:val="21"/>
              </w:rPr>
              <w:t>5.1</w:t>
            </w:r>
          </w:p>
        </w:tc>
        <w:tc>
          <w:tcPr>
            <w:tcW w:w="1717" w:type="dxa"/>
            <w:tcBorders>
              <w:top w:val="single" w:sz="8" w:space="0" w:color="000000"/>
            </w:tcBorders>
          </w:tcPr>
          <w:p>
            <w:pPr>
              <w:pStyle w:val="TableParagraph"/>
              <w:spacing w:before="3"/>
              <w:ind w:left="0"/>
              <w:rPr>
                <w:rFonts w:ascii="Times New Roman"/>
                <w:sz w:val="18"/>
              </w:rPr>
            </w:pPr>
          </w:p>
          <w:p>
            <w:pPr>
              <w:pStyle w:val="TableParagraph"/>
              <w:spacing w:line="300" w:lineRule="auto" w:before="0"/>
              <w:ind w:left="247" w:right="200"/>
              <w:rPr>
                <w:b/>
                <w:sz w:val="21"/>
              </w:rPr>
            </w:pPr>
            <w:r>
              <w:rPr>
                <w:b/>
                <w:sz w:val="21"/>
              </w:rPr>
              <w:t>明确说明与如实告知</w:t>
            </w:r>
          </w:p>
        </w:tc>
        <w:tc>
          <w:tcPr>
            <w:tcW w:w="7234" w:type="dxa"/>
            <w:tcBorders>
              <w:top w:val="single" w:sz="8" w:space="0" w:color="000000"/>
            </w:tcBorders>
          </w:tcPr>
          <w:p>
            <w:pPr>
              <w:pStyle w:val="TableParagraph"/>
              <w:spacing w:before="3"/>
              <w:ind w:left="0"/>
              <w:rPr>
                <w:rFonts w:ascii="Times New Roman"/>
                <w:sz w:val="18"/>
              </w:rPr>
            </w:pPr>
          </w:p>
          <w:p>
            <w:pPr>
              <w:pStyle w:val="TableParagraph"/>
              <w:spacing w:before="0"/>
              <w:rPr>
                <w:sz w:val="21"/>
              </w:rPr>
            </w:pPr>
            <w:r>
              <w:rPr>
                <w:sz w:val="21"/>
              </w:rPr>
              <w:t>订立本主险合同时，本公司应向投保人明确说明本主险合同的内容。</w:t>
            </w:r>
          </w:p>
          <w:p>
            <w:pPr>
              <w:pStyle w:val="TableParagraph"/>
              <w:spacing w:line="300" w:lineRule="auto"/>
              <w:ind w:right="91"/>
              <w:rPr>
                <w:sz w:val="21"/>
              </w:rPr>
            </w:pPr>
            <w:r>
              <w:rPr>
                <w:spacing w:val="-3"/>
                <w:sz w:val="21"/>
              </w:rPr>
              <w:t>对保险条款中免除本公司责任的条款，本公司在订立合同时应当在投保单、</w:t>
            </w:r>
            <w:r>
              <w:rPr>
                <w:spacing w:val="-4"/>
                <w:sz w:val="21"/>
              </w:rPr>
              <w:t>保险单或者其他保险凭证上作出足以引起投保人注意的提示，并对该条款的</w:t>
            </w:r>
            <w:r>
              <w:rPr>
                <w:spacing w:val="-3"/>
                <w:sz w:val="21"/>
              </w:rPr>
              <w:t>内容以书面或者口头形式向投保人作出明确说明，未作提示或者明确说明 的，该条款不产生效力。</w:t>
            </w:r>
          </w:p>
          <w:p>
            <w:pPr>
              <w:pStyle w:val="TableParagraph"/>
              <w:spacing w:line="300" w:lineRule="auto" w:before="16"/>
              <w:ind w:right="98"/>
              <w:rPr>
                <w:rFonts w:ascii="黑体" w:eastAsia="黑体" w:hint="eastAsia"/>
                <w:sz w:val="21"/>
              </w:rPr>
            </w:pPr>
            <w:r>
              <w:rPr>
                <w:spacing w:val="-3"/>
                <w:sz w:val="21"/>
              </w:rPr>
              <w:t>本公司就投保人、被保险人的有关情况提出询问，投保人应当如实告知。 </w:t>
            </w:r>
            <w:r>
              <w:rPr>
                <w:rFonts w:ascii="黑体" w:eastAsia="黑体" w:hint="eastAsia"/>
                <w:spacing w:val="-4"/>
                <w:sz w:val="21"/>
              </w:rPr>
              <w:t>如果投保人故意或者因重大过失未履行前款规定的如实告知义务，足以影响</w:t>
            </w:r>
            <w:r>
              <w:rPr>
                <w:rFonts w:ascii="黑体" w:eastAsia="黑体" w:hint="eastAsia"/>
                <w:spacing w:val="-3"/>
                <w:sz w:val="21"/>
              </w:rPr>
              <w:t>本公司决定是否同意承保或者提高保险费率的，本公司有权解除本主险合 同。</w:t>
            </w:r>
          </w:p>
          <w:p>
            <w:pPr>
              <w:pStyle w:val="TableParagraph"/>
              <w:spacing w:line="300" w:lineRule="auto" w:before="16"/>
              <w:ind w:right="98"/>
              <w:rPr>
                <w:rFonts w:ascii="黑体" w:eastAsia="黑体" w:hint="eastAsia"/>
                <w:sz w:val="21"/>
              </w:rPr>
            </w:pPr>
            <w:r>
              <w:rPr>
                <w:rFonts w:ascii="黑体" w:eastAsia="黑体" w:hint="eastAsia"/>
                <w:sz w:val="21"/>
              </w:rPr>
              <w:t>如果投保人故意不履行如实告知义务，对于本主险合同解除前发Th的保险事故，本公司不承担给付保险金的责任，并不退还保险费。</w:t>
            </w:r>
          </w:p>
          <w:p>
            <w:pPr>
              <w:pStyle w:val="TableParagraph"/>
              <w:spacing w:line="300" w:lineRule="auto" w:before="16"/>
              <w:ind w:right="98"/>
              <w:jc w:val="both"/>
              <w:rPr>
                <w:rFonts w:ascii="黑体" w:eastAsia="黑体" w:hint="eastAsia"/>
                <w:sz w:val="21"/>
              </w:rPr>
            </w:pPr>
            <w:r>
              <w:rPr>
                <w:rFonts w:ascii="黑体" w:eastAsia="黑体" w:hint="eastAsia"/>
                <w:sz w:val="21"/>
              </w:rPr>
              <w:t>如果投保人因重大过失未履行如实告知义务，对保险事故的发Th有严重影响的，对于本主险合同解除前发Th的保险事故，本公司不承担给付保险金的责任，但应当退还保险费。</w:t>
            </w:r>
          </w:p>
          <w:p>
            <w:pPr>
              <w:pStyle w:val="TableParagraph"/>
              <w:spacing w:line="300" w:lineRule="auto" w:before="16"/>
              <w:ind w:right="98"/>
              <w:rPr>
                <w:sz w:val="21"/>
              </w:rPr>
            </w:pPr>
            <w:r>
              <w:rPr>
                <w:sz w:val="21"/>
              </w:rPr>
              <w:t>本公司在合同订立时已经知道投保人未如实告知的情况的，本公司不得解除本主险合同；发生保险事故的，本公司承担给付保险金的责任。</w:t>
            </w:r>
          </w:p>
        </w:tc>
      </w:tr>
      <w:tr>
        <w:trPr>
          <w:trHeight w:val="958" w:hRule="atLeast"/>
        </w:trPr>
        <w:tc>
          <w:tcPr>
            <w:tcW w:w="713" w:type="dxa"/>
          </w:tcPr>
          <w:p>
            <w:pPr>
              <w:pStyle w:val="TableParagraph"/>
              <w:spacing w:before="138"/>
              <w:ind w:left="108"/>
              <w:rPr>
                <w:b/>
                <w:sz w:val="21"/>
              </w:rPr>
            </w:pPr>
            <w:r>
              <w:rPr>
                <w:b/>
                <w:sz w:val="21"/>
              </w:rPr>
              <w:t>5.2</w:t>
            </w:r>
          </w:p>
        </w:tc>
        <w:tc>
          <w:tcPr>
            <w:tcW w:w="1717" w:type="dxa"/>
          </w:tcPr>
          <w:p>
            <w:pPr>
              <w:pStyle w:val="TableParagraph"/>
              <w:spacing w:line="300" w:lineRule="auto" w:before="138"/>
              <w:ind w:left="247" w:right="200"/>
              <w:rPr>
                <w:b/>
                <w:sz w:val="21"/>
              </w:rPr>
            </w:pPr>
            <w:r>
              <w:rPr>
                <w:b/>
                <w:sz w:val="21"/>
              </w:rPr>
              <w:t>本公司合同解除权的限制</w:t>
            </w:r>
          </w:p>
        </w:tc>
        <w:tc>
          <w:tcPr>
            <w:tcW w:w="7234" w:type="dxa"/>
          </w:tcPr>
          <w:p>
            <w:pPr>
              <w:pStyle w:val="TableParagraph"/>
              <w:spacing w:line="300" w:lineRule="auto" w:before="138"/>
              <w:ind w:right="196"/>
              <w:rPr>
                <w:sz w:val="21"/>
              </w:rPr>
            </w:pPr>
            <w:r>
              <w:rPr>
                <w:spacing w:val="-5"/>
                <w:sz w:val="21"/>
              </w:rPr>
              <w:t>以上规定的合同解除权，自本公司知道有解除事由之日起，超过 </w:t>
            </w:r>
            <w:r>
              <w:rPr>
                <w:sz w:val="21"/>
              </w:rPr>
              <w:t>30</w:t>
            </w:r>
            <w:r>
              <w:rPr>
                <w:spacing w:val="-11"/>
                <w:sz w:val="21"/>
              </w:rPr>
              <w:t> 日不行</w:t>
            </w:r>
            <w:r>
              <w:rPr>
                <w:spacing w:val="-6"/>
                <w:sz w:val="21"/>
              </w:rPr>
              <w:t>使而消灭。</w:t>
            </w:r>
          </w:p>
        </w:tc>
      </w:tr>
      <w:tr>
        <w:trPr>
          <w:trHeight w:val="4391" w:hRule="atLeast"/>
        </w:trPr>
        <w:tc>
          <w:tcPr>
            <w:tcW w:w="713" w:type="dxa"/>
          </w:tcPr>
          <w:p>
            <w:pPr>
              <w:pStyle w:val="TableParagraph"/>
              <w:spacing w:before="139"/>
              <w:ind w:left="108"/>
              <w:rPr>
                <w:b/>
                <w:sz w:val="21"/>
              </w:rPr>
            </w:pPr>
            <w:r>
              <w:rPr>
                <w:b/>
                <w:sz w:val="21"/>
              </w:rPr>
              <w:t>5.3</w:t>
            </w:r>
          </w:p>
        </w:tc>
        <w:tc>
          <w:tcPr>
            <w:tcW w:w="1717" w:type="dxa"/>
          </w:tcPr>
          <w:p>
            <w:pPr>
              <w:pStyle w:val="TableParagraph"/>
              <w:spacing w:before="139"/>
              <w:ind w:left="247"/>
              <w:rPr>
                <w:b/>
                <w:sz w:val="21"/>
              </w:rPr>
            </w:pPr>
            <w:r>
              <w:rPr>
                <w:b/>
                <w:sz w:val="21"/>
              </w:rPr>
              <w:t>年龄性别错误</w:t>
            </w:r>
          </w:p>
        </w:tc>
        <w:tc>
          <w:tcPr>
            <w:tcW w:w="7234" w:type="dxa"/>
          </w:tcPr>
          <w:p>
            <w:pPr>
              <w:pStyle w:val="TableParagraph"/>
              <w:spacing w:before="139"/>
              <w:rPr>
                <w:sz w:val="21"/>
              </w:rPr>
            </w:pPr>
            <w:r>
              <w:rPr>
                <w:sz w:val="21"/>
              </w:rPr>
              <w:t>一、被保险人的年龄以周岁计算。</w:t>
            </w:r>
          </w:p>
          <w:p>
            <w:pPr>
              <w:pStyle w:val="TableParagraph"/>
              <w:spacing w:line="300" w:lineRule="auto"/>
              <w:ind w:right="93"/>
              <w:rPr>
                <w:sz w:val="21"/>
              </w:rPr>
            </w:pPr>
            <w:r>
              <w:rPr>
                <w:sz w:val="21"/>
              </w:rPr>
              <w:t>二、投保人在申请投保时，应将与有效身份证件相符的被保险人的出生日期和性别在投保单上填明，如果发生错误则对该被保险人按照下列规定办理：</w:t>
            </w:r>
          </w:p>
          <w:p>
            <w:pPr>
              <w:pStyle w:val="TableParagraph"/>
              <w:spacing w:line="300" w:lineRule="auto" w:before="15"/>
              <w:ind w:right="98"/>
              <w:rPr>
                <w:sz w:val="21"/>
              </w:rPr>
            </w:pPr>
            <w:r>
              <w:rPr>
                <w:sz w:val="21"/>
              </w:rPr>
              <w:t>（1）</w:t>
            </w:r>
            <w:r>
              <w:rPr>
                <w:rFonts w:ascii="黑体" w:hAnsi="黑体" w:eastAsia="黑体" w:hint="eastAsia"/>
                <w:spacing w:val="-3"/>
                <w:sz w:val="21"/>
              </w:rPr>
              <w:t>投保人申报的被保险人年龄不真实，并且其真实年龄不符合本主险合同约定的投保年龄限制的，在保险事故发</w:t>
            </w:r>
            <w:r>
              <w:rPr>
                <w:rFonts w:ascii="黑体" w:hAnsi="黑体" w:eastAsia="黑体" w:hint="eastAsia"/>
                <w:sz w:val="21"/>
              </w:rPr>
              <w:t>Th</w:t>
            </w:r>
            <w:r>
              <w:rPr>
                <w:rFonts w:ascii="黑体" w:hAnsi="黑体" w:eastAsia="黑体" w:hint="eastAsia"/>
                <w:spacing w:val="-3"/>
                <w:sz w:val="21"/>
              </w:rPr>
              <w:t>之前本公司有权解除本主险合 同，并向投保人退还保险单的现金价值</w:t>
            </w:r>
            <w:r>
              <w:rPr>
                <w:spacing w:val="-3"/>
                <w:sz w:val="21"/>
              </w:rPr>
              <w:t>。本公司行使合同解除权适用“本公司合同解除权的限制”的规定。</w:t>
            </w:r>
          </w:p>
          <w:p>
            <w:pPr>
              <w:pStyle w:val="TableParagraph"/>
              <w:spacing w:line="300" w:lineRule="auto" w:before="15"/>
              <w:ind w:right="94"/>
              <w:rPr>
                <w:sz w:val="21"/>
              </w:rPr>
            </w:pPr>
            <w:r>
              <w:rPr>
                <w:sz w:val="21"/>
              </w:rPr>
              <w:t>（2）投保人申报的被保险人年龄或性别不真实，致使投保人的实付保险费少于应付保险费的，本公司有权更正并要求投保人补交保险费；若已发生保险事故，本公司在给付保险金时按实交保险费和应交保险费的比例给付。</w:t>
            </w:r>
          </w:p>
          <w:p>
            <w:pPr>
              <w:pStyle w:val="TableParagraph"/>
              <w:spacing w:line="300" w:lineRule="auto" w:before="15"/>
              <w:ind w:right="199"/>
              <w:rPr>
                <w:sz w:val="21"/>
              </w:rPr>
            </w:pPr>
            <w:r>
              <w:rPr>
                <w:sz w:val="21"/>
              </w:rPr>
              <w:t>（3）投保人申报的被保险人年龄或性别不真实，致使投保人实付保险费多于应付保险费的，本公司将多收的保险费退还给投保人。</w:t>
            </w:r>
          </w:p>
        </w:tc>
      </w:tr>
      <w:tr>
        <w:trPr>
          <w:trHeight w:val="756" w:hRule="atLeast"/>
        </w:trPr>
        <w:tc>
          <w:tcPr>
            <w:tcW w:w="713" w:type="dxa"/>
          </w:tcPr>
          <w:p>
            <w:pPr>
              <w:pStyle w:val="TableParagraph"/>
              <w:spacing w:before="137"/>
              <w:ind w:left="108"/>
              <w:rPr>
                <w:b/>
                <w:sz w:val="21"/>
              </w:rPr>
            </w:pPr>
            <w:r>
              <w:rPr>
                <w:b/>
                <w:sz w:val="21"/>
              </w:rPr>
              <w:t>5.4</w:t>
            </w:r>
          </w:p>
        </w:tc>
        <w:tc>
          <w:tcPr>
            <w:tcW w:w="1717" w:type="dxa"/>
          </w:tcPr>
          <w:p>
            <w:pPr>
              <w:pStyle w:val="TableParagraph"/>
              <w:spacing w:before="137"/>
              <w:ind w:left="247"/>
              <w:rPr>
                <w:b/>
                <w:sz w:val="21"/>
              </w:rPr>
            </w:pPr>
            <w:r>
              <w:rPr>
                <w:b/>
                <w:sz w:val="21"/>
              </w:rPr>
              <w:t>被保险人变动</w:t>
            </w:r>
          </w:p>
        </w:tc>
        <w:tc>
          <w:tcPr>
            <w:tcW w:w="7234" w:type="dxa"/>
          </w:tcPr>
          <w:p>
            <w:pPr>
              <w:pStyle w:val="TableParagraph"/>
              <w:spacing w:line="340" w:lineRule="atLeast" w:before="72"/>
              <w:ind w:right="98"/>
              <w:rPr>
                <w:sz w:val="21"/>
              </w:rPr>
            </w:pPr>
            <w:r>
              <w:rPr>
                <w:b/>
                <w:sz w:val="21"/>
              </w:rPr>
              <w:t>一、</w:t>
            </w:r>
            <w:r>
              <w:rPr>
                <w:sz w:val="21"/>
              </w:rPr>
              <w:t>投保人因在职人员变动需要增加被保险人的，应书面通知本公司，本公司审核同意并按照极短期保险费收取相应的保险费后，对新增加的被保险人</w:t>
            </w:r>
          </w:p>
        </w:tc>
      </w:tr>
    </w:tbl>
    <w:p>
      <w:pPr>
        <w:spacing w:after="0" w:line="340" w:lineRule="atLeast"/>
        <w:rPr>
          <w:sz w:val="21"/>
        </w:rPr>
        <w:sectPr>
          <w:pgSz w:w="11910" w:h="16840"/>
          <w:pgMar w:top="1580" w:bottom="280" w:left="1080" w:right="9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1717"/>
        <w:gridCol w:w="7234"/>
      </w:tblGrid>
      <w:tr>
        <w:trPr>
          <w:trHeight w:val="4188" w:hRule="atLeast"/>
        </w:trPr>
        <w:tc>
          <w:tcPr>
            <w:tcW w:w="713" w:type="dxa"/>
          </w:tcPr>
          <w:p>
            <w:pPr>
              <w:pStyle w:val="TableParagraph"/>
              <w:spacing w:before="0"/>
              <w:ind w:left="0"/>
              <w:rPr>
                <w:rFonts w:ascii="Times New Roman"/>
                <w:sz w:val="20"/>
              </w:rPr>
            </w:pPr>
          </w:p>
        </w:tc>
        <w:tc>
          <w:tcPr>
            <w:tcW w:w="1717" w:type="dxa"/>
          </w:tcPr>
          <w:p>
            <w:pPr>
              <w:pStyle w:val="TableParagraph"/>
              <w:spacing w:before="0"/>
              <w:ind w:left="0"/>
              <w:rPr>
                <w:rFonts w:ascii="Times New Roman"/>
                <w:sz w:val="20"/>
              </w:rPr>
            </w:pPr>
          </w:p>
        </w:tc>
        <w:tc>
          <w:tcPr>
            <w:tcW w:w="7234" w:type="dxa"/>
          </w:tcPr>
          <w:p>
            <w:pPr>
              <w:pStyle w:val="TableParagraph"/>
              <w:spacing w:line="211" w:lineRule="exact" w:before="0"/>
              <w:rPr>
                <w:sz w:val="21"/>
              </w:rPr>
            </w:pPr>
            <w:r>
              <w:rPr>
                <w:sz w:val="21"/>
              </w:rPr>
              <w:t>依本主险合同约定承担保险责任。本公司对该新增加的被保险人承担的保险</w:t>
            </w:r>
          </w:p>
          <w:p>
            <w:pPr>
              <w:pStyle w:val="TableParagraph"/>
              <w:rPr>
                <w:sz w:val="21"/>
              </w:rPr>
            </w:pPr>
            <w:r>
              <w:rPr>
                <w:sz w:val="21"/>
              </w:rPr>
              <w:t>责任的起始时间在保险单上载明。</w:t>
            </w:r>
          </w:p>
          <w:p>
            <w:pPr>
              <w:pStyle w:val="TableParagraph"/>
              <w:spacing w:line="297" w:lineRule="auto"/>
              <w:ind w:right="93"/>
              <w:jc w:val="both"/>
              <w:rPr>
                <w:sz w:val="21"/>
              </w:rPr>
            </w:pPr>
            <w:r>
              <w:rPr>
                <w:spacing w:val="-3"/>
                <w:sz w:val="21"/>
              </w:rPr>
              <w:t>二、投保人因被保险人</w:t>
            </w:r>
            <w:r>
              <w:rPr>
                <w:b/>
                <w:sz w:val="21"/>
              </w:rPr>
              <w:t>离职</w:t>
            </w:r>
            <w:r>
              <w:rPr>
                <w:sz w:val="21"/>
              </w:rPr>
              <w:t>（</w:t>
            </w:r>
            <w:r>
              <w:rPr>
                <w:spacing w:val="-9"/>
                <w:sz w:val="21"/>
              </w:rPr>
              <w:t>见释义 </w:t>
            </w:r>
            <w:r>
              <w:rPr>
                <w:rFonts w:ascii="Times New Roman" w:eastAsia="Times New Roman"/>
                <w:sz w:val="21"/>
              </w:rPr>
              <w:t>6.15</w:t>
            </w:r>
            <w:r>
              <w:rPr>
                <w:sz w:val="21"/>
              </w:rPr>
              <w:t>）</w:t>
            </w:r>
            <w:r>
              <w:rPr>
                <w:spacing w:val="-3"/>
                <w:sz w:val="21"/>
              </w:rPr>
              <w:t>或其他原因要减少被保险人的， </w:t>
            </w:r>
            <w:r>
              <w:rPr>
                <w:spacing w:val="-4"/>
                <w:sz w:val="21"/>
              </w:rPr>
              <w:t>应书面通知本公司，本公司对该被保险人的保险责任自本公司收到通知之日的二十四时终止，投保人在通知书中载明的变更被保险人日期如果晚于通知书送达本公司的日期，则本公司对该被保险人的保险责任自通知书中载明的</w:t>
            </w:r>
            <w:r>
              <w:rPr>
                <w:spacing w:val="-3"/>
                <w:sz w:val="21"/>
              </w:rPr>
              <w:t>变更被保险人日期的零时终止。如果减少的被保险人未发生保险事故，本公</w:t>
            </w:r>
            <w:r>
              <w:rPr>
                <w:spacing w:val="-4"/>
                <w:sz w:val="21"/>
              </w:rPr>
              <w:t>司向投保人退还保险单项下该减少被保险人对应的现金价值；如果减少的被</w:t>
            </w:r>
            <w:r>
              <w:rPr>
                <w:spacing w:val="-3"/>
                <w:sz w:val="21"/>
              </w:rPr>
              <w:t>保险人发生过保险事故，本公司无资金退还。</w:t>
            </w:r>
          </w:p>
          <w:p>
            <w:pPr>
              <w:pStyle w:val="TableParagraph"/>
              <w:spacing w:line="300" w:lineRule="auto" w:before="18"/>
              <w:ind w:right="100"/>
              <w:jc w:val="both"/>
              <w:rPr>
                <w:sz w:val="21"/>
              </w:rPr>
            </w:pPr>
            <w:r>
              <w:rPr>
                <w:rFonts w:ascii="黑体" w:hAnsi="黑体" w:eastAsia="黑体" w:hint="eastAsia"/>
                <w:spacing w:val="-4"/>
                <w:sz w:val="21"/>
              </w:rPr>
              <w:t>本主险合同的被保险人少于具有参加本保险资格人数的 </w:t>
            </w:r>
            <w:r>
              <w:rPr>
                <w:rFonts w:ascii="黑体" w:hAnsi="黑体" w:eastAsia="黑体" w:hint="eastAsia"/>
                <w:sz w:val="21"/>
              </w:rPr>
              <w:t>75</w:t>
            </w:r>
            <w:r>
              <w:rPr>
                <w:rFonts w:ascii="黑体" w:hAnsi="黑体" w:eastAsia="黑体" w:hint="eastAsia"/>
                <w:spacing w:val="-11"/>
                <w:sz w:val="21"/>
              </w:rPr>
              <w:t>时，或被保险人</w:t>
            </w:r>
            <w:r>
              <w:rPr>
                <w:rFonts w:ascii="黑体" w:hAnsi="黑体" w:eastAsia="黑体" w:hint="eastAsia"/>
                <w:spacing w:val="-9"/>
                <w:sz w:val="21"/>
              </w:rPr>
              <w:t>人数低于 </w:t>
            </w:r>
            <w:r>
              <w:rPr>
                <w:rFonts w:ascii="黑体" w:hAnsi="黑体" w:eastAsia="黑体" w:hint="eastAsia"/>
                <w:sz w:val="21"/>
              </w:rPr>
              <w:t>5</w:t>
            </w:r>
            <w:r>
              <w:rPr>
                <w:rFonts w:ascii="黑体" w:hAnsi="黑体" w:eastAsia="黑体" w:hint="eastAsia"/>
                <w:spacing w:val="-8"/>
                <w:sz w:val="21"/>
              </w:rPr>
              <w:t> 人时，本公司有权解除本主险合同，并对投保人退还保险单的现</w:t>
            </w:r>
            <w:r>
              <w:rPr>
                <w:rFonts w:ascii="黑体" w:hAnsi="黑体" w:eastAsia="黑体" w:hint="eastAsia"/>
                <w:spacing w:val="-7"/>
                <w:sz w:val="21"/>
              </w:rPr>
              <w:t>金价值</w:t>
            </w:r>
            <w:r>
              <w:rPr>
                <w:sz w:val="21"/>
              </w:rPr>
              <w:t>。</w:t>
            </w:r>
          </w:p>
        </w:tc>
      </w:tr>
      <w:tr>
        <w:trPr>
          <w:trHeight w:val="957" w:hRule="atLeast"/>
        </w:trPr>
        <w:tc>
          <w:tcPr>
            <w:tcW w:w="713" w:type="dxa"/>
          </w:tcPr>
          <w:p>
            <w:pPr>
              <w:pStyle w:val="TableParagraph"/>
              <w:spacing w:before="138"/>
              <w:ind w:left="108"/>
              <w:rPr>
                <w:b/>
                <w:sz w:val="21"/>
              </w:rPr>
            </w:pPr>
            <w:r>
              <w:rPr>
                <w:b/>
                <w:sz w:val="21"/>
              </w:rPr>
              <w:t>5.5</w:t>
            </w:r>
          </w:p>
        </w:tc>
        <w:tc>
          <w:tcPr>
            <w:tcW w:w="1717" w:type="dxa"/>
          </w:tcPr>
          <w:p>
            <w:pPr>
              <w:pStyle w:val="TableParagraph"/>
              <w:spacing w:before="138"/>
              <w:ind w:left="247"/>
              <w:rPr>
                <w:b/>
                <w:sz w:val="21"/>
              </w:rPr>
            </w:pPr>
            <w:r>
              <w:rPr>
                <w:b/>
                <w:sz w:val="21"/>
              </w:rPr>
              <w:t>身体检查</w:t>
            </w:r>
          </w:p>
        </w:tc>
        <w:tc>
          <w:tcPr>
            <w:tcW w:w="7234" w:type="dxa"/>
          </w:tcPr>
          <w:p>
            <w:pPr>
              <w:pStyle w:val="TableParagraph"/>
              <w:spacing w:line="300" w:lineRule="auto" w:before="138"/>
              <w:ind w:right="98"/>
              <w:rPr>
                <w:sz w:val="21"/>
              </w:rPr>
            </w:pPr>
            <w:r>
              <w:rPr>
                <w:sz w:val="21"/>
              </w:rPr>
              <w:t>被保险人申请领取重大疾病保险金时，本公司有权要求被保险人在医院或本公司认可的其他医疗机构进行身体检查或到法定鉴定部门进行残疾鉴定。</w:t>
            </w:r>
          </w:p>
        </w:tc>
      </w:tr>
      <w:tr>
        <w:trPr>
          <w:trHeight w:val="2332" w:hRule="atLeast"/>
        </w:trPr>
        <w:tc>
          <w:tcPr>
            <w:tcW w:w="713" w:type="dxa"/>
          </w:tcPr>
          <w:p>
            <w:pPr>
              <w:pStyle w:val="TableParagraph"/>
              <w:spacing w:before="138"/>
              <w:ind w:left="108"/>
              <w:rPr>
                <w:b/>
                <w:sz w:val="21"/>
              </w:rPr>
            </w:pPr>
            <w:r>
              <w:rPr>
                <w:b/>
                <w:sz w:val="21"/>
              </w:rPr>
              <w:t>5.6</w:t>
            </w:r>
          </w:p>
        </w:tc>
        <w:tc>
          <w:tcPr>
            <w:tcW w:w="1717" w:type="dxa"/>
          </w:tcPr>
          <w:p>
            <w:pPr>
              <w:pStyle w:val="TableParagraph"/>
              <w:spacing w:before="138"/>
              <w:ind w:left="247"/>
              <w:rPr>
                <w:b/>
                <w:sz w:val="21"/>
              </w:rPr>
            </w:pPr>
            <w:r>
              <w:rPr>
                <w:b/>
                <w:sz w:val="21"/>
              </w:rPr>
              <w:t>合同内容变更</w:t>
            </w:r>
          </w:p>
        </w:tc>
        <w:tc>
          <w:tcPr>
            <w:tcW w:w="7234" w:type="dxa"/>
          </w:tcPr>
          <w:p>
            <w:pPr>
              <w:pStyle w:val="TableParagraph"/>
              <w:spacing w:line="300" w:lineRule="auto" w:before="138"/>
              <w:ind w:right="100"/>
              <w:jc w:val="both"/>
              <w:rPr>
                <w:sz w:val="21"/>
              </w:rPr>
            </w:pPr>
            <w:r>
              <w:rPr>
                <w:sz w:val="21"/>
              </w:rPr>
              <w:t>在本主险合同有效期内，经投保人与本公司协商一致，可以变更本主险合同的有关内容。变更本主险合同的，应当由本公司在保险单或者其他保险凭证上批注或者附贴批单，或者由投保人与本公司订立书面的变更协议。</w:t>
            </w:r>
          </w:p>
          <w:p>
            <w:pPr>
              <w:pStyle w:val="TableParagraph"/>
              <w:spacing w:line="300" w:lineRule="auto" w:before="16"/>
              <w:ind w:right="98"/>
              <w:jc w:val="both"/>
              <w:rPr>
                <w:sz w:val="21"/>
              </w:rPr>
            </w:pPr>
            <w:r>
              <w:rPr>
                <w:sz w:val="21"/>
              </w:rPr>
              <w:t>投保人住所或通讯地址变更时，应及时以书面形式通知本公司，投保人未以书面形式通知的，本公司将按本主险合同注明最后住所或通讯地址发送有关通知。</w:t>
            </w:r>
          </w:p>
        </w:tc>
      </w:tr>
      <w:tr>
        <w:trPr>
          <w:trHeight w:val="2349" w:hRule="atLeast"/>
        </w:trPr>
        <w:tc>
          <w:tcPr>
            <w:tcW w:w="713" w:type="dxa"/>
          </w:tcPr>
          <w:p>
            <w:pPr>
              <w:pStyle w:val="TableParagraph"/>
              <w:spacing w:before="139"/>
              <w:ind w:left="108"/>
              <w:rPr>
                <w:b/>
                <w:sz w:val="21"/>
              </w:rPr>
            </w:pPr>
            <w:r>
              <w:rPr>
                <w:b/>
                <w:sz w:val="21"/>
              </w:rPr>
              <w:t>5.7</w:t>
            </w:r>
          </w:p>
        </w:tc>
        <w:tc>
          <w:tcPr>
            <w:tcW w:w="1717" w:type="dxa"/>
          </w:tcPr>
          <w:p>
            <w:pPr>
              <w:pStyle w:val="TableParagraph"/>
              <w:spacing w:before="139"/>
              <w:ind w:left="247"/>
              <w:rPr>
                <w:b/>
                <w:sz w:val="21"/>
              </w:rPr>
            </w:pPr>
            <w:r>
              <w:rPr>
                <w:b/>
                <w:sz w:val="21"/>
              </w:rPr>
              <w:t>争议处理</w:t>
            </w:r>
          </w:p>
        </w:tc>
        <w:tc>
          <w:tcPr>
            <w:tcW w:w="7234" w:type="dxa"/>
          </w:tcPr>
          <w:p>
            <w:pPr>
              <w:pStyle w:val="TableParagraph"/>
              <w:tabs>
                <w:tab w:pos="4092" w:val="left" w:leader="none"/>
              </w:tabs>
              <w:spacing w:line="300" w:lineRule="auto" w:before="139"/>
              <w:ind w:right="199"/>
              <w:rPr>
                <w:sz w:val="21"/>
              </w:rPr>
            </w:pPr>
            <w:r>
              <w:rPr>
                <w:sz w:val="21"/>
              </w:rPr>
              <w:t>投保</w:t>
            </w:r>
            <w:r>
              <w:rPr>
                <w:spacing w:val="-3"/>
                <w:sz w:val="21"/>
              </w:rPr>
              <w:t>人</w:t>
            </w:r>
            <w:r>
              <w:rPr>
                <w:sz w:val="21"/>
              </w:rPr>
              <w:t>和</w:t>
            </w:r>
            <w:r>
              <w:rPr>
                <w:spacing w:val="-3"/>
                <w:sz w:val="21"/>
              </w:rPr>
              <w:t>本</w:t>
            </w:r>
            <w:r>
              <w:rPr>
                <w:sz w:val="21"/>
              </w:rPr>
              <w:t>公</w:t>
            </w:r>
            <w:r>
              <w:rPr>
                <w:spacing w:val="-3"/>
                <w:sz w:val="21"/>
              </w:rPr>
              <w:t>司</w:t>
            </w:r>
            <w:r>
              <w:rPr>
                <w:sz w:val="21"/>
              </w:rPr>
              <w:t>协</w:t>
            </w:r>
            <w:r>
              <w:rPr>
                <w:spacing w:val="-3"/>
                <w:sz w:val="21"/>
              </w:rPr>
              <w:t>商</w:t>
            </w:r>
            <w:r>
              <w:rPr>
                <w:sz w:val="21"/>
              </w:rPr>
              <w:t>一</w:t>
            </w:r>
            <w:r>
              <w:rPr>
                <w:spacing w:val="-3"/>
                <w:sz w:val="21"/>
              </w:rPr>
              <w:t>致</w:t>
            </w:r>
            <w:r>
              <w:rPr>
                <w:sz w:val="21"/>
              </w:rPr>
              <w:t>选择</w:t>
            </w:r>
            <w:r>
              <w:rPr>
                <w:spacing w:val="-3"/>
                <w:sz w:val="21"/>
              </w:rPr>
              <w:t>下</w:t>
            </w:r>
            <w:r>
              <w:rPr>
                <w:sz w:val="21"/>
              </w:rPr>
              <w:t>列</w:t>
            </w:r>
            <w:r>
              <w:rPr>
                <w:spacing w:val="-3"/>
                <w:sz w:val="21"/>
              </w:rPr>
              <w:t>第</w:t>
            </w:r>
            <w:r>
              <w:rPr>
                <w:sz w:val="21"/>
              </w:rPr>
              <w:t>（</w:t>
              <w:tab/>
            </w:r>
            <w:r>
              <w:rPr>
                <w:spacing w:val="-3"/>
                <w:sz w:val="21"/>
              </w:rPr>
              <w:t>）</w:t>
            </w:r>
            <w:r>
              <w:rPr>
                <w:spacing w:val="-1"/>
                <w:sz w:val="21"/>
              </w:rPr>
              <w:t>种</w:t>
            </w:r>
            <w:r>
              <w:rPr>
                <w:spacing w:val="-3"/>
                <w:sz w:val="21"/>
              </w:rPr>
              <w:t>方</w:t>
            </w:r>
            <w:r>
              <w:rPr>
                <w:spacing w:val="-1"/>
                <w:sz w:val="21"/>
              </w:rPr>
              <w:t>式为</w:t>
            </w:r>
            <w:r>
              <w:rPr>
                <w:sz w:val="21"/>
              </w:rPr>
              <w:t>本</w:t>
            </w:r>
            <w:r>
              <w:rPr>
                <w:spacing w:val="-3"/>
                <w:sz w:val="21"/>
              </w:rPr>
              <w:t>主</w:t>
            </w:r>
            <w:r>
              <w:rPr>
                <w:sz w:val="21"/>
              </w:rPr>
              <w:t>险</w:t>
            </w:r>
            <w:r>
              <w:rPr>
                <w:spacing w:val="-3"/>
                <w:sz w:val="21"/>
              </w:rPr>
              <w:t>合</w:t>
            </w:r>
            <w:r>
              <w:rPr>
                <w:sz w:val="21"/>
              </w:rPr>
              <w:t>同</w:t>
            </w:r>
            <w:r>
              <w:rPr>
                <w:spacing w:val="-3"/>
                <w:sz w:val="21"/>
              </w:rPr>
              <w:t>项</w:t>
            </w:r>
            <w:r>
              <w:rPr>
                <w:sz w:val="21"/>
              </w:rPr>
              <w:t>下</w:t>
            </w:r>
            <w:r>
              <w:rPr>
                <w:spacing w:val="-3"/>
                <w:sz w:val="21"/>
              </w:rPr>
              <w:t>的</w:t>
            </w:r>
            <w:r>
              <w:rPr>
                <w:sz w:val="21"/>
              </w:rPr>
              <w:t>争 议解</w:t>
            </w:r>
            <w:r>
              <w:rPr>
                <w:spacing w:val="-3"/>
                <w:sz w:val="21"/>
              </w:rPr>
              <w:t>决</w:t>
            </w:r>
            <w:r>
              <w:rPr>
                <w:sz w:val="21"/>
              </w:rPr>
              <w:t>方</w:t>
            </w:r>
            <w:r>
              <w:rPr>
                <w:spacing w:val="-3"/>
                <w:sz w:val="21"/>
              </w:rPr>
              <w:t>式</w:t>
            </w:r>
            <w:r>
              <w:rPr>
                <w:sz w:val="21"/>
              </w:rPr>
              <w:t>：</w:t>
            </w:r>
          </w:p>
          <w:p>
            <w:pPr>
              <w:pStyle w:val="TableParagraph"/>
              <w:tabs>
                <w:tab w:pos="3144" w:val="left" w:leader="none"/>
              </w:tabs>
              <w:spacing w:line="300" w:lineRule="auto" w:before="16"/>
              <w:ind w:right="198"/>
              <w:rPr>
                <w:sz w:val="21"/>
              </w:rPr>
            </w:pPr>
            <w:r>
              <w:rPr>
                <w:sz w:val="21"/>
              </w:rPr>
              <w:t>（1）因</w:t>
            </w:r>
            <w:r>
              <w:rPr>
                <w:spacing w:val="-3"/>
                <w:sz w:val="21"/>
              </w:rPr>
              <w:t>履</w:t>
            </w:r>
            <w:r>
              <w:rPr>
                <w:sz w:val="21"/>
              </w:rPr>
              <w:t>行</w:t>
            </w:r>
            <w:r>
              <w:rPr>
                <w:spacing w:val="-3"/>
                <w:sz w:val="21"/>
              </w:rPr>
              <w:t>本</w:t>
            </w:r>
            <w:r>
              <w:rPr>
                <w:sz w:val="21"/>
              </w:rPr>
              <w:t>主</w:t>
            </w:r>
            <w:r>
              <w:rPr>
                <w:spacing w:val="-3"/>
                <w:sz w:val="21"/>
              </w:rPr>
              <w:t>险</w:t>
            </w:r>
            <w:r>
              <w:rPr>
                <w:sz w:val="21"/>
              </w:rPr>
              <w:t>合</w:t>
            </w:r>
            <w:r>
              <w:rPr>
                <w:spacing w:val="-3"/>
                <w:sz w:val="21"/>
              </w:rPr>
              <w:t>同发</w:t>
            </w:r>
            <w:r>
              <w:rPr>
                <w:sz w:val="21"/>
              </w:rPr>
              <w:t>生的</w:t>
            </w:r>
            <w:r>
              <w:rPr>
                <w:spacing w:val="-3"/>
                <w:sz w:val="21"/>
              </w:rPr>
              <w:t>争</w:t>
            </w:r>
            <w:r>
              <w:rPr>
                <w:sz w:val="21"/>
              </w:rPr>
              <w:t>议</w:t>
            </w:r>
            <w:r>
              <w:rPr>
                <w:spacing w:val="-3"/>
                <w:sz w:val="21"/>
              </w:rPr>
              <w:t>，</w:t>
            </w:r>
            <w:r>
              <w:rPr>
                <w:sz w:val="21"/>
              </w:rPr>
              <w:t>由</w:t>
            </w:r>
            <w:r>
              <w:rPr>
                <w:spacing w:val="-3"/>
                <w:sz w:val="21"/>
              </w:rPr>
              <w:t>投</w:t>
            </w:r>
            <w:r>
              <w:rPr>
                <w:sz w:val="21"/>
              </w:rPr>
              <w:t>保</w:t>
            </w:r>
            <w:r>
              <w:rPr>
                <w:spacing w:val="-3"/>
                <w:sz w:val="21"/>
              </w:rPr>
              <w:t>人</w:t>
            </w:r>
            <w:r>
              <w:rPr>
                <w:sz w:val="21"/>
              </w:rPr>
              <w:t>和</w:t>
            </w:r>
            <w:r>
              <w:rPr>
                <w:spacing w:val="-3"/>
                <w:sz w:val="21"/>
              </w:rPr>
              <w:t>本</w:t>
            </w:r>
            <w:r>
              <w:rPr>
                <w:sz w:val="21"/>
              </w:rPr>
              <w:t>公司</w:t>
            </w:r>
            <w:r>
              <w:rPr>
                <w:spacing w:val="-3"/>
                <w:sz w:val="21"/>
              </w:rPr>
              <w:t>协</w:t>
            </w:r>
            <w:r>
              <w:rPr>
                <w:sz w:val="21"/>
              </w:rPr>
              <w:t>商</w:t>
            </w:r>
            <w:r>
              <w:rPr>
                <w:spacing w:val="-3"/>
                <w:sz w:val="21"/>
              </w:rPr>
              <w:t>解</w:t>
            </w:r>
            <w:r>
              <w:rPr>
                <w:sz w:val="21"/>
              </w:rPr>
              <w:t>决</w:t>
            </w:r>
            <w:r>
              <w:rPr>
                <w:spacing w:val="-3"/>
                <w:sz w:val="21"/>
              </w:rPr>
              <w:t>，</w:t>
            </w:r>
            <w:r>
              <w:rPr>
                <w:sz w:val="21"/>
              </w:rPr>
              <w:t>协</w:t>
            </w:r>
            <w:r>
              <w:rPr>
                <w:spacing w:val="-3"/>
                <w:sz w:val="21"/>
              </w:rPr>
              <w:t>商</w:t>
            </w:r>
            <w:r>
              <w:rPr>
                <w:sz w:val="21"/>
              </w:rPr>
              <w:t>不成的</w:t>
            </w:r>
            <w:r>
              <w:rPr>
                <w:spacing w:val="-3"/>
                <w:sz w:val="21"/>
              </w:rPr>
              <w:t>，</w:t>
            </w:r>
            <w:r>
              <w:rPr>
                <w:sz w:val="21"/>
              </w:rPr>
              <w:t>任</w:t>
            </w:r>
            <w:r>
              <w:rPr>
                <w:spacing w:val="-3"/>
                <w:sz w:val="21"/>
              </w:rPr>
              <w:t>何</w:t>
            </w:r>
            <w:r>
              <w:rPr>
                <w:sz w:val="21"/>
              </w:rPr>
              <w:t>一</w:t>
            </w:r>
            <w:r>
              <w:rPr>
                <w:spacing w:val="-3"/>
                <w:sz w:val="21"/>
              </w:rPr>
              <w:t>方</w:t>
            </w:r>
            <w:r>
              <w:rPr>
                <w:sz w:val="21"/>
              </w:rPr>
              <w:t>均</w:t>
            </w:r>
            <w:r>
              <w:rPr>
                <w:spacing w:val="-3"/>
                <w:sz w:val="21"/>
              </w:rPr>
              <w:t>可</w:t>
            </w:r>
            <w:r>
              <w:rPr>
                <w:sz w:val="21"/>
              </w:rPr>
              <w:t>提交</w:t>
            </w:r>
            <w:r>
              <w:rPr>
                <w:sz w:val="21"/>
                <w:u w:val="single"/>
              </w:rPr>
              <w:t> </w:t>
              <w:tab/>
            </w:r>
            <w:r>
              <w:rPr>
                <w:sz w:val="21"/>
              </w:rPr>
              <w:t>仲</w:t>
            </w:r>
            <w:r>
              <w:rPr>
                <w:spacing w:val="-3"/>
                <w:sz w:val="21"/>
              </w:rPr>
              <w:t>裁</w:t>
            </w:r>
            <w:r>
              <w:rPr>
                <w:sz w:val="21"/>
              </w:rPr>
              <w:t>委</w:t>
            </w:r>
            <w:r>
              <w:rPr>
                <w:spacing w:val="-3"/>
                <w:sz w:val="21"/>
              </w:rPr>
              <w:t>员</w:t>
            </w:r>
            <w:r>
              <w:rPr>
                <w:sz w:val="21"/>
              </w:rPr>
              <w:t>会</w:t>
            </w:r>
            <w:r>
              <w:rPr>
                <w:spacing w:val="-3"/>
                <w:sz w:val="21"/>
              </w:rPr>
              <w:t>仲</w:t>
            </w:r>
            <w:r>
              <w:rPr>
                <w:sz w:val="21"/>
              </w:rPr>
              <w:t>裁；</w:t>
            </w:r>
          </w:p>
          <w:p>
            <w:pPr>
              <w:pStyle w:val="TableParagraph"/>
              <w:spacing w:line="300" w:lineRule="auto" w:before="16"/>
              <w:ind w:right="198"/>
              <w:rPr>
                <w:sz w:val="21"/>
              </w:rPr>
            </w:pPr>
            <w:r>
              <w:rPr>
                <w:sz w:val="21"/>
              </w:rPr>
              <w:t>（2）因履行本主险合同发生的争议，由投保人和本公司协商解决，协商不成的，任何一方均有权依法向有管辖权的人民法院起诉。</w:t>
            </w:r>
          </w:p>
        </w:tc>
      </w:tr>
      <w:tr>
        <w:trPr>
          <w:trHeight w:val="742" w:hRule="atLeast"/>
        </w:trPr>
        <w:tc>
          <w:tcPr>
            <w:tcW w:w="713" w:type="dxa"/>
            <w:tcBorders>
              <w:bottom w:val="single" w:sz="8" w:space="0" w:color="000000"/>
            </w:tcBorders>
          </w:tcPr>
          <w:p>
            <w:pPr>
              <w:pStyle w:val="TableParagraph"/>
              <w:spacing w:before="182"/>
              <w:ind w:left="108"/>
              <w:rPr>
                <w:rFonts w:ascii="Arial" w:hAnsi="Arial"/>
                <w:b/>
                <w:sz w:val="40"/>
              </w:rPr>
            </w:pPr>
            <w:r>
              <w:rPr>
                <w:rFonts w:ascii="Arial" w:hAnsi="Arial"/>
                <w:b/>
                <w:w w:val="119"/>
                <w:sz w:val="40"/>
              </w:rPr>
              <w:t></w:t>
            </w:r>
          </w:p>
        </w:tc>
        <w:tc>
          <w:tcPr>
            <w:tcW w:w="1717" w:type="dxa"/>
            <w:tcBorders>
              <w:bottom w:val="single" w:sz="8" w:space="0" w:color="000000"/>
            </w:tcBorders>
          </w:tcPr>
          <w:p>
            <w:pPr>
              <w:pStyle w:val="TableParagraph"/>
              <w:spacing w:before="6"/>
              <w:ind w:left="0"/>
              <w:rPr>
                <w:rFonts w:ascii="Times New Roman"/>
                <w:sz w:val="20"/>
              </w:rPr>
            </w:pPr>
          </w:p>
          <w:p>
            <w:pPr>
              <w:pStyle w:val="TableParagraph"/>
              <w:spacing w:before="0"/>
              <w:ind w:left="247"/>
              <w:rPr>
                <w:b/>
                <w:sz w:val="24"/>
              </w:rPr>
            </w:pPr>
            <w:r>
              <w:rPr>
                <w:b/>
                <w:sz w:val="24"/>
              </w:rPr>
              <w:t>释义</w:t>
            </w:r>
          </w:p>
        </w:tc>
        <w:tc>
          <w:tcPr>
            <w:tcW w:w="7234" w:type="dxa"/>
            <w:tcBorders>
              <w:bottom w:val="single" w:sz="8" w:space="0" w:color="000000"/>
            </w:tcBorders>
          </w:tcPr>
          <w:p>
            <w:pPr>
              <w:pStyle w:val="TableParagraph"/>
              <w:spacing w:before="0"/>
              <w:ind w:left="0"/>
              <w:rPr>
                <w:rFonts w:ascii="Times New Roman"/>
                <w:sz w:val="20"/>
              </w:rPr>
            </w:pPr>
          </w:p>
        </w:tc>
      </w:tr>
      <w:tr>
        <w:trPr>
          <w:trHeight w:val="1030" w:hRule="atLeast"/>
        </w:trPr>
        <w:tc>
          <w:tcPr>
            <w:tcW w:w="713" w:type="dxa"/>
            <w:tcBorders>
              <w:top w:val="single" w:sz="8" w:space="0" w:color="000000"/>
            </w:tcBorders>
          </w:tcPr>
          <w:p>
            <w:pPr>
              <w:pStyle w:val="TableParagraph"/>
              <w:spacing w:before="3"/>
              <w:ind w:left="0"/>
              <w:rPr>
                <w:rFonts w:ascii="Times New Roman"/>
                <w:sz w:val="18"/>
              </w:rPr>
            </w:pPr>
          </w:p>
          <w:p>
            <w:pPr>
              <w:pStyle w:val="TableParagraph"/>
              <w:spacing w:before="0"/>
              <w:ind w:left="108"/>
              <w:rPr>
                <w:b/>
                <w:sz w:val="21"/>
              </w:rPr>
            </w:pPr>
            <w:r>
              <w:rPr>
                <w:b/>
                <w:sz w:val="21"/>
              </w:rPr>
              <w:t>6.1</w:t>
            </w:r>
          </w:p>
        </w:tc>
        <w:tc>
          <w:tcPr>
            <w:tcW w:w="1717" w:type="dxa"/>
            <w:tcBorders>
              <w:top w:val="single" w:sz="8" w:space="0" w:color="000000"/>
            </w:tcBorders>
          </w:tcPr>
          <w:p>
            <w:pPr>
              <w:pStyle w:val="TableParagraph"/>
              <w:spacing w:before="3"/>
              <w:ind w:left="0"/>
              <w:rPr>
                <w:rFonts w:ascii="Times New Roman"/>
                <w:sz w:val="18"/>
              </w:rPr>
            </w:pPr>
          </w:p>
          <w:p>
            <w:pPr>
              <w:pStyle w:val="TableParagraph"/>
              <w:spacing w:before="0"/>
              <w:ind w:left="247"/>
              <w:rPr>
                <w:b/>
                <w:sz w:val="21"/>
              </w:rPr>
            </w:pPr>
            <w:r>
              <w:rPr>
                <w:b/>
                <w:sz w:val="21"/>
              </w:rPr>
              <w:t>周岁</w:t>
            </w:r>
          </w:p>
        </w:tc>
        <w:tc>
          <w:tcPr>
            <w:tcW w:w="7234" w:type="dxa"/>
            <w:tcBorders>
              <w:top w:val="single" w:sz="8" w:space="0" w:color="000000"/>
            </w:tcBorders>
          </w:tcPr>
          <w:p>
            <w:pPr>
              <w:pStyle w:val="TableParagraph"/>
              <w:spacing w:before="3"/>
              <w:ind w:left="0"/>
              <w:rPr>
                <w:rFonts w:ascii="Times New Roman"/>
                <w:sz w:val="18"/>
              </w:rPr>
            </w:pPr>
          </w:p>
          <w:p>
            <w:pPr>
              <w:pStyle w:val="TableParagraph"/>
              <w:spacing w:line="300" w:lineRule="auto" w:before="0"/>
              <w:ind w:right="98"/>
              <w:rPr>
                <w:sz w:val="21"/>
              </w:rPr>
            </w:pPr>
            <w:r>
              <w:rPr>
                <w:sz w:val="21"/>
              </w:rPr>
              <w:t>周岁年龄是指按法定身份证明文件中记载的出生日期计算的年龄，自出生之日起为零周岁，每经过一年增加一岁，不足一年的不计。</w:t>
            </w:r>
          </w:p>
        </w:tc>
      </w:tr>
      <w:tr>
        <w:trPr>
          <w:trHeight w:val="1300" w:hRule="atLeast"/>
        </w:trPr>
        <w:tc>
          <w:tcPr>
            <w:tcW w:w="713" w:type="dxa"/>
          </w:tcPr>
          <w:p>
            <w:pPr>
              <w:pStyle w:val="TableParagraph"/>
              <w:spacing w:before="138"/>
              <w:ind w:left="108"/>
              <w:rPr>
                <w:b/>
                <w:sz w:val="21"/>
              </w:rPr>
            </w:pPr>
            <w:r>
              <w:rPr>
                <w:b/>
                <w:sz w:val="21"/>
              </w:rPr>
              <w:t>6.2</w:t>
            </w:r>
          </w:p>
        </w:tc>
        <w:tc>
          <w:tcPr>
            <w:tcW w:w="1717" w:type="dxa"/>
          </w:tcPr>
          <w:p>
            <w:pPr>
              <w:pStyle w:val="TableParagraph"/>
              <w:spacing w:before="138"/>
              <w:ind w:left="247"/>
              <w:rPr>
                <w:b/>
                <w:sz w:val="21"/>
              </w:rPr>
            </w:pPr>
            <w:r>
              <w:rPr>
                <w:b/>
                <w:sz w:val="21"/>
              </w:rPr>
              <w:t>现金价值</w:t>
            </w:r>
          </w:p>
        </w:tc>
        <w:tc>
          <w:tcPr>
            <w:tcW w:w="7234" w:type="dxa"/>
          </w:tcPr>
          <w:p>
            <w:pPr>
              <w:pStyle w:val="TableParagraph"/>
              <w:spacing w:line="300" w:lineRule="auto" w:before="138"/>
              <w:ind w:right="98"/>
              <w:rPr>
                <w:sz w:val="21"/>
              </w:rPr>
            </w:pPr>
            <w:r>
              <w:rPr>
                <w:spacing w:val="-5"/>
                <w:sz w:val="21"/>
              </w:rPr>
              <w:t>指保险单所具有的价值，通常体现为解除合同时，根据精算原理计算的，由本公司退还的那部分金额，具体等于保险费×</w:t>
            </w:r>
            <w:r>
              <w:rPr>
                <w:spacing w:val="-4"/>
                <w:sz w:val="21"/>
              </w:rPr>
              <w:t>（</w:t>
            </w:r>
            <w:r>
              <w:rPr>
                <w:rFonts w:ascii="Times New Roman" w:hAnsi="Times New Roman" w:eastAsia="Times New Roman"/>
                <w:spacing w:val="-4"/>
                <w:sz w:val="21"/>
              </w:rPr>
              <w:t>1</w:t>
            </w:r>
            <w:r>
              <w:rPr>
                <w:spacing w:val="-4"/>
                <w:sz w:val="21"/>
              </w:rPr>
              <w:t>－</w:t>
            </w:r>
            <w:r>
              <w:rPr>
                <w:rFonts w:ascii="Times New Roman" w:hAnsi="Times New Roman" w:eastAsia="Times New Roman"/>
                <w:spacing w:val="-4"/>
                <w:sz w:val="21"/>
              </w:rPr>
              <w:t>25%</w:t>
            </w:r>
            <w:r>
              <w:rPr>
                <w:spacing w:val="-4"/>
                <w:sz w:val="21"/>
              </w:rPr>
              <w:t>）×（</w:t>
            </w:r>
            <w:r>
              <w:rPr>
                <w:spacing w:val="-11"/>
                <w:sz w:val="21"/>
              </w:rPr>
              <w:t>保险期间月数</w:t>
            </w:r>
          </w:p>
          <w:p>
            <w:pPr>
              <w:pStyle w:val="TableParagraph"/>
              <w:spacing w:line="269" w:lineRule="exact" w:before="0"/>
              <w:rPr>
                <w:sz w:val="21"/>
              </w:rPr>
            </w:pPr>
            <w:r>
              <w:rPr>
                <w:sz w:val="21"/>
              </w:rPr>
              <w:t>－本主险合同已经过月数）÷保险期间月数，不足月的按一个月计算。</w:t>
            </w:r>
          </w:p>
        </w:tc>
      </w:tr>
      <w:tr>
        <w:trPr>
          <w:trHeight w:val="756" w:hRule="atLeast"/>
        </w:trPr>
        <w:tc>
          <w:tcPr>
            <w:tcW w:w="713" w:type="dxa"/>
          </w:tcPr>
          <w:p>
            <w:pPr>
              <w:pStyle w:val="TableParagraph"/>
              <w:spacing w:before="138"/>
              <w:ind w:left="108"/>
              <w:rPr>
                <w:b/>
                <w:sz w:val="21"/>
              </w:rPr>
            </w:pPr>
            <w:r>
              <w:rPr>
                <w:b/>
                <w:sz w:val="21"/>
              </w:rPr>
              <w:t>6.3</w:t>
            </w:r>
          </w:p>
        </w:tc>
        <w:tc>
          <w:tcPr>
            <w:tcW w:w="1717" w:type="dxa"/>
          </w:tcPr>
          <w:p>
            <w:pPr>
              <w:pStyle w:val="TableParagraph"/>
              <w:spacing w:before="138"/>
              <w:ind w:left="247"/>
              <w:rPr>
                <w:b/>
                <w:sz w:val="21"/>
              </w:rPr>
            </w:pPr>
            <w:r>
              <w:rPr>
                <w:b/>
                <w:sz w:val="21"/>
              </w:rPr>
              <w:t>医院</w:t>
            </w:r>
          </w:p>
        </w:tc>
        <w:tc>
          <w:tcPr>
            <w:tcW w:w="7234" w:type="dxa"/>
          </w:tcPr>
          <w:p>
            <w:pPr>
              <w:pStyle w:val="TableParagraph"/>
              <w:spacing w:line="340" w:lineRule="atLeast" w:before="72"/>
              <w:ind w:right="81"/>
              <w:rPr>
                <w:sz w:val="21"/>
              </w:rPr>
            </w:pPr>
            <w:r>
              <w:rPr>
                <w:sz w:val="21"/>
              </w:rPr>
              <w:t>指经国家卫生部门审核的二级或二级以上的综合性医院和专科医院，但不包括作为诊所、康复、联合病房、家庭病床、护理、修养或戒酒、戒毒等医疗</w:t>
            </w:r>
          </w:p>
        </w:tc>
      </w:tr>
    </w:tbl>
    <w:p>
      <w:pPr>
        <w:rPr>
          <w:sz w:val="2"/>
          <w:szCs w:val="2"/>
        </w:rPr>
      </w:pPr>
      <w:r>
        <w:rPr/>
        <w:drawing>
          <wp:anchor distT="0" distB="0" distL="0" distR="0" allowOverlap="1" layoutInCell="1" locked="0" behindDoc="1" simplePos="0" relativeHeight="268407911">
            <wp:simplePos x="0" y="0"/>
            <wp:positionH relativeFrom="page">
              <wp:posOffset>5804837</wp:posOffset>
            </wp:positionH>
            <wp:positionV relativeFrom="page">
              <wp:posOffset>2927222</wp:posOffset>
            </wp:positionV>
            <wp:extent cx="59721" cy="8801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59721" cy="88010"/>
                    </a:xfrm>
                    <a:prstGeom prst="rect">
                      <a:avLst/>
                    </a:prstGeom>
                  </pic:spPr>
                </pic:pic>
              </a:graphicData>
            </a:graphic>
          </wp:anchor>
        </w:drawing>
      </w:r>
    </w:p>
    <w:p>
      <w:pPr>
        <w:spacing w:after="0"/>
        <w:rPr>
          <w:sz w:val="2"/>
          <w:szCs w:val="2"/>
        </w:rPr>
        <w:sectPr>
          <w:pgSz w:w="11910" w:h="16840"/>
          <w:pgMar w:top="1460" w:bottom="280" w:left="108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4"/>
        <w:gridCol w:w="1866"/>
        <w:gridCol w:w="7307"/>
      </w:tblGrid>
      <w:tr>
        <w:trPr>
          <w:trHeight w:val="756" w:hRule="atLeast"/>
        </w:trPr>
        <w:tc>
          <w:tcPr>
            <w:tcW w:w="784" w:type="dxa"/>
          </w:tcPr>
          <w:p>
            <w:pPr>
              <w:pStyle w:val="TableParagraph"/>
              <w:spacing w:before="0"/>
              <w:ind w:left="0"/>
              <w:rPr>
                <w:rFonts w:ascii="Times New Roman"/>
                <w:sz w:val="20"/>
              </w:rPr>
            </w:pPr>
          </w:p>
        </w:tc>
        <w:tc>
          <w:tcPr>
            <w:tcW w:w="1866" w:type="dxa"/>
          </w:tcPr>
          <w:p>
            <w:pPr>
              <w:pStyle w:val="TableParagraph"/>
              <w:spacing w:before="0"/>
              <w:ind w:left="0"/>
              <w:rPr>
                <w:rFonts w:ascii="Times New Roman"/>
                <w:sz w:val="20"/>
              </w:rPr>
            </w:pPr>
          </w:p>
        </w:tc>
        <w:tc>
          <w:tcPr>
            <w:tcW w:w="7307" w:type="dxa"/>
          </w:tcPr>
          <w:p>
            <w:pPr>
              <w:pStyle w:val="TableParagraph"/>
              <w:spacing w:line="211" w:lineRule="exact" w:before="0"/>
              <w:ind w:left="75"/>
              <w:rPr>
                <w:sz w:val="21"/>
              </w:rPr>
            </w:pPr>
            <w:r>
              <w:rPr>
                <w:sz w:val="21"/>
              </w:rPr>
              <w:t>机构。该医院必须具有系统的、充分的诊断设备，全套外科手术设备并提供</w:t>
            </w:r>
          </w:p>
          <w:p>
            <w:pPr>
              <w:pStyle w:val="TableParagraph"/>
              <w:ind w:left="75"/>
              <w:rPr>
                <w:sz w:val="21"/>
              </w:rPr>
            </w:pPr>
            <w:r>
              <w:rPr>
                <w:sz w:val="21"/>
              </w:rPr>
              <w:t>24 小时的医疗与护理服务。</w:t>
            </w:r>
          </w:p>
        </w:tc>
      </w:tr>
      <w:tr>
        <w:trPr>
          <w:trHeight w:val="957" w:hRule="atLeast"/>
        </w:trPr>
        <w:tc>
          <w:tcPr>
            <w:tcW w:w="784" w:type="dxa"/>
          </w:tcPr>
          <w:p>
            <w:pPr>
              <w:pStyle w:val="TableParagraph"/>
              <w:spacing w:before="138"/>
              <w:ind w:left="200"/>
              <w:rPr>
                <w:b/>
                <w:sz w:val="21"/>
              </w:rPr>
            </w:pPr>
            <w:r>
              <w:rPr>
                <w:b/>
                <w:sz w:val="21"/>
              </w:rPr>
              <w:t>6.4</w:t>
            </w:r>
          </w:p>
        </w:tc>
        <w:tc>
          <w:tcPr>
            <w:tcW w:w="1866" w:type="dxa"/>
          </w:tcPr>
          <w:p>
            <w:pPr>
              <w:pStyle w:val="TableParagraph"/>
              <w:spacing w:before="138"/>
              <w:ind w:left="267"/>
              <w:rPr>
                <w:b/>
                <w:sz w:val="21"/>
              </w:rPr>
            </w:pPr>
            <w:r>
              <w:rPr>
                <w:b/>
                <w:sz w:val="21"/>
              </w:rPr>
              <w:t>重大疾病</w:t>
            </w:r>
          </w:p>
        </w:tc>
        <w:tc>
          <w:tcPr>
            <w:tcW w:w="7307" w:type="dxa"/>
          </w:tcPr>
          <w:p>
            <w:pPr>
              <w:pStyle w:val="TableParagraph"/>
              <w:spacing w:line="300" w:lineRule="auto" w:before="138"/>
              <w:ind w:left="75" w:right="328"/>
              <w:rPr>
                <w:sz w:val="21"/>
              </w:rPr>
            </w:pPr>
            <w:r>
              <w:rPr>
                <w:spacing w:val="-6"/>
                <w:sz w:val="21"/>
              </w:rPr>
              <w:t>指保险责任生效后，经</w:t>
            </w:r>
            <w:r>
              <w:rPr>
                <w:b/>
                <w:spacing w:val="-6"/>
                <w:sz w:val="21"/>
              </w:rPr>
              <w:t>专科医生</w:t>
            </w:r>
            <w:r>
              <w:rPr>
                <w:spacing w:val="-3"/>
                <w:sz w:val="21"/>
              </w:rPr>
              <w:t>（</w:t>
            </w:r>
            <w:r>
              <w:rPr>
                <w:spacing w:val="-8"/>
                <w:sz w:val="21"/>
              </w:rPr>
              <w:t>见释义 </w:t>
            </w:r>
            <w:r>
              <w:rPr>
                <w:spacing w:val="-6"/>
                <w:sz w:val="21"/>
              </w:rPr>
              <w:t>6.16）</w:t>
            </w:r>
            <w:r>
              <w:rPr>
                <w:spacing w:val="-7"/>
                <w:sz w:val="21"/>
              </w:rPr>
              <w:t>明确诊断，被保险人初次发</w:t>
            </w:r>
            <w:r>
              <w:rPr>
                <w:spacing w:val="-5"/>
                <w:sz w:val="21"/>
              </w:rPr>
              <w:t>生的符合以下疾病定义所述条件的疾病：</w:t>
            </w:r>
          </w:p>
        </w:tc>
      </w:tr>
      <w:tr>
        <w:trPr>
          <w:trHeight w:val="3984" w:hRule="atLeast"/>
        </w:trPr>
        <w:tc>
          <w:tcPr>
            <w:tcW w:w="784" w:type="dxa"/>
          </w:tcPr>
          <w:p>
            <w:pPr>
              <w:pStyle w:val="TableParagraph"/>
              <w:spacing w:before="0"/>
              <w:ind w:left="0"/>
              <w:rPr>
                <w:rFonts w:ascii="Times New Roman"/>
                <w:sz w:val="20"/>
              </w:rPr>
            </w:pPr>
          </w:p>
        </w:tc>
        <w:tc>
          <w:tcPr>
            <w:tcW w:w="1866" w:type="dxa"/>
          </w:tcPr>
          <w:p>
            <w:pPr>
              <w:pStyle w:val="TableParagraph"/>
              <w:tabs>
                <w:tab w:pos="687" w:val="left" w:leader="none"/>
              </w:tabs>
              <w:spacing w:before="138"/>
              <w:ind w:left="267"/>
              <w:rPr>
                <w:b/>
                <w:sz w:val="21"/>
              </w:rPr>
            </w:pPr>
            <w:r>
              <w:rPr>
                <w:b/>
                <w:sz w:val="21"/>
              </w:rPr>
              <w:t>1.</w:t>
              <w:tab/>
              <w:t>恶性肿瘤</w:t>
            </w:r>
          </w:p>
        </w:tc>
        <w:tc>
          <w:tcPr>
            <w:tcW w:w="7307" w:type="dxa"/>
          </w:tcPr>
          <w:p>
            <w:pPr>
              <w:pStyle w:val="TableParagraph"/>
              <w:spacing w:line="300" w:lineRule="auto" w:before="138"/>
              <w:ind w:left="75" w:right="302"/>
              <w:jc w:val="both"/>
              <w:rPr>
                <w:sz w:val="21"/>
              </w:rPr>
            </w:pPr>
            <w:r>
              <w:rPr>
                <w:spacing w:val="-4"/>
                <w:sz w:val="21"/>
              </w:rPr>
              <w:t>指恶性细胞不受控制的进行性增长和扩散，浸润和破坏周围正常组织，可以经血管、淋巴管和体腔扩散转移到身体其它部位的疾病。经病理学检查结果</w:t>
            </w:r>
            <w:r>
              <w:rPr>
                <w:spacing w:val="-5"/>
                <w:sz w:val="21"/>
              </w:rPr>
              <w:t>明确诊断，临床诊断属于世界卫生组织《疾病和有关健康问题的国际统计分</w:t>
            </w:r>
            <w:r>
              <w:rPr>
                <w:spacing w:val="-54"/>
                <w:sz w:val="21"/>
              </w:rPr>
              <w:t>类》</w:t>
            </w:r>
            <w:r>
              <w:rPr>
                <w:spacing w:val="-1"/>
                <w:sz w:val="21"/>
              </w:rPr>
              <w:t>（ICD-10）</w:t>
            </w:r>
            <w:r>
              <w:rPr>
                <w:spacing w:val="-3"/>
                <w:sz w:val="21"/>
              </w:rPr>
              <w:t>的恶性肿瘤范畴。</w:t>
            </w:r>
          </w:p>
          <w:p>
            <w:pPr>
              <w:pStyle w:val="TableParagraph"/>
              <w:spacing w:before="9"/>
              <w:ind w:left="0"/>
              <w:rPr>
                <w:rFonts w:ascii="Times New Roman"/>
                <w:sz w:val="25"/>
              </w:rPr>
            </w:pPr>
          </w:p>
          <w:p>
            <w:pPr>
              <w:pStyle w:val="TableParagraph"/>
              <w:spacing w:before="1"/>
              <w:ind w:left="75"/>
              <w:jc w:val="both"/>
              <w:rPr>
                <w:sz w:val="21"/>
              </w:rPr>
            </w:pPr>
            <w:r>
              <w:rPr>
                <w:sz w:val="21"/>
              </w:rPr>
              <w:t>下列疾病不在保障范围内：</w:t>
            </w:r>
          </w:p>
          <w:p>
            <w:pPr>
              <w:pStyle w:val="TableParagraph"/>
              <w:ind w:left="75"/>
              <w:jc w:val="both"/>
              <w:rPr>
                <w:sz w:val="21"/>
              </w:rPr>
            </w:pPr>
            <w:r>
              <w:rPr>
                <w:sz w:val="21"/>
              </w:rPr>
              <w:t>（1）原位癌；</w:t>
            </w:r>
          </w:p>
          <w:p>
            <w:pPr>
              <w:pStyle w:val="TableParagraph"/>
              <w:ind w:left="75"/>
              <w:jc w:val="both"/>
              <w:rPr>
                <w:sz w:val="21"/>
              </w:rPr>
            </w:pPr>
            <w:r>
              <w:rPr>
                <w:sz w:val="21"/>
              </w:rPr>
              <w:t>（2）相当于 Binet 分期方案 A 期程度的慢性淋巴细胞白血病；</w:t>
            </w:r>
          </w:p>
          <w:p>
            <w:pPr>
              <w:pStyle w:val="TableParagraph"/>
              <w:ind w:left="75"/>
              <w:jc w:val="both"/>
              <w:rPr>
                <w:sz w:val="21"/>
              </w:rPr>
            </w:pPr>
            <w:r>
              <w:rPr>
                <w:sz w:val="21"/>
              </w:rPr>
              <w:t>（3）相当于 Ann Arbor 分期方案 I 期程度的何杰金氏病；</w:t>
            </w:r>
          </w:p>
          <w:p>
            <w:pPr>
              <w:pStyle w:val="TableParagraph"/>
              <w:ind w:left="75"/>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ind w:left="75"/>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2675" w:hRule="atLeast"/>
        </w:trPr>
        <w:tc>
          <w:tcPr>
            <w:tcW w:w="784" w:type="dxa"/>
          </w:tcPr>
          <w:p>
            <w:pPr>
              <w:pStyle w:val="TableParagraph"/>
              <w:spacing w:before="0"/>
              <w:ind w:left="0"/>
              <w:rPr>
                <w:rFonts w:ascii="Times New Roman"/>
                <w:sz w:val="20"/>
              </w:rPr>
            </w:pPr>
          </w:p>
        </w:tc>
        <w:tc>
          <w:tcPr>
            <w:tcW w:w="1866" w:type="dxa"/>
          </w:tcPr>
          <w:p>
            <w:pPr>
              <w:pStyle w:val="TableParagraph"/>
              <w:tabs>
                <w:tab w:pos="687" w:val="left" w:leader="none"/>
              </w:tabs>
              <w:spacing w:line="300" w:lineRule="auto" w:before="138"/>
              <w:ind w:left="267" w:right="72"/>
              <w:rPr>
                <w:b/>
                <w:sz w:val="21"/>
              </w:rPr>
            </w:pPr>
            <w:r>
              <w:rPr>
                <w:b/>
                <w:sz w:val="21"/>
              </w:rPr>
              <w:t>2.</w:t>
              <w:tab/>
            </w:r>
            <w:r>
              <w:rPr>
                <w:b/>
                <w:spacing w:val="46"/>
                <w:sz w:val="21"/>
              </w:rPr>
              <w:t>急性心肌 梗塞</w:t>
            </w:r>
          </w:p>
        </w:tc>
        <w:tc>
          <w:tcPr>
            <w:tcW w:w="7307" w:type="dxa"/>
          </w:tcPr>
          <w:p>
            <w:pPr>
              <w:pStyle w:val="TableParagraph"/>
              <w:spacing w:line="300" w:lineRule="auto" w:before="138"/>
              <w:ind w:left="75" w:right="299"/>
              <w:rPr>
                <w:sz w:val="21"/>
              </w:rPr>
            </w:pPr>
            <w:r>
              <w:rPr>
                <w:sz w:val="21"/>
              </w:rPr>
              <w:t>指因冠状动脉阻塞导致的相应区域供血不足造成部分心肌坏死。须满足下列至少三项条件：</w:t>
            </w:r>
          </w:p>
          <w:p>
            <w:pPr>
              <w:pStyle w:val="TableParagraph"/>
              <w:spacing w:before="16"/>
              <w:ind w:left="75"/>
              <w:rPr>
                <w:sz w:val="21"/>
              </w:rPr>
            </w:pPr>
            <w:r>
              <w:rPr>
                <w:sz w:val="21"/>
              </w:rPr>
              <w:t>（1）典型临床表现，例如急性胸痛等；</w:t>
            </w:r>
          </w:p>
          <w:p>
            <w:pPr>
              <w:pStyle w:val="TableParagraph"/>
              <w:ind w:left="75"/>
              <w:rPr>
                <w:sz w:val="21"/>
              </w:rPr>
            </w:pPr>
            <w:r>
              <w:rPr>
                <w:sz w:val="21"/>
              </w:rPr>
              <w:t>（2）新近的心电图改变提示急性心肌梗塞；</w:t>
            </w:r>
          </w:p>
          <w:p>
            <w:pPr>
              <w:pStyle w:val="TableParagraph"/>
              <w:spacing w:line="300" w:lineRule="auto" w:before="67"/>
              <w:ind w:left="495" w:right="303" w:hanging="420"/>
              <w:rPr>
                <w:sz w:val="21"/>
              </w:rPr>
            </w:pPr>
            <w:r>
              <w:rPr>
                <w:sz w:val="21"/>
              </w:rPr>
              <w:t>（3）心肌酶或肌钙蛋白有诊断意义的升高，或呈符合急性心肌梗塞的动态性变化；</w:t>
            </w:r>
          </w:p>
          <w:p>
            <w:pPr>
              <w:pStyle w:val="TableParagraph"/>
              <w:spacing w:before="15"/>
              <w:ind w:left="75"/>
              <w:rPr>
                <w:sz w:val="21"/>
              </w:rPr>
            </w:pPr>
            <w:r>
              <w:rPr>
                <w:w w:val="100"/>
                <w:sz w:val="21"/>
              </w:rPr>
              <w:t>（</w:t>
            </w:r>
            <w:r>
              <w:rPr>
                <w:spacing w:val="-3"/>
                <w:w w:val="100"/>
                <w:sz w:val="21"/>
              </w:rPr>
              <w:t>4</w:t>
            </w:r>
            <w:r>
              <w:rPr>
                <w:spacing w:val="-89"/>
                <w:w w:val="100"/>
                <w:sz w:val="21"/>
              </w:rPr>
              <w:t>）</w:t>
            </w:r>
            <w:r>
              <w:rPr>
                <w:spacing w:val="-2"/>
                <w:w w:val="100"/>
                <w:sz w:val="21"/>
              </w:rPr>
              <w:t>发病</w:t>
            </w:r>
            <w:r>
              <w:rPr>
                <w:spacing w:val="-53"/>
                <w:sz w:val="21"/>
              </w:rPr>
              <w:t> </w:t>
            </w:r>
            <w:r>
              <w:rPr>
                <w:w w:val="100"/>
                <w:sz w:val="21"/>
              </w:rPr>
              <w:t>90</w:t>
            </w:r>
            <w:r>
              <w:rPr>
                <w:spacing w:val="-55"/>
                <w:sz w:val="21"/>
              </w:rPr>
              <w:t> </w:t>
            </w:r>
            <w:r>
              <w:rPr>
                <w:spacing w:val="-16"/>
                <w:w w:val="100"/>
                <w:sz w:val="21"/>
              </w:rPr>
              <w:t>天后，经检查证实左心室功能降低，如左心室射血分数低于</w:t>
            </w:r>
            <w:r>
              <w:rPr>
                <w:spacing w:val="-52"/>
                <w:sz w:val="21"/>
              </w:rPr>
              <w:t> </w:t>
            </w:r>
            <w:r>
              <w:rPr>
                <w:spacing w:val="-3"/>
                <w:w w:val="100"/>
                <w:sz w:val="21"/>
              </w:rPr>
              <w:t>5</w:t>
            </w:r>
            <w:r>
              <w:rPr>
                <w:w w:val="100"/>
                <w:sz w:val="21"/>
              </w:rPr>
              <w:t>0</w:t>
            </w:r>
            <w:r>
              <w:rPr>
                <w:spacing w:val="-1"/>
                <w:w w:val="100"/>
                <w:sz w:val="21"/>
              </w:rPr>
              <w:t>%。</w:t>
            </w:r>
          </w:p>
        </w:tc>
      </w:tr>
      <w:tr>
        <w:trPr>
          <w:trHeight w:val="2675" w:hRule="atLeast"/>
        </w:trPr>
        <w:tc>
          <w:tcPr>
            <w:tcW w:w="784" w:type="dxa"/>
          </w:tcPr>
          <w:p>
            <w:pPr>
              <w:pStyle w:val="TableParagraph"/>
              <w:spacing w:before="0"/>
              <w:ind w:left="0"/>
              <w:rPr>
                <w:rFonts w:ascii="Times New Roman"/>
                <w:sz w:val="20"/>
              </w:rPr>
            </w:pPr>
          </w:p>
        </w:tc>
        <w:tc>
          <w:tcPr>
            <w:tcW w:w="1866" w:type="dxa"/>
          </w:tcPr>
          <w:p>
            <w:pPr>
              <w:pStyle w:val="TableParagraph"/>
              <w:tabs>
                <w:tab w:pos="687" w:val="left" w:leader="none"/>
              </w:tabs>
              <w:spacing w:line="300" w:lineRule="auto" w:before="139"/>
              <w:ind w:left="267" w:right="72"/>
              <w:rPr>
                <w:b/>
                <w:sz w:val="21"/>
              </w:rPr>
            </w:pPr>
            <w:r>
              <w:rPr>
                <w:b/>
                <w:sz w:val="21"/>
              </w:rPr>
              <w:t>3.</w:t>
              <w:tab/>
            </w:r>
            <w:r>
              <w:rPr>
                <w:b/>
                <w:spacing w:val="46"/>
                <w:sz w:val="21"/>
              </w:rPr>
              <w:t>脑中风后 遗症</w:t>
            </w:r>
          </w:p>
        </w:tc>
        <w:tc>
          <w:tcPr>
            <w:tcW w:w="7307" w:type="dxa"/>
          </w:tcPr>
          <w:p>
            <w:pPr>
              <w:pStyle w:val="TableParagraph"/>
              <w:spacing w:line="300" w:lineRule="auto" w:before="139"/>
              <w:ind w:left="75" w:right="299"/>
              <w:jc w:val="both"/>
              <w:rPr>
                <w:sz w:val="21"/>
              </w:rPr>
            </w:pPr>
            <w:r>
              <w:rPr>
                <w:spacing w:val="-4"/>
                <w:sz w:val="21"/>
              </w:rPr>
              <w:t>指因脑血管的突发病变引起脑血管出血、栓塞或梗塞，并导致神经系统永久</w:t>
            </w:r>
            <w:r>
              <w:rPr>
                <w:spacing w:val="-5"/>
                <w:sz w:val="21"/>
              </w:rPr>
              <w:t>性功能障碍。神经系统永久性的功能障碍，指疾病确诊 </w:t>
            </w:r>
            <w:r>
              <w:rPr>
                <w:sz w:val="21"/>
              </w:rPr>
              <w:t>180</w:t>
            </w:r>
            <w:r>
              <w:rPr>
                <w:spacing w:val="-7"/>
                <w:sz w:val="21"/>
              </w:rPr>
              <w:t> 天后，仍遗留下</w:t>
            </w:r>
            <w:r>
              <w:rPr>
                <w:spacing w:val="-5"/>
                <w:sz w:val="21"/>
              </w:rPr>
              <w:t>列一种或一种以上障碍：</w:t>
            </w:r>
          </w:p>
          <w:p>
            <w:pPr>
              <w:pStyle w:val="TableParagraph"/>
              <w:spacing w:before="16"/>
              <w:ind w:left="75"/>
              <w:rPr>
                <w:sz w:val="21"/>
              </w:rPr>
            </w:pPr>
            <w:r>
              <w:rPr>
                <w:w w:val="100"/>
                <w:sz w:val="21"/>
              </w:rPr>
              <w:t>（1</w:t>
            </w:r>
            <w:r>
              <w:rPr>
                <w:spacing w:val="-3"/>
                <w:w w:val="100"/>
                <w:sz w:val="21"/>
              </w:rPr>
              <w:t>）一肢或一肢以上</w:t>
            </w:r>
            <w:r>
              <w:rPr>
                <w:b/>
                <w:w w:val="100"/>
                <w:sz w:val="21"/>
              </w:rPr>
              <w:t>肢体机能完全丧失</w:t>
            </w:r>
            <w:r>
              <w:rPr>
                <w:spacing w:val="-3"/>
                <w:w w:val="100"/>
                <w:sz w:val="21"/>
              </w:rPr>
              <w:t>（</w:t>
            </w:r>
            <w:r>
              <w:rPr>
                <w:spacing w:val="-2"/>
                <w:w w:val="100"/>
                <w:sz w:val="21"/>
              </w:rPr>
              <w:t>见释义</w:t>
            </w:r>
            <w:r>
              <w:rPr>
                <w:spacing w:val="-53"/>
                <w:sz w:val="21"/>
              </w:rPr>
              <w:t> </w:t>
            </w:r>
            <w:r>
              <w:rPr>
                <w:w w:val="100"/>
                <w:sz w:val="21"/>
              </w:rPr>
              <w:t>6</w:t>
            </w:r>
            <w:r>
              <w:rPr>
                <w:spacing w:val="-2"/>
                <w:w w:val="100"/>
                <w:sz w:val="21"/>
              </w:rPr>
              <w:t>.</w:t>
            </w:r>
            <w:r>
              <w:rPr>
                <w:w w:val="100"/>
                <w:sz w:val="21"/>
              </w:rPr>
              <w:t>17</w:t>
            </w:r>
            <w:r>
              <w:rPr>
                <w:spacing w:val="-106"/>
                <w:w w:val="100"/>
                <w:sz w:val="21"/>
              </w:rPr>
              <w:t>）；</w:t>
            </w:r>
          </w:p>
          <w:p>
            <w:pPr>
              <w:pStyle w:val="TableParagraph"/>
              <w:spacing w:before="69"/>
              <w:ind w:left="75"/>
              <w:rPr>
                <w:sz w:val="21"/>
              </w:rPr>
            </w:pPr>
            <w:r>
              <w:rPr>
                <w:w w:val="100"/>
                <w:sz w:val="21"/>
              </w:rPr>
              <w:t>（2</w:t>
            </w:r>
            <w:r>
              <w:rPr>
                <w:spacing w:val="-3"/>
                <w:w w:val="100"/>
                <w:sz w:val="21"/>
              </w:rPr>
              <w:t>）</w:t>
            </w:r>
            <w:r>
              <w:rPr>
                <w:b/>
                <w:spacing w:val="-2"/>
                <w:w w:val="100"/>
                <w:sz w:val="21"/>
              </w:rPr>
              <w:t>语言能力或咀嚼吞咽能力完全丧失</w:t>
            </w:r>
            <w:r>
              <w:rPr>
                <w:spacing w:val="-3"/>
                <w:w w:val="100"/>
                <w:sz w:val="21"/>
              </w:rPr>
              <w:t>（</w:t>
            </w:r>
            <w:r>
              <w:rPr>
                <w:spacing w:val="-2"/>
                <w:w w:val="100"/>
                <w:sz w:val="21"/>
              </w:rPr>
              <w:t>见释义</w:t>
            </w:r>
            <w:r>
              <w:rPr>
                <w:spacing w:val="-53"/>
                <w:sz w:val="21"/>
              </w:rPr>
              <w:t> </w:t>
            </w:r>
            <w:r>
              <w:rPr>
                <w:w w:val="100"/>
                <w:sz w:val="21"/>
              </w:rPr>
              <w:t>6</w:t>
            </w:r>
            <w:r>
              <w:rPr>
                <w:spacing w:val="-2"/>
                <w:w w:val="100"/>
                <w:sz w:val="21"/>
              </w:rPr>
              <w:t>.</w:t>
            </w:r>
            <w:r>
              <w:rPr>
                <w:w w:val="100"/>
                <w:sz w:val="21"/>
              </w:rPr>
              <w:t>18</w:t>
            </w:r>
            <w:r>
              <w:rPr>
                <w:spacing w:val="-106"/>
                <w:w w:val="100"/>
                <w:sz w:val="21"/>
              </w:rPr>
              <w:t>）；</w:t>
            </w:r>
          </w:p>
          <w:p>
            <w:pPr>
              <w:pStyle w:val="TableParagraph"/>
              <w:spacing w:line="300" w:lineRule="auto"/>
              <w:ind w:left="75" w:right="196"/>
              <w:rPr>
                <w:sz w:val="21"/>
              </w:rPr>
            </w:pPr>
            <w:r>
              <w:rPr>
                <w:spacing w:val="-11"/>
                <w:sz w:val="21"/>
              </w:rPr>
              <w:t>自主生活能力完全丧失，无法独立完成</w:t>
            </w:r>
            <w:r>
              <w:rPr>
                <w:b/>
                <w:spacing w:val="-10"/>
                <w:sz w:val="21"/>
              </w:rPr>
              <w:t>六项基本日常生活活动</w:t>
            </w:r>
            <w:r>
              <w:rPr>
                <w:sz w:val="21"/>
              </w:rPr>
              <w:t>（</w:t>
            </w:r>
            <w:r>
              <w:rPr>
                <w:spacing w:val="-10"/>
                <w:sz w:val="21"/>
              </w:rPr>
              <w:t>见释义 </w:t>
            </w:r>
            <w:r>
              <w:rPr>
                <w:sz w:val="21"/>
              </w:rPr>
              <w:t>6.19） </w:t>
            </w:r>
            <w:r>
              <w:rPr>
                <w:spacing w:val="-3"/>
                <w:sz w:val="21"/>
              </w:rPr>
              <w:t>中的三项或三项以上。</w:t>
            </w:r>
          </w:p>
        </w:tc>
      </w:tr>
      <w:tr>
        <w:trPr>
          <w:trHeight w:val="1987" w:hRule="atLeast"/>
        </w:trPr>
        <w:tc>
          <w:tcPr>
            <w:tcW w:w="784" w:type="dxa"/>
          </w:tcPr>
          <w:p>
            <w:pPr>
              <w:pStyle w:val="TableParagraph"/>
              <w:spacing w:before="0"/>
              <w:ind w:left="0"/>
              <w:rPr>
                <w:rFonts w:ascii="Times New Roman"/>
                <w:sz w:val="20"/>
              </w:rPr>
            </w:pPr>
          </w:p>
        </w:tc>
        <w:tc>
          <w:tcPr>
            <w:tcW w:w="1866" w:type="dxa"/>
          </w:tcPr>
          <w:p>
            <w:pPr>
              <w:pStyle w:val="TableParagraph"/>
              <w:spacing w:line="300" w:lineRule="auto" w:before="138"/>
              <w:ind w:left="267" w:right="122"/>
              <w:jc w:val="both"/>
              <w:rPr>
                <w:b/>
                <w:sz w:val="21"/>
              </w:rPr>
            </w:pPr>
            <w:r>
              <w:rPr>
                <w:b/>
                <w:sz w:val="21"/>
              </w:rPr>
              <w:t>4. 重大器 官移植术/造血干细胞移植术</w:t>
            </w:r>
          </w:p>
        </w:tc>
        <w:tc>
          <w:tcPr>
            <w:tcW w:w="7307" w:type="dxa"/>
          </w:tcPr>
          <w:p>
            <w:pPr>
              <w:pStyle w:val="TableParagraph"/>
              <w:spacing w:line="300" w:lineRule="auto" w:before="138"/>
              <w:ind w:left="75" w:right="302"/>
              <w:jc w:val="both"/>
              <w:rPr>
                <w:sz w:val="21"/>
              </w:rPr>
            </w:pPr>
            <w:r>
              <w:rPr>
                <w:sz w:val="21"/>
              </w:rPr>
              <w:t>重大器官移植术，指因相应器官功能衰竭，已经实施了肾脏、肝脏、心脏或肺脏的异体移植手术。</w:t>
            </w:r>
          </w:p>
          <w:p>
            <w:pPr>
              <w:pStyle w:val="TableParagraph"/>
              <w:spacing w:line="300" w:lineRule="auto" w:before="16"/>
              <w:ind w:left="75" w:right="299"/>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756" w:hRule="atLeast"/>
        </w:trPr>
        <w:tc>
          <w:tcPr>
            <w:tcW w:w="784" w:type="dxa"/>
          </w:tcPr>
          <w:p>
            <w:pPr>
              <w:pStyle w:val="TableParagraph"/>
              <w:spacing w:before="0"/>
              <w:ind w:left="0"/>
              <w:rPr>
                <w:rFonts w:ascii="Times New Roman"/>
                <w:sz w:val="20"/>
              </w:rPr>
            </w:pPr>
          </w:p>
        </w:tc>
        <w:tc>
          <w:tcPr>
            <w:tcW w:w="1866" w:type="dxa"/>
          </w:tcPr>
          <w:p>
            <w:pPr>
              <w:pStyle w:val="TableParagraph"/>
              <w:tabs>
                <w:tab w:pos="687" w:val="left" w:leader="none"/>
              </w:tabs>
              <w:spacing w:line="340" w:lineRule="atLeast" w:before="72"/>
              <w:ind w:left="267" w:right="72"/>
              <w:rPr>
                <w:b/>
                <w:sz w:val="21"/>
              </w:rPr>
            </w:pPr>
            <w:r>
              <w:rPr>
                <w:b/>
                <w:sz w:val="21"/>
              </w:rPr>
              <w:t>5.</w:t>
              <w:tab/>
            </w:r>
            <w:r>
              <w:rPr>
                <w:b/>
                <w:spacing w:val="46"/>
                <w:sz w:val="21"/>
              </w:rPr>
              <w:t>冠状动脉 搭桥术</w:t>
            </w:r>
          </w:p>
        </w:tc>
        <w:tc>
          <w:tcPr>
            <w:tcW w:w="7307" w:type="dxa"/>
          </w:tcPr>
          <w:p>
            <w:pPr>
              <w:pStyle w:val="TableParagraph"/>
              <w:spacing w:line="340" w:lineRule="atLeast" w:before="72"/>
              <w:ind w:left="75" w:right="299"/>
              <w:rPr>
                <w:sz w:val="21"/>
              </w:rPr>
            </w:pPr>
            <w:r>
              <w:rPr>
                <w:sz w:val="21"/>
              </w:rPr>
              <w:t>指为治疗严重的冠心病，实际实施了开胸进行的冠状动脉血管旁路移植的手术。</w:t>
            </w:r>
          </w:p>
        </w:tc>
      </w:tr>
    </w:tbl>
    <w:p>
      <w:pPr>
        <w:spacing w:after="0" w:line="340" w:lineRule="atLeast"/>
        <w:rPr>
          <w:sz w:val="21"/>
        </w:rPr>
        <w:sectPr>
          <w:pgSz w:w="11910" w:h="16840"/>
          <w:pgMar w:top="1460" w:bottom="280" w:left="1000" w:right="740"/>
        </w:sectPr>
      </w:pPr>
    </w:p>
    <w:tbl>
      <w:tblPr>
        <w:tblW w:w="0" w:type="auto"/>
        <w:jc w:val="left"/>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9"/>
        <w:gridCol w:w="7310"/>
      </w:tblGrid>
      <w:tr>
        <w:trPr>
          <w:trHeight w:val="756" w:hRule="atLeast"/>
        </w:trPr>
        <w:tc>
          <w:tcPr>
            <w:tcW w:w="1799" w:type="dxa"/>
          </w:tcPr>
          <w:p>
            <w:pPr>
              <w:pStyle w:val="TableParagraph"/>
              <w:spacing w:before="0"/>
              <w:ind w:left="0"/>
              <w:rPr>
                <w:rFonts w:ascii="Times New Roman"/>
                <w:sz w:val="20"/>
              </w:rPr>
            </w:pPr>
          </w:p>
        </w:tc>
        <w:tc>
          <w:tcPr>
            <w:tcW w:w="7310" w:type="dxa"/>
          </w:tcPr>
          <w:p>
            <w:pPr>
              <w:pStyle w:val="TableParagraph"/>
              <w:spacing w:line="211" w:lineRule="exact" w:before="0"/>
              <w:ind w:left="74"/>
              <w:rPr>
                <w:sz w:val="21"/>
              </w:rPr>
            </w:pPr>
            <w:r>
              <w:rPr>
                <w:sz w:val="21"/>
              </w:rPr>
              <w:t>冠状动脉支架植入术、心导管球囊扩张术、激光射频技术及其它非开胸的介</w:t>
            </w:r>
          </w:p>
          <w:p>
            <w:pPr>
              <w:pStyle w:val="TableParagraph"/>
              <w:ind w:left="74"/>
              <w:rPr>
                <w:sz w:val="21"/>
              </w:rPr>
            </w:pPr>
            <w:r>
              <w:rPr>
                <w:sz w:val="21"/>
              </w:rPr>
              <w:t>入手术、腔镜手术不在保障范围内。</w:t>
            </w:r>
          </w:p>
        </w:tc>
      </w:tr>
      <w:tr>
        <w:trPr>
          <w:trHeight w:val="957" w:hRule="atLeast"/>
        </w:trPr>
        <w:tc>
          <w:tcPr>
            <w:tcW w:w="1799" w:type="dxa"/>
          </w:tcPr>
          <w:p>
            <w:pPr>
              <w:pStyle w:val="TableParagraph"/>
              <w:tabs>
                <w:tab w:pos="619" w:val="left" w:leader="none"/>
              </w:tabs>
              <w:spacing w:line="300" w:lineRule="auto" w:before="138"/>
              <w:ind w:left="200" w:right="74"/>
              <w:rPr>
                <w:b/>
                <w:sz w:val="21"/>
              </w:rPr>
            </w:pPr>
            <w:r>
              <w:rPr>
                <w:b/>
                <w:sz w:val="21"/>
              </w:rPr>
              <w:t>6.</w:t>
              <w:tab/>
            </w:r>
            <w:r>
              <w:rPr>
                <w:b/>
                <w:spacing w:val="46"/>
                <w:sz w:val="21"/>
              </w:rPr>
              <w:t>终末期肾 病</w:t>
            </w:r>
          </w:p>
        </w:tc>
        <w:tc>
          <w:tcPr>
            <w:tcW w:w="7310" w:type="dxa"/>
          </w:tcPr>
          <w:p>
            <w:pPr>
              <w:pStyle w:val="TableParagraph"/>
              <w:spacing w:line="300" w:lineRule="auto" w:before="138"/>
              <w:ind w:left="74" w:right="308"/>
              <w:rPr>
                <w:sz w:val="21"/>
              </w:rPr>
            </w:pPr>
            <w:r>
              <w:rPr>
                <w:spacing w:val="-8"/>
                <w:sz w:val="21"/>
              </w:rPr>
              <w:t>指双肾功能慢性不可逆性衰竭，达到尿毒症期，经诊断后已经进行了至少 </w:t>
            </w:r>
            <w:r>
              <w:rPr>
                <w:spacing w:val="-3"/>
                <w:sz w:val="21"/>
              </w:rPr>
              <w:t>90 天的规律性透析治疗或实施了肾脏移植手术。</w:t>
            </w:r>
          </w:p>
        </w:tc>
      </w:tr>
      <w:tr>
        <w:trPr>
          <w:trHeight w:val="958" w:hRule="atLeast"/>
        </w:trPr>
        <w:tc>
          <w:tcPr>
            <w:tcW w:w="1799" w:type="dxa"/>
          </w:tcPr>
          <w:p>
            <w:pPr>
              <w:pStyle w:val="TableParagraph"/>
              <w:tabs>
                <w:tab w:pos="619" w:val="left" w:leader="none"/>
              </w:tabs>
              <w:spacing w:line="300" w:lineRule="auto" w:before="138"/>
              <w:ind w:left="200" w:right="74"/>
              <w:rPr>
                <w:b/>
                <w:sz w:val="21"/>
              </w:rPr>
            </w:pPr>
            <w:r>
              <w:rPr>
                <w:b/>
                <w:sz w:val="21"/>
              </w:rPr>
              <w:t>7.</w:t>
              <w:tab/>
            </w:r>
            <w:r>
              <w:rPr>
                <w:b/>
                <w:spacing w:val="46"/>
                <w:sz w:val="21"/>
              </w:rPr>
              <w:t>多个肢体 缺失</w:t>
            </w:r>
          </w:p>
        </w:tc>
        <w:tc>
          <w:tcPr>
            <w:tcW w:w="7310" w:type="dxa"/>
          </w:tcPr>
          <w:p>
            <w:pPr>
              <w:pStyle w:val="TableParagraph"/>
              <w:spacing w:line="300" w:lineRule="auto" w:before="138"/>
              <w:ind w:left="74" w:right="303"/>
              <w:rPr>
                <w:sz w:val="21"/>
              </w:rPr>
            </w:pPr>
            <w:r>
              <w:rPr>
                <w:sz w:val="21"/>
              </w:rPr>
              <w:t>指因疾病或意外伤害导致两个或两个以上肢体自腕关节或踝关节近端（靠近躯干端）以上完全性断离。</w:t>
            </w:r>
          </w:p>
        </w:tc>
      </w:tr>
      <w:tr>
        <w:trPr>
          <w:trHeight w:val="2332" w:hRule="atLeast"/>
        </w:trPr>
        <w:tc>
          <w:tcPr>
            <w:tcW w:w="1799" w:type="dxa"/>
          </w:tcPr>
          <w:p>
            <w:pPr>
              <w:pStyle w:val="TableParagraph"/>
              <w:tabs>
                <w:tab w:pos="619" w:val="left" w:leader="none"/>
              </w:tabs>
              <w:spacing w:line="300" w:lineRule="auto" w:before="139"/>
              <w:ind w:left="200" w:right="329"/>
              <w:rPr>
                <w:b/>
                <w:sz w:val="21"/>
              </w:rPr>
            </w:pPr>
            <w:r>
              <w:rPr>
                <w:b/>
                <w:sz w:val="21"/>
              </w:rPr>
              <w:t>8.</w:t>
              <w:tab/>
              <w:t>急性或亚急性重症肝炎</w:t>
            </w:r>
          </w:p>
        </w:tc>
        <w:tc>
          <w:tcPr>
            <w:tcW w:w="7310" w:type="dxa"/>
          </w:tcPr>
          <w:p>
            <w:pPr>
              <w:pStyle w:val="TableParagraph"/>
              <w:spacing w:line="300" w:lineRule="auto" w:before="139"/>
              <w:ind w:left="74" w:right="267"/>
              <w:rPr>
                <w:sz w:val="21"/>
              </w:rPr>
            </w:pPr>
            <w:r>
              <w:rPr>
                <w:sz w:val="21"/>
              </w:rPr>
              <w:t>指因肝炎病毒感染引起肝组织弥漫性坏死，导致急性肝功能衰竭，且经血清学或病毒学检查证实，并须满足下列全部条件：</w:t>
            </w:r>
          </w:p>
          <w:p>
            <w:pPr>
              <w:pStyle w:val="TableParagraph"/>
              <w:spacing w:before="16"/>
              <w:ind w:left="74"/>
              <w:rPr>
                <w:sz w:val="21"/>
              </w:rPr>
            </w:pPr>
            <w:r>
              <w:rPr>
                <w:sz w:val="21"/>
              </w:rPr>
              <w:t>（1）重度黄疸或黄疸迅速加重；</w:t>
            </w:r>
          </w:p>
          <w:p>
            <w:pPr>
              <w:pStyle w:val="TableParagraph"/>
              <w:ind w:left="74"/>
              <w:rPr>
                <w:sz w:val="21"/>
              </w:rPr>
            </w:pPr>
            <w:r>
              <w:rPr>
                <w:sz w:val="21"/>
              </w:rPr>
              <w:t>（2）肝性脑病；</w:t>
            </w:r>
          </w:p>
          <w:p>
            <w:pPr>
              <w:pStyle w:val="TableParagraph"/>
              <w:ind w:left="74"/>
              <w:rPr>
                <w:sz w:val="21"/>
              </w:rPr>
            </w:pPr>
            <w:r>
              <w:rPr>
                <w:sz w:val="21"/>
              </w:rPr>
              <w:t>（3）B 超或其他影像学检查显示肝脏体积急速萎缩；</w:t>
            </w:r>
          </w:p>
          <w:p>
            <w:pPr>
              <w:pStyle w:val="TableParagraph"/>
              <w:ind w:left="74"/>
              <w:rPr>
                <w:sz w:val="21"/>
              </w:rPr>
            </w:pPr>
            <w:r>
              <w:rPr>
                <w:sz w:val="21"/>
              </w:rPr>
              <w:t>（4）肝功能指标进行性恶化。</w:t>
            </w:r>
          </w:p>
        </w:tc>
      </w:tr>
      <w:tr>
        <w:trPr>
          <w:trHeight w:val="2673" w:hRule="atLeast"/>
        </w:trPr>
        <w:tc>
          <w:tcPr>
            <w:tcW w:w="1799" w:type="dxa"/>
          </w:tcPr>
          <w:p>
            <w:pPr>
              <w:pStyle w:val="TableParagraph"/>
              <w:tabs>
                <w:tab w:pos="619" w:val="left" w:leader="none"/>
              </w:tabs>
              <w:spacing w:line="300" w:lineRule="auto" w:before="138"/>
              <w:ind w:left="200" w:right="74"/>
              <w:rPr>
                <w:b/>
                <w:sz w:val="21"/>
              </w:rPr>
            </w:pPr>
            <w:r>
              <w:rPr>
                <w:b/>
                <w:sz w:val="21"/>
              </w:rPr>
              <w:t>9.</w:t>
              <w:tab/>
            </w:r>
            <w:r>
              <w:rPr>
                <w:b/>
                <w:spacing w:val="46"/>
                <w:sz w:val="21"/>
              </w:rPr>
              <w:t>良性脑肿 瘤</w:t>
            </w:r>
          </w:p>
        </w:tc>
        <w:tc>
          <w:tcPr>
            <w:tcW w:w="7310" w:type="dxa"/>
          </w:tcPr>
          <w:p>
            <w:pPr>
              <w:pStyle w:val="TableParagraph"/>
              <w:spacing w:line="300" w:lineRule="auto" w:before="138"/>
              <w:ind w:left="74" w:right="303"/>
              <w:jc w:val="both"/>
              <w:rPr>
                <w:sz w:val="21"/>
              </w:rPr>
            </w:pPr>
            <w:r>
              <w:rPr>
                <w:spacing w:val="-5"/>
                <w:sz w:val="21"/>
              </w:rPr>
              <w:t>指脑的良性肿瘤，已经引起颅内压增高，临床表现为视神经乳头水肿、精神</w:t>
            </w:r>
            <w:r>
              <w:rPr>
                <w:w w:val="100"/>
                <w:sz w:val="21"/>
              </w:rPr>
              <w:t>症状、癫痫及运动感觉障碍等，并危及生命。须由头颅断层扫描</w:t>
            </w:r>
            <w:r>
              <w:rPr>
                <w:spacing w:val="6"/>
                <w:w w:val="100"/>
                <w:sz w:val="21"/>
              </w:rPr>
              <w:t>（</w:t>
            </w:r>
            <w:r>
              <w:rPr>
                <w:w w:val="100"/>
                <w:sz w:val="21"/>
              </w:rPr>
              <w:t>CT</w:t>
            </w:r>
            <w:r>
              <w:rPr>
                <w:spacing w:val="-101"/>
                <w:w w:val="100"/>
                <w:sz w:val="21"/>
              </w:rPr>
              <w:t>）</w:t>
            </w:r>
            <w:r>
              <w:rPr>
                <w:w w:val="100"/>
                <w:sz w:val="21"/>
              </w:rPr>
              <w:t>、核</w:t>
            </w:r>
            <w:r>
              <w:rPr>
                <w:spacing w:val="-3"/>
                <w:sz w:val="21"/>
              </w:rPr>
              <w:t>磁共振检查</w:t>
            </w:r>
            <w:r>
              <w:rPr>
                <w:spacing w:val="-1"/>
                <w:sz w:val="21"/>
              </w:rPr>
              <w:t>（MRI）</w:t>
            </w:r>
            <w:r>
              <w:rPr>
                <w:spacing w:val="-3"/>
                <w:sz w:val="21"/>
              </w:rPr>
              <w:t>或正电子发射断层扫描</w:t>
            </w:r>
            <w:r>
              <w:rPr>
                <w:sz w:val="21"/>
              </w:rPr>
              <w:t>（PET）</w:t>
            </w:r>
            <w:r>
              <w:rPr>
                <w:spacing w:val="-3"/>
                <w:sz w:val="21"/>
              </w:rPr>
              <w:t>等影像学检查证实，并须满足下列至少一项条件：</w:t>
            </w:r>
          </w:p>
          <w:p>
            <w:pPr>
              <w:pStyle w:val="TableParagraph"/>
              <w:spacing w:before="16"/>
              <w:ind w:left="74"/>
              <w:jc w:val="both"/>
              <w:rPr>
                <w:sz w:val="21"/>
              </w:rPr>
            </w:pPr>
            <w:r>
              <w:rPr>
                <w:sz w:val="21"/>
              </w:rPr>
              <w:t>（1）实际实施了开颅进行的脑肿瘤完全切除或部分切除的手术；</w:t>
            </w:r>
          </w:p>
          <w:p>
            <w:pPr>
              <w:pStyle w:val="TableParagraph"/>
              <w:ind w:left="74"/>
              <w:jc w:val="both"/>
              <w:rPr>
                <w:sz w:val="21"/>
              </w:rPr>
            </w:pPr>
            <w:r>
              <w:rPr>
                <w:sz w:val="21"/>
              </w:rPr>
              <w:t>（2）实际实施了对脑肿瘤进行的放射治疗。</w:t>
            </w:r>
          </w:p>
          <w:p>
            <w:pPr>
              <w:pStyle w:val="TableParagraph"/>
              <w:spacing w:before="67"/>
              <w:ind w:left="74"/>
              <w:jc w:val="both"/>
              <w:rPr>
                <w:sz w:val="21"/>
              </w:rPr>
            </w:pPr>
            <w:r>
              <w:rPr>
                <w:sz w:val="21"/>
              </w:rPr>
              <w:t>脑垂体瘤、脑囊肿、脑血管性疾病不在保障范围内。</w:t>
            </w:r>
          </w:p>
        </w:tc>
      </w:tr>
      <w:tr>
        <w:trPr>
          <w:trHeight w:val="2331" w:hRule="atLeast"/>
        </w:trPr>
        <w:tc>
          <w:tcPr>
            <w:tcW w:w="1799" w:type="dxa"/>
          </w:tcPr>
          <w:p>
            <w:pPr>
              <w:pStyle w:val="TableParagraph"/>
              <w:spacing w:line="300" w:lineRule="auto" w:before="138"/>
              <w:ind w:left="200" w:right="74"/>
              <w:jc w:val="both"/>
              <w:rPr>
                <w:b/>
                <w:sz w:val="21"/>
              </w:rPr>
            </w:pPr>
            <w:r>
              <w:rPr>
                <w:b/>
                <w:sz w:val="21"/>
              </w:rPr>
              <w:t>10. 慢性肝功能衰竭失代偿期</w:t>
            </w:r>
          </w:p>
        </w:tc>
        <w:tc>
          <w:tcPr>
            <w:tcW w:w="7310" w:type="dxa"/>
          </w:tcPr>
          <w:p>
            <w:pPr>
              <w:pStyle w:val="TableParagraph"/>
              <w:spacing w:before="138"/>
              <w:ind w:left="74"/>
              <w:rPr>
                <w:sz w:val="21"/>
              </w:rPr>
            </w:pPr>
            <w:r>
              <w:rPr>
                <w:sz w:val="21"/>
              </w:rPr>
              <w:t>指因慢性肝脏疾病导致肝功能衰竭。须满足下列全部条件：</w:t>
            </w:r>
          </w:p>
          <w:p>
            <w:pPr>
              <w:pStyle w:val="TableParagraph"/>
              <w:ind w:left="74"/>
              <w:rPr>
                <w:sz w:val="21"/>
              </w:rPr>
            </w:pPr>
            <w:r>
              <w:rPr>
                <w:sz w:val="21"/>
              </w:rPr>
              <w:t>（1）持续性黄疸；</w:t>
            </w:r>
          </w:p>
          <w:p>
            <w:pPr>
              <w:pStyle w:val="TableParagraph"/>
              <w:ind w:left="74"/>
              <w:rPr>
                <w:sz w:val="21"/>
              </w:rPr>
            </w:pPr>
            <w:r>
              <w:rPr>
                <w:sz w:val="21"/>
              </w:rPr>
              <w:t>（2）腹水；</w:t>
            </w:r>
          </w:p>
          <w:p>
            <w:pPr>
              <w:pStyle w:val="TableParagraph"/>
              <w:ind w:left="74"/>
              <w:rPr>
                <w:sz w:val="21"/>
              </w:rPr>
            </w:pPr>
            <w:r>
              <w:rPr>
                <w:sz w:val="21"/>
              </w:rPr>
              <w:t>（3）肝性脑病；</w:t>
            </w:r>
          </w:p>
          <w:p>
            <w:pPr>
              <w:pStyle w:val="TableParagraph"/>
              <w:spacing w:line="300" w:lineRule="auto"/>
              <w:ind w:left="74" w:right="2188"/>
              <w:rPr>
                <w:sz w:val="21"/>
              </w:rPr>
            </w:pPr>
            <w:r>
              <w:rPr>
                <w:sz w:val="21"/>
              </w:rPr>
              <w:t>（4）充血性脾大伴脾功能亢进或食管胃底静脉曲张。因酗酒或药物滥用导致的肝功能衰竭不在保障范围内。</w:t>
            </w:r>
          </w:p>
        </w:tc>
      </w:tr>
      <w:tr>
        <w:trPr>
          <w:trHeight w:val="2331" w:hRule="atLeast"/>
        </w:trPr>
        <w:tc>
          <w:tcPr>
            <w:tcW w:w="1799" w:type="dxa"/>
          </w:tcPr>
          <w:p>
            <w:pPr>
              <w:pStyle w:val="TableParagraph"/>
              <w:spacing w:line="300" w:lineRule="auto" w:before="139"/>
              <w:ind w:left="200" w:right="74"/>
              <w:jc w:val="both"/>
              <w:rPr>
                <w:b/>
                <w:sz w:val="21"/>
              </w:rPr>
            </w:pPr>
            <w:r>
              <w:rPr>
                <w:b/>
                <w:sz w:val="21"/>
              </w:rPr>
              <w:t>11. 脑炎后遗症或脑膜炎后遗症</w:t>
            </w:r>
          </w:p>
        </w:tc>
        <w:tc>
          <w:tcPr>
            <w:tcW w:w="7310" w:type="dxa"/>
          </w:tcPr>
          <w:p>
            <w:pPr>
              <w:pStyle w:val="TableParagraph"/>
              <w:spacing w:line="300" w:lineRule="auto" w:before="139"/>
              <w:ind w:left="74" w:right="303"/>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15"/>
              <w:ind w:left="74"/>
              <w:rPr>
                <w:sz w:val="21"/>
              </w:rPr>
            </w:pPr>
            <w:r>
              <w:rPr>
                <w:sz w:val="21"/>
              </w:rPr>
              <w:t>（1）一肢或一肢以上肢体机能完全丧失；</w:t>
            </w:r>
          </w:p>
          <w:p>
            <w:pPr>
              <w:pStyle w:val="TableParagraph"/>
              <w:ind w:left="74"/>
              <w:rPr>
                <w:sz w:val="21"/>
              </w:rPr>
            </w:pPr>
            <w:r>
              <w:rPr>
                <w:sz w:val="21"/>
              </w:rPr>
              <w:t>（2）语言能力或咀嚼吞咽能力完全丧失；</w:t>
            </w:r>
          </w:p>
          <w:p>
            <w:pPr>
              <w:pStyle w:val="TableParagraph"/>
              <w:spacing w:line="300" w:lineRule="auto"/>
              <w:ind w:left="74" w:right="313"/>
              <w:rPr>
                <w:sz w:val="21"/>
              </w:rPr>
            </w:pPr>
            <w:r>
              <w:rPr>
                <w:sz w:val="21"/>
              </w:rPr>
              <w:t>（3）自主生活能力完全丧失，无法独立完成六项基本日常生活活动中的三项或三项以上。</w:t>
            </w:r>
          </w:p>
        </w:tc>
      </w:tr>
      <w:tr>
        <w:trPr>
          <w:trHeight w:val="1442" w:hRule="atLeast"/>
        </w:trPr>
        <w:tc>
          <w:tcPr>
            <w:tcW w:w="1799" w:type="dxa"/>
          </w:tcPr>
          <w:p>
            <w:pPr>
              <w:pStyle w:val="TableParagraph"/>
              <w:spacing w:before="138"/>
              <w:ind w:left="200"/>
              <w:rPr>
                <w:b/>
                <w:sz w:val="21"/>
              </w:rPr>
            </w:pPr>
            <w:r>
              <w:rPr>
                <w:b/>
                <w:sz w:val="21"/>
              </w:rPr>
              <w:t>12. 深度昏迷</w:t>
            </w:r>
          </w:p>
        </w:tc>
        <w:tc>
          <w:tcPr>
            <w:tcW w:w="7310" w:type="dxa"/>
          </w:tcPr>
          <w:p>
            <w:pPr>
              <w:pStyle w:val="TableParagraph"/>
              <w:spacing w:before="138"/>
              <w:ind w:left="74"/>
              <w:rPr>
                <w:sz w:val="21"/>
              </w:rPr>
            </w:pPr>
            <w:r>
              <w:rPr>
                <w:sz w:val="21"/>
              </w:rPr>
              <w:t>指因疾病或意外伤害导致意识丧失,对外界刺激和体内需求均无反应,昏迷</w:t>
            </w:r>
          </w:p>
          <w:p>
            <w:pPr>
              <w:pStyle w:val="TableParagraph"/>
              <w:spacing w:line="300" w:lineRule="auto"/>
              <w:ind w:left="74" w:right="198"/>
              <w:rPr>
                <w:sz w:val="21"/>
              </w:rPr>
            </w:pPr>
            <w:r>
              <w:rPr>
                <w:spacing w:val="-3"/>
                <w:sz w:val="21"/>
              </w:rPr>
              <w:t>程度按照格拉斯哥昏迷分级</w:t>
            </w:r>
            <w:r>
              <w:rPr>
                <w:sz w:val="21"/>
              </w:rPr>
              <w:t>（Glasgow</w:t>
            </w:r>
            <w:r>
              <w:rPr>
                <w:spacing w:val="-51"/>
                <w:sz w:val="21"/>
              </w:rPr>
              <w:t> </w:t>
            </w:r>
            <w:r>
              <w:rPr>
                <w:sz w:val="21"/>
              </w:rPr>
              <w:t>coma</w:t>
            </w:r>
            <w:r>
              <w:rPr>
                <w:spacing w:val="-51"/>
                <w:sz w:val="21"/>
              </w:rPr>
              <w:t> </w:t>
            </w:r>
            <w:r>
              <w:rPr>
                <w:sz w:val="21"/>
              </w:rPr>
              <w:t>scale）</w:t>
            </w:r>
            <w:r>
              <w:rPr>
                <w:spacing w:val="-14"/>
                <w:sz w:val="21"/>
              </w:rPr>
              <w:t>结果为 </w:t>
            </w:r>
            <w:r>
              <w:rPr>
                <w:sz w:val="21"/>
              </w:rPr>
              <w:t>5</w:t>
            </w:r>
            <w:r>
              <w:rPr>
                <w:spacing w:val="-27"/>
                <w:sz w:val="21"/>
              </w:rPr>
              <w:t> 分或 </w:t>
            </w:r>
            <w:r>
              <w:rPr>
                <w:sz w:val="21"/>
              </w:rPr>
              <w:t>5</w:t>
            </w:r>
            <w:r>
              <w:rPr>
                <w:spacing w:val="-12"/>
                <w:sz w:val="21"/>
              </w:rPr>
              <w:t> 分以下， </w:t>
            </w:r>
            <w:r>
              <w:rPr>
                <w:spacing w:val="-8"/>
                <w:sz w:val="21"/>
              </w:rPr>
              <w:t>且已经持续使用呼吸机及其它生命维持系统 </w:t>
            </w:r>
            <w:r>
              <w:rPr>
                <w:sz w:val="21"/>
              </w:rPr>
              <w:t>96</w:t>
            </w:r>
            <w:r>
              <w:rPr>
                <w:spacing w:val="-9"/>
                <w:sz w:val="21"/>
              </w:rPr>
              <w:t> 小时以上。</w:t>
            </w:r>
          </w:p>
          <w:p>
            <w:pPr>
              <w:pStyle w:val="TableParagraph"/>
              <w:spacing w:line="255" w:lineRule="exact" w:before="16"/>
              <w:ind w:left="74"/>
              <w:rPr>
                <w:sz w:val="21"/>
              </w:rPr>
            </w:pPr>
            <w:r>
              <w:rPr>
                <w:sz w:val="21"/>
              </w:rPr>
              <w:t>因酗酒或药物滥用导致的深度昏迷不在保障范围内。</w:t>
            </w:r>
          </w:p>
        </w:tc>
      </w:tr>
    </w:tbl>
    <w:p>
      <w:pPr>
        <w:spacing w:after="0" w:line="255" w:lineRule="exact"/>
        <w:rPr>
          <w:sz w:val="21"/>
        </w:rPr>
        <w:sectPr>
          <w:pgSz w:w="11910" w:h="16840"/>
          <w:pgMar w:top="1460" w:bottom="280" w:left="1680" w:right="740"/>
        </w:sectPr>
      </w:pPr>
    </w:p>
    <w:p>
      <w:pPr>
        <w:pStyle w:val="BodyText"/>
        <w:spacing w:before="7" w:after="1"/>
        <w:rPr>
          <w:rFonts w:ascii="Times New Roman"/>
          <w:sz w:val="13"/>
        </w:rPr>
      </w:pPr>
    </w:p>
    <w:tbl>
      <w:tblPr>
        <w:tblW w:w="0" w:type="auto"/>
        <w:jc w:val="left"/>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9"/>
        <w:gridCol w:w="7310"/>
      </w:tblGrid>
      <w:tr>
        <w:trPr>
          <w:trHeight w:val="1099" w:hRule="atLeast"/>
        </w:trPr>
        <w:tc>
          <w:tcPr>
            <w:tcW w:w="1799" w:type="dxa"/>
          </w:tcPr>
          <w:p>
            <w:pPr>
              <w:pStyle w:val="TableParagraph"/>
              <w:spacing w:line="211" w:lineRule="exact" w:before="0"/>
              <w:ind w:left="200"/>
              <w:rPr>
                <w:b/>
                <w:sz w:val="21"/>
              </w:rPr>
            </w:pPr>
            <w:r>
              <w:rPr>
                <w:b/>
                <w:sz w:val="21"/>
              </w:rPr>
              <w:t>13. 双耳失聪</w:t>
            </w:r>
          </w:p>
        </w:tc>
        <w:tc>
          <w:tcPr>
            <w:tcW w:w="7310" w:type="dxa"/>
          </w:tcPr>
          <w:p>
            <w:pPr>
              <w:pStyle w:val="TableParagraph"/>
              <w:spacing w:line="211" w:lineRule="exact" w:before="0"/>
              <w:ind w:left="74"/>
              <w:rPr>
                <w:sz w:val="21"/>
              </w:rPr>
            </w:pPr>
            <w:r>
              <w:rPr>
                <w:sz w:val="21"/>
              </w:rPr>
              <w:t>指因疾病或意外伤害导致双耳听力</w:t>
            </w:r>
            <w:r>
              <w:rPr>
                <w:b/>
                <w:sz w:val="21"/>
              </w:rPr>
              <w:t>永久不可逆</w:t>
            </w:r>
            <w:r>
              <w:rPr>
                <w:sz w:val="21"/>
              </w:rPr>
              <w:t>（见释义 6.20）性丧失，在</w:t>
            </w:r>
          </w:p>
          <w:p>
            <w:pPr>
              <w:pStyle w:val="TableParagraph"/>
              <w:spacing w:line="300" w:lineRule="auto"/>
              <w:ind w:left="74" w:right="303"/>
              <w:rPr>
                <w:sz w:val="21"/>
              </w:rPr>
            </w:pPr>
            <w:r>
              <w:rPr>
                <w:sz w:val="21"/>
              </w:rPr>
              <w:t>500</w:t>
            </w:r>
            <w:r>
              <w:rPr>
                <w:spacing w:val="-15"/>
                <w:sz w:val="21"/>
              </w:rPr>
              <w:t> 赫兹、</w:t>
            </w:r>
            <w:r>
              <w:rPr>
                <w:sz w:val="21"/>
              </w:rPr>
              <w:t>1000</w:t>
            </w:r>
            <w:r>
              <w:rPr>
                <w:spacing w:val="-22"/>
                <w:sz w:val="21"/>
              </w:rPr>
              <w:t> 赫兹和 </w:t>
            </w:r>
            <w:r>
              <w:rPr>
                <w:sz w:val="21"/>
              </w:rPr>
              <w:t>2000</w:t>
            </w:r>
            <w:r>
              <w:rPr>
                <w:spacing w:val="-12"/>
                <w:sz w:val="21"/>
              </w:rPr>
              <w:t> 赫兹语音频率下，平均听阈大于 </w:t>
            </w:r>
            <w:r>
              <w:rPr>
                <w:sz w:val="21"/>
              </w:rPr>
              <w:t>90</w:t>
            </w:r>
            <w:r>
              <w:rPr>
                <w:spacing w:val="-10"/>
                <w:sz w:val="21"/>
              </w:rPr>
              <w:t> 分贝，且经</w:t>
            </w:r>
            <w:r>
              <w:rPr>
                <w:spacing w:val="-5"/>
                <w:sz w:val="21"/>
              </w:rPr>
              <w:t>纯音听力测试、声导抗检测或听觉诱发电位检测等证实。</w:t>
            </w:r>
          </w:p>
        </w:tc>
      </w:tr>
      <w:tr>
        <w:trPr>
          <w:trHeight w:val="2331" w:hRule="atLeast"/>
        </w:trPr>
        <w:tc>
          <w:tcPr>
            <w:tcW w:w="1799" w:type="dxa"/>
          </w:tcPr>
          <w:p>
            <w:pPr>
              <w:pStyle w:val="TableParagraph"/>
              <w:spacing w:before="138"/>
              <w:ind w:left="200"/>
              <w:rPr>
                <w:b/>
                <w:sz w:val="21"/>
              </w:rPr>
            </w:pPr>
            <w:r>
              <w:rPr>
                <w:b/>
                <w:sz w:val="21"/>
              </w:rPr>
              <w:t>14. 双目失明</w:t>
            </w:r>
          </w:p>
        </w:tc>
        <w:tc>
          <w:tcPr>
            <w:tcW w:w="7310" w:type="dxa"/>
          </w:tcPr>
          <w:p>
            <w:pPr>
              <w:pStyle w:val="TableParagraph"/>
              <w:spacing w:line="300" w:lineRule="auto" w:before="138"/>
              <w:ind w:left="74" w:right="303"/>
              <w:rPr>
                <w:sz w:val="21"/>
              </w:rPr>
            </w:pPr>
            <w:r>
              <w:rPr>
                <w:sz w:val="21"/>
              </w:rPr>
              <w:t>指因疾病或意外伤害导致双眼视力永久不可逆性丧失，双眼中较好眼须满足下列至少一项条件：</w:t>
            </w:r>
          </w:p>
          <w:p>
            <w:pPr>
              <w:pStyle w:val="TableParagraph"/>
              <w:spacing w:before="16"/>
              <w:ind w:left="74"/>
              <w:rPr>
                <w:sz w:val="21"/>
              </w:rPr>
            </w:pPr>
            <w:r>
              <w:rPr>
                <w:sz w:val="21"/>
              </w:rPr>
              <w:t>（1）眼球缺失或摘除；</w:t>
            </w:r>
          </w:p>
          <w:p>
            <w:pPr>
              <w:pStyle w:val="TableParagraph"/>
              <w:spacing w:line="300" w:lineRule="auto"/>
              <w:ind w:left="74" w:right="349"/>
              <w:rPr>
                <w:sz w:val="21"/>
              </w:rPr>
            </w:pPr>
            <w:r>
              <w:rPr>
                <w:sz w:val="21"/>
              </w:rPr>
              <w:t>（2）</w:t>
            </w:r>
            <w:r>
              <w:rPr>
                <w:spacing w:val="-7"/>
                <w:sz w:val="21"/>
              </w:rPr>
              <w:t>矫正视力低于 </w:t>
            </w:r>
            <w:r>
              <w:rPr>
                <w:sz w:val="21"/>
              </w:rPr>
              <w:t>0.02（</w:t>
            </w:r>
            <w:r>
              <w:rPr>
                <w:spacing w:val="-3"/>
                <w:sz w:val="21"/>
              </w:rPr>
              <w:t>采用国际标准视力表，如果使用其它视力表应进</w:t>
            </w:r>
            <w:r>
              <w:rPr>
                <w:spacing w:val="-3"/>
                <w:w w:val="100"/>
                <w:sz w:val="21"/>
              </w:rPr>
              <w:t>行换算</w:t>
            </w:r>
            <w:r>
              <w:rPr>
                <w:spacing w:val="-106"/>
                <w:w w:val="100"/>
                <w:sz w:val="21"/>
              </w:rPr>
              <w:t>）</w:t>
            </w:r>
            <w:r>
              <w:rPr>
                <w:w w:val="100"/>
                <w:sz w:val="21"/>
              </w:rPr>
              <w:t>；</w:t>
            </w:r>
          </w:p>
          <w:p>
            <w:pPr>
              <w:pStyle w:val="TableParagraph"/>
              <w:spacing w:before="15"/>
              <w:ind w:left="74"/>
              <w:rPr>
                <w:sz w:val="21"/>
              </w:rPr>
            </w:pPr>
            <w:r>
              <w:rPr>
                <w:sz w:val="21"/>
              </w:rPr>
              <w:t>（3）视野半径小于 5 度。</w:t>
            </w:r>
          </w:p>
        </w:tc>
      </w:tr>
      <w:tr>
        <w:trPr>
          <w:trHeight w:val="1302" w:hRule="atLeast"/>
        </w:trPr>
        <w:tc>
          <w:tcPr>
            <w:tcW w:w="1799" w:type="dxa"/>
          </w:tcPr>
          <w:p>
            <w:pPr>
              <w:pStyle w:val="TableParagraph"/>
              <w:spacing w:before="139"/>
              <w:ind w:left="200"/>
              <w:rPr>
                <w:b/>
                <w:sz w:val="21"/>
              </w:rPr>
            </w:pPr>
            <w:r>
              <w:rPr>
                <w:b/>
                <w:sz w:val="21"/>
              </w:rPr>
              <w:t>15. 瘫痪</w:t>
            </w:r>
          </w:p>
        </w:tc>
        <w:tc>
          <w:tcPr>
            <w:tcW w:w="7310" w:type="dxa"/>
          </w:tcPr>
          <w:p>
            <w:pPr>
              <w:pStyle w:val="TableParagraph"/>
              <w:spacing w:line="300" w:lineRule="auto" w:before="139"/>
              <w:ind w:left="74" w:right="303"/>
              <w:jc w:val="both"/>
              <w:rPr>
                <w:sz w:val="21"/>
              </w:rPr>
            </w:pPr>
            <w:r>
              <w:rPr>
                <w:spacing w:val="-4"/>
                <w:sz w:val="21"/>
              </w:rPr>
              <w:t>指因疾病或意外伤害导致两肢或两肢以上肢体机能永久完全丧失。肢体机能</w:t>
            </w:r>
            <w:r>
              <w:rPr>
                <w:spacing w:val="-7"/>
                <w:sz w:val="21"/>
              </w:rPr>
              <w:t>永久完全丧失，指疾病确诊 </w:t>
            </w:r>
            <w:r>
              <w:rPr>
                <w:sz w:val="21"/>
              </w:rPr>
              <w:t>180</w:t>
            </w:r>
            <w:r>
              <w:rPr>
                <w:spacing w:val="-12"/>
                <w:sz w:val="21"/>
              </w:rPr>
              <w:t> 天后或意外伤害发生 </w:t>
            </w:r>
            <w:r>
              <w:rPr>
                <w:sz w:val="21"/>
              </w:rPr>
              <w:t>180</w:t>
            </w:r>
            <w:r>
              <w:rPr>
                <w:spacing w:val="-9"/>
                <w:sz w:val="21"/>
              </w:rPr>
              <w:t> 天后，每肢三大关</w:t>
            </w:r>
            <w:r>
              <w:rPr>
                <w:spacing w:val="-5"/>
                <w:sz w:val="21"/>
              </w:rPr>
              <w:t>节中的两大关节仍然完全僵硬，或不能随意识活动。</w:t>
            </w:r>
          </w:p>
        </w:tc>
      </w:tr>
      <w:tr>
        <w:trPr>
          <w:trHeight w:val="2330" w:hRule="atLeast"/>
        </w:trPr>
        <w:tc>
          <w:tcPr>
            <w:tcW w:w="1799" w:type="dxa"/>
          </w:tcPr>
          <w:p>
            <w:pPr>
              <w:pStyle w:val="TableParagraph"/>
              <w:spacing w:line="300" w:lineRule="auto" w:before="138"/>
              <w:ind w:left="200" w:right="74"/>
              <w:rPr>
                <w:b/>
                <w:sz w:val="21"/>
              </w:rPr>
            </w:pPr>
            <w:r>
              <w:rPr>
                <w:b/>
                <w:sz w:val="21"/>
              </w:rPr>
              <w:t>16. 严重阿尔茨海默病</w:t>
            </w:r>
          </w:p>
        </w:tc>
        <w:tc>
          <w:tcPr>
            <w:tcW w:w="7310" w:type="dxa"/>
          </w:tcPr>
          <w:p>
            <w:pPr>
              <w:pStyle w:val="TableParagraph"/>
              <w:spacing w:line="300" w:lineRule="auto" w:before="138"/>
              <w:ind w:left="74" w:right="305"/>
              <w:jc w:val="both"/>
              <w:rPr>
                <w:sz w:val="21"/>
              </w:rPr>
            </w:pPr>
            <w:r>
              <w:rPr>
                <w:spacing w:val="-5"/>
                <w:sz w:val="21"/>
              </w:rPr>
              <w:t>指因大脑进行性、不可逆性改变导致智能严重衰退或丧失，临床表现为明显的认知能力障碍、行为异常和社交能力减退，其日常生活必须持续受到他人</w:t>
            </w:r>
            <w:r>
              <w:rPr>
                <w:spacing w:val="-5"/>
                <w:w w:val="100"/>
                <w:sz w:val="21"/>
              </w:rPr>
              <w:t>监护。须由头颅断层扫描</w:t>
            </w:r>
            <w:r>
              <w:rPr>
                <w:w w:val="100"/>
                <w:sz w:val="21"/>
              </w:rPr>
              <w:t>（CT</w:t>
            </w:r>
            <w:r>
              <w:rPr>
                <w:spacing w:val="-106"/>
                <w:w w:val="100"/>
                <w:sz w:val="21"/>
              </w:rPr>
              <w:t>）</w:t>
            </w:r>
            <w:r>
              <w:rPr>
                <w:spacing w:val="-3"/>
                <w:w w:val="100"/>
                <w:sz w:val="21"/>
              </w:rPr>
              <w:t>、核磁共振检查</w:t>
            </w:r>
            <w:r>
              <w:rPr>
                <w:spacing w:val="-1"/>
                <w:w w:val="100"/>
                <w:sz w:val="21"/>
              </w:rPr>
              <w:t>（</w:t>
            </w:r>
            <w:r>
              <w:rPr>
                <w:w w:val="100"/>
                <w:sz w:val="21"/>
              </w:rPr>
              <w:t>M</w:t>
            </w:r>
            <w:r>
              <w:rPr>
                <w:spacing w:val="-3"/>
                <w:w w:val="100"/>
                <w:sz w:val="21"/>
              </w:rPr>
              <w:t>R</w:t>
            </w:r>
            <w:r>
              <w:rPr>
                <w:w w:val="100"/>
                <w:sz w:val="21"/>
              </w:rPr>
              <w:t>I</w:t>
            </w:r>
            <w:r>
              <w:rPr>
                <w:spacing w:val="-3"/>
                <w:w w:val="100"/>
                <w:sz w:val="21"/>
              </w:rPr>
              <w:t>）或正电子发射断层扫</w:t>
            </w:r>
            <w:r>
              <w:rPr>
                <w:spacing w:val="-3"/>
                <w:sz w:val="21"/>
              </w:rPr>
              <w:t>描（PET）等影像学检查证实，且自主生活能力完全丧失，无法独立完成六</w:t>
            </w:r>
            <w:r>
              <w:rPr>
                <w:sz w:val="21"/>
              </w:rPr>
              <w:t>项基本日常生活活动中的三项或三项以上。 神经官能症和精神疾病不在保</w:t>
            </w:r>
            <w:r>
              <w:rPr>
                <w:spacing w:val="-1"/>
                <w:sz w:val="21"/>
              </w:rPr>
              <w:t>障范围内。</w:t>
            </w:r>
          </w:p>
        </w:tc>
      </w:tr>
      <w:tr>
        <w:trPr>
          <w:trHeight w:val="3018" w:hRule="atLeast"/>
        </w:trPr>
        <w:tc>
          <w:tcPr>
            <w:tcW w:w="1799" w:type="dxa"/>
          </w:tcPr>
          <w:p>
            <w:pPr>
              <w:pStyle w:val="TableParagraph"/>
              <w:spacing w:line="300" w:lineRule="auto" w:before="138"/>
              <w:ind w:left="200" w:right="74"/>
              <w:rPr>
                <w:b/>
                <w:sz w:val="21"/>
              </w:rPr>
            </w:pPr>
            <w:r>
              <w:rPr>
                <w:b/>
                <w:sz w:val="21"/>
              </w:rPr>
              <w:t>17. 严重脑损伤</w:t>
            </w:r>
          </w:p>
        </w:tc>
        <w:tc>
          <w:tcPr>
            <w:tcW w:w="7310" w:type="dxa"/>
          </w:tcPr>
          <w:p>
            <w:pPr>
              <w:pStyle w:val="TableParagraph"/>
              <w:spacing w:line="300" w:lineRule="auto" w:before="138"/>
              <w:ind w:left="74" w:right="303"/>
              <w:jc w:val="both"/>
              <w:rPr>
                <w:sz w:val="21"/>
              </w:rPr>
            </w:pPr>
            <w:r>
              <w:rPr>
                <w:spacing w:val="-4"/>
                <w:sz w:val="21"/>
              </w:rPr>
              <w:t>指因头部遭受机械性外力，引起脑重要部位损伤，导致神经系统永久性的功</w:t>
            </w:r>
            <w:r>
              <w:rPr>
                <w:spacing w:val="-4"/>
                <w:w w:val="100"/>
                <w:sz w:val="21"/>
              </w:rPr>
              <w:t>能障碍。须由头颅断层扫描</w:t>
            </w:r>
            <w:r>
              <w:rPr>
                <w:w w:val="100"/>
                <w:sz w:val="21"/>
              </w:rPr>
              <w:t>（CT</w:t>
            </w:r>
            <w:r>
              <w:rPr>
                <w:spacing w:val="-106"/>
                <w:w w:val="100"/>
                <w:sz w:val="21"/>
              </w:rPr>
              <w:t>）</w:t>
            </w:r>
            <w:r>
              <w:rPr>
                <w:spacing w:val="-3"/>
                <w:w w:val="100"/>
                <w:sz w:val="21"/>
              </w:rPr>
              <w:t>、核磁共振检查</w:t>
            </w:r>
            <w:r>
              <w:rPr>
                <w:spacing w:val="-2"/>
                <w:w w:val="100"/>
                <w:sz w:val="21"/>
              </w:rPr>
              <w:t>（</w:t>
            </w:r>
            <w:r>
              <w:rPr>
                <w:w w:val="100"/>
                <w:sz w:val="21"/>
              </w:rPr>
              <w:t>MR</w:t>
            </w:r>
            <w:r>
              <w:rPr>
                <w:spacing w:val="-3"/>
                <w:w w:val="100"/>
                <w:sz w:val="21"/>
              </w:rPr>
              <w:t>I</w:t>
            </w:r>
            <w:r>
              <w:rPr>
                <w:w w:val="100"/>
                <w:sz w:val="21"/>
              </w:rPr>
              <w:t>）</w:t>
            </w:r>
            <w:r>
              <w:rPr>
                <w:spacing w:val="-3"/>
                <w:w w:val="100"/>
                <w:sz w:val="21"/>
              </w:rPr>
              <w:t>或正电子发射断层</w:t>
            </w:r>
            <w:r>
              <w:rPr>
                <w:spacing w:val="-10"/>
                <w:sz w:val="21"/>
              </w:rPr>
              <w:t>扫描</w:t>
            </w:r>
            <w:r>
              <w:rPr>
                <w:spacing w:val="-4"/>
                <w:sz w:val="21"/>
              </w:rPr>
              <w:t>（PET）</w:t>
            </w:r>
            <w:r>
              <w:rPr>
                <w:spacing w:val="-7"/>
                <w:sz w:val="21"/>
              </w:rPr>
              <w:t>等影像学检查证实。神经系统永久性的功能障碍，指脑损伤 </w:t>
            </w:r>
            <w:r>
              <w:rPr>
                <w:sz w:val="21"/>
              </w:rPr>
              <w:t>180 </w:t>
            </w:r>
            <w:r>
              <w:rPr>
                <w:spacing w:val="-3"/>
                <w:sz w:val="21"/>
              </w:rPr>
              <w:t>天后，仍遗留下列一种或一种以上障碍：</w:t>
            </w:r>
          </w:p>
          <w:p>
            <w:pPr>
              <w:pStyle w:val="TableParagraph"/>
              <w:spacing w:before="16"/>
              <w:ind w:left="74"/>
              <w:rPr>
                <w:sz w:val="21"/>
              </w:rPr>
            </w:pPr>
            <w:r>
              <w:rPr>
                <w:sz w:val="21"/>
              </w:rPr>
              <w:t>（1）一肢或一肢以上肢体机能完全丧失；</w:t>
            </w:r>
          </w:p>
          <w:p>
            <w:pPr>
              <w:pStyle w:val="TableParagraph"/>
              <w:ind w:left="74"/>
              <w:rPr>
                <w:sz w:val="21"/>
              </w:rPr>
            </w:pPr>
            <w:r>
              <w:rPr>
                <w:sz w:val="21"/>
              </w:rPr>
              <w:t>（2）语言能力或咀嚼吞咽能力完全丧失；</w:t>
            </w:r>
          </w:p>
          <w:p>
            <w:pPr>
              <w:pStyle w:val="TableParagraph"/>
              <w:spacing w:line="300" w:lineRule="auto"/>
              <w:ind w:left="74" w:right="313"/>
              <w:rPr>
                <w:sz w:val="21"/>
              </w:rPr>
            </w:pPr>
            <w:r>
              <w:rPr>
                <w:sz w:val="21"/>
              </w:rPr>
              <w:t>（3）自主生活能力完全丧失，无法独立完成六项基本日常生活活动中的三项或三项以上。</w:t>
            </w:r>
          </w:p>
        </w:tc>
      </w:tr>
      <w:tr>
        <w:trPr>
          <w:trHeight w:val="2331" w:hRule="atLeast"/>
        </w:trPr>
        <w:tc>
          <w:tcPr>
            <w:tcW w:w="1799" w:type="dxa"/>
          </w:tcPr>
          <w:p>
            <w:pPr>
              <w:pStyle w:val="TableParagraph"/>
              <w:spacing w:line="300" w:lineRule="auto" w:before="139"/>
              <w:ind w:left="200" w:right="74"/>
              <w:rPr>
                <w:b/>
                <w:sz w:val="21"/>
              </w:rPr>
            </w:pPr>
            <w:r>
              <w:rPr>
                <w:b/>
                <w:sz w:val="21"/>
              </w:rPr>
              <w:t>18. 严重帕金森病</w:t>
            </w:r>
          </w:p>
        </w:tc>
        <w:tc>
          <w:tcPr>
            <w:tcW w:w="7310" w:type="dxa"/>
          </w:tcPr>
          <w:p>
            <w:pPr>
              <w:pStyle w:val="TableParagraph"/>
              <w:spacing w:line="300" w:lineRule="auto" w:before="139"/>
              <w:ind w:left="74" w:right="303"/>
              <w:rPr>
                <w:sz w:val="21"/>
              </w:rPr>
            </w:pPr>
            <w:r>
              <w:rPr>
                <w:sz w:val="21"/>
              </w:rPr>
              <w:t>是一种中枢神经系统的退行性疾病，临床表现为震颤麻痹、共济失调等。须满足下列全部条件：</w:t>
            </w:r>
          </w:p>
          <w:p>
            <w:pPr>
              <w:pStyle w:val="TableParagraph"/>
              <w:spacing w:before="15"/>
              <w:ind w:left="74"/>
              <w:rPr>
                <w:sz w:val="21"/>
              </w:rPr>
            </w:pPr>
            <w:r>
              <w:rPr>
                <w:sz w:val="21"/>
              </w:rPr>
              <w:t>（1）药物治疗无法控制病情；</w:t>
            </w:r>
          </w:p>
          <w:p>
            <w:pPr>
              <w:pStyle w:val="TableParagraph"/>
              <w:spacing w:line="300" w:lineRule="auto"/>
              <w:ind w:left="494" w:right="404" w:hanging="420"/>
              <w:rPr>
                <w:sz w:val="21"/>
              </w:rPr>
            </w:pPr>
            <w:r>
              <w:rPr>
                <w:sz w:val="21"/>
              </w:rPr>
              <w:t>（2）自主生活能力完全丧失，无法独立完成六项基本日常生活活动中的三项或三项以上。</w:t>
            </w:r>
          </w:p>
          <w:p>
            <w:pPr>
              <w:pStyle w:val="TableParagraph"/>
              <w:spacing w:before="16"/>
              <w:ind w:left="74"/>
              <w:rPr>
                <w:sz w:val="21"/>
              </w:rPr>
            </w:pPr>
            <w:r>
              <w:rPr>
                <w:sz w:val="21"/>
              </w:rPr>
              <w:t>继发性帕金森综合征不在保障范围内。</w:t>
            </w:r>
          </w:p>
        </w:tc>
      </w:tr>
      <w:tr>
        <w:trPr>
          <w:trHeight w:val="755" w:hRule="atLeast"/>
        </w:trPr>
        <w:tc>
          <w:tcPr>
            <w:tcW w:w="1799" w:type="dxa"/>
          </w:tcPr>
          <w:p>
            <w:pPr>
              <w:pStyle w:val="TableParagraph"/>
              <w:spacing w:line="340" w:lineRule="atLeast" w:before="72"/>
              <w:ind w:left="200" w:right="74"/>
              <w:rPr>
                <w:b/>
                <w:sz w:val="21"/>
              </w:rPr>
            </w:pPr>
            <w:r>
              <w:rPr>
                <w:b/>
                <w:sz w:val="21"/>
              </w:rPr>
              <w:t>19. 严重Ⅲ度烧伤</w:t>
            </w:r>
          </w:p>
        </w:tc>
        <w:tc>
          <w:tcPr>
            <w:tcW w:w="7310" w:type="dxa"/>
          </w:tcPr>
          <w:p>
            <w:pPr>
              <w:pStyle w:val="TableParagraph"/>
              <w:spacing w:line="340" w:lineRule="atLeast" w:before="72"/>
              <w:ind w:left="74" w:right="198"/>
              <w:rPr>
                <w:sz w:val="21"/>
              </w:rPr>
            </w:pPr>
            <w:r>
              <w:rPr>
                <w:spacing w:val="-6"/>
                <w:sz w:val="21"/>
              </w:rPr>
              <w:t>指烧伤程度为Ⅲ度，且Ⅲ度烧伤面积达到全身体表面积的 </w:t>
            </w:r>
            <w:r>
              <w:rPr>
                <w:sz w:val="21"/>
              </w:rPr>
              <w:t>20</w:t>
            </w:r>
            <w:r>
              <w:rPr>
                <w:spacing w:val="-14"/>
                <w:sz w:val="21"/>
              </w:rPr>
              <w:t>％或 </w:t>
            </w:r>
            <w:r>
              <w:rPr>
                <w:sz w:val="21"/>
              </w:rPr>
              <w:t>20％以上。</w:t>
            </w:r>
            <w:r>
              <w:rPr>
                <w:spacing w:val="-3"/>
                <w:sz w:val="21"/>
              </w:rPr>
              <w:t>体表面积根据 《中国新九分法》计算。</w:t>
            </w:r>
          </w:p>
        </w:tc>
      </w:tr>
    </w:tbl>
    <w:p>
      <w:pPr>
        <w:spacing w:after="0" w:line="340" w:lineRule="atLeast"/>
        <w:rPr>
          <w:sz w:val="21"/>
        </w:rPr>
        <w:sectPr>
          <w:pgSz w:w="11910" w:h="16840"/>
          <w:pgMar w:top="1580" w:bottom="280" w:left="1680" w:right="740"/>
        </w:sectPr>
      </w:pPr>
    </w:p>
    <w:tbl>
      <w:tblPr>
        <w:tblW w:w="0" w:type="auto"/>
        <w:jc w:val="left"/>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9"/>
        <w:gridCol w:w="7205"/>
      </w:tblGrid>
      <w:tr>
        <w:trPr>
          <w:trHeight w:val="1099" w:hRule="atLeast"/>
        </w:trPr>
        <w:tc>
          <w:tcPr>
            <w:tcW w:w="1799" w:type="dxa"/>
          </w:tcPr>
          <w:p>
            <w:pPr>
              <w:pStyle w:val="TableParagraph"/>
              <w:spacing w:line="211" w:lineRule="exact" w:before="0"/>
              <w:ind w:left="200"/>
              <w:rPr>
                <w:b/>
                <w:sz w:val="21"/>
              </w:rPr>
            </w:pPr>
            <w:r>
              <w:rPr>
                <w:b/>
                <w:sz w:val="21"/>
              </w:rPr>
              <w:t>20. 严重原发 </w:t>
            </w:r>
          </w:p>
          <w:p>
            <w:pPr>
              <w:pStyle w:val="TableParagraph"/>
              <w:ind w:left="200"/>
              <w:rPr>
                <w:b/>
                <w:sz w:val="21"/>
              </w:rPr>
            </w:pPr>
            <w:r>
              <w:rPr>
                <w:b/>
                <w:sz w:val="21"/>
              </w:rPr>
              <w:t>性肺动脉高压</w:t>
            </w:r>
          </w:p>
        </w:tc>
        <w:tc>
          <w:tcPr>
            <w:tcW w:w="7205" w:type="dxa"/>
          </w:tcPr>
          <w:p>
            <w:pPr>
              <w:pStyle w:val="TableParagraph"/>
              <w:spacing w:line="211" w:lineRule="exact" w:before="0"/>
              <w:ind w:left="74"/>
              <w:rPr>
                <w:sz w:val="21"/>
              </w:rPr>
            </w:pPr>
            <w:r>
              <w:rPr>
                <w:sz w:val="21"/>
              </w:rPr>
              <w:t>指不明原因的肺动脉压力持续性增高，进行性发展而导致的慢性疾病，已经</w:t>
            </w:r>
          </w:p>
          <w:p>
            <w:pPr>
              <w:pStyle w:val="TableParagraph"/>
              <w:spacing w:line="300" w:lineRule="auto"/>
              <w:ind w:left="74" w:right="198"/>
              <w:rPr>
                <w:sz w:val="21"/>
              </w:rPr>
            </w:pPr>
            <w:r>
              <w:rPr>
                <w:sz w:val="21"/>
              </w:rPr>
              <w:t>造成永久不可逆性的体力活动能力受限，达到美国纽约心脏病学会心功能状态分级 IV 级，且静息状态下肺动脉平均压超过 30mmHg。</w:t>
            </w:r>
          </w:p>
        </w:tc>
      </w:tr>
      <w:tr>
        <w:trPr>
          <w:trHeight w:val="1643" w:hRule="atLeast"/>
        </w:trPr>
        <w:tc>
          <w:tcPr>
            <w:tcW w:w="1799" w:type="dxa"/>
          </w:tcPr>
          <w:p>
            <w:pPr>
              <w:pStyle w:val="TableParagraph"/>
              <w:spacing w:line="300" w:lineRule="auto" w:before="138"/>
              <w:ind w:left="200" w:right="74"/>
              <w:rPr>
                <w:b/>
                <w:sz w:val="21"/>
              </w:rPr>
            </w:pPr>
            <w:r>
              <w:rPr>
                <w:b/>
                <w:sz w:val="21"/>
              </w:rPr>
              <w:t>21. 严重运动神经元病</w:t>
            </w:r>
          </w:p>
        </w:tc>
        <w:tc>
          <w:tcPr>
            <w:tcW w:w="7205" w:type="dxa"/>
          </w:tcPr>
          <w:p>
            <w:pPr>
              <w:pStyle w:val="TableParagraph"/>
              <w:spacing w:line="300" w:lineRule="auto" w:before="138"/>
              <w:ind w:left="74" w:right="198"/>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302" w:hRule="atLeast"/>
        </w:trPr>
        <w:tc>
          <w:tcPr>
            <w:tcW w:w="1799" w:type="dxa"/>
          </w:tcPr>
          <w:p>
            <w:pPr>
              <w:pStyle w:val="TableParagraph"/>
              <w:spacing w:line="300" w:lineRule="auto" w:before="138"/>
              <w:ind w:left="200" w:right="74"/>
              <w:rPr>
                <w:b/>
                <w:sz w:val="21"/>
              </w:rPr>
            </w:pPr>
            <w:r>
              <w:rPr>
                <w:b/>
                <w:sz w:val="21"/>
              </w:rPr>
              <w:t>22. 语言能力丧失</w:t>
            </w:r>
          </w:p>
        </w:tc>
        <w:tc>
          <w:tcPr>
            <w:tcW w:w="7205" w:type="dxa"/>
          </w:tcPr>
          <w:p>
            <w:pPr>
              <w:pStyle w:val="TableParagraph"/>
              <w:spacing w:line="300" w:lineRule="auto" w:before="138"/>
              <w:ind w:left="74" w:right="200"/>
              <w:rPr>
                <w:sz w:val="21"/>
              </w:rPr>
            </w:pPr>
            <w:r>
              <w:rPr>
                <w:spacing w:val="-8"/>
                <w:sz w:val="21"/>
              </w:rPr>
              <w:t>指因疾病或意外伤害导致完全丧失语言能力，经过积极治疗至少 </w:t>
            </w:r>
            <w:r>
              <w:rPr>
                <w:sz w:val="21"/>
              </w:rPr>
              <w:t>12</w:t>
            </w:r>
            <w:r>
              <w:rPr>
                <w:spacing w:val="-33"/>
                <w:sz w:val="21"/>
              </w:rPr>
              <w:t> 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16"/>
              <w:ind w:left="74"/>
              <w:rPr>
                <w:sz w:val="21"/>
              </w:rPr>
            </w:pPr>
            <w:r>
              <w:rPr>
                <w:sz w:val="21"/>
              </w:rPr>
              <w:t>精神心理因素所致的语言能力丧失不在保障范围内。</w:t>
            </w:r>
          </w:p>
        </w:tc>
      </w:tr>
      <w:tr>
        <w:trPr>
          <w:trHeight w:val="2675" w:hRule="atLeast"/>
        </w:trPr>
        <w:tc>
          <w:tcPr>
            <w:tcW w:w="1799" w:type="dxa"/>
          </w:tcPr>
          <w:p>
            <w:pPr>
              <w:pStyle w:val="TableParagraph"/>
              <w:spacing w:line="300" w:lineRule="auto" w:before="139"/>
              <w:ind w:left="200" w:right="74"/>
              <w:rPr>
                <w:b/>
                <w:sz w:val="21"/>
              </w:rPr>
            </w:pPr>
            <w:r>
              <w:rPr>
                <w:b/>
                <w:sz w:val="21"/>
              </w:rPr>
              <w:t>23. 重型再生障碍性贫血</w:t>
            </w:r>
          </w:p>
        </w:tc>
        <w:tc>
          <w:tcPr>
            <w:tcW w:w="7205" w:type="dxa"/>
          </w:tcPr>
          <w:p>
            <w:pPr>
              <w:pStyle w:val="TableParagraph"/>
              <w:spacing w:line="300" w:lineRule="auto" w:before="139"/>
              <w:ind w:left="74" w:right="198"/>
              <w:rPr>
                <w:sz w:val="21"/>
              </w:rPr>
            </w:pPr>
            <w:r>
              <w:rPr>
                <w:sz w:val="21"/>
              </w:rPr>
              <w:t>指因骨髓造血功能慢性持续性衰竭导致的贫血、中性粒细胞减少及血小板减少，须满足以下全部条件：</w:t>
            </w:r>
          </w:p>
          <w:p>
            <w:pPr>
              <w:pStyle w:val="TableParagraph"/>
              <w:spacing w:before="16"/>
              <w:ind w:left="74"/>
              <w:rPr>
                <w:sz w:val="21"/>
              </w:rPr>
            </w:pPr>
            <w:r>
              <w:rPr>
                <w:sz w:val="21"/>
              </w:rPr>
              <w:t>（1）骨髓穿刺检查或骨髓活检结果支持诊断；</w:t>
            </w:r>
          </w:p>
          <w:p>
            <w:pPr>
              <w:pStyle w:val="TableParagraph"/>
              <w:ind w:left="74"/>
              <w:rPr>
                <w:sz w:val="21"/>
              </w:rPr>
            </w:pPr>
            <w:r>
              <w:rPr>
                <w:sz w:val="21"/>
              </w:rPr>
              <w:t>（2）外周血象必须具备以下三项条件：</w:t>
            </w:r>
          </w:p>
          <w:p>
            <w:pPr>
              <w:pStyle w:val="TableParagraph"/>
              <w:ind w:left="494"/>
              <w:rPr>
                <w:sz w:val="21"/>
              </w:rPr>
            </w:pPr>
            <w:r>
              <w:rPr>
                <w:sz w:val="21"/>
              </w:rPr>
              <w:t>① 中性粒细胞绝对值≤0.5×10</w:t>
            </w:r>
            <w:r>
              <w:rPr>
                <w:b/>
                <w:position w:val="11"/>
                <w:sz w:val="11"/>
              </w:rPr>
              <w:t>9</w:t>
            </w:r>
            <w:r>
              <w:rPr>
                <w:sz w:val="21"/>
              </w:rPr>
              <w:t>/L ；</w:t>
            </w:r>
          </w:p>
          <w:p>
            <w:pPr>
              <w:pStyle w:val="TableParagraph"/>
              <w:ind w:left="494"/>
              <w:rPr>
                <w:sz w:val="21"/>
              </w:rPr>
            </w:pPr>
            <w:r>
              <w:rPr>
                <w:sz w:val="21"/>
              </w:rPr>
              <w:t>② 网织红细胞＜1%；</w:t>
            </w:r>
          </w:p>
          <w:p>
            <w:pPr>
              <w:pStyle w:val="TableParagraph"/>
              <w:ind w:left="494"/>
              <w:rPr>
                <w:sz w:val="21"/>
              </w:rPr>
            </w:pPr>
            <w:r>
              <w:rPr>
                <w:sz w:val="21"/>
              </w:rPr>
              <w:t>③ 血小板绝对值≤20×10</w:t>
            </w:r>
            <w:r>
              <w:rPr>
                <w:b/>
                <w:position w:val="11"/>
                <w:sz w:val="11"/>
              </w:rPr>
              <w:t>9</w:t>
            </w:r>
            <w:r>
              <w:rPr>
                <w:sz w:val="21"/>
              </w:rPr>
              <w:t>/L。</w:t>
            </w:r>
          </w:p>
        </w:tc>
      </w:tr>
      <w:tr>
        <w:trPr>
          <w:trHeight w:val="1644" w:hRule="atLeast"/>
        </w:trPr>
        <w:tc>
          <w:tcPr>
            <w:tcW w:w="1799" w:type="dxa"/>
          </w:tcPr>
          <w:p>
            <w:pPr>
              <w:pStyle w:val="TableParagraph"/>
              <w:spacing w:line="300" w:lineRule="auto" w:before="138"/>
              <w:ind w:left="200" w:right="74"/>
              <w:rPr>
                <w:b/>
                <w:sz w:val="21"/>
              </w:rPr>
            </w:pPr>
            <w:r>
              <w:rPr>
                <w:b/>
                <w:sz w:val="21"/>
              </w:rPr>
              <w:t>24. 主动脉手术</w:t>
            </w:r>
          </w:p>
        </w:tc>
        <w:tc>
          <w:tcPr>
            <w:tcW w:w="7205" w:type="dxa"/>
          </w:tcPr>
          <w:p>
            <w:pPr>
              <w:pStyle w:val="TableParagraph"/>
              <w:spacing w:line="300" w:lineRule="auto" w:before="138"/>
              <w:ind w:left="74" w:right="198"/>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16"/>
              <w:ind w:left="74"/>
              <w:jc w:val="both"/>
              <w:rPr>
                <w:sz w:val="21"/>
              </w:rPr>
            </w:pPr>
            <w:r>
              <w:rPr>
                <w:sz w:val="21"/>
              </w:rPr>
              <w:t>动脉内血管成形术不在保障范围内。</w:t>
            </w:r>
          </w:p>
        </w:tc>
      </w:tr>
      <w:tr>
        <w:trPr>
          <w:trHeight w:val="1301" w:hRule="atLeast"/>
        </w:trPr>
        <w:tc>
          <w:tcPr>
            <w:tcW w:w="1799" w:type="dxa"/>
          </w:tcPr>
          <w:p>
            <w:pPr>
              <w:pStyle w:val="TableParagraph"/>
              <w:spacing w:line="300" w:lineRule="auto" w:before="138"/>
              <w:ind w:left="200" w:right="74"/>
              <w:rPr>
                <w:b/>
                <w:sz w:val="21"/>
              </w:rPr>
            </w:pPr>
            <w:r>
              <w:rPr>
                <w:b/>
                <w:sz w:val="21"/>
              </w:rPr>
              <w:t>25. 严重克隆病</w:t>
            </w:r>
          </w:p>
        </w:tc>
        <w:tc>
          <w:tcPr>
            <w:tcW w:w="7205" w:type="dxa"/>
          </w:tcPr>
          <w:p>
            <w:pPr>
              <w:pStyle w:val="TableParagraph"/>
              <w:spacing w:line="300" w:lineRule="auto" w:before="138"/>
              <w:ind w:left="74" w:right="198"/>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989" w:hRule="atLeast"/>
        </w:trPr>
        <w:tc>
          <w:tcPr>
            <w:tcW w:w="1799" w:type="dxa"/>
          </w:tcPr>
          <w:p>
            <w:pPr>
              <w:pStyle w:val="TableParagraph"/>
              <w:spacing w:line="300" w:lineRule="auto" w:before="139"/>
              <w:ind w:left="200" w:right="74"/>
              <w:rPr>
                <w:b/>
                <w:sz w:val="21"/>
              </w:rPr>
            </w:pPr>
            <w:r>
              <w:rPr>
                <w:b/>
                <w:sz w:val="21"/>
              </w:rPr>
              <w:t>26. 多发性硬化</w:t>
            </w:r>
          </w:p>
        </w:tc>
        <w:tc>
          <w:tcPr>
            <w:tcW w:w="7205" w:type="dxa"/>
          </w:tcPr>
          <w:p>
            <w:pPr>
              <w:pStyle w:val="TableParagraph"/>
              <w:spacing w:line="300" w:lineRule="auto" w:before="139"/>
              <w:ind w:left="74" w:right="198"/>
              <w:jc w:val="both"/>
              <w:rPr>
                <w:sz w:val="21"/>
              </w:rPr>
            </w:pPr>
            <w:r>
              <w:rPr>
                <w:spacing w:val="-4"/>
                <w:sz w:val="21"/>
              </w:rPr>
              <w:t>被保险人因脑及脊髓内的脱髓鞘病变而出现神经系统多灶性</w:t>
            </w:r>
            <w:r>
              <w:rPr>
                <w:sz w:val="21"/>
              </w:rPr>
              <w:t>（</w:t>
            </w:r>
            <w:r>
              <w:rPr>
                <w:spacing w:val="-3"/>
                <w:sz w:val="21"/>
              </w:rPr>
              <w:t>多发性）</w:t>
            </w:r>
            <w:r>
              <w:rPr>
                <w:spacing w:val="-2"/>
                <w:sz w:val="21"/>
              </w:rPr>
              <w:t>多时</w:t>
            </w:r>
            <w:r>
              <w:rPr>
                <w:spacing w:val="-3"/>
                <w:sz w:val="21"/>
              </w:rPr>
              <w:t>相</w:t>
            </w:r>
            <w:r>
              <w:rPr>
                <w:sz w:val="21"/>
              </w:rPr>
              <w:t>（</w:t>
            </w:r>
            <w:r>
              <w:rPr>
                <w:spacing w:val="-14"/>
                <w:sz w:val="21"/>
              </w:rPr>
              <w:t>至少 </w:t>
            </w:r>
            <w:r>
              <w:rPr>
                <w:sz w:val="21"/>
              </w:rPr>
              <w:t>6</w:t>
            </w:r>
            <w:r>
              <w:rPr>
                <w:spacing w:val="-8"/>
                <w:sz w:val="21"/>
              </w:rPr>
              <w:t> 个月以内有一次以上</w:t>
            </w:r>
            <w:r>
              <w:rPr>
                <w:spacing w:val="-3"/>
                <w:sz w:val="21"/>
              </w:rPr>
              <w:t>（不包含一次）</w:t>
            </w:r>
            <w:r>
              <w:rPr>
                <w:spacing w:val="-2"/>
                <w:sz w:val="21"/>
              </w:rPr>
              <w:t>的发作</w:t>
            </w:r>
            <w:r>
              <w:rPr>
                <w:spacing w:val="-3"/>
                <w:sz w:val="21"/>
              </w:rPr>
              <w:t>）的病变，须由计算</w:t>
            </w:r>
            <w:r>
              <w:rPr>
                <w:spacing w:val="1"/>
                <w:w w:val="100"/>
                <w:sz w:val="21"/>
              </w:rPr>
              <w:t>机断层扫描（</w:t>
            </w:r>
            <w:r>
              <w:rPr>
                <w:w w:val="100"/>
                <w:sz w:val="21"/>
              </w:rPr>
              <w:t>CT</w:t>
            </w:r>
            <w:r>
              <w:rPr>
                <w:spacing w:val="-101"/>
                <w:w w:val="100"/>
                <w:sz w:val="21"/>
              </w:rPr>
              <w:t>）</w:t>
            </w:r>
            <w:r>
              <w:rPr>
                <w:w w:val="100"/>
                <w:sz w:val="21"/>
              </w:rPr>
              <w:t>、核磁共振检查</w:t>
            </w:r>
            <w:r>
              <w:rPr>
                <w:spacing w:val="3"/>
                <w:w w:val="100"/>
                <w:sz w:val="21"/>
              </w:rPr>
              <w:t>（</w:t>
            </w:r>
            <w:r>
              <w:rPr>
                <w:w w:val="100"/>
                <w:sz w:val="21"/>
              </w:rPr>
              <w:t>MR</w:t>
            </w:r>
            <w:r>
              <w:rPr>
                <w:spacing w:val="1"/>
                <w:w w:val="100"/>
                <w:sz w:val="21"/>
              </w:rPr>
              <w:t>I）</w:t>
            </w:r>
            <w:r>
              <w:rPr>
                <w:w w:val="100"/>
                <w:sz w:val="21"/>
              </w:rPr>
              <w:t>或正电子发射断层扫描</w:t>
            </w:r>
            <w:r>
              <w:rPr>
                <w:spacing w:val="5"/>
                <w:w w:val="100"/>
                <w:sz w:val="21"/>
              </w:rPr>
              <w:t>（</w:t>
            </w:r>
            <w:r>
              <w:rPr>
                <w:w w:val="100"/>
                <w:sz w:val="21"/>
              </w:rPr>
              <w:t>PET</w:t>
            </w:r>
            <w:r>
              <w:rPr>
                <w:spacing w:val="1"/>
                <w:w w:val="100"/>
                <w:sz w:val="21"/>
              </w:rPr>
              <w:t>）等</w:t>
            </w:r>
            <w:r>
              <w:rPr>
                <w:spacing w:val="-5"/>
                <w:sz w:val="21"/>
              </w:rPr>
              <w:t>影像学检查证实，且已经造成自主生活能力完全丧失，无法独立完成六项基</w:t>
            </w:r>
            <w:r>
              <w:rPr>
                <w:spacing w:val="-6"/>
                <w:sz w:val="21"/>
              </w:rPr>
              <w:t>本日常生活活动中的三项或三项以上，持续至少 </w:t>
            </w:r>
            <w:r>
              <w:rPr>
                <w:sz w:val="21"/>
              </w:rPr>
              <w:t>180</w:t>
            </w:r>
            <w:r>
              <w:rPr>
                <w:spacing w:val="-14"/>
                <w:sz w:val="21"/>
              </w:rPr>
              <w:t> 天。</w:t>
            </w:r>
          </w:p>
        </w:tc>
      </w:tr>
      <w:tr>
        <w:trPr>
          <w:trHeight w:val="2129" w:hRule="atLeast"/>
        </w:trPr>
        <w:tc>
          <w:tcPr>
            <w:tcW w:w="1799" w:type="dxa"/>
          </w:tcPr>
          <w:p>
            <w:pPr>
              <w:pStyle w:val="TableParagraph"/>
              <w:spacing w:line="300" w:lineRule="auto" w:before="138"/>
              <w:ind w:left="200" w:right="74"/>
              <w:rPr>
                <w:b/>
                <w:sz w:val="21"/>
              </w:rPr>
            </w:pPr>
            <w:r>
              <w:rPr>
                <w:b/>
                <w:sz w:val="21"/>
              </w:rPr>
              <w:t>27. 重症肌无力</w:t>
            </w:r>
          </w:p>
        </w:tc>
        <w:tc>
          <w:tcPr>
            <w:tcW w:w="7205" w:type="dxa"/>
          </w:tcPr>
          <w:p>
            <w:pPr>
              <w:pStyle w:val="TableParagraph"/>
              <w:spacing w:line="300" w:lineRule="auto" w:before="138"/>
              <w:ind w:left="74" w:right="198"/>
              <w:jc w:val="both"/>
              <w:rPr>
                <w:sz w:val="21"/>
              </w:rPr>
            </w:pPr>
            <w:r>
              <w:rPr>
                <w:sz w:val="21"/>
              </w:rPr>
              <w:t>是指一种神经与肌肉接头部位传递障碍的自身免疫性疾病，临床特征是局部或全身横纹肌于活动时易于疲劳无力，颅神经眼外肌最易累及，也可涉及呼吸肌、下肢近端肌群以至全身肌肉，须经本公司认可的神经科医师确诊。其诊断必须同时具有下列情况：</w:t>
            </w:r>
          </w:p>
          <w:p>
            <w:pPr>
              <w:pStyle w:val="TableParagraph"/>
              <w:spacing w:before="16"/>
              <w:ind w:left="74"/>
              <w:jc w:val="both"/>
              <w:rPr>
                <w:sz w:val="21"/>
              </w:rPr>
            </w:pPr>
            <w:r>
              <w:rPr>
                <w:sz w:val="21"/>
              </w:rPr>
              <w:t>（1）经药物、胸腺手术治疗一年以上无法控制病情，丧失正常工作能力；</w:t>
            </w:r>
          </w:p>
          <w:p>
            <w:pPr>
              <w:pStyle w:val="TableParagraph"/>
              <w:spacing w:line="255" w:lineRule="exact" w:before="69"/>
              <w:ind w:left="74"/>
              <w:jc w:val="both"/>
              <w:rPr>
                <w:sz w:val="21"/>
              </w:rPr>
            </w:pPr>
            <w:r>
              <w:rPr>
                <w:sz w:val="21"/>
              </w:rPr>
              <w:t>（2）出现眼睑下垂，或延髓肌受累引起的构音困难、进食呛咳,或由于肌无</w:t>
            </w:r>
          </w:p>
        </w:tc>
      </w:tr>
    </w:tbl>
    <w:p>
      <w:pPr>
        <w:spacing w:after="0" w:line="255" w:lineRule="exact"/>
        <w:jc w:val="both"/>
        <w:rPr>
          <w:sz w:val="21"/>
        </w:rPr>
        <w:sectPr>
          <w:pgSz w:w="11910" w:h="16840"/>
          <w:pgMar w:top="1460" w:bottom="280" w:left="1680" w:right="8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1813"/>
        <w:gridCol w:w="7209"/>
      </w:tblGrid>
      <w:tr>
        <w:trPr>
          <w:trHeight w:val="1099" w:hRule="atLeast"/>
        </w:trPr>
        <w:tc>
          <w:tcPr>
            <w:tcW w:w="837" w:type="dxa"/>
          </w:tcPr>
          <w:p>
            <w:pPr>
              <w:pStyle w:val="TableParagraph"/>
              <w:spacing w:before="0"/>
              <w:ind w:left="0"/>
              <w:rPr>
                <w:rFonts w:ascii="Times New Roman"/>
                <w:sz w:val="20"/>
              </w:rPr>
            </w:pPr>
          </w:p>
        </w:tc>
        <w:tc>
          <w:tcPr>
            <w:tcW w:w="1813" w:type="dxa"/>
          </w:tcPr>
          <w:p>
            <w:pPr>
              <w:pStyle w:val="TableParagraph"/>
              <w:spacing w:before="0"/>
              <w:ind w:left="0"/>
              <w:rPr>
                <w:rFonts w:ascii="Times New Roman"/>
                <w:sz w:val="20"/>
              </w:rPr>
            </w:pPr>
          </w:p>
        </w:tc>
        <w:tc>
          <w:tcPr>
            <w:tcW w:w="7209" w:type="dxa"/>
          </w:tcPr>
          <w:p>
            <w:pPr>
              <w:pStyle w:val="TableParagraph"/>
              <w:spacing w:line="211" w:lineRule="exact" w:before="0"/>
              <w:ind w:left="75"/>
              <w:rPr>
                <w:sz w:val="21"/>
              </w:rPr>
            </w:pPr>
            <w:r>
              <w:rPr>
                <w:sz w:val="21"/>
              </w:rPr>
              <w:t>力累及延髓肌、呼吸肌而致机体呼吸功能不正常的危急状态即肌无力危象；</w:t>
            </w:r>
          </w:p>
          <w:p>
            <w:pPr>
              <w:pStyle w:val="TableParagraph"/>
              <w:spacing w:line="300" w:lineRule="auto"/>
              <w:ind w:left="75" w:right="210"/>
              <w:rPr>
                <w:sz w:val="21"/>
              </w:rPr>
            </w:pPr>
            <w:r>
              <w:rPr>
                <w:sz w:val="21"/>
              </w:rPr>
              <w:t>（3）症状缓解、复发及恶化交替出现，临床接受新斯的明等抗胆碱酯酶药物治疗的病史。</w:t>
            </w:r>
          </w:p>
        </w:tc>
      </w:tr>
      <w:tr>
        <w:trPr>
          <w:trHeight w:val="1643" w:hRule="atLeast"/>
        </w:trPr>
        <w:tc>
          <w:tcPr>
            <w:tcW w:w="837" w:type="dxa"/>
          </w:tcPr>
          <w:p>
            <w:pPr>
              <w:pStyle w:val="TableParagraph"/>
              <w:spacing w:before="0"/>
              <w:ind w:left="0"/>
              <w:rPr>
                <w:rFonts w:ascii="Times New Roman"/>
                <w:sz w:val="20"/>
              </w:rPr>
            </w:pPr>
          </w:p>
        </w:tc>
        <w:tc>
          <w:tcPr>
            <w:tcW w:w="1813" w:type="dxa"/>
          </w:tcPr>
          <w:p>
            <w:pPr>
              <w:pStyle w:val="TableParagraph"/>
              <w:spacing w:line="300" w:lineRule="auto" w:before="138"/>
              <w:ind w:left="214" w:right="72"/>
              <w:rPr>
                <w:b/>
                <w:sz w:val="21"/>
              </w:rPr>
            </w:pPr>
            <w:r>
              <w:rPr>
                <w:b/>
                <w:sz w:val="21"/>
              </w:rPr>
              <w:t>28. 严重心肌病</w:t>
            </w:r>
          </w:p>
        </w:tc>
        <w:tc>
          <w:tcPr>
            <w:tcW w:w="7209" w:type="dxa"/>
          </w:tcPr>
          <w:p>
            <w:pPr>
              <w:pStyle w:val="TableParagraph"/>
              <w:spacing w:line="300" w:lineRule="auto" w:before="138"/>
              <w:ind w:left="75" w:right="203"/>
              <w:jc w:val="both"/>
              <w:rPr>
                <w:sz w:val="21"/>
              </w:rPr>
            </w:pPr>
            <w:r>
              <w:rPr>
                <w:sz w:val="21"/>
              </w:rPr>
              <w:t>心室功能损伤，导致被保险人身体永久及不可逆地受损，达到美国纽约心脏病学会心功能状态分级IV级。必须由心脏专科医生确诊，并有包括超声心动图在内的相关检查证实。</w:t>
            </w:r>
          </w:p>
          <w:p>
            <w:pPr>
              <w:pStyle w:val="TableParagraph"/>
              <w:spacing w:before="16"/>
              <w:ind w:left="75"/>
              <w:jc w:val="both"/>
              <w:rPr>
                <w:sz w:val="21"/>
              </w:rPr>
            </w:pPr>
            <w:r>
              <w:rPr>
                <w:sz w:val="21"/>
              </w:rPr>
              <w:t>酗酒或滥用药物引起的心肌病不在保险责任范围内。</w:t>
            </w:r>
          </w:p>
        </w:tc>
      </w:tr>
      <w:tr>
        <w:trPr>
          <w:trHeight w:val="1302" w:hRule="atLeast"/>
        </w:trPr>
        <w:tc>
          <w:tcPr>
            <w:tcW w:w="837" w:type="dxa"/>
          </w:tcPr>
          <w:p>
            <w:pPr>
              <w:pStyle w:val="TableParagraph"/>
              <w:spacing w:before="0"/>
              <w:ind w:left="0"/>
              <w:rPr>
                <w:rFonts w:ascii="Times New Roman"/>
                <w:sz w:val="20"/>
              </w:rPr>
            </w:pPr>
          </w:p>
        </w:tc>
        <w:tc>
          <w:tcPr>
            <w:tcW w:w="1813" w:type="dxa"/>
          </w:tcPr>
          <w:p>
            <w:pPr>
              <w:pStyle w:val="TableParagraph"/>
              <w:spacing w:line="300" w:lineRule="auto" w:before="138"/>
              <w:ind w:left="214" w:right="72"/>
              <w:rPr>
                <w:b/>
                <w:sz w:val="21"/>
              </w:rPr>
            </w:pPr>
            <w:r>
              <w:rPr>
                <w:b/>
                <w:sz w:val="21"/>
              </w:rPr>
              <w:t>29. 急性出血坏死性胰腺炎</w:t>
            </w:r>
          </w:p>
        </w:tc>
        <w:tc>
          <w:tcPr>
            <w:tcW w:w="7209" w:type="dxa"/>
          </w:tcPr>
          <w:p>
            <w:pPr>
              <w:pStyle w:val="TableParagraph"/>
              <w:spacing w:line="300" w:lineRule="auto" w:before="138"/>
              <w:ind w:left="75" w:right="201"/>
              <w:jc w:val="both"/>
              <w:rPr>
                <w:sz w:val="21"/>
              </w:rPr>
            </w:pPr>
            <w:r>
              <w:rPr>
                <w:sz w:val="21"/>
              </w:rPr>
              <w:t>指被保险人因为急性出血坏死性胰腺炎已经接受了外科开腹手术治疗，以进行坏死组织清除、坏死病灶切除或胰腺切除。因饮酒所致的急性出血坏死性胰腺炎或经腹腔镜手术进行的治疗不在保障范围内。</w:t>
            </w:r>
          </w:p>
        </w:tc>
      </w:tr>
      <w:tr>
        <w:trPr>
          <w:trHeight w:val="958" w:hRule="atLeast"/>
        </w:trPr>
        <w:tc>
          <w:tcPr>
            <w:tcW w:w="837" w:type="dxa"/>
          </w:tcPr>
          <w:p>
            <w:pPr>
              <w:pStyle w:val="TableParagraph"/>
              <w:spacing w:before="139"/>
              <w:ind w:left="74" w:right="192"/>
              <w:jc w:val="center"/>
              <w:rPr>
                <w:b/>
                <w:sz w:val="21"/>
              </w:rPr>
            </w:pPr>
            <w:r>
              <w:rPr>
                <w:b/>
                <w:sz w:val="21"/>
              </w:rPr>
              <w:t>6.5</w:t>
            </w:r>
          </w:p>
        </w:tc>
        <w:tc>
          <w:tcPr>
            <w:tcW w:w="1813" w:type="dxa"/>
          </w:tcPr>
          <w:p>
            <w:pPr>
              <w:pStyle w:val="TableParagraph"/>
              <w:spacing w:line="300" w:lineRule="auto" w:before="139"/>
              <w:ind w:left="214" w:right="328"/>
              <w:rPr>
                <w:b/>
                <w:sz w:val="21"/>
              </w:rPr>
            </w:pPr>
            <w:r>
              <w:rPr>
                <w:b/>
                <w:sz w:val="21"/>
              </w:rPr>
              <w:t>本公司认可的其他医疗机构</w:t>
            </w:r>
          </w:p>
        </w:tc>
        <w:tc>
          <w:tcPr>
            <w:tcW w:w="7209" w:type="dxa"/>
          </w:tcPr>
          <w:p>
            <w:pPr>
              <w:pStyle w:val="TableParagraph"/>
              <w:spacing w:before="139"/>
              <w:ind w:left="75"/>
              <w:rPr>
                <w:sz w:val="21"/>
              </w:rPr>
            </w:pPr>
            <w:r>
              <w:rPr>
                <w:spacing w:val="-3"/>
                <w:sz w:val="21"/>
              </w:rPr>
              <w:t>本公司有关保险单（</w:t>
            </w:r>
            <w:r>
              <w:rPr>
                <w:spacing w:val="-2"/>
                <w:sz w:val="21"/>
              </w:rPr>
              <w:t>保险凭证</w:t>
            </w:r>
            <w:r>
              <w:rPr>
                <w:spacing w:val="-108"/>
                <w:sz w:val="21"/>
              </w:rPr>
              <w:t>）</w:t>
            </w:r>
            <w:r>
              <w:rPr>
                <w:spacing w:val="-3"/>
                <w:sz w:val="21"/>
              </w:rPr>
              <w:t>、批单或批注中列明的医疗卫生机构。</w:t>
            </w:r>
          </w:p>
        </w:tc>
      </w:tr>
      <w:tr>
        <w:trPr>
          <w:trHeight w:val="1644" w:hRule="atLeast"/>
        </w:trPr>
        <w:tc>
          <w:tcPr>
            <w:tcW w:w="837" w:type="dxa"/>
          </w:tcPr>
          <w:p>
            <w:pPr>
              <w:pStyle w:val="TableParagraph"/>
              <w:spacing w:before="138"/>
              <w:ind w:left="74" w:right="192"/>
              <w:jc w:val="center"/>
              <w:rPr>
                <w:b/>
                <w:sz w:val="21"/>
              </w:rPr>
            </w:pPr>
            <w:r>
              <w:rPr>
                <w:b/>
                <w:sz w:val="21"/>
              </w:rPr>
              <w:t>6.6</w:t>
            </w:r>
          </w:p>
        </w:tc>
        <w:tc>
          <w:tcPr>
            <w:tcW w:w="1813" w:type="dxa"/>
          </w:tcPr>
          <w:p>
            <w:pPr>
              <w:pStyle w:val="TableParagraph"/>
              <w:spacing w:before="138"/>
              <w:ind w:left="214"/>
              <w:rPr>
                <w:b/>
                <w:sz w:val="21"/>
              </w:rPr>
            </w:pPr>
            <w:r>
              <w:rPr>
                <w:b/>
                <w:sz w:val="21"/>
              </w:rPr>
              <w:t>毒品</w:t>
            </w:r>
          </w:p>
        </w:tc>
        <w:tc>
          <w:tcPr>
            <w:tcW w:w="7209" w:type="dxa"/>
          </w:tcPr>
          <w:p>
            <w:pPr>
              <w:pStyle w:val="TableParagraph"/>
              <w:spacing w:line="300" w:lineRule="auto" w:before="138"/>
              <w:ind w:left="75" w:right="201"/>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z w:val="21"/>
              </w:rPr>
              <w:t>、吗</w:t>
            </w:r>
            <w:r>
              <w:rPr>
                <w:spacing w:val="-3"/>
                <w:sz w:val="21"/>
              </w:rPr>
              <w:t>啡、大麻、可卡因以及国家规定管制的其他能够使人形成瘾癖的麻醉药品和</w:t>
            </w:r>
            <w:r>
              <w:rPr>
                <w:spacing w:val="-4"/>
                <w:sz w:val="21"/>
              </w:rPr>
              <w:t>精神药品，但不包括由医生开具并遵医嘱使用的用于治疗疾病但含有毒品成</w:t>
            </w:r>
            <w:r>
              <w:rPr>
                <w:spacing w:val="-3"/>
                <w:sz w:val="21"/>
              </w:rPr>
              <w:t>分的处方药品。</w:t>
            </w:r>
          </w:p>
        </w:tc>
      </w:tr>
      <w:tr>
        <w:trPr>
          <w:trHeight w:val="1302" w:hRule="atLeast"/>
        </w:trPr>
        <w:tc>
          <w:tcPr>
            <w:tcW w:w="837" w:type="dxa"/>
          </w:tcPr>
          <w:p>
            <w:pPr>
              <w:pStyle w:val="TableParagraph"/>
              <w:spacing w:before="138"/>
              <w:ind w:left="74" w:right="192"/>
              <w:jc w:val="center"/>
              <w:rPr>
                <w:b/>
                <w:sz w:val="21"/>
              </w:rPr>
            </w:pPr>
            <w:r>
              <w:rPr>
                <w:b/>
                <w:sz w:val="21"/>
              </w:rPr>
              <w:t>6.7</w:t>
            </w:r>
          </w:p>
        </w:tc>
        <w:tc>
          <w:tcPr>
            <w:tcW w:w="1813" w:type="dxa"/>
          </w:tcPr>
          <w:p>
            <w:pPr>
              <w:pStyle w:val="TableParagraph"/>
              <w:spacing w:before="138"/>
              <w:ind w:left="214"/>
              <w:rPr>
                <w:b/>
                <w:sz w:val="21"/>
              </w:rPr>
            </w:pPr>
            <w:r>
              <w:rPr>
                <w:b/>
                <w:sz w:val="21"/>
              </w:rPr>
              <w:t>酒后驾驶</w:t>
            </w:r>
          </w:p>
        </w:tc>
        <w:tc>
          <w:tcPr>
            <w:tcW w:w="7209" w:type="dxa"/>
          </w:tcPr>
          <w:p>
            <w:pPr>
              <w:pStyle w:val="TableParagraph"/>
              <w:spacing w:line="300" w:lineRule="auto" w:before="138"/>
              <w:ind w:left="75" w:right="201"/>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331" w:hRule="atLeast"/>
        </w:trPr>
        <w:tc>
          <w:tcPr>
            <w:tcW w:w="837" w:type="dxa"/>
          </w:tcPr>
          <w:p>
            <w:pPr>
              <w:pStyle w:val="TableParagraph"/>
              <w:spacing w:before="139"/>
              <w:ind w:left="74" w:right="192"/>
              <w:jc w:val="center"/>
              <w:rPr>
                <w:b/>
                <w:sz w:val="21"/>
              </w:rPr>
            </w:pPr>
            <w:r>
              <w:rPr>
                <w:b/>
                <w:sz w:val="21"/>
              </w:rPr>
              <w:t>6.8</w:t>
            </w:r>
          </w:p>
        </w:tc>
        <w:tc>
          <w:tcPr>
            <w:tcW w:w="1813" w:type="dxa"/>
          </w:tcPr>
          <w:p>
            <w:pPr>
              <w:pStyle w:val="TableParagraph"/>
              <w:spacing w:line="300" w:lineRule="auto" w:before="139"/>
              <w:ind w:left="214" w:right="328"/>
              <w:rPr>
                <w:b/>
                <w:sz w:val="21"/>
              </w:rPr>
            </w:pPr>
            <w:r>
              <w:rPr>
                <w:b/>
                <w:sz w:val="21"/>
              </w:rPr>
              <w:t>无合法有效驾驶证驾驶</w:t>
            </w:r>
          </w:p>
        </w:tc>
        <w:tc>
          <w:tcPr>
            <w:tcW w:w="7209" w:type="dxa"/>
          </w:tcPr>
          <w:p>
            <w:pPr>
              <w:pStyle w:val="TableParagraph"/>
              <w:spacing w:before="139"/>
              <w:ind w:left="75"/>
              <w:rPr>
                <w:sz w:val="21"/>
              </w:rPr>
            </w:pPr>
            <w:r>
              <w:rPr>
                <w:sz w:val="21"/>
              </w:rPr>
              <w:t>指下列情形之一：</w:t>
            </w:r>
          </w:p>
          <w:p>
            <w:pPr>
              <w:pStyle w:val="TableParagraph"/>
              <w:ind w:left="75"/>
              <w:rPr>
                <w:sz w:val="21"/>
              </w:rPr>
            </w:pPr>
            <w:r>
              <w:rPr>
                <w:sz w:val="21"/>
              </w:rPr>
              <w:t>（1）没有取得驾驶资格；</w:t>
            </w:r>
          </w:p>
          <w:p>
            <w:pPr>
              <w:pStyle w:val="TableParagraph"/>
              <w:ind w:left="75"/>
              <w:rPr>
                <w:sz w:val="21"/>
              </w:rPr>
            </w:pPr>
            <w:r>
              <w:rPr>
                <w:sz w:val="21"/>
              </w:rPr>
              <w:t>（2）驾驶与驾驶证准驾车型不相符合的车辆；</w:t>
            </w:r>
          </w:p>
          <w:p>
            <w:pPr>
              <w:pStyle w:val="TableParagraph"/>
              <w:ind w:left="75"/>
              <w:rPr>
                <w:sz w:val="21"/>
              </w:rPr>
            </w:pPr>
            <w:r>
              <w:rPr>
                <w:sz w:val="21"/>
              </w:rPr>
              <w:t>（3）持审验不合格的驾驶证驾驶；</w:t>
            </w:r>
          </w:p>
          <w:p>
            <w:pPr>
              <w:pStyle w:val="TableParagraph"/>
              <w:spacing w:line="300" w:lineRule="auto"/>
              <w:ind w:left="75" w:right="302"/>
              <w:rPr>
                <w:sz w:val="21"/>
              </w:rPr>
            </w:pPr>
            <w:r>
              <w:rPr>
                <w:sz w:val="21"/>
              </w:rPr>
              <w:t>（4）持学习驾驶证学习驾车时，无教练员随车指导，或不按指定时间、路线学习驾车。</w:t>
            </w:r>
          </w:p>
        </w:tc>
      </w:tr>
      <w:tr>
        <w:trPr>
          <w:trHeight w:val="1301" w:hRule="atLeast"/>
        </w:trPr>
        <w:tc>
          <w:tcPr>
            <w:tcW w:w="837" w:type="dxa"/>
          </w:tcPr>
          <w:p>
            <w:pPr>
              <w:pStyle w:val="TableParagraph"/>
              <w:spacing w:before="138"/>
              <w:ind w:left="74" w:right="192"/>
              <w:jc w:val="center"/>
              <w:rPr>
                <w:b/>
                <w:sz w:val="21"/>
              </w:rPr>
            </w:pPr>
            <w:r>
              <w:rPr>
                <w:b/>
                <w:sz w:val="21"/>
              </w:rPr>
              <w:t>6.9</w:t>
            </w:r>
          </w:p>
        </w:tc>
        <w:tc>
          <w:tcPr>
            <w:tcW w:w="1813" w:type="dxa"/>
          </w:tcPr>
          <w:p>
            <w:pPr>
              <w:pStyle w:val="TableParagraph"/>
              <w:spacing w:before="138"/>
              <w:ind w:left="214"/>
              <w:rPr>
                <w:b/>
                <w:sz w:val="21"/>
              </w:rPr>
            </w:pPr>
            <w:r>
              <w:rPr>
                <w:b/>
                <w:sz w:val="21"/>
              </w:rPr>
              <w:t>无有效行驶证</w:t>
            </w:r>
          </w:p>
        </w:tc>
        <w:tc>
          <w:tcPr>
            <w:tcW w:w="7209" w:type="dxa"/>
          </w:tcPr>
          <w:p>
            <w:pPr>
              <w:pStyle w:val="TableParagraph"/>
              <w:spacing w:before="138"/>
              <w:ind w:left="75"/>
              <w:rPr>
                <w:sz w:val="21"/>
              </w:rPr>
            </w:pPr>
            <w:r>
              <w:rPr>
                <w:sz w:val="21"/>
              </w:rPr>
              <w:t>指下列情形之一：</w:t>
            </w:r>
          </w:p>
          <w:p>
            <w:pPr>
              <w:pStyle w:val="TableParagraph"/>
              <w:ind w:left="75"/>
              <w:rPr>
                <w:sz w:val="21"/>
              </w:rPr>
            </w:pPr>
            <w:r>
              <w:rPr>
                <w:sz w:val="21"/>
              </w:rPr>
              <w:t>（1）机动车被依法注销登记的；</w:t>
            </w:r>
          </w:p>
          <w:p>
            <w:pPr>
              <w:pStyle w:val="TableParagraph"/>
              <w:ind w:left="75"/>
              <w:rPr>
                <w:sz w:val="21"/>
              </w:rPr>
            </w:pPr>
            <w:r>
              <w:rPr>
                <w:sz w:val="21"/>
              </w:rPr>
              <w:t>（2）未依法按时进行或通过机动车安全技术检验。</w:t>
            </w:r>
          </w:p>
        </w:tc>
      </w:tr>
      <w:tr>
        <w:trPr>
          <w:trHeight w:val="1645" w:hRule="atLeast"/>
        </w:trPr>
        <w:tc>
          <w:tcPr>
            <w:tcW w:w="837" w:type="dxa"/>
          </w:tcPr>
          <w:p>
            <w:pPr>
              <w:pStyle w:val="TableParagraph"/>
              <w:spacing w:before="138"/>
              <w:ind w:left="180" w:right="192"/>
              <w:jc w:val="center"/>
              <w:rPr>
                <w:b/>
                <w:sz w:val="21"/>
              </w:rPr>
            </w:pPr>
            <w:r>
              <w:rPr>
                <w:b/>
                <w:sz w:val="21"/>
              </w:rPr>
              <w:t>6.10</w:t>
            </w:r>
          </w:p>
        </w:tc>
        <w:tc>
          <w:tcPr>
            <w:tcW w:w="1813" w:type="dxa"/>
          </w:tcPr>
          <w:p>
            <w:pPr>
              <w:pStyle w:val="TableParagraph"/>
              <w:spacing w:line="300" w:lineRule="auto" w:before="138"/>
              <w:ind w:left="214" w:right="328"/>
              <w:rPr>
                <w:b/>
                <w:sz w:val="21"/>
              </w:rPr>
            </w:pPr>
            <w:r>
              <w:rPr>
                <w:b/>
                <w:sz w:val="21"/>
              </w:rPr>
              <w:t>感染艾滋病病毒或患艾滋病</w:t>
            </w:r>
          </w:p>
        </w:tc>
        <w:tc>
          <w:tcPr>
            <w:tcW w:w="7209" w:type="dxa"/>
          </w:tcPr>
          <w:p>
            <w:pPr>
              <w:pStyle w:val="TableParagraph"/>
              <w:spacing w:line="300" w:lineRule="auto" w:before="138"/>
              <w:ind w:left="75" w:right="201"/>
              <w:jc w:val="both"/>
              <w:rPr>
                <w:sz w:val="21"/>
              </w:rPr>
            </w:pPr>
            <w:r>
              <w:rPr>
                <w:spacing w:val="-5"/>
                <w:sz w:val="21"/>
              </w:rPr>
              <w:t>艾滋病病毒指人类免疫缺陷病毒，英文缩写为 </w:t>
            </w:r>
            <w:r>
              <w:rPr>
                <w:sz w:val="21"/>
              </w:rPr>
              <w:t>HIV</w:t>
            </w:r>
            <w:r>
              <w:rPr>
                <w:spacing w:val="-3"/>
                <w:sz w:val="21"/>
              </w:rPr>
              <w:t>。艾滋病指人类免疫缺陷</w:t>
            </w:r>
            <w:r>
              <w:rPr>
                <w:spacing w:val="-6"/>
                <w:sz w:val="21"/>
              </w:rPr>
              <w:t>病毒引起的获得性免疫缺陷综合征，英文缩写为 </w:t>
            </w:r>
            <w:r>
              <w:rPr>
                <w:sz w:val="21"/>
              </w:rPr>
              <w:t>AIDS</w:t>
            </w:r>
            <w:r>
              <w:rPr>
                <w:spacing w:val="-7"/>
                <w:sz w:val="21"/>
              </w:rPr>
              <w:t>。在人体血液或其他样</w:t>
            </w:r>
            <w:r>
              <w:rPr>
                <w:spacing w:val="-9"/>
                <w:sz w:val="21"/>
              </w:rPr>
              <w:t>本中检测到艾滋病病毒或其抗体呈阳性，没有出现临床症状或体征的，为感</w:t>
            </w:r>
            <w:r>
              <w:rPr>
                <w:spacing w:val="-19"/>
                <w:sz w:val="21"/>
              </w:rPr>
              <w:t>染艾滋病病毒；如果同时出现了明显临床症状或体征的，为患艾滋病。</w:t>
            </w:r>
          </w:p>
        </w:tc>
      </w:tr>
      <w:tr>
        <w:trPr>
          <w:trHeight w:val="414" w:hRule="atLeast"/>
        </w:trPr>
        <w:tc>
          <w:tcPr>
            <w:tcW w:w="837" w:type="dxa"/>
          </w:tcPr>
          <w:p>
            <w:pPr>
              <w:pStyle w:val="TableParagraph"/>
              <w:spacing w:line="255" w:lineRule="exact" w:before="139"/>
              <w:ind w:left="180" w:right="192"/>
              <w:jc w:val="center"/>
              <w:rPr>
                <w:b/>
                <w:sz w:val="21"/>
              </w:rPr>
            </w:pPr>
            <w:r>
              <w:rPr>
                <w:b/>
                <w:sz w:val="21"/>
              </w:rPr>
              <w:t>6.11</w:t>
            </w:r>
          </w:p>
        </w:tc>
        <w:tc>
          <w:tcPr>
            <w:tcW w:w="1813" w:type="dxa"/>
          </w:tcPr>
          <w:p>
            <w:pPr>
              <w:pStyle w:val="TableParagraph"/>
              <w:spacing w:line="255" w:lineRule="exact" w:before="139"/>
              <w:ind w:left="214"/>
              <w:rPr>
                <w:b/>
                <w:sz w:val="21"/>
              </w:rPr>
            </w:pPr>
            <w:r>
              <w:rPr>
                <w:b/>
                <w:sz w:val="21"/>
              </w:rPr>
              <w:t>遗传性疾病</w:t>
            </w:r>
          </w:p>
        </w:tc>
        <w:tc>
          <w:tcPr>
            <w:tcW w:w="7209" w:type="dxa"/>
          </w:tcPr>
          <w:p>
            <w:pPr>
              <w:pStyle w:val="TableParagraph"/>
              <w:spacing w:line="255" w:lineRule="exact" w:before="139"/>
              <w:ind w:left="75"/>
              <w:rPr>
                <w:sz w:val="21"/>
              </w:rPr>
            </w:pPr>
            <w:r>
              <w:rPr>
                <w:sz w:val="21"/>
              </w:rPr>
              <w:t>指生殖细胞或受精卵的遗传物质（染色体和基因）发生突变或畸变所引起的</w:t>
            </w:r>
          </w:p>
        </w:tc>
      </w:tr>
    </w:tbl>
    <w:p>
      <w:pPr>
        <w:spacing w:after="0" w:line="255" w:lineRule="exact"/>
        <w:rPr>
          <w:sz w:val="21"/>
        </w:rPr>
        <w:sectPr>
          <w:pgSz w:w="11910" w:h="16840"/>
          <w:pgMar w:top="1460" w:bottom="280" w:left="1000" w:right="8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1781"/>
        <w:gridCol w:w="7244"/>
      </w:tblGrid>
      <w:tr>
        <w:trPr>
          <w:trHeight w:val="412" w:hRule="atLeast"/>
        </w:trPr>
        <w:tc>
          <w:tcPr>
            <w:tcW w:w="837" w:type="dxa"/>
          </w:tcPr>
          <w:p>
            <w:pPr>
              <w:pStyle w:val="TableParagraph"/>
              <w:spacing w:before="0"/>
              <w:ind w:left="0"/>
              <w:rPr>
                <w:rFonts w:ascii="Times New Roman"/>
                <w:sz w:val="20"/>
              </w:rPr>
            </w:pPr>
          </w:p>
        </w:tc>
        <w:tc>
          <w:tcPr>
            <w:tcW w:w="1781" w:type="dxa"/>
          </w:tcPr>
          <w:p>
            <w:pPr>
              <w:pStyle w:val="TableParagraph"/>
              <w:spacing w:before="0"/>
              <w:ind w:left="0"/>
              <w:rPr>
                <w:rFonts w:ascii="Times New Roman"/>
                <w:sz w:val="20"/>
              </w:rPr>
            </w:pPr>
          </w:p>
        </w:tc>
        <w:tc>
          <w:tcPr>
            <w:tcW w:w="7244" w:type="dxa"/>
          </w:tcPr>
          <w:p>
            <w:pPr>
              <w:pStyle w:val="TableParagraph"/>
              <w:spacing w:line="211" w:lineRule="exact" w:before="0"/>
              <w:ind w:left="107"/>
              <w:rPr>
                <w:sz w:val="21"/>
              </w:rPr>
            </w:pPr>
            <w:r>
              <w:rPr>
                <w:sz w:val="21"/>
              </w:rPr>
              <w:t>疾病，通常具有由亲代传至后代的垂直传递的特征。</w:t>
            </w:r>
          </w:p>
        </w:tc>
      </w:tr>
      <w:tr>
        <w:trPr>
          <w:trHeight w:val="1300" w:hRule="atLeast"/>
        </w:trPr>
        <w:tc>
          <w:tcPr>
            <w:tcW w:w="837" w:type="dxa"/>
          </w:tcPr>
          <w:p>
            <w:pPr>
              <w:pStyle w:val="TableParagraph"/>
              <w:spacing w:before="138"/>
              <w:ind w:left="180" w:right="192"/>
              <w:jc w:val="center"/>
              <w:rPr>
                <w:b/>
                <w:sz w:val="21"/>
              </w:rPr>
            </w:pPr>
            <w:r>
              <w:rPr>
                <w:b/>
                <w:sz w:val="21"/>
              </w:rPr>
              <w:t>6.12</w:t>
            </w:r>
          </w:p>
        </w:tc>
        <w:tc>
          <w:tcPr>
            <w:tcW w:w="1781" w:type="dxa"/>
          </w:tcPr>
          <w:p>
            <w:pPr>
              <w:pStyle w:val="TableParagraph"/>
              <w:spacing w:line="300" w:lineRule="auto" w:before="138"/>
              <w:ind w:left="214" w:right="57"/>
              <w:rPr>
                <w:b/>
                <w:sz w:val="21"/>
              </w:rPr>
            </w:pPr>
            <w:r>
              <w:rPr>
                <w:b/>
                <w:sz w:val="21"/>
              </w:rPr>
              <w:t>先天性畸形、变形或染色体异常</w:t>
            </w:r>
          </w:p>
        </w:tc>
        <w:tc>
          <w:tcPr>
            <w:tcW w:w="7244" w:type="dxa"/>
          </w:tcPr>
          <w:p>
            <w:pPr>
              <w:pStyle w:val="TableParagraph"/>
              <w:spacing w:line="300" w:lineRule="auto" w:before="138"/>
              <w:ind w:left="107" w:right="204"/>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16"/>
              <w:ind w:left="107"/>
              <w:rPr>
                <w:sz w:val="21"/>
              </w:rPr>
            </w:pPr>
            <w:r>
              <w:rPr>
                <w:sz w:val="21"/>
              </w:rPr>
              <w:t>（ICD-10）确定。</w:t>
            </w:r>
          </w:p>
        </w:tc>
      </w:tr>
      <w:tr>
        <w:trPr>
          <w:trHeight w:val="615" w:hRule="atLeast"/>
        </w:trPr>
        <w:tc>
          <w:tcPr>
            <w:tcW w:w="837" w:type="dxa"/>
          </w:tcPr>
          <w:p>
            <w:pPr>
              <w:pStyle w:val="TableParagraph"/>
              <w:spacing w:before="138"/>
              <w:ind w:left="180" w:right="192"/>
              <w:jc w:val="center"/>
              <w:rPr>
                <w:b/>
                <w:sz w:val="21"/>
              </w:rPr>
            </w:pPr>
            <w:r>
              <w:rPr>
                <w:b/>
                <w:sz w:val="21"/>
              </w:rPr>
              <w:t>6.13</w:t>
            </w:r>
          </w:p>
        </w:tc>
        <w:tc>
          <w:tcPr>
            <w:tcW w:w="1781" w:type="dxa"/>
          </w:tcPr>
          <w:p>
            <w:pPr>
              <w:pStyle w:val="TableParagraph"/>
              <w:spacing w:before="138"/>
              <w:ind w:left="214"/>
              <w:rPr>
                <w:b/>
                <w:sz w:val="21"/>
              </w:rPr>
            </w:pPr>
            <w:r>
              <w:rPr>
                <w:b/>
                <w:sz w:val="21"/>
              </w:rPr>
              <w:t>极短期保险费</w:t>
            </w:r>
          </w:p>
        </w:tc>
        <w:tc>
          <w:tcPr>
            <w:tcW w:w="7244" w:type="dxa"/>
          </w:tcPr>
          <w:p>
            <w:pPr>
              <w:pStyle w:val="TableParagraph"/>
              <w:spacing w:before="138"/>
              <w:ind w:left="107"/>
              <w:rPr>
                <w:sz w:val="21"/>
              </w:rPr>
            </w:pPr>
            <w:r>
              <w:rPr>
                <w:sz w:val="21"/>
              </w:rPr>
              <w:t>极短期保险费＝保险费×极短期收费比例。极短期收费比例详见附表一。</w:t>
            </w:r>
          </w:p>
        </w:tc>
      </w:tr>
      <w:tr>
        <w:trPr>
          <w:trHeight w:val="975" w:hRule="atLeast"/>
        </w:trPr>
        <w:tc>
          <w:tcPr>
            <w:tcW w:w="837" w:type="dxa"/>
          </w:tcPr>
          <w:p>
            <w:pPr>
              <w:pStyle w:val="TableParagraph"/>
              <w:spacing w:before="139"/>
              <w:ind w:left="180" w:right="192"/>
              <w:jc w:val="center"/>
              <w:rPr>
                <w:b/>
                <w:sz w:val="21"/>
              </w:rPr>
            </w:pPr>
            <w:r>
              <w:rPr>
                <w:b/>
                <w:sz w:val="21"/>
              </w:rPr>
              <w:t>6.14</w:t>
            </w:r>
          </w:p>
        </w:tc>
        <w:tc>
          <w:tcPr>
            <w:tcW w:w="1781" w:type="dxa"/>
          </w:tcPr>
          <w:p>
            <w:pPr>
              <w:pStyle w:val="TableParagraph"/>
              <w:spacing w:before="139"/>
              <w:ind w:left="214"/>
              <w:rPr>
                <w:b/>
                <w:sz w:val="21"/>
              </w:rPr>
            </w:pPr>
            <w:r>
              <w:rPr>
                <w:b/>
                <w:sz w:val="21"/>
              </w:rPr>
              <w:t>有效身份证件</w:t>
            </w:r>
          </w:p>
        </w:tc>
        <w:tc>
          <w:tcPr>
            <w:tcW w:w="7244" w:type="dxa"/>
          </w:tcPr>
          <w:p>
            <w:pPr>
              <w:pStyle w:val="TableParagraph"/>
              <w:spacing w:line="300" w:lineRule="auto" w:before="139"/>
              <w:ind w:left="107" w:right="230"/>
              <w:rPr>
                <w:sz w:val="21"/>
              </w:rPr>
            </w:pPr>
            <w:r>
              <w:rPr>
                <w:spacing w:val="-7"/>
                <w:sz w:val="21"/>
              </w:rPr>
              <w:t>指依据法律规定，由有权机构制作颁发的证明身份的证件、文件等，如：居</w:t>
            </w:r>
            <w:r>
              <w:rPr>
                <w:spacing w:val="-5"/>
                <w:sz w:val="21"/>
              </w:rPr>
              <w:t>民身份证、户口簿、护照、军人证等。</w:t>
            </w:r>
          </w:p>
        </w:tc>
      </w:tr>
      <w:tr>
        <w:trPr>
          <w:trHeight w:val="1317" w:hRule="atLeast"/>
        </w:trPr>
        <w:tc>
          <w:tcPr>
            <w:tcW w:w="837" w:type="dxa"/>
          </w:tcPr>
          <w:p>
            <w:pPr>
              <w:pStyle w:val="TableParagraph"/>
              <w:spacing w:before="155"/>
              <w:ind w:left="180" w:right="192"/>
              <w:jc w:val="center"/>
              <w:rPr>
                <w:b/>
                <w:sz w:val="21"/>
              </w:rPr>
            </w:pPr>
            <w:r>
              <w:rPr>
                <w:b/>
                <w:sz w:val="21"/>
              </w:rPr>
              <w:t>6.15</w:t>
            </w:r>
          </w:p>
        </w:tc>
        <w:tc>
          <w:tcPr>
            <w:tcW w:w="1781" w:type="dxa"/>
          </w:tcPr>
          <w:p>
            <w:pPr>
              <w:pStyle w:val="TableParagraph"/>
              <w:spacing w:before="155"/>
              <w:ind w:left="214"/>
              <w:rPr>
                <w:b/>
                <w:sz w:val="21"/>
              </w:rPr>
            </w:pPr>
            <w:r>
              <w:rPr>
                <w:b/>
                <w:sz w:val="21"/>
              </w:rPr>
              <w:t>离职</w:t>
            </w:r>
          </w:p>
        </w:tc>
        <w:tc>
          <w:tcPr>
            <w:tcW w:w="7244" w:type="dxa"/>
          </w:tcPr>
          <w:p>
            <w:pPr>
              <w:pStyle w:val="TableParagraph"/>
              <w:spacing w:line="300" w:lineRule="auto" w:before="155"/>
              <w:ind w:left="107" w:right="197"/>
              <w:jc w:val="both"/>
              <w:rPr>
                <w:sz w:val="21"/>
              </w:rPr>
            </w:pPr>
            <w:r>
              <w:rPr>
                <w:sz w:val="21"/>
              </w:rPr>
              <w:t>指用人单位与劳动者解除或终止劳动关系的行为，包括到期终止劳动合同、提前解除劳动合同、解除或终止事实劳动关系、或未经对方同意一方擅自解除或终止劳动关系等，但不包括依法退休、病退、内部退养行为。</w:t>
            </w:r>
          </w:p>
        </w:tc>
      </w:tr>
      <w:tr>
        <w:trPr>
          <w:trHeight w:val="2675" w:hRule="atLeast"/>
        </w:trPr>
        <w:tc>
          <w:tcPr>
            <w:tcW w:w="837" w:type="dxa"/>
          </w:tcPr>
          <w:p>
            <w:pPr>
              <w:pStyle w:val="TableParagraph"/>
              <w:spacing w:before="138"/>
              <w:ind w:left="180" w:right="192"/>
              <w:jc w:val="center"/>
              <w:rPr>
                <w:b/>
                <w:sz w:val="21"/>
              </w:rPr>
            </w:pPr>
            <w:r>
              <w:rPr>
                <w:b/>
                <w:sz w:val="21"/>
              </w:rPr>
              <w:t>6.16</w:t>
            </w:r>
          </w:p>
        </w:tc>
        <w:tc>
          <w:tcPr>
            <w:tcW w:w="1781" w:type="dxa"/>
          </w:tcPr>
          <w:p>
            <w:pPr>
              <w:pStyle w:val="TableParagraph"/>
              <w:spacing w:before="138"/>
              <w:ind w:left="214"/>
              <w:rPr>
                <w:b/>
                <w:sz w:val="21"/>
              </w:rPr>
            </w:pPr>
            <w:r>
              <w:rPr>
                <w:b/>
                <w:sz w:val="21"/>
              </w:rPr>
              <w:t>专科医生</w:t>
            </w:r>
          </w:p>
        </w:tc>
        <w:tc>
          <w:tcPr>
            <w:tcW w:w="7244" w:type="dxa"/>
          </w:tcPr>
          <w:p>
            <w:pPr>
              <w:pStyle w:val="TableParagraph"/>
              <w:spacing w:before="138"/>
              <w:ind w:left="107"/>
              <w:rPr>
                <w:sz w:val="21"/>
              </w:rPr>
            </w:pPr>
            <w:r>
              <w:rPr>
                <w:sz w:val="21"/>
              </w:rPr>
              <w:t>专科医生应当同时满足以下四项资格条件：</w:t>
            </w:r>
          </w:p>
          <w:p>
            <w:pPr>
              <w:pStyle w:val="TableParagraph"/>
              <w:ind w:left="107"/>
              <w:rPr>
                <w:sz w:val="21"/>
              </w:rPr>
            </w:pPr>
            <w:r>
              <w:rPr>
                <w:sz w:val="21"/>
              </w:rPr>
              <w:t>（1）具有有效的中华人民共和国《医师资格证书》；</w:t>
            </w:r>
          </w:p>
          <w:p>
            <w:pPr>
              <w:pStyle w:val="TableParagraph"/>
              <w:spacing w:line="300" w:lineRule="auto"/>
              <w:ind w:left="107" w:right="207"/>
              <w:rPr>
                <w:sz w:val="21"/>
              </w:rPr>
            </w:pPr>
            <w:r>
              <w:rPr>
                <w:sz w:val="21"/>
              </w:rPr>
              <w:t>（2）</w:t>
            </w:r>
            <w:r>
              <w:rPr>
                <w:spacing w:val="-10"/>
                <w:sz w:val="21"/>
              </w:rPr>
              <w:t>具有有效的中华人民共和国《医师执业证书》，并按期到相关部门登记注册；</w:t>
            </w:r>
          </w:p>
          <w:p>
            <w:pPr>
              <w:pStyle w:val="TableParagraph"/>
              <w:spacing w:line="300" w:lineRule="auto" w:before="16"/>
              <w:ind w:left="107" w:right="305"/>
              <w:rPr>
                <w:sz w:val="21"/>
              </w:rPr>
            </w:pPr>
            <w:r>
              <w:rPr>
                <w:sz w:val="21"/>
              </w:rPr>
              <w:t>（3）具有有效的中华人民共和国主治医师或主治医师以上职称的《医师职称证书》；</w:t>
            </w:r>
          </w:p>
          <w:p>
            <w:pPr>
              <w:pStyle w:val="TableParagraph"/>
              <w:spacing w:before="16"/>
              <w:ind w:left="107"/>
              <w:rPr>
                <w:sz w:val="21"/>
              </w:rPr>
            </w:pPr>
            <w:r>
              <w:rPr>
                <w:sz w:val="21"/>
              </w:rPr>
              <w:t>（4）在二级或二级以上医院的相应科室从事临床工作三年以上。</w:t>
            </w:r>
          </w:p>
        </w:tc>
      </w:tr>
      <w:tr>
        <w:trPr>
          <w:trHeight w:val="958" w:hRule="atLeast"/>
        </w:trPr>
        <w:tc>
          <w:tcPr>
            <w:tcW w:w="837" w:type="dxa"/>
          </w:tcPr>
          <w:p>
            <w:pPr>
              <w:pStyle w:val="TableParagraph"/>
              <w:spacing w:before="139"/>
              <w:ind w:left="180" w:right="192"/>
              <w:jc w:val="center"/>
              <w:rPr>
                <w:b/>
                <w:sz w:val="21"/>
              </w:rPr>
            </w:pPr>
            <w:r>
              <w:rPr>
                <w:b/>
                <w:sz w:val="21"/>
              </w:rPr>
              <w:t>6.17</w:t>
            </w:r>
          </w:p>
        </w:tc>
        <w:tc>
          <w:tcPr>
            <w:tcW w:w="1781" w:type="dxa"/>
          </w:tcPr>
          <w:p>
            <w:pPr>
              <w:pStyle w:val="TableParagraph"/>
              <w:spacing w:line="300" w:lineRule="auto" w:before="139"/>
              <w:ind w:left="214" w:right="296"/>
              <w:rPr>
                <w:b/>
                <w:sz w:val="21"/>
              </w:rPr>
            </w:pPr>
            <w:r>
              <w:rPr>
                <w:b/>
                <w:sz w:val="21"/>
              </w:rPr>
              <w:t>肢体机能完全丧失</w:t>
            </w:r>
          </w:p>
        </w:tc>
        <w:tc>
          <w:tcPr>
            <w:tcW w:w="7244" w:type="dxa"/>
          </w:tcPr>
          <w:p>
            <w:pPr>
              <w:pStyle w:val="TableParagraph"/>
              <w:spacing w:line="300" w:lineRule="auto" w:before="139"/>
              <w:ind w:left="107" w:right="207"/>
              <w:rPr>
                <w:sz w:val="21"/>
              </w:rPr>
            </w:pPr>
            <w:r>
              <w:rPr>
                <w:sz w:val="21"/>
              </w:rPr>
              <w:t>指肢体的三大关节中的两大关节僵硬，或不能随意识活动。肢体是指包括肩关节的整个上肢或包括髋关节的整个下肢。</w:t>
            </w:r>
          </w:p>
        </w:tc>
      </w:tr>
      <w:tr>
        <w:trPr>
          <w:trHeight w:val="1987" w:hRule="atLeast"/>
        </w:trPr>
        <w:tc>
          <w:tcPr>
            <w:tcW w:w="837" w:type="dxa"/>
          </w:tcPr>
          <w:p>
            <w:pPr>
              <w:pStyle w:val="TableParagraph"/>
              <w:spacing w:before="138"/>
              <w:ind w:left="180" w:right="192"/>
              <w:jc w:val="center"/>
              <w:rPr>
                <w:b/>
                <w:sz w:val="21"/>
              </w:rPr>
            </w:pPr>
            <w:r>
              <w:rPr>
                <w:b/>
                <w:sz w:val="21"/>
              </w:rPr>
              <w:t>6.18</w:t>
            </w:r>
          </w:p>
        </w:tc>
        <w:tc>
          <w:tcPr>
            <w:tcW w:w="1781" w:type="dxa"/>
          </w:tcPr>
          <w:p>
            <w:pPr>
              <w:pStyle w:val="TableParagraph"/>
              <w:spacing w:line="300" w:lineRule="auto" w:before="138"/>
              <w:ind w:left="214" w:right="296"/>
              <w:jc w:val="both"/>
              <w:rPr>
                <w:b/>
                <w:sz w:val="21"/>
              </w:rPr>
            </w:pPr>
            <w:r>
              <w:rPr>
                <w:b/>
                <w:sz w:val="21"/>
              </w:rPr>
              <w:t>语言能力或咀嚼吞咽能力完全丧失</w:t>
            </w:r>
          </w:p>
        </w:tc>
        <w:tc>
          <w:tcPr>
            <w:tcW w:w="7244" w:type="dxa"/>
          </w:tcPr>
          <w:p>
            <w:pPr>
              <w:pStyle w:val="TableParagraph"/>
              <w:spacing w:line="300" w:lineRule="auto" w:before="138"/>
              <w:ind w:left="107" w:right="204"/>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300" w:lineRule="auto" w:before="16"/>
              <w:ind w:left="107" w:right="207"/>
              <w:jc w:val="both"/>
              <w:rPr>
                <w:sz w:val="21"/>
              </w:rPr>
            </w:pPr>
            <w:r>
              <w:rPr>
                <w:sz w:val="21"/>
              </w:rPr>
              <w:t>咀嚼吞咽能力完全丧失，指因牙齿以外的原因导致器质障碍或机能障碍，以致不能作咀嚼吞咽运动，除流质食物外不能摄取或吞咽的状态。</w:t>
            </w:r>
          </w:p>
        </w:tc>
      </w:tr>
      <w:tr>
        <w:trPr>
          <w:trHeight w:val="2671" w:hRule="atLeast"/>
        </w:trPr>
        <w:tc>
          <w:tcPr>
            <w:tcW w:w="837" w:type="dxa"/>
          </w:tcPr>
          <w:p>
            <w:pPr>
              <w:pStyle w:val="TableParagraph"/>
              <w:spacing w:before="138"/>
              <w:ind w:left="180" w:right="192"/>
              <w:jc w:val="center"/>
              <w:rPr>
                <w:b/>
                <w:sz w:val="21"/>
              </w:rPr>
            </w:pPr>
            <w:r>
              <w:rPr>
                <w:b/>
                <w:sz w:val="21"/>
              </w:rPr>
              <w:t>6.19</w:t>
            </w:r>
          </w:p>
        </w:tc>
        <w:tc>
          <w:tcPr>
            <w:tcW w:w="1781" w:type="dxa"/>
          </w:tcPr>
          <w:p>
            <w:pPr>
              <w:pStyle w:val="TableParagraph"/>
              <w:spacing w:line="300" w:lineRule="auto" w:before="138"/>
              <w:ind w:left="214" w:right="296"/>
              <w:rPr>
                <w:b/>
                <w:sz w:val="21"/>
              </w:rPr>
            </w:pPr>
            <w:r>
              <w:rPr>
                <w:b/>
                <w:sz w:val="21"/>
              </w:rPr>
              <w:t>六项基本日常生活活动</w:t>
            </w:r>
          </w:p>
        </w:tc>
        <w:tc>
          <w:tcPr>
            <w:tcW w:w="7244" w:type="dxa"/>
          </w:tcPr>
          <w:p>
            <w:pPr>
              <w:pStyle w:val="TableParagraph"/>
              <w:spacing w:before="138"/>
              <w:ind w:left="107"/>
              <w:rPr>
                <w:sz w:val="21"/>
              </w:rPr>
            </w:pPr>
            <w:r>
              <w:rPr>
                <w:sz w:val="21"/>
              </w:rPr>
              <w:t>六项基本日常生活活动是指：</w:t>
            </w:r>
          </w:p>
          <w:p>
            <w:pPr>
              <w:pStyle w:val="TableParagraph"/>
              <w:ind w:left="107"/>
              <w:rPr>
                <w:sz w:val="21"/>
              </w:rPr>
            </w:pPr>
            <w:r>
              <w:rPr>
                <w:sz w:val="21"/>
              </w:rPr>
              <w:t>（1）穿衣：自己能够穿衣及脱衣；</w:t>
            </w:r>
          </w:p>
          <w:p>
            <w:pPr>
              <w:pStyle w:val="TableParagraph"/>
              <w:ind w:left="107"/>
              <w:rPr>
                <w:sz w:val="21"/>
              </w:rPr>
            </w:pPr>
            <w:r>
              <w:rPr>
                <w:sz w:val="21"/>
              </w:rPr>
              <w:t>（2）移动：自己从一个房间到另一个房间；</w:t>
            </w:r>
          </w:p>
          <w:p>
            <w:pPr>
              <w:pStyle w:val="TableParagraph"/>
              <w:ind w:left="107"/>
              <w:rPr>
                <w:sz w:val="21"/>
              </w:rPr>
            </w:pPr>
            <w:r>
              <w:rPr>
                <w:sz w:val="21"/>
              </w:rPr>
              <w:t>（3）行动：自己上下床或上下轮椅；</w:t>
            </w:r>
          </w:p>
          <w:p>
            <w:pPr>
              <w:pStyle w:val="TableParagraph"/>
              <w:ind w:left="107"/>
              <w:rPr>
                <w:sz w:val="21"/>
              </w:rPr>
            </w:pPr>
            <w:r>
              <w:rPr>
                <w:sz w:val="21"/>
              </w:rPr>
              <w:t>（4）如厕：自己控制进行大小便；</w:t>
            </w:r>
          </w:p>
          <w:p>
            <w:pPr>
              <w:pStyle w:val="TableParagraph"/>
              <w:ind w:left="107"/>
              <w:rPr>
                <w:sz w:val="21"/>
              </w:rPr>
            </w:pPr>
            <w:r>
              <w:rPr>
                <w:sz w:val="21"/>
              </w:rPr>
              <w:t>（5）进食：自己从已准备好的碗或碟中取食物放入口中；</w:t>
            </w:r>
          </w:p>
          <w:p>
            <w:pPr>
              <w:pStyle w:val="TableParagraph"/>
              <w:ind w:left="107"/>
              <w:rPr>
                <w:sz w:val="21"/>
              </w:rPr>
            </w:pPr>
            <w:r>
              <w:rPr>
                <w:sz w:val="21"/>
              </w:rPr>
              <w:t>（6）洗澡：自己进行淋浴或盆浴。</w:t>
            </w:r>
          </w:p>
        </w:tc>
      </w:tr>
      <w:tr>
        <w:trPr>
          <w:trHeight w:val="760" w:hRule="atLeast"/>
        </w:trPr>
        <w:tc>
          <w:tcPr>
            <w:tcW w:w="837" w:type="dxa"/>
          </w:tcPr>
          <w:p>
            <w:pPr>
              <w:pStyle w:val="TableParagraph"/>
              <w:spacing w:before="142"/>
              <w:ind w:left="180" w:right="192"/>
              <w:jc w:val="center"/>
              <w:rPr>
                <w:b/>
                <w:sz w:val="21"/>
              </w:rPr>
            </w:pPr>
            <w:r>
              <w:rPr>
                <w:b/>
                <w:sz w:val="21"/>
              </w:rPr>
              <w:t>6.20</w:t>
            </w:r>
          </w:p>
        </w:tc>
        <w:tc>
          <w:tcPr>
            <w:tcW w:w="1781" w:type="dxa"/>
          </w:tcPr>
          <w:p>
            <w:pPr>
              <w:pStyle w:val="TableParagraph"/>
              <w:spacing w:before="142"/>
              <w:ind w:left="214"/>
              <w:rPr>
                <w:b/>
                <w:sz w:val="21"/>
              </w:rPr>
            </w:pPr>
            <w:r>
              <w:rPr>
                <w:b/>
                <w:sz w:val="21"/>
              </w:rPr>
              <w:t>永久不可逆</w:t>
            </w:r>
          </w:p>
        </w:tc>
        <w:tc>
          <w:tcPr>
            <w:tcW w:w="7244" w:type="dxa"/>
          </w:tcPr>
          <w:p>
            <w:pPr>
              <w:pStyle w:val="TableParagraph"/>
              <w:spacing w:line="320" w:lineRule="atLeast" w:before="113"/>
              <w:ind w:left="107" w:right="140"/>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p>
      <w:pPr>
        <w:spacing w:after="0" w:line="320" w:lineRule="atLeast"/>
        <w:rPr>
          <w:sz w:val="21"/>
        </w:rPr>
        <w:sectPr>
          <w:pgSz w:w="11910" w:h="16840"/>
          <w:pgMar w:top="1460" w:bottom="280" w:left="1000" w:right="840"/>
        </w:sectPr>
      </w:pPr>
    </w:p>
    <w:p>
      <w:pPr>
        <w:pStyle w:val="BodyText"/>
        <w:rPr>
          <w:rFonts w:ascii="Times New Roman"/>
          <w:sz w:val="20"/>
        </w:rPr>
      </w:pPr>
    </w:p>
    <w:p>
      <w:pPr>
        <w:pStyle w:val="BodyText"/>
        <w:spacing w:before="1"/>
        <w:rPr>
          <w:rFonts w:ascii="Times New Roman"/>
          <w:sz w:val="19"/>
        </w:rPr>
      </w:pPr>
    </w:p>
    <w:p>
      <w:pPr>
        <w:spacing w:after="0"/>
        <w:rPr>
          <w:rFonts w:ascii="Times New Roman"/>
          <w:sz w:val="19"/>
        </w:rPr>
        <w:sectPr>
          <w:pgSz w:w="11910" w:h="16840"/>
          <w:pgMar w:top="1580" w:bottom="280" w:left="1200" w:right="960"/>
        </w:sectPr>
      </w:pPr>
    </w:p>
    <w:p>
      <w:pPr>
        <w:pStyle w:val="Heading2"/>
        <w:spacing w:before="34"/>
        <w:ind w:firstLine="0"/>
      </w:pPr>
      <w:r>
        <w:rPr>
          <w:rFonts w:ascii="Times New Roman" w:eastAsia="Times New Roman"/>
          <w:spacing w:val="-60"/>
          <w:u w:val="thick"/>
        </w:rPr>
        <w:t> </w:t>
      </w:r>
      <w:r>
        <w:rPr>
          <w:w w:val="95"/>
          <w:u w:val="thick"/>
        </w:rPr>
        <w:t>附表一</w:t>
      </w:r>
    </w:p>
    <w:p>
      <w:pPr>
        <w:pStyle w:val="BodyText"/>
        <w:spacing w:before="10"/>
        <w:rPr>
          <w:b/>
          <w:sz w:val="28"/>
        </w:rPr>
      </w:pPr>
      <w:r>
        <w:rPr/>
        <w:br w:type="column"/>
      </w:r>
      <w:r>
        <w:rPr>
          <w:b/>
          <w:sz w:val="28"/>
        </w:rPr>
      </w:r>
    </w:p>
    <w:p>
      <w:pPr>
        <w:spacing w:line="261" w:lineRule="auto" w:before="0"/>
        <w:ind w:left="346" w:right="3674" w:hanging="243"/>
        <w:jc w:val="left"/>
        <w:rPr>
          <w:b/>
          <w:sz w:val="24"/>
        </w:rPr>
      </w:pPr>
      <w:r>
        <w:rPr>
          <w:b/>
          <w:sz w:val="24"/>
        </w:rPr>
        <w:t>安邦团体重大疾病保险</w:t>
      </w:r>
      <w:r>
        <w:rPr>
          <w:b/>
          <w:w w:val="95"/>
          <w:sz w:val="24"/>
        </w:rPr>
        <w:t>极短期收费比例表</w:t>
      </w:r>
    </w:p>
    <w:p>
      <w:pPr>
        <w:spacing w:after="0" w:line="261" w:lineRule="auto"/>
        <w:jc w:val="left"/>
        <w:rPr>
          <w:sz w:val="24"/>
        </w:rPr>
        <w:sectPr>
          <w:type w:val="continuous"/>
          <w:pgSz w:w="11910" w:h="16840"/>
          <w:pgMar w:top="700" w:bottom="280" w:left="1200" w:right="960"/>
          <w:cols w:num="2" w:equalWidth="0">
            <w:col w:w="827" w:space="2731"/>
            <w:col w:w="6192"/>
          </w:cols>
        </w:sectPr>
      </w:pPr>
    </w:p>
    <w:p>
      <w:pPr>
        <w:pStyle w:val="BodyText"/>
        <w:spacing w:before="7"/>
        <w:rPr>
          <w:b/>
          <w:sz w:val="28"/>
        </w:rPr>
      </w:pPr>
    </w:p>
    <w:tbl>
      <w:tblPr>
        <w:tblW w:w="0" w:type="auto"/>
        <w:jc w:val="left"/>
        <w:tblInd w:w="4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90"/>
        <w:gridCol w:w="667"/>
        <w:gridCol w:w="665"/>
        <w:gridCol w:w="667"/>
        <w:gridCol w:w="665"/>
        <w:gridCol w:w="667"/>
        <w:gridCol w:w="667"/>
        <w:gridCol w:w="664"/>
        <w:gridCol w:w="666"/>
        <w:gridCol w:w="664"/>
        <w:gridCol w:w="666"/>
        <w:gridCol w:w="664"/>
        <w:gridCol w:w="666"/>
      </w:tblGrid>
      <w:tr>
        <w:trPr>
          <w:trHeight w:val="438" w:hRule="atLeast"/>
        </w:trPr>
        <w:tc>
          <w:tcPr>
            <w:tcW w:w="890" w:type="dxa"/>
          </w:tcPr>
          <w:p>
            <w:pPr>
              <w:pStyle w:val="TableParagraph"/>
              <w:spacing w:before="72"/>
              <w:ind w:left="83" w:right="64"/>
              <w:jc w:val="center"/>
              <w:rPr>
                <w:b/>
                <w:sz w:val="18"/>
              </w:rPr>
            </w:pPr>
            <w:r>
              <w:rPr>
                <w:b/>
                <w:w w:val="95"/>
                <w:sz w:val="18"/>
              </w:rPr>
              <w:t>保险期限</w:t>
            </w:r>
          </w:p>
        </w:tc>
        <w:tc>
          <w:tcPr>
            <w:tcW w:w="667" w:type="dxa"/>
          </w:tcPr>
          <w:p>
            <w:pPr>
              <w:pStyle w:val="TableParagraph"/>
              <w:spacing w:before="72"/>
              <w:ind w:left="38" w:right="26"/>
              <w:jc w:val="center"/>
              <w:rPr>
                <w:sz w:val="18"/>
              </w:rPr>
            </w:pPr>
            <w:r>
              <w:rPr>
                <w:sz w:val="18"/>
              </w:rPr>
              <w:t>1 个月</w:t>
            </w:r>
          </w:p>
        </w:tc>
        <w:tc>
          <w:tcPr>
            <w:tcW w:w="665" w:type="dxa"/>
          </w:tcPr>
          <w:p>
            <w:pPr>
              <w:pStyle w:val="TableParagraph"/>
              <w:spacing w:before="72"/>
              <w:ind w:left="42" w:right="27"/>
              <w:jc w:val="center"/>
              <w:rPr>
                <w:sz w:val="18"/>
              </w:rPr>
            </w:pPr>
            <w:r>
              <w:rPr>
                <w:sz w:val="18"/>
              </w:rPr>
              <w:t>2 个月</w:t>
            </w:r>
          </w:p>
        </w:tc>
        <w:tc>
          <w:tcPr>
            <w:tcW w:w="667" w:type="dxa"/>
          </w:tcPr>
          <w:p>
            <w:pPr>
              <w:pStyle w:val="TableParagraph"/>
              <w:spacing w:before="72"/>
              <w:ind w:left="40" w:right="26"/>
              <w:jc w:val="center"/>
              <w:rPr>
                <w:sz w:val="18"/>
              </w:rPr>
            </w:pPr>
            <w:r>
              <w:rPr>
                <w:sz w:val="18"/>
              </w:rPr>
              <w:t>3 个月</w:t>
            </w:r>
          </w:p>
        </w:tc>
        <w:tc>
          <w:tcPr>
            <w:tcW w:w="665" w:type="dxa"/>
          </w:tcPr>
          <w:p>
            <w:pPr>
              <w:pStyle w:val="TableParagraph"/>
              <w:spacing w:before="72"/>
              <w:ind w:left="42" w:right="26"/>
              <w:jc w:val="center"/>
              <w:rPr>
                <w:sz w:val="18"/>
              </w:rPr>
            </w:pPr>
            <w:r>
              <w:rPr>
                <w:sz w:val="18"/>
              </w:rPr>
              <w:t>4 个月</w:t>
            </w:r>
          </w:p>
        </w:tc>
        <w:tc>
          <w:tcPr>
            <w:tcW w:w="667" w:type="dxa"/>
          </w:tcPr>
          <w:p>
            <w:pPr>
              <w:pStyle w:val="TableParagraph"/>
              <w:spacing w:before="72"/>
              <w:ind w:left="40" w:right="26"/>
              <w:jc w:val="center"/>
              <w:rPr>
                <w:sz w:val="18"/>
              </w:rPr>
            </w:pPr>
            <w:r>
              <w:rPr>
                <w:sz w:val="18"/>
              </w:rPr>
              <w:t>5 个月</w:t>
            </w:r>
          </w:p>
        </w:tc>
        <w:tc>
          <w:tcPr>
            <w:tcW w:w="667" w:type="dxa"/>
          </w:tcPr>
          <w:p>
            <w:pPr>
              <w:pStyle w:val="TableParagraph"/>
              <w:spacing w:before="72"/>
              <w:ind w:left="42" w:right="23"/>
              <w:jc w:val="center"/>
              <w:rPr>
                <w:sz w:val="18"/>
              </w:rPr>
            </w:pPr>
            <w:r>
              <w:rPr>
                <w:sz w:val="18"/>
              </w:rPr>
              <w:t>6 个月</w:t>
            </w:r>
          </w:p>
        </w:tc>
        <w:tc>
          <w:tcPr>
            <w:tcW w:w="664" w:type="dxa"/>
          </w:tcPr>
          <w:p>
            <w:pPr>
              <w:pStyle w:val="TableParagraph"/>
              <w:spacing w:before="72"/>
              <w:ind w:left="18"/>
              <w:jc w:val="center"/>
              <w:rPr>
                <w:sz w:val="18"/>
              </w:rPr>
            </w:pPr>
            <w:r>
              <w:rPr>
                <w:sz w:val="18"/>
              </w:rPr>
              <w:t>7 个月</w:t>
            </w:r>
          </w:p>
        </w:tc>
        <w:tc>
          <w:tcPr>
            <w:tcW w:w="666" w:type="dxa"/>
          </w:tcPr>
          <w:p>
            <w:pPr>
              <w:pStyle w:val="TableParagraph"/>
              <w:spacing w:before="72"/>
              <w:ind w:left="18"/>
              <w:jc w:val="center"/>
              <w:rPr>
                <w:sz w:val="18"/>
              </w:rPr>
            </w:pPr>
            <w:r>
              <w:rPr>
                <w:sz w:val="18"/>
              </w:rPr>
              <w:t>8 个月</w:t>
            </w:r>
          </w:p>
        </w:tc>
        <w:tc>
          <w:tcPr>
            <w:tcW w:w="664" w:type="dxa"/>
          </w:tcPr>
          <w:p>
            <w:pPr>
              <w:pStyle w:val="TableParagraph"/>
              <w:spacing w:before="72"/>
              <w:ind w:left="22"/>
              <w:jc w:val="center"/>
              <w:rPr>
                <w:sz w:val="18"/>
              </w:rPr>
            </w:pPr>
            <w:r>
              <w:rPr>
                <w:sz w:val="18"/>
              </w:rPr>
              <w:t>9 个月</w:t>
            </w:r>
          </w:p>
        </w:tc>
        <w:tc>
          <w:tcPr>
            <w:tcW w:w="666" w:type="dxa"/>
          </w:tcPr>
          <w:p>
            <w:pPr>
              <w:pStyle w:val="TableParagraph"/>
              <w:spacing w:before="72"/>
              <w:ind w:left="23"/>
              <w:jc w:val="center"/>
              <w:rPr>
                <w:sz w:val="18"/>
              </w:rPr>
            </w:pPr>
            <w:r>
              <w:rPr>
                <w:sz w:val="18"/>
              </w:rPr>
              <w:t>10</w:t>
            </w:r>
            <w:r>
              <w:rPr>
                <w:spacing w:val="-15"/>
                <w:sz w:val="18"/>
              </w:rPr>
              <w:t> 个月</w:t>
            </w:r>
          </w:p>
        </w:tc>
        <w:tc>
          <w:tcPr>
            <w:tcW w:w="664" w:type="dxa"/>
          </w:tcPr>
          <w:p>
            <w:pPr>
              <w:pStyle w:val="TableParagraph"/>
              <w:spacing w:before="72"/>
              <w:ind w:left="27"/>
              <w:jc w:val="center"/>
              <w:rPr>
                <w:sz w:val="18"/>
              </w:rPr>
            </w:pPr>
            <w:r>
              <w:rPr>
                <w:sz w:val="18"/>
              </w:rPr>
              <w:t>11</w:t>
            </w:r>
            <w:r>
              <w:rPr>
                <w:spacing w:val="-15"/>
                <w:sz w:val="18"/>
              </w:rPr>
              <w:t> 个月</w:t>
            </w:r>
          </w:p>
        </w:tc>
        <w:tc>
          <w:tcPr>
            <w:tcW w:w="666" w:type="dxa"/>
          </w:tcPr>
          <w:p>
            <w:pPr>
              <w:pStyle w:val="TableParagraph"/>
              <w:spacing w:before="72"/>
              <w:ind w:left="32"/>
              <w:jc w:val="center"/>
              <w:rPr>
                <w:sz w:val="18"/>
              </w:rPr>
            </w:pPr>
            <w:r>
              <w:rPr>
                <w:sz w:val="18"/>
              </w:rPr>
              <w:t>12</w:t>
            </w:r>
            <w:r>
              <w:rPr>
                <w:spacing w:val="-15"/>
                <w:sz w:val="18"/>
              </w:rPr>
              <w:t> 个月</w:t>
            </w:r>
          </w:p>
        </w:tc>
      </w:tr>
      <w:tr>
        <w:trPr>
          <w:trHeight w:val="345" w:hRule="atLeast"/>
        </w:trPr>
        <w:tc>
          <w:tcPr>
            <w:tcW w:w="890" w:type="dxa"/>
          </w:tcPr>
          <w:p>
            <w:pPr>
              <w:pStyle w:val="TableParagraph"/>
              <w:spacing w:before="27"/>
              <w:ind w:left="83" w:right="64"/>
              <w:jc w:val="center"/>
              <w:rPr>
                <w:b/>
                <w:sz w:val="18"/>
              </w:rPr>
            </w:pPr>
            <w:r>
              <w:rPr>
                <w:b/>
                <w:w w:val="95"/>
                <w:sz w:val="18"/>
              </w:rPr>
              <w:t>收费比例</w:t>
            </w:r>
          </w:p>
        </w:tc>
        <w:tc>
          <w:tcPr>
            <w:tcW w:w="667" w:type="dxa"/>
          </w:tcPr>
          <w:p>
            <w:pPr>
              <w:pStyle w:val="TableParagraph"/>
              <w:spacing w:before="27"/>
              <w:ind w:left="41" w:right="26"/>
              <w:jc w:val="center"/>
              <w:rPr>
                <w:sz w:val="18"/>
              </w:rPr>
            </w:pPr>
            <w:r>
              <w:rPr>
                <w:sz w:val="18"/>
              </w:rPr>
              <w:t>20%</w:t>
            </w:r>
          </w:p>
        </w:tc>
        <w:tc>
          <w:tcPr>
            <w:tcW w:w="665" w:type="dxa"/>
          </w:tcPr>
          <w:p>
            <w:pPr>
              <w:pStyle w:val="TableParagraph"/>
              <w:spacing w:before="27"/>
              <w:ind w:left="42" w:right="25"/>
              <w:jc w:val="center"/>
              <w:rPr>
                <w:sz w:val="18"/>
              </w:rPr>
            </w:pPr>
            <w:r>
              <w:rPr>
                <w:sz w:val="18"/>
              </w:rPr>
              <w:t>30%</w:t>
            </w:r>
          </w:p>
        </w:tc>
        <w:tc>
          <w:tcPr>
            <w:tcW w:w="667" w:type="dxa"/>
          </w:tcPr>
          <w:p>
            <w:pPr>
              <w:pStyle w:val="TableParagraph"/>
              <w:spacing w:before="27"/>
              <w:ind w:left="42" w:right="26"/>
              <w:jc w:val="center"/>
              <w:rPr>
                <w:sz w:val="18"/>
              </w:rPr>
            </w:pPr>
            <w:r>
              <w:rPr>
                <w:sz w:val="18"/>
              </w:rPr>
              <w:t>40%</w:t>
            </w:r>
          </w:p>
        </w:tc>
        <w:tc>
          <w:tcPr>
            <w:tcW w:w="665" w:type="dxa"/>
          </w:tcPr>
          <w:p>
            <w:pPr>
              <w:pStyle w:val="TableParagraph"/>
              <w:spacing w:before="27"/>
              <w:ind w:left="42" w:right="24"/>
              <w:jc w:val="center"/>
              <w:rPr>
                <w:sz w:val="18"/>
              </w:rPr>
            </w:pPr>
            <w:r>
              <w:rPr>
                <w:sz w:val="18"/>
              </w:rPr>
              <w:t>50%</w:t>
            </w:r>
          </w:p>
        </w:tc>
        <w:tc>
          <w:tcPr>
            <w:tcW w:w="667" w:type="dxa"/>
          </w:tcPr>
          <w:p>
            <w:pPr>
              <w:pStyle w:val="TableParagraph"/>
              <w:spacing w:before="27"/>
              <w:ind w:left="42" w:right="26"/>
              <w:jc w:val="center"/>
              <w:rPr>
                <w:sz w:val="18"/>
              </w:rPr>
            </w:pPr>
            <w:r>
              <w:rPr>
                <w:sz w:val="18"/>
              </w:rPr>
              <w:t>60%</w:t>
            </w:r>
          </w:p>
        </w:tc>
        <w:tc>
          <w:tcPr>
            <w:tcW w:w="667" w:type="dxa"/>
          </w:tcPr>
          <w:p>
            <w:pPr>
              <w:pStyle w:val="TableParagraph"/>
              <w:spacing w:before="27"/>
              <w:ind w:left="42" w:right="25"/>
              <w:jc w:val="center"/>
              <w:rPr>
                <w:sz w:val="18"/>
              </w:rPr>
            </w:pPr>
            <w:r>
              <w:rPr>
                <w:sz w:val="18"/>
              </w:rPr>
              <w:t>70%</w:t>
            </w:r>
          </w:p>
        </w:tc>
        <w:tc>
          <w:tcPr>
            <w:tcW w:w="664" w:type="dxa"/>
          </w:tcPr>
          <w:p>
            <w:pPr>
              <w:pStyle w:val="TableParagraph"/>
              <w:spacing w:before="27"/>
              <w:ind w:left="21"/>
              <w:jc w:val="center"/>
              <w:rPr>
                <w:sz w:val="18"/>
              </w:rPr>
            </w:pPr>
            <w:r>
              <w:rPr>
                <w:sz w:val="18"/>
              </w:rPr>
              <w:t>75%</w:t>
            </w:r>
          </w:p>
        </w:tc>
        <w:tc>
          <w:tcPr>
            <w:tcW w:w="666" w:type="dxa"/>
          </w:tcPr>
          <w:p>
            <w:pPr>
              <w:pStyle w:val="TableParagraph"/>
              <w:spacing w:before="27"/>
              <w:ind w:left="20"/>
              <w:jc w:val="center"/>
              <w:rPr>
                <w:sz w:val="18"/>
              </w:rPr>
            </w:pPr>
            <w:r>
              <w:rPr>
                <w:sz w:val="18"/>
              </w:rPr>
              <w:t>80%</w:t>
            </w:r>
          </w:p>
        </w:tc>
        <w:tc>
          <w:tcPr>
            <w:tcW w:w="664" w:type="dxa"/>
          </w:tcPr>
          <w:p>
            <w:pPr>
              <w:pStyle w:val="TableParagraph"/>
              <w:spacing w:before="27"/>
              <w:ind w:left="25"/>
              <w:jc w:val="center"/>
              <w:rPr>
                <w:sz w:val="18"/>
              </w:rPr>
            </w:pPr>
            <w:r>
              <w:rPr>
                <w:sz w:val="18"/>
              </w:rPr>
              <w:t>85%</w:t>
            </w:r>
          </w:p>
        </w:tc>
        <w:tc>
          <w:tcPr>
            <w:tcW w:w="666" w:type="dxa"/>
          </w:tcPr>
          <w:p>
            <w:pPr>
              <w:pStyle w:val="TableParagraph"/>
              <w:spacing w:before="27"/>
              <w:ind w:left="25"/>
              <w:jc w:val="center"/>
              <w:rPr>
                <w:sz w:val="18"/>
              </w:rPr>
            </w:pPr>
            <w:r>
              <w:rPr>
                <w:sz w:val="18"/>
              </w:rPr>
              <w:t>90%</w:t>
            </w:r>
          </w:p>
        </w:tc>
        <w:tc>
          <w:tcPr>
            <w:tcW w:w="664" w:type="dxa"/>
          </w:tcPr>
          <w:p>
            <w:pPr>
              <w:pStyle w:val="TableParagraph"/>
              <w:spacing w:before="27"/>
              <w:ind w:left="30"/>
              <w:jc w:val="center"/>
              <w:rPr>
                <w:sz w:val="18"/>
              </w:rPr>
            </w:pPr>
            <w:r>
              <w:rPr>
                <w:sz w:val="18"/>
              </w:rPr>
              <w:t>95%</w:t>
            </w:r>
          </w:p>
        </w:tc>
        <w:tc>
          <w:tcPr>
            <w:tcW w:w="666" w:type="dxa"/>
          </w:tcPr>
          <w:p>
            <w:pPr>
              <w:pStyle w:val="TableParagraph"/>
              <w:spacing w:before="27"/>
              <w:ind w:left="30"/>
              <w:jc w:val="center"/>
              <w:rPr>
                <w:sz w:val="18"/>
              </w:rPr>
            </w:pPr>
            <w:r>
              <w:rPr>
                <w:sz w:val="18"/>
              </w:rPr>
              <w:t>100%</w:t>
            </w:r>
          </w:p>
        </w:tc>
      </w:tr>
    </w:tbl>
    <w:p>
      <w:pPr>
        <w:pStyle w:val="BodyText"/>
        <w:spacing w:before="2"/>
        <w:ind w:left="372"/>
      </w:pPr>
      <w:r>
        <w:rPr>
          <w:spacing w:val="-5"/>
        </w:rPr>
        <w:t>注：</w:t>
      </w:r>
      <w:r>
        <w:rPr>
          <w:spacing w:val="-9"/>
        </w:rPr>
        <w:t>1</w:t>
      </w:r>
      <w:r>
        <w:rPr>
          <w:spacing w:val="-12"/>
        </w:rPr>
        <w:t>、保险期间在 </w:t>
      </w:r>
      <w:r>
        <w:rPr/>
        <w:t>1</w:t>
      </w:r>
      <w:r>
        <w:rPr>
          <w:spacing w:val="-16"/>
        </w:rPr>
        <w:t> 个月以上，不足 </w:t>
      </w:r>
      <w:r>
        <w:rPr/>
        <w:t>2</w:t>
      </w:r>
      <w:r>
        <w:rPr>
          <w:spacing w:val="-20"/>
        </w:rPr>
        <w:t> 个月的，按 </w:t>
      </w:r>
      <w:r>
        <w:rPr/>
        <w:t>2</w:t>
      </w:r>
      <w:r>
        <w:rPr>
          <w:spacing w:val="-14"/>
        </w:rPr>
        <w:t> 个月计算；保险期间在 </w:t>
      </w:r>
      <w:r>
        <w:rPr/>
        <w:t>2</w:t>
      </w:r>
      <w:r>
        <w:rPr>
          <w:spacing w:val="-17"/>
        </w:rPr>
        <w:t> 个月以上，不足 </w:t>
      </w:r>
      <w:r>
        <w:rPr/>
        <w:t>3</w:t>
      </w:r>
      <w:r>
        <w:rPr>
          <w:spacing w:val="-18"/>
        </w:rPr>
        <w:t> 个月</w:t>
      </w:r>
    </w:p>
    <w:p>
      <w:pPr>
        <w:pStyle w:val="BodyText"/>
        <w:spacing w:before="68"/>
        <w:ind w:left="1003"/>
      </w:pPr>
      <w:r>
        <w:rPr/>
        <w:t>的，按 3 个月计算，依此类推。</w:t>
      </w:r>
    </w:p>
    <w:p>
      <w:pPr>
        <w:pStyle w:val="BodyText"/>
        <w:spacing w:before="68"/>
        <w:ind w:left="734"/>
      </w:pPr>
      <w:r>
        <w:rPr/>
        <w:t>2、保险期间不满 1 个月的，按 1 个月计算。</w:t>
      </w:r>
    </w:p>
    <w:sectPr>
      <w:type w:val="continuous"/>
      <w:pgSz w:w="11910" w:h="16840"/>
      <w:pgMar w:top="700" w:bottom="280" w:left="120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Wingdings">
    <w:altName w:val="Wingdings"/>
    <w:charset w:val="2"/>
    <w:family w:val="auto"/>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63" w:hanging="360"/>
        <w:jc w:val="left"/>
      </w:pPr>
      <w:rPr>
        <w:rFonts w:hint="default" w:ascii="宋体" w:hAnsi="宋体" w:eastAsia="宋体" w:cs="宋体"/>
        <w:w w:val="100"/>
        <w:sz w:val="21"/>
        <w:szCs w:val="21"/>
      </w:rPr>
    </w:lvl>
    <w:lvl w:ilvl="1">
      <w:start w:val="0"/>
      <w:numFmt w:val="bullet"/>
      <w:lvlText w:val="•"/>
      <w:lvlJc w:val="left"/>
      <w:pPr>
        <w:ind w:left="1227" w:hanging="360"/>
      </w:pPr>
      <w:rPr>
        <w:rFonts w:hint="default"/>
      </w:rPr>
    </w:lvl>
    <w:lvl w:ilvl="2">
      <w:start w:val="0"/>
      <w:numFmt w:val="bullet"/>
      <w:lvlText w:val="•"/>
      <w:lvlJc w:val="left"/>
      <w:pPr>
        <w:ind w:left="1895" w:hanging="360"/>
      </w:pPr>
      <w:rPr>
        <w:rFonts w:hint="default"/>
      </w:rPr>
    </w:lvl>
    <w:lvl w:ilvl="3">
      <w:start w:val="0"/>
      <w:numFmt w:val="bullet"/>
      <w:lvlText w:val="•"/>
      <w:lvlJc w:val="left"/>
      <w:pPr>
        <w:ind w:left="2562" w:hanging="360"/>
      </w:pPr>
      <w:rPr>
        <w:rFonts w:hint="default"/>
      </w:rPr>
    </w:lvl>
    <w:lvl w:ilvl="4">
      <w:start w:val="0"/>
      <w:numFmt w:val="bullet"/>
      <w:lvlText w:val="•"/>
      <w:lvlJc w:val="left"/>
      <w:pPr>
        <w:ind w:left="3230" w:hanging="360"/>
      </w:pPr>
      <w:rPr>
        <w:rFonts w:hint="default"/>
      </w:rPr>
    </w:lvl>
    <w:lvl w:ilvl="5">
      <w:start w:val="0"/>
      <w:numFmt w:val="bullet"/>
      <w:lvlText w:val="•"/>
      <w:lvlJc w:val="left"/>
      <w:pPr>
        <w:ind w:left="3897" w:hanging="360"/>
      </w:pPr>
      <w:rPr>
        <w:rFonts w:hint="default"/>
      </w:rPr>
    </w:lvl>
    <w:lvl w:ilvl="6">
      <w:start w:val="0"/>
      <w:numFmt w:val="bullet"/>
      <w:lvlText w:val="•"/>
      <w:lvlJc w:val="left"/>
      <w:pPr>
        <w:ind w:left="4565" w:hanging="360"/>
      </w:pPr>
      <w:rPr>
        <w:rFonts w:hint="default"/>
      </w:rPr>
    </w:lvl>
    <w:lvl w:ilvl="7">
      <w:start w:val="0"/>
      <w:numFmt w:val="bullet"/>
      <w:lvlText w:val="•"/>
      <w:lvlJc w:val="left"/>
      <w:pPr>
        <w:ind w:left="5232" w:hanging="360"/>
      </w:pPr>
      <w:rPr>
        <w:rFonts w:hint="default"/>
      </w:rPr>
    </w:lvl>
    <w:lvl w:ilvl="8">
      <w:start w:val="0"/>
      <w:numFmt w:val="bullet"/>
      <w:lvlText w:val="•"/>
      <w:lvlJc w:val="left"/>
      <w:pPr>
        <w:ind w:left="5900" w:hanging="360"/>
      </w:pPr>
      <w:rPr>
        <w:rFonts w:hint="default"/>
      </w:rPr>
    </w:lvl>
  </w:abstractNum>
  <w:abstractNum w:abstractNumId="6">
    <w:multiLevelType w:val="hybridMultilevel"/>
    <w:lvl w:ilvl="0">
      <w:start w:val="6"/>
      <w:numFmt w:val="decimal"/>
      <w:lvlText w:val="（%1）"/>
      <w:lvlJc w:val="left"/>
      <w:pPr>
        <w:ind w:left="923" w:hanging="720"/>
        <w:jc w:val="left"/>
      </w:pPr>
      <w:rPr>
        <w:rFonts w:hint="default" w:ascii="黑体" w:hAnsi="黑体" w:eastAsia="黑体" w:cs="黑体"/>
        <w:w w:val="100"/>
        <w:sz w:val="21"/>
        <w:szCs w:val="21"/>
      </w:rPr>
    </w:lvl>
    <w:lvl w:ilvl="1">
      <w:start w:val="0"/>
      <w:numFmt w:val="bullet"/>
      <w:lvlText w:val="•"/>
      <w:lvlJc w:val="left"/>
      <w:pPr>
        <w:ind w:left="1551" w:hanging="720"/>
      </w:pPr>
      <w:rPr>
        <w:rFonts w:hint="default"/>
      </w:rPr>
    </w:lvl>
    <w:lvl w:ilvl="2">
      <w:start w:val="0"/>
      <w:numFmt w:val="bullet"/>
      <w:lvlText w:val="•"/>
      <w:lvlJc w:val="left"/>
      <w:pPr>
        <w:ind w:left="2182" w:hanging="720"/>
      </w:pPr>
      <w:rPr>
        <w:rFonts w:hint="default"/>
      </w:rPr>
    </w:lvl>
    <w:lvl w:ilvl="3">
      <w:start w:val="0"/>
      <w:numFmt w:val="bullet"/>
      <w:lvlText w:val="•"/>
      <w:lvlJc w:val="left"/>
      <w:pPr>
        <w:ind w:left="2814" w:hanging="720"/>
      </w:pPr>
      <w:rPr>
        <w:rFonts w:hint="default"/>
      </w:rPr>
    </w:lvl>
    <w:lvl w:ilvl="4">
      <w:start w:val="0"/>
      <w:numFmt w:val="bullet"/>
      <w:lvlText w:val="•"/>
      <w:lvlJc w:val="left"/>
      <w:pPr>
        <w:ind w:left="3445" w:hanging="720"/>
      </w:pPr>
      <w:rPr>
        <w:rFonts w:hint="default"/>
      </w:rPr>
    </w:lvl>
    <w:lvl w:ilvl="5">
      <w:start w:val="0"/>
      <w:numFmt w:val="bullet"/>
      <w:lvlText w:val="•"/>
      <w:lvlJc w:val="left"/>
      <w:pPr>
        <w:ind w:left="4077" w:hanging="720"/>
      </w:pPr>
      <w:rPr>
        <w:rFonts w:hint="default"/>
      </w:rPr>
    </w:lvl>
    <w:lvl w:ilvl="6">
      <w:start w:val="0"/>
      <w:numFmt w:val="bullet"/>
      <w:lvlText w:val="•"/>
      <w:lvlJc w:val="left"/>
      <w:pPr>
        <w:ind w:left="4708" w:hanging="720"/>
      </w:pPr>
      <w:rPr>
        <w:rFonts w:hint="default"/>
      </w:rPr>
    </w:lvl>
    <w:lvl w:ilvl="7">
      <w:start w:val="0"/>
      <w:numFmt w:val="bullet"/>
      <w:lvlText w:val="•"/>
      <w:lvlJc w:val="left"/>
      <w:pPr>
        <w:ind w:left="5339" w:hanging="720"/>
      </w:pPr>
      <w:rPr>
        <w:rFonts w:hint="default"/>
      </w:rPr>
    </w:lvl>
    <w:lvl w:ilvl="8">
      <w:start w:val="0"/>
      <w:numFmt w:val="bullet"/>
      <w:lvlText w:val="•"/>
      <w:lvlJc w:val="left"/>
      <w:pPr>
        <w:ind w:left="5971" w:hanging="720"/>
      </w:pPr>
      <w:rPr>
        <w:rFonts w:hint="default"/>
      </w:rPr>
    </w:lvl>
  </w:abstractNum>
  <w:abstractNum w:abstractNumId="5">
    <w:multiLevelType w:val="hybridMultilevel"/>
    <w:lvl w:ilvl="0">
      <w:start w:val="1"/>
      <w:numFmt w:val="decimal"/>
      <w:lvlText w:val="（%1）"/>
      <w:lvlJc w:val="left"/>
      <w:pPr>
        <w:ind w:left="923" w:hanging="720"/>
        <w:jc w:val="left"/>
      </w:pPr>
      <w:rPr>
        <w:rFonts w:hint="default" w:ascii="黑体" w:hAnsi="黑体" w:eastAsia="黑体" w:cs="黑体"/>
        <w:w w:val="100"/>
        <w:sz w:val="21"/>
        <w:szCs w:val="21"/>
      </w:rPr>
    </w:lvl>
    <w:lvl w:ilvl="1">
      <w:start w:val="0"/>
      <w:numFmt w:val="bullet"/>
      <w:lvlText w:val="•"/>
      <w:lvlJc w:val="left"/>
      <w:pPr>
        <w:ind w:left="1551" w:hanging="720"/>
      </w:pPr>
      <w:rPr>
        <w:rFonts w:hint="default"/>
      </w:rPr>
    </w:lvl>
    <w:lvl w:ilvl="2">
      <w:start w:val="0"/>
      <w:numFmt w:val="bullet"/>
      <w:lvlText w:val="•"/>
      <w:lvlJc w:val="left"/>
      <w:pPr>
        <w:ind w:left="2182" w:hanging="720"/>
      </w:pPr>
      <w:rPr>
        <w:rFonts w:hint="default"/>
      </w:rPr>
    </w:lvl>
    <w:lvl w:ilvl="3">
      <w:start w:val="0"/>
      <w:numFmt w:val="bullet"/>
      <w:lvlText w:val="•"/>
      <w:lvlJc w:val="left"/>
      <w:pPr>
        <w:ind w:left="2814" w:hanging="720"/>
      </w:pPr>
      <w:rPr>
        <w:rFonts w:hint="default"/>
      </w:rPr>
    </w:lvl>
    <w:lvl w:ilvl="4">
      <w:start w:val="0"/>
      <w:numFmt w:val="bullet"/>
      <w:lvlText w:val="•"/>
      <w:lvlJc w:val="left"/>
      <w:pPr>
        <w:ind w:left="3445" w:hanging="720"/>
      </w:pPr>
      <w:rPr>
        <w:rFonts w:hint="default"/>
      </w:rPr>
    </w:lvl>
    <w:lvl w:ilvl="5">
      <w:start w:val="0"/>
      <w:numFmt w:val="bullet"/>
      <w:lvlText w:val="•"/>
      <w:lvlJc w:val="left"/>
      <w:pPr>
        <w:ind w:left="4077" w:hanging="720"/>
      </w:pPr>
      <w:rPr>
        <w:rFonts w:hint="default"/>
      </w:rPr>
    </w:lvl>
    <w:lvl w:ilvl="6">
      <w:start w:val="0"/>
      <w:numFmt w:val="bullet"/>
      <w:lvlText w:val="•"/>
      <w:lvlJc w:val="left"/>
      <w:pPr>
        <w:ind w:left="4708" w:hanging="720"/>
      </w:pPr>
      <w:rPr>
        <w:rFonts w:hint="default"/>
      </w:rPr>
    </w:lvl>
    <w:lvl w:ilvl="7">
      <w:start w:val="0"/>
      <w:numFmt w:val="bullet"/>
      <w:lvlText w:val="•"/>
      <w:lvlJc w:val="left"/>
      <w:pPr>
        <w:ind w:left="5339" w:hanging="720"/>
      </w:pPr>
      <w:rPr>
        <w:rFonts w:hint="default"/>
      </w:rPr>
    </w:lvl>
    <w:lvl w:ilvl="8">
      <w:start w:val="0"/>
      <w:numFmt w:val="bullet"/>
      <w:lvlText w:val="•"/>
      <w:lvlJc w:val="left"/>
      <w:pPr>
        <w:ind w:left="5971" w:hanging="720"/>
      </w:pPr>
      <w:rPr>
        <w:rFonts w:hint="default"/>
      </w:rPr>
    </w:lvl>
  </w:abstractNum>
  <w:abstractNum w:abstractNumId="4">
    <w:multiLevelType w:val="hybridMultilevel"/>
    <w:lvl w:ilvl="0">
      <w:start w:val="6"/>
      <w:numFmt w:val="decimal"/>
      <w:lvlText w:val="%1"/>
      <w:lvlJc w:val="left"/>
      <w:pPr>
        <w:ind w:left="676" w:hanging="423"/>
        <w:jc w:val="left"/>
      </w:pPr>
      <w:rPr>
        <w:rFonts w:hint="default"/>
      </w:rPr>
    </w:lvl>
    <w:lvl w:ilvl="1">
      <w:start w:val="6"/>
      <w:numFmt w:val="decimal"/>
      <w:lvlText w:val="%1.%2"/>
      <w:lvlJc w:val="left"/>
      <w:pPr>
        <w:ind w:left="148" w:hanging="423"/>
        <w:jc w:val="left"/>
      </w:pPr>
      <w:rPr>
        <w:rFonts w:hint="default" w:ascii="宋体" w:hAnsi="宋体" w:eastAsia="宋体" w:cs="宋体"/>
        <w:w w:val="100"/>
        <w:sz w:val="21"/>
        <w:szCs w:val="21"/>
      </w:rPr>
    </w:lvl>
    <w:lvl w:ilvl="2">
      <w:start w:val="0"/>
      <w:numFmt w:val="bullet"/>
      <w:lvlText w:val="•"/>
      <w:lvlJc w:val="left"/>
      <w:pPr>
        <w:ind w:left="984" w:hanging="423"/>
      </w:pPr>
      <w:rPr>
        <w:rFonts w:hint="default"/>
      </w:rPr>
    </w:lvl>
    <w:lvl w:ilvl="3">
      <w:start w:val="0"/>
      <w:numFmt w:val="bullet"/>
      <w:lvlText w:val="•"/>
      <w:lvlJc w:val="left"/>
      <w:pPr>
        <w:ind w:left="1288" w:hanging="423"/>
      </w:pPr>
      <w:rPr>
        <w:rFonts w:hint="default"/>
      </w:rPr>
    </w:lvl>
    <w:lvl w:ilvl="4">
      <w:start w:val="0"/>
      <w:numFmt w:val="bullet"/>
      <w:lvlText w:val="•"/>
      <w:lvlJc w:val="left"/>
      <w:pPr>
        <w:ind w:left="1593" w:hanging="423"/>
      </w:pPr>
      <w:rPr>
        <w:rFonts w:hint="default"/>
      </w:rPr>
    </w:lvl>
    <w:lvl w:ilvl="5">
      <w:start w:val="0"/>
      <w:numFmt w:val="bullet"/>
      <w:lvlText w:val="•"/>
      <w:lvlJc w:val="left"/>
      <w:pPr>
        <w:ind w:left="1897" w:hanging="423"/>
      </w:pPr>
      <w:rPr>
        <w:rFonts w:hint="default"/>
      </w:rPr>
    </w:lvl>
    <w:lvl w:ilvl="6">
      <w:start w:val="0"/>
      <w:numFmt w:val="bullet"/>
      <w:lvlText w:val="•"/>
      <w:lvlJc w:val="left"/>
      <w:pPr>
        <w:ind w:left="2202" w:hanging="423"/>
      </w:pPr>
      <w:rPr>
        <w:rFonts w:hint="default"/>
      </w:rPr>
    </w:lvl>
    <w:lvl w:ilvl="7">
      <w:start w:val="0"/>
      <w:numFmt w:val="bullet"/>
      <w:lvlText w:val="•"/>
      <w:lvlJc w:val="left"/>
      <w:pPr>
        <w:ind w:left="2506" w:hanging="423"/>
      </w:pPr>
      <w:rPr>
        <w:rFonts w:hint="default"/>
      </w:rPr>
    </w:lvl>
    <w:lvl w:ilvl="8">
      <w:start w:val="0"/>
      <w:numFmt w:val="bullet"/>
      <w:lvlText w:val="•"/>
      <w:lvlJc w:val="left"/>
      <w:pPr>
        <w:ind w:left="2811" w:hanging="423"/>
      </w:pPr>
      <w:rPr>
        <w:rFonts w:hint="default"/>
      </w:rPr>
    </w:lvl>
  </w:abstractNum>
  <w:abstractNum w:abstractNumId="3">
    <w:multiLevelType w:val="hybridMultilevel"/>
    <w:lvl w:ilvl="0">
      <w:start w:val="5"/>
      <w:numFmt w:val="decimal"/>
      <w:lvlText w:val="%1."/>
      <w:lvlJc w:val="left"/>
      <w:pPr>
        <w:ind w:left="424" w:hanging="317"/>
        <w:jc w:val="left"/>
      </w:pPr>
      <w:rPr>
        <w:rFonts w:hint="default" w:ascii="宋体" w:hAnsi="宋体" w:eastAsia="宋体" w:cs="宋体"/>
        <w:b/>
        <w:bCs/>
        <w:w w:val="99"/>
        <w:sz w:val="21"/>
        <w:szCs w:val="21"/>
      </w:rPr>
    </w:lvl>
    <w:lvl w:ilvl="1">
      <w:start w:val="1"/>
      <w:numFmt w:val="decimal"/>
      <w:lvlText w:val="%1.%2"/>
      <w:lvlJc w:val="left"/>
      <w:pPr>
        <w:ind w:left="635" w:hanging="423"/>
        <w:jc w:val="left"/>
      </w:pPr>
      <w:rPr>
        <w:rFonts w:hint="default" w:ascii="宋体" w:hAnsi="宋体" w:eastAsia="宋体" w:cs="宋体"/>
        <w:w w:val="100"/>
        <w:sz w:val="21"/>
        <w:szCs w:val="21"/>
      </w:rPr>
    </w:lvl>
    <w:lvl w:ilvl="2">
      <w:start w:val="0"/>
      <w:numFmt w:val="bullet"/>
      <w:lvlText w:val="•"/>
      <w:lvlJc w:val="left"/>
      <w:pPr>
        <w:ind w:left="936" w:hanging="423"/>
      </w:pPr>
      <w:rPr>
        <w:rFonts w:hint="default"/>
      </w:rPr>
    </w:lvl>
    <w:lvl w:ilvl="3">
      <w:start w:val="0"/>
      <w:numFmt w:val="bullet"/>
      <w:lvlText w:val="•"/>
      <w:lvlJc w:val="left"/>
      <w:pPr>
        <w:ind w:left="1232" w:hanging="423"/>
      </w:pPr>
      <w:rPr>
        <w:rFonts w:hint="default"/>
      </w:rPr>
    </w:lvl>
    <w:lvl w:ilvl="4">
      <w:start w:val="0"/>
      <w:numFmt w:val="bullet"/>
      <w:lvlText w:val="•"/>
      <w:lvlJc w:val="left"/>
      <w:pPr>
        <w:ind w:left="1528" w:hanging="423"/>
      </w:pPr>
      <w:rPr>
        <w:rFonts w:hint="default"/>
      </w:rPr>
    </w:lvl>
    <w:lvl w:ilvl="5">
      <w:start w:val="0"/>
      <w:numFmt w:val="bullet"/>
      <w:lvlText w:val="•"/>
      <w:lvlJc w:val="left"/>
      <w:pPr>
        <w:ind w:left="1824" w:hanging="423"/>
      </w:pPr>
      <w:rPr>
        <w:rFonts w:hint="default"/>
      </w:rPr>
    </w:lvl>
    <w:lvl w:ilvl="6">
      <w:start w:val="0"/>
      <w:numFmt w:val="bullet"/>
      <w:lvlText w:val="•"/>
      <w:lvlJc w:val="left"/>
      <w:pPr>
        <w:ind w:left="2120" w:hanging="423"/>
      </w:pPr>
      <w:rPr>
        <w:rFonts w:hint="default"/>
      </w:rPr>
    </w:lvl>
    <w:lvl w:ilvl="7">
      <w:start w:val="0"/>
      <w:numFmt w:val="bullet"/>
      <w:lvlText w:val="•"/>
      <w:lvlJc w:val="left"/>
      <w:pPr>
        <w:ind w:left="2416" w:hanging="423"/>
      </w:pPr>
      <w:rPr>
        <w:rFonts w:hint="default"/>
      </w:rPr>
    </w:lvl>
    <w:lvl w:ilvl="8">
      <w:start w:val="0"/>
      <w:numFmt w:val="bullet"/>
      <w:lvlText w:val="•"/>
      <w:lvlJc w:val="left"/>
      <w:pPr>
        <w:ind w:left="2712" w:hanging="423"/>
      </w:pPr>
      <w:rPr>
        <w:rFonts w:hint="default"/>
      </w:rPr>
    </w:lvl>
  </w:abstractNum>
  <w:abstractNum w:abstractNumId="2">
    <w:multiLevelType w:val="hybridMultilevel"/>
    <w:lvl w:ilvl="0">
      <w:start w:val="4"/>
      <w:numFmt w:val="decimal"/>
      <w:lvlText w:val="%1"/>
      <w:lvlJc w:val="left"/>
      <w:pPr>
        <w:ind w:left="635" w:hanging="423"/>
        <w:jc w:val="left"/>
      </w:pPr>
      <w:rPr>
        <w:rFonts w:hint="default"/>
      </w:rPr>
    </w:lvl>
    <w:lvl w:ilvl="1">
      <w:start w:val="3"/>
      <w:numFmt w:val="decimal"/>
      <w:lvlText w:val="%1.%2"/>
      <w:lvlJc w:val="left"/>
      <w:pPr>
        <w:ind w:left="635" w:hanging="423"/>
        <w:jc w:val="left"/>
      </w:pPr>
      <w:rPr>
        <w:rFonts w:hint="default" w:ascii="宋体" w:hAnsi="宋体" w:eastAsia="宋体" w:cs="宋体"/>
        <w:w w:val="100"/>
        <w:sz w:val="21"/>
        <w:szCs w:val="21"/>
      </w:rPr>
    </w:lvl>
    <w:lvl w:ilvl="2">
      <w:start w:val="0"/>
      <w:numFmt w:val="bullet"/>
      <w:lvlText w:val="•"/>
      <w:lvlJc w:val="left"/>
      <w:pPr>
        <w:ind w:left="1173" w:hanging="423"/>
      </w:pPr>
      <w:rPr>
        <w:rFonts w:hint="default"/>
      </w:rPr>
    </w:lvl>
    <w:lvl w:ilvl="3">
      <w:start w:val="0"/>
      <w:numFmt w:val="bullet"/>
      <w:lvlText w:val="•"/>
      <w:lvlJc w:val="left"/>
      <w:pPr>
        <w:ind w:left="1439" w:hanging="423"/>
      </w:pPr>
      <w:rPr>
        <w:rFonts w:hint="default"/>
      </w:rPr>
    </w:lvl>
    <w:lvl w:ilvl="4">
      <w:start w:val="0"/>
      <w:numFmt w:val="bullet"/>
      <w:lvlText w:val="•"/>
      <w:lvlJc w:val="left"/>
      <w:pPr>
        <w:ind w:left="1706" w:hanging="423"/>
      </w:pPr>
      <w:rPr>
        <w:rFonts w:hint="default"/>
      </w:rPr>
    </w:lvl>
    <w:lvl w:ilvl="5">
      <w:start w:val="0"/>
      <w:numFmt w:val="bullet"/>
      <w:lvlText w:val="•"/>
      <w:lvlJc w:val="left"/>
      <w:pPr>
        <w:ind w:left="1972" w:hanging="423"/>
      </w:pPr>
      <w:rPr>
        <w:rFonts w:hint="default"/>
      </w:rPr>
    </w:lvl>
    <w:lvl w:ilvl="6">
      <w:start w:val="0"/>
      <w:numFmt w:val="bullet"/>
      <w:lvlText w:val="•"/>
      <w:lvlJc w:val="left"/>
      <w:pPr>
        <w:ind w:left="2239" w:hanging="423"/>
      </w:pPr>
      <w:rPr>
        <w:rFonts w:hint="default"/>
      </w:rPr>
    </w:lvl>
    <w:lvl w:ilvl="7">
      <w:start w:val="0"/>
      <w:numFmt w:val="bullet"/>
      <w:lvlText w:val="•"/>
      <w:lvlJc w:val="left"/>
      <w:pPr>
        <w:ind w:left="2505" w:hanging="423"/>
      </w:pPr>
      <w:rPr>
        <w:rFonts w:hint="default"/>
      </w:rPr>
    </w:lvl>
    <w:lvl w:ilvl="8">
      <w:start w:val="0"/>
      <w:numFmt w:val="bullet"/>
      <w:lvlText w:val="•"/>
      <w:lvlJc w:val="left"/>
      <w:pPr>
        <w:ind w:left="2772"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5" w:hanging="423"/>
        <w:jc w:val="left"/>
      </w:pPr>
      <w:rPr>
        <w:rFonts w:hint="default" w:ascii="宋体" w:hAnsi="宋体" w:eastAsia="宋体" w:cs="宋体"/>
        <w:w w:val="100"/>
        <w:sz w:val="21"/>
        <w:szCs w:val="21"/>
      </w:rPr>
    </w:lvl>
    <w:lvl w:ilvl="2">
      <w:start w:val="0"/>
      <w:numFmt w:val="bullet"/>
      <w:lvlText w:val="•"/>
      <w:lvlJc w:val="left"/>
      <w:pPr>
        <w:ind w:left="1000" w:hanging="423"/>
      </w:pPr>
      <w:rPr>
        <w:rFonts w:hint="default"/>
      </w:rPr>
    </w:lvl>
    <w:lvl w:ilvl="3">
      <w:start w:val="0"/>
      <w:numFmt w:val="bullet"/>
      <w:lvlText w:val="•"/>
      <w:lvlJc w:val="left"/>
      <w:pPr>
        <w:ind w:left="1280" w:hanging="423"/>
      </w:pPr>
      <w:rPr>
        <w:rFonts w:hint="default"/>
      </w:rPr>
    </w:lvl>
    <w:lvl w:ilvl="4">
      <w:start w:val="0"/>
      <w:numFmt w:val="bullet"/>
      <w:lvlText w:val="•"/>
      <w:lvlJc w:val="left"/>
      <w:pPr>
        <w:ind w:left="1560" w:hanging="423"/>
      </w:pPr>
      <w:rPr>
        <w:rFonts w:hint="default"/>
      </w:rPr>
    </w:lvl>
    <w:lvl w:ilvl="5">
      <w:start w:val="0"/>
      <w:numFmt w:val="bullet"/>
      <w:lvlText w:val="•"/>
      <w:lvlJc w:val="left"/>
      <w:pPr>
        <w:ind w:left="1840" w:hanging="423"/>
      </w:pPr>
      <w:rPr>
        <w:rFonts w:hint="default"/>
      </w:rPr>
    </w:lvl>
    <w:lvl w:ilvl="6">
      <w:start w:val="0"/>
      <w:numFmt w:val="bullet"/>
      <w:lvlText w:val="•"/>
      <w:lvlJc w:val="left"/>
      <w:pPr>
        <w:ind w:left="2121" w:hanging="423"/>
      </w:pPr>
      <w:rPr>
        <w:rFonts w:hint="default"/>
      </w:rPr>
    </w:lvl>
    <w:lvl w:ilvl="7">
      <w:start w:val="0"/>
      <w:numFmt w:val="bullet"/>
      <w:lvlText w:val="•"/>
      <w:lvlJc w:val="left"/>
      <w:pPr>
        <w:ind w:left="2401" w:hanging="423"/>
      </w:pPr>
      <w:rPr>
        <w:rFonts w:hint="default"/>
      </w:rPr>
    </w:lvl>
    <w:lvl w:ilvl="8">
      <w:start w:val="0"/>
      <w:numFmt w:val="bullet"/>
      <w:lvlText w:val="•"/>
      <w:lvlJc w:val="left"/>
      <w:pPr>
        <w:ind w:left="2681" w:hanging="423"/>
      </w:pPr>
      <w:rPr>
        <w:rFonts w:hint="default"/>
      </w:rPr>
    </w:lvl>
  </w:abstractNum>
  <w:abstractNum w:abstractNumId="0">
    <w:multiLevelType w:val="hybridMultilevel"/>
    <w:lvl w:ilvl="0">
      <w:start w:val="0"/>
      <w:numFmt w:val="bullet"/>
      <w:lvlText w:val=""/>
      <w:lvlJc w:val="left"/>
      <w:pPr>
        <w:ind w:left="1279" w:hanging="399"/>
      </w:pPr>
      <w:rPr>
        <w:rFonts w:hint="default" w:ascii="Wingdings" w:hAnsi="Wingdings" w:eastAsia="Wingdings" w:cs="Wingdings"/>
        <w:w w:val="100"/>
        <w:sz w:val="21"/>
        <w:szCs w:val="21"/>
      </w:rPr>
    </w:lvl>
    <w:lvl w:ilvl="1">
      <w:start w:val="0"/>
      <w:numFmt w:val="bullet"/>
      <w:lvlText w:val="•"/>
      <w:lvlJc w:val="left"/>
      <w:pPr>
        <w:ind w:left="2226" w:hanging="399"/>
      </w:pPr>
      <w:rPr>
        <w:rFonts w:hint="default"/>
      </w:rPr>
    </w:lvl>
    <w:lvl w:ilvl="2">
      <w:start w:val="0"/>
      <w:numFmt w:val="bullet"/>
      <w:lvlText w:val="•"/>
      <w:lvlJc w:val="left"/>
      <w:pPr>
        <w:ind w:left="3173" w:hanging="399"/>
      </w:pPr>
      <w:rPr>
        <w:rFonts w:hint="default"/>
      </w:rPr>
    </w:lvl>
    <w:lvl w:ilvl="3">
      <w:start w:val="0"/>
      <w:numFmt w:val="bullet"/>
      <w:lvlText w:val="•"/>
      <w:lvlJc w:val="left"/>
      <w:pPr>
        <w:ind w:left="4119" w:hanging="399"/>
      </w:pPr>
      <w:rPr>
        <w:rFonts w:hint="default"/>
      </w:rPr>
    </w:lvl>
    <w:lvl w:ilvl="4">
      <w:start w:val="0"/>
      <w:numFmt w:val="bullet"/>
      <w:lvlText w:val="•"/>
      <w:lvlJc w:val="left"/>
      <w:pPr>
        <w:ind w:left="5066" w:hanging="399"/>
      </w:pPr>
      <w:rPr>
        <w:rFonts w:hint="default"/>
      </w:rPr>
    </w:lvl>
    <w:lvl w:ilvl="5">
      <w:start w:val="0"/>
      <w:numFmt w:val="bullet"/>
      <w:lvlText w:val="•"/>
      <w:lvlJc w:val="left"/>
      <w:pPr>
        <w:ind w:left="6013" w:hanging="399"/>
      </w:pPr>
      <w:rPr>
        <w:rFonts w:hint="default"/>
      </w:rPr>
    </w:lvl>
    <w:lvl w:ilvl="6">
      <w:start w:val="0"/>
      <w:numFmt w:val="bullet"/>
      <w:lvlText w:val="•"/>
      <w:lvlJc w:val="left"/>
      <w:pPr>
        <w:ind w:left="6959" w:hanging="399"/>
      </w:pPr>
      <w:rPr>
        <w:rFonts w:hint="default"/>
      </w:rPr>
    </w:lvl>
    <w:lvl w:ilvl="7">
      <w:start w:val="0"/>
      <w:numFmt w:val="bullet"/>
      <w:lvlText w:val="•"/>
      <w:lvlJc w:val="left"/>
      <w:pPr>
        <w:ind w:left="7906" w:hanging="399"/>
      </w:pPr>
      <w:rPr>
        <w:rFonts w:hint="default"/>
      </w:rPr>
    </w:lvl>
    <w:lvl w:ilvl="8">
      <w:start w:val="0"/>
      <w:numFmt w:val="bullet"/>
      <w:lvlText w:val="•"/>
      <w:lvlJc w:val="left"/>
      <w:pPr>
        <w:ind w:left="8853" w:hanging="399"/>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3058" w:hanging="864"/>
      <w:outlineLvl w:val="1"/>
    </w:pPr>
    <w:rPr>
      <w:rFonts w:ascii="宋体" w:hAnsi="宋体" w:eastAsia="宋体" w:cs="宋体"/>
      <w:b/>
      <w:bCs/>
      <w:sz w:val="32"/>
      <w:szCs w:val="32"/>
    </w:rPr>
  </w:style>
  <w:style w:styleId="Heading2" w:type="paragraph">
    <w:name w:val="Heading 2"/>
    <w:basedOn w:val="Normal"/>
    <w:uiPriority w:val="1"/>
    <w:qFormat/>
    <w:pPr>
      <w:ind w:left="103" w:hanging="243"/>
      <w:outlineLvl w:val="2"/>
    </w:pPr>
    <w:rPr>
      <w:rFonts w:ascii="宋体" w:hAnsi="宋体" w:eastAsia="宋体" w:cs="宋体"/>
      <w:b/>
      <w:bCs/>
      <w:sz w:val="24"/>
      <w:szCs w:val="24"/>
    </w:rPr>
  </w:style>
  <w:style w:styleId="ListParagraph" w:type="paragraph">
    <w:name w:val="List Paragraph"/>
    <w:basedOn w:val="Normal"/>
    <w:uiPriority w:val="1"/>
    <w:qFormat/>
    <w:pPr>
      <w:spacing w:before="84"/>
      <w:ind w:left="1279" w:hanging="398"/>
    </w:pPr>
    <w:rPr>
      <w:rFonts w:ascii="宋体" w:hAnsi="宋体" w:eastAsia="宋体" w:cs="宋体"/>
    </w:rPr>
  </w:style>
  <w:style w:styleId="TableParagraph" w:type="paragraph">
    <w:name w:val="Table Paragraph"/>
    <w:basedOn w:val="Normal"/>
    <w:uiPriority w:val="1"/>
    <w:qFormat/>
    <w:pPr>
      <w:spacing w:before="68"/>
      <w:ind w:left="203"/>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c:creator>
  <dc:title>安邦团体重大疾病保险条款</dc:title>
  <dcterms:created xsi:type="dcterms:W3CDTF">2018-10-20T03:41:27Z</dcterms:created>
  <dcterms:modified xsi:type="dcterms:W3CDTF">2018-10-20T03:41:27Z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Creator">
    <vt:lpwstr>Microsoft® Office Word 2007</vt:lpwstr>
  </property>
  <property fmtid="{D5CDD505-2E9C-101B-9397-08002B2CF9AE}" pid="4" name="LastSaved">
    <vt:filetime>2018-10-19T00:00:00Z</vt:filetime>
  </property>
</Properties>
</file>