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ind w:left="8014" w:right="0" w:firstLine="0"/>
        <w:jc w:val="left"/>
        <w:rPr>
          <w:sz w:val="18"/>
        </w:rPr>
      </w:pPr>
      <w:r>
        <w:rPr/>
        <w:drawing>
          <wp:anchor distT="0" distB="0" distL="0" distR="0" allowOverlap="1" layoutInCell="1" locked="0" behindDoc="0" simplePos="0" relativeHeight="0">
            <wp:simplePos x="0" y="0"/>
            <wp:positionH relativeFrom="page">
              <wp:posOffset>6117590</wp:posOffset>
            </wp:positionH>
            <wp:positionV relativeFrom="paragraph">
              <wp:posOffset>239035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pacing w:val="-4"/>
          <w:sz w:val="18"/>
        </w:rPr>
        <w:t>合众人寿〔</w:t>
      </w:r>
      <w:r>
        <w:rPr>
          <w:sz w:val="18"/>
        </w:rPr>
        <w:t>2009</w:t>
      </w:r>
      <w:r>
        <w:rPr>
          <w:spacing w:val="-12"/>
          <w:sz w:val="18"/>
        </w:rPr>
        <w:t>〕疾病保险 </w:t>
      </w:r>
      <w:r>
        <w:rPr>
          <w:sz w:val="18"/>
        </w:rPr>
        <w:t>068</w:t>
      </w:r>
      <w:r>
        <w:rPr>
          <w:spacing w:val="-24"/>
          <w:sz w:val="18"/>
        </w:rPr>
        <w:t> 号</w:t>
      </w:r>
    </w:p>
    <w:p>
      <w:pPr>
        <w:spacing w:before="35"/>
        <w:ind w:left="8446" w:right="0" w:firstLine="0"/>
        <w:jc w:val="left"/>
        <w:rPr>
          <w:sz w:val="18"/>
        </w:rPr>
      </w:pPr>
      <w:r>
        <w:rPr>
          <w:sz w:val="18"/>
        </w:rPr>
        <w:t>请扫描以查询验证条款</w:t>
      </w:r>
    </w:p>
    <w:p>
      <w:pPr>
        <w:pStyle w:val="Heading1"/>
        <w:spacing w:line="220" w:lineRule="auto" w:before="85"/>
        <w:ind w:left="1453" w:right="2049"/>
        <w:jc w:val="center"/>
      </w:pPr>
      <w:r>
        <w:rPr/>
        <w:t>合众团体一年期重大疾病保险（2008 年修订）条款阅  读  指 引</w:t>
      </w:r>
    </w:p>
    <w:p>
      <w:pPr>
        <w:pStyle w:val="BodyText"/>
        <w:spacing w:before="227"/>
        <w:ind w:left="1453" w:right="1988"/>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pStyle w:val="BodyText"/>
        <w:rPr>
          <w:sz w:val="30"/>
        </w:rPr>
      </w:pPr>
    </w:p>
    <w:p>
      <w:pPr>
        <w:tabs>
          <w:tab w:pos="1249" w:val="left" w:leader="none"/>
        </w:tabs>
        <w:spacing w:before="0"/>
        <w:ind w:left="239" w:right="0" w:firstLine="0"/>
        <w:jc w:val="left"/>
        <w:rPr>
          <w:b/>
          <w:sz w:val="21"/>
        </w:rPr>
      </w:pPr>
      <w:r>
        <w:rPr/>
        <w:drawing>
          <wp:anchor distT="0" distB="0" distL="0" distR="0" allowOverlap="1" layoutInCell="1" locked="0" behindDoc="1" simplePos="0" relativeHeight="268408295">
            <wp:simplePos x="0" y="0"/>
            <wp:positionH relativeFrom="page">
              <wp:posOffset>609600</wp:posOffset>
            </wp:positionH>
            <wp:positionV relativeFrom="paragraph">
              <wp:posOffset>-30128</wp:posOffset>
            </wp:positionV>
            <wp:extent cx="6341364" cy="720948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41364" cy="7209485"/>
                    </a:xfrm>
                    <a:prstGeom prst="rect">
                      <a:avLst/>
                    </a:prstGeom>
                  </pic:spPr>
                </pic:pic>
              </a:graphicData>
            </a:graphic>
          </wp:anchor>
        </w:drawing>
      </w:r>
      <w:r>
        <w:rPr>
          <w:rFonts w:ascii="Arial" w:hAnsi="Arial" w:eastAsia="Arial"/>
          <w:b/>
          <w:w w:val="105"/>
          <w:position w:val="-11"/>
          <w:sz w:val="52"/>
        </w:rPr>
        <w:t></w:t>
        <w:tab/>
      </w:r>
      <w:r>
        <w:rPr>
          <w:b/>
          <w:spacing w:val="-1"/>
          <w:sz w:val="21"/>
        </w:rPr>
        <w:t>投保人拥有的重要权益</w:t>
      </w:r>
    </w:p>
    <w:p>
      <w:pPr>
        <w:pStyle w:val="ListParagraph"/>
        <w:numPr>
          <w:ilvl w:val="0"/>
          <w:numId w:val="1"/>
        </w:numPr>
        <w:tabs>
          <w:tab w:pos="1269" w:val="left" w:leader="none"/>
          <w:tab w:pos="1270" w:val="left" w:leader="none"/>
          <w:tab w:pos="9565" w:val="right" w:leader="dot"/>
        </w:tabs>
        <w:spacing w:line="240" w:lineRule="auto" w:before="25" w:after="0"/>
        <w:ind w:left="1269" w:right="0" w:hanging="399"/>
        <w:jc w:val="left"/>
        <w:rPr>
          <w:sz w:val="21"/>
        </w:rPr>
      </w:pPr>
      <w:r>
        <w:rPr>
          <w:spacing w:val="-3"/>
          <w:sz w:val="21"/>
        </w:rPr>
        <w:t>投</w:t>
      </w:r>
      <w:r>
        <w:rPr>
          <w:sz w:val="21"/>
        </w:rPr>
        <w:t>保</w:t>
      </w:r>
      <w:r>
        <w:rPr>
          <w:spacing w:val="-3"/>
          <w:sz w:val="21"/>
        </w:rPr>
        <w:t>人</w:t>
      </w:r>
      <w:r>
        <w:rPr>
          <w:sz w:val="21"/>
        </w:rPr>
        <w:t>有</w:t>
      </w:r>
      <w:r>
        <w:rPr>
          <w:spacing w:val="-3"/>
          <w:sz w:val="21"/>
        </w:rPr>
        <w:t>退保</w:t>
      </w:r>
      <w:r>
        <w:rPr>
          <w:sz w:val="21"/>
        </w:rPr>
        <w:t>的权利</w:t>
        <w:tab/>
        <w:t>1.5</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tabs>
          <w:tab w:pos="1249" w:val="left" w:leader="none"/>
        </w:tabs>
        <w:spacing w:before="21"/>
        <w:ind w:left="239" w:right="0" w:firstLine="0"/>
        <w:jc w:val="left"/>
        <w:rPr>
          <w:b/>
          <w:sz w:val="21"/>
        </w:rPr>
      </w:pPr>
      <w:r>
        <w:rPr>
          <w:rFonts w:ascii="Arial" w:hAnsi="Arial" w:eastAsia="Arial"/>
          <w:b/>
          <w:w w:val="105"/>
          <w:position w:val="-11"/>
          <w:sz w:val="52"/>
        </w:rPr>
        <w:t></w:t>
        <w:tab/>
      </w:r>
      <w:r>
        <w:rPr>
          <w:b/>
          <w:spacing w:val="-1"/>
          <w:sz w:val="21"/>
        </w:rPr>
        <w:t>投保人应当特别注意的事项</w:t>
      </w:r>
    </w:p>
    <w:p>
      <w:pPr>
        <w:pStyle w:val="ListParagraph"/>
        <w:numPr>
          <w:ilvl w:val="0"/>
          <w:numId w:val="1"/>
        </w:numPr>
        <w:tabs>
          <w:tab w:pos="1259" w:val="left" w:leader="none"/>
          <w:tab w:pos="1260" w:val="left" w:leader="none"/>
          <w:tab w:pos="9557" w:val="right" w:leader="dot"/>
        </w:tabs>
        <w:spacing w:line="240" w:lineRule="auto" w:before="25" w:after="0"/>
        <w:ind w:left="1259" w:right="0" w:hanging="389"/>
        <w:jc w:val="left"/>
        <w:rPr>
          <w:sz w:val="21"/>
        </w:rPr>
      </w:pPr>
      <w:r>
        <w:rPr>
          <w:sz w:val="21"/>
        </w:rPr>
        <w:t>退保</w:t>
      </w:r>
      <w:r>
        <w:rPr>
          <w:spacing w:val="-3"/>
          <w:sz w:val="21"/>
        </w:rPr>
        <w:t>会</w:t>
      </w:r>
      <w:r>
        <w:rPr>
          <w:sz w:val="21"/>
        </w:rPr>
        <w:t>给</w:t>
      </w:r>
      <w:r>
        <w:rPr>
          <w:spacing w:val="-3"/>
          <w:sz w:val="21"/>
        </w:rPr>
        <w:t>投</w:t>
      </w:r>
      <w:r>
        <w:rPr>
          <w:sz w:val="21"/>
        </w:rPr>
        <w:t>保</w:t>
      </w:r>
      <w:r>
        <w:rPr>
          <w:spacing w:val="-3"/>
          <w:sz w:val="21"/>
        </w:rPr>
        <w:t>人</w:t>
      </w:r>
      <w:r>
        <w:rPr>
          <w:sz w:val="21"/>
        </w:rPr>
        <w:t>造</w:t>
      </w:r>
      <w:r>
        <w:rPr>
          <w:spacing w:val="-3"/>
          <w:sz w:val="21"/>
        </w:rPr>
        <w:t>成</w:t>
      </w:r>
      <w:r>
        <w:rPr>
          <w:sz w:val="21"/>
        </w:rPr>
        <w:t>一</w:t>
      </w:r>
      <w:r>
        <w:rPr>
          <w:spacing w:val="-3"/>
          <w:sz w:val="21"/>
        </w:rPr>
        <w:t>定</w:t>
      </w:r>
      <w:r>
        <w:rPr>
          <w:sz w:val="21"/>
        </w:rPr>
        <w:t>的损</w:t>
      </w:r>
      <w:r>
        <w:rPr>
          <w:spacing w:val="-3"/>
          <w:sz w:val="21"/>
        </w:rPr>
        <w:t>失</w:t>
      </w:r>
      <w:r>
        <w:rPr>
          <w:sz w:val="21"/>
        </w:rPr>
        <w:t>，</w:t>
      </w:r>
      <w:r>
        <w:rPr>
          <w:spacing w:val="-3"/>
          <w:sz w:val="21"/>
        </w:rPr>
        <w:t>请</w:t>
      </w:r>
      <w:r>
        <w:rPr>
          <w:sz w:val="21"/>
        </w:rPr>
        <w:t>慎</w:t>
      </w:r>
      <w:r>
        <w:rPr>
          <w:spacing w:val="-3"/>
          <w:sz w:val="21"/>
        </w:rPr>
        <w:t>重</w:t>
      </w:r>
      <w:r>
        <w:rPr>
          <w:sz w:val="21"/>
        </w:rPr>
        <w:t>决策</w:t>
        <w:tab/>
        <w:t>1.5</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本公</w:t>
      </w:r>
      <w:r>
        <w:rPr>
          <w:sz w:val="21"/>
        </w:rPr>
        <w:t>司不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及</w:t>
      </w:r>
      <w:r>
        <w:rPr>
          <w:sz w:val="21"/>
        </w:rPr>
        <w:t>时</w:t>
      </w:r>
      <w:r>
        <w:rPr>
          <w:spacing w:val="-3"/>
          <w:sz w:val="21"/>
        </w:rPr>
        <w:t>通</w:t>
      </w:r>
      <w:r>
        <w:rPr>
          <w:sz w:val="21"/>
        </w:rPr>
        <w:t>知</w:t>
      </w:r>
      <w:r>
        <w:rPr>
          <w:spacing w:val="-3"/>
          <w:sz w:val="21"/>
        </w:rPr>
        <w:t>本</w:t>
      </w:r>
      <w:r>
        <w:rPr>
          <w:sz w:val="21"/>
        </w:rPr>
        <w:t>公司</w:t>
        <w:tab/>
        <w:t>4.2</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投</w:t>
      </w:r>
      <w:r>
        <w:rPr>
          <w:sz w:val="21"/>
        </w:rPr>
        <w:t>保</w:t>
      </w:r>
      <w:r>
        <w:rPr>
          <w:spacing w:val="-3"/>
          <w:sz w:val="21"/>
        </w:rPr>
        <w:t>人</w:t>
      </w:r>
      <w:r>
        <w:rPr>
          <w:sz w:val="21"/>
        </w:rPr>
        <w:t>有</w:t>
      </w:r>
      <w:r>
        <w:rPr>
          <w:spacing w:val="-3"/>
          <w:sz w:val="21"/>
        </w:rPr>
        <w:t>如实</w:t>
      </w:r>
      <w:r>
        <w:rPr>
          <w:sz w:val="21"/>
        </w:rPr>
        <w:t>告知</w:t>
      </w:r>
      <w:r>
        <w:rPr>
          <w:spacing w:val="-3"/>
          <w:sz w:val="21"/>
        </w:rPr>
        <w:t>的</w:t>
      </w:r>
      <w:r>
        <w:rPr>
          <w:sz w:val="21"/>
        </w:rPr>
        <w:t>义务</w:t>
        <w:tab/>
        <w:t>5.1</w:t>
      </w:r>
    </w:p>
    <w:p>
      <w:pPr>
        <w:pStyle w:val="ListParagraph"/>
        <w:numPr>
          <w:ilvl w:val="0"/>
          <w:numId w:val="1"/>
        </w:numPr>
        <w:tabs>
          <w:tab w:pos="1269" w:val="left" w:leader="none"/>
          <w:tab w:pos="1270" w:val="left" w:leader="none"/>
          <w:tab w:pos="9464" w:val="right" w:leader="dot"/>
        </w:tabs>
        <w:spacing w:line="240" w:lineRule="auto" w:before="22" w:after="0"/>
        <w:ind w:left="1269" w:right="0" w:hanging="399"/>
        <w:jc w:val="left"/>
        <w:rPr>
          <w:sz w:val="21"/>
        </w:rPr>
      </w:pPr>
      <w:r>
        <w:rPr>
          <w:spacing w:val="-3"/>
          <w:sz w:val="21"/>
        </w:rPr>
        <w:t>本</w:t>
      </w:r>
      <w:r>
        <w:rPr>
          <w:sz w:val="21"/>
        </w:rPr>
        <w:t>公</w:t>
      </w:r>
      <w:r>
        <w:rPr>
          <w:spacing w:val="-3"/>
          <w:sz w:val="21"/>
        </w:rPr>
        <w:t>司</w:t>
      </w:r>
      <w:r>
        <w:rPr>
          <w:sz w:val="21"/>
        </w:rPr>
        <w:t>对</w:t>
      </w:r>
      <w:r>
        <w:rPr>
          <w:spacing w:val="-3"/>
          <w:sz w:val="21"/>
        </w:rPr>
        <w:t>一些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并</w:t>
      </w:r>
      <w:r>
        <w:rPr>
          <w:sz w:val="21"/>
        </w:rPr>
        <w:t>作了</w:t>
      </w:r>
      <w:r>
        <w:rPr>
          <w:spacing w:val="-3"/>
          <w:sz w:val="21"/>
        </w:rPr>
        <w:t>显</w:t>
      </w:r>
      <w:r>
        <w:rPr>
          <w:sz w:val="21"/>
        </w:rPr>
        <w:t>著</w:t>
      </w:r>
      <w:r>
        <w:rPr>
          <w:spacing w:val="-3"/>
          <w:sz w:val="21"/>
        </w:rPr>
        <w:t>标</w:t>
      </w:r>
      <w:r>
        <w:rPr>
          <w:sz w:val="21"/>
        </w:rPr>
        <w:t>识</w:t>
      </w:r>
      <w:r>
        <w:rPr>
          <w:spacing w:val="-3"/>
          <w:sz w:val="21"/>
        </w:rPr>
        <w:t>，</w:t>
      </w:r>
      <w:r>
        <w:rPr>
          <w:sz w:val="21"/>
        </w:rPr>
        <w:t>请</w:t>
      </w:r>
      <w:r>
        <w:rPr>
          <w:spacing w:val="-3"/>
          <w:sz w:val="21"/>
        </w:rPr>
        <w:t>予</w:t>
      </w:r>
      <w:r>
        <w:rPr>
          <w:sz w:val="21"/>
        </w:rPr>
        <w:t>以</w:t>
      </w:r>
      <w:r>
        <w:rPr>
          <w:spacing w:val="-3"/>
          <w:sz w:val="21"/>
        </w:rPr>
        <w:t>注意</w:t>
        <w:tab/>
      </w:r>
      <w:r>
        <w:rPr>
          <w:sz w:val="21"/>
        </w:rPr>
        <w:t>6</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条款是保险合同的重要内容，为充分保障投保人的权益，请仔细阅读本条款。</w:t>
      </w:r>
    </w:p>
    <w:p>
      <w:pPr>
        <w:tabs>
          <w:tab w:pos="1249" w:val="left" w:leader="none"/>
        </w:tabs>
        <w:spacing w:before="26"/>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3"/>
        <w:gridCol w:w="3201"/>
        <w:gridCol w:w="3498"/>
      </w:tblGrid>
      <w:tr>
        <w:trPr>
          <w:trHeight w:val="6451" w:hRule="atLeast"/>
        </w:trPr>
        <w:tc>
          <w:tcPr>
            <w:tcW w:w="3243"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关于本保险合同</w:t>
            </w:r>
          </w:p>
          <w:p>
            <w:pPr>
              <w:pStyle w:val="TableParagraph"/>
              <w:numPr>
                <w:ilvl w:val="1"/>
                <w:numId w:val="2"/>
              </w:numPr>
              <w:tabs>
                <w:tab w:pos="728" w:val="left" w:leader="none"/>
              </w:tabs>
              <w:spacing w:line="240" w:lineRule="auto" w:before="37" w:after="0"/>
              <w:ind w:left="200" w:right="0" w:firstLine="105"/>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200" w:right="0" w:firstLine="105"/>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200" w:right="0" w:firstLine="105"/>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200" w:right="0" w:firstLine="105"/>
              <w:jc w:val="left"/>
              <w:rPr>
                <w:sz w:val="21"/>
              </w:rPr>
            </w:pPr>
            <w:r>
              <w:rPr>
                <w:spacing w:val="-3"/>
                <w:sz w:val="21"/>
              </w:rPr>
              <w:t>合同内容变更</w:t>
            </w:r>
          </w:p>
          <w:p>
            <w:pPr>
              <w:pStyle w:val="TableParagraph"/>
              <w:numPr>
                <w:ilvl w:val="1"/>
                <w:numId w:val="2"/>
              </w:numPr>
              <w:tabs>
                <w:tab w:pos="736" w:val="left" w:leader="none"/>
              </w:tabs>
              <w:spacing w:line="273" w:lineRule="auto" w:before="37" w:after="0"/>
              <w:ind w:left="200" w:right="105" w:firstLine="105"/>
              <w:jc w:val="left"/>
              <w:rPr>
                <w:sz w:val="21"/>
              </w:rPr>
            </w:pPr>
            <w:r>
              <w:rPr>
                <w:spacing w:val="3"/>
                <w:sz w:val="21"/>
              </w:rPr>
              <w:t>投保人解除合同的手续及风险</w:t>
            </w:r>
          </w:p>
          <w:p>
            <w:pPr>
              <w:pStyle w:val="TableParagraph"/>
              <w:numPr>
                <w:ilvl w:val="0"/>
                <w:numId w:val="2"/>
              </w:numPr>
              <w:tabs>
                <w:tab w:pos="517" w:val="left" w:leader="none"/>
              </w:tabs>
              <w:spacing w:line="240" w:lineRule="auto" w:before="7" w:after="0"/>
              <w:ind w:left="516" w:right="0" w:hanging="316"/>
              <w:jc w:val="left"/>
              <w:rPr>
                <w:b/>
                <w:sz w:val="21"/>
              </w:rPr>
            </w:pPr>
            <w:r>
              <w:rPr>
                <w:b/>
                <w:sz w:val="21"/>
              </w:rPr>
              <w:t>本合同保障责任</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0"/>
                <w:numId w:val="2"/>
              </w:numPr>
              <w:tabs>
                <w:tab w:pos="517" w:val="left" w:leader="none"/>
              </w:tabs>
              <w:spacing w:line="240" w:lineRule="auto" w:before="37" w:after="0"/>
              <w:ind w:left="516" w:right="0" w:hanging="316"/>
              <w:jc w:val="left"/>
              <w:rPr>
                <w:b/>
                <w:sz w:val="21"/>
              </w:rPr>
            </w:pPr>
            <w:r>
              <w:rPr>
                <w:b/>
                <w:spacing w:val="-1"/>
                <w:sz w:val="21"/>
              </w:rPr>
              <w:t>保险费的支付和续保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保险费的支付</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续保</w:t>
            </w:r>
          </w:p>
        </w:tc>
        <w:tc>
          <w:tcPr>
            <w:tcW w:w="3201" w:type="dxa"/>
          </w:tcPr>
          <w:p>
            <w:pPr>
              <w:pStyle w:val="TableParagraph"/>
              <w:numPr>
                <w:ilvl w:val="0"/>
                <w:numId w:val="3"/>
              </w:numPr>
              <w:tabs>
                <w:tab w:pos="424" w:val="left" w:leader="none"/>
              </w:tabs>
              <w:spacing w:line="211" w:lineRule="exact" w:before="0" w:after="0"/>
              <w:ind w:left="423" w:right="0" w:hanging="317"/>
              <w:jc w:val="left"/>
              <w:rPr>
                <w:b/>
                <w:sz w:val="21"/>
              </w:rPr>
            </w:pPr>
            <w:r>
              <w:rPr>
                <w:b/>
                <w:sz w:val="21"/>
              </w:rPr>
              <w:t>如何申请领取保险金</w:t>
            </w:r>
          </w:p>
          <w:p>
            <w:pPr>
              <w:pStyle w:val="TableParagraph"/>
              <w:numPr>
                <w:ilvl w:val="1"/>
                <w:numId w:val="3"/>
              </w:numPr>
              <w:tabs>
                <w:tab w:pos="635" w:val="left" w:leader="none"/>
              </w:tabs>
              <w:spacing w:line="240" w:lineRule="auto" w:before="37" w:after="0"/>
              <w:ind w:left="634" w:right="0" w:hanging="423"/>
              <w:jc w:val="left"/>
              <w:rPr>
                <w:sz w:val="21"/>
              </w:rPr>
            </w:pPr>
            <w:r>
              <w:rPr>
                <w:spacing w:val="-3"/>
                <w:sz w:val="21"/>
              </w:rPr>
              <w:t>保险金受益人</w:t>
            </w:r>
          </w:p>
          <w:p>
            <w:pPr>
              <w:pStyle w:val="TableParagraph"/>
              <w:numPr>
                <w:ilvl w:val="1"/>
                <w:numId w:val="3"/>
              </w:numPr>
              <w:tabs>
                <w:tab w:pos="635" w:val="left" w:leader="none"/>
              </w:tabs>
              <w:spacing w:line="240" w:lineRule="auto" w:before="37" w:after="0"/>
              <w:ind w:left="634" w:right="0" w:hanging="423"/>
              <w:jc w:val="left"/>
              <w:rPr>
                <w:sz w:val="21"/>
              </w:rPr>
            </w:pPr>
            <w:r>
              <w:rPr>
                <w:spacing w:val="-3"/>
                <w:sz w:val="21"/>
              </w:rPr>
              <w:t>保险事故通知</w:t>
            </w:r>
          </w:p>
          <w:p>
            <w:pPr>
              <w:pStyle w:val="TableParagraph"/>
              <w:numPr>
                <w:ilvl w:val="1"/>
                <w:numId w:val="3"/>
              </w:numPr>
              <w:tabs>
                <w:tab w:pos="635" w:val="left" w:leader="none"/>
              </w:tabs>
              <w:spacing w:line="240" w:lineRule="auto" w:before="37" w:after="0"/>
              <w:ind w:left="634" w:right="0" w:hanging="423"/>
              <w:jc w:val="left"/>
              <w:rPr>
                <w:sz w:val="21"/>
              </w:rPr>
            </w:pPr>
            <w:r>
              <w:rPr>
                <w:spacing w:val="-3"/>
                <w:sz w:val="21"/>
              </w:rPr>
              <w:t>保险金申请</w:t>
            </w:r>
          </w:p>
          <w:p>
            <w:pPr>
              <w:pStyle w:val="TableParagraph"/>
              <w:numPr>
                <w:ilvl w:val="1"/>
                <w:numId w:val="3"/>
              </w:numPr>
              <w:tabs>
                <w:tab w:pos="635" w:val="left" w:leader="none"/>
              </w:tabs>
              <w:spacing w:line="240" w:lineRule="auto" w:before="37" w:after="0"/>
              <w:ind w:left="634" w:right="0" w:hanging="423"/>
              <w:jc w:val="left"/>
              <w:rPr>
                <w:sz w:val="21"/>
              </w:rPr>
            </w:pPr>
            <w:r>
              <w:rPr>
                <w:spacing w:val="-3"/>
                <w:sz w:val="21"/>
              </w:rPr>
              <w:t>保险金给付</w:t>
            </w:r>
          </w:p>
          <w:p>
            <w:pPr>
              <w:pStyle w:val="TableParagraph"/>
              <w:numPr>
                <w:ilvl w:val="1"/>
                <w:numId w:val="3"/>
              </w:numPr>
              <w:tabs>
                <w:tab w:pos="635" w:val="left" w:leader="none"/>
              </w:tabs>
              <w:spacing w:line="240" w:lineRule="auto" w:before="37" w:after="0"/>
              <w:ind w:left="634" w:right="0" w:hanging="423"/>
              <w:jc w:val="left"/>
              <w:rPr>
                <w:sz w:val="21"/>
              </w:rPr>
            </w:pPr>
            <w:r>
              <w:rPr>
                <w:spacing w:val="-3"/>
                <w:sz w:val="21"/>
              </w:rPr>
              <w:t>诉讼时效</w:t>
            </w:r>
          </w:p>
          <w:p>
            <w:pPr>
              <w:pStyle w:val="TableParagraph"/>
              <w:numPr>
                <w:ilvl w:val="0"/>
                <w:numId w:val="3"/>
              </w:numPr>
              <w:tabs>
                <w:tab w:pos="424" w:val="left" w:leader="none"/>
              </w:tabs>
              <w:spacing w:line="240" w:lineRule="auto" w:before="37" w:after="0"/>
              <w:ind w:left="423" w:right="0" w:hanging="317"/>
              <w:jc w:val="left"/>
              <w:rPr>
                <w:b/>
                <w:sz w:val="21"/>
              </w:rPr>
            </w:pPr>
            <w:r>
              <w:rPr>
                <w:b/>
                <w:sz w:val="21"/>
              </w:rPr>
              <w:t>其他事项</w:t>
            </w:r>
          </w:p>
          <w:p>
            <w:pPr>
              <w:pStyle w:val="TableParagraph"/>
              <w:numPr>
                <w:ilvl w:val="1"/>
                <w:numId w:val="3"/>
              </w:numPr>
              <w:tabs>
                <w:tab w:pos="635" w:val="left" w:leader="none"/>
              </w:tabs>
              <w:spacing w:line="240" w:lineRule="auto" w:before="37" w:after="0"/>
              <w:ind w:left="634" w:right="0" w:hanging="423"/>
              <w:jc w:val="left"/>
              <w:rPr>
                <w:sz w:val="21"/>
              </w:rPr>
            </w:pPr>
            <w:r>
              <w:rPr>
                <w:spacing w:val="-3"/>
                <w:sz w:val="21"/>
              </w:rPr>
              <w:t>明确说明与如实告知</w:t>
            </w:r>
          </w:p>
          <w:p>
            <w:pPr>
              <w:pStyle w:val="TableParagraph"/>
              <w:numPr>
                <w:ilvl w:val="1"/>
                <w:numId w:val="3"/>
              </w:numPr>
              <w:tabs>
                <w:tab w:pos="635" w:val="left" w:leader="none"/>
              </w:tabs>
              <w:spacing w:line="240" w:lineRule="auto" w:before="37" w:after="0"/>
              <w:ind w:left="634" w:right="0" w:hanging="423"/>
              <w:jc w:val="left"/>
              <w:rPr>
                <w:sz w:val="21"/>
              </w:rPr>
            </w:pPr>
            <w:r>
              <w:rPr>
                <w:spacing w:val="-3"/>
                <w:sz w:val="21"/>
              </w:rPr>
              <w:t>本公司合同解除权的限制</w:t>
            </w:r>
          </w:p>
          <w:p>
            <w:pPr>
              <w:pStyle w:val="TableParagraph"/>
              <w:numPr>
                <w:ilvl w:val="1"/>
                <w:numId w:val="3"/>
              </w:numPr>
              <w:tabs>
                <w:tab w:pos="635" w:val="left" w:leader="none"/>
              </w:tabs>
              <w:spacing w:line="240" w:lineRule="auto" w:before="37" w:after="0"/>
              <w:ind w:left="634" w:right="0" w:hanging="423"/>
              <w:jc w:val="left"/>
              <w:rPr>
                <w:sz w:val="21"/>
              </w:rPr>
            </w:pPr>
            <w:r>
              <w:rPr>
                <w:spacing w:val="-3"/>
                <w:sz w:val="21"/>
              </w:rPr>
              <w:t>年龄性别错误</w:t>
            </w:r>
          </w:p>
          <w:p>
            <w:pPr>
              <w:pStyle w:val="TableParagraph"/>
              <w:numPr>
                <w:ilvl w:val="1"/>
                <w:numId w:val="3"/>
              </w:numPr>
              <w:tabs>
                <w:tab w:pos="635" w:val="left" w:leader="none"/>
              </w:tabs>
              <w:spacing w:line="240" w:lineRule="auto" w:before="37" w:after="0"/>
              <w:ind w:left="634" w:right="0" w:hanging="423"/>
              <w:jc w:val="left"/>
              <w:rPr>
                <w:sz w:val="21"/>
              </w:rPr>
            </w:pPr>
            <w:r>
              <w:rPr>
                <w:spacing w:val="-3"/>
                <w:sz w:val="21"/>
              </w:rPr>
              <w:t>被保险人变动</w:t>
            </w:r>
          </w:p>
          <w:p>
            <w:pPr>
              <w:pStyle w:val="TableParagraph"/>
              <w:numPr>
                <w:ilvl w:val="1"/>
                <w:numId w:val="3"/>
              </w:numPr>
              <w:tabs>
                <w:tab w:pos="635" w:val="left" w:leader="none"/>
              </w:tabs>
              <w:spacing w:line="240" w:lineRule="auto" w:before="36" w:after="0"/>
              <w:ind w:left="634" w:right="0" w:hanging="423"/>
              <w:jc w:val="left"/>
              <w:rPr>
                <w:sz w:val="21"/>
              </w:rPr>
            </w:pPr>
            <w:r>
              <w:rPr>
                <w:spacing w:val="-3"/>
                <w:sz w:val="21"/>
              </w:rPr>
              <w:t>事故鉴定</w:t>
            </w:r>
          </w:p>
          <w:p>
            <w:pPr>
              <w:pStyle w:val="TableParagraph"/>
              <w:numPr>
                <w:ilvl w:val="1"/>
                <w:numId w:val="3"/>
              </w:numPr>
              <w:tabs>
                <w:tab w:pos="635" w:val="left" w:leader="none"/>
              </w:tabs>
              <w:spacing w:line="240" w:lineRule="auto" w:before="36" w:after="0"/>
              <w:ind w:left="634" w:right="0" w:hanging="423"/>
              <w:jc w:val="left"/>
              <w:rPr>
                <w:sz w:val="21"/>
              </w:rPr>
            </w:pPr>
            <w:r>
              <w:rPr>
                <w:spacing w:val="-3"/>
                <w:sz w:val="21"/>
              </w:rPr>
              <w:t>投保信息变更</w:t>
            </w:r>
          </w:p>
          <w:p>
            <w:pPr>
              <w:pStyle w:val="TableParagraph"/>
              <w:numPr>
                <w:ilvl w:val="1"/>
                <w:numId w:val="3"/>
              </w:numPr>
              <w:tabs>
                <w:tab w:pos="635" w:val="left" w:leader="none"/>
              </w:tabs>
              <w:spacing w:line="240" w:lineRule="auto" w:before="36" w:after="0"/>
              <w:ind w:left="634" w:right="0" w:hanging="423"/>
              <w:jc w:val="left"/>
              <w:rPr>
                <w:sz w:val="21"/>
              </w:rPr>
            </w:pPr>
            <w:r>
              <w:rPr>
                <w:spacing w:val="-3"/>
                <w:sz w:val="21"/>
              </w:rPr>
              <w:t>争议处理</w:t>
            </w:r>
          </w:p>
        </w:tc>
        <w:tc>
          <w:tcPr>
            <w:tcW w:w="3498" w:type="dxa"/>
          </w:tcPr>
          <w:p>
            <w:pPr>
              <w:pStyle w:val="TableParagraph"/>
              <w:numPr>
                <w:ilvl w:val="0"/>
                <w:numId w:val="4"/>
              </w:numPr>
              <w:tabs>
                <w:tab w:pos="571" w:val="left" w:leader="none"/>
              </w:tabs>
              <w:spacing w:line="211" w:lineRule="exact" w:before="0" w:after="0"/>
              <w:ind w:left="570" w:right="0" w:hanging="317"/>
              <w:jc w:val="left"/>
              <w:rPr>
                <w:b/>
                <w:sz w:val="21"/>
              </w:rPr>
            </w:pPr>
            <w:r>
              <w:rPr>
                <w:b/>
                <w:sz w:val="21"/>
              </w:rPr>
              <w:t>释义</w:t>
            </w:r>
          </w:p>
          <w:p>
            <w:pPr>
              <w:pStyle w:val="TableParagraph"/>
              <w:numPr>
                <w:ilvl w:val="1"/>
                <w:numId w:val="4"/>
              </w:numPr>
              <w:tabs>
                <w:tab w:pos="782" w:val="left" w:leader="none"/>
              </w:tabs>
              <w:spacing w:line="240" w:lineRule="auto" w:before="37" w:after="0"/>
              <w:ind w:left="253" w:right="0" w:firstLine="106"/>
              <w:jc w:val="left"/>
              <w:rPr>
                <w:sz w:val="21"/>
              </w:rPr>
            </w:pPr>
            <w:r>
              <w:rPr>
                <w:spacing w:val="-3"/>
                <w:sz w:val="21"/>
              </w:rPr>
              <w:t>现金价值</w:t>
            </w:r>
          </w:p>
          <w:p>
            <w:pPr>
              <w:pStyle w:val="TableParagraph"/>
              <w:numPr>
                <w:ilvl w:val="1"/>
                <w:numId w:val="4"/>
              </w:numPr>
              <w:tabs>
                <w:tab w:pos="782" w:val="left" w:leader="none"/>
              </w:tabs>
              <w:spacing w:line="240" w:lineRule="auto" w:before="37" w:after="0"/>
              <w:ind w:left="253" w:right="0" w:firstLine="106"/>
              <w:jc w:val="left"/>
              <w:rPr>
                <w:sz w:val="21"/>
              </w:rPr>
            </w:pPr>
            <w:r>
              <w:rPr>
                <w:spacing w:val="-3"/>
                <w:sz w:val="21"/>
              </w:rPr>
              <w:t>重大疾病</w:t>
            </w:r>
          </w:p>
          <w:p>
            <w:pPr>
              <w:pStyle w:val="TableParagraph"/>
              <w:numPr>
                <w:ilvl w:val="1"/>
                <w:numId w:val="4"/>
              </w:numPr>
              <w:tabs>
                <w:tab w:pos="782" w:val="left" w:leader="none"/>
              </w:tabs>
              <w:spacing w:line="240" w:lineRule="auto" w:before="37" w:after="0"/>
              <w:ind w:left="253" w:right="0" w:firstLine="106"/>
              <w:jc w:val="left"/>
              <w:rPr>
                <w:sz w:val="21"/>
              </w:rPr>
            </w:pPr>
            <w:r>
              <w:rPr>
                <w:spacing w:val="-3"/>
                <w:sz w:val="21"/>
              </w:rPr>
              <w:t>意外伤害</w:t>
            </w:r>
          </w:p>
          <w:p>
            <w:pPr>
              <w:pStyle w:val="TableParagraph"/>
              <w:numPr>
                <w:ilvl w:val="1"/>
                <w:numId w:val="4"/>
              </w:numPr>
              <w:tabs>
                <w:tab w:pos="782" w:val="left" w:leader="none"/>
              </w:tabs>
              <w:spacing w:line="240" w:lineRule="auto" w:before="37" w:after="0"/>
              <w:ind w:left="253" w:right="0" w:firstLine="106"/>
              <w:jc w:val="left"/>
              <w:rPr>
                <w:sz w:val="21"/>
              </w:rPr>
            </w:pPr>
            <w:r>
              <w:rPr>
                <w:spacing w:val="-3"/>
                <w:sz w:val="21"/>
              </w:rPr>
              <w:t>专科医生</w:t>
            </w:r>
          </w:p>
          <w:p>
            <w:pPr>
              <w:pStyle w:val="TableParagraph"/>
              <w:numPr>
                <w:ilvl w:val="1"/>
                <w:numId w:val="4"/>
              </w:numPr>
              <w:tabs>
                <w:tab w:pos="782" w:val="left" w:leader="none"/>
              </w:tabs>
              <w:spacing w:line="240" w:lineRule="auto" w:before="37" w:after="0"/>
              <w:ind w:left="253" w:right="0" w:firstLine="106"/>
              <w:jc w:val="left"/>
              <w:rPr>
                <w:sz w:val="21"/>
              </w:rPr>
            </w:pPr>
            <w:r>
              <w:rPr>
                <w:spacing w:val="-3"/>
                <w:sz w:val="21"/>
              </w:rPr>
              <w:t>毒品</w:t>
            </w:r>
          </w:p>
          <w:p>
            <w:pPr>
              <w:pStyle w:val="TableParagraph"/>
              <w:numPr>
                <w:ilvl w:val="1"/>
                <w:numId w:val="4"/>
              </w:numPr>
              <w:tabs>
                <w:tab w:pos="782" w:val="left" w:leader="none"/>
              </w:tabs>
              <w:spacing w:line="240" w:lineRule="auto" w:before="37" w:after="0"/>
              <w:ind w:left="253" w:right="0" w:firstLine="106"/>
              <w:jc w:val="left"/>
              <w:rPr>
                <w:sz w:val="21"/>
              </w:rPr>
            </w:pPr>
            <w:r>
              <w:rPr>
                <w:spacing w:val="-3"/>
                <w:sz w:val="21"/>
              </w:rPr>
              <w:t>酒后驾驶</w:t>
            </w:r>
          </w:p>
          <w:p>
            <w:pPr>
              <w:pStyle w:val="TableParagraph"/>
              <w:numPr>
                <w:ilvl w:val="1"/>
                <w:numId w:val="4"/>
              </w:numPr>
              <w:tabs>
                <w:tab w:pos="782" w:val="left" w:leader="none"/>
              </w:tabs>
              <w:spacing w:line="240" w:lineRule="auto" w:before="37" w:after="0"/>
              <w:ind w:left="253" w:right="0" w:firstLine="106"/>
              <w:jc w:val="left"/>
              <w:rPr>
                <w:sz w:val="21"/>
              </w:rPr>
            </w:pPr>
            <w:r>
              <w:rPr>
                <w:spacing w:val="-3"/>
                <w:sz w:val="21"/>
              </w:rPr>
              <w:t>无合法有效驾驶证驾驶</w:t>
            </w:r>
          </w:p>
          <w:p>
            <w:pPr>
              <w:pStyle w:val="TableParagraph"/>
              <w:numPr>
                <w:ilvl w:val="1"/>
                <w:numId w:val="4"/>
              </w:numPr>
              <w:tabs>
                <w:tab w:pos="782" w:val="left" w:leader="none"/>
              </w:tabs>
              <w:spacing w:line="240" w:lineRule="auto" w:before="37" w:after="0"/>
              <w:ind w:left="253" w:right="0" w:firstLine="106"/>
              <w:jc w:val="left"/>
              <w:rPr>
                <w:sz w:val="21"/>
              </w:rPr>
            </w:pPr>
            <w:r>
              <w:rPr>
                <w:spacing w:val="-3"/>
                <w:sz w:val="21"/>
              </w:rPr>
              <w:t>无有效行驶证</w:t>
            </w:r>
          </w:p>
          <w:p>
            <w:pPr>
              <w:pStyle w:val="TableParagraph"/>
              <w:numPr>
                <w:ilvl w:val="1"/>
                <w:numId w:val="4"/>
              </w:numPr>
              <w:tabs>
                <w:tab w:pos="782" w:val="left" w:leader="none"/>
              </w:tabs>
              <w:spacing w:line="240" w:lineRule="auto" w:before="37" w:after="0"/>
              <w:ind w:left="253" w:right="0" w:firstLine="106"/>
              <w:jc w:val="left"/>
              <w:rPr>
                <w:sz w:val="21"/>
              </w:rPr>
            </w:pPr>
            <w:r>
              <w:rPr>
                <w:spacing w:val="-3"/>
                <w:sz w:val="21"/>
              </w:rPr>
              <w:t>遗传性疾病</w:t>
            </w:r>
          </w:p>
          <w:p>
            <w:pPr>
              <w:pStyle w:val="TableParagraph"/>
              <w:numPr>
                <w:ilvl w:val="1"/>
                <w:numId w:val="4"/>
              </w:numPr>
              <w:tabs>
                <w:tab w:pos="895" w:val="left" w:leader="none"/>
              </w:tabs>
              <w:spacing w:line="273" w:lineRule="auto" w:before="37" w:after="0"/>
              <w:ind w:left="253" w:right="199" w:firstLine="106"/>
              <w:jc w:val="left"/>
              <w:rPr>
                <w:sz w:val="21"/>
              </w:rPr>
            </w:pPr>
            <w:r>
              <w:rPr>
                <w:spacing w:val="3"/>
                <w:sz w:val="21"/>
              </w:rPr>
              <w:t>先天性畸形、变形或染色体异常</w:t>
            </w:r>
          </w:p>
          <w:p>
            <w:pPr>
              <w:pStyle w:val="TableParagraph"/>
              <w:numPr>
                <w:ilvl w:val="1"/>
                <w:numId w:val="4"/>
              </w:numPr>
              <w:tabs>
                <w:tab w:pos="885" w:val="left" w:leader="none"/>
              </w:tabs>
              <w:spacing w:line="240" w:lineRule="auto" w:before="7" w:after="0"/>
              <w:ind w:left="884" w:right="0" w:hanging="525"/>
              <w:jc w:val="left"/>
              <w:rPr>
                <w:sz w:val="21"/>
              </w:rPr>
            </w:pPr>
            <w:r>
              <w:rPr>
                <w:spacing w:val="-3"/>
                <w:sz w:val="21"/>
              </w:rPr>
              <w:t>极短期保险费</w:t>
            </w:r>
          </w:p>
          <w:p>
            <w:pPr>
              <w:pStyle w:val="TableParagraph"/>
              <w:numPr>
                <w:ilvl w:val="1"/>
                <w:numId w:val="4"/>
              </w:numPr>
              <w:tabs>
                <w:tab w:pos="885" w:val="left" w:leader="none"/>
              </w:tabs>
              <w:spacing w:line="240" w:lineRule="auto" w:before="37" w:after="0"/>
              <w:ind w:left="884" w:right="0" w:hanging="525"/>
              <w:jc w:val="left"/>
              <w:rPr>
                <w:sz w:val="21"/>
              </w:rPr>
            </w:pPr>
            <w:r>
              <w:rPr>
                <w:spacing w:val="-3"/>
                <w:sz w:val="21"/>
              </w:rPr>
              <w:t>有效身份证件</w:t>
            </w:r>
          </w:p>
          <w:p>
            <w:pPr>
              <w:pStyle w:val="TableParagraph"/>
              <w:numPr>
                <w:ilvl w:val="1"/>
                <w:numId w:val="4"/>
              </w:numPr>
              <w:tabs>
                <w:tab w:pos="885" w:val="left" w:leader="none"/>
              </w:tabs>
              <w:spacing w:line="240" w:lineRule="auto" w:before="37" w:after="0"/>
              <w:ind w:left="884" w:right="0" w:hanging="525"/>
              <w:jc w:val="left"/>
              <w:rPr>
                <w:sz w:val="21"/>
              </w:rPr>
            </w:pPr>
            <w:r>
              <w:rPr>
                <w:spacing w:val="-3"/>
                <w:sz w:val="21"/>
              </w:rPr>
              <w:t>未满期保险费</w:t>
            </w:r>
          </w:p>
          <w:p>
            <w:pPr>
              <w:pStyle w:val="TableParagraph"/>
              <w:numPr>
                <w:ilvl w:val="1"/>
                <w:numId w:val="4"/>
              </w:numPr>
              <w:tabs>
                <w:tab w:pos="885" w:val="left" w:leader="none"/>
              </w:tabs>
              <w:spacing w:line="240" w:lineRule="auto" w:before="37" w:after="0"/>
              <w:ind w:left="884" w:right="0" w:hanging="525"/>
              <w:jc w:val="left"/>
              <w:rPr>
                <w:sz w:val="21"/>
              </w:rPr>
            </w:pPr>
            <w:r>
              <w:rPr>
                <w:spacing w:val="-3"/>
                <w:sz w:val="21"/>
              </w:rPr>
              <w:t>本公司认可的医疗机构</w:t>
            </w:r>
          </w:p>
          <w:p>
            <w:pPr>
              <w:pStyle w:val="TableParagraph"/>
              <w:numPr>
                <w:ilvl w:val="1"/>
                <w:numId w:val="4"/>
              </w:numPr>
              <w:tabs>
                <w:tab w:pos="885" w:val="left" w:leader="none"/>
              </w:tabs>
              <w:spacing w:line="240" w:lineRule="auto" w:before="37" w:after="0"/>
              <w:ind w:left="884" w:right="0" w:hanging="525"/>
              <w:jc w:val="left"/>
              <w:rPr>
                <w:sz w:val="21"/>
              </w:rPr>
            </w:pPr>
            <w:r>
              <w:rPr>
                <w:spacing w:val="-3"/>
                <w:sz w:val="21"/>
              </w:rPr>
              <w:t>肢体机能完全丧失</w:t>
            </w:r>
          </w:p>
          <w:p>
            <w:pPr>
              <w:pStyle w:val="TableParagraph"/>
              <w:numPr>
                <w:ilvl w:val="1"/>
                <w:numId w:val="4"/>
              </w:numPr>
              <w:tabs>
                <w:tab w:pos="895" w:val="left" w:leader="none"/>
              </w:tabs>
              <w:spacing w:line="273" w:lineRule="auto" w:before="37" w:after="0"/>
              <w:ind w:left="253" w:right="201" w:firstLine="106"/>
              <w:jc w:val="left"/>
              <w:rPr>
                <w:sz w:val="21"/>
              </w:rPr>
            </w:pPr>
            <w:r>
              <w:rPr>
                <w:spacing w:val="3"/>
                <w:sz w:val="21"/>
              </w:rPr>
              <w:t>语言能力或咀嚼吞咽能力</w:t>
            </w:r>
            <w:r>
              <w:rPr>
                <w:sz w:val="21"/>
              </w:rPr>
              <w:t>完全丧失</w:t>
            </w:r>
          </w:p>
          <w:p>
            <w:pPr>
              <w:pStyle w:val="TableParagraph"/>
              <w:numPr>
                <w:ilvl w:val="1"/>
                <w:numId w:val="4"/>
              </w:numPr>
              <w:tabs>
                <w:tab w:pos="885" w:val="left" w:leader="none"/>
              </w:tabs>
              <w:spacing w:line="240" w:lineRule="auto" w:before="7" w:after="0"/>
              <w:ind w:left="884" w:right="0" w:hanging="525"/>
              <w:jc w:val="left"/>
              <w:rPr>
                <w:sz w:val="21"/>
              </w:rPr>
            </w:pPr>
            <w:r>
              <w:rPr>
                <w:spacing w:val="-3"/>
                <w:sz w:val="21"/>
              </w:rPr>
              <w:t>六项基本日常生活活动</w:t>
            </w:r>
          </w:p>
          <w:p>
            <w:pPr>
              <w:pStyle w:val="TableParagraph"/>
              <w:numPr>
                <w:ilvl w:val="1"/>
                <w:numId w:val="4"/>
              </w:numPr>
              <w:tabs>
                <w:tab w:pos="885" w:val="left" w:leader="none"/>
              </w:tabs>
              <w:spacing w:line="255" w:lineRule="exact" w:before="36" w:after="0"/>
              <w:ind w:left="884" w:right="0" w:hanging="525"/>
              <w:jc w:val="left"/>
              <w:rPr>
                <w:sz w:val="21"/>
              </w:rPr>
            </w:pPr>
            <w:r>
              <w:rPr>
                <w:spacing w:val="-3"/>
                <w:sz w:val="21"/>
              </w:rPr>
              <w:t>永久不可逆</w:t>
            </w:r>
          </w:p>
        </w:tc>
      </w:tr>
    </w:tbl>
    <w:p>
      <w:pPr>
        <w:spacing w:after="0" w:line="255" w:lineRule="exact"/>
        <w:jc w:val="left"/>
        <w:rPr>
          <w:sz w:val="21"/>
        </w:rPr>
        <w:sectPr>
          <w:footerReference w:type="default" r:id="rId5"/>
          <w:type w:val="continuous"/>
          <w:pgSz w:w="11910" w:h="16840"/>
          <w:pgMar w:footer="1121" w:top="140" w:bottom="1320" w:left="860" w:right="260"/>
          <w:pgNumType w:start="1"/>
        </w:sectPr>
      </w:pPr>
    </w:p>
    <w:p>
      <w:pPr>
        <w:pStyle w:val="Heading1"/>
        <w:spacing w:line="486" w:lineRule="exact"/>
      </w:pPr>
      <w:r>
        <w:rPr/>
        <w:t>合众团体一年期重大疾病保险（2008 年修订）条款</w:t>
      </w:r>
    </w:p>
    <w:p>
      <w:pPr>
        <w:pStyle w:val="BodyText"/>
        <w:rPr>
          <w:rFonts w:ascii="微软雅黑"/>
          <w:b/>
          <w:sz w:val="20"/>
        </w:rPr>
      </w:pPr>
    </w:p>
    <w:p>
      <w:pPr>
        <w:pStyle w:val="BodyText"/>
        <w:spacing w:before="2"/>
        <w:rPr>
          <w:rFonts w:ascii="微软雅黑"/>
          <w:b/>
          <w:sz w:val="2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716"/>
        <w:gridCol w:w="6396"/>
      </w:tblGrid>
      <w:tr>
        <w:trPr>
          <w:trHeight w:val="522" w:hRule="atLeast"/>
        </w:trPr>
        <w:tc>
          <w:tcPr>
            <w:tcW w:w="711" w:type="dxa"/>
            <w:tcBorders>
              <w:bottom w:val="single" w:sz="8" w:space="0" w:color="000000"/>
            </w:tcBorders>
          </w:tcPr>
          <w:p>
            <w:pPr>
              <w:pStyle w:val="TableParagraph"/>
              <w:spacing w:line="423" w:lineRule="exact" w:before="0"/>
              <w:ind w:left="107"/>
              <w:rPr>
                <w:rFonts w:ascii="Arial" w:hAnsi="Arial"/>
                <w:b/>
                <w:sz w:val="40"/>
              </w:rPr>
            </w:pPr>
            <w:r>
              <w:rPr>
                <w:rFonts w:ascii="Arial" w:hAnsi="Arial"/>
                <w:b/>
                <w:w w:val="119"/>
                <w:sz w:val="40"/>
              </w:rPr>
              <w:t></w:t>
            </w:r>
          </w:p>
        </w:tc>
        <w:tc>
          <w:tcPr>
            <w:tcW w:w="8112" w:type="dxa"/>
            <w:gridSpan w:val="2"/>
            <w:tcBorders>
              <w:bottom w:val="single" w:sz="8" w:space="0" w:color="000000"/>
            </w:tcBorders>
          </w:tcPr>
          <w:p>
            <w:pPr>
              <w:pStyle w:val="TableParagraph"/>
              <w:spacing w:before="14"/>
              <w:ind w:left="246"/>
              <w:rPr>
                <w:b/>
                <w:sz w:val="24"/>
              </w:rPr>
            </w:pPr>
            <w:r>
              <w:rPr>
                <w:b/>
                <w:w w:val="95"/>
                <w:sz w:val="24"/>
              </w:rPr>
              <w:t>关于本保险合同</w:t>
            </w:r>
          </w:p>
        </w:tc>
      </w:tr>
      <w:tr>
        <w:trPr>
          <w:trHeight w:val="1265" w:hRule="atLeast"/>
        </w:trPr>
        <w:tc>
          <w:tcPr>
            <w:tcW w:w="711" w:type="dxa"/>
            <w:tcBorders>
              <w:top w:val="single" w:sz="8" w:space="0" w:color="000000"/>
            </w:tcBorders>
          </w:tcPr>
          <w:p>
            <w:pPr>
              <w:pStyle w:val="TableParagraph"/>
              <w:spacing w:before="3"/>
              <w:ind w:left="0"/>
              <w:rPr>
                <w:rFonts w:ascii="微软雅黑"/>
                <w:b/>
                <w:sz w:val="11"/>
              </w:rPr>
            </w:pPr>
          </w:p>
          <w:p>
            <w:pPr>
              <w:pStyle w:val="TableParagraph"/>
              <w:spacing w:before="0"/>
              <w:ind w:left="107"/>
              <w:rPr>
                <w:b/>
                <w:sz w:val="21"/>
              </w:rPr>
            </w:pPr>
            <w:r>
              <w:rPr>
                <w:b/>
                <w:sz w:val="21"/>
              </w:rPr>
              <w:t>1.1</w:t>
            </w:r>
          </w:p>
        </w:tc>
        <w:tc>
          <w:tcPr>
            <w:tcW w:w="1716" w:type="dxa"/>
            <w:tcBorders>
              <w:top w:val="single" w:sz="8" w:space="0" w:color="000000"/>
            </w:tcBorders>
          </w:tcPr>
          <w:p>
            <w:pPr>
              <w:pStyle w:val="TableParagraph"/>
              <w:spacing w:before="3"/>
              <w:ind w:left="0"/>
              <w:rPr>
                <w:rFonts w:ascii="微软雅黑"/>
                <w:b/>
                <w:sz w:val="11"/>
              </w:rPr>
            </w:pPr>
          </w:p>
          <w:p>
            <w:pPr>
              <w:pStyle w:val="TableParagraph"/>
              <w:spacing w:before="0"/>
              <w:ind w:left="246"/>
              <w:rPr>
                <w:b/>
                <w:sz w:val="21"/>
              </w:rPr>
            </w:pPr>
            <w:r>
              <w:rPr>
                <w:b/>
                <w:sz w:val="21"/>
              </w:rPr>
              <w:t>合同构成</w:t>
            </w:r>
          </w:p>
        </w:tc>
        <w:tc>
          <w:tcPr>
            <w:tcW w:w="6396" w:type="dxa"/>
            <w:tcBorders>
              <w:top w:val="single" w:sz="8" w:space="0" w:color="000000"/>
            </w:tcBorders>
          </w:tcPr>
          <w:p>
            <w:pPr>
              <w:pStyle w:val="TableParagraph"/>
              <w:spacing w:before="3"/>
              <w:ind w:left="0"/>
              <w:rPr>
                <w:rFonts w:ascii="微软雅黑"/>
                <w:b/>
                <w:sz w:val="11"/>
              </w:rPr>
            </w:pPr>
          </w:p>
          <w:p>
            <w:pPr>
              <w:pStyle w:val="TableParagraph"/>
              <w:spacing w:line="273" w:lineRule="auto" w:before="0"/>
              <w:ind w:left="203" w:right="-15"/>
              <w:rPr>
                <w:sz w:val="21"/>
              </w:rPr>
            </w:pPr>
            <w:r>
              <w:rPr>
                <w:spacing w:val="-2"/>
                <w:w w:val="100"/>
                <w:sz w:val="21"/>
              </w:rPr>
              <w:t>本保险合同</w:t>
            </w:r>
            <w:r>
              <w:rPr>
                <w:w w:val="100"/>
                <w:sz w:val="21"/>
              </w:rPr>
              <w:t>（</w:t>
            </w:r>
            <w:r>
              <w:rPr>
                <w:spacing w:val="-15"/>
                <w:w w:val="100"/>
                <w:sz w:val="21"/>
              </w:rPr>
              <w:t>以下简称“本合同”</w:t>
            </w:r>
            <w:r>
              <w:rPr>
                <w:spacing w:val="-3"/>
                <w:w w:val="100"/>
                <w:sz w:val="21"/>
              </w:rPr>
              <w:t>）由本保险条款、保险单或其他 </w:t>
            </w:r>
            <w:r>
              <w:rPr>
                <w:spacing w:val="-13"/>
                <w:sz w:val="21"/>
              </w:rPr>
              <w:t>保险凭证、投保书、与保险合同有关的投保文件、合法有效的声明、</w:t>
            </w:r>
            <w:r>
              <w:rPr>
                <w:spacing w:val="-3"/>
                <w:sz w:val="21"/>
              </w:rPr>
              <w:t>批注、附贴批单、附加险合同、其他书面协议共同构成。</w:t>
            </w:r>
          </w:p>
        </w:tc>
      </w:tr>
      <w:tr>
        <w:trPr>
          <w:trHeight w:val="1312" w:hRule="atLeast"/>
        </w:trPr>
        <w:tc>
          <w:tcPr>
            <w:tcW w:w="711" w:type="dxa"/>
          </w:tcPr>
          <w:p>
            <w:pPr>
              <w:pStyle w:val="TableParagraph"/>
              <w:spacing w:before="109"/>
              <w:ind w:left="107"/>
              <w:rPr>
                <w:b/>
                <w:sz w:val="21"/>
              </w:rPr>
            </w:pPr>
            <w:r>
              <w:rPr>
                <w:b/>
                <w:sz w:val="21"/>
              </w:rPr>
              <w:t>1.2</w:t>
            </w:r>
          </w:p>
        </w:tc>
        <w:tc>
          <w:tcPr>
            <w:tcW w:w="1716" w:type="dxa"/>
          </w:tcPr>
          <w:p>
            <w:pPr>
              <w:pStyle w:val="TableParagraph"/>
              <w:spacing w:before="109"/>
              <w:ind w:left="246"/>
              <w:rPr>
                <w:b/>
                <w:sz w:val="21"/>
              </w:rPr>
            </w:pPr>
            <w:r>
              <w:rPr>
                <w:b/>
                <w:sz w:val="21"/>
              </w:rPr>
              <w:t>投保范围</w:t>
            </w:r>
          </w:p>
        </w:tc>
        <w:tc>
          <w:tcPr>
            <w:tcW w:w="6396" w:type="dxa"/>
          </w:tcPr>
          <w:p>
            <w:pPr>
              <w:pStyle w:val="TableParagraph"/>
              <w:spacing w:line="273" w:lineRule="auto" w:before="109"/>
              <w:ind w:left="203" w:right="304"/>
              <w:rPr>
                <w:sz w:val="21"/>
              </w:rPr>
            </w:pPr>
            <w:r>
              <w:rPr>
                <w:sz w:val="21"/>
              </w:rPr>
              <w:t>凡在本合同订立时对被保险人有保险利益或经被保险人书面同意的机关、企业、事业单位和社会团体均可作为投保人。</w:t>
            </w:r>
          </w:p>
          <w:p>
            <w:pPr>
              <w:pStyle w:val="TableParagraph"/>
              <w:spacing w:before="7"/>
              <w:ind w:left="203"/>
              <w:rPr>
                <w:sz w:val="21"/>
              </w:rPr>
            </w:pPr>
            <w:r>
              <w:rPr>
                <w:sz w:val="21"/>
              </w:rPr>
              <w:t>凡符合本公司承保条件的人均可作为被保险人。</w:t>
            </w:r>
          </w:p>
        </w:tc>
      </w:tr>
      <w:tr>
        <w:trPr>
          <w:trHeight w:val="1657" w:hRule="atLeast"/>
        </w:trPr>
        <w:tc>
          <w:tcPr>
            <w:tcW w:w="711" w:type="dxa"/>
          </w:tcPr>
          <w:p>
            <w:pPr>
              <w:pStyle w:val="TableParagraph"/>
              <w:spacing w:before="15"/>
              <w:ind w:left="0"/>
              <w:rPr>
                <w:rFonts w:ascii="微软雅黑"/>
                <w:b/>
                <w:sz w:val="13"/>
              </w:rPr>
            </w:pPr>
          </w:p>
          <w:p>
            <w:pPr>
              <w:pStyle w:val="TableParagraph"/>
              <w:spacing w:before="0"/>
              <w:ind w:left="107"/>
              <w:rPr>
                <w:b/>
                <w:sz w:val="21"/>
              </w:rPr>
            </w:pPr>
            <w:r>
              <w:rPr>
                <w:b/>
                <w:sz w:val="21"/>
              </w:rPr>
              <w:t>1.3</w:t>
            </w:r>
          </w:p>
        </w:tc>
        <w:tc>
          <w:tcPr>
            <w:tcW w:w="1716" w:type="dxa"/>
          </w:tcPr>
          <w:p>
            <w:pPr>
              <w:pStyle w:val="TableParagraph"/>
              <w:spacing w:before="15"/>
              <w:ind w:left="0"/>
              <w:rPr>
                <w:rFonts w:ascii="微软雅黑"/>
                <w:b/>
                <w:sz w:val="13"/>
              </w:rPr>
            </w:pPr>
          </w:p>
          <w:p>
            <w:pPr>
              <w:pStyle w:val="TableParagraph"/>
              <w:spacing w:line="273" w:lineRule="auto" w:before="0"/>
              <w:ind w:left="246" w:right="200"/>
              <w:rPr>
                <w:b/>
                <w:sz w:val="21"/>
              </w:rPr>
            </w:pPr>
            <w:r>
              <w:rPr>
                <w:b/>
                <w:sz w:val="21"/>
              </w:rPr>
              <w:t>合同成立与生效</w:t>
            </w:r>
          </w:p>
        </w:tc>
        <w:tc>
          <w:tcPr>
            <w:tcW w:w="6396" w:type="dxa"/>
          </w:tcPr>
          <w:p>
            <w:pPr>
              <w:pStyle w:val="TableParagraph"/>
              <w:spacing w:before="15"/>
              <w:ind w:left="0"/>
              <w:rPr>
                <w:rFonts w:ascii="微软雅黑"/>
                <w:b/>
                <w:sz w:val="13"/>
              </w:rPr>
            </w:pPr>
          </w:p>
          <w:p>
            <w:pPr>
              <w:pStyle w:val="TableParagraph"/>
              <w:spacing w:line="273" w:lineRule="auto" w:before="0"/>
              <w:ind w:left="203" w:right="100"/>
              <w:rPr>
                <w:sz w:val="21"/>
              </w:rPr>
            </w:pPr>
            <w:r>
              <w:rPr>
                <w:sz w:val="21"/>
              </w:rPr>
              <w:t>投保人提出保险申请、本公司同意承保，本合同成立，合同成立日期在保险单上载明。</w:t>
            </w:r>
          </w:p>
          <w:p>
            <w:pPr>
              <w:pStyle w:val="TableParagraph"/>
              <w:spacing w:line="273" w:lineRule="auto" w:before="7"/>
              <w:ind w:left="203" w:right="100"/>
              <w:rPr>
                <w:sz w:val="21"/>
              </w:rPr>
            </w:pPr>
            <w:r>
              <w:rPr>
                <w:sz w:val="21"/>
              </w:rPr>
              <w:t>自本合同成立、本公司收取保险费并签发保险单的次日零时起本合同生效，合同生效日期在保险单上载明。</w:t>
            </w:r>
          </w:p>
        </w:tc>
      </w:tr>
      <w:tr>
        <w:trPr>
          <w:trHeight w:val="1560" w:hRule="atLeast"/>
        </w:trPr>
        <w:tc>
          <w:tcPr>
            <w:tcW w:w="711" w:type="dxa"/>
          </w:tcPr>
          <w:p>
            <w:pPr>
              <w:pStyle w:val="TableParagraph"/>
              <w:spacing w:before="142"/>
              <w:ind w:left="107"/>
              <w:rPr>
                <w:b/>
                <w:sz w:val="21"/>
              </w:rPr>
            </w:pPr>
            <w:r>
              <w:rPr>
                <w:b/>
                <w:sz w:val="21"/>
              </w:rPr>
              <w:t>1.4</w:t>
            </w:r>
          </w:p>
        </w:tc>
        <w:tc>
          <w:tcPr>
            <w:tcW w:w="1716" w:type="dxa"/>
          </w:tcPr>
          <w:p>
            <w:pPr>
              <w:pStyle w:val="TableParagraph"/>
              <w:spacing w:before="142"/>
              <w:ind w:left="246"/>
              <w:rPr>
                <w:b/>
                <w:sz w:val="21"/>
              </w:rPr>
            </w:pPr>
            <w:r>
              <w:rPr>
                <w:b/>
                <w:sz w:val="21"/>
              </w:rPr>
              <w:t>合同内容变更</w:t>
            </w:r>
          </w:p>
        </w:tc>
        <w:tc>
          <w:tcPr>
            <w:tcW w:w="6396" w:type="dxa"/>
          </w:tcPr>
          <w:p>
            <w:pPr>
              <w:pStyle w:val="TableParagraph"/>
              <w:spacing w:line="273" w:lineRule="auto" w:before="142"/>
              <w:ind w:left="203" w:right="100"/>
              <w:jc w:val="both"/>
              <w:rPr>
                <w:sz w:val="21"/>
              </w:rPr>
            </w:pPr>
            <w:r>
              <w:rPr>
                <w:sz w:val="21"/>
              </w:rPr>
              <w:t>在本合同有效期内，经投保人与本公司协商一致，可以变更合同的有关内容。变更本合同的，应当由本公司在保险单或者其他保险凭证上批注或者附贴批单，或者由投保人与本公司订立书面的变更协议。</w:t>
            </w:r>
          </w:p>
        </w:tc>
      </w:tr>
      <w:tr>
        <w:trPr>
          <w:trHeight w:val="2878" w:hRule="atLeast"/>
        </w:trPr>
        <w:tc>
          <w:tcPr>
            <w:tcW w:w="711" w:type="dxa"/>
          </w:tcPr>
          <w:p>
            <w:pPr>
              <w:pStyle w:val="TableParagraph"/>
              <w:spacing w:before="142"/>
              <w:ind w:left="107"/>
              <w:rPr>
                <w:b/>
                <w:sz w:val="21"/>
              </w:rPr>
            </w:pPr>
            <w:r>
              <w:rPr>
                <w:b/>
                <w:sz w:val="21"/>
              </w:rPr>
              <w:t>1.5</w:t>
            </w:r>
          </w:p>
        </w:tc>
        <w:tc>
          <w:tcPr>
            <w:tcW w:w="1716" w:type="dxa"/>
          </w:tcPr>
          <w:p>
            <w:pPr>
              <w:pStyle w:val="TableParagraph"/>
              <w:spacing w:line="273" w:lineRule="auto" w:before="142"/>
              <w:ind w:left="246" w:right="200"/>
              <w:jc w:val="both"/>
              <w:rPr>
                <w:b/>
                <w:sz w:val="21"/>
              </w:rPr>
            </w:pPr>
            <w:r>
              <w:rPr>
                <w:b/>
                <w:sz w:val="21"/>
              </w:rPr>
              <w:t>投保人解除合同的手续及风险</w:t>
            </w:r>
          </w:p>
        </w:tc>
        <w:tc>
          <w:tcPr>
            <w:tcW w:w="6396" w:type="dxa"/>
          </w:tcPr>
          <w:p>
            <w:pPr>
              <w:pStyle w:val="TableParagraph"/>
              <w:spacing w:line="273" w:lineRule="auto" w:before="142"/>
              <w:ind w:left="203" w:right="100"/>
              <w:rPr>
                <w:sz w:val="21"/>
              </w:rPr>
            </w:pPr>
            <w:r>
              <w:rPr>
                <w:sz w:val="21"/>
              </w:rPr>
              <w:t>如投保人申请解除本合同，请填写解除合同申请书并向本公司提供下列资料：</w:t>
            </w:r>
          </w:p>
          <w:p>
            <w:pPr>
              <w:pStyle w:val="TableParagraph"/>
              <w:spacing w:before="7"/>
              <w:ind w:left="203"/>
              <w:rPr>
                <w:sz w:val="21"/>
              </w:rPr>
            </w:pPr>
            <w:r>
              <w:rPr>
                <w:sz w:val="21"/>
              </w:rPr>
              <w:t>1.保险合同；</w:t>
            </w:r>
          </w:p>
          <w:p>
            <w:pPr>
              <w:pStyle w:val="TableParagraph"/>
              <w:ind w:left="203"/>
              <w:rPr>
                <w:sz w:val="21"/>
              </w:rPr>
            </w:pPr>
            <w:r>
              <w:rPr>
                <w:sz w:val="21"/>
              </w:rPr>
              <w:t>2.保险费收据。</w:t>
            </w:r>
          </w:p>
          <w:p>
            <w:pPr>
              <w:pStyle w:val="TableParagraph"/>
              <w:spacing w:line="273" w:lineRule="auto"/>
              <w:ind w:left="203" w:right="100"/>
              <w:rPr>
                <w:sz w:val="21"/>
              </w:rPr>
            </w:pPr>
            <w:r>
              <w:rPr>
                <w:spacing w:val="-4"/>
                <w:sz w:val="21"/>
              </w:rPr>
              <w:t>自本公司收到解除合同申请书时起，本合同终止，本公司自收到解</w:t>
            </w:r>
            <w:r>
              <w:rPr>
                <w:spacing w:val="-8"/>
                <w:sz w:val="21"/>
              </w:rPr>
              <w:t>除合同申请书之日起 </w:t>
            </w:r>
            <w:r>
              <w:rPr>
                <w:sz w:val="21"/>
              </w:rPr>
              <w:t>30</w:t>
            </w:r>
            <w:r>
              <w:rPr>
                <w:spacing w:val="-8"/>
                <w:sz w:val="21"/>
              </w:rPr>
              <w:t> 日内向投保人退还保险单的</w:t>
            </w:r>
            <w:r>
              <w:rPr>
                <w:b/>
                <w:sz w:val="21"/>
              </w:rPr>
              <w:t>现金价值</w:t>
            </w:r>
            <w:r>
              <w:rPr>
                <w:spacing w:val="-3"/>
                <w:sz w:val="21"/>
              </w:rPr>
              <w:t>（见</w:t>
            </w:r>
            <w:r>
              <w:rPr>
                <w:w w:val="100"/>
                <w:sz w:val="21"/>
              </w:rPr>
              <w:t>释义</w:t>
            </w:r>
            <w:r>
              <w:rPr>
                <w:spacing w:val="-53"/>
                <w:sz w:val="21"/>
              </w:rPr>
              <w:t> </w:t>
            </w:r>
            <w:r>
              <w:rPr>
                <w:rFonts w:ascii="Times New Roman" w:eastAsia="Times New Roman"/>
                <w:w w:val="100"/>
                <w:sz w:val="21"/>
              </w:rPr>
              <w:t>6</w:t>
            </w:r>
            <w:r>
              <w:rPr>
                <w:rFonts w:ascii="Times New Roman" w:eastAsia="Times New Roman"/>
                <w:spacing w:val="-3"/>
                <w:w w:val="100"/>
                <w:sz w:val="21"/>
              </w:rPr>
              <w:t>.</w:t>
            </w:r>
            <w:r>
              <w:rPr>
                <w:rFonts w:ascii="Times New Roman" w:eastAsia="Times New Roman"/>
                <w:w w:val="100"/>
                <w:sz w:val="21"/>
              </w:rPr>
              <w:t>1</w:t>
            </w:r>
            <w:r>
              <w:rPr>
                <w:spacing w:val="-106"/>
                <w:w w:val="100"/>
                <w:sz w:val="21"/>
              </w:rPr>
              <w:t>）</w:t>
            </w:r>
            <w:r>
              <w:rPr>
                <w:w w:val="100"/>
                <w:sz w:val="21"/>
              </w:rPr>
              <w:t>。</w:t>
            </w:r>
          </w:p>
          <w:p>
            <w:pPr>
              <w:pStyle w:val="TableParagraph"/>
              <w:spacing w:line="264" w:lineRule="exact" w:before="0"/>
              <w:ind w:left="203"/>
              <w:rPr>
                <w:sz w:val="21"/>
              </w:rPr>
            </w:pPr>
            <w:r>
              <w:rPr>
                <w:sz w:val="21"/>
              </w:rPr>
              <w:t>投保人解除合同会遭受一定损失。</w:t>
            </w:r>
          </w:p>
        </w:tc>
      </w:tr>
      <w:tr>
        <w:trPr>
          <w:trHeight w:val="799" w:hRule="atLeast"/>
        </w:trPr>
        <w:tc>
          <w:tcPr>
            <w:tcW w:w="711" w:type="dxa"/>
            <w:tcBorders>
              <w:bottom w:val="single" w:sz="8" w:space="0" w:color="000000"/>
            </w:tcBorders>
          </w:tcPr>
          <w:p>
            <w:pPr>
              <w:pStyle w:val="TableParagraph"/>
              <w:spacing w:before="240"/>
              <w:ind w:left="107"/>
              <w:rPr>
                <w:rFonts w:ascii="Arial" w:hAnsi="Arial"/>
                <w:b/>
                <w:sz w:val="40"/>
              </w:rPr>
            </w:pPr>
            <w:r>
              <w:rPr>
                <w:rFonts w:ascii="Arial" w:hAnsi="Arial"/>
                <w:b/>
                <w:w w:val="119"/>
                <w:sz w:val="40"/>
              </w:rPr>
              <w:t></w:t>
            </w:r>
          </w:p>
        </w:tc>
        <w:tc>
          <w:tcPr>
            <w:tcW w:w="8112" w:type="dxa"/>
            <w:gridSpan w:val="2"/>
            <w:tcBorders>
              <w:bottom w:val="single" w:sz="8" w:space="0" w:color="000000"/>
            </w:tcBorders>
          </w:tcPr>
          <w:p>
            <w:pPr>
              <w:pStyle w:val="TableParagraph"/>
              <w:spacing w:before="15"/>
              <w:ind w:left="0"/>
              <w:rPr>
                <w:rFonts w:ascii="微软雅黑"/>
                <w:b/>
                <w:sz w:val="16"/>
              </w:rPr>
            </w:pPr>
          </w:p>
          <w:p>
            <w:pPr>
              <w:pStyle w:val="TableParagraph"/>
              <w:spacing w:before="0"/>
              <w:ind w:left="246"/>
              <w:rPr>
                <w:b/>
                <w:sz w:val="24"/>
              </w:rPr>
            </w:pPr>
            <w:r>
              <w:rPr>
                <w:b/>
                <w:w w:val="95"/>
                <w:sz w:val="24"/>
              </w:rPr>
              <w:t>本合同保障责任</w:t>
            </w:r>
          </w:p>
        </w:tc>
      </w:tr>
      <w:tr>
        <w:trPr>
          <w:trHeight w:val="674" w:hRule="atLeast"/>
        </w:trPr>
        <w:tc>
          <w:tcPr>
            <w:tcW w:w="711" w:type="dxa"/>
            <w:tcBorders>
              <w:top w:val="single" w:sz="8" w:space="0" w:color="000000"/>
            </w:tcBorders>
          </w:tcPr>
          <w:p>
            <w:pPr>
              <w:pStyle w:val="TableParagraph"/>
              <w:spacing w:before="3"/>
              <w:ind w:left="0"/>
              <w:rPr>
                <w:rFonts w:ascii="微软雅黑"/>
                <w:b/>
                <w:sz w:val="11"/>
              </w:rPr>
            </w:pPr>
          </w:p>
          <w:p>
            <w:pPr>
              <w:pStyle w:val="TableParagraph"/>
              <w:spacing w:before="0"/>
              <w:ind w:left="107"/>
              <w:rPr>
                <w:b/>
                <w:sz w:val="21"/>
              </w:rPr>
            </w:pPr>
            <w:r>
              <w:rPr>
                <w:b/>
                <w:sz w:val="21"/>
              </w:rPr>
              <w:t>2.1</w:t>
            </w:r>
          </w:p>
        </w:tc>
        <w:tc>
          <w:tcPr>
            <w:tcW w:w="1716" w:type="dxa"/>
            <w:tcBorders>
              <w:top w:val="single" w:sz="8" w:space="0" w:color="000000"/>
            </w:tcBorders>
          </w:tcPr>
          <w:p>
            <w:pPr>
              <w:pStyle w:val="TableParagraph"/>
              <w:spacing w:before="3"/>
              <w:ind w:left="0"/>
              <w:rPr>
                <w:rFonts w:ascii="微软雅黑"/>
                <w:b/>
                <w:sz w:val="11"/>
              </w:rPr>
            </w:pPr>
          </w:p>
          <w:p>
            <w:pPr>
              <w:pStyle w:val="TableParagraph"/>
              <w:spacing w:before="0"/>
              <w:ind w:left="246"/>
              <w:rPr>
                <w:b/>
                <w:sz w:val="21"/>
              </w:rPr>
            </w:pPr>
            <w:r>
              <w:rPr>
                <w:b/>
                <w:sz w:val="21"/>
              </w:rPr>
              <w:t>保险金额</w:t>
            </w:r>
          </w:p>
        </w:tc>
        <w:tc>
          <w:tcPr>
            <w:tcW w:w="6396" w:type="dxa"/>
            <w:tcBorders>
              <w:top w:val="single" w:sz="8" w:space="0" w:color="000000"/>
            </w:tcBorders>
          </w:tcPr>
          <w:p>
            <w:pPr>
              <w:pStyle w:val="TableParagraph"/>
              <w:spacing w:before="3"/>
              <w:ind w:left="0"/>
              <w:rPr>
                <w:rFonts w:ascii="微软雅黑"/>
                <w:b/>
                <w:sz w:val="11"/>
              </w:rPr>
            </w:pPr>
          </w:p>
          <w:p>
            <w:pPr>
              <w:pStyle w:val="TableParagraph"/>
              <w:spacing w:before="0"/>
              <w:ind w:left="203"/>
              <w:rPr>
                <w:sz w:val="21"/>
              </w:rPr>
            </w:pPr>
            <w:r>
              <w:rPr>
                <w:sz w:val="21"/>
              </w:rPr>
              <w:t>本合同保险金额由投保人和本公司约定。</w:t>
            </w:r>
          </w:p>
        </w:tc>
      </w:tr>
      <w:tr>
        <w:trPr>
          <w:trHeight w:val="935" w:hRule="atLeast"/>
        </w:trPr>
        <w:tc>
          <w:tcPr>
            <w:tcW w:w="711" w:type="dxa"/>
          </w:tcPr>
          <w:p>
            <w:pPr>
              <w:pStyle w:val="TableParagraph"/>
              <w:spacing w:before="142"/>
              <w:ind w:left="107"/>
              <w:rPr>
                <w:b/>
                <w:sz w:val="21"/>
              </w:rPr>
            </w:pPr>
            <w:r>
              <w:rPr>
                <w:b/>
                <w:sz w:val="21"/>
              </w:rPr>
              <w:t>2.2</w:t>
            </w:r>
          </w:p>
        </w:tc>
        <w:tc>
          <w:tcPr>
            <w:tcW w:w="1716" w:type="dxa"/>
          </w:tcPr>
          <w:p>
            <w:pPr>
              <w:pStyle w:val="TableParagraph"/>
              <w:spacing w:before="142"/>
              <w:ind w:left="246"/>
              <w:rPr>
                <w:b/>
                <w:sz w:val="21"/>
              </w:rPr>
            </w:pPr>
            <w:r>
              <w:rPr>
                <w:b/>
                <w:sz w:val="21"/>
              </w:rPr>
              <w:t>保险期间</w:t>
            </w:r>
          </w:p>
        </w:tc>
        <w:tc>
          <w:tcPr>
            <w:tcW w:w="6396" w:type="dxa"/>
          </w:tcPr>
          <w:p>
            <w:pPr>
              <w:pStyle w:val="TableParagraph"/>
              <w:spacing w:line="273" w:lineRule="auto" w:before="142"/>
              <w:ind w:left="203" w:right="100"/>
              <w:rPr>
                <w:sz w:val="21"/>
              </w:rPr>
            </w:pPr>
            <w:r>
              <w:rPr>
                <w:sz w:val="21"/>
              </w:rPr>
              <w:t>本合同的保险期间最长为一年，并以保险单或其他保险凭证上载明的保险期间为准。</w:t>
            </w:r>
          </w:p>
        </w:tc>
      </w:tr>
      <w:tr>
        <w:trPr>
          <w:trHeight w:val="467" w:hRule="atLeast"/>
        </w:trPr>
        <w:tc>
          <w:tcPr>
            <w:tcW w:w="711" w:type="dxa"/>
          </w:tcPr>
          <w:p>
            <w:pPr>
              <w:pStyle w:val="TableParagraph"/>
              <w:spacing w:before="142"/>
              <w:ind w:left="107"/>
              <w:rPr>
                <w:b/>
                <w:sz w:val="21"/>
              </w:rPr>
            </w:pPr>
            <w:r>
              <w:rPr>
                <w:b/>
                <w:sz w:val="21"/>
              </w:rPr>
              <w:t>2.3</w:t>
            </w:r>
          </w:p>
        </w:tc>
        <w:tc>
          <w:tcPr>
            <w:tcW w:w="1716" w:type="dxa"/>
          </w:tcPr>
          <w:p>
            <w:pPr>
              <w:pStyle w:val="TableParagraph"/>
              <w:spacing w:before="142"/>
              <w:ind w:left="246"/>
              <w:rPr>
                <w:b/>
                <w:sz w:val="21"/>
              </w:rPr>
            </w:pPr>
            <w:r>
              <w:rPr>
                <w:b/>
                <w:sz w:val="21"/>
              </w:rPr>
              <w:t>保险责任</w:t>
            </w:r>
          </w:p>
        </w:tc>
        <w:tc>
          <w:tcPr>
            <w:tcW w:w="6396" w:type="dxa"/>
          </w:tcPr>
          <w:p>
            <w:pPr>
              <w:pStyle w:val="TableParagraph"/>
              <w:spacing w:before="142"/>
              <w:ind w:left="203"/>
              <w:rPr>
                <w:sz w:val="21"/>
              </w:rPr>
            </w:pPr>
            <w:r>
              <w:rPr>
                <w:sz w:val="21"/>
              </w:rPr>
              <w:t>在本合同保险期间内，本公司承担下列保险责任：</w:t>
            </w:r>
          </w:p>
        </w:tc>
      </w:tr>
      <w:tr>
        <w:trPr>
          <w:trHeight w:val="261" w:hRule="atLeast"/>
        </w:trPr>
        <w:tc>
          <w:tcPr>
            <w:tcW w:w="711" w:type="dxa"/>
          </w:tcPr>
          <w:p>
            <w:pPr>
              <w:pStyle w:val="TableParagraph"/>
              <w:spacing w:before="0"/>
              <w:ind w:left="0"/>
              <w:rPr>
                <w:rFonts w:ascii="Times New Roman"/>
                <w:sz w:val="18"/>
              </w:rPr>
            </w:pPr>
          </w:p>
        </w:tc>
        <w:tc>
          <w:tcPr>
            <w:tcW w:w="1716" w:type="dxa"/>
          </w:tcPr>
          <w:p>
            <w:pPr>
              <w:pStyle w:val="TableParagraph"/>
              <w:spacing w:line="242" w:lineRule="exact" w:before="0"/>
              <w:ind w:left="246"/>
              <w:rPr>
                <w:rFonts w:ascii="黑体" w:eastAsia="黑体" w:hint="eastAsia"/>
                <w:b/>
                <w:sz w:val="21"/>
              </w:rPr>
            </w:pPr>
            <w:r>
              <w:rPr>
                <w:rFonts w:ascii="黑体" w:eastAsia="黑体" w:hint="eastAsia"/>
                <w:b/>
                <w:sz w:val="21"/>
              </w:rPr>
              <w:t>等待期</w:t>
            </w:r>
          </w:p>
        </w:tc>
        <w:tc>
          <w:tcPr>
            <w:tcW w:w="6396" w:type="dxa"/>
          </w:tcPr>
          <w:p>
            <w:pPr>
              <w:pStyle w:val="TableParagraph"/>
              <w:spacing w:line="242" w:lineRule="exact" w:before="0"/>
              <w:ind w:left="203"/>
              <w:rPr>
                <w:rFonts w:ascii="黑体" w:eastAsia="黑体" w:hint="eastAsia"/>
                <w:sz w:val="21"/>
              </w:rPr>
            </w:pPr>
            <w:r>
              <w:rPr>
                <w:rFonts w:ascii="黑体" w:eastAsia="黑体" w:hint="eastAsia"/>
                <w:sz w:val="21"/>
              </w:rPr>
              <w:t>首次投保本保险或非连续投保本保险时，被保险人在本合同Th效之</w:t>
            </w:r>
          </w:p>
        </w:tc>
      </w:tr>
    </w:tbl>
    <w:p>
      <w:pPr>
        <w:spacing w:after="0" w:line="242" w:lineRule="exact"/>
        <w:rPr>
          <w:rFonts w:ascii="黑体" w:eastAsia="黑体" w:hint="eastAsia"/>
          <w:sz w:val="21"/>
        </w:rPr>
        <w:sectPr>
          <w:pgSz w:w="11910" w:h="16840"/>
          <w:pgMar w:header="0" w:footer="1121" w:top="1440" w:bottom="1400" w:left="1580" w:right="12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716"/>
        <w:gridCol w:w="6395"/>
      </w:tblGrid>
      <w:tr>
        <w:trPr>
          <w:trHeight w:val="1822" w:hRule="atLeast"/>
        </w:trPr>
        <w:tc>
          <w:tcPr>
            <w:tcW w:w="711" w:type="dxa"/>
          </w:tcPr>
          <w:p>
            <w:pPr>
              <w:pStyle w:val="TableParagraph"/>
              <w:spacing w:before="0"/>
              <w:ind w:left="0"/>
              <w:rPr>
                <w:rFonts w:ascii="Times New Roman"/>
                <w:sz w:val="20"/>
              </w:rPr>
            </w:pPr>
          </w:p>
        </w:tc>
        <w:tc>
          <w:tcPr>
            <w:tcW w:w="1716" w:type="dxa"/>
          </w:tcPr>
          <w:p>
            <w:pPr>
              <w:pStyle w:val="TableParagraph"/>
              <w:spacing w:before="0"/>
              <w:ind w:left="0"/>
              <w:rPr>
                <w:rFonts w:ascii="Times New Roman"/>
                <w:sz w:val="20"/>
              </w:rPr>
            </w:pPr>
          </w:p>
        </w:tc>
        <w:tc>
          <w:tcPr>
            <w:tcW w:w="6395" w:type="dxa"/>
          </w:tcPr>
          <w:p>
            <w:pPr>
              <w:pStyle w:val="TableParagraph"/>
              <w:spacing w:line="204" w:lineRule="exact" w:before="0"/>
              <w:ind w:left="203"/>
              <w:rPr>
                <w:rFonts w:ascii="黑体" w:eastAsia="黑体" w:hint="eastAsia"/>
                <w:sz w:val="21"/>
              </w:rPr>
            </w:pPr>
            <w:r>
              <w:rPr>
                <w:rFonts w:ascii="黑体" w:eastAsia="黑体" w:hint="eastAsia"/>
                <w:sz w:val="21"/>
              </w:rPr>
              <w:t>日起 30 天内因疾病被诊断为本合同所定义的</w:t>
            </w:r>
            <w:r>
              <w:rPr>
                <w:rFonts w:ascii="黑体" w:eastAsia="黑体" w:hint="eastAsia"/>
                <w:b/>
                <w:sz w:val="21"/>
              </w:rPr>
              <w:t>重大疾病</w:t>
            </w:r>
            <w:r>
              <w:rPr>
                <w:rFonts w:ascii="黑体" w:eastAsia="黑体" w:hint="eastAsia"/>
                <w:sz w:val="21"/>
              </w:rPr>
              <w:t>（见释义</w:t>
            </w:r>
          </w:p>
          <w:p>
            <w:pPr>
              <w:pStyle w:val="TableParagraph"/>
              <w:spacing w:line="273" w:lineRule="auto"/>
              <w:ind w:left="203" w:right="-15"/>
              <w:rPr>
                <w:rFonts w:ascii="黑体" w:eastAsia="黑体" w:hint="eastAsia"/>
                <w:sz w:val="21"/>
              </w:rPr>
            </w:pPr>
            <w:r>
              <w:rPr>
                <w:rFonts w:ascii="黑体" w:eastAsia="黑体" w:hint="eastAsia"/>
                <w:w w:val="100"/>
                <w:sz w:val="21"/>
              </w:rPr>
              <w:t>6.2</w:t>
            </w:r>
            <w:r>
              <w:rPr>
                <w:rFonts w:ascii="黑体" w:eastAsia="黑体" w:hint="eastAsia"/>
                <w:spacing w:val="-108"/>
                <w:w w:val="100"/>
                <w:sz w:val="21"/>
              </w:rPr>
              <w:t>）</w:t>
            </w:r>
            <w:r>
              <w:rPr>
                <w:rFonts w:ascii="黑体" w:eastAsia="黑体" w:hint="eastAsia"/>
                <w:spacing w:val="-4"/>
                <w:w w:val="100"/>
                <w:sz w:val="21"/>
              </w:rPr>
              <w:t>，本公司无息返还该被保险人对应的保险费，本合同对该被保</w:t>
            </w:r>
            <w:r>
              <w:rPr>
                <w:rFonts w:ascii="黑体" w:eastAsia="黑体" w:hint="eastAsia"/>
                <w:spacing w:val="-6"/>
                <w:sz w:val="21"/>
              </w:rPr>
              <w:t>险人的保险责任终止。这 </w:t>
            </w:r>
            <w:r>
              <w:rPr>
                <w:rFonts w:ascii="黑体" w:eastAsia="黑体" w:hint="eastAsia"/>
                <w:sz w:val="21"/>
              </w:rPr>
              <w:t>30</w:t>
            </w:r>
            <w:r>
              <w:rPr>
                <w:rFonts w:ascii="黑体" w:eastAsia="黑体" w:hint="eastAsia"/>
                <w:spacing w:val="-7"/>
                <w:sz w:val="21"/>
              </w:rPr>
              <w:t> 天的时间称为等待期。被保险人因</w:t>
            </w:r>
            <w:r>
              <w:rPr>
                <w:rFonts w:ascii="黑体" w:eastAsia="黑体" w:hint="eastAsia"/>
                <w:b/>
                <w:sz w:val="21"/>
              </w:rPr>
              <w:t>意外</w:t>
            </w:r>
            <w:r>
              <w:rPr>
                <w:rFonts w:ascii="黑体" w:eastAsia="黑体" w:hint="eastAsia"/>
                <w:b/>
                <w:spacing w:val="-10"/>
                <w:sz w:val="21"/>
              </w:rPr>
              <w:t>伤害</w:t>
            </w:r>
            <w:r>
              <w:rPr>
                <w:rFonts w:ascii="黑体" w:eastAsia="黑体" w:hint="eastAsia"/>
                <w:spacing w:val="-3"/>
                <w:sz w:val="21"/>
              </w:rPr>
              <w:t>（</w:t>
            </w:r>
            <w:r>
              <w:rPr>
                <w:rFonts w:ascii="黑体" w:eastAsia="黑体" w:hint="eastAsia"/>
                <w:spacing w:val="-9"/>
                <w:sz w:val="21"/>
              </w:rPr>
              <w:t>见释义 </w:t>
            </w:r>
            <w:r>
              <w:rPr>
                <w:rFonts w:ascii="黑体" w:eastAsia="黑体" w:hint="eastAsia"/>
                <w:spacing w:val="-7"/>
                <w:sz w:val="21"/>
              </w:rPr>
              <w:t>6.3）</w:t>
            </w:r>
            <w:r>
              <w:rPr>
                <w:rFonts w:ascii="黑体" w:eastAsia="黑体" w:hint="eastAsia"/>
                <w:spacing w:val="-5"/>
                <w:sz w:val="21"/>
              </w:rPr>
              <w:t>事故导致本合同定义的重大疾病，无等待期。续</w:t>
            </w:r>
            <w:r>
              <w:rPr>
                <w:rFonts w:ascii="黑体" w:eastAsia="黑体" w:hint="eastAsia"/>
                <w:spacing w:val="-3"/>
                <w:sz w:val="21"/>
              </w:rPr>
              <w:t>保无等待期。</w:t>
            </w:r>
          </w:p>
          <w:p>
            <w:pPr>
              <w:pStyle w:val="TableParagraph"/>
              <w:spacing w:before="7"/>
              <w:ind w:left="203"/>
              <w:rPr>
                <w:rFonts w:ascii="黑体" w:eastAsia="黑体" w:hint="eastAsia"/>
                <w:sz w:val="21"/>
              </w:rPr>
            </w:pPr>
            <w:r>
              <w:rPr>
                <w:rFonts w:ascii="黑体" w:eastAsia="黑体" w:hint="eastAsia"/>
                <w:sz w:val="21"/>
              </w:rPr>
              <w:t>等待期后发Th保险事故，本公司按照下列方式给付保险金：</w:t>
            </w:r>
          </w:p>
        </w:tc>
      </w:tr>
      <w:tr>
        <w:trPr>
          <w:trHeight w:val="1403" w:hRule="atLeast"/>
        </w:trPr>
        <w:tc>
          <w:tcPr>
            <w:tcW w:w="711" w:type="dxa"/>
          </w:tcPr>
          <w:p>
            <w:pPr>
              <w:pStyle w:val="TableParagraph"/>
              <w:spacing w:before="0"/>
              <w:ind w:left="0"/>
              <w:rPr>
                <w:rFonts w:ascii="Times New Roman"/>
                <w:sz w:val="20"/>
              </w:rPr>
            </w:pPr>
          </w:p>
        </w:tc>
        <w:tc>
          <w:tcPr>
            <w:tcW w:w="1716" w:type="dxa"/>
          </w:tcPr>
          <w:p>
            <w:pPr>
              <w:pStyle w:val="TableParagraph"/>
              <w:spacing w:line="254" w:lineRule="exact" w:before="0"/>
              <w:ind w:left="246"/>
              <w:rPr>
                <w:rFonts w:ascii="黑体" w:eastAsia="黑体" w:hint="eastAsia"/>
                <w:b/>
                <w:sz w:val="21"/>
              </w:rPr>
            </w:pPr>
            <w:r>
              <w:rPr>
                <w:rFonts w:ascii="黑体" w:eastAsia="黑体" w:hint="eastAsia"/>
                <w:b/>
                <w:sz w:val="21"/>
              </w:rPr>
              <w:t>重大疾病保险</w:t>
            </w:r>
          </w:p>
          <w:p>
            <w:pPr>
              <w:pStyle w:val="TableParagraph"/>
              <w:ind w:left="246"/>
              <w:rPr>
                <w:rFonts w:ascii="黑体" w:eastAsia="黑体" w:hint="eastAsia"/>
                <w:b/>
                <w:sz w:val="21"/>
              </w:rPr>
            </w:pPr>
            <w:r>
              <w:rPr>
                <w:rFonts w:ascii="黑体" w:eastAsia="黑体" w:hint="eastAsia"/>
                <w:b/>
                <w:w w:val="100"/>
                <w:sz w:val="21"/>
              </w:rPr>
              <w:t>金</w:t>
            </w:r>
          </w:p>
        </w:tc>
        <w:tc>
          <w:tcPr>
            <w:tcW w:w="6395" w:type="dxa"/>
          </w:tcPr>
          <w:p>
            <w:pPr>
              <w:pStyle w:val="TableParagraph"/>
              <w:spacing w:line="254" w:lineRule="exact" w:before="0"/>
              <w:ind w:left="203"/>
              <w:rPr>
                <w:sz w:val="21"/>
              </w:rPr>
            </w:pPr>
            <w:r>
              <w:rPr>
                <w:sz w:val="21"/>
              </w:rPr>
              <w:t>被保险人初次发生且经</w:t>
            </w:r>
            <w:r>
              <w:rPr>
                <w:b/>
                <w:sz w:val="21"/>
              </w:rPr>
              <w:t>专科医生</w:t>
            </w:r>
            <w:r>
              <w:rPr>
                <w:sz w:val="21"/>
              </w:rPr>
              <w:t>（见释义 6.4）明确诊断患本合同</w:t>
            </w:r>
          </w:p>
          <w:p>
            <w:pPr>
              <w:pStyle w:val="TableParagraph"/>
              <w:spacing w:line="273" w:lineRule="auto"/>
              <w:ind w:left="203" w:right="99"/>
              <w:jc w:val="both"/>
              <w:rPr>
                <w:sz w:val="21"/>
              </w:rPr>
            </w:pPr>
            <w:r>
              <w:rPr>
                <w:sz w:val="21"/>
              </w:rPr>
              <w:t>所定义的重大疾病，并且自确诊之日起 30 天后仍生存，本公司按照约定的该被保险人的保险金额给付重大疾病保险金，本合同对该被保险人的保险责任终止。</w:t>
            </w:r>
          </w:p>
        </w:tc>
      </w:tr>
      <w:tr>
        <w:trPr>
          <w:trHeight w:val="6109" w:hRule="atLeast"/>
        </w:trPr>
        <w:tc>
          <w:tcPr>
            <w:tcW w:w="711" w:type="dxa"/>
          </w:tcPr>
          <w:p>
            <w:pPr>
              <w:pStyle w:val="TableParagraph"/>
              <w:spacing w:before="135"/>
              <w:ind w:left="107"/>
              <w:rPr>
                <w:b/>
                <w:sz w:val="21"/>
              </w:rPr>
            </w:pPr>
            <w:r>
              <w:rPr>
                <w:b/>
                <w:sz w:val="21"/>
              </w:rPr>
              <w:t>2.4</w:t>
            </w:r>
          </w:p>
        </w:tc>
        <w:tc>
          <w:tcPr>
            <w:tcW w:w="1716" w:type="dxa"/>
          </w:tcPr>
          <w:p>
            <w:pPr>
              <w:pStyle w:val="TableParagraph"/>
              <w:spacing w:line="273" w:lineRule="auto" w:before="135"/>
              <w:ind w:left="246" w:right="199"/>
              <w:rPr>
                <w:rFonts w:ascii="黑体" w:eastAsia="黑体" w:hint="eastAsia"/>
                <w:b/>
                <w:sz w:val="21"/>
              </w:rPr>
            </w:pPr>
            <w:r>
              <w:rPr>
                <w:rFonts w:ascii="黑体" w:eastAsia="黑体" w:hint="eastAsia"/>
                <w:b/>
                <w:sz w:val="21"/>
              </w:rPr>
              <w:t>保险责任的免除</w:t>
            </w:r>
          </w:p>
        </w:tc>
        <w:tc>
          <w:tcPr>
            <w:tcW w:w="6395" w:type="dxa"/>
          </w:tcPr>
          <w:p>
            <w:pPr>
              <w:pStyle w:val="TableParagraph"/>
              <w:spacing w:line="273" w:lineRule="auto" w:before="135"/>
              <w:ind w:left="203" w:right="99"/>
              <w:rPr>
                <w:rFonts w:ascii="黑体" w:eastAsia="黑体" w:hint="eastAsia"/>
                <w:sz w:val="21"/>
              </w:rPr>
            </w:pPr>
            <w:r>
              <w:rPr>
                <w:rFonts w:ascii="黑体" w:eastAsia="黑体" w:hint="eastAsia"/>
                <w:sz w:val="21"/>
              </w:rPr>
              <w:t>被保险人因以下情形之一导致发Th本合同所定义的重大疾病，本公司不承担给付保险金的责任：</w:t>
            </w:r>
          </w:p>
          <w:p>
            <w:pPr>
              <w:pStyle w:val="TableParagraph"/>
              <w:numPr>
                <w:ilvl w:val="0"/>
                <w:numId w:val="5"/>
              </w:numPr>
              <w:tabs>
                <w:tab w:pos="924" w:val="left" w:leader="none"/>
              </w:tabs>
              <w:spacing w:line="240" w:lineRule="auto" w:before="163" w:after="0"/>
              <w:ind w:left="923"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924" w:val="left" w:leader="none"/>
              </w:tabs>
              <w:spacing w:line="240" w:lineRule="auto" w:before="37" w:after="0"/>
              <w:ind w:left="923"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924" w:val="left" w:leader="none"/>
              </w:tabs>
              <w:spacing w:line="240" w:lineRule="auto" w:before="37" w:after="0"/>
              <w:ind w:left="923"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6.5</w:t>
            </w:r>
            <w:r>
              <w:rPr>
                <w:rFonts w:ascii="黑体" w:eastAsia="黑体" w:hint="eastAsia"/>
                <w:spacing w:val="-108"/>
                <w:w w:val="100"/>
                <w:sz w:val="21"/>
              </w:rPr>
              <w:t>）</w:t>
            </w:r>
            <w:r>
              <w:rPr>
                <w:rFonts w:ascii="黑体" w:eastAsia="黑体" w:hint="eastAsia"/>
                <w:w w:val="100"/>
                <w:sz w:val="21"/>
              </w:rPr>
              <w:t>；</w:t>
            </w:r>
          </w:p>
          <w:p>
            <w:pPr>
              <w:pStyle w:val="TableParagraph"/>
              <w:numPr>
                <w:ilvl w:val="0"/>
                <w:numId w:val="5"/>
              </w:numPr>
              <w:tabs>
                <w:tab w:pos="924" w:val="left" w:leader="none"/>
              </w:tabs>
              <w:spacing w:line="273" w:lineRule="auto" w:before="37" w:after="0"/>
              <w:ind w:left="923" w:right="101"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23"/>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6</w:t>
            </w:r>
            <w:r>
              <w:rPr>
                <w:rFonts w:ascii="黑体" w:eastAsia="黑体" w:hint="eastAsia"/>
                <w:spacing w:val="-92"/>
                <w:w w:val="100"/>
                <w:sz w:val="21"/>
              </w:rPr>
              <w:t>，</w:t>
            </w:r>
            <w:r>
              <w:rPr>
                <w:rFonts w:ascii="黑体" w:eastAsia="黑体" w:hint="eastAsia"/>
                <w:b/>
                <w:spacing w:val="-10"/>
                <w:w w:val="100"/>
                <w:sz w:val="21"/>
              </w:rPr>
              <w:t>无合法有效驾驶证驾驶</w:t>
            </w:r>
            <w:r>
              <w:rPr>
                <w:rFonts w:ascii="黑体" w:eastAsia="黑体" w:hint="eastAsia"/>
                <w:w w:val="100"/>
                <w:sz w:val="21"/>
              </w:rPr>
              <w:t>（见</w:t>
            </w:r>
            <w:r>
              <w:rPr>
                <w:rFonts w:ascii="黑体" w:eastAsia="黑体" w:hint="eastAsia"/>
                <w:spacing w:val="-15"/>
                <w:sz w:val="21"/>
              </w:rPr>
              <w:t>释义 </w:t>
            </w:r>
            <w:r>
              <w:rPr>
                <w:rFonts w:ascii="黑体" w:eastAsia="黑体" w:hint="eastAsia"/>
                <w:sz w:val="21"/>
              </w:rPr>
              <w:t>6.7）</w:t>
            </w:r>
            <w:r>
              <w:rPr>
                <w:rFonts w:ascii="黑体" w:eastAsia="黑体" w:hint="eastAsia"/>
                <w:spacing w:val="-3"/>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13"/>
                <w:sz w:val="21"/>
              </w:rPr>
              <w:t>见释义 </w:t>
            </w:r>
            <w:r>
              <w:rPr>
                <w:rFonts w:ascii="黑体" w:eastAsia="黑体" w:hint="eastAsia"/>
                <w:sz w:val="21"/>
              </w:rPr>
              <w:t>6.8）</w:t>
            </w:r>
            <w:r>
              <w:rPr>
                <w:rFonts w:ascii="黑体" w:eastAsia="黑体" w:hint="eastAsia"/>
                <w:spacing w:val="-3"/>
                <w:sz w:val="21"/>
              </w:rPr>
              <w:t>的机动车；</w:t>
            </w:r>
          </w:p>
          <w:p>
            <w:pPr>
              <w:pStyle w:val="TableParagraph"/>
              <w:numPr>
                <w:ilvl w:val="0"/>
                <w:numId w:val="5"/>
              </w:numPr>
              <w:tabs>
                <w:tab w:pos="924" w:val="left" w:leader="none"/>
              </w:tabs>
              <w:spacing w:line="240" w:lineRule="auto" w:before="8" w:after="0"/>
              <w:ind w:left="923"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924" w:val="left" w:leader="none"/>
              </w:tabs>
              <w:spacing w:line="240" w:lineRule="auto" w:before="37" w:after="0"/>
              <w:ind w:left="923"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5"/>
              </w:numPr>
              <w:tabs>
                <w:tab w:pos="924" w:val="left" w:leader="none"/>
              </w:tabs>
              <w:spacing w:line="273" w:lineRule="auto" w:before="37" w:after="0"/>
              <w:ind w:left="923" w:right="102" w:hanging="7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见释义</w:t>
            </w:r>
            <w:r>
              <w:rPr>
                <w:rFonts w:ascii="黑体" w:eastAsia="黑体" w:hint="eastAsia"/>
                <w:spacing w:val="-10"/>
                <w:sz w:val="21"/>
              </w:rPr>
              <w:t> </w:t>
            </w:r>
            <w:r>
              <w:rPr>
                <w:rFonts w:ascii="黑体" w:eastAsia="黑体" w:hint="eastAsia"/>
                <w:w w:val="100"/>
                <w:sz w:val="21"/>
              </w:rPr>
              <w:t>6.9</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1"/>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0</w:t>
            </w:r>
            <w:r>
              <w:rPr>
                <w:rFonts w:ascii="黑体" w:eastAsia="黑体" w:hint="eastAsia"/>
                <w:spacing w:val="-108"/>
                <w:w w:val="100"/>
                <w:sz w:val="21"/>
              </w:rPr>
              <w:t>）；</w:t>
            </w:r>
          </w:p>
          <w:p>
            <w:pPr>
              <w:pStyle w:val="TableParagraph"/>
              <w:numPr>
                <w:ilvl w:val="0"/>
                <w:numId w:val="5"/>
              </w:numPr>
              <w:tabs>
                <w:tab w:pos="924" w:val="left" w:leader="none"/>
              </w:tabs>
              <w:spacing w:line="273" w:lineRule="auto" w:before="8" w:after="0"/>
              <w:ind w:left="923" w:right="99" w:hanging="720"/>
              <w:jc w:val="left"/>
              <w:rPr>
                <w:rFonts w:ascii="黑体" w:eastAsia="黑体" w:hint="eastAsia"/>
                <w:sz w:val="21"/>
              </w:rPr>
            </w:pPr>
            <w:r>
              <w:rPr>
                <w:rFonts w:ascii="黑体" w:eastAsia="黑体" w:hint="eastAsia"/>
                <w:spacing w:val="-12"/>
                <w:sz w:val="21"/>
              </w:rPr>
              <w:t>被保险人故意自伤，但被保险人自伤时为无民事行为能力人</w:t>
            </w:r>
            <w:r>
              <w:rPr>
                <w:rFonts w:ascii="黑体" w:eastAsia="黑体" w:hint="eastAsia"/>
                <w:spacing w:val="-7"/>
                <w:sz w:val="21"/>
              </w:rPr>
              <w:t>的除外。</w:t>
            </w:r>
          </w:p>
          <w:p>
            <w:pPr>
              <w:pStyle w:val="TableParagraph"/>
              <w:spacing w:line="273" w:lineRule="auto" w:before="7"/>
              <w:ind w:left="203" w:right="303" w:firstLine="420"/>
              <w:rPr>
                <w:rFonts w:ascii="黑体" w:eastAsia="黑体" w:hint="eastAsia"/>
                <w:sz w:val="21"/>
              </w:rPr>
            </w:pPr>
            <w:r>
              <w:rPr>
                <w:rFonts w:ascii="黑体" w:eastAsia="黑体" w:hint="eastAsia"/>
                <w:sz w:val="21"/>
              </w:rPr>
              <w:t>发Th上述第１项情形导致被保险人发Th本合同所定义的重大疾病的，本公司对该被保险人的保险责任终止。</w:t>
            </w:r>
          </w:p>
          <w:p>
            <w:pPr>
              <w:pStyle w:val="TableParagraph"/>
              <w:spacing w:line="273" w:lineRule="auto" w:before="7"/>
              <w:ind w:left="203" w:right="101" w:firstLine="420"/>
              <w:rPr>
                <w:rFonts w:ascii="黑体" w:eastAsia="黑体" w:hint="eastAsia"/>
                <w:sz w:val="21"/>
              </w:rPr>
            </w:pPr>
            <w:r>
              <w:rPr>
                <w:rFonts w:ascii="黑体" w:eastAsia="黑体" w:hint="eastAsia"/>
                <w:sz w:val="21"/>
              </w:rPr>
              <w:t>发Th</w:t>
            </w:r>
            <w:r>
              <w:rPr>
                <w:rFonts w:ascii="黑体" w:eastAsia="黑体" w:hint="eastAsia"/>
                <w:spacing w:val="-3"/>
                <w:sz w:val="21"/>
              </w:rPr>
              <w:t>上述其他情形导致被保险人发</w:t>
            </w:r>
            <w:r>
              <w:rPr>
                <w:rFonts w:ascii="黑体" w:eastAsia="黑体" w:hint="eastAsia"/>
                <w:sz w:val="21"/>
              </w:rPr>
              <w:t>Th</w:t>
            </w:r>
            <w:r>
              <w:rPr>
                <w:rFonts w:ascii="黑体" w:eastAsia="黑体" w:hint="eastAsia"/>
                <w:spacing w:val="-3"/>
                <w:sz w:val="21"/>
              </w:rPr>
              <w:t>本合同所定义的重大疾 病的，本公司对该被保险人的保险责任终止，本公司向投保人退还该被保险人对应的现金价值。</w:t>
            </w:r>
          </w:p>
        </w:tc>
      </w:tr>
      <w:tr>
        <w:trPr>
          <w:trHeight w:val="753" w:hRule="atLeast"/>
        </w:trPr>
        <w:tc>
          <w:tcPr>
            <w:tcW w:w="711" w:type="dxa"/>
            <w:tcBorders>
              <w:bottom w:val="single" w:sz="8" w:space="0" w:color="000000"/>
            </w:tcBorders>
          </w:tcPr>
          <w:p>
            <w:pPr>
              <w:pStyle w:val="TableParagraph"/>
              <w:spacing w:before="187"/>
              <w:ind w:left="107"/>
              <w:rPr>
                <w:rFonts w:ascii="Arial" w:hAnsi="Arial"/>
                <w:b/>
                <w:sz w:val="40"/>
              </w:rPr>
            </w:pPr>
            <w:r>
              <w:rPr>
                <w:rFonts w:ascii="Arial" w:hAnsi="Arial"/>
                <w:b/>
                <w:w w:val="119"/>
                <w:sz w:val="40"/>
              </w:rPr>
              <w:t></w:t>
            </w:r>
          </w:p>
        </w:tc>
        <w:tc>
          <w:tcPr>
            <w:tcW w:w="8111" w:type="dxa"/>
            <w:gridSpan w:val="2"/>
            <w:tcBorders>
              <w:bottom w:val="single" w:sz="8" w:space="0" w:color="000000"/>
            </w:tcBorders>
          </w:tcPr>
          <w:p>
            <w:pPr>
              <w:pStyle w:val="TableParagraph"/>
              <w:spacing w:before="14"/>
              <w:ind w:left="0"/>
              <w:rPr>
                <w:rFonts w:ascii="微软雅黑"/>
                <w:b/>
                <w:sz w:val="13"/>
              </w:rPr>
            </w:pPr>
          </w:p>
          <w:p>
            <w:pPr>
              <w:pStyle w:val="TableParagraph"/>
              <w:spacing w:before="0"/>
              <w:ind w:left="246"/>
              <w:rPr>
                <w:b/>
                <w:sz w:val="24"/>
              </w:rPr>
            </w:pPr>
            <w:r>
              <w:rPr>
                <w:b/>
                <w:sz w:val="24"/>
              </w:rPr>
              <w:t>保险费的支付和续保</w:t>
            </w:r>
          </w:p>
        </w:tc>
      </w:tr>
      <w:tr>
        <w:trPr>
          <w:trHeight w:val="1119" w:hRule="atLeast"/>
        </w:trPr>
        <w:tc>
          <w:tcPr>
            <w:tcW w:w="711" w:type="dxa"/>
            <w:tcBorders>
              <w:top w:val="single" w:sz="8" w:space="0" w:color="000000"/>
            </w:tcBorders>
          </w:tcPr>
          <w:p>
            <w:pPr>
              <w:pStyle w:val="TableParagraph"/>
              <w:spacing w:before="16"/>
              <w:ind w:left="0"/>
              <w:rPr>
                <w:rFonts w:ascii="微软雅黑"/>
                <w:b/>
                <w:sz w:val="10"/>
              </w:rPr>
            </w:pPr>
          </w:p>
          <w:p>
            <w:pPr>
              <w:pStyle w:val="TableParagraph"/>
              <w:spacing w:before="0"/>
              <w:ind w:left="107"/>
              <w:rPr>
                <w:b/>
                <w:sz w:val="21"/>
              </w:rPr>
            </w:pPr>
            <w:r>
              <w:rPr>
                <w:b/>
                <w:sz w:val="21"/>
              </w:rPr>
              <w:t>3.1</w:t>
            </w:r>
          </w:p>
        </w:tc>
        <w:tc>
          <w:tcPr>
            <w:tcW w:w="1716" w:type="dxa"/>
            <w:tcBorders>
              <w:top w:val="single" w:sz="8" w:space="0" w:color="000000"/>
            </w:tcBorders>
          </w:tcPr>
          <w:p>
            <w:pPr>
              <w:pStyle w:val="TableParagraph"/>
              <w:spacing w:before="16"/>
              <w:ind w:left="0"/>
              <w:rPr>
                <w:rFonts w:ascii="微软雅黑"/>
                <w:b/>
                <w:sz w:val="10"/>
              </w:rPr>
            </w:pPr>
          </w:p>
          <w:p>
            <w:pPr>
              <w:pStyle w:val="TableParagraph"/>
              <w:spacing w:before="0"/>
              <w:ind w:left="246"/>
              <w:rPr>
                <w:b/>
                <w:sz w:val="21"/>
              </w:rPr>
            </w:pPr>
            <w:r>
              <w:rPr>
                <w:b/>
                <w:sz w:val="21"/>
              </w:rPr>
              <w:t>保险费的支付</w:t>
            </w:r>
          </w:p>
        </w:tc>
        <w:tc>
          <w:tcPr>
            <w:tcW w:w="6395" w:type="dxa"/>
            <w:tcBorders>
              <w:top w:val="single" w:sz="8" w:space="0" w:color="000000"/>
            </w:tcBorders>
          </w:tcPr>
          <w:p>
            <w:pPr>
              <w:pStyle w:val="TableParagraph"/>
              <w:spacing w:before="14"/>
              <w:ind w:left="0"/>
              <w:rPr>
                <w:rFonts w:ascii="微软雅黑"/>
                <w:b/>
                <w:sz w:val="14"/>
              </w:rPr>
            </w:pPr>
          </w:p>
          <w:p>
            <w:pPr>
              <w:pStyle w:val="TableParagraph"/>
              <w:spacing w:line="314" w:lineRule="auto" w:before="1"/>
              <w:ind w:left="203" w:right="126"/>
              <w:rPr>
                <w:sz w:val="21"/>
              </w:rPr>
            </w:pPr>
            <w:r>
              <w:rPr>
                <w:sz w:val="21"/>
              </w:rPr>
              <w:t>本合同的保险费须于投保或续保时一次交清。保险期间不满一年的，本公司按照</w:t>
            </w:r>
            <w:r>
              <w:rPr>
                <w:b/>
                <w:sz w:val="21"/>
              </w:rPr>
              <w:t>极短期保险费</w:t>
            </w:r>
            <w:r>
              <w:rPr>
                <w:sz w:val="21"/>
              </w:rPr>
              <w:t>（见释义 6.11）收取保险费。</w:t>
            </w:r>
          </w:p>
        </w:tc>
      </w:tr>
      <w:tr>
        <w:trPr>
          <w:trHeight w:val="1679" w:hRule="atLeast"/>
        </w:trPr>
        <w:tc>
          <w:tcPr>
            <w:tcW w:w="711" w:type="dxa"/>
          </w:tcPr>
          <w:p>
            <w:pPr>
              <w:pStyle w:val="TableParagraph"/>
              <w:spacing w:before="150"/>
              <w:ind w:left="107"/>
              <w:rPr>
                <w:b/>
                <w:sz w:val="21"/>
              </w:rPr>
            </w:pPr>
            <w:r>
              <w:rPr>
                <w:b/>
                <w:sz w:val="21"/>
              </w:rPr>
              <w:t>3.2</w:t>
            </w:r>
          </w:p>
        </w:tc>
        <w:tc>
          <w:tcPr>
            <w:tcW w:w="1716" w:type="dxa"/>
          </w:tcPr>
          <w:p>
            <w:pPr>
              <w:pStyle w:val="TableParagraph"/>
              <w:spacing w:before="150"/>
              <w:ind w:left="246"/>
              <w:rPr>
                <w:b/>
                <w:sz w:val="21"/>
              </w:rPr>
            </w:pPr>
            <w:r>
              <w:rPr>
                <w:b/>
                <w:sz w:val="21"/>
              </w:rPr>
              <w:t>续保</w:t>
            </w:r>
          </w:p>
        </w:tc>
        <w:tc>
          <w:tcPr>
            <w:tcW w:w="6395" w:type="dxa"/>
          </w:tcPr>
          <w:p>
            <w:pPr>
              <w:pStyle w:val="TableParagraph"/>
              <w:spacing w:line="273" w:lineRule="auto" w:before="150"/>
              <w:ind w:left="203" w:right="101"/>
              <w:jc w:val="both"/>
              <w:rPr>
                <w:sz w:val="21"/>
              </w:rPr>
            </w:pPr>
            <w:r>
              <w:rPr>
                <w:sz w:val="21"/>
              </w:rPr>
              <w:t>在保险期间届满时，投保人提出申请，经本公司同意后可续保本合同。本公司有权调整本保险的保险费率，经调整的保险费率将通知投保人，自续保起适用。</w:t>
            </w:r>
          </w:p>
          <w:p>
            <w:pPr>
              <w:pStyle w:val="TableParagraph"/>
              <w:spacing w:line="312" w:lineRule="exact" w:before="3"/>
              <w:ind w:left="203" w:right="99"/>
              <w:jc w:val="both"/>
              <w:rPr>
                <w:sz w:val="21"/>
              </w:rPr>
            </w:pPr>
            <w:r>
              <w:rPr>
                <w:sz w:val="21"/>
              </w:rPr>
              <w:t>凡已发生保险事故的被保险人，本合同续保时，不得增加该被保险人保险金额。</w:t>
            </w:r>
          </w:p>
        </w:tc>
      </w:tr>
    </w:tbl>
    <w:p>
      <w:pPr>
        <w:spacing w:after="0" w:line="312" w:lineRule="exact"/>
        <w:jc w:val="both"/>
        <w:rPr>
          <w:sz w:val="21"/>
        </w:rPr>
        <w:sectPr>
          <w:pgSz w:w="11910" w:h="16840"/>
          <w:pgMar w:header="0" w:footer="1121" w:top="1480" w:bottom="1320" w:left="1580" w:right="12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716"/>
        <w:gridCol w:w="6397"/>
      </w:tblGrid>
      <w:tr>
        <w:trPr>
          <w:trHeight w:val="522" w:hRule="atLeast"/>
        </w:trPr>
        <w:tc>
          <w:tcPr>
            <w:tcW w:w="711" w:type="dxa"/>
            <w:tcBorders>
              <w:bottom w:val="single" w:sz="8" w:space="0" w:color="000000"/>
            </w:tcBorders>
          </w:tcPr>
          <w:p>
            <w:pPr>
              <w:pStyle w:val="TableParagraph"/>
              <w:spacing w:line="423" w:lineRule="exact" w:before="0"/>
              <w:ind w:left="107"/>
              <w:rPr>
                <w:rFonts w:ascii="Arial" w:hAnsi="Arial"/>
                <w:b/>
                <w:sz w:val="40"/>
              </w:rPr>
            </w:pPr>
            <w:r>
              <w:rPr>
                <w:rFonts w:ascii="Arial" w:hAnsi="Arial"/>
                <w:b/>
                <w:w w:val="119"/>
                <w:sz w:val="40"/>
              </w:rPr>
              <w:t></w:t>
            </w:r>
          </w:p>
        </w:tc>
        <w:tc>
          <w:tcPr>
            <w:tcW w:w="8113" w:type="dxa"/>
            <w:gridSpan w:val="2"/>
            <w:tcBorders>
              <w:bottom w:val="single" w:sz="8" w:space="0" w:color="000000"/>
            </w:tcBorders>
          </w:tcPr>
          <w:p>
            <w:pPr>
              <w:pStyle w:val="TableParagraph"/>
              <w:spacing w:before="14"/>
              <w:ind w:left="246"/>
              <w:rPr>
                <w:b/>
                <w:sz w:val="24"/>
              </w:rPr>
            </w:pPr>
            <w:r>
              <w:rPr>
                <w:b/>
                <w:w w:val="95"/>
                <w:sz w:val="24"/>
              </w:rPr>
              <w:t>如何申请领取保险金</w:t>
            </w:r>
          </w:p>
        </w:tc>
      </w:tr>
      <w:tr>
        <w:trPr>
          <w:trHeight w:val="1608" w:hRule="atLeast"/>
        </w:trPr>
        <w:tc>
          <w:tcPr>
            <w:tcW w:w="711" w:type="dxa"/>
            <w:tcBorders>
              <w:top w:val="single" w:sz="8" w:space="0" w:color="000000"/>
            </w:tcBorders>
          </w:tcPr>
          <w:p>
            <w:pPr>
              <w:pStyle w:val="TableParagraph"/>
              <w:spacing w:before="5"/>
              <w:ind w:left="0"/>
              <w:rPr>
                <w:rFonts w:ascii="微软雅黑"/>
                <w:b/>
                <w:sz w:val="11"/>
              </w:rPr>
            </w:pPr>
          </w:p>
          <w:p>
            <w:pPr>
              <w:pStyle w:val="TableParagraph"/>
              <w:spacing w:before="1"/>
              <w:ind w:left="107"/>
              <w:rPr>
                <w:b/>
                <w:sz w:val="21"/>
              </w:rPr>
            </w:pPr>
            <w:r>
              <w:rPr>
                <w:b/>
                <w:sz w:val="21"/>
              </w:rPr>
              <w:t>4.1</w:t>
            </w:r>
          </w:p>
        </w:tc>
        <w:tc>
          <w:tcPr>
            <w:tcW w:w="1716" w:type="dxa"/>
            <w:tcBorders>
              <w:top w:val="single" w:sz="8" w:space="0" w:color="000000"/>
            </w:tcBorders>
          </w:tcPr>
          <w:p>
            <w:pPr>
              <w:pStyle w:val="TableParagraph"/>
              <w:spacing w:before="5"/>
              <w:ind w:left="0"/>
              <w:rPr>
                <w:rFonts w:ascii="微软雅黑"/>
                <w:b/>
                <w:sz w:val="11"/>
              </w:rPr>
            </w:pPr>
          </w:p>
          <w:p>
            <w:pPr>
              <w:pStyle w:val="TableParagraph"/>
              <w:spacing w:before="1"/>
              <w:ind w:left="246"/>
              <w:rPr>
                <w:b/>
                <w:sz w:val="21"/>
              </w:rPr>
            </w:pPr>
            <w:r>
              <w:rPr>
                <w:b/>
                <w:sz w:val="21"/>
              </w:rPr>
              <w:t>保险金受益人</w:t>
            </w:r>
          </w:p>
        </w:tc>
        <w:tc>
          <w:tcPr>
            <w:tcW w:w="6397" w:type="dxa"/>
            <w:tcBorders>
              <w:top w:val="single" w:sz="8" w:space="0" w:color="000000"/>
            </w:tcBorders>
          </w:tcPr>
          <w:p>
            <w:pPr>
              <w:pStyle w:val="TableParagraph"/>
              <w:spacing w:before="5"/>
              <w:ind w:left="0"/>
              <w:rPr>
                <w:rFonts w:ascii="微软雅黑"/>
                <w:b/>
                <w:sz w:val="11"/>
              </w:rPr>
            </w:pPr>
          </w:p>
          <w:p>
            <w:pPr>
              <w:pStyle w:val="TableParagraph"/>
              <w:spacing w:before="1"/>
              <w:ind w:left="203"/>
              <w:rPr>
                <w:sz w:val="21"/>
              </w:rPr>
            </w:pPr>
            <w:r>
              <w:rPr>
                <w:sz w:val="21"/>
              </w:rPr>
              <w:t>除另有约定外，本合同保险金的受益人为被保险人本人。</w:t>
            </w:r>
          </w:p>
          <w:p>
            <w:pPr>
              <w:pStyle w:val="TableParagraph"/>
              <w:spacing w:line="273" w:lineRule="auto"/>
              <w:ind w:left="203" w:right="204"/>
              <w:rPr>
                <w:sz w:val="21"/>
              </w:rPr>
            </w:pPr>
            <w:r>
              <w:rPr>
                <w:spacing w:val="-3"/>
                <w:sz w:val="21"/>
              </w:rPr>
              <w:t>被保险人初次发生且经专科医生明确诊断患本合同所定义的重大</w:t>
            </w:r>
            <w:r>
              <w:rPr>
                <w:spacing w:val="-7"/>
                <w:sz w:val="21"/>
              </w:rPr>
              <w:t>疾病，并且自确诊之日起 </w:t>
            </w:r>
            <w:r>
              <w:rPr>
                <w:sz w:val="21"/>
              </w:rPr>
              <w:t>30</w:t>
            </w:r>
            <w:r>
              <w:rPr>
                <w:spacing w:val="-8"/>
                <w:sz w:val="21"/>
              </w:rPr>
              <w:t> 天后仍生存，但未及领取保险金而身</w:t>
            </w:r>
            <w:r>
              <w:rPr>
                <w:spacing w:val="-5"/>
                <w:sz w:val="21"/>
              </w:rPr>
              <w:t>故时，保险金作为被保险人的遗产处理。</w:t>
            </w:r>
          </w:p>
        </w:tc>
      </w:tr>
      <w:tr>
        <w:trPr>
          <w:trHeight w:val="2189" w:hRule="atLeast"/>
        </w:trPr>
        <w:tc>
          <w:tcPr>
            <w:tcW w:w="711" w:type="dxa"/>
          </w:tcPr>
          <w:p>
            <w:pPr>
              <w:pStyle w:val="TableParagraph"/>
              <w:spacing w:before="147"/>
              <w:ind w:left="107"/>
              <w:rPr>
                <w:b/>
                <w:sz w:val="21"/>
              </w:rPr>
            </w:pPr>
            <w:r>
              <w:rPr>
                <w:b/>
                <w:sz w:val="21"/>
              </w:rPr>
              <w:t>4.2</w:t>
            </w:r>
          </w:p>
        </w:tc>
        <w:tc>
          <w:tcPr>
            <w:tcW w:w="1716" w:type="dxa"/>
          </w:tcPr>
          <w:p>
            <w:pPr>
              <w:pStyle w:val="TableParagraph"/>
              <w:spacing w:before="147"/>
              <w:ind w:left="246"/>
              <w:rPr>
                <w:b/>
                <w:sz w:val="21"/>
              </w:rPr>
            </w:pPr>
            <w:r>
              <w:rPr>
                <w:b/>
                <w:sz w:val="21"/>
              </w:rPr>
              <w:t>保险事故通知</w:t>
            </w:r>
          </w:p>
        </w:tc>
        <w:tc>
          <w:tcPr>
            <w:tcW w:w="6397" w:type="dxa"/>
          </w:tcPr>
          <w:p>
            <w:pPr>
              <w:pStyle w:val="TableParagraph"/>
              <w:spacing w:before="136"/>
              <w:ind w:left="203"/>
              <w:rPr>
                <w:i/>
                <w:sz w:val="22"/>
              </w:rPr>
            </w:pPr>
            <w:r>
              <w:rPr>
                <w:sz w:val="21"/>
              </w:rPr>
              <w:t>投保人或受益人知道保险事故后应当在 10 日内通知本公司</w:t>
            </w:r>
            <w:r>
              <w:rPr>
                <w:i/>
                <w:sz w:val="22"/>
              </w:rPr>
              <w:t>。</w:t>
            </w:r>
          </w:p>
          <w:p>
            <w:pPr>
              <w:pStyle w:val="TableParagraph"/>
              <w:spacing w:line="273" w:lineRule="auto" w:before="36"/>
              <w:ind w:left="203" w:right="101"/>
              <w:rPr>
                <w:sz w:val="21"/>
              </w:rPr>
            </w:pPr>
            <w:r>
              <w:rPr>
                <w:spacing w:val="-4"/>
                <w:sz w:val="21"/>
              </w:rPr>
              <w:t>如果投保人或受益人故意或者因重大过失未及时通知，致使保险事故的性质、原因、损失程度等难以确定的，本公司对无法确定的部分，不承担给付保险金的责任，但本公司通过其他途径已经及时知</w:t>
            </w:r>
            <w:r>
              <w:rPr>
                <w:spacing w:val="-3"/>
                <w:sz w:val="21"/>
              </w:rPr>
              <w:t>道或者应当及时知道保险事故发生或者虽未及时通知但不影响本 公司确定保险事故的性质、原因、损失程度的除外。</w:t>
            </w:r>
          </w:p>
        </w:tc>
      </w:tr>
      <w:tr>
        <w:trPr>
          <w:trHeight w:val="3432" w:hRule="atLeast"/>
        </w:trPr>
        <w:tc>
          <w:tcPr>
            <w:tcW w:w="711" w:type="dxa"/>
          </w:tcPr>
          <w:p>
            <w:pPr>
              <w:pStyle w:val="TableParagraph"/>
              <w:spacing w:before="142"/>
              <w:ind w:left="107"/>
              <w:rPr>
                <w:b/>
                <w:sz w:val="21"/>
              </w:rPr>
            </w:pPr>
            <w:r>
              <w:rPr>
                <w:b/>
                <w:sz w:val="21"/>
              </w:rPr>
              <w:t>4.3</w:t>
            </w:r>
          </w:p>
        </w:tc>
        <w:tc>
          <w:tcPr>
            <w:tcW w:w="1716" w:type="dxa"/>
          </w:tcPr>
          <w:p>
            <w:pPr>
              <w:pStyle w:val="TableParagraph"/>
              <w:spacing w:before="142"/>
              <w:ind w:left="246"/>
              <w:rPr>
                <w:b/>
                <w:sz w:val="21"/>
              </w:rPr>
            </w:pPr>
            <w:r>
              <w:rPr>
                <w:b/>
                <w:sz w:val="21"/>
              </w:rPr>
              <w:t>保险金申请</w:t>
            </w:r>
          </w:p>
        </w:tc>
        <w:tc>
          <w:tcPr>
            <w:tcW w:w="6397" w:type="dxa"/>
          </w:tcPr>
          <w:p>
            <w:pPr>
              <w:pStyle w:val="TableParagraph"/>
              <w:spacing w:before="142"/>
              <w:ind w:left="203"/>
              <w:rPr>
                <w:sz w:val="21"/>
              </w:rPr>
            </w:pPr>
            <w:r>
              <w:rPr>
                <w:sz w:val="21"/>
              </w:rPr>
              <w:t>申请人须填写保险金给付申请书，并须提供下列证明和资料：</w:t>
            </w:r>
          </w:p>
          <w:p>
            <w:pPr>
              <w:pStyle w:val="TableParagraph"/>
              <w:numPr>
                <w:ilvl w:val="0"/>
                <w:numId w:val="6"/>
              </w:numPr>
              <w:tabs>
                <w:tab w:pos="564" w:val="left" w:leader="none"/>
              </w:tabs>
              <w:spacing w:line="240" w:lineRule="auto" w:before="36" w:after="0"/>
              <w:ind w:left="563" w:right="0" w:hanging="360"/>
              <w:jc w:val="left"/>
              <w:rPr>
                <w:sz w:val="21"/>
              </w:rPr>
            </w:pPr>
            <w:r>
              <w:rPr>
                <w:spacing w:val="-1"/>
                <w:sz w:val="21"/>
              </w:rPr>
              <w:t>保险合同；</w:t>
            </w:r>
          </w:p>
          <w:p>
            <w:pPr>
              <w:pStyle w:val="TableParagraph"/>
              <w:numPr>
                <w:ilvl w:val="0"/>
                <w:numId w:val="6"/>
              </w:numPr>
              <w:tabs>
                <w:tab w:pos="564" w:val="left" w:leader="none"/>
              </w:tabs>
              <w:spacing w:line="240" w:lineRule="auto" w:before="36" w:after="0"/>
              <w:ind w:left="563" w:right="0" w:hanging="360"/>
              <w:jc w:val="left"/>
              <w:rPr>
                <w:sz w:val="21"/>
              </w:rPr>
            </w:pPr>
            <w:r>
              <w:rPr>
                <w:spacing w:val="-2"/>
                <w:w w:val="100"/>
                <w:sz w:val="21"/>
              </w:rPr>
              <w:t>申请人的</w:t>
            </w:r>
            <w:r>
              <w:rPr>
                <w:b/>
                <w:w w:val="100"/>
                <w:sz w:val="21"/>
              </w:rPr>
              <w:t>有效身份证件</w:t>
            </w:r>
            <w:r>
              <w:rPr>
                <w:spacing w:val="-3"/>
                <w:w w:val="100"/>
                <w:sz w:val="21"/>
              </w:rPr>
              <w:t>（</w:t>
            </w:r>
            <w:r>
              <w:rPr>
                <w:spacing w:val="-2"/>
                <w:w w:val="100"/>
                <w:sz w:val="21"/>
              </w:rPr>
              <w:t>见释义</w:t>
            </w:r>
            <w:r>
              <w:rPr>
                <w:spacing w:val="-53"/>
                <w:sz w:val="21"/>
              </w:rPr>
              <w:t> </w:t>
            </w:r>
            <w:r>
              <w:rPr>
                <w:rFonts w:ascii="Times New Roman" w:eastAsia="Times New Roman"/>
                <w:w w:val="100"/>
                <w:sz w:val="21"/>
              </w:rPr>
              <w:t>6.1</w:t>
            </w:r>
            <w:r>
              <w:rPr>
                <w:rFonts w:ascii="Times New Roman" w:eastAsia="Times New Roman"/>
                <w:spacing w:val="-3"/>
                <w:w w:val="100"/>
                <w:sz w:val="21"/>
              </w:rPr>
              <w:t>2</w:t>
            </w:r>
            <w:r>
              <w:rPr>
                <w:spacing w:val="-106"/>
                <w:w w:val="100"/>
                <w:sz w:val="21"/>
              </w:rPr>
              <w:t>）</w:t>
            </w:r>
            <w:r>
              <w:rPr>
                <w:w w:val="100"/>
                <w:sz w:val="21"/>
              </w:rPr>
              <w:t>；</w:t>
            </w:r>
          </w:p>
          <w:p>
            <w:pPr>
              <w:pStyle w:val="TableParagraph"/>
              <w:numPr>
                <w:ilvl w:val="0"/>
                <w:numId w:val="6"/>
              </w:numPr>
              <w:tabs>
                <w:tab w:pos="564" w:val="left" w:leader="none"/>
              </w:tabs>
              <w:spacing w:line="273" w:lineRule="auto" w:before="20" w:after="0"/>
              <w:ind w:left="563" w:right="103" w:hanging="360"/>
              <w:jc w:val="both"/>
              <w:rPr>
                <w:sz w:val="21"/>
              </w:rPr>
            </w:pPr>
            <w:r>
              <w:rPr>
                <w:spacing w:val="-7"/>
                <w:sz w:val="21"/>
              </w:rPr>
              <w:t>专科医生出具的诊断证明书(包括：完整病历、出院小结、病理</w:t>
            </w:r>
            <w:r>
              <w:rPr>
                <w:spacing w:val="-5"/>
                <w:sz w:val="21"/>
              </w:rPr>
              <w:t>组织检查报告、血液检查及其它科学方法检验报告的病史资料</w:t>
            </w:r>
            <w:r>
              <w:rPr>
                <w:spacing w:val="-3"/>
                <w:sz w:val="21"/>
              </w:rPr>
              <w:t>及疾病诊断报告书)；</w:t>
            </w:r>
          </w:p>
          <w:p>
            <w:pPr>
              <w:pStyle w:val="TableParagraph"/>
              <w:numPr>
                <w:ilvl w:val="0"/>
                <w:numId w:val="6"/>
              </w:numPr>
              <w:tabs>
                <w:tab w:pos="564" w:val="left" w:leader="none"/>
              </w:tabs>
              <w:spacing w:line="273" w:lineRule="auto" w:before="7" w:after="0"/>
              <w:ind w:left="563" w:right="154" w:hanging="360"/>
              <w:jc w:val="left"/>
              <w:rPr>
                <w:sz w:val="21"/>
              </w:rPr>
            </w:pPr>
            <w:r>
              <w:rPr>
                <w:spacing w:val="-3"/>
                <w:sz w:val="21"/>
              </w:rPr>
              <w:t>所能提供的与确认保险事故的性质、原因等有关的其他证明和资料。</w:t>
            </w:r>
          </w:p>
          <w:p>
            <w:pPr>
              <w:pStyle w:val="TableParagraph"/>
              <w:spacing w:line="273" w:lineRule="auto" w:before="8"/>
              <w:ind w:left="203" w:right="101" w:firstLine="420"/>
              <w:rPr>
                <w:sz w:val="21"/>
              </w:rPr>
            </w:pPr>
            <w:r>
              <w:rPr>
                <w:sz w:val="21"/>
              </w:rPr>
              <w:t>以上证明和资料不完整的，本公司将及时一次性通知申请人补充提供有关证明和资料。</w:t>
            </w:r>
          </w:p>
        </w:tc>
      </w:tr>
      <w:tr>
        <w:trPr>
          <w:trHeight w:val="4056" w:hRule="atLeast"/>
        </w:trPr>
        <w:tc>
          <w:tcPr>
            <w:tcW w:w="711" w:type="dxa"/>
          </w:tcPr>
          <w:p>
            <w:pPr>
              <w:pStyle w:val="TableParagraph"/>
              <w:spacing w:before="142"/>
              <w:ind w:left="107"/>
              <w:rPr>
                <w:b/>
                <w:sz w:val="21"/>
              </w:rPr>
            </w:pPr>
            <w:r>
              <w:rPr>
                <w:b/>
                <w:sz w:val="21"/>
              </w:rPr>
              <w:t>4.4</w:t>
            </w:r>
          </w:p>
        </w:tc>
        <w:tc>
          <w:tcPr>
            <w:tcW w:w="1716" w:type="dxa"/>
          </w:tcPr>
          <w:p>
            <w:pPr>
              <w:pStyle w:val="TableParagraph"/>
              <w:spacing w:before="142"/>
              <w:ind w:left="246"/>
              <w:rPr>
                <w:b/>
                <w:sz w:val="21"/>
              </w:rPr>
            </w:pPr>
            <w:r>
              <w:rPr>
                <w:b/>
                <w:sz w:val="21"/>
              </w:rPr>
              <w:t>保险金给付</w:t>
            </w:r>
          </w:p>
        </w:tc>
        <w:tc>
          <w:tcPr>
            <w:tcW w:w="6397" w:type="dxa"/>
          </w:tcPr>
          <w:p>
            <w:pPr>
              <w:pStyle w:val="TableParagraph"/>
              <w:spacing w:before="142"/>
              <w:ind w:left="203"/>
              <w:rPr>
                <w:sz w:val="21"/>
              </w:rPr>
            </w:pPr>
            <w:r>
              <w:rPr>
                <w:sz w:val="21"/>
              </w:rPr>
              <w:t>本公司在收到保险金给付申请书及合同约定的证明和资料后，将在</w:t>
            </w:r>
          </w:p>
          <w:p>
            <w:pPr>
              <w:pStyle w:val="TableParagraph"/>
              <w:spacing w:before="36"/>
              <w:ind w:left="203"/>
              <w:rPr>
                <w:sz w:val="21"/>
              </w:rPr>
            </w:pPr>
            <w:r>
              <w:rPr>
                <w:sz w:val="21"/>
              </w:rPr>
              <w:t>5 日内作出核定；情形复杂的，在 30 日内作出核定。</w:t>
            </w:r>
          </w:p>
          <w:p>
            <w:pPr>
              <w:pStyle w:val="TableParagraph"/>
              <w:spacing w:line="273" w:lineRule="auto" w:before="36"/>
              <w:ind w:left="203" w:right="106"/>
              <w:rPr>
                <w:sz w:val="21"/>
              </w:rPr>
            </w:pPr>
            <w:r>
              <w:rPr>
                <w:spacing w:val="-11"/>
                <w:sz w:val="21"/>
              </w:rPr>
              <w:t>对属于保险责任的，本公司在与受益人达成给付保险金的协议后 </w:t>
            </w:r>
            <w:r>
              <w:rPr>
                <w:spacing w:val="-3"/>
                <w:sz w:val="21"/>
              </w:rPr>
              <w:t>10 日内，履行给付保险金义务。</w:t>
            </w:r>
          </w:p>
          <w:p>
            <w:pPr>
              <w:pStyle w:val="TableParagraph"/>
              <w:spacing w:line="273" w:lineRule="auto" w:before="7"/>
              <w:ind w:left="203" w:right="103"/>
              <w:rPr>
                <w:sz w:val="21"/>
              </w:rPr>
            </w:pPr>
            <w:r>
              <w:rPr>
                <w:sz w:val="21"/>
              </w:rPr>
              <w:t>本公司未及时履行前款规定义务的，除支付保险金外，应当赔偿受益人因此受到的损失。</w:t>
            </w:r>
          </w:p>
          <w:p>
            <w:pPr>
              <w:pStyle w:val="TableParagraph"/>
              <w:spacing w:line="273" w:lineRule="auto" w:before="7"/>
              <w:ind w:left="203" w:right="101"/>
              <w:rPr>
                <w:sz w:val="21"/>
              </w:rPr>
            </w:pPr>
            <w:r>
              <w:rPr>
                <w:spacing w:val="-6"/>
                <w:sz w:val="21"/>
              </w:rPr>
              <w:t>对不属于保险责任的，本公司自作出核定之日起 </w:t>
            </w:r>
            <w:r>
              <w:rPr>
                <w:sz w:val="21"/>
              </w:rPr>
              <w:t>3</w:t>
            </w:r>
            <w:r>
              <w:rPr>
                <w:spacing w:val="-7"/>
                <w:sz w:val="21"/>
              </w:rPr>
              <w:t> 日内向受益人发</w:t>
            </w:r>
            <w:r>
              <w:rPr>
                <w:spacing w:val="-5"/>
                <w:sz w:val="21"/>
              </w:rPr>
              <w:t>出拒绝给付保险金通知书并说明理由。</w:t>
            </w:r>
          </w:p>
          <w:p>
            <w:pPr>
              <w:pStyle w:val="TableParagraph"/>
              <w:spacing w:line="273" w:lineRule="auto" w:before="7"/>
              <w:ind w:left="203" w:right="-15"/>
              <w:rPr>
                <w:sz w:val="21"/>
              </w:rPr>
            </w:pPr>
            <w:r>
              <w:rPr>
                <w:spacing w:val="-5"/>
                <w:sz w:val="21"/>
              </w:rPr>
              <w:t>本公司在收到保险金给付申请书及有关证明和资料之日起 </w:t>
            </w:r>
            <w:r>
              <w:rPr>
                <w:sz w:val="21"/>
              </w:rPr>
              <w:t>60</w:t>
            </w:r>
            <w:r>
              <w:rPr>
                <w:spacing w:val="-12"/>
                <w:sz w:val="21"/>
              </w:rPr>
              <w:t> 日内， </w:t>
            </w:r>
            <w:r>
              <w:rPr>
                <w:spacing w:val="-7"/>
                <w:sz w:val="21"/>
              </w:rPr>
              <w:t>对给付保险金的数额不能确定的，根据已有证明和资料可以确定的</w:t>
            </w:r>
            <w:r>
              <w:rPr>
                <w:spacing w:val="-5"/>
                <w:sz w:val="21"/>
              </w:rPr>
              <w:t>数额先予支付；本公司最终确定给付保险金的数额后，将支付相应</w:t>
            </w:r>
            <w:r>
              <w:rPr>
                <w:spacing w:val="-4"/>
                <w:sz w:val="21"/>
              </w:rPr>
              <w:t>的差额。</w:t>
            </w:r>
          </w:p>
        </w:tc>
      </w:tr>
      <w:tr>
        <w:trPr>
          <w:trHeight w:val="960" w:hRule="atLeast"/>
        </w:trPr>
        <w:tc>
          <w:tcPr>
            <w:tcW w:w="711" w:type="dxa"/>
          </w:tcPr>
          <w:p>
            <w:pPr>
              <w:pStyle w:val="TableParagraph"/>
              <w:spacing w:before="142"/>
              <w:ind w:left="107"/>
              <w:rPr>
                <w:b/>
                <w:sz w:val="21"/>
              </w:rPr>
            </w:pPr>
            <w:r>
              <w:rPr>
                <w:b/>
                <w:sz w:val="21"/>
              </w:rPr>
              <w:t>4.5</w:t>
            </w:r>
          </w:p>
        </w:tc>
        <w:tc>
          <w:tcPr>
            <w:tcW w:w="1716" w:type="dxa"/>
          </w:tcPr>
          <w:p>
            <w:pPr>
              <w:pStyle w:val="TableParagraph"/>
              <w:spacing w:before="142"/>
              <w:ind w:left="246"/>
              <w:rPr>
                <w:b/>
                <w:sz w:val="21"/>
              </w:rPr>
            </w:pPr>
            <w:r>
              <w:rPr>
                <w:b/>
                <w:sz w:val="21"/>
              </w:rPr>
              <w:t>诉讼时效</w:t>
            </w:r>
          </w:p>
        </w:tc>
        <w:tc>
          <w:tcPr>
            <w:tcW w:w="6397" w:type="dxa"/>
          </w:tcPr>
          <w:p>
            <w:pPr>
              <w:pStyle w:val="TableParagraph"/>
              <w:spacing w:line="273" w:lineRule="auto" w:before="142"/>
              <w:ind w:left="203" w:right="103"/>
              <w:rPr>
                <w:sz w:val="21"/>
              </w:rPr>
            </w:pPr>
            <w:r>
              <w:rPr>
                <w:spacing w:val="-5"/>
                <w:sz w:val="21"/>
              </w:rPr>
              <w:t>受益人向本公司请求给付保险金的诉讼时效期间为 </w:t>
            </w:r>
            <w:r>
              <w:rPr>
                <w:sz w:val="21"/>
              </w:rPr>
              <w:t>2</w:t>
            </w:r>
            <w:r>
              <w:rPr>
                <w:spacing w:val="-9"/>
                <w:sz w:val="21"/>
              </w:rPr>
              <w:t> 年，自其知道</w:t>
            </w:r>
            <w:r>
              <w:rPr>
                <w:spacing w:val="-5"/>
                <w:sz w:val="21"/>
              </w:rPr>
              <w:t>或者应当知道保险事故发生之日起计算。</w:t>
            </w:r>
          </w:p>
        </w:tc>
      </w:tr>
      <w:tr>
        <w:trPr>
          <w:trHeight w:val="753" w:hRule="atLeast"/>
        </w:trPr>
        <w:tc>
          <w:tcPr>
            <w:tcW w:w="711"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1716" w:type="dxa"/>
            <w:tcBorders>
              <w:bottom w:val="single" w:sz="8" w:space="0" w:color="000000"/>
            </w:tcBorders>
          </w:tcPr>
          <w:p>
            <w:pPr>
              <w:pStyle w:val="TableParagraph"/>
              <w:spacing w:before="3"/>
              <w:ind w:left="0"/>
              <w:rPr>
                <w:rFonts w:ascii="微软雅黑"/>
                <w:b/>
                <w:sz w:val="14"/>
              </w:rPr>
            </w:pPr>
          </w:p>
          <w:p>
            <w:pPr>
              <w:pStyle w:val="TableParagraph"/>
              <w:spacing w:before="1"/>
              <w:ind w:left="246"/>
              <w:rPr>
                <w:b/>
                <w:sz w:val="24"/>
              </w:rPr>
            </w:pPr>
            <w:r>
              <w:rPr>
                <w:b/>
                <w:sz w:val="24"/>
              </w:rPr>
              <w:t>其他事项</w:t>
            </w:r>
          </w:p>
        </w:tc>
        <w:tc>
          <w:tcPr>
            <w:tcW w:w="6397" w:type="dxa"/>
            <w:tcBorders>
              <w:bottom w:val="single" w:sz="8" w:space="0" w:color="000000"/>
            </w:tcBorders>
          </w:tcPr>
          <w:p>
            <w:pPr>
              <w:pStyle w:val="TableParagraph"/>
              <w:spacing w:before="0"/>
              <w:ind w:left="0"/>
              <w:rPr>
                <w:rFonts w:ascii="Times New Roman"/>
                <w:sz w:val="20"/>
              </w:rPr>
            </w:pPr>
          </w:p>
        </w:tc>
      </w:tr>
    </w:tbl>
    <w:p>
      <w:pPr>
        <w:spacing w:after="0"/>
        <w:rPr>
          <w:rFonts w:ascii="Times New Roman"/>
          <w:sz w:val="20"/>
        </w:rPr>
        <w:sectPr>
          <w:pgSz w:w="11910" w:h="16840"/>
          <w:pgMar w:header="0" w:footer="1121" w:top="1520" w:bottom="1320" w:left="1580" w:right="12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737"/>
        <w:gridCol w:w="6500"/>
      </w:tblGrid>
      <w:tr>
        <w:trPr>
          <w:trHeight w:val="5404" w:hRule="atLeast"/>
        </w:trPr>
        <w:tc>
          <w:tcPr>
            <w:tcW w:w="783" w:type="dxa"/>
          </w:tcPr>
          <w:p>
            <w:pPr>
              <w:pStyle w:val="TableParagraph"/>
              <w:spacing w:line="204" w:lineRule="exact" w:before="0"/>
              <w:rPr>
                <w:b/>
                <w:sz w:val="21"/>
              </w:rPr>
            </w:pPr>
            <w:r>
              <w:rPr>
                <w:b/>
                <w:sz w:val="21"/>
              </w:rPr>
              <w:t>5.1</w:t>
            </w:r>
          </w:p>
        </w:tc>
        <w:tc>
          <w:tcPr>
            <w:tcW w:w="1737" w:type="dxa"/>
          </w:tcPr>
          <w:p>
            <w:pPr>
              <w:pStyle w:val="TableParagraph"/>
              <w:spacing w:line="204" w:lineRule="exact" w:before="0"/>
              <w:ind w:left="266"/>
              <w:rPr>
                <w:b/>
                <w:sz w:val="21"/>
              </w:rPr>
            </w:pPr>
            <w:r>
              <w:rPr>
                <w:b/>
                <w:sz w:val="21"/>
              </w:rPr>
              <w:t>明确说明与如</w:t>
            </w:r>
          </w:p>
          <w:p>
            <w:pPr>
              <w:pStyle w:val="TableParagraph"/>
              <w:ind w:left="266"/>
              <w:rPr>
                <w:b/>
                <w:sz w:val="21"/>
              </w:rPr>
            </w:pPr>
            <w:r>
              <w:rPr>
                <w:b/>
                <w:sz w:val="21"/>
              </w:rPr>
              <w:t>实告知</w:t>
            </w:r>
          </w:p>
        </w:tc>
        <w:tc>
          <w:tcPr>
            <w:tcW w:w="6500" w:type="dxa"/>
          </w:tcPr>
          <w:p>
            <w:pPr>
              <w:pStyle w:val="TableParagraph"/>
              <w:spacing w:line="204" w:lineRule="exact" w:before="0"/>
              <w:ind w:left="202"/>
              <w:rPr>
                <w:sz w:val="21"/>
              </w:rPr>
            </w:pPr>
            <w:r>
              <w:rPr>
                <w:sz w:val="21"/>
              </w:rPr>
              <w:t>订立本合同时，本公司应向投保人说明本合同的内容。</w:t>
            </w:r>
          </w:p>
          <w:p>
            <w:pPr>
              <w:pStyle w:val="TableParagraph"/>
              <w:spacing w:line="273" w:lineRule="auto"/>
              <w:ind w:left="202" w:right="204"/>
              <w:rPr>
                <w:sz w:val="21"/>
              </w:rPr>
            </w:pPr>
            <w:r>
              <w:rPr>
                <w:spacing w:val="-4"/>
                <w:sz w:val="21"/>
              </w:rPr>
              <w:t>对保险条款中免除本公司责任的条款，本公司在订立合同时应当在</w:t>
            </w:r>
            <w:r>
              <w:rPr>
                <w:spacing w:val="-5"/>
                <w:sz w:val="21"/>
              </w:rPr>
              <w:t>投保单、保险单或者其他保险凭证上作出足以引起投保人注意的提</w:t>
            </w:r>
            <w:r>
              <w:rPr>
                <w:spacing w:val="-4"/>
                <w:sz w:val="21"/>
              </w:rPr>
              <w:t>示，并对该条款的内容以书面或者口头形式向投保人作出明确说 </w:t>
            </w:r>
            <w:r>
              <w:rPr>
                <w:spacing w:val="-3"/>
                <w:sz w:val="21"/>
              </w:rPr>
              <w:t>明，未作提示或者明确说明的，该条款不产生效力。</w:t>
            </w:r>
          </w:p>
          <w:p>
            <w:pPr>
              <w:pStyle w:val="TableParagraph"/>
              <w:spacing w:line="273" w:lineRule="auto" w:before="7"/>
              <w:ind w:left="202" w:right="205"/>
              <w:jc w:val="both"/>
              <w:rPr>
                <w:sz w:val="21"/>
              </w:rPr>
            </w:pPr>
            <w:r>
              <w:rPr>
                <w:sz w:val="21"/>
              </w:rPr>
              <w:t>本公司就投保人和被保险人的有关情况提出询问，投保人应当如实告知。</w:t>
            </w:r>
          </w:p>
          <w:p>
            <w:pPr>
              <w:pStyle w:val="TableParagraph"/>
              <w:spacing w:line="273" w:lineRule="auto" w:before="7"/>
              <w:ind w:left="202" w:right="198"/>
              <w:jc w:val="both"/>
              <w:rPr>
                <w:sz w:val="21"/>
              </w:rPr>
            </w:pPr>
            <w:r>
              <w:rPr>
                <w:sz w:val="21"/>
              </w:rPr>
              <w:t>如果投保人故意或者因重大过失未履行前款规定的如实告知义务， 足以影响本公司决定是否同意承保或者提高保险费率的，本公司有权解除本合同。</w:t>
            </w:r>
          </w:p>
          <w:p>
            <w:pPr>
              <w:pStyle w:val="TableParagraph"/>
              <w:spacing w:line="273" w:lineRule="auto" w:before="7"/>
              <w:ind w:left="202" w:right="205"/>
              <w:jc w:val="both"/>
              <w:rPr>
                <w:sz w:val="21"/>
              </w:rPr>
            </w:pPr>
            <w:r>
              <w:rPr>
                <w:sz w:val="21"/>
              </w:rPr>
              <w:t>如果投保人故意不履行如实告知义务，对于本合同解除前发生的保险事故，本公司不承担给付保险金的责任，并不退还保险费。</w:t>
            </w:r>
          </w:p>
          <w:p>
            <w:pPr>
              <w:pStyle w:val="TableParagraph"/>
              <w:spacing w:line="273" w:lineRule="auto" w:before="8"/>
              <w:ind w:left="202" w:right="205"/>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p>
            <w:pPr>
              <w:pStyle w:val="TableParagraph"/>
              <w:spacing w:line="273" w:lineRule="auto" w:before="7"/>
              <w:ind w:left="202" w:right="200"/>
              <w:jc w:val="both"/>
              <w:rPr>
                <w:sz w:val="21"/>
              </w:rPr>
            </w:pPr>
            <w:r>
              <w:rPr>
                <w:sz w:val="21"/>
              </w:rPr>
              <w:t>本公司在合同订立时已经知道投保人未如实告知的情况的，本公司不得解除合同；发生保险事故的，本公司承担给付保险金的责任。</w:t>
            </w:r>
          </w:p>
        </w:tc>
      </w:tr>
      <w:tr>
        <w:trPr>
          <w:trHeight w:val="1242" w:hRule="atLeast"/>
        </w:trPr>
        <w:tc>
          <w:tcPr>
            <w:tcW w:w="783" w:type="dxa"/>
          </w:tcPr>
          <w:p>
            <w:pPr>
              <w:pStyle w:val="TableParagraph"/>
              <w:spacing w:before="129"/>
              <w:rPr>
                <w:b/>
                <w:sz w:val="21"/>
              </w:rPr>
            </w:pPr>
            <w:r>
              <w:rPr>
                <w:b/>
                <w:sz w:val="21"/>
              </w:rPr>
              <w:t>5.2</w:t>
            </w:r>
          </w:p>
        </w:tc>
        <w:tc>
          <w:tcPr>
            <w:tcW w:w="1737" w:type="dxa"/>
          </w:tcPr>
          <w:p>
            <w:pPr>
              <w:pStyle w:val="TableParagraph"/>
              <w:spacing w:line="273" w:lineRule="auto" w:before="129"/>
              <w:ind w:left="266" w:right="201"/>
              <w:rPr>
                <w:b/>
                <w:sz w:val="21"/>
              </w:rPr>
            </w:pPr>
            <w:r>
              <w:rPr>
                <w:b/>
                <w:sz w:val="21"/>
              </w:rPr>
              <w:t>本公司合同解除权的限制</w:t>
            </w:r>
          </w:p>
        </w:tc>
        <w:tc>
          <w:tcPr>
            <w:tcW w:w="6500" w:type="dxa"/>
          </w:tcPr>
          <w:p>
            <w:pPr>
              <w:pStyle w:val="TableParagraph"/>
              <w:spacing w:before="129"/>
              <w:ind w:left="202"/>
              <w:rPr>
                <w:sz w:val="21"/>
              </w:rPr>
            </w:pPr>
            <w:r>
              <w:rPr>
                <w:sz w:val="21"/>
              </w:rPr>
              <w:t>前条规定的合同解除权，自本公司知道有解除事由之日起，超过 30</w:t>
            </w:r>
          </w:p>
          <w:p>
            <w:pPr>
              <w:pStyle w:val="TableParagraph"/>
              <w:spacing w:line="273" w:lineRule="auto" w:before="36"/>
              <w:ind w:left="202" w:right="207"/>
              <w:rPr>
                <w:sz w:val="21"/>
              </w:rPr>
            </w:pPr>
            <w:r>
              <w:rPr>
                <w:spacing w:val="-6"/>
                <w:sz w:val="21"/>
              </w:rPr>
              <w:t>日不行使而消灭。自本合同成立之日起超过 </w:t>
            </w:r>
            <w:r>
              <w:rPr>
                <w:sz w:val="21"/>
              </w:rPr>
              <w:t>2</w:t>
            </w:r>
            <w:r>
              <w:rPr>
                <w:spacing w:val="-8"/>
                <w:sz w:val="21"/>
              </w:rPr>
              <w:t> 年的，本公司不得解</w:t>
            </w:r>
            <w:r>
              <w:rPr>
                <w:spacing w:val="-5"/>
                <w:sz w:val="21"/>
              </w:rPr>
              <w:t>除合同；发生保险事故的，本公司承担给付保险金的责任。</w:t>
            </w:r>
          </w:p>
        </w:tc>
      </w:tr>
      <w:tr>
        <w:trPr>
          <w:trHeight w:val="4325" w:hRule="atLeast"/>
        </w:trPr>
        <w:tc>
          <w:tcPr>
            <w:tcW w:w="783" w:type="dxa"/>
          </w:tcPr>
          <w:p>
            <w:pPr>
              <w:pStyle w:val="TableParagraph"/>
              <w:spacing w:before="135"/>
              <w:rPr>
                <w:b/>
                <w:sz w:val="21"/>
              </w:rPr>
            </w:pPr>
            <w:r>
              <w:rPr>
                <w:b/>
                <w:sz w:val="21"/>
              </w:rPr>
              <w:t>5.3</w:t>
            </w:r>
          </w:p>
        </w:tc>
        <w:tc>
          <w:tcPr>
            <w:tcW w:w="1737" w:type="dxa"/>
          </w:tcPr>
          <w:p>
            <w:pPr>
              <w:pStyle w:val="TableParagraph"/>
              <w:spacing w:before="135"/>
              <w:ind w:left="266"/>
              <w:rPr>
                <w:b/>
                <w:sz w:val="21"/>
              </w:rPr>
            </w:pPr>
            <w:r>
              <w:rPr>
                <w:b/>
                <w:sz w:val="21"/>
              </w:rPr>
              <w:t>年龄性别错误</w:t>
            </w:r>
          </w:p>
        </w:tc>
        <w:tc>
          <w:tcPr>
            <w:tcW w:w="6500" w:type="dxa"/>
          </w:tcPr>
          <w:p>
            <w:pPr>
              <w:pStyle w:val="TableParagraph"/>
              <w:spacing w:line="273" w:lineRule="auto" w:before="135"/>
              <w:ind w:left="202" w:right="200" w:firstLine="2"/>
              <w:rPr>
                <w:sz w:val="21"/>
              </w:rPr>
            </w:pPr>
            <w:r>
              <w:rPr>
                <w:sz w:val="21"/>
              </w:rPr>
              <w:t>投保人在申请投保时，应将与有效身份证件相符的被保险人的出生日期和性别在投保文件上填明，如果发生错误按照下列方式办理：</w:t>
            </w:r>
          </w:p>
          <w:p>
            <w:pPr>
              <w:pStyle w:val="TableParagraph"/>
              <w:spacing w:line="273" w:lineRule="auto" w:before="7"/>
              <w:ind w:left="706" w:right="205" w:hanging="504"/>
              <w:rPr>
                <w:sz w:val="21"/>
              </w:rPr>
            </w:pPr>
            <w:r>
              <w:rPr>
                <w:sz w:val="21"/>
              </w:rPr>
              <w:t>（1）</w:t>
            </w:r>
            <w:r>
              <w:rPr>
                <w:spacing w:val="-3"/>
                <w:sz w:val="21"/>
              </w:rPr>
              <w:t>投保人申报的被保险人年龄不真实，并且其真实年龄不符合</w:t>
            </w:r>
            <w:r>
              <w:rPr>
                <w:spacing w:val="-10"/>
                <w:sz w:val="21"/>
              </w:rPr>
              <w:t>本合同约定投保年龄限制的，在保险事故发生之前本公司有权</w:t>
            </w:r>
            <w:r>
              <w:rPr>
                <w:spacing w:val="-12"/>
                <w:sz w:val="21"/>
              </w:rPr>
              <w:t>解除合同，并向投保人退还保险单的现金价值。本公司行使合</w:t>
            </w:r>
            <w:r>
              <w:rPr>
                <w:spacing w:val="-6"/>
                <w:sz w:val="21"/>
              </w:rPr>
              <w:t>同解除权适用“本公司合同解除权的限制”的规定。</w:t>
            </w:r>
          </w:p>
          <w:p>
            <w:pPr>
              <w:pStyle w:val="TableParagraph"/>
              <w:spacing w:line="273" w:lineRule="auto" w:before="7"/>
              <w:ind w:left="706" w:right="205" w:hanging="504"/>
              <w:rPr>
                <w:sz w:val="21"/>
              </w:rPr>
            </w:pPr>
            <w:r>
              <w:rPr>
                <w:sz w:val="21"/>
              </w:rPr>
              <w:t>（2）</w:t>
            </w:r>
            <w:r>
              <w:rPr>
                <w:spacing w:val="-3"/>
                <w:sz w:val="21"/>
              </w:rPr>
              <w:t>投保人申报的被保险人年龄或性别不真实，致使投保人实付</w:t>
            </w:r>
            <w:r>
              <w:rPr>
                <w:spacing w:val="-11"/>
                <w:sz w:val="21"/>
              </w:rPr>
              <w:t>保险费少于应付保险费的，本公司有权更正并要求投保人补交</w:t>
            </w:r>
            <w:r>
              <w:rPr>
                <w:spacing w:val="-13"/>
                <w:sz w:val="21"/>
              </w:rPr>
              <w:t>保险费。若已经发生保险事故，在给付保险金时按实付保险费</w:t>
            </w:r>
            <w:r>
              <w:rPr>
                <w:spacing w:val="-6"/>
                <w:sz w:val="21"/>
              </w:rPr>
              <w:t>和应付保险费的比例给付。</w:t>
            </w:r>
          </w:p>
          <w:p>
            <w:pPr>
              <w:pStyle w:val="TableParagraph"/>
              <w:spacing w:line="273" w:lineRule="auto" w:before="7"/>
              <w:ind w:left="706" w:right="205" w:hanging="504"/>
              <w:rPr>
                <w:sz w:val="21"/>
              </w:rPr>
            </w:pPr>
            <w:r>
              <w:rPr>
                <w:sz w:val="21"/>
              </w:rPr>
              <w:t>（3）</w:t>
            </w:r>
            <w:r>
              <w:rPr>
                <w:spacing w:val="-3"/>
                <w:sz w:val="21"/>
              </w:rPr>
              <w:t>投保人申报的被保险人年龄或性别不真实，致使投保人实付</w:t>
            </w:r>
            <w:r>
              <w:rPr>
                <w:spacing w:val="-11"/>
                <w:sz w:val="21"/>
              </w:rPr>
              <w:t>保险费多于应付保险费的，本公司会将多收的保险费退还给投保人。</w:t>
            </w:r>
          </w:p>
        </w:tc>
      </w:tr>
      <w:tr>
        <w:trPr>
          <w:trHeight w:val="1836" w:hRule="atLeast"/>
        </w:trPr>
        <w:tc>
          <w:tcPr>
            <w:tcW w:w="783" w:type="dxa"/>
          </w:tcPr>
          <w:p>
            <w:pPr>
              <w:pStyle w:val="TableParagraph"/>
              <w:spacing w:before="92"/>
              <w:rPr>
                <w:b/>
                <w:sz w:val="21"/>
              </w:rPr>
            </w:pPr>
            <w:r>
              <w:rPr>
                <w:b/>
                <w:sz w:val="21"/>
              </w:rPr>
              <w:t>5.4</w:t>
            </w:r>
          </w:p>
        </w:tc>
        <w:tc>
          <w:tcPr>
            <w:tcW w:w="1737" w:type="dxa"/>
          </w:tcPr>
          <w:p>
            <w:pPr>
              <w:pStyle w:val="TableParagraph"/>
              <w:spacing w:before="92"/>
              <w:ind w:left="266"/>
              <w:rPr>
                <w:b/>
                <w:sz w:val="21"/>
              </w:rPr>
            </w:pPr>
            <w:r>
              <w:rPr>
                <w:b/>
                <w:sz w:val="21"/>
              </w:rPr>
              <w:t>被保险人变动</w:t>
            </w:r>
          </w:p>
        </w:tc>
        <w:tc>
          <w:tcPr>
            <w:tcW w:w="6500" w:type="dxa"/>
          </w:tcPr>
          <w:p>
            <w:pPr>
              <w:pStyle w:val="TableParagraph"/>
              <w:spacing w:line="273" w:lineRule="auto" w:before="92"/>
              <w:ind w:left="202" w:right="206"/>
              <w:rPr>
                <w:sz w:val="21"/>
              </w:rPr>
            </w:pPr>
            <w:r>
              <w:rPr>
                <w:sz w:val="21"/>
              </w:rPr>
              <w:t>（1）投保人因被保险人增加需要加保的，应书面通知本公司，本公司审核同意并收取相应的保险费后，开始承担保险责任。</w:t>
            </w:r>
          </w:p>
          <w:p>
            <w:pPr>
              <w:pStyle w:val="TableParagraph"/>
              <w:spacing w:line="273" w:lineRule="auto" w:before="7"/>
              <w:ind w:left="202" w:right="210"/>
              <w:rPr>
                <w:sz w:val="21"/>
              </w:rPr>
            </w:pPr>
            <w:r>
              <w:rPr>
                <w:sz w:val="21"/>
              </w:rPr>
              <w:t>（2）</w:t>
            </w:r>
            <w:r>
              <w:rPr>
                <w:spacing w:val="-3"/>
                <w:sz w:val="21"/>
              </w:rPr>
              <w:t>投保人与被保险人的团体与成员关系终止的，自团体与成员</w:t>
            </w:r>
            <w:r>
              <w:rPr>
                <w:spacing w:val="-5"/>
                <w:sz w:val="21"/>
              </w:rPr>
              <w:t>关系终止之日起，对该被保险人本公司不再承担保险责任，并向投</w:t>
            </w:r>
            <w:r>
              <w:rPr>
                <w:spacing w:val="-3"/>
                <w:w w:val="100"/>
                <w:sz w:val="21"/>
              </w:rPr>
              <w:t>保人退还该被保险人对应的</w:t>
            </w:r>
            <w:r>
              <w:rPr>
                <w:b/>
                <w:w w:val="100"/>
                <w:sz w:val="21"/>
              </w:rPr>
              <w:t>未满期保险费</w:t>
            </w:r>
            <w:r>
              <w:rPr>
                <w:w w:val="100"/>
                <w:sz w:val="21"/>
              </w:rPr>
              <w:t>（</w:t>
            </w:r>
            <w:r>
              <w:rPr>
                <w:spacing w:val="-2"/>
                <w:w w:val="100"/>
                <w:sz w:val="21"/>
              </w:rPr>
              <w:t>见释义</w:t>
            </w:r>
            <w:r>
              <w:rPr>
                <w:spacing w:val="-55"/>
                <w:sz w:val="21"/>
              </w:rPr>
              <w:t> </w:t>
            </w:r>
            <w:r>
              <w:rPr>
                <w:rFonts w:ascii="Times New Roman" w:eastAsia="Times New Roman"/>
                <w:w w:val="100"/>
                <w:sz w:val="21"/>
              </w:rPr>
              <w:t>6.13</w:t>
            </w:r>
            <w:r>
              <w:rPr>
                <w:spacing w:val="-108"/>
                <w:w w:val="100"/>
                <w:sz w:val="21"/>
              </w:rPr>
              <w:t>）</w:t>
            </w:r>
            <w:r>
              <w:rPr>
                <w:w w:val="100"/>
                <w:sz w:val="21"/>
              </w:rPr>
              <w:t>。</w:t>
            </w:r>
          </w:p>
        </w:tc>
      </w:tr>
      <w:tr>
        <w:trPr>
          <w:trHeight w:val="1033" w:hRule="atLeast"/>
        </w:trPr>
        <w:tc>
          <w:tcPr>
            <w:tcW w:w="783" w:type="dxa"/>
          </w:tcPr>
          <w:p>
            <w:pPr>
              <w:pStyle w:val="TableParagraph"/>
              <w:spacing w:before="127"/>
              <w:rPr>
                <w:b/>
                <w:sz w:val="21"/>
              </w:rPr>
            </w:pPr>
            <w:r>
              <w:rPr>
                <w:b/>
                <w:sz w:val="21"/>
              </w:rPr>
              <w:t>5.5</w:t>
            </w:r>
          </w:p>
        </w:tc>
        <w:tc>
          <w:tcPr>
            <w:tcW w:w="1737" w:type="dxa"/>
          </w:tcPr>
          <w:p>
            <w:pPr>
              <w:pStyle w:val="TableParagraph"/>
              <w:spacing w:before="127"/>
              <w:ind w:left="266"/>
              <w:rPr>
                <w:b/>
                <w:sz w:val="21"/>
              </w:rPr>
            </w:pPr>
            <w:r>
              <w:rPr>
                <w:b/>
                <w:sz w:val="21"/>
              </w:rPr>
              <w:t>事故鉴定</w:t>
            </w:r>
          </w:p>
        </w:tc>
        <w:tc>
          <w:tcPr>
            <w:tcW w:w="6500" w:type="dxa"/>
          </w:tcPr>
          <w:p>
            <w:pPr>
              <w:pStyle w:val="TableParagraph"/>
              <w:spacing w:line="312" w:lineRule="exact" w:before="123"/>
              <w:ind w:left="202" w:right="205"/>
              <w:jc w:val="both"/>
              <w:rPr>
                <w:sz w:val="21"/>
              </w:rPr>
            </w:pPr>
            <w:r>
              <w:rPr>
                <w:spacing w:val="-4"/>
                <w:sz w:val="21"/>
              </w:rPr>
              <w:t>在申请保险金给付时，本公司有权要求被保险人在</w:t>
            </w:r>
            <w:r>
              <w:rPr>
                <w:b/>
                <w:sz w:val="21"/>
              </w:rPr>
              <w:t>本公司认可的医</w:t>
            </w:r>
            <w:r>
              <w:rPr>
                <w:b/>
                <w:spacing w:val="-2"/>
                <w:sz w:val="21"/>
              </w:rPr>
              <w:t>疗机构</w:t>
            </w:r>
            <w:r>
              <w:rPr>
                <w:sz w:val="21"/>
              </w:rPr>
              <w:t>（</w:t>
            </w:r>
            <w:r>
              <w:rPr>
                <w:spacing w:val="-11"/>
                <w:sz w:val="21"/>
              </w:rPr>
              <w:t>见释义 </w:t>
            </w:r>
            <w:r>
              <w:rPr>
                <w:rFonts w:ascii="Times New Roman" w:eastAsia="Times New Roman"/>
                <w:sz w:val="21"/>
              </w:rPr>
              <w:t>6.14</w:t>
            </w:r>
            <w:r>
              <w:rPr>
                <w:sz w:val="21"/>
              </w:rPr>
              <w:t>）</w:t>
            </w:r>
            <w:r>
              <w:rPr>
                <w:spacing w:val="-3"/>
                <w:sz w:val="21"/>
              </w:rPr>
              <w:t>进行身体检查或到法定鉴定部门进行残疾鉴定。</w:t>
            </w:r>
          </w:p>
        </w:tc>
      </w:tr>
    </w:tbl>
    <w:p>
      <w:pPr>
        <w:spacing w:after="0" w:line="312" w:lineRule="exact"/>
        <w:jc w:val="both"/>
        <w:rPr>
          <w:sz w:val="21"/>
        </w:rPr>
        <w:sectPr>
          <w:pgSz w:w="11910" w:h="16840"/>
          <w:pgMar w:header="0" w:footer="1121" w:top="1480" w:bottom="1320" w:left="1480" w:right="1180"/>
        </w:sectPr>
      </w:pPr>
    </w:p>
    <w:p>
      <w:pPr>
        <w:pStyle w:val="BodyText"/>
        <w:spacing w:before="5"/>
        <w:rPr>
          <w:rFonts w:ascii="Times New Roman"/>
          <w:sz w:val="17"/>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836"/>
        <w:gridCol w:w="6276"/>
      </w:tblGrid>
      <w:tr>
        <w:trPr>
          <w:trHeight w:val="1351" w:hRule="atLeast"/>
        </w:trPr>
        <w:tc>
          <w:tcPr>
            <w:tcW w:w="711" w:type="dxa"/>
          </w:tcPr>
          <w:p>
            <w:pPr>
              <w:pStyle w:val="TableParagraph"/>
              <w:spacing w:line="211" w:lineRule="exact" w:before="0"/>
              <w:ind w:left="107"/>
              <w:rPr>
                <w:b/>
                <w:sz w:val="21"/>
              </w:rPr>
            </w:pPr>
            <w:r>
              <w:rPr>
                <w:b/>
                <w:sz w:val="21"/>
              </w:rPr>
              <w:t>5.6</w:t>
            </w:r>
          </w:p>
        </w:tc>
        <w:tc>
          <w:tcPr>
            <w:tcW w:w="1836" w:type="dxa"/>
          </w:tcPr>
          <w:p>
            <w:pPr>
              <w:pStyle w:val="TableParagraph"/>
              <w:spacing w:line="211" w:lineRule="exact" w:before="0"/>
              <w:ind w:left="246"/>
              <w:rPr>
                <w:b/>
                <w:sz w:val="21"/>
              </w:rPr>
            </w:pPr>
            <w:r>
              <w:rPr>
                <w:b/>
                <w:sz w:val="21"/>
              </w:rPr>
              <w:t>投保信息变更</w:t>
            </w:r>
          </w:p>
        </w:tc>
        <w:tc>
          <w:tcPr>
            <w:tcW w:w="6276" w:type="dxa"/>
          </w:tcPr>
          <w:p>
            <w:pPr>
              <w:pStyle w:val="TableParagraph"/>
              <w:spacing w:line="211" w:lineRule="exact" w:before="0"/>
              <w:ind w:left="83"/>
              <w:rPr>
                <w:sz w:val="21"/>
              </w:rPr>
            </w:pPr>
            <w:r>
              <w:rPr>
                <w:sz w:val="21"/>
              </w:rPr>
              <w:t>为了保障投保人的合法权益，在本合同有效期内，如果投保人提供</w:t>
            </w:r>
          </w:p>
          <w:p>
            <w:pPr>
              <w:pStyle w:val="TableParagraph"/>
              <w:spacing w:line="273" w:lineRule="auto" w:before="34"/>
              <w:ind w:left="83" w:right="100"/>
              <w:jc w:val="both"/>
              <w:rPr>
                <w:sz w:val="21"/>
              </w:rPr>
            </w:pPr>
            <w:r>
              <w:rPr>
                <w:sz w:val="21"/>
              </w:rPr>
              <w:t>给本公司的住址或其他投保信息发生了变更，请及时以书面或双方认可的其他形式通知本公司，以便于本公司及时为投保人改变保险合同上的相关信息。</w:t>
            </w:r>
          </w:p>
        </w:tc>
      </w:tr>
      <w:tr>
        <w:trPr>
          <w:trHeight w:val="3145" w:hRule="atLeast"/>
        </w:trPr>
        <w:tc>
          <w:tcPr>
            <w:tcW w:w="711" w:type="dxa"/>
          </w:tcPr>
          <w:p>
            <w:pPr>
              <w:pStyle w:val="TableParagraph"/>
              <w:spacing w:before="142"/>
              <w:ind w:left="107"/>
              <w:rPr>
                <w:b/>
                <w:sz w:val="21"/>
              </w:rPr>
            </w:pPr>
            <w:r>
              <w:rPr>
                <w:b/>
                <w:sz w:val="21"/>
              </w:rPr>
              <w:t>5.7</w:t>
            </w:r>
          </w:p>
        </w:tc>
        <w:tc>
          <w:tcPr>
            <w:tcW w:w="1836" w:type="dxa"/>
          </w:tcPr>
          <w:p>
            <w:pPr>
              <w:pStyle w:val="TableParagraph"/>
              <w:spacing w:before="142"/>
              <w:ind w:left="246"/>
              <w:rPr>
                <w:b/>
                <w:sz w:val="21"/>
              </w:rPr>
            </w:pPr>
            <w:r>
              <w:rPr>
                <w:b/>
                <w:sz w:val="21"/>
              </w:rPr>
              <w:t>争议处理</w:t>
            </w:r>
          </w:p>
        </w:tc>
        <w:tc>
          <w:tcPr>
            <w:tcW w:w="6276" w:type="dxa"/>
          </w:tcPr>
          <w:p>
            <w:pPr>
              <w:pStyle w:val="TableParagraph"/>
              <w:spacing w:line="273" w:lineRule="auto" w:before="142"/>
              <w:ind w:left="83" w:right="100"/>
              <w:jc w:val="both"/>
              <w:rPr>
                <w:sz w:val="21"/>
              </w:rPr>
            </w:pPr>
            <w:r>
              <w:rPr>
                <w:sz w:val="21"/>
              </w:rPr>
              <w:t>投保人和本公司发生争议时，投保人可以从以下两种争议处理方式中选择一种：</w:t>
            </w:r>
          </w:p>
          <w:p>
            <w:pPr>
              <w:pStyle w:val="TableParagraph"/>
              <w:spacing w:line="273" w:lineRule="auto" w:before="7"/>
              <w:ind w:left="575" w:right="101" w:hanging="492"/>
              <w:rPr>
                <w:sz w:val="21"/>
              </w:rPr>
            </w:pPr>
            <w:r>
              <w:rPr>
                <w:sz w:val="21"/>
              </w:rPr>
              <w:t>（1）提交仲裁委员会按提交仲裁时该仲裁委员会现行有效的仲裁规则仲裁；</w:t>
            </w:r>
          </w:p>
          <w:p>
            <w:pPr>
              <w:pStyle w:val="TableParagraph"/>
              <w:spacing w:before="7"/>
              <w:ind w:left="83"/>
              <w:rPr>
                <w:sz w:val="21"/>
              </w:rPr>
            </w:pPr>
            <w:r>
              <w:rPr>
                <w:sz w:val="21"/>
              </w:rPr>
              <w:t>（2）向有管辖权的人民法院提起诉讼。</w:t>
            </w:r>
          </w:p>
          <w:p>
            <w:pPr>
              <w:pStyle w:val="TableParagraph"/>
              <w:spacing w:line="273" w:lineRule="auto" w:before="36"/>
              <w:ind w:left="83" w:right="100"/>
              <w:jc w:val="both"/>
              <w:rPr>
                <w:sz w:val="21"/>
              </w:rPr>
            </w:pPr>
            <w:r>
              <w:rPr>
                <w:sz w:val="21"/>
              </w:rPr>
              <w:t>如果投保人选择以仲裁方式作为合同签署或履行过程中争议处理的方式，需与本公司协议选定仲裁委员会。如果没有选择争议处理的方式、选择仲裁但仲裁委员会约定不明或者约定的仲裁委员会不存在，则以本条上述第（2）种方式处理争议。</w:t>
            </w:r>
          </w:p>
        </w:tc>
      </w:tr>
      <w:tr>
        <w:trPr>
          <w:trHeight w:val="753" w:hRule="atLeast"/>
        </w:trPr>
        <w:tc>
          <w:tcPr>
            <w:tcW w:w="711"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1836" w:type="dxa"/>
            <w:tcBorders>
              <w:bottom w:val="single" w:sz="8" w:space="0" w:color="000000"/>
            </w:tcBorders>
          </w:tcPr>
          <w:p>
            <w:pPr>
              <w:pStyle w:val="TableParagraph"/>
              <w:spacing w:before="4"/>
              <w:ind w:left="0"/>
              <w:rPr>
                <w:rFonts w:ascii="Times New Roman"/>
                <w:sz w:val="21"/>
              </w:rPr>
            </w:pPr>
          </w:p>
          <w:p>
            <w:pPr>
              <w:pStyle w:val="TableParagraph"/>
              <w:spacing w:before="0"/>
              <w:ind w:left="246"/>
              <w:rPr>
                <w:b/>
                <w:sz w:val="24"/>
              </w:rPr>
            </w:pPr>
            <w:r>
              <w:rPr>
                <w:b/>
                <w:sz w:val="24"/>
              </w:rPr>
              <w:t>释义</w:t>
            </w:r>
          </w:p>
        </w:tc>
        <w:tc>
          <w:tcPr>
            <w:tcW w:w="6276" w:type="dxa"/>
            <w:tcBorders>
              <w:bottom w:val="single" w:sz="8" w:space="0" w:color="000000"/>
            </w:tcBorders>
          </w:tcPr>
          <w:p>
            <w:pPr>
              <w:pStyle w:val="TableParagraph"/>
              <w:spacing w:before="0"/>
              <w:ind w:left="0"/>
              <w:rPr>
                <w:rFonts w:ascii="Times New Roman"/>
                <w:sz w:val="20"/>
              </w:rPr>
            </w:pPr>
          </w:p>
        </w:tc>
      </w:tr>
      <w:tr>
        <w:trPr>
          <w:trHeight w:val="1307" w:hRule="atLeast"/>
        </w:trPr>
        <w:tc>
          <w:tcPr>
            <w:tcW w:w="711" w:type="dxa"/>
            <w:tcBorders>
              <w:top w:val="single" w:sz="8" w:space="0" w:color="000000"/>
            </w:tcBorders>
          </w:tcPr>
          <w:p>
            <w:pPr>
              <w:pStyle w:val="TableParagraph"/>
              <w:spacing w:before="9"/>
              <w:ind w:left="0"/>
              <w:rPr>
                <w:rFonts w:ascii="Times New Roman"/>
                <w:sz w:val="16"/>
              </w:rPr>
            </w:pPr>
          </w:p>
          <w:p>
            <w:pPr>
              <w:pStyle w:val="TableParagraph"/>
              <w:spacing w:before="0"/>
              <w:ind w:left="107"/>
              <w:rPr>
                <w:b/>
                <w:sz w:val="21"/>
              </w:rPr>
            </w:pPr>
            <w:r>
              <w:rPr>
                <w:b/>
                <w:sz w:val="21"/>
              </w:rPr>
              <w:t>6.1</w:t>
            </w:r>
          </w:p>
        </w:tc>
        <w:tc>
          <w:tcPr>
            <w:tcW w:w="1836" w:type="dxa"/>
            <w:tcBorders>
              <w:top w:val="single" w:sz="8" w:space="0" w:color="000000"/>
            </w:tcBorders>
          </w:tcPr>
          <w:p>
            <w:pPr>
              <w:pStyle w:val="TableParagraph"/>
              <w:spacing w:before="9"/>
              <w:ind w:left="0"/>
              <w:rPr>
                <w:rFonts w:ascii="Times New Roman"/>
                <w:sz w:val="16"/>
              </w:rPr>
            </w:pPr>
          </w:p>
          <w:p>
            <w:pPr>
              <w:pStyle w:val="TableParagraph"/>
              <w:spacing w:before="0"/>
              <w:ind w:left="246"/>
              <w:rPr>
                <w:b/>
                <w:sz w:val="21"/>
              </w:rPr>
            </w:pPr>
            <w:r>
              <w:rPr>
                <w:b/>
                <w:sz w:val="21"/>
              </w:rPr>
              <w:t>现金价值</w:t>
            </w:r>
          </w:p>
        </w:tc>
        <w:tc>
          <w:tcPr>
            <w:tcW w:w="6276" w:type="dxa"/>
            <w:tcBorders>
              <w:top w:val="single" w:sz="8" w:space="0" w:color="000000"/>
            </w:tcBorders>
          </w:tcPr>
          <w:p>
            <w:pPr>
              <w:pStyle w:val="TableParagraph"/>
              <w:spacing w:before="9"/>
              <w:ind w:left="0"/>
              <w:rPr>
                <w:rFonts w:ascii="Times New Roman"/>
                <w:sz w:val="16"/>
              </w:rPr>
            </w:pPr>
          </w:p>
          <w:p>
            <w:pPr>
              <w:pStyle w:val="TableParagraph"/>
              <w:spacing w:line="273" w:lineRule="auto" w:before="0"/>
              <w:ind w:left="112" w:right="57"/>
              <w:rPr>
                <w:sz w:val="21"/>
              </w:rPr>
            </w:pPr>
            <w:r>
              <w:rPr>
                <w:sz w:val="21"/>
              </w:rPr>
              <w:t>指保险单所具有的价值，通常体现为解除合同时，根据精算原理计算的，由本公司退还的那部分金额。</w:t>
            </w:r>
          </w:p>
          <w:p>
            <w:pPr>
              <w:pStyle w:val="TableParagraph"/>
              <w:spacing w:before="7"/>
              <w:ind w:left="112"/>
              <w:rPr>
                <w:rFonts w:ascii="Times New Roman" w:hAnsi="Times New Roman" w:eastAsia="Times New Roman"/>
                <w:sz w:val="21"/>
              </w:rPr>
            </w:pPr>
            <w:r>
              <w:rPr>
                <w:sz w:val="21"/>
              </w:rPr>
              <w:t>具体等于：保险费×未到期天数÷保险单总保障天数×</w:t>
            </w:r>
            <w:r>
              <w:rPr>
                <w:rFonts w:ascii="Times New Roman" w:hAnsi="Times New Roman" w:eastAsia="Times New Roman"/>
                <w:sz w:val="21"/>
              </w:rPr>
              <w:t>75%</w:t>
            </w:r>
          </w:p>
        </w:tc>
      </w:tr>
      <w:tr>
        <w:trPr>
          <w:trHeight w:val="772" w:hRule="atLeast"/>
        </w:trPr>
        <w:tc>
          <w:tcPr>
            <w:tcW w:w="711" w:type="dxa"/>
          </w:tcPr>
          <w:p>
            <w:pPr>
              <w:pStyle w:val="TableParagraph"/>
              <w:spacing w:before="135"/>
              <w:ind w:left="107"/>
              <w:rPr>
                <w:b/>
                <w:sz w:val="21"/>
              </w:rPr>
            </w:pPr>
            <w:r>
              <w:rPr>
                <w:b/>
                <w:sz w:val="21"/>
              </w:rPr>
              <w:t>6.2</w:t>
            </w:r>
          </w:p>
        </w:tc>
        <w:tc>
          <w:tcPr>
            <w:tcW w:w="1836" w:type="dxa"/>
          </w:tcPr>
          <w:p>
            <w:pPr>
              <w:pStyle w:val="TableParagraph"/>
              <w:spacing w:before="135"/>
              <w:ind w:left="246"/>
              <w:rPr>
                <w:b/>
                <w:sz w:val="21"/>
              </w:rPr>
            </w:pPr>
            <w:r>
              <w:rPr>
                <w:b/>
                <w:sz w:val="21"/>
              </w:rPr>
              <w:t>重大疾病</w:t>
            </w:r>
          </w:p>
        </w:tc>
        <w:tc>
          <w:tcPr>
            <w:tcW w:w="6276" w:type="dxa"/>
          </w:tcPr>
          <w:p>
            <w:pPr>
              <w:pStyle w:val="TableParagraph"/>
              <w:spacing w:line="273" w:lineRule="auto" w:before="135"/>
              <w:ind w:left="112" w:right="57"/>
              <w:rPr>
                <w:sz w:val="21"/>
              </w:rPr>
            </w:pPr>
            <w:r>
              <w:rPr>
                <w:sz w:val="21"/>
              </w:rPr>
              <w:t>指保险责任生效后，经专科医生明确诊断，被保险人初次发生的符合以下疾病定义所述条件的疾病：</w:t>
            </w:r>
          </w:p>
        </w:tc>
      </w:tr>
      <w:tr>
        <w:trPr>
          <w:trHeight w:val="3547" w:hRule="atLeast"/>
        </w:trPr>
        <w:tc>
          <w:tcPr>
            <w:tcW w:w="711" w:type="dxa"/>
          </w:tcPr>
          <w:p>
            <w:pPr>
              <w:pStyle w:val="TableParagraph"/>
              <w:spacing w:before="0"/>
              <w:ind w:left="0"/>
              <w:rPr>
                <w:rFonts w:ascii="Times New Roman"/>
                <w:sz w:val="20"/>
              </w:rPr>
            </w:pPr>
          </w:p>
        </w:tc>
        <w:tc>
          <w:tcPr>
            <w:tcW w:w="1836" w:type="dxa"/>
          </w:tcPr>
          <w:p>
            <w:pPr>
              <w:pStyle w:val="TableParagraph"/>
              <w:spacing w:line="261" w:lineRule="exact" w:before="0"/>
              <w:ind w:left="246"/>
              <w:rPr>
                <w:sz w:val="21"/>
              </w:rPr>
            </w:pPr>
            <w:r>
              <w:rPr>
                <w:sz w:val="21"/>
              </w:rPr>
              <w:t>( 一) 恶性肿瘤</w:t>
            </w:r>
          </w:p>
          <w:p>
            <w:pPr>
              <w:pStyle w:val="TableParagraph"/>
              <w:spacing w:line="273" w:lineRule="auto"/>
              <w:ind w:left="246" w:right="100"/>
              <w:rPr>
                <w:sz w:val="21"/>
              </w:rPr>
            </w:pPr>
            <w:r>
              <w:rPr>
                <w:sz w:val="21"/>
              </w:rPr>
              <w:t>－“中国保险行业协会推荐”</w:t>
            </w:r>
          </w:p>
        </w:tc>
        <w:tc>
          <w:tcPr>
            <w:tcW w:w="6276" w:type="dxa"/>
          </w:tcPr>
          <w:p>
            <w:pPr>
              <w:pStyle w:val="TableParagraph"/>
              <w:spacing w:line="261" w:lineRule="exact" w:before="0"/>
              <w:ind w:left="112"/>
              <w:rPr>
                <w:sz w:val="21"/>
              </w:rPr>
            </w:pPr>
            <w:r>
              <w:rPr>
                <w:sz w:val="21"/>
              </w:rPr>
              <w:t>指恶性细胞不受控制的进行性增长和扩散，浸润和破坏周围正常组</w:t>
            </w:r>
          </w:p>
          <w:p>
            <w:pPr>
              <w:pStyle w:val="TableParagraph"/>
              <w:spacing w:line="273" w:lineRule="auto"/>
              <w:ind w:left="112" w:right="64"/>
              <w:jc w:val="both"/>
              <w:rPr>
                <w:sz w:val="21"/>
              </w:rPr>
            </w:pPr>
            <w:r>
              <w:rPr>
                <w:sz w:val="21"/>
              </w:rPr>
              <w:t>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7"/>
              <w:ind w:left="112"/>
              <w:jc w:val="both"/>
              <w:rPr>
                <w:sz w:val="21"/>
              </w:rPr>
            </w:pPr>
            <w:r>
              <w:rPr>
                <w:sz w:val="21"/>
              </w:rPr>
              <w:t>下列疾病不在保障范围内：</w:t>
            </w:r>
          </w:p>
          <w:p>
            <w:pPr>
              <w:pStyle w:val="TableParagraph"/>
              <w:spacing w:before="36"/>
              <w:ind w:left="112"/>
              <w:jc w:val="both"/>
              <w:rPr>
                <w:sz w:val="21"/>
              </w:rPr>
            </w:pPr>
            <w:r>
              <w:rPr>
                <w:sz w:val="21"/>
              </w:rPr>
              <w:t>（1）原位癌；</w:t>
            </w:r>
          </w:p>
          <w:p>
            <w:pPr>
              <w:pStyle w:val="TableParagraph"/>
              <w:spacing w:before="36"/>
              <w:ind w:left="112"/>
              <w:jc w:val="both"/>
              <w:rPr>
                <w:sz w:val="21"/>
              </w:rPr>
            </w:pPr>
            <w:r>
              <w:rPr>
                <w:sz w:val="21"/>
              </w:rPr>
              <w:t>（2）相当于Binet分期方案A期程度的慢性淋巴细胞白血病；</w:t>
            </w:r>
          </w:p>
          <w:p>
            <w:pPr>
              <w:pStyle w:val="TableParagraph"/>
              <w:spacing w:before="36"/>
              <w:ind w:left="112"/>
              <w:jc w:val="both"/>
              <w:rPr>
                <w:sz w:val="21"/>
              </w:rPr>
            </w:pPr>
            <w:r>
              <w:rPr>
                <w:sz w:val="21"/>
              </w:rPr>
              <w:t>（3）相当于Ann Arbor分期方案I期程度的何杰金氏病；</w:t>
            </w:r>
          </w:p>
          <w:p>
            <w:pPr>
              <w:pStyle w:val="TableParagraph"/>
              <w:spacing w:line="275" w:lineRule="exact" w:before="15"/>
              <w:ind w:left="112"/>
              <w:jc w:val="both"/>
              <w:rPr>
                <w:sz w:val="21"/>
              </w:rPr>
            </w:pPr>
            <w:r>
              <w:rPr>
                <w:sz w:val="21"/>
              </w:rPr>
              <w:t>（4）皮肤癌（不包括恶性黑色素瘤及已发生转移的皮肤癌）；</w:t>
            </w:r>
          </w:p>
          <w:p>
            <w:pPr>
              <w:pStyle w:val="TableParagraph"/>
              <w:spacing w:line="230" w:lineRule="exact" w:before="0"/>
              <w:ind w:left="112"/>
              <w:jc w:val="both"/>
              <w:rPr>
                <w:sz w:val="21"/>
              </w:rPr>
            </w:pPr>
            <w:r>
              <w:rPr>
                <w:sz w:val="21"/>
              </w:rPr>
              <w:t>（5）TNM分期为T N M 期或更轻分期的前列腺癌；</w:t>
            </w:r>
          </w:p>
          <w:p>
            <w:pPr>
              <w:pStyle w:val="TableParagraph"/>
              <w:spacing w:line="100" w:lineRule="exact" w:before="0"/>
              <w:ind w:left="1689"/>
              <w:rPr>
                <w:sz w:val="11"/>
              </w:rPr>
            </w:pPr>
            <w:r>
              <w:rPr>
                <w:sz w:val="11"/>
              </w:rPr>
              <w:t>1  0 0</w:t>
            </w:r>
          </w:p>
          <w:p>
            <w:pPr>
              <w:pStyle w:val="TableParagraph"/>
              <w:spacing w:before="1"/>
              <w:ind w:left="112"/>
              <w:jc w:val="both"/>
              <w:rPr>
                <w:sz w:val="21"/>
              </w:rPr>
            </w:pPr>
            <w:r>
              <w:rPr>
                <w:sz w:val="21"/>
              </w:rPr>
              <w:t>（</w:t>
            </w:r>
            <w:r>
              <w:rPr>
                <w:rFonts w:ascii="Times New Roman" w:eastAsia="Times New Roman"/>
                <w:sz w:val="21"/>
              </w:rPr>
              <w:t>6</w:t>
            </w:r>
            <w:r>
              <w:rPr>
                <w:sz w:val="21"/>
              </w:rPr>
              <w:t>）感染艾滋病病毒或患艾滋病期间所患恶性肿瘤。</w:t>
            </w:r>
          </w:p>
        </w:tc>
      </w:tr>
      <w:tr>
        <w:trPr>
          <w:trHeight w:val="2601" w:hRule="atLeast"/>
        </w:trPr>
        <w:tc>
          <w:tcPr>
            <w:tcW w:w="711" w:type="dxa"/>
          </w:tcPr>
          <w:p>
            <w:pPr>
              <w:pStyle w:val="TableParagraph"/>
              <w:spacing w:before="0"/>
              <w:ind w:left="0"/>
              <w:rPr>
                <w:rFonts w:ascii="Times New Roman"/>
                <w:sz w:val="20"/>
              </w:rPr>
            </w:pPr>
          </w:p>
        </w:tc>
        <w:tc>
          <w:tcPr>
            <w:tcW w:w="1836" w:type="dxa"/>
          </w:tcPr>
          <w:p>
            <w:pPr>
              <w:pStyle w:val="TableParagraph"/>
              <w:spacing w:line="273" w:lineRule="auto" w:before="126"/>
              <w:ind w:left="246" w:right="80"/>
              <w:jc w:val="both"/>
              <w:rPr>
                <w:sz w:val="21"/>
              </w:rPr>
            </w:pPr>
            <w:r>
              <w:rPr>
                <w:spacing w:val="1"/>
                <w:sz w:val="21"/>
              </w:rPr>
              <w:t>( 二) 急性心肌</w:t>
            </w:r>
            <w:r>
              <w:rPr>
                <w:sz w:val="21"/>
              </w:rPr>
              <w:t>梗塞－“中国保</w:t>
            </w:r>
            <w:r>
              <w:rPr>
                <w:spacing w:val="-30"/>
                <w:sz w:val="21"/>
              </w:rPr>
              <w:t>险 行 业 协 会 推荐”</w:t>
            </w:r>
          </w:p>
        </w:tc>
        <w:tc>
          <w:tcPr>
            <w:tcW w:w="6276" w:type="dxa"/>
          </w:tcPr>
          <w:p>
            <w:pPr>
              <w:pStyle w:val="TableParagraph"/>
              <w:spacing w:line="273" w:lineRule="auto" w:before="126"/>
              <w:ind w:left="112" w:right="47"/>
              <w:rPr>
                <w:sz w:val="21"/>
              </w:rPr>
            </w:pPr>
            <w:r>
              <w:rPr>
                <w:sz w:val="21"/>
              </w:rPr>
              <w:t>指因冠状动脉阻塞导致的相应区域供血不足造成部分心肌坏死。须满足下列至少三项条件：</w:t>
            </w:r>
          </w:p>
          <w:p>
            <w:pPr>
              <w:pStyle w:val="TableParagraph"/>
              <w:spacing w:before="7"/>
              <w:ind w:left="112"/>
              <w:rPr>
                <w:sz w:val="21"/>
              </w:rPr>
            </w:pPr>
            <w:r>
              <w:rPr>
                <w:sz w:val="21"/>
              </w:rPr>
              <w:t>（1）典型临床表现，例如急性胸痛等；</w:t>
            </w:r>
          </w:p>
          <w:p>
            <w:pPr>
              <w:pStyle w:val="TableParagraph"/>
              <w:spacing w:before="36"/>
              <w:ind w:left="112"/>
              <w:rPr>
                <w:sz w:val="21"/>
              </w:rPr>
            </w:pPr>
            <w:r>
              <w:rPr>
                <w:sz w:val="21"/>
              </w:rPr>
              <w:t>（2）新近的心电图改变提示急性心肌梗塞；</w:t>
            </w:r>
          </w:p>
          <w:p>
            <w:pPr>
              <w:pStyle w:val="TableParagraph"/>
              <w:spacing w:line="273" w:lineRule="auto" w:before="36"/>
              <w:ind w:left="112" w:right="107"/>
              <w:rPr>
                <w:sz w:val="21"/>
              </w:rPr>
            </w:pPr>
            <w:r>
              <w:rPr>
                <w:sz w:val="21"/>
              </w:rPr>
              <w:t>（3）心肌酶或肌钙蛋白有诊断意义的升高，或呈符合急性心肌梗塞的动态性变化；</w:t>
            </w:r>
          </w:p>
          <w:p>
            <w:pPr>
              <w:pStyle w:val="TableParagraph"/>
              <w:spacing w:line="312" w:lineRule="exact" w:before="3"/>
              <w:ind w:left="112" w:right="20"/>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bl>
    <w:p>
      <w:pPr>
        <w:spacing w:after="0" w:line="312" w:lineRule="exact"/>
        <w:rPr>
          <w:sz w:val="21"/>
        </w:rPr>
        <w:sectPr>
          <w:pgSz w:w="11910" w:h="16840"/>
          <w:pgMar w:header="0" w:footer="1121" w:top="1580" w:bottom="1320" w:left="1580" w:right="1280"/>
        </w:sectPr>
      </w:pPr>
    </w:p>
    <w:p>
      <w:pPr>
        <w:pStyle w:val="BodyText"/>
        <w:spacing w:before="9" w:after="1"/>
        <w:rPr>
          <w:rFonts w:ascii="Times New Roman"/>
          <w:sz w:val="17"/>
        </w:rPr>
      </w:pPr>
    </w:p>
    <w:tbl>
      <w:tblPr>
        <w:tblW w:w="0" w:type="auto"/>
        <w:jc w:val="left"/>
        <w:tblInd w:w="7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6462"/>
      </w:tblGrid>
      <w:tr>
        <w:trPr>
          <w:trHeight w:val="2297" w:hRule="atLeast"/>
        </w:trPr>
        <w:tc>
          <w:tcPr>
            <w:tcW w:w="1805" w:type="dxa"/>
          </w:tcPr>
          <w:p>
            <w:pPr>
              <w:pStyle w:val="TableParagraph"/>
              <w:spacing w:line="211" w:lineRule="exact" w:before="0"/>
              <w:rPr>
                <w:sz w:val="21"/>
              </w:rPr>
            </w:pPr>
            <w:r>
              <w:rPr>
                <w:sz w:val="21"/>
              </w:rPr>
              <w:t>( 三) 脑中风后</w:t>
            </w:r>
          </w:p>
          <w:p>
            <w:pPr>
              <w:pStyle w:val="TableParagraph"/>
              <w:spacing w:line="273" w:lineRule="auto"/>
              <w:ind w:right="115"/>
              <w:jc w:val="both"/>
              <w:rPr>
                <w:sz w:val="21"/>
              </w:rPr>
            </w:pPr>
            <w:r>
              <w:rPr>
                <w:sz w:val="21"/>
              </w:rPr>
              <w:t>遗症－“中国保</w:t>
            </w:r>
            <w:r>
              <w:rPr>
                <w:spacing w:val="-30"/>
                <w:sz w:val="21"/>
              </w:rPr>
              <w:t>险 行 业 协 会 推荐”</w:t>
            </w:r>
          </w:p>
        </w:tc>
        <w:tc>
          <w:tcPr>
            <w:tcW w:w="6462" w:type="dxa"/>
          </w:tcPr>
          <w:p>
            <w:pPr>
              <w:pStyle w:val="TableParagraph"/>
              <w:spacing w:line="211" w:lineRule="exact" w:before="0"/>
              <w:ind w:left="97"/>
              <w:rPr>
                <w:sz w:val="21"/>
              </w:rPr>
            </w:pPr>
            <w:r>
              <w:rPr>
                <w:sz w:val="21"/>
              </w:rPr>
              <w:t>指因脑血管的突发病变引起脑血管出血、栓塞或梗塞，并导致神经</w:t>
            </w:r>
          </w:p>
          <w:p>
            <w:pPr>
              <w:pStyle w:val="TableParagraph"/>
              <w:spacing w:line="273" w:lineRule="auto"/>
              <w:ind w:left="97" w:right="249"/>
              <w:rPr>
                <w:sz w:val="21"/>
              </w:rPr>
            </w:pPr>
            <w:r>
              <w:rPr>
                <w:sz w:val="21"/>
              </w:rPr>
              <w:t>系统永久性的功能障碍。神经系统永久性的功能障碍，指疾病确诊180天后，仍遗留下列一种或一种以上障碍：</w:t>
            </w:r>
          </w:p>
          <w:p>
            <w:pPr>
              <w:pStyle w:val="TableParagraph"/>
              <w:spacing w:before="7"/>
              <w:ind w:left="97"/>
              <w:rPr>
                <w:sz w:val="21"/>
              </w:rPr>
            </w:pPr>
            <w:r>
              <w:rPr>
                <w:sz w:val="21"/>
              </w:rPr>
              <w:t>（1）一肢或一肢以上</w:t>
            </w:r>
            <w:r>
              <w:rPr>
                <w:b/>
                <w:sz w:val="21"/>
              </w:rPr>
              <w:t>肢体机能完全丧失</w:t>
            </w:r>
            <w:r>
              <w:rPr>
                <w:sz w:val="21"/>
              </w:rPr>
              <w:t>（见释义6.15）；</w:t>
            </w:r>
          </w:p>
          <w:p>
            <w:pPr>
              <w:pStyle w:val="TableParagraph"/>
              <w:spacing w:before="36"/>
              <w:ind w:left="97"/>
              <w:rPr>
                <w:sz w:val="21"/>
              </w:rPr>
            </w:pPr>
            <w:r>
              <w:rPr>
                <w:sz w:val="21"/>
              </w:rPr>
              <w:t>（2）</w:t>
            </w:r>
            <w:r>
              <w:rPr>
                <w:b/>
                <w:sz w:val="21"/>
              </w:rPr>
              <w:t>语言能力或咀嚼吞咽能力完全丧失</w:t>
            </w:r>
            <w:r>
              <w:rPr>
                <w:sz w:val="21"/>
              </w:rPr>
              <w:t>（见释义6.16）；</w:t>
            </w:r>
          </w:p>
          <w:p>
            <w:pPr>
              <w:pStyle w:val="TableParagraph"/>
              <w:spacing w:line="256" w:lineRule="auto" w:before="36"/>
              <w:ind w:left="97" w:right="303"/>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（见释义 </w:t>
            </w:r>
            <w:r>
              <w:rPr>
                <w:rFonts w:ascii="Times New Roman" w:eastAsia="Times New Roman"/>
                <w:sz w:val="21"/>
              </w:rPr>
              <w:t>6.17</w:t>
            </w:r>
            <w:r>
              <w:rPr>
                <w:sz w:val="21"/>
              </w:rPr>
              <w:t>）中的三项或三项以上。</w:t>
            </w:r>
          </w:p>
        </w:tc>
      </w:tr>
      <w:tr>
        <w:trPr>
          <w:trHeight w:val="1864" w:hRule="atLeast"/>
        </w:trPr>
        <w:tc>
          <w:tcPr>
            <w:tcW w:w="1805" w:type="dxa"/>
          </w:tcPr>
          <w:p>
            <w:pPr>
              <w:pStyle w:val="TableParagraph"/>
              <w:spacing w:line="273" w:lineRule="auto" w:before="134"/>
              <w:ind w:right="95"/>
              <w:jc w:val="both"/>
              <w:rPr>
                <w:sz w:val="21"/>
              </w:rPr>
            </w:pPr>
            <w:r>
              <w:rPr>
                <w:spacing w:val="1"/>
                <w:sz w:val="21"/>
              </w:rPr>
              <w:t>( 四) 重大器官</w:t>
            </w:r>
            <w:r>
              <w:rPr>
                <w:sz w:val="21"/>
              </w:rPr>
              <w:t>移植术或造血干</w:t>
            </w:r>
            <w:r>
              <w:rPr>
                <w:spacing w:val="-30"/>
                <w:sz w:val="21"/>
              </w:rPr>
              <w:t>细 胞 移 植 术 －</w:t>
            </w:r>
          </w:p>
          <w:p>
            <w:pPr>
              <w:pStyle w:val="TableParagraph"/>
              <w:spacing w:line="273" w:lineRule="auto" w:before="7"/>
              <w:ind w:right="116"/>
              <w:jc w:val="both"/>
              <w:rPr>
                <w:sz w:val="21"/>
              </w:rPr>
            </w:pPr>
            <w:r>
              <w:rPr>
                <w:sz w:val="21"/>
              </w:rPr>
              <w:t>“中国保险行业协会推荐”</w:t>
            </w:r>
          </w:p>
        </w:tc>
        <w:tc>
          <w:tcPr>
            <w:tcW w:w="6462" w:type="dxa"/>
          </w:tcPr>
          <w:p>
            <w:pPr>
              <w:pStyle w:val="TableParagraph"/>
              <w:spacing w:line="273" w:lineRule="auto" w:before="134"/>
              <w:ind w:left="97" w:right="198"/>
              <w:rPr>
                <w:sz w:val="21"/>
              </w:rPr>
            </w:pPr>
            <w:r>
              <w:rPr>
                <w:spacing w:val="-13"/>
                <w:sz w:val="21"/>
              </w:rPr>
              <w:t>重大器官移植术，指因相应器官功能衰竭，已经实施了肾脏、肝脏、</w:t>
            </w:r>
            <w:r>
              <w:rPr>
                <w:spacing w:val="-6"/>
                <w:sz w:val="21"/>
              </w:rPr>
              <w:t>心脏或肺脏的异体移植手术。</w:t>
            </w:r>
          </w:p>
          <w:p>
            <w:pPr>
              <w:pStyle w:val="TableParagraph"/>
              <w:spacing w:line="273" w:lineRule="auto" w:before="7"/>
              <w:ind w:left="97" w:right="304"/>
              <w:jc w:val="both"/>
              <w:rPr>
                <w:sz w:val="21"/>
              </w:rPr>
            </w:pPr>
            <w:r>
              <w:rPr>
                <w:spacing w:val="-6"/>
                <w:sz w:val="21"/>
              </w:rPr>
              <w:t>造血干细胞移植术，指因造血功能损害或造血系统恶性肿瘤，已经实施了造血干细胞</w:t>
            </w:r>
            <w:r>
              <w:rPr>
                <w:sz w:val="21"/>
              </w:rPr>
              <w:t>（</w:t>
            </w:r>
            <w:r>
              <w:rPr>
                <w:spacing w:val="-5"/>
                <w:sz w:val="21"/>
              </w:rPr>
              <w:t>包括骨髓造血干细胞、外周血造血干细胞和脐</w:t>
            </w:r>
            <w:r>
              <w:rPr>
                <w:spacing w:val="-4"/>
                <w:sz w:val="21"/>
              </w:rPr>
              <w:t>血造血干细胞</w:t>
            </w:r>
            <w:r>
              <w:rPr>
                <w:spacing w:val="-3"/>
                <w:sz w:val="21"/>
              </w:rPr>
              <w:t>）的异体移植手术。</w:t>
            </w:r>
          </w:p>
        </w:tc>
      </w:tr>
      <w:tr>
        <w:trPr>
          <w:trHeight w:val="2184" w:hRule="atLeast"/>
        </w:trPr>
        <w:tc>
          <w:tcPr>
            <w:tcW w:w="1805" w:type="dxa"/>
          </w:tcPr>
          <w:p>
            <w:pPr>
              <w:pStyle w:val="TableParagraph"/>
              <w:spacing w:line="273" w:lineRule="auto" w:before="142"/>
              <w:ind w:right="95"/>
              <w:jc w:val="both"/>
              <w:rPr>
                <w:sz w:val="21"/>
              </w:rPr>
            </w:pPr>
            <w:r>
              <w:rPr>
                <w:spacing w:val="1"/>
                <w:sz w:val="21"/>
              </w:rPr>
              <w:t>( 五) 冠状动脉</w:t>
            </w:r>
            <w:r>
              <w:rPr>
                <w:sz w:val="21"/>
              </w:rPr>
              <w:t>搭桥术（或称冠状动脉旁路移植术）－“中国保</w:t>
            </w:r>
            <w:r>
              <w:rPr>
                <w:spacing w:val="-30"/>
                <w:sz w:val="21"/>
              </w:rPr>
              <w:t>险 行 业 协 会 推荐”</w:t>
            </w:r>
          </w:p>
        </w:tc>
        <w:tc>
          <w:tcPr>
            <w:tcW w:w="6462" w:type="dxa"/>
          </w:tcPr>
          <w:p>
            <w:pPr>
              <w:pStyle w:val="TableParagraph"/>
              <w:spacing w:line="273" w:lineRule="auto" w:before="142"/>
              <w:ind w:left="97" w:right="273"/>
              <w:rPr>
                <w:sz w:val="21"/>
              </w:rPr>
            </w:pPr>
            <w:r>
              <w:rPr>
                <w:sz w:val="21"/>
              </w:rPr>
              <w:t>指为治疗严重的冠心病，实际实施了开胸进行的冠状动脉血管旁路移植的手术。</w:t>
            </w:r>
          </w:p>
          <w:p>
            <w:pPr>
              <w:pStyle w:val="TableParagraph"/>
              <w:spacing w:line="273" w:lineRule="auto" w:before="7"/>
              <w:ind w:left="97" w:right="258"/>
              <w:rPr>
                <w:sz w:val="21"/>
              </w:rPr>
            </w:pPr>
            <w:r>
              <w:rPr>
                <w:sz w:val="21"/>
              </w:rPr>
              <w:t>冠状动脉支架植入术、心导管球囊扩张术、激光射频技术及其它非开胸的介入手术、腔镜手术不在保障范围内。</w:t>
            </w:r>
          </w:p>
        </w:tc>
      </w:tr>
      <w:tr>
        <w:trPr>
          <w:trHeight w:val="2184" w:hRule="atLeast"/>
        </w:trPr>
        <w:tc>
          <w:tcPr>
            <w:tcW w:w="1805" w:type="dxa"/>
          </w:tcPr>
          <w:p>
            <w:pPr>
              <w:pStyle w:val="TableParagraph"/>
              <w:spacing w:line="273" w:lineRule="auto" w:before="142"/>
              <w:ind w:right="95"/>
              <w:jc w:val="both"/>
              <w:rPr>
                <w:sz w:val="21"/>
              </w:rPr>
            </w:pPr>
            <w:r>
              <w:rPr>
                <w:spacing w:val="1"/>
                <w:sz w:val="21"/>
              </w:rPr>
              <w:t>( 六) 终末期肾</w:t>
            </w:r>
            <w:r>
              <w:rPr>
                <w:sz w:val="21"/>
              </w:rPr>
              <w:t>病（或称慢性肾功能衰竭尿毒症期）－“中国保</w:t>
            </w:r>
            <w:r>
              <w:rPr>
                <w:spacing w:val="-30"/>
                <w:sz w:val="21"/>
              </w:rPr>
              <w:t>险 行 业 协 会 推荐”</w:t>
            </w:r>
          </w:p>
        </w:tc>
        <w:tc>
          <w:tcPr>
            <w:tcW w:w="6462" w:type="dxa"/>
          </w:tcPr>
          <w:p>
            <w:pPr>
              <w:pStyle w:val="TableParagraph"/>
              <w:spacing w:line="273" w:lineRule="auto" w:before="142"/>
              <w:ind w:left="97" w:right="248"/>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1560" w:hRule="atLeast"/>
        </w:trPr>
        <w:tc>
          <w:tcPr>
            <w:tcW w:w="1805" w:type="dxa"/>
          </w:tcPr>
          <w:p>
            <w:pPr>
              <w:pStyle w:val="TableParagraph"/>
              <w:spacing w:line="273" w:lineRule="auto" w:before="142"/>
              <w:ind w:right="95"/>
              <w:jc w:val="both"/>
              <w:rPr>
                <w:sz w:val="21"/>
              </w:rPr>
            </w:pPr>
            <w:r>
              <w:rPr>
                <w:spacing w:val="1"/>
                <w:sz w:val="21"/>
              </w:rPr>
              <w:t>( 七) 多个肢体</w:t>
            </w:r>
            <w:r>
              <w:rPr>
                <w:sz w:val="21"/>
              </w:rPr>
              <w:t>缺失－“中国保</w:t>
            </w:r>
            <w:r>
              <w:rPr>
                <w:spacing w:val="-30"/>
                <w:sz w:val="21"/>
              </w:rPr>
              <w:t>险 行 业 协 会 推荐”</w:t>
            </w:r>
          </w:p>
        </w:tc>
        <w:tc>
          <w:tcPr>
            <w:tcW w:w="6462" w:type="dxa"/>
          </w:tcPr>
          <w:p>
            <w:pPr>
              <w:pStyle w:val="TableParagraph"/>
              <w:spacing w:line="273" w:lineRule="auto" w:before="142"/>
              <w:ind w:left="97" w:right="309"/>
              <w:rPr>
                <w:sz w:val="21"/>
              </w:rPr>
            </w:pPr>
            <w:r>
              <w:rPr>
                <w:sz w:val="21"/>
              </w:rPr>
              <w:t>指因疾病或意外伤害导致两个或两个以上肢体自腕关节或踝关节近端（靠近躯干端）以上完全性断离。</w:t>
            </w:r>
          </w:p>
        </w:tc>
      </w:tr>
      <w:tr>
        <w:trPr>
          <w:trHeight w:val="2192" w:hRule="atLeast"/>
        </w:trPr>
        <w:tc>
          <w:tcPr>
            <w:tcW w:w="1805" w:type="dxa"/>
          </w:tcPr>
          <w:p>
            <w:pPr>
              <w:pStyle w:val="TableParagraph"/>
              <w:spacing w:line="273" w:lineRule="auto" w:before="143"/>
              <w:ind w:right="95"/>
              <w:rPr>
                <w:sz w:val="21"/>
              </w:rPr>
            </w:pPr>
            <w:r>
              <w:rPr>
                <w:sz w:val="21"/>
              </w:rPr>
              <w:t>( 八) 急性或亚急性重症肝炎－</w:t>
            </w:r>
          </w:p>
          <w:p>
            <w:pPr>
              <w:pStyle w:val="TableParagraph"/>
              <w:spacing w:line="273" w:lineRule="auto" w:before="8"/>
              <w:ind w:right="116"/>
              <w:rPr>
                <w:sz w:val="21"/>
              </w:rPr>
            </w:pPr>
            <w:r>
              <w:rPr>
                <w:sz w:val="21"/>
              </w:rPr>
              <w:t>“中国保险行业协会推荐”</w:t>
            </w:r>
          </w:p>
        </w:tc>
        <w:tc>
          <w:tcPr>
            <w:tcW w:w="6462" w:type="dxa"/>
          </w:tcPr>
          <w:p>
            <w:pPr>
              <w:pStyle w:val="TableParagraph"/>
              <w:spacing w:line="273" w:lineRule="auto" w:before="143"/>
              <w:ind w:left="97" w:right="309"/>
              <w:rPr>
                <w:sz w:val="21"/>
              </w:rPr>
            </w:pPr>
            <w:r>
              <w:rPr>
                <w:sz w:val="21"/>
              </w:rPr>
              <w:t>指因肝炎病毒感染引起肝脏组织弥漫性坏死，导致急性肝功能衰竭，且经血清学或病毒学检查证实，并须满足下列全部条件：</w:t>
            </w:r>
          </w:p>
          <w:p>
            <w:pPr>
              <w:pStyle w:val="TableParagraph"/>
              <w:spacing w:before="8"/>
              <w:ind w:left="97"/>
              <w:rPr>
                <w:sz w:val="21"/>
              </w:rPr>
            </w:pPr>
            <w:r>
              <w:rPr>
                <w:sz w:val="21"/>
              </w:rPr>
              <w:t>（1）重度黄疸或黄疸迅速加重；</w:t>
            </w:r>
          </w:p>
          <w:p>
            <w:pPr>
              <w:pStyle w:val="TableParagraph"/>
              <w:ind w:left="97"/>
              <w:rPr>
                <w:sz w:val="21"/>
              </w:rPr>
            </w:pPr>
            <w:r>
              <w:rPr>
                <w:sz w:val="21"/>
              </w:rPr>
              <w:t>（2）肝性脑病；</w:t>
            </w:r>
          </w:p>
          <w:p>
            <w:pPr>
              <w:pStyle w:val="TableParagraph"/>
              <w:ind w:left="97"/>
              <w:rPr>
                <w:sz w:val="21"/>
              </w:rPr>
            </w:pPr>
            <w:r>
              <w:rPr>
                <w:sz w:val="21"/>
              </w:rPr>
              <w:t>（3）B超或其它影像学检查显示肝脏体积急速萎缩；</w:t>
            </w:r>
          </w:p>
          <w:p>
            <w:pPr>
              <w:pStyle w:val="TableParagraph"/>
              <w:ind w:left="97"/>
              <w:rPr>
                <w:sz w:val="21"/>
              </w:rPr>
            </w:pPr>
            <w:r>
              <w:rPr>
                <w:sz w:val="21"/>
              </w:rPr>
              <w:t>（</w:t>
            </w:r>
            <w:r>
              <w:rPr>
                <w:rFonts w:ascii="Times New Roman" w:eastAsia="Times New Roman"/>
                <w:sz w:val="21"/>
              </w:rPr>
              <w:t>4</w:t>
            </w:r>
            <w:r>
              <w:rPr>
                <w:sz w:val="21"/>
              </w:rPr>
              <w:t>）肝功能指标进行性恶化。</w:t>
            </w:r>
          </w:p>
        </w:tc>
      </w:tr>
      <w:tr>
        <w:trPr>
          <w:trHeight w:val="1033" w:hRule="atLeast"/>
        </w:trPr>
        <w:tc>
          <w:tcPr>
            <w:tcW w:w="1805" w:type="dxa"/>
          </w:tcPr>
          <w:p>
            <w:pPr>
              <w:pStyle w:val="TableParagraph"/>
              <w:spacing w:line="310" w:lineRule="atLeast" w:before="99"/>
              <w:ind w:right="95"/>
              <w:jc w:val="both"/>
              <w:rPr>
                <w:sz w:val="21"/>
              </w:rPr>
            </w:pPr>
            <w:r>
              <w:rPr>
                <w:sz w:val="21"/>
              </w:rPr>
              <w:t>( 九) 良性脑肿瘤－“中国保险行业协会推荐”</w:t>
            </w:r>
          </w:p>
        </w:tc>
        <w:tc>
          <w:tcPr>
            <w:tcW w:w="6462" w:type="dxa"/>
          </w:tcPr>
          <w:p>
            <w:pPr>
              <w:pStyle w:val="TableParagraph"/>
              <w:spacing w:line="310" w:lineRule="atLeast" w:before="99"/>
              <w:ind w:left="97" w:right="198"/>
              <w:jc w:val="both"/>
              <w:rPr>
                <w:sz w:val="21"/>
              </w:rPr>
            </w:pPr>
            <w:r>
              <w:rPr>
                <w:spacing w:val="-7"/>
                <w:sz w:val="21"/>
              </w:rPr>
              <w:t>指脑的良性肿瘤，已经引起颅内压增高，临床表现为视神经乳头水</w:t>
            </w:r>
            <w:r>
              <w:rPr>
                <w:spacing w:val="-8"/>
                <w:sz w:val="21"/>
              </w:rPr>
              <w:t>肿、精神症状、癫痫及运动感觉障碍等，并危及生命。须由头颅断</w:t>
            </w:r>
            <w:r>
              <w:rPr>
                <w:spacing w:val="-15"/>
                <w:sz w:val="21"/>
              </w:rPr>
              <w:t>层扫描</w:t>
            </w:r>
            <w:r>
              <w:rPr>
                <w:spacing w:val="-7"/>
                <w:sz w:val="21"/>
              </w:rPr>
              <w:t>（CT）</w:t>
            </w:r>
            <w:r>
              <w:rPr>
                <w:spacing w:val="-11"/>
                <w:sz w:val="21"/>
              </w:rPr>
              <w:t>、核磁共振检查</w:t>
            </w:r>
            <w:r>
              <w:rPr>
                <w:spacing w:val="-6"/>
                <w:sz w:val="21"/>
              </w:rPr>
              <w:t>（MRI）或正电子发射断层扫描</w:t>
            </w:r>
            <w:r>
              <w:rPr>
                <w:sz w:val="21"/>
              </w:rPr>
              <w:t>（PET）</w:t>
            </w:r>
          </w:p>
        </w:tc>
      </w:tr>
    </w:tbl>
    <w:p>
      <w:pPr>
        <w:spacing w:after="0" w:line="310" w:lineRule="atLeast"/>
        <w:jc w:val="both"/>
        <w:rPr>
          <w:sz w:val="21"/>
        </w:rPr>
        <w:sectPr>
          <w:pgSz w:w="11910" w:h="16840"/>
          <w:pgMar w:header="0" w:footer="1121" w:top="1580" w:bottom="1320" w:left="1680" w:right="1080"/>
        </w:sectPr>
      </w:pPr>
    </w:p>
    <w:tbl>
      <w:tblPr>
        <w:tblW w:w="0" w:type="auto"/>
        <w:jc w:val="left"/>
        <w:tblInd w:w="7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6395"/>
      </w:tblGrid>
      <w:tr>
        <w:trPr>
          <w:trHeight w:val="1354" w:hRule="atLeast"/>
        </w:trPr>
        <w:tc>
          <w:tcPr>
            <w:tcW w:w="1805" w:type="dxa"/>
          </w:tcPr>
          <w:p>
            <w:pPr>
              <w:pStyle w:val="TableParagraph"/>
              <w:spacing w:before="0"/>
              <w:ind w:left="0"/>
              <w:rPr>
                <w:rFonts w:ascii="Times New Roman"/>
                <w:sz w:val="20"/>
              </w:rPr>
            </w:pPr>
          </w:p>
        </w:tc>
        <w:tc>
          <w:tcPr>
            <w:tcW w:w="6395" w:type="dxa"/>
          </w:tcPr>
          <w:p>
            <w:pPr>
              <w:pStyle w:val="TableParagraph"/>
              <w:spacing w:line="204" w:lineRule="exact" w:before="0"/>
              <w:ind w:left="97"/>
              <w:rPr>
                <w:sz w:val="21"/>
              </w:rPr>
            </w:pPr>
            <w:r>
              <w:rPr>
                <w:sz w:val="21"/>
              </w:rPr>
              <w:t>等影像学检查证实，并须满足下列至少一项条件：</w:t>
            </w:r>
          </w:p>
          <w:p>
            <w:pPr>
              <w:pStyle w:val="TableParagraph"/>
              <w:ind w:left="97"/>
              <w:rPr>
                <w:sz w:val="21"/>
              </w:rPr>
            </w:pPr>
            <w:r>
              <w:rPr>
                <w:sz w:val="21"/>
              </w:rPr>
              <w:t>（1）实际实施了开颅进行的脑肿瘤完全切除或部分切除的手术；</w:t>
            </w:r>
          </w:p>
          <w:p>
            <w:pPr>
              <w:pStyle w:val="TableParagraph"/>
              <w:spacing w:before="36"/>
              <w:ind w:left="97"/>
              <w:rPr>
                <w:sz w:val="21"/>
              </w:rPr>
            </w:pPr>
            <w:r>
              <w:rPr>
                <w:sz w:val="21"/>
              </w:rPr>
              <w:t>（2）实际实施了对脑肿瘤进行的放射治疗。</w:t>
            </w:r>
          </w:p>
          <w:p>
            <w:pPr>
              <w:pStyle w:val="TableParagraph"/>
              <w:spacing w:before="36"/>
              <w:ind w:left="97"/>
              <w:rPr>
                <w:sz w:val="21"/>
              </w:rPr>
            </w:pPr>
            <w:r>
              <w:rPr>
                <w:sz w:val="21"/>
              </w:rPr>
              <w:t>脑垂体瘤、脑囊肿、脑血管性疾病不在保障范围内。</w:t>
            </w:r>
          </w:p>
        </w:tc>
      </w:tr>
      <w:tr>
        <w:trPr>
          <w:trHeight w:val="2184" w:hRule="atLeast"/>
        </w:trPr>
        <w:tc>
          <w:tcPr>
            <w:tcW w:w="1805" w:type="dxa"/>
          </w:tcPr>
          <w:p>
            <w:pPr>
              <w:pStyle w:val="TableParagraph"/>
              <w:spacing w:line="273" w:lineRule="auto" w:before="135"/>
              <w:ind w:right="95"/>
              <w:rPr>
                <w:sz w:val="21"/>
              </w:rPr>
            </w:pPr>
            <w:r>
              <w:rPr>
                <w:sz w:val="21"/>
              </w:rPr>
              <w:t>( 十) 慢性肝功能衰竭失代偿期</w:t>
            </w:r>
          </w:p>
          <w:p>
            <w:pPr>
              <w:pStyle w:val="TableParagraph"/>
              <w:spacing w:line="273" w:lineRule="auto" w:before="7"/>
              <w:ind w:right="115"/>
              <w:rPr>
                <w:sz w:val="21"/>
              </w:rPr>
            </w:pPr>
            <w:r>
              <w:rPr>
                <w:sz w:val="21"/>
              </w:rPr>
              <w:t>－“中国保险行业协会推荐”</w:t>
            </w:r>
          </w:p>
        </w:tc>
        <w:tc>
          <w:tcPr>
            <w:tcW w:w="6395" w:type="dxa"/>
          </w:tcPr>
          <w:p>
            <w:pPr>
              <w:pStyle w:val="TableParagraph"/>
              <w:spacing w:before="135"/>
              <w:ind w:left="97"/>
              <w:rPr>
                <w:sz w:val="21"/>
              </w:rPr>
            </w:pPr>
            <w:r>
              <w:rPr>
                <w:sz w:val="21"/>
              </w:rPr>
              <w:t>指因慢性肝脏疾病导致肝功能衰竭。须满足下列全部条件：</w:t>
            </w:r>
          </w:p>
          <w:p>
            <w:pPr>
              <w:pStyle w:val="TableParagraph"/>
              <w:spacing w:before="36"/>
              <w:ind w:left="97"/>
              <w:rPr>
                <w:sz w:val="21"/>
              </w:rPr>
            </w:pPr>
            <w:r>
              <w:rPr>
                <w:sz w:val="21"/>
              </w:rPr>
              <w:t>（1）持续性黄疸；</w:t>
            </w:r>
          </w:p>
          <w:p>
            <w:pPr>
              <w:pStyle w:val="TableParagraph"/>
              <w:spacing w:before="36"/>
              <w:ind w:left="97"/>
              <w:rPr>
                <w:sz w:val="21"/>
              </w:rPr>
            </w:pPr>
            <w:r>
              <w:rPr>
                <w:sz w:val="21"/>
              </w:rPr>
              <w:t>（2）腹水；</w:t>
            </w:r>
          </w:p>
          <w:p>
            <w:pPr>
              <w:pStyle w:val="TableParagraph"/>
              <w:spacing w:before="36"/>
              <w:ind w:left="97"/>
              <w:rPr>
                <w:sz w:val="21"/>
              </w:rPr>
            </w:pPr>
            <w:r>
              <w:rPr>
                <w:sz w:val="21"/>
              </w:rPr>
              <w:t>（3）肝性脑病；</w:t>
            </w:r>
          </w:p>
          <w:p>
            <w:pPr>
              <w:pStyle w:val="TableParagraph"/>
              <w:spacing w:line="273" w:lineRule="auto" w:before="36"/>
              <w:ind w:left="97" w:right="1146"/>
              <w:rPr>
                <w:sz w:val="21"/>
              </w:rPr>
            </w:pPr>
            <w:r>
              <w:rPr>
                <w:sz w:val="21"/>
              </w:rPr>
              <w:t>（4）充血性脾肿大伴脾功能亢进或食管胃底静脉曲张。因酗酒或药物滥用导致的肝功能衰竭不在保障范围内。</w:t>
            </w:r>
          </w:p>
        </w:tc>
      </w:tr>
      <w:tr>
        <w:trPr>
          <w:trHeight w:val="2496" w:hRule="atLeast"/>
        </w:trPr>
        <w:tc>
          <w:tcPr>
            <w:tcW w:w="1805" w:type="dxa"/>
          </w:tcPr>
          <w:p>
            <w:pPr>
              <w:pStyle w:val="TableParagraph"/>
              <w:spacing w:line="273" w:lineRule="auto" w:before="136"/>
              <w:ind w:right="95"/>
              <w:jc w:val="both"/>
              <w:rPr>
                <w:sz w:val="21"/>
              </w:rPr>
            </w:pPr>
            <w:r>
              <w:rPr>
                <w:spacing w:val="1"/>
                <w:sz w:val="21"/>
              </w:rPr>
              <w:t>( 十一) 脑炎后</w:t>
            </w:r>
            <w:r>
              <w:rPr>
                <w:sz w:val="21"/>
              </w:rPr>
              <w:t>遗症或脑膜炎后遗症－“中国保</w:t>
            </w:r>
            <w:r>
              <w:rPr>
                <w:spacing w:val="-30"/>
                <w:sz w:val="21"/>
              </w:rPr>
              <w:t>险 行 业 协 会 推荐”</w:t>
            </w:r>
          </w:p>
        </w:tc>
        <w:tc>
          <w:tcPr>
            <w:tcW w:w="6395" w:type="dxa"/>
          </w:tcPr>
          <w:p>
            <w:pPr>
              <w:pStyle w:val="TableParagraph"/>
              <w:spacing w:line="273" w:lineRule="auto" w:before="136"/>
              <w:ind w:left="97" w:right="234"/>
              <w:jc w:val="both"/>
              <w:rPr>
                <w:sz w:val="21"/>
              </w:rPr>
            </w:pPr>
            <w:r>
              <w:rPr>
                <w:spacing w:val="-5"/>
                <w:sz w:val="21"/>
              </w:rPr>
              <w:t>指因患脑炎或脑膜炎导致的神经系统永久性的功能障碍。神经系统永久性的功能障碍，指疾病确诊</w:t>
            </w:r>
            <w:r>
              <w:rPr>
                <w:sz w:val="21"/>
              </w:rPr>
              <w:t>180天后，仍遗留下列一种或一种</w:t>
            </w:r>
            <w:r>
              <w:rPr>
                <w:spacing w:val="-1"/>
                <w:sz w:val="21"/>
              </w:rPr>
              <w:t>以上障碍：</w:t>
            </w:r>
          </w:p>
          <w:p>
            <w:pPr>
              <w:pStyle w:val="TableParagraph"/>
              <w:spacing w:before="8"/>
              <w:ind w:left="97"/>
              <w:rPr>
                <w:sz w:val="21"/>
              </w:rPr>
            </w:pPr>
            <w:r>
              <w:rPr>
                <w:sz w:val="21"/>
              </w:rPr>
              <w:t>（1）一肢或一肢以上肢体机能完全丧失；</w:t>
            </w:r>
          </w:p>
          <w:p>
            <w:pPr>
              <w:pStyle w:val="TableParagraph"/>
              <w:ind w:left="97"/>
              <w:rPr>
                <w:sz w:val="21"/>
              </w:rPr>
            </w:pPr>
            <w:r>
              <w:rPr>
                <w:sz w:val="21"/>
              </w:rPr>
              <w:t>（2）语言能力或咀嚼吞咽能力完全丧失；</w:t>
            </w:r>
          </w:p>
          <w:p>
            <w:pPr>
              <w:pStyle w:val="TableParagraph"/>
              <w:spacing w:line="256" w:lineRule="auto"/>
              <w:ind w:left="97" w:right="242"/>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69" w:hRule="atLeast"/>
        </w:trPr>
        <w:tc>
          <w:tcPr>
            <w:tcW w:w="1805" w:type="dxa"/>
          </w:tcPr>
          <w:p>
            <w:pPr>
              <w:pStyle w:val="TableParagraph"/>
              <w:spacing w:line="273" w:lineRule="auto" w:before="135"/>
              <w:ind w:right="95"/>
              <w:jc w:val="both"/>
              <w:rPr>
                <w:sz w:val="21"/>
              </w:rPr>
            </w:pPr>
            <w:r>
              <w:rPr>
                <w:sz w:val="21"/>
              </w:rPr>
              <w:t>( 十二) 深度昏迷－“中国保险行业协会推荐”</w:t>
            </w:r>
          </w:p>
        </w:tc>
        <w:tc>
          <w:tcPr>
            <w:tcW w:w="6395" w:type="dxa"/>
          </w:tcPr>
          <w:p>
            <w:pPr>
              <w:pStyle w:val="TableParagraph"/>
              <w:spacing w:line="273" w:lineRule="auto" w:before="135"/>
              <w:ind w:left="97" w:right="199"/>
              <w:rPr>
                <w:sz w:val="21"/>
              </w:rPr>
            </w:pPr>
            <w:r>
              <w:rPr>
                <w:sz w:val="21"/>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TableParagraph"/>
              <w:spacing w:before="7"/>
              <w:ind w:left="97"/>
              <w:rPr>
                <w:sz w:val="21"/>
              </w:rPr>
            </w:pPr>
            <w:r>
              <w:rPr>
                <w:sz w:val="21"/>
              </w:rPr>
              <w:t>因酗酒或药物滥用导致的深度昏迷不在保障范围内。</w:t>
            </w:r>
          </w:p>
        </w:tc>
      </w:tr>
      <w:tr>
        <w:trPr>
          <w:trHeight w:val="1563" w:hRule="atLeast"/>
        </w:trPr>
        <w:tc>
          <w:tcPr>
            <w:tcW w:w="1805" w:type="dxa"/>
          </w:tcPr>
          <w:p>
            <w:pPr>
              <w:pStyle w:val="TableParagraph"/>
              <w:spacing w:line="273" w:lineRule="auto" w:before="139"/>
              <w:ind w:right="95"/>
              <w:jc w:val="both"/>
              <w:rPr>
                <w:sz w:val="21"/>
              </w:rPr>
            </w:pPr>
            <w:r>
              <w:rPr>
                <w:sz w:val="21"/>
              </w:rPr>
              <w:t>( 十三) 双耳失聪－“中国保险行业协会推荐”</w:t>
            </w:r>
          </w:p>
        </w:tc>
        <w:tc>
          <w:tcPr>
            <w:tcW w:w="6395" w:type="dxa"/>
          </w:tcPr>
          <w:p>
            <w:pPr>
              <w:pStyle w:val="TableParagraph"/>
              <w:spacing w:line="256" w:lineRule="auto" w:before="139"/>
              <w:ind w:left="97" w:right="237"/>
              <w:rPr>
                <w:sz w:val="21"/>
              </w:rPr>
            </w:pPr>
            <w:r>
              <w:rPr>
                <w:spacing w:val="-3"/>
                <w:sz w:val="21"/>
              </w:rPr>
              <w:t>指因疾病或意外伤害导致双耳听力</w:t>
            </w:r>
            <w:r>
              <w:rPr>
                <w:b/>
                <w:spacing w:val="-4"/>
                <w:sz w:val="21"/>
              </w:rPr>
              <w:t>永久不可逆</w:t>
            </w:r>
            <w:r>
              <w:rPr>
                <w:spacing w:val="-3"/>
                <w:sz w:val="21"/>
              </w:rPr>
              <w:t>（</w:t>
            </w:r>
            <w:r>
              <w:rPr>
                <w:spacing w:val="-9"/>
                <w:sz w:val="21"/>
              </w:rPr>
              <w:t>见释义 </w:t>
            </w:r>
            <w:r>
              <w:rPr>
                <w:rFonts w:ascii="Times New Roman" w:eastAsia="Times New Roman"/>
                <w:spacing w:val="-6"/>
                <w:sz w:val="21"/>
              </w:rPr>
              <w:t>6.18</w:t>
            </w:r>
            <w:r>
              <w:rPr>
                <w:spacing w:val="-6"/>
                <w:sz w:val="21"/>
              </w:rPr>
              <w:t>）</w:t>
            </w:r>
            <w:r>
              <w:rPr>
                <w:spacing w:val="-3"/>
                <w:sz w:val="21"/>
              </w:rPr>
              <w:t>性丧</w:t>
            </w:r>
            <w:r>
              <w:rPr>
                <w:spacing w:val="-12"/>
                <w:sz w:val="21"/>
              </w:rPr>
              <w:t>失，在 </w:t>
            </w:r>
            <w:r>
              <w:rPr>
                <w:rFonts w:ascii="Times New Roman" w:eastAsia="Times New Roman"/>
                <w:sz w:val="21"/>
              </w:rPr>
              <w:t>500 </w:t>
            </w:r>
            <w:r>
              <w:rPr>
                <w:spacing w:val="-2"/>
                <w:sz w:val="21"/>
              </w:rPr>
              <w:t>赫兹、</w:t>
            </w:r>
            <w:r>
              <w:rPr>
                <w:rFonts w:ascii="Times New Roman" w:eastAsia="Times New Roman"/>
                <w:sz w:val="21"/>
              </w:rPr>
              <w:t>1000 </w:t>
            </w:r>
            <w:r>
              <w:rPr>
                <w:spacing w:val="-13"/>
                <w:sz w:val="21"/>
              </w:rPr>
              <w:t>赫兹和 </w:t>
            </w:r>
            <w:r>
              <w:rPr>
                <w:rFonts w:ascii="Times New Roman" w:eastAsia="Times New Roman"/>
                <w:sz w:val="21"/>
              </w:rPr>
              <w:t>2000 </w:t>
            </w:r>
            <w:r>
              <w:rPr>
                <w:spacing w:val="-3"/>
                <w:sz w:val="21"/>
              </w:rPr>
              <w:t>赫兹语音频率下，平均听阈大</w:t>
            </w:r>
          </w:p>
          <w:p>
            <w:pPr>
              <w:pStyle w:val="TableParagraph"/>
              <w:spacing w:line="256" w:lineRule="auto" w:before="5"/>
              <w:ind w:left="97" w:right="234"/>
              <w:rPr>
                <w:sz w:val="21"/>
              </w:rPr>
            </w:pPr>
            <w:r>
              <w:rPr>
                <w:spacing w:val="-2"/>
                <w:sz w:val="21"/>
              </w:rPr>
              <w:t>于 </w:t>
            </w:r>
            <w:r>
              <w:rPr>
                <w:rFonts w:ascii="Times New Roman" w:eastAsia="Times New Roman"/>
                <w:sz w:val="21"/>
              </w:rPr>
              <w:t>90 </w:t>
            </w:r>
            <w:r>
              <w:rPr>
                <w:spacing w:val="-3"/>
                <w:sz w:val="21"/>
              </w:rPr>
              <w:t>分贝，且经纯音听力测试、声导抗检测或听觉诱发电位检测等证实。</w:t>
            </w:r>
          </w:p>
        </w:tc>
      </w:tr>
      <w:tr>
        <w:trPr>
          <w:trHeight w:val="2192" w:hRule="atLeast"/>
        </w:trPr>
        <w:tc>
          <w:tcPr>
            <w:tcW w:w="1805" w:type="dxa"/>
          </w:tcPr>
          <w:p>
            <w:pPr>
              <w:pStyle w:val="TableParagraph"/>
              <w:spacing w:line="273" w:lineRule="auto" w:before="135"/>
              <w:ind w:right="95"/>
              <w:jc w:val="both"/>
              <w:rPr>
                <w:sz w:val="21"/>
              </w:rPr>
            </w:pPr>
            <w:r>
              <w:rPr>
                <w:sz w:val="21"/>
              </w:rPr>
              <w:t>( 十四) 双目失明－“中国保险行业协会推荐”</w:t>
            </w:r>
          </w:p>
        </w:tc>
        <w:tc>
          <w:tcPr>
            <w:tcW w:w="6395" w:type="dxa"/>
          </w:tcPr>
          <w:p>
            <w:pPr>
              <w:pStyle w:val="TableParagraph"/>
              <w:spacing w:line="273" w:lineRule="auto" w:before="135"/>
              <w:ind w:left="97" w:right="181"/>
              <w:rPr>
                <w:sz w:val="21"/>
              </w:rPr>
            </w:pPr>
            <w:r>
              <w:rPr>
                <w:sz w:val="21"/>
              </w:rPr>
              <w:t>指因疾病或意外伤害导致双眼视力永久不可逆性丧失，双眼中较好眼须满足下列至少一项条件：</w:t>
            </w:r>
          </w:p>
          <w:p>
            <w:pPr>
              <w:pStyle w:val="TableParagraph"/>
              <w:spacing w:before="7"/>
              <w:ind w:left="97"/>
              <w:rPr>
                <w:sz w:val="21"/>
              </w:rPr>
            </w:pPr>
            <w:r>
              <w:rPr>
                <w:sz w:val="21"/>
              </w:rPr>
              <w:t>（1）眼球缺失或摘除；</w:t>
            </w:r>
          </w:p>
          <w:p>
            <w:pPr>
              <w:pStyle w:val="TableParagraph"/>
              <w:spacing w:line="273" w:lineRule="auto"/>
              <w:ind w:left="97" w:right="242"/>
              <w:rPr>
                <w:sz w:val="21"/>
              </w:rPr>
            </w:pPr>
            <w:r>
              <w:rPr>
                <w:sz w:val="21"/>
              </w:rPr>
              <w:t>（2）矫正视力低于0.02（采用国际标准视力表，如果使用其它视力表应进行换算）；</w:t>
            </w:r>
          </w:p>
          <w:p>
            <w:pPr>
              <w:pStyle w:val="TableParagraph"/>
              <w:spacing w:before="7"/>
              <w:ind w:left="97"/>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551" w:hRule="atLeast"/>
        </w:trPr>
        <w:tc>
          <w:tcPr>
            <w:tcW w:w="1805" w:type="dxa"/>
          </w:tcPr>
          <w:p>
            <w:pPr>
              <w:pStyle w:val="TableParagraph"/>
              <w:spacing w:before="127"/>
              <w:rPr>
                <w:sz w:val="21"/>
              </w:rPr>
            </w:pPr>
            <w:r>
              <w:rPr>
                <w:sz w:val="21"/>
              </w:rPr>
              <w:t>( 十五) 瘫痪－</w:t>
            </w:r>
          </w:p>
          <w:p>
            <w:pPr>
              <w:pStyle w:val="TableParagraph"/>
              <w:spacing w:line="273" w:lineRule="auto" w:before="36"/>
              <w:ind w:right="116"/>
              <w:rPr>
                <w:sz w:val="21"/>
              </w:rPr>
            </w:pPr>
            <w:r>
              <w:rPr>
                <w:sz w:val="21"/>
              </w:rPr>
              <w:t>“中国保险行业协会推荐”</w:t>
            </w:r>
          </w:p>
        </w:tc>
        <w:tc>
          <w:tcPr>
            <w:tcW w:w="6395" w:type="dxa"/>
          </w:tcPr>
          <w:p>
            <w:pPr>
              <w:pStyle w:val="TableParagraph"/>
              <w:spacing w:line="266" w:lineRule="auto" w:before="127"/>
              <w:ind w:left="97" w:right="198"/>
              <w:jc w:val="both"/>
              <w:rPr>
                <w:sz w:val="21"/>
              </w:rPr>
            </w:pPr>
            <w:r>
              <w:rPr>
                <w:spacing w:val="-3"/>
                <w:sz w:val="21"/>
              </w:rPr>
              <w:t>指因疾病或意外伤害导致两肢或两肢以上肢体机能永久完全丧失。</w:t>
            </w:r>
            <w:r>
              <w:rPr>
                <w:spacing w:val="-6"/>
                <w:sz w:val="21"/>
              </w:rPr>
              <w:t>肢体机能永久完全丧失，指疾病确诊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6"/>
                <w:sz w:val="21"/>
              </w:rPr>
              <w:t>天后，每肢三大关节中的两大关节仍然完全僵硬，或不能随意识活动。</w:t>
            </w:r>
          </w:p>
        </w:tc>
      </w:tr>
      <w:tr>
        <w:trPr>
          <w:trHeight w:val="417" w:hRule="atLeast"/>
        </w:trPr>
        <w:tc>
          <w:tcPr>
            <w:tcW w:w="1805" w:type="dxa"/>
          </w:tcPr>
          <w:p>
            <w:pPr>
              <w:pStyle w:val="TableParagraph"/>
              <w:spacing w:line="262" w:lineRule="exact" w:before="135"/>
              <w:rPr>
                <w:sz w:val="21"/>
              </w:rPr>
            </w:pPr>
            <w:r>
              <w:rPr>
                <w:sz w:val="21"/>
              </w:rPr>
              <w:t>( 十六) 心脏瓣</w:t>
            </w:r>
          </w:p>
        </w:tc>
        <w:tc>
          <w:tcPr>
            <w:tcW w:w="6395" w:type="dxa"/>
          </w:tcPr>
          <w:p>
            <w:pPr>
              <w:pStyle w:val="TableParagraph"/>
              <w:spacing w:line="262" w:lineRule="exact" w:before="135"/>
              <w:ind w:left="97"/>
              <w:rPr>
                <w:sz w:val="21"/>
              </w:rPr>
            </w:pPr>
            <w:r>
              <w:rPr>
                <w:sz w:val="21"/>
              </w:rPr>
              <w:t>指为治疗心脏瓣膜疾病，实际实施了开胸进行的心脏瓣膜置换或修</w:t>
            </w:r>
          </w:p>
        </w:tc>
      </w:tr>
    </w:tbl>
    <w:p>
      <w:pPr>
        <w:spacing w:after="0" w:line="262" w:lineRule="exact"/>
        <w:rPr>
          <w:sz w:val="21"/>
        </w:rPr>
        <w:sectPr>
          <w:pgSz w:w="11910" w:h="16840"/>
          <w:pgMar w:header="0" w:footer="1121" w:top="1480" w:bottom="1320" w:left="1680" w:right="1140"/>
        </w:sectPr>
      </w:pPr>
    </w:p>
    <w:tbl>
      <w:tblPr>
        <w:tblW w:w="0" w:type="auto"/>
        <w:jc w:val="left"/>
        <w:tblInd w:w="7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1"/>
        <w:gridCol w:w="6458"/>
      </w:tblGrid>
      <w:tr>
        <w:trPr>
          <w:trHeight w:val="1042" w:hRule="atLeast"/>
        </w:trPr>
        <w:tc>
          <w:tcPr>
            <w:tcW w:w="1811" w:type="dxa"/>
          </w:tcPr>
          <w:p>
            <w:pPr>
              <w:pStyle w:val="TableParagraph"/>
              <w:spacing w:line="204" w:lineRule="exact" w:before="0"/>
              <w:rPr>
                <w:sz w:val="21"/>
              </w:rPr>
            </w:pPr>
            <w:r>
              <w:rPr>
                <w:sz w:val="21"/>
              </w:rPr>
              <w:t>膜手术－“中国</w:t>
            </w:r>
          </w:p>
          <w:p>
            <w:pPr>
              <w:pStyle w:val="TableParagraph"/>
              <w:spacing w:line="273" w:lineRule="auto"/>
              <w:ind w:right="122"/>
              <w:rPr>
                <w:sz w:val="21"/>
              </w:rPr>
            </w:pPr>
            <w:r>
              <w:rPr>
                <w:sz w:val="21"/>
              </w:rPr>
              <w:t>保险行业协会推荐”</w:t>
            </w:r>
          </w:p>
        </w:tc>
        <w:tc>
          <w:tcPr>
            <w:tcW w:w="6458" w:type="dxa"/>
          </w:tcPr>
          <w:p>
            <w:pPr>
              <w:pStyle w:val="TableParagraph"/>
              <w:spacing w:line="204" w:lineRule="exact" w:before="0"/>
              <w:ind w:left="91"/>
              <w:rPr>
                <w:sz w:val="21"/>
              </w:rPr>
            </w:pPr>
            <w:r>
              <w:rPr>
                <w:sz w:val="21"/>
              </w:rPr>
              <w:t>复的手术。</w:t>
            </w:r>
          </w:p>
        </w:tc>
      </w:tr>
      <w:tr>
        <w:trPr>
          <w:trHeight w:val="2496" w:hRule="atLeast"/>
        </w:trPr>
        <w:tc>
          <w:tcPr>
            <w:tcW w:w="1811" w:type="dxa"/>
          </w:tcPr>
          <w:p>
            <w:pPr>
              <w:pStyle w:val="TableParagraph"/>
              <w:spacing w:line="273" w:lineRule="auto" w:before="135"/>
              <w:ind w:right="101"/>
              <w:rPr>
                <w:sz w:val="21"/>
              </w:rPr>
            </w:pPr>
            <w:r>
              <w:rPr>
                <w:spacing w:val="1"/>
                <w:sz w:val="21"/>
              </w:rPr>
              <w:t>( 十七) 严重阿</w:t>
            </w:r>
            <w:r>
              <w:rPr>
                <w:spacing w:val="-30"/>
                <w:sz w:val="21"/>
              </w:rPr>
              <w:t>尔 茨 海 默 病 －</w:t>
            </w:r>
          </w:p>
          <w:p>
            <w:pPr>
              <w:pStyle w:val="TableParagraph"/>
              <w:spacing w:line="273" w:lineRule="auto" w:before="7"/>
              <w:ind w:right="122"/>
              <w:rPr>
                <w:sz w:val="21"/>
              </w:rPr>
            </w:pPr>
            <w:r>
              <w:rPr>
                <w:sz w:val="21"/>
              </w:rPr>
              <w:t>“中国保险行业协会推荐”</w:t>
            </w:r>
          </w:p>
        </w:tc>
        <w:tc>
          <w:tcPr>
            <w:tcW w:w="6458" w:type="dxa"/>
          </w:tcPr>
          <w:p>
            <w:pPr>
              <w:pStyle w:val="TableParagraph"/>
              <w:spacing w:line="273" w:lineRule="auto" w:before="135"/>
              <w:ind w:left="91" w:right="303"/>
              <w:jc w:val="both"/>
              <w:rPr>
                <w:sz w:val="21"/>
              </w:rPr>
            </w:pPr>
            <w:r>
              <w:rPr>
                <w:spacing w:val="-2"/>
                <w:sz w:val="21"/>
              </w:rPr>
              <w:t>指被保险人于</w:t>
            </w:r>
            <w:r>
              <w:rPr>
                <w:sz w:val="21"/>
              </w:rPr>
              <w:t>60</w:t>
            </w:r>
            <w:r>
              <w:rPr>
                <w:spacing w:val="-7"/>
                <w:sz w:val="21"/>
              </w:rPr>
              <w:t>周岁前因大脑进行性、不可逆性改变导致智能严重</w:t>
            </w:r>
            <w:r>
              <w:rPr>
                <w:spacing w:val="-8"/>
                <w:sz w:val="21"/>
              </w:rPr>
              <w:t>衰退或丧失，临床表现为明显的认知能力障碍、行为异常和社交能</w:t>
            </w:r>
            <w:r>
              <w:rPr>
                <w:spacing w:val="1"/>
                <w:sz w:val="21"/>
              </w:rPr>
              <w:t>力减退，其日常生活必须持续受到他人监护。须由头颅断层扫描</w:t>
            </w:r>
          </w:p>
          <w:p>
            <w:pPr>
              <w:pStyle w:val="TableParagraph"/>
              <w:spacing w:line="273" w:lineRule="auto" w:before="7"/>
              <w:ind w:left="91" w:right="306"/>
              <w:jc w:val="both"/>
              <w:rPr>
                <w:sz w:val="21"/>
              </w:rPr>
            </w:pPr>
            <w:r>
              <w:rPr>
                <w:spacing w:val="-3"/>
                <w:sz w:val="21"/>
              </w:rPr>
              <w:t>（CT）</w:t>
            </w:r>
            <w:r>
              <w:rPr>
                <w:spacing w:val="-4"/>
                <w:sz w:val="21"/>
              </w:rPr>
              <w:t>、核磁共振检查</w:t>
            </w:r>
            <w:r>
              <w:rPr>
                <w:spacing w:val="-3"/>
                <w:sz w:val="21"/>
              </w:rPr>
              <w:t>（MRI）</w:t>
            </w:r>
            <w:r>
              <w:rPr>
                <w:spacing w:val="-4"/>
                <w:sz w:val="21"/>
              </w:rPr>
              <w:t>或正电子发射断层扫描</w:t>
            </w:r>
            <w:r>
              <w:rPr>
                <w:spacing w:val="-3"/>
                <w:sz w:val="21"/>
              </w:rPr>
              <w:t>（PET）</w:t>
            </w:r>
            <w:r>
              <w:rPr>
                <w:sz w:val="21"/>
              </w:rPr>
              <w:t>等影</w:t>
            </w:r>
            <w:r>
              <w:rPr>
                <w:spacing w:val="-6"/>
                <w:sz w:val="21"/>
              </w:rPr>
              <w:t>像学检查证实，且自主生活能力完全丧失，无法独立完成六项基本</w:t>
            </w:r>
            <w:r>
              <w:rPr>
                <w:spacing w:val="-4"/>
                <w:sz w:val="21"/>
              </w:rPr>
              <w:t>日常生活活动中的三项或三项以上。</w:t>
            </w:r>
          </w:p>
          <w:p>
            <w:pPr>
              <w:pStyle w:val="TableParagraph"/>
              <w:spacing w:before="7"/>
              <w:ind w:left="91"/>
              <w:jc w:val="both"/>
              <w:rPr>
                <w:sz w:val="21"/>
              </w:rPr>
            </w:pPr>
            <w:r>
              <w:rPr>
                <w:sz w:val="21"/>
              </w:rPr>
              <w:t>神经官能症和精神疾病不在保障范围内。</w:t>
            </w:r>
          </w:p>
        </w:tc>
      </w:tr>
      <w:tr>
        <w:trPr>
          <w:trHeight w:val="3120" w:hRule="atLeast"/>
        </w:trPr>
        <w:tc>
          <w:tcPr>
            <w:tcW w:w="1811" w:type="dxa"/>
          </w:tcPr>
          <w:p>
            <w:pPr>
              <w:pStyle w:val="TableParagraph"/>
              <w:spacing w:line="273" w:lineRule="auto" w:before="136"/>
              <w:ind w:right="101"/>
              <w:jc w:val="both"/>
              <w:rPr>
                <w:sz w:val="21"/>
              </w:rPr>
            </w:pPr>
            <w:r>
              <w:rPr>
                <w:spacing w:val="1"/>
                <w:sz w:val="21"/>
              </w:rPr>
              <w:t>( 十八) 严重脑</w:t>
            </w:r>
            <w:r>
              <w:rPr>
                <w:sz w:val="21"/>
              </w:rPr>
              <w:t>损伤－“中国保</w:t>
            </w:r>
            <w:r>
              <w:rPr>
                <w:spacing w:val="-30"/>
                <w:sz w:val="21"/>
              </w:rPr>
              <w:t>险 行 业 协 会 推荐”</w:t>
            </w:r>
          </w:p>
        </w:tc>
        <w:tc>
          <w:tcPr>
            <w:tcW w:w="6458" w:type="dxa"/>
          </w:tcPr>
          <w:p>
            <w:pPr>
              <w:pStyle w:val="TableParagraph"/>
              <w:spacing w:line="273" w:lineRule="auto" w:before="136"/>
              <w:ind w:left="91" w:right="198"/>
              <w:rPr>
                <w:sz w:val="21"/>
              </w:rPr>
            </w:pPr>
            <w:r>
              <w:rPr>
                <w:spacing w:val="-6"/>
                <w:sz w:val="21"/>
              </w:rPr>
              <w:t>指因头部遭受机械性外力，引起脑重要部位损伤，导致神经系统永久性的功能障碍。须由头颅断层扫描</w:t>
            </w:r>
            <w:r>
              <w:rPr>
                <w:spacing w:val="-3"/>
                <w:sz w:val="21"/>
              </w:rPr>
              <w:t>（CT）</w:t>
            </w:r>
            <w:r>
              <w:rPr>
                <w:spacing w:val="-5"/>
                <w:sz w:val="21"/>
              </w:rPr>
              <w:t>、核磁共振检查</w:t>
            </w:r>
            <w:r>
              <w:rPr>
                <w:sz w:val="21"/>
              </w:rPr>
              <w:t>（MRI） </w:t>
            </w:r>
            <w:r>
              <w:rPr>
                <w:spacing w:val="-3"/>
                <w:sz w:val="21"/>
              </w:rPr>
              <w:t>或正电子发射断层扫描</w:t>
            </w:r>
            <w:r>
              <w:rPr>
                <w:sz w:val="21"/>
              </w:rPr>
              <w:t>（PET）</w:t>
            </w:r>
            <w:r>
              <w:rPr>
                <w:spacing w:val="-3"/>
                <w:sz w:val="21"/>
              </w:rPr>
              <w:t>等影像学检查证实。神经系统永久 性的功能障碍，指脑损伤</w:t>
            </w:r>
            <w:r>
              <w:rPr>
                <w:sz w:val="21"/>
              </w:rPr>
              <w:t>180</w:t>
            </w:r>
            <w:r>
              <w:rPr>
                <w:spacing w:val="-3"/>
                <w:sz w:val="21"/>
              </w:rPr>
              <w:t>天后，仍遗留下列一种或一种以上障 碍：</w:t>
            </w:r>
          </w:p>
          <w:p>
            <w:pPr>
              <w:pStyle w:val="TableParagraph"/>
              <w:spacing w:before="8"/>
              <w:ind w:left="91"/>
              <w:rPr>
                <w:sz w:val="21"/>
              </w:rPr>
            </w:pPr>
            <w:r>
              <w:rPr>
                <w:sz w:val="21"/>
              </w:rPr>
              <w:t>（1）一肢或一肢以上肢体机能完全丧失；</w:t>
            </w:r>
          </w:p>
          <w:p>
            <w:pPr>
              <w:pStyle w:val="TableParagraph"/>
              <w:ind w:left="91"/>
              <w:rPr>
                <w:sz w:val="21"/>
              </w:rPr>
            </w:pPr>
            <w:r>
              <w:rPr>
                <w:sz w:val="21"/>
              </w:rPr>
              <w:t>（2）语言能力或咀嚼吞咽能力完全丧失；</w:t>
            </w:r>
          </w:p>
          <w:p>
            <w:pPr>
              <w:pStyle w:val="TableParagraph"/>
              <w:spacing w:line="256" w:lineRule="auto"/>
              <w:ind w:left="91" w:right="311"/>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2181" w:hRule="atLeast"/>
        </w:trPr>
        <w:tc>
          <w:tcPr>
            <w:tcW w:w="1811" w:type="dxa"/>
          </w:tcPr>
          <w:p>
            <w:pPr>
              <w:pStyle w:val="TableParagraph"/>
              <w:spacing w:line="273" w:lineRule="auto" w:before="135"/>
              <w:ind w:right="101"/>
              <w:jc w:val="both"/>
              <w:rPr>
                <w:sz w:val="21"/>
              </w:rPr>
            </w:pPr>
            <w:r>
              <w:rPr>
                <w:sz w:val="21"/>
              </w:rPr>
              <w:t>( 十九) 严重帕金森病－“中国保险行业协会推荐”</w:t>
            </w:r>
          </w:p>
        </w:tc>
        <w:tc>
          <w:tcPr>
            <w:tcW w:w="6458" w:type="dxa"/>
          </w:tcPr>
          <w:p>
            <w:pPr>
              <w:pStyle w:val="TableParagraph"/>
              <w:spacing w:line="273" w:lineRule="auto" w:before="135"/>
              <w:ind w:left="91" w:right="251"/>
              <w:rPr>
                <w:sz w:val="21"/>
              </w:rPr>
            </w:pPr>
            <w:r>
              <w:rPr>
                <w:sz w:val="21"/>
              </w:rPr>
              <w:t>是一种中枢神经系统的退行性疾病，临床表现为震颤麻痹、共济失调等。须满足下列全部条件：</w:t>
            </w:r>
          </w:p>
          <w:p>
            <w:pPr>
              <w:pStyle w:val="TableParagraph"/>
              <w:spacing w:before="7"/>
              <w:ind w:left="91"/>
              <w:rPr>
                <w:sz w:val="21"/>
              </w:rPr>
            </w:pPr>
            <w:r>
              <w:rPr>
                <w:sz w:val="21"/>
              </w:rPr>
              <w:t>（1）药物治疗无法控制病情；</w:t>
            </w:r>
          </w:p>
          <w:p>
            <w:pPr>
              <w:pStyle w:val="TableParagraph"/>
              <w:spacing w:line="273" w:lineRule="auto"/>
              <w:ind w:left="91" w:right="375"/>
              <w:rPr>
                <w:sz w:val="21"/>
              </w:rPr>
            </w:pPr>
            <w:r>
              <w:rPr>
                <w:sz w:val="21"/>
              </w:rPr>
              <w:t>（2）自主生活能力完全丧失，无法独立完成六项基本日常生活活动中的三项或三项以上。</w:t>
            </w:r>
          </w:p>
          <w:p>
            <w:pPr>
              <w:pStyle w:val="TableParagraph"/>
              <w:spacing w:before="8"/>
              <w:ind w:left="91"/>
              <w:rPr>
                <w:sz w:val="21"/>
              </w:rPr>
            </w:pPr>
            <w:r>
              <w:rPr>
                <w:sz w:val="21"/>
              </w:rPr>
              <w:t>继发性帕金森综合征不在保障范围内。</w:t>
            </w:r>
          </w:p>
        </w:tc>
      </w:tr>
      <w:tr>
        <w:trPr>
          <w:trHeight w:val="1558" w:hRule="atLeast"/>
        </w:trPr>
        <w:tc>
          <w:tcPr>
            <w:tcW w:w="1811" w:type="dxa"/>
          </w:tcPr>
          <w:p>
            <w:pPr>
              <w:pStyle w:val="TableParagraph"/>
              <w:spacing w:line="266" w:lineRule="auto" w:before="139"/>
              <w:ind w:right="89"/>
              <w:jc w:val="both"/>
              <w:rPr>
                <w:sz w:val="21"/>
              </w:rPr>
            </w:pPr>
            <w:r>
              <w:rPr>
                <w:rFonts w:ascii="Times New Roman" w:hAnsi="Times New Roman" w:eastAsia="Times New Roman"/>
                <w:sz w:val="21"/>
              </w:rPr>
              <w:t>( </w:t>
            </w:r>
            <w:r>
              <w:rPr>
                <w:sz w:val="21"/>
              </w:rPr>
              <w:t>二十</w:t>
            </w:r>
            <w:r>
              <w:rPr>
                <w:rFonts w:ascii="Times New Roman" w:hAnsi="Times New Roman" w:eastAsia="Times New Roman"/>
                <w:sz w:val="21"/>
              </w:rPr>
              <w:t>) </w:t>
            </w:r>
            <w:r>
              <w:rPr>
                <w:sz w:val="21"/>
              </w:rPr>
              <w:t>严重Ⅲ 度烧伤－“中国保险行业协会推荐”</w:t>
            </w:r>
          </w:p>
        </w:tc>
        <w:tc>
          <w:tcPr>
            <w:tcW w:w="6458" w:type="dxa"/>
          </w:tcPr>
          <w:p>
            <w:pPr>
              <w:pStyle w:val="TableParagraph"/>
              <w:spacing w:before="139"/>
              <w:ind w:left="91"/>
              <w:rPr>
                <w:sz w:val="21"/>
              </w:rPr>
            </w:pPr>
            <w:r>
              <w:rPr>
                <w:sz w:val="21"/>
              </w:rPr>
              <w:t>指烧伤程度为Ⅲ度，且Ⅲ度烧伤的面积达到全身体表面积的 </w:t>
            </w:r>
            <w:r>
              <w:rPr>
                <w:rFonts w:ascii="Times New Roman" w:hAnsi="Times New Roman" w:eastAsia="Times New Roman"/>
                <w:sz w:val="21"/>
              </w:rPr>
              <w:t>20</w:t>
            </w:r>
            <w:r>
              <w:rPr>
                <w:sz w:val="21"/>
              </w:rPr>
              <w:t>％或</w:t>
            </w:r>
          </w:p>
          <w:p>
            <w:pPr>
              <w:pStyle w:val="TableParagraph"/>
              <w:spacing w:before="21"/>
              <w:ind w:left="91"/>
              <w:rPr>
                <w:sz w:val="21"/>
              </w:rPr>
            </w:pPr>
            <w:r>
              <w:rPr>
                <w:rFonts w:ascii="Times New Roman" w:eastAsia="Times New Roman"/>
                <w:sz w:val="21"/>
              </w:rPr>
              <w:t>20</w:t>
            </w:r>
            <w:r>
              <w:rPr>
                <w:sz w:val="21"/>
              </w:rPr>
              <w:t>％以上。体表面积根据《中国新九分法》计算。</w:t>
            </w:r>
          </w:p>
        </w:tc>
      </w:tr>
      <w:tr>
        <w:trPr>
          <w:trHeight w:val="1569" w:hRule="atLeast"/>
        </w:trPr>
        <w:tc>
          <w:tcPr>
            <w:tcW w:w="1811" w:type="dxa"/>
          </w:tcPr>
          <w:p>
            <w:pPr>
              <w:pStyle w:val="TableParagraph"/>
              <w:spacing w:line="268" w:lineRule="auto" w:before="140"/>
              <w:ind w:right="89"/>
              <w:jc w:val="both"/>
              <w:rPr>
                <w:sz w:val="21"/>
              </w:rPr>
            </w:pPr>
            <w:r>
              <w:rPr>
                <w:rFonts w:ascii="Arial" w:hAnsi="Arial" w:eastAsia="Arial"/>
                <w:sz w:val="21"/>
              </w:rPr>
              <w:t>( </w:t>
            </w:r>
            <w:r>
              <w:rPr>
                <w:sz w:val="21"/>
              </w:rPr>
              <w:t>二十一</w:t>
            </w:r>
            <w:r>
              <w:rPr>
                <w:rFonts w:ascii="Arial" w:hAnsi="Arial" w:eastAsia="Arial"/>
                <w:sz w:val="21"/>
              </w:rPr>
              <w:t>) </w:t>
            </w:r>
            <w:r>
              <w:rPr>
                <w:sz w:val="21"/>
              </w:rPr>
              <w:t>严重原发性肺动脉高压－“中国保险行业协会推荐”</w:t>
            </w:r>
          </w:p>
        </w:tc>
        <w:tc>
          <w:tcPr>
            <w:tcW w:w="6458" w:type="dxa"/>
          </w:tcPr>
          <w:p>
            <w:pPr>
              <w:pStyle w:val="TableParagraph"/>
              <w:spacing w:line="273" w:lineRule="auto" w:before="140"/>
              <w:ind w:left="91" w:right="303"/>
              <w:jc w:val="both"/>
              <w:rPr>
                <w:sz w:val="21"/>
              </w:rPr>
            </w:pPr>
            <w:r>
              <w:rPr>
                <w:spacing w:val="-5"/>
                <w:sz w:val="21"/>
              </w:rPr>
              <w:t>指不明原因的肺动脉压力持续性增高，进行性发展而导致的慢性疾</w:t>
            </w:r>
            <w:r>
              <w:rPr>
                <w:spacing w:val="-7"/>
                <w:sz w:val="21"/>
              </w:rPr>
              <w:t>病，已经造成永久不可逆性的体力活动能力受限，达到美国纽约心</w:t>
            </w:r>
            <w:r>
              <w:rPr>
                <w:spacing w:val="-6"/>
                <w:sz w:val="21"/>
              </w:rPr>
              <w:t>脏病学会心功能状态分级 </w:t>
            </w:r>
            <w:r>
              <w:rPr>
                <w:rFonts w:ascii="Times New Roman" w:eastAsia="Times New Roman"/>
                <w:sz w:val="21"/>
              </w:rPr>
              <w:t>IV </w:t>
            </w:r>
            <w:r>
              <w:rPr>
                <w:spacing w:val="-3"/>
                <w:sz w:val="21"/>
              </w:rPr>
              <w:t>级，且静息状态下肺动脉平均压超过</w:t>
            </w:r>
          </w:p>
          <w:p>
            <w:pPr>
              <w:pStyle w:val="TableParagraph"/>
              <w:spacing w:line="279" w:lineRule="exact" w:before="0"/>
              <w:ind w:left="91"/>
              <w:jc w:val="both"/>
              <w:rPr>
                <w:sz w:val="21"/>
              </w:rPr>
            </w:pPr>
            <w:r>
              <w:rPr>
                <w:rFonts w:ascii="Times New Roman" w:eastAsia="Times New Roman"/>
                <w:sz w:val="21"/>
              </w:rPr>
              <w:t>30mmHg</w:t>
            </w:r>
            <w:r>
              <w:rPr>
                <w:sz w:val="21"/>
              </w:rPr>
              <w:t>。</w:t>
            </w:r>
          </w:p>
        </w:tc>
      </w:tr>
      <w:tr>
        <w:trPr>
          <w:trHeight w:val="1348" w:hRule="atLeast"/>
        </w:trPr>
        <w:tc>
          <w:tcPr>
            <w:tcW w:w="1811" w:type="dxa"/>
          </w:tcPr>
          <w:p>
            <w:pPr>
              <w:pStyle w:val="TableParagraph"/>
              <w:spacing w:line="256" w:lineRule="auto" w:before="131"/>
              <w:ind w:right="89"/>
              <w:rPr>
                <w:sz w:val="21"/>
              </w:rPr>
            </w:pPr>
            <w:r>
              <w:rPr>
                <w:rFonts w:ascii="Times New Roman" w:eastAsia="Times New Roman"/>
                <w:sz w:val="21"/>
              </w:rPr>
              <w:t>( </w:t>
            </w:r>
            <w:r>
              <w:rPr>
                <w:sz w:val="21"/>
              </w:rPr>
              <w:t>二十二</w:t>
            </w:r>
            <w:r>
              <w:rPr>
                <w:rFonts w:ascii="Times New Roman" w:eastAsia="Times New Roman"/>
                <w:sz w:val="21"/>
              </w:rPr>
              <w:t>) </w:t>
            </w:r>
            <w:r>
              <w:rPr>
                <w:sz w:val="21"/>
              </w:rPr>
              <w:t>严重运动神经元病－</w:t>
            </w:r>
          </w:p>
          <w:p>
            <w:pPr>
              <w:pStyle w:val="TableParagraph"/>
              <w:spacing w:line="312" w:lineRule="exact" w:before="18"/>
              <w:ind w:right="122"/>
              <w:rPr>
                <w:sz w:val="21"/>
              </w:rPr>
            </w:pPr>
            <w:r>
              <w:rPr>
                <w:sz w:val="21"/>
              </w:rPr>
              <w:t>“中国保险行业协会推荐”</w:t>
            </w:r>
          </w:p>
        </w:tc>
        <w:tc>
          <w:tcPr>
            <w:tcW w:w="6458" w:type="dxa"/>
          </w:tcPr>
          <w:p>
            <w:pPr>
              <w:pStyle w:val="TableParagraph"/>
              <w:spacing w:line="310" w:lineRule="atLeast" w:before="95"/>
              <w:ind w:left="91" w:right="303"/>
              <w:jc w:val="both"/>
              <w:rPr>
                <w:sz w:val="21"/>
              </w:rPr>
            </w:pPr>
            <w:r>
              <w:rPr>
                <w:spacing w:val="-5"/>
                <w:sz w:val="21"/>
              </w:rPr>
              <w:t>是一组中枢神经系统运动神经元的进行性变性疾病，包括进行性脊</w:t>
            </w:r>
            <w:r>
              <w:rPr>
                <w:spacing w:val="-8"/>
                <w:sz w:val="21"/>
              </w:rPr>
              <w:t>肌萎缩症、进行性延髓麻痹症、原发性侧索硬化症、肌萎缩性侧索硬化症。须满足自主生活能力完全丧失，无法独立完成六项基本日</w:t>
            </w:r>
            <w:r>
              <w:rPr>
                <w:spacing w:val="-5"/>
                <w:sz w:val="21"/>
              </w:rPr>
              <w:t>常生活活动中的三项或三项以上的条件。</w:t>
            </w:r>
          </w:p>
        </w:tc>
      </w:tr>
    </w:tbl>
    <w:p>
      <w:pPr>
        <w:spacing w:after="0" w:line="310" w:lineRule="atLeast"/>
        <w:jc w:val="both"/>
        <w:rPr>
          <w:sz w:val="21"/>
        </w:rPr>
        <w:sectPr>
          <w:pgSz w:w="11910" w:h="16840"/>
          <w:pgMar w:header="0" w:footer="1121" w:top="1480" w:bottom="1320" w:left="1680" w:right="1080"/>
        </w:sectPr>
      </w:pPr>
    </w:p>
    <w:tbl>
      <w:tblPr>
        <w:tblW w:w="0" w:type="auto"/>
        <w:jc w:val="left"/>
        <w:tblInd w:w="7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1"/>
        <w:gridCol w:w="6388"/>
      </w:tblGrid>
      <w:tr>
        <w:trPr>
          <w:trHeight w:val="1357" w:hRule="atLeast"/>
        </w:trPr>
        <w:tc>
          <w:tcPr>
            <w:tcW w:w="1811" w:type="dxa"/>
          </w:tcPr>
          <w:p>
            <w:pPr>
              <w:pStyle w:val="TableParagraph"/>
              <w:spacing w:line="234" w:lineRule="exact" w:before="0"/>
              <w:rPr>
                <w:sz w:val="21"/>
              </w:rPr>
            </w:pPr>
            <w:r>
              <w:rPr>
                <w:rFonts w:ascii="Times New Roman" w:eastAsia="Times New Roman"/>
                <w:sz w:val="21"/>
              </w:rPr>
              <w:t>( </w:t>
            </w:r>
            <w:r>
              <w:rPr>
                <w:sz w:val="21"/>
              </w:rPr>
              <w:t>二十三</w:t>
            </w:r>
            <w:r>
              <w:rPr>
                <w:rFonts w:ascii="Times New Roman" w:eastAsia="Times New Roman"/>
                <w:sz w:val="21"/>
              </w:rPr>
              <w:t>)  </w:t>
            </w:r>
            <w:r>
              <w:rPr>
                <w:sz w:val="21"/>
              </w:rPr>
              <w:t>语言</w:t>
            </w:r>
          </w:p>
          <w:p>
            <w:pPr>
              <w:pStyle w:val="TableParagraph"/>
              <w:spacing w:line="273" w:lineRule="auto" w:before="21"/>
              <w:ind w:right="119"/>
              <w:jc w:val="both"/>
              <w:rPr>
                <w:sz w:val="21"/>
              </w:rPr>
            </w:pPr>
            <w:r>
              <w:rPr>
                <w:sz w:val="21"/>
              </w:rPr>
              <w:t>能力丧失－“中国保险行业协会推荐”</w:t>
            </w:r>
          </w:p>
        </w:tc>
        <w:tc>
          <w:tcPr>
            <w:tcW w:w="6388" w:type="dxa"/>
          </w:tcPr>
          <w:p>
            <w:pPr>
              <w:pStyle w:val="TableParagraph"/>
              <w:spacing w:line="218" w:lineRule="exact" w:before="0"/>
              <w:ind w:left="91"/>
              <w:rPr>
                <w:sz w:val="21"/>
              </w:rPr>
            </w:pPr>
            <w:r>
              <w:rPr>
                <w:sz w:val="21"/>
              </w:rPr>
              <w:t>指因疾病或意外伤害导致完全丧失语言能力，经过积极治疗至少12</w:t>
            </w:r>
          </w:p>
          <w:p>
            <w:pPr>
              <w:pStyle w:val="TableParagraph"/>
              <w:spacing w:line="273" w:lineRule="auto"/>
              <w:ind w:left="91" w:right="179"/>
              <w:rPr>
                <w:sz w:val="21"/>
              </w:rPr>
            </w:pPr>
            <w:r>
              <w:rPr>
                <w:sz w:val="21"/>
              </w:rPr>
              <w:t>个月（声带完全切除不受此时间限制），仍无法通过现有医疗手段恢复。</w:t>
            </w:r>
          </w:p>
          <w:p>
            <w:pPr>
              <w:pStyle w:val="TableParagraph"/>
              <w:spacing w:before="7"/>
              <w:ind w:left="91"/>
              <w:rPr>
                <w:sz w:val="21"/>
              </w:rPr>
            </w:pPr>
            <w:r>
              <w:rPr>
                <w:sz w:val="21"/>
              </w:rPr>
              <w:t>精神心理因素所致的语言能力丧失不在保障范围内。</w:t>
            </w:r>
          </w:p>
        </w:tc>
      </w:tr>
      <w:tr>
        <w:trPr>
          <w:trHeight w:val="2466" w:hRule="atLeast"/>
        </w:trPr>
        <w:tc>
          <w:tcPr>
            <w:tcW w:w="1811" w:type="dxa"/>
          </w:tcPr>
          <w:p>
            <w:pPr>
              <w:pStyle w:val="TableParagraph"/>
              <w:spacing w:line="256" w:lineRule="auto" w:before="146"/>
              <w:ind w:right="89"/>
              <w:rPr>
                <w:sz w:val="21"/>
              </w:rPr>
            </w:pPr>
            <w:r>
              <w:rPr>
                <w:rFonts w:ascii="Times New Roman" w:eastAsia="Times New Roman"/>
                <w:sz w:val="21"/>
              </w:rPr>
              <w:t>( </w:t>
            </w:r>
            <w:r>
              <w:rPr>
                <w:sz w:val="21"/>
              </w:rPr>
              <w:t>二十四</w:t>
            </w:r>
            <w:r>
              <w:rPr>
                <w:rFonts w:ascii="Times New Roman" w:eastAsia="Times New Roman"/>
                <w:sz w:val="21"/>
              </w:rPr>
              <w:t>) </w:t>
            </w:r>
            <w:r>
              <w:rPr>
                <w:sz w:val="21"/>
              </w:rPr>
              <w:t>重型再生障碍性贫血</w:t>
            </w:r>
          </w:p>
          <w:p>
            <w:pPr>
              <w:pStyle w:val="TableParagraph"/>
              <w:spacing w:line="273" w:lineRule="auto" w:before="22"/>
              <w:ind w:right="121"/>
              <w:rPr>
                <w:sz w:val="21"/>
              </w:rPr>
            </w:pPr>
            <w:r>
              <w:rPr>
                <w:sz w:val="21"/>
              </w:rPr>
              <w:t>－“中国保险行业协会推荐”</w:t>
            </w:r>
          </w:p>
        </w:tc>
        <w:tc>
          <w:tcPr>
            <w:tcW w:w="6388" w:type="dxa"/>
          </w:tcPr>
          <w:p>
            <w:pPr>
              <w:pStyle w:val="TableParagraph"/>
              <w:spacing w:line="273" w:lineRule="auto" w:before="146"/>
              <w:ind w:left="91" w:right="180"/>
              <w:rPr>
                <w:sz w:val="21"/>
              </w:rPr>
            </w:pPr>
            <w:r>
              <w:rPr>
                <w:sz w:val="21"/>
              </w:rPr>
              <w:t>指因骨髓造血功能慢性持续性衰竭导致的贫血、中性粒细胞减少及血小板减少。须满足下列全部条件：</w:t>
            </w:r>
          </w:p>
          <w:p>
            <w:pPr>
              <w:pStyle w:val="TableParagraph"/>
              <w:spacing w:before="8"/>
              <w:ind w:left="91"/>
              <w:rPr>
                <w:sz w:val="21"/>
              </w:rPr>
            </w:pPr>
            <w:r>
              <w:rPr>
                <w:sz w:val="21"/>
              </w:rPr>
              <w:t>（1）骨髓穿刺检查或骨髓活检结果支持诊断；</w:t>
            </w:r>
          </w:p>
          <w:p>
            <w:pPr>
              <w:pStyle w:val="TableParagraph"/>
              <w:spacing w:before="15"/>
              <w:ind w:left="91"/>
              <w:rPr>
                <w:sz w:val="21"/>
              </w:rPr>
            </w:pPr>
            <w:r>
              <w:rPr>
                <w:sz w:val="21"/>
              </w:rPr>
              <w:t>（2）外周血象须具备以下三项条件：</w:t>
            </w:r>
          </w:p>
          <w:p>
            <w:pPr>
              <w:pStyle w:val="TableParagraph"/>
              <w:spacing w:line="99" w:lineRule="exact" w:before="2"/>
              <w:ind w:left="853"/>
              <w:jc w:val="center"/>
              <w:rPr>
                <w:sz w:val="11"/>
              </w:rPr>
            </w:pPr>
            <w:r>
              <w:rPr>
                <w:w w:val="100"/>
                <w:sz w:val="11"/>
              </w:rPr>
              <w:t>9</w:t>
            </w:r>
          </w:p>
          <w:p>
            <w:pPr>
              <w:pStyle w:val="TableParagraph"/>
              <w:spacing w:line="229" w:lineRule="exact" w:before="0"/>
              <w:ind w:left="650"/>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4" w:lineRule="exact" w:before="0"/>
              <w:ind w:left="650"/>
              <w:rPr>
                <w:sz w:val="21"/>
              </w:rPr>
            </w:pPr>
            <w:r>
              <w:rPr>
                <w:sz w:val="21"/>
              </w:rPr>
              <w:t>② 网织红细胞＜1%；</w:t>
            </w:r>
          </w:p>
          <w:p>
            <w:pPr>
              <w:pStyle w:val="TableParagraph"/>
              <w:spacing w:line="99" w:lineRule="exact" w:before="2"/>
              <w:ind w:left="0" w:right="200"/>
              <w:jc w:val="center"/>
              <w:rPr>
                <w:sz w:val="11"/>
              </w:rPr>
            </w:pPr>
            <w:r>
              <w:rPr>
                <w:w w:val="100"/>
                <w:sz w:val="11"/>
              </w:rPr>
              <w:t>9</w:t>
            </w:r>
          </w:p>
          <w:p>
            <w:pPr>
              <w:pStyle w:val="TableParagraph"/>
              <w:spacing w:line="230" w:lineRule="exact" w:before="0"/>
              <w:ind w:left="650"/>
              <w:rPr>
                <w:sz w:val="21"/>
              </w:rPr>
            </w:pPr>
            <w:r>
              <w:rPr>
                <w:sz w:val="21"/>
              </w:rPr>
              <w:t>③ 血小板绝对值≤20×10 /L。</w:t>
            </w:r>
          </w:p>
        </w:tc>
      </w:tr>
      <w:tr>
        <w:trPr>
          <w:trHeight w:val="1551" w:hRule="atLeast"/>
        </w:trPr>
        <w:tc>
          <w:tcPr>
            <w:tcW w:w="1811" w:type="dxa"/>
          </w:tcPr>
          <w:p>
            <w:pPr>
              <w:pStyle w:val="TableParagraph"/>
              <w:spacing w:line="266" w:lineRule="auto" w:before="138"/>
              <w:ind w:right="89"/>
              <w:jc w:val="both"/>
              <w:rPr>
                <w:sz w:val="21"/>
              </w:rPr>
            </w:pPr>
            <w:r>
              <w:rPr>
                <w:rFonts w:ascii="Times New Roman" w:hAnsi="Times New Roman" w:eastAsia="Times New Roman"/>
                <w:sz w:val="21"/>
              </w:rPr>
              <w:t>( </w:t>
            </w:r>
            <w:r>
              <w:rPr>
                <w:sz w:val="21"/>
              </w:rPr>
              <w:t>二十五</w:t>
            </w:r>
            <w:r>
              <w:rPr>
                <w:rFonts w:ascii="Times New Roman" w:hAnsi="Times New Roman" w:eastAsia="Times New Roman"/>
                <w:sz w:val="21"/>
              </w:rPr>
              <w:t>) </w:t>
            </w:r>
            <w:r>
              <w:rPr>
                <w:sz w:val="21"/>
              </w:rPr>
              <w:t>主动脉手术－“中国保险行业协会推荐”</w:t>
            </w:r>
          </w:p>
        </w:tc>
        <w:tc>
          <w:tcPr>
            <w:tcW w:w="6388" w:type="dxa"/>
          </w:tcPr>
          <w:p>
            <w:pPr>
              <w:pStyle w:val="TableParagraph"/>
              <w:spacing w:line="273" w:lineRule="auto" w:before="138"/>
              <w:ind w:left="91" w:right="197"/>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
              <w:ind w:left="91"/>
              <w:jc w:val="both"/>
              <w:rPr>
                <w:sz w:val="21"/>
              </w:rPr>
            </w:pPr>
            <w:r>
              <w:rPr>
                <w:sz w:val="21"/>
              </w:rPr>
              <w:t>动脉内血管成形术不在保障范围内。</w:t>
            </w:r>
          </w:p>
        </w:tc>
      </w:tr>
      <w:tr>
        <w:trPr>
          <w:trHeight w:val="1264" w:hRule="atLeast"/>
        </w:trPr>
        <w:tc>
          <w:tcPr>
            <w:tcW w:w="1811" w:type="dxa"/>
          </w:tcPr>
          <w:p>
            <w:pPr>
              <w:pStyle w:val="TableParagraph"/>
              <w:spacing w:line="256" w:lineRule="auto" w:before="146"/>
              <w:ind w:right="89"/>
              <w:rPr>
                <w:sz w:val="21"/>
              </w:rPr>
            </w:pPr>
            <w:r>
              <w:rPr>
                <w:rFonts w:ascii="Times New Roman" w:eastAsia="Times New Roman"/>
                <w:sz w:val="21"/>
              </w:rPr>
              <w:t>( </w:t>
            </w:r>
            <w:r>
              <w:rPr>
                <w:sz w:val="21"/>
              </w:rPr>
              <w:t>二十六</w:t>
            </w:r>
            <w:r>
              <w:rPr>
                <w:rFonts w:ascii="Times New Roman" w:eastAsia="Times New Roman"/>
                <w:sz w:val="21"/>
              </w:rPr>
              <w:t>) </w:t>
            </w:r>
            <w:r>
              <w:rPr>
                <w:sz w:val="21"/>
              </w:rPr>
              <w:t>血管成形术</w:t>
            </w:r>
          </w:p>
        </w:tc>
        <w:tc>
          <w:tcPr>
            <w:tcW w:w="6388" w:type="dxa"/>
          </w:tcPr>
          <w:p>
            <w:pPr>
              <w:pStyle w:val="TableParagraph"/>
              <w:spacing w:line="273" w:lineRule="auto" w:before="146"/>
              <w:ind w:left="91" w:right="233"/>
              <w:jc w:val="both"/>
              <w:rPr>
                <w:sz w:val="21"/>
              </w:rPr>
            </w:pPr>
            <w:r>
              <w:rPr>
                <w:spacing w:val="-6"/>
                <w:sz w:val="21"/>
              </w:rPr>
              <w:t>对于有心绞痛限制症状的被保险人，实际进行的通过气囊扩张法来矫正三个或更多的动脉变窄或阻塞的手术。索赔时必须提供血管造影报告并证明有两个或更多的冠状动脉出现 </w:t>
            </w:r>
            <w:r>
              <w:rPr>
                <w:rFonts w:ascii="Times New Roman" w:eastAsia="Times New Roman"/>
                <w:sz w:val="21"/>
              </w:rPr>
              <w:t>80</w:t>
            </w:r>
            <w:r>
              <w:rPr>
                <w:spacing w:val="-3"/>
                <w:sz w:val="21"/>
              </w:rPr>
              <w:t>％以上的阻塞。</w:t>
            </w:r>
          </w:p>
        </w:tc>
      </w:tr>
      <w:tr>
        <w:trPr>
          <w:trHeight w:val="2808" w:hRule="atLeast"/>
        </w:trPr>
        <w:tc>
          <w:tcPr>
            <w:tcW w:w="1811" w:type="dxa"/>
          </w:tcPr>
          <w:p>
            <w:pPr>
              <w:pStyle w:val="TableParagraph"/>
              <w:spacing w:line="256" w:lineRule="auto" w:before="146"/>
              <w:ind w:right="89"/>
              <w:rPr>
                <w:sz w:val="21"/>
              </w:rPr>
            </w:pPr>
            <w:r>
              <w:rPr>
                <w:rFonts w:ascii="Times New Roman" w:eastAsia="Times New Roman"/>
                <w:sz w:val="21"/>
              </w:rPr>
              <w:t>( </w:t>
            </w:r>
            <w:r>
              <w:rPr>
                <w:sz w:val="21"/>
              </w:rPr>
              <w:t>二十七</w:t>
            </w:r>
            <w:r>
              <w:rPr>
                <w:rFonts w:ascii="Times New Roman" w:eastAsia="Times New Roman"/>
                <w:sz w:val="21"/>
              </w:rPr>
              <w:t>) </w:t>
            </w:r>
            <w:r>
              <w:rPr>
                <w:sz w:val="21"/>
              </w:rPr>
              <w:t>心肌病</w:t>
            </w:r>
          </w:p>
        </w:tc>
        <w:tc>
          <w:tcPr>
            <w:tcW w:w="6388" w:type="dxa"/>
          </w:tcPr>
          <w:p>
            <w:pPr>
              <w:pStyle w:val="TableParagraph"/>
              <w:spacing w:line="273" w:lineRule="auto" w:before="146"/>
              <w:ind w:left="91" w:right="233"/>
              <w:rPr>
                <w:sz w:val="21"/>
              </w:rPr>
            </w:pPr>
            <w:r>
              <w:rPr>
                <w:spacing w:val="-5"/>
                <w:sz w:val="21"/>
              </w:rPr>
              <w:t>心肌病是指伴有心肌功能障碍的心肌疾病，病变必须已造成事实上</w:t>
            </w:r>
            <w:r>
              <w:rPr>
                <w:spacing w:val="-4"/>
                <w:sz w:val="21"/>
              </w:rPr>
              <w:t>心室功能障碍而出现明显的心功能衰竭(美国纽约心脏协会心功能</w:t>
            </w:r>
            <w:r>
              <w:rPr>
                <w:spacing w:val="-3"/>
                <w:sz w:val="21"/>
              </w:rPr>
              <w:t>分类标准心功能达三级</w:t>
            </w:r>
            <w:r>
              <w:rPr>
                <w:spacing w:val="-13"/>
                <w:sz w:val="21"/>
              </w:rPr>
              <w:t>*</w:t>
            </w:r>
            <w:r>
              <w:rPr>
                <w:spacing w:val="-6"/>
                <w:sz w:val="21"/>
              </w:rPr>
              <w:t>)，且有相关住院医疗记录显示三级心功能</w:t>
            </w:r>
            <w:r>
              <w:rPr>
                <w:spacing w:val="-4"/>
                <w:sz w:val="21"/>
              </w:rPr>
              <w:t>衰竭状态持续至少</w:t>
            </w:r>
            <w:r>
              <w:rPr>
                <w:sz w:val="21"/>
              </w:rPr>
              <w:t>90</w:t>
            </w:r>
            <w:r>
              <w:rPr>
                <w:spacing w:val="-8"/>
                <w:sz w:val="21"/>
              </w:rPr>
              <w:t>天。该疾病索赔时须要经专科医师做出明确诊</w:t>
            </w:r>
            <w:r>
              <w:rPr>
                <w:spacing w:val="-5"/>
                <w:sz w:val="21"/>
              </w:rPr>
              <w:t>断。继发于全身性疾病或器官系统疾病不属本保障范围。</w:t>
            </w:r>
          </w:p>
          <w:p>
            <w:pPr>
              <w:pStyle w:val="TableParagraph"/>
              <w:spacing w:line="273" w:lineRule="auto" w:before="7"/>
              <w:ind w:left="91" w:right="233"/>
              <w:jc w:val="both"/>
              <w:rPr>
                <w:sz w:val="21"/>
              </w:rPr>
            </w:pPr>
            <w:r>
              <w:rPr>
                <w:sz w:val="21"/>
              </w:rPr>
              <w:t>*美国纽约心脏协会分类标准的心功能三级是指有医院的医疗记录</w:t>
            </w:r>
            <w:r>
              <w:rPr>
                <w:spacing w:val="-6"/>
                <w:sz w:val="21"/>
              </w:rPr>
              <w:t>显示病人体力活动明显受限，休息时无症状，轻于日常的活动即可</w:t>
            </w:r>
            <w:r>
              <w:rPr>
                <w:spacing w:val="-4"/>
                <w:sz w:val="21"/>
              </w:rPr>
              <w:t>引起乏力、心悸、呼吸困难或心绞痛等心力衰竭表现。</w:t>
            </w:r>
          </w:p>
        </w:tc>
      </w:tr>
      <w:tr>
        <w:trPr>
          <w:trHeight w:val="2496" w:hRule="atLeast"/>
        </w:trPr>
        <w:tc>
          <w:tcPr>
            <w:tcW w:w="1811" w:type="dxa"/>
          </w:tcPr>
          <w:p>
            <w:pPr>
              <w:pStyle w:val="TableParagraph"/>
              <w:spacing w:line="256" w:lineRule="auto" w:before="146"/>
              <w:ind w:right="89"/>
              <w:rPr>
                <w:sz w:val="21"/>
              </w:rPr>
            </w:pPr>
            <w:r>
              <w:rPr>
                <w:rFonts w:ascii="Times New Roman" w:eastAsia="Times New Roman"/>
                <w:sz w:val="21"/>
              </w:rPr>
              <w:t>( </w:t>
            </w:r>
            <w:r>
              <w:rPr>
                <w:sz w:val="21"/>
              </w:rPr>
              <w:t>二十八</w:t>
            </w:r>
            <w:r>
              <w:rPr>
                <w:rFonts w:ascii="Times New Roman" w:eastAsia="Times New Roman"/>
                <w:sz w:val="21"/>
              </w:rPr>
              <w:t>) </w:t>
            </w:r>
            <w:r>
              <w:rPr>
                <w:sz w:val="21"/>
              </w:rPr>
              <w:t>多发性硬化</w:t>
            </w:r>
          </w:p>
        </w:tc>
        <w:tc>
          <w:tcPr>
            <w:tcW w:w="6388" w:type="dxa"/>
          </w:tcPr>
          <w:p>
            <w:pPr>
              <w:pStyle w:val="TableParagraph"/>
              <w:spacing w:line="273" w:lineRule="auto" w:before="146"/>
              <w:ind w:left="91" w:right="233"/>
              <w:rPr>
                <w:sz w:val="21"/>
              </w:rPr>
            </w:pPr>
            <w:r>
              <w:rPr>
                <w:spacing w:val="-5"/>
                <w:sz w:val="21"/>
              </w:rPr>
              <w:t>必须经本公司认可医疗机构的神经专科医师确诊。必须伴有典型的</w:t>
            </w:r>
            <w:r>
              <w:rPr>
                <w:spacing w:val="-4"/>
                <w:sz w:val="21"/>
              </w:rPr>
              <w:t>脱髓鞘症状和运动及感觉功能障碍的证据并有</w:t>
            </w:r>
            <w:r>
              <w:rPr>
                <w:sz w:val="21"/>
              </w:rPr>
              <w:t>MRI</w:t>
            </w:r>
            <w:r>
              <w:rPr>
                <w:spacing w:val="-3"/>
                <w:sz w:val="21"/>
              </w:rPr>
              <w:t>检查的典型改  变。</w:t>
            </w:r>
          </w:p>
          <w:p>
            <w:pPr>
              <w:pStyle w:val="TableParagraph"/>
              <w:spacing w:line="266" w:lineRule="auto" w:before="8"/>
              <w:ind w:left="91" w:right="233"/>
              <w:jc w:val="both"/>
              <w:rPr>
                <w:sz w:val="21"/>
              </w:rPr>
            </w:pPr>
            <w:r>
              <w:rPr>
                <w:spacing w:val="-7"/>
                <w:sz w:val="21"/>
              </w:rPr>
              <w:t>诊断须包括：中枢神经系统功能障碍症状必须不间断地持续至少六</w:t>
            </w:r>
            <w:r>
              <w:rPr>
                <w:spacing w:val="-8"/>
                <w:sz w:val="21"/>
              </w:rPr>
              <w:t>个月，或者有至少两次发作的临床记录且发作间隔至少一个月，或</w:t>
            </w:r>
            <w:r>
              <w:rPr>
                <w:spacing w:val="-3"/>
                <w:sz w:val="21"/>
              </w:rPr>
              <w:t>至少有一次临床发作记录且有典型的脑脊液改变并伴 </w:t>
            </w:r>
            <w:r>
              <w:rPr>
                <w:rFonts w:ascii="Times New Roman" w:eastAsia="Times New Roman"/>
                <w:sz w:val="21"/>
              </w:rPr>
              <w:t>MRI </w:t>
            </w:r>
            <w:r>
              <w:rPr>
                <w:sz w:val="21"/>
              </w:rPr>
              <w:t>的损伤表现。</w:t>
            </w:r>
          </w:p>
        </w:tc>
      </w:tr>
      <w:tr>
        <w:trPr>
          <w:trHeight w:val="1668" w:hRule="atLeast"/>
        </w:trPr>
        <w:tc>
          <w:tcPr>
            <w:tcW w:w="1811" w:type="dxa"/>
          </w:tcPr>
          <w:p>
            <w:pPr>
              <w:pStyle w:val="TableParagraph"/>
              <w:spacing w:line="256" w:lineRule="auto" w:before="146"/>
              <w:ind w:right="89"/>
              <w:rPr>
                <w:sz w:val="21"/>
              </w:rPr>
            </w:pPr>
            <w:r>
              <w:rPr>
                <w:rFonts w:ascii="Times New Roman" w:eastAsia="Times New Roman"/>
                <w:sz w:val="21"/>
              </w:rPr>
              <w:t>( </w:t>
            </w:r>
            <w:r>
              <w:rPr>
                <w:sz w:val="21"/>
              </w:rPr>
              <w:t>二十九</w:t>
            </w:r>
            <w:r>
              <w:rPr>
                <w:rFonts w:ascii="Times New Roman" w:eastAsia="Times New Roman"/>
                <w:sz w:val="21"/>
              </w:rPr>
              <w:t>) </w:t>
            </w:r>
            <w:r>
              <w:rPr>
                <w:sz w:val="21"/>
              </w:rPr>
              <w:t>慢性呼吸衰竭</w:t>
            </w:r>
          </w:p>
        </w:tc>
        <w:tc>
          <w:tcPr>
            <w:tcW w:w="6388" w:type="dxa"/>
          </w:tcPr>
          <w:p>
            <w:pPr>
              <w:pStyle w:val="TableParagraph"/>
              <w:spacing w:line="273" w:lineRule="auto" w:before="146"/>
              <w:ind w:left="91" w:right="233"/>
              <w:rPr>
                <w:sz w:val="21"/>
              </w:rPr>
            </w:pPr>
            <w:r>
              <w:rPr>
                <w:spacing w:val="-3"/>
                <w:sz w:val="21"/>
              </w:rPr>
              <w:t>被保险人患有慢性呼吸系统疾病或导致呼吸功能障碍的疾病而出 </w:t>
            </w:r>
            <w:r>
              <w:rPr>
                <w:spacing w:val="-6"/>
                <w:sz w:val="21"/>
              </w:rPr>
              <w:t>现永久不可逆性的慢性呼吸衰竭，由呼吸专科医师确认并符合以下各项：</w:t>
            </w:r>
          </w:p>
          <w:p>
            <w:pPr>
              <w:pStyle w:val="TableParagraph"/>
              <w:numPr>
                <w:ilvl w:val="0"/>
                <w:numId w:val="7"/>
              </w:numPr>
              <w:tabs>
                <w:tab w:pos="723" w:val="left" w:leader="none"/>
              </w:tabs>
              <w:spacing w:line="240" w:lineRule="auto" w:before="8" w:after="0"/>
              <w:ind w:left="722" w:right="0" w:hanging="631"/>
              <w:jc w:val="left"/>
              <w:rPr>
                <w:sz w:val="21"/>
              </w:rPr>
            </w:pPr>
            <w:r>
              <w:rPr>
                <w:spacing w:val="-3"/>
                <w:sz w:val="21"/>
              </w:rPr>
              <w:t>休息时出现呼吸困难；</w:t>
            </w:r>
          </w:p>
          <w:p>
            <w:pPr>
              <w:pStyle w:val="TableParagraph"/>
              <w:numPr>
                <w:ilvl w:val="0"/>
                <w:numId w:val="7"/>
              </w:numPr>
              <w:tabs>
                <w:tab w:pos="723" w:val="left" w:leader="none"/>
              </w:tabs>
              <w:spacing w:line="255" w:lineRule="exact" w:before="37" w:after="0"/>
              <w:ind w:left="722" w:right="0" w:hanging="631"/>
              <w:jc w:val="left"/>
              <w:rPr>
                <w:sz w:val="21"/>
              </w:rPr>
            </w:pPr>
            <w:r>
              <w:rPr>
                <w:spacing w:val="-3"/>
                <w:sz w:val="21"/>
              </w:rPr>
              <w:t>动脉血气分析氧分压</w:t>
            </w:r>
            <w:r>
              <w:rPr>
                <w:spacing w:val="-1"/>
                <w:sz w:val="21"/>
              </w:rPr>
              <w:t>（PaO2）&lt;60mmHg；</w:t>
            </w:r>
          </w:p>
        </w:tc>
      </w:tr>
    </w:tbl>
    <w:p>
      <w:pPr>
        <w:spacing w:after="0" w:line="255" w:lineRule="exact"/>
        <w:jc w:val="left"/>
        <w:rPr>
          <w:sz w:val="21"/>
        </w:rPr>
        <w:sectPr>
          <w:pgSz w:w="11910" w:h="16840"/>
          <w:pgMar w:header="0" w:footer="1121" w:top="1460" w:bottom="1320" w:left="1680" w:right="114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867"/>
        <w:gridCol w:w="6467"/>
      </w:tblGrid>
      <w:tr>
        <w:trPr>
          <w:trHeight w:val="414" w:hRule="atLeast"/>
        </w:trPr>
        <w:tc>
          <w:tcPr>
            <w:tcW w:w="783" w:type="dxa"/>
          </w:tcPr>
          <w:p>
            <w:pPr>
              <w:pStyle w:val="TableParagraph"/>
              <w:spacing w:before="0"/>
              <w:ind w:left="0"/>
              <w:rPr>
                <w:rFonts w:ascii="Times New Roman"/>
                <w:sz w:val="20"/>
              </w:rPr>
            </w:pPr>
          </w:p>
        </w:tc>
        <w:tc>
          <w:tcPr>
            <w:tcW w:w="1867" w:type="dxa"/>
          </w:tcPr>
          <w:p>
            <w:pPr>
              <w:pStyle w:val="TableParagraph"/>
              <w:spacing w:before="0"/>
              <w:ind w:left="0"/>
              <w:rPr>
                <w:rFonts w:ascii="Times New Roman"/>
                <w:sz w:val="20"/>
              </w:rPr>
            </w:pPr>
          </w:p>
        </w:tc>
        <w:tc>
          <w:tcPr>
            <w:tcW w:w="6467" w:type="dxa"/>
          </w:tcPr>
          <w:p>
            <w:pPr>
              <w:pStyle w:val="TableParagraph"/>
              <w:spacing w:line="204" w:lineRule="exact" w:before="0"/>
              <w:ind w:left="101"/>
              <w:rPr>
                <w:sz w:val="21"/>
              </w:rPr>
            </w:pPr>
            <w:r>
              <w:rPr>
                <w:sz w:val="21"/>
              </w:rPr>
              <w:t>（3） 因缺氧必须接受持续的输氧治疗。</w:t>
            </w:r>
          </w:p>
        </w:tc>
      </w:tr>
      <w:tr>
        <w:trPr>
          <w:trHeight w:val="4528" w:hRule="atLeast"/>
        </w:trPr>
        <w:tc>
          <w:tcPr>
            <w:tcW w:w="783" w:type="dxa"/>
          </w:tcPr>
          <w:p>
            <w:pPr>
              <w:pStyle w:val="TableParagraph"/>
              <w:spacing w:before="0"/>
              <w:ind w:left="0"/>
              <w:rPr>
                <w:rFonts w:ascii="Times New Roman"/>
                <w:sz w:val="20"/>
              </w:rPr>
            </w:pPr>
          </w:p>
        </w:tc>
        <w:tc>
          <w:tcPr>
            <w:tcW w:w="1867" w:type="dxa"/>
          </w:tcPr>
          <w:p>
            <w:pPr>
              <w:pStyle w:val="TableParagraph"/>
              <w:spacing w:line="256" w:lineRule="auto" w:before="139"/>
              <w:ind w:left="266" w:right="79"/>
              <w:rPr>
                <w:sz w:val="21"/>
              </w:rPr>
            </w:pPr>
            <w:r>
              <w:rPr>
                <w:rFonts w:ascii="Times New Roman" w:eastAsia="Times New Roman"/>
                <w:sz w:val="21"/>
              </w:rPr>
              <w:t>( </w:t>
            </w:r>
            <w:r>
              <w:rPr>
                <w:sz w:val="21"/>
              </w:rPr>
              <w:t>三十</w:t>
            </w:r>
            <w:r>
              <w:rPr>
                <w:rFonts w:ascii="Times New Roman" w:eastAsia="Times New Roman"/>
                <w:sz w:val="21"/>
              </w:rPr>
              <w:t>) </w:t>
            </w:r>
            <w:r>
              <w:rPr>
                <w:sz w:val="21"/>
              </w:rPr>
              <w:t>经输血感染艾滋病病毒</w:t>
            </w:r>
          </w:p>
        </w:tc>
        <w:tc>
          <w:tcPr>
            <w:tcW w:w="6467" w:type="dxa"/>
          </w:tcPr>
          <w:p>
            <w:pPr>
              <w:pStyle w:val="TableParagraph"/>
              <w:spacing w:before="139"/>
              <w:ind w:left="82"/>
              <w:rPr>
                <w:sz w:val="21"/>
              </w:rPr>
            </w:pPr>
            <w:r>
              <w:rPr>
                <w:sz w:val="21"/>
              </w:rPr>
              <w:t>被保险人感染上艾滋病病毒（HIV）并且符合下列所有条件：</w:t>
            </w:r>
          </w:p>
          <w:p>
            <w:pPr>
              <w:pStyle w:val="TableParagraph"/>
              <w:numPr>
                <w:ilvl w:val="0"/>
                <w:numId w:val="8"/>
              </w:numPr>
              <w:tabs>
                <w:tab w:pos="664" w:val="left" w:leader="none"/>
              </w:tabs>
              <w:spacing w:line="273" w:lineRule="auto" w:before="37" w:after="0"/>
              <w:ind w:left="101" w:right="199" w:firstLine="0"/>
              <w:jc w:val="left"/>
              <w:rPr>
                <w:sz w:val="21"/>
              </w:rPr>
            </w:pPr>
            <w:r>
              <w:rPr>
                <w:spacing w:val="-9"/>
                <w:sz w:val="21"/>
              </w:rPr>
              <w:t>保障起始日或复效日之后，被保险人因治疗必需而接受输血， </w:t>
            </w:r>
            <w:r>
              <w:rPr>
                <w:spacing w:val="-3"/>
                <w:sz w:val="21"/>
              </w:rPr>
              <w:t>并且因输血而感染</w:t>
            </w:r>
            <w:r>
              <w:rPr>
                <w:sz w:val="21"/>
              </w:rPr>
              <w:t>HIV；</w:t>
            </w:r>
          </w:p>
          <w:p>
            <w:pPr>
              <w:pStyle w:val="TableParagraph"/>
              <w:numPr>
                <w:ilvl w:val="0"/>
                <w:numId w:val="8"/>
              </w:numPr>
              <w:tabs>
                <w:tab w:pos="697" w:val="left" w:leader="none"/>
              </w:tabs>
              <w:spacing w:line="273" w:lineRule="auto" w:before="7" w:after="0"/>
              <w:ind w:left="101" w:right="302" w:firstLine="0"/>
              <w:jc w:val="left"/>
              <w:rPr>
                <w:sz w:val="21"/>
              </w:rPr>
            </w:pPr>
            <w:r>
              <w:rPr>
                <w:spacing w:val="-3"/>
                <w:sz w:val="21"/>
              </w:rPr>
              <w:t>供输血治疗的输血中心或医院出具该项输血感染属医疗责任事故的报告，或者法院终审裁定为医疗责任并且不准上诉；</w:t>
            </w:r>
          </w:p>
          <w:p>
            <w:pPr>
              <w:pStyle w:val="TableParagraph"/>
              <w:numPr>
                <w:ilvl w:val="0"/>
                <w:numId w:val="8"/>
              </w:numPr>
              <w:tabs>
                <w:tab w:pos="733" w:val="left" w:leader="none"/>
              </w:tabs>
              <w:spacing w:line="240" w:lineRule="auto" w:before="7" w:after="0"/>
              <w:ind w:left="732" w:right="0" w:hanging="631"/>
              <w:jc w:val="left"/>
              <w:rPr>
                <w:sz w:val="21"/>
              </w:rPr>
            </w:pPr>
            <w:r>
              <w:rPr>
                <w:spacing w:val="-3"/>
                <w:sz w:val="21"/>
              </w:rPr>
              <w:t>供输血治疗的输血中心或医院必须拥有合法经营执照；</w:t>
            </w:r>
          </w:p>
          <w:p>
            <w:pPr>
              <w:pStyle w:val="TableParagraph"/>
              <w:numPr>
                <w:ilvl w:val="0"/>
                <w:numId w:val="8"/>
              </w:numPr>
              <w:tabs>
                <w:tab w:pos="733" w:val="left" w:leader="none"/>
              </w:tabs>
              <w:spacing w:line="240" w:lineRule="auto" w:before="37" w:after="0"/>
              <w:ind w:left="732" w:right="0" w:hanging="631"/>
              <w:jc w:val="left"/>
              <w:rPr>
                <w:sz w:val="21"/>
              </w:rPr>
            </w:pPr>
            <w:r>
              <w:rPr>
                <w:spacing w:val="-3"/>
                <w:sz w:val="21"/>
              </w:rPr>
              <w:t>感染的被保险人不是血友病患者。</w:t>
            </w:r>
          </w:p>
          <w:p>
            <w:pPr>
              <w:pStyle w:val="TableParagraph"/>
              <w:spacing w:line="273" w:lineRule="auto" w:before="21"/>
              <w:ind w:left="101" w:right="196"/>
              <w:rPr>
                <w:sz w:val="21"/>
              </w:rPr>
            </w:pPr>
            <w:r>
              <w:rPr>
                <w:spacing w:val="-12"/>
                <w:sz w:val="21"/>
              </w:rPr>
              <w:t>在任何治愈艾滋病</w:t>
            </w:r>
            <w:r>
              <w:rPr>
                <w:spacing w:val="-13"/>
                <w:sz w:val="21"/>
              </w:rPr>
              <w:t>（AIDS）</w:t>
            </w:r>
            <w:r>
              <w:rPr>
                <w:spacing w:val="-11"/>
                <w:sz w:val="21"/>
              </w:rPr>
              <w:t>或阻止 </w:t>
            </w:r>
            <w:r>
              <w:rPr>
                <w:sz w:val="21"/>
              </w:rPr>
              <w:t>HIV</w:t>
            </w:r>
            <w:r>
              <w:rPr>
                <w:spacing w:val="-8"/>
                <w:sz w:val="21"/>
              </w:rPr>
              <w:t> 病毒作用的疗法被发现以后， </w:t>
            </w:r>
            <w:r>
              <w:rPr>
                <w:spacing w:val="-15"/>
                <w:sz w:val="21"/>
              </w:rPr>
              <w:t>或能防止 </w:t>
            </w:r>
            <w:r>
              <w:rPr>
                <w:sz w:val="21"/>
              </w:rPr>
              <w:t>AIDS</w:t>
            </w:r>
            <w:r>
              <w:rPr>
                <w:spacing w:val="-9"/>
                <w:sz w:val="21"/>
              </w:rPr>
              <w:t> 发生的医疗方法被研究出来以后，本保障将不再予以</w:t>
            </w:r>
            <w:r>
              <w:rPr>
                <w:spacing w:val="-4"/>
                <w:sz w:val="21"/>
              </w:rPr>
              <w:t>赔付。</w:t>
            </w:r>
          </w:p>
          <w:p>
            <w:pPr>
              <w:pStyle w:val="TableParagraph"/>
              <w:spacing w:line="264" w:lineRule="auto" w:before="8"/>
              <w:ind w:left="101" w:right="268"/>
              <w:jc w:val="both"/>
              <w:rPr>
                <w:sz w:val="21"/>
              </w:rPr>
            </w:pPr>
            <w:r>
              <w:rPr>
                <w:sz w:val="21"/>
              </w:rPr>
              <w:t>任何因其他传播方式（包括：性传播或静脉注射毒品）导致的</w:t>
            </w:r>
            <w:r>
              <w:rPr>
                <w:rFonts w:ascii="Times New Roman" w:eastAsia="Times New Roman"/>
                <w:sz w:val="21"/>
              </w:rPr>
              <w:t>HIV </w:t>
            </w:r>
            <w:r>
              <w:rPr>
                <w:sz w:val="21"/>
              </w:rPr>
              <w:t>感染不在本保单保障范围内。保险公司必须拥有获得和使用被保险人的所有血液样本的权力和能够对这些样本进行独立检验的权力。</w:t>
            </w:r>
          </w:p>
        </w:tc>
      </w:tr>
      <w:tr>
        <w:trPr>
          <w:trHeight w:val="1092" w:hRule="atLeast"/>
        </w:trPr>
        <w:tc>
          <w:tcPr>
            <w:tcW w:w="783" w:type="dxa"/>
          </w:tcPr>
          <w:p>
            <w:pPr>
              <w:pStyle w:val="TableParagraph"/>
              <w:spacing w:before="4"/>
              <w:ind w:left="0"/>
              <w:rPr>
                <w:rFonts w:ascii="Times New Roman"/>
                <w:sz w:val="25"/>
              </w:rPr>
            </w:pPr>
          </w:p>
          <w:p>
            <w:pPr>
              <w:pStyle w:val="TableParagraph"/>
              <w:spacing w:before="0"/>
              <w:rPr>
                <w:b/>
                <w:sz w:val="21"/>
              </w:rPr>
            </w:pPr>
            <w:r>
              <w:rPr>
                <w:b/>
                <w:sz w:val="21"/>
              </w:rPr>
              <w:t>6.3</w:t>
            </w:r>
          </w:p>
        </w:tc>
        <w:tc>
          <w:tcPr>
            <w:tcW w:w="1867" w:type="dxa"/>
          </w:tcPr>
          <w:p>
            <w:pPr>
              <w:pStyle w:val="TableParagraph"/>
              <w:spacing w:before="4"/>
              <w:ind w:left="0"/>
              <w:rPr>
                <w:rFonts w:ascii="Times New Roman"/>
                <w:sz w:val="25"/>
              </w:rPr>
            </w:pPr>
          </w:p>
          <w:p>
            <w:pPr>
              <w:pStyle w:val="TableParagraph"/>
              <w:spacing w:before="0"/>
              <w:ind w:left="266"/>
              <w:rPr>
                <w:b/>
                <w:sz w:val="21"/>
              </w:rPr>
            </w:pPr>
            <w:r>
              <w:rPr>
                <w:b/>
                <w:sz w:val="21"/>
              </w:rPr>
              <w:t>意外伤害</w:t>
            </w:r>
          </w:p>
        </w:tc>
        <w:tc>
          <w:tcPr>
            <w:tcW w:w="6467" w:type="dxa"/>
          </w:tcPr>
          <w:p>
            <w:pPr>
              <w:pStyle w:val="TableParagraph"/>
              <w:spacing w:before="4"/>
              <w:ind w:left="0"/>
              <w:rPr>
                <w:rFonts w:ascii="Times New Roman"/>
                <w:sz w:val="25"/>
              </w:rPr>
            </w:pPr>
          </w:p>
          <w:p>
            <w:pPr>
              <w:pStyle w:val="TableParagraph"/>
              <w:spacing w:line="273" w:lineRule="auto" w:before="0"/>
              <w:ind w:left="101" w:right="259"/>
              <w:rPr>
                <w:sz w:val="21"/>
              </w:rPr>
            </w:pPr>
            <w:r>
              <w:rPr>
                <w:sz w:val="21"/>
              </w:rPr>
              <w:t>指遭受外来的、突发的、非本意的、非疾病的使身体受到伤害的客观事件。</w:t>
            </w:r>
          </w:p>
        </w:tc>
      </w:tr>
      <w:tr>
        <w:trPr>
          <w:trHeight w:val="2504" w:hRule="atLeast"/>
        </w:trPr>
        <w:tc>
          <w:tcPr>
            <w:tcW w:w="783" w:type="dxa"/>
          </w:tcPr>
          <w:p>
            <w:pPr>
              <w:pStyle w:val="TableParagraph"/>
              <w:spacing w:before="135"/>
              <w:rPr>
                <w:b/>
                <w:sz w:val="21"/>
              </w:rPr>
            </w:pPr>
            <w:r>
              <w:rPr>
                <w:b/>
                <w:sz w:val="21"/>
              </w:rPr>
              <w:t>6.4</w:t>
            </w:r>
          </w:p>
        </w:tc>
        <w:tc>
          <w:tcPr>
            <w:tcW w:w="1867" w:type="dxa"/>
          </w:tcPr>
          <w:p>
            <w:pPr>
              <w:pStyle w:val="TableParagraph"/>
              <w:spacing w:before="135"/>
              <w:ind w:left="266"/>
              <w:rPr>
                <w:b/>
                <w:sz w:val="21"/>
              </w:rPr>
            </w:pPr>
            <w:r>
              <w:rPr>
                <w:b/>
                <w:sz w:val="21"/>
              </w:rPr>
              <w:t>专科医生</w:t>
            </w:r>
          </w:p>
        </w:tc>
        <w:tc>
          <w:tcPr>
            <w:tcW w:w="6467" w:type="dxa"/>
          </w:tcPr>
          <w:p>
            <w:pPr>
              <w:pStyle w:val="TableParagraph"/>
              <w:spacing w:before="135"/>
              <w:ind w:left="101"/>
              <w:rPr>
                <w:sz w:val="21"/>
              </w:rPr>
            </w:pPr>
            <w:r>
              <w:rPr>
                <w:sz w:val="21"/>
              </w:rPr>
              <w:t>专科医生应当同时满足以下四项资格条件：</w:t>
            </w:r>
          </w:p>
          <w:p>
            <w:pPr>
              <w:pStyle w:val="TableParagraph"/>
              <w:spacing w:before="36"/>
              <w:ind w:left="101"/>
              <w:rPr>
                <w:sz w:val="21"/>
              </w:rPr>
            </w:pPr>
            <w:r>
              <w:rPr>
                <w:sz w:val="21"/>
              </w:rPr>
              <w:t>（1）具有有效的中华人民共和国《医师资格证书》；</w:t>
            </w:r>
          </w:p>
          <w:p>
            <w:pPr>
              <w:pStyle w:val="TableParagraph"/>
              <w:spacing w:line="273" w:lineRule="auto" w:before="36"/>
              <w:ind w:left="101" w:right="309"/>
              <w:rPr>
                <w:sz w:val="21"/>
              </w:rPr>
            </w:pPr>
            <w:r>
              <w:rPr>
                <w:sz w:val="21"/>
              </w:rPr>
              <w:t>（2）具有有效的中华人民共和国《医师执业证书》，并按期到相关部门登记注册；</w:t>
            </w:r>
          </w:p>
          <w:p>
            <w:pPr>
              <w:pStyle w:val="TableParagraph"/>
              <w:spacing w:before="7"/>
              <w:ind w:left="101"/>
              <w:rPr>
                <w:sz w:val="21"/>
              </w:rPr>
            </w:pPr>
            <w:r>
              <w:rPr>
                <w:sz w:val="21"/>
              </w:rPr>
              <w:t>（3）具有有效的中华人民共和国主治医师或主治医师以上职称的</w:t>
            </w:r>
          </w:p>
          <w:p>
            <w:pPr>
              <w:pStyle w:val="TableParagraph"/>
              <w:ind w:left="101"/>
              <w:rPr>
                <w:sz w:val="21"/>
              </w:rPr>
            </w:pPr>
            <w:r>
              <w:rPr>
                <w:sz w:val="21"/>
              </w:rPr>
              <w:t>《医师职称证书》；</w:t>
            </w:r>
          </w:p>
          <w:p>
            <w:pPr>
              <w:pStyle w:val="TableParagraph"/>
              <w:ind w:left="101"/>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1552" w:hRule="atLeast"/>
        </w:trPr>
        <w:tc>
          <w:tcPr>
            <w:tcW w:w="783" w:type="dxa"/>
          </w:tcPr>
          <w:p>
            <w:pPr>
              <w:pStyle w:val="TableParagraph"/>
              <w:spacing w:before="127"/>
              <w:rPr>
                <w:b/>
                <w:sz w:val="21"/>
              </w:rPr>
            </w:pPr>
            <w:r>
              <w:rPr>
                <w:b/>
                <w:sz w:val="21"/>
              </w:rPr>
              <w:t>6.5</w:t>
            </w:r>
          </w:p>
        </w:tc>
        <w:tc>
          <w:tcPr>
            <w:tcW w:w="1867" w:type="dxa"/>
          </w:tcPr>
          <w:p>
            <w:pPr>
              <w:pStyle w:val="TableParagraph"/>
              <w:spacing w:before="127"/>
              <w:ind w:left="266"/>
              <w:rPr>
                <w:b/>
                <w:sz w:val="21"/>
              </w:rPr>
            </w:pPr>
            <w:r>
              <w:rPr>
                <w:b/>
                <w:sz w:val="21"/>
              </w:rPr>
              <w:t>毒品</w:t>
            </w:r>
          </w:p>
        </w:tc>
        <w:tc>
          <w:tcPr>
            <w:tcW w:w="6467" w:type="dxa"/>
          </w:tcPr>
          <w:p>
            <w:pPr>
              <w:pStyle w:val="TableParagraph"/>
              <w:spacing w:line="273" w:lineRule="auto" w:before="127"/>
              <w:ind w:left="101" w:right="196"/>
              <w:rPr>
                <w:sz w:val="21"/>
              </w:rPr>
            </w:pPr>
            <w:r>
              <w:rPr>
                <w:spacing w:val="-6"/>
                <w:sz w:val="21"/>
              </w:rPr>
              <w:t>指中华人民共和国刑法规定的鸦片、海洛因、甲基苯丙胺</w:t>
            </w:r>
            <w:r>
              <w:rPr>
                <w:sz w:val="21"/>
              </w:rPr>
              <w:t>（</w:t>
            </w:r>
            <w:r>
              <w:rPr>
                <w:spacing w:val="-2"/>
                <w:sz w:val="21"/>
              </w:rPr>
              <w:t>冰毒</w:t>
            </w:r>
            <w:r>
              <w:rPr>
                <w:spacing w:val="-106"/>
                <w:sz w:val="21"/>
              </w:rPr>
              <w:t>）</w:t>
            </w:r>
            <w:r>
              <w:rPr>
                <w:sz w:val="21"/>
              </w:rPr>
              <w:t>、</w:t>
            </w:r>
            <w:r>
              <w:rPr>
                <w:spacing w:val="-7"/>
                <w:sz w:val="21"/>
              </w:rPr>
              <w:t>吗啡、大麻、可卡因以及国家规定管制的其他能够使人形成瘾癖的</w:t>
            </w:r>
            <w:r>
              <w:rPr>
                <w:spacing w:val="-9"/>
                <w:sz w:val="21"/>
              </w:rPr>
              <w:t>麻醉药品和精神药品，但不包括由医生开具并遵医嘱使用的用于治</w:t>
            </w:r>
            <w:r>
              <w:rPr>
                <w:spacing w:val="-5"/>
                <w:sz w:val="21"/>
              </w:rPr>
              <w:t>疗疾病但含有毒品成分的处方药品。</w:t>
            </w:r>
          </w:p>
        </w:tc>
      </w:tr>
      <w:tr>
        <w:trPr>
          <w:trHeight w:val="1248" w:hRule="atLeast"/>
        </w:trPr>
        <w:tc>
          <w:tcPr>
            <w:tcW w:w="783" w:type="dxa"/>
          </w:tcPr>
          <w:p>
            <w:pPr>
              <w:pStyle w:val="TableParagraph"/>
              <w:spacing w:before="135"/>
              <w:rPr>
                <w:b/>
                <w:sz w:val="21"/>
              </w:rPr>
            </w:pPr>
            <w:r>
              <w:rPr>
                <w:b/>
                <w:sz w:val="21"/>
              </w:rPr>
              <w:t>6.6</w:t>
            </w:r>
          </w:p>
        </w:tc>
        <w:tc>
          <w:tcPr>
            <w:tcW w:w="1867" w:type="dxa"/>
          </w:tcPr>
          <w:p>
            <w:pPr>
              <w:pStyle w:val="TableParagraph"/>
              <w:spacing w:before="135"/>
              <w:ind w:left="266"/>
              <w:rPr>
                <w:b/>
                <w:sz w:val="21"/>
              </w:rPr>
            </w:pPr>
            <w:r>
              <w:rPr>
                <w:b/>
                <w:sz w:val="21"/>
              </w:rPr>
              <w:t>酒后驾驶</w:t>
            </w:r>
          </w:p>
        </w:tc>
        <w:tc>
          <w:tcPr>
            <w:tcW w:w="6467" w:type="dxa"/>
          </w:tcPr>
          <w:p>
            <w:pPr>
              <w:pStyle w:val="TableParagraph"/>
              <w:spacing w:line="273" w:lineRule="auto" w:before="135"/>
              <w:ind w:left="101" w:right="302"/>
              <w:jc w:val="both"/>
              <w:rPr>
                <w:sz w:val="21"/>
              </w:rPr>
            </w:pPr>
            <w:r>
              <w:rPr>
                <w:spacing w:val="-8"/>
                <w:sz w:val="21"/>
              </w:rPr>
              <w:t>指经检测或鉴定，发生事故时车辆驾驶人员每百毫升血液中的酒精含量达到或超过一定的标准，公安机关交通管理部门依据《道路交</w:t>
            </w:r>
            <w:r>
              <w:rPr>
                <w:spacing w:val="-5"/>
                <w:sz w:val="21"/>
              </w:rPr>
              <w:t>通安全法》的规定认定为饮酒后驾驶或醉酒后驾驶。</w:t>
            </w:r>
          </w:p>
        </w:tc>
      </w:tr>
      <w:tr>
        <w:trPr>
          <w:trHeight w:val="1977" w:hRule="atLeast"/>
        </w:trPr>
        <w:tc>
          <w:tcPr>
            <w:tcW w:w="783" w:type="dxa"/>
          </w:tcPr>
          <w:p>
            <w:pPr>
              <w:pStyle w:val="TableParagraph"/>
              <w:spacing w:before="135"/>
              <w:rPr>
                <w:b/>
                <w:sz w:val="21"/>
              </w:rPr>
            </w:pPr>
            <w:r>
              <w:rPr>
                <w:b/>
                <w:sz w:val="21"/>
              </w:rPr>
              <w:t>6.7</w:t>
            </w:r>
          </w:p>
        </w:tc>
        <w:tc>
          <w:tcPr>
            <w:tcW w:w="1867" w:type="dxa"/>
          </w:tcPr>
          <w:p>
            <w:pPr>
              <w:pStyle w:val="TableParagraph"/>
              <w:spacing w:line="273" w:lineRule="auto" w:before="135"/>
              <w:ind w:left="266" w:right="120"/>
              <w:rPr>
                <w:b/>
                <w:sz w:val="21"/>
              </w:rPr>
            </w:pPr>
            <w:r>
              <w:rPr>
                <w:b/>
                <w:sz w:val="21"/>
              </w:rPr>
              <w:t>无合法有效驾驶证驾驶</w:t>
            </w:r>
          </w:p>
        </w:tc>
        <w:tc>
          <w:tcPr>
            <w:tcW w:w="6467" w:type="dxa"/>
          </w:tcPr>
          <w:p>
            <w:pPr>
              <w:pStyle w:val="TableParagraph"/>
              <w:spacing w:before="135"/>
              <w:ind w:left="101"/>
              <w:rPr>
                <w:sz w:val="21"/>
              </w:rPr>
            </w:pPr>
            <w:r>
              <w:rPr>
                <w:sz w:val="21"/>
              </w:rPr>
              <w:t>指下列情形之一：</w:t>
            </w:r>
          </w:p>
          <w:p>
            <w:pPr>
              <w:pStyle w:val="TableParagraph"/>
              <w:spacing w:before="36"/>
              <w:ind w:left="101"/>
              <w:rPr>
                <w:sz w:val="21"/>
              </w:rPr>
            </w:pPr>
            <w:r>
              <w:rPr>
                <w:sz w:val="21"/>
              </w:rPr>
              <w:t>（1）没有取得驾驶资格；</w:t>
            </w:r>
          </w:p>
          <w:p>
            <w:pPr>
              <w:pStyle w:val="TableParagraph"/>
              <w:spacing w:before="36"/>
              <w:ind w:left="101"/>
              <w:rPr>
                <w:sz w:val="21"/>
              </w:rPr>
            </w:pPr>
            <w:r>
              <w:rPr>
                <w:sz w:val="21"/>
              </w:rPr>
              <w:t>（2）驾驶与驾驶证准驾车型不相符合的车辆；</w:t>
            </w:r>
          </w:p>
          <w:p>
            <w:pPr>
              <w:pStyle w:val="TableParagraph"/>
              <w:spacing w:before="36"/>
              <w:ind w:left="101"/>
              <w:rPr>
                <w:sz w:val="21"/>
              </w:rPr>
            </w:pPr>
            <w:r>
              <w:rPr>
                <w:sz w:val="21"/>
              </w:rPr>
              <w:t>（3）持审验不合格的驾驶证驾驶；</w:t>
            </w:r>
          </w:p>
          <w:p>
            <w:pPr>
              <w:pStyle w:val="TableParagraph"/>
              <w:spacing w:line="310" w:lineRule="atLeast" w:before="1"/>
              <w:ind w:left="101" w:right="374"/>
              <w:rPr>
                <w:sz w:val="21"/>
              </w:rPr>
            </w:pPr>
            <w:r>
              <w:rPr>
                <w:sz w:val="21"/>
              </w:rPr>
              <w:t>（4）持学习驾驶证学习驾车时，无教练员随车指导，或不按指定时间、路线学习驾车。</w:t>
            </w:r>
          </w:p>
        </w:tc>
      </w:tr>
    </w:tbl>
    <w:p>
      <w:pPr>
        <w:spacing w:after="0" w:line="310" w:lineRule="atLeast"/>
        <w:rPr>
          <w:sz w:val="21"/>
        </w:rPr>
        <w:sectPr>
          <w:pgSz w:w="11910" w:h="16840"/>
          <w:pgMar w:header="0" w:footer="1121" w:top="1480" w:bottom="1320" w:left="1480" w:right="10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804"/>
        <w:gridCol w:w="6479"/>
      </w:tblGrid>
      <w:tr>
        <w:trPr>
          <w:trHeight w:val="1042" w:hRule="atLeast"/>
        </w:trPr>
        <w:tc>
          <w:tcPr>
            <w:tcW w:w="836" w:type="dxa"/>
          </w:tcPr>
          <w:p>
            <w:pPr>
              <w:pStyle w:val="TableParagraph"/>
              <w:spacing w:line="204" w:lineRule="exact" w:before="0"/>
              <w:rPr>
                <w:b/>
                <w:sz w:val="21"/>
              </w:rPr>
            </w:pPr>
            <w:r>
              <w:rPr>
                <w:b/>
                <w:sz w:val="21"/>
              </w:rPr>
              <w:t>6.8</w:t>
            </w:r>
          </w:p>
        </w:tc>
        <w:tc>
          <w:tcPr>
            <w:tcW w:w="1804" w:type="dxa"/>
          </w:tcPr>
          <w:p>
            <w:pPr>
              <w:pStyle w:val="TableParagraph"/>
              <w:spacing w:line="204" w:lineRule="exact" w:before="0"/>
              <w:ind w:left="213"/>
              <w:rPr>
                <w:b/>
                <w:sz w:val="21"/>
              </w:rPr>
            </w:pPr>
            <w:r>
              <w:rPr>
                <w:b/>
                <w:sz w:val="21"/>
              </w:rPr>
              <w:t>无有效行驶证</w:t>
            </w:r>
          </w:p>
        </w:tc>
        <w:tc>
          <w:tcPr>
            <w:tcW w:w="6479" w:type="dxa"/>
          </w:tcPr>
          <w:p>
            <w:pPr>
              <w:pStyle w:val="TableParagraph"/>
              <w:spacing w:line="204" w:lineRule="exact" w:before="0"/>
              <w:ind w:left="111"/>
              <w:rPr>
                <w:sz w:val="21"/>
              </w:rPr>
            </w:pPr>
            <w:r>
              <w:rPr>
                <w:sz w:val="21"/>
              </w:rPr>
              <w:t>指下列情形之一：</w:t>
            </w:r>
          </w:p>
          <w:p>
            <w:pPr>
              <w:pStyle w:val="TableParagraph"/>
              <w:ind w:left="111"/>
              <w:rPr>
                <w:sz w:val="21"/>
              </w:rPr>
            </w:pPr>
            <w:r>
              <w:rPr>
                <w:sz w:val="21"/>
              </w:rPr>
              <w:t>（1）机动车被依法注销登记的；</w:t>
            </w:r>
          </w:p>
          <w:p>
            <w:pPr>
              <w:pStyle w:val="TableParagraph"/>
              <w:spacing w:before="36"/>
              <w:ind w:left="111"/>
              <w:rPr>
                <w:sz w:val="21"/>
              </w:rPr>
            </w:pPr>
            <w:r>
              <w:rPr>
                <w:sz w:val="21"/>
              </w:rPr>
              <w:t>（2）未依法按时进行或通过机动车安全技术检验。</w:t>
            </w:r>
          </w:p>
        </w:tc>
      </w:tr>
      <w:tr>
        <w:trPr>
          <w:trHeight w:val="936" w:hRule="atLeast"/>
        </w:trPr>
        <w:tc>
          <w:tcPr>
            <w:tcW w:w="836" w:type="dxa"/>
          </w:tcPr>
          <w:p>
            <w:pPr>
              <w:pStyle w:val="TableParagraph"/>
              <w:spacing w:before="135"/>
              <w:rPr>
                <w:b/>
                <w:sz w:val="21"/>
              </w:rPr>
            </w:pPr>
            <w:r>
              <w:rPr>
                <w:b/>
                <w:sz w:val="21"/>
              </w:rPr>
              <w:t>6.9</w:t>
            </w:r>
          </w:p>
        </w:tc>
        <w:tc>
          <w:tcPr>
            <w:tcW w:w="1804" w:type="dxa"/>
          </w:tcPr>
          <w:p>
            <w:pPr>
              <w:pStyle w:val="TableParagraph"/>
              <w:spacing w:before="135"/>
              <w:ind w:left="213"/>
              <w:rPr>
                <w:b/>
                <w:sz w:val="21"/>
              </w:rPr>
            </w:pPr>
            <w:r>
              <w:rPr>
                <w:b/>
                <w:sz w:val="21"/>
              </w:rPr>
              <w:t>遗传性疾病</w:t>
            </w:r>
          </w:p>
        </w:tc>
        <w:tc>
          <w:tcPr>
            <w:tcW w:w="6479" w:type="dxa"/>
          </w:tcPr>
          <w:p>
            <w:pPr>
              <w:pStyle w:val="TableParagraph"/>
              <w:spacing w:line="273" w:lineRule="auto" w:before="135"/>
              <w:ind w:left="111" w:right="250"/>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836" w:type="dxa"/>
          </w:tcPr>
          <w:p>
            <w:pPr>
              <w:pStyle w:val="TableParagraph"/>
              <w:spacing w:before="135"/>
              <w:rPr>
                <w:b/>
                <w:sz w:val="21"/>
              </w:rPr>
            </w:pPr>
            <w:r>
              <w:rPr>
                <w:b/>
                <w:sz w:val="21"/>
              </w:rPr>
              <w:t>6.10</w:t>
            </w:r>
          </w:p>
        </w:tc>
        <w:tc>
          <w:tcPr>
            <w:tcW w:w="1804" w:type="dxa"/>
          </w:tcPr>
          <w:p>
            <w:pPr>
              <w:pStyle w:val="TableParagraph"/>
              <w:spacing w:line="273" w:lineRule="auto" w:before="135"/>
              <w:ind w:left="213" w:right="110"/>
              <w:rPr>
                <w:b/>
                <w:sz w:val="21"/>
              </w:rPr>
            </w:pPr>
            <w:r>
              <w:rPr>
                <w:b/>
                <w:sz w:val="21"/>
              </w:rPr>
              <w:t>先天性畸形、变形或染色体异常</w:t>
            </w:r>
          </w:p>
        </w:tc>
        <w:tc>
          <w:tcPr>
            <w:tcW w:w="6479" w:type="dxa"/>
          </w:tcPr>
          <w:p>
            <w:pPr>
              <w:pStyle w:val="TableParagraph"/>
              <w:spacing w:line="273" w:lineRule="auto" w:before="135"/>
              <w:ind w:left="111" w:right="198"/>
              <w:rPr>
                <w:sz w:val="21"/>
              </w:rPr>
            </w:pPr>
            <w:r>
              <w:rPr>
                <w:spacing w:val="-11"/>
                <w:sz w:val="21"/>
              </w:rPr>
              <w:t>指被保险人出生时就具有的畸形、变形或染色体异常。先天性畸形、</w:t>
            </w:r>
            <w:r>
              <w:rPr>
                <w:spacing w:val="-9"/>
                <w:sz w:val="21"/>
              </w:rPr>
              <w:t>变形和染色体异常依照世界卫生组织《疾病和有关健康问题的国际</w:t>
            </w:r>
            <w:r>
              <w:rPr>
                <w:spacing w:val="-24"/>
                <w:sz w:val="21"/>
              </w:rPr>
              <w:t>统计分类》</w:t>
            </w:r>
            <w:r>
              <w:rPr>
                <w:spacing w:val="-1"/>
                <w:sz w:val="21"/>
              </w:rPr>
              <w:t>（ICD-10）</w:t>
            </w:r>
            <w:r>
              <w:rPr>
                <w:spacing w:val="-2"/>
                <w:sz w:val="21"/>
              </w:rPr>
              <w:t>确定。</w:t>
            </w:r>
          </w:p>
        </w:tc>
      </w:tr>
      <w:tr>
        <w:trPr>
          <w:trHeight w:val="936" w:hRule="atLeast"/>
        </w:trPr>
        <w:tc>
          <w:tcPr>
            <w:tcW w:w="836" w:type="dxa"/>
          </w:tcPr>
          <w:p>
            <w:pPr>
              <w:pStyle w:val="TableParagraph"/>
              <w:spacing w:before="135"/>
              <w:rPr>
                <w:b/>
                <w:sz w:val="21"/>
              </w:rPr>
            </w:pPr>
            <w:r>
              <w:rPr>
                <w:b/>
                <w:sz w:val="21"/>
              </w:rPr>
              <w:t>6.11</w:t>
            </w:r>
          </w:p>
        </w:tc>
        <w:tc>
          <w:tcPr>
            <w:tcW w:w="1804" w:type="dxa"/>
          </w:tcPr>
          <w:p>
            <w:pPr>
              <w:pStyle w:val="TableParagraph"/>
              <w:spacing w:before="135"/>
              <w:ind w:left="213"/>
              <w:rPr>
                <w:b/>
                <w:sz w:val="21"/>
              </w:rPr>
            </w:pPr>
            <w:r>
              <w:rPr>
                <w:b/>
                <w:sz w:val="21"/>
              </w:rPr>
              <w:t>极短期保险费</w:t>
            </w:r>
          </w:p>
        </w:tc>
        <w:tc>
          <w:tcPr>
            <w:tcW w:w="6479" w:type="dxa"/>
          </w:tcPr>
          <w:p>
            <w:pPr>
              <w:pStyle w:val="TableParagraph"/>
              <w:spacing w:line="273" w:lineRule="auto" w:before="135"/>
              <w:ind w:left="111" w:right="250"/>
              <w:rPr>
                <w:sz w:val="21"/>
              </w:rPr>
            </w:pPr>
            <w:r>
              <w:rPr>
                <w:sz w:val="21"/>
              </w:rPr>
              <w:t>极短期保险费＝保险费×极短期收费比例。极短期收费比例详见附表一。</w:t>
            </w:r>
          </w:p>
        </w:tc>
      </w:tr>
      <w:tr>
        <w:trPr>
          <w:trHeight w:val="936" w:hRule="atLeast"/>
        </w:trPr>
        <w:tc>
          <w:tcPr>
            <w:tcW w:w="836" w:type="dxa"/>
          </w:tcPr>
          <w:p>
            <w:pPr>
              <w:pStyle w:val="TableParagraph"/>
              <w:spacing w:before="135"/>
              <w:rPr>
                <w:b/>
                <w:sz w:val="21"/>
              </w:rPr>
            </w:pPr>
            <w:r>
              <w:rPr>
                <w:b/>
                <w:sz w:val="21"/>
              </w:rPr>
              <w:t>6.12</w:t>
            </w:r>
          </w:p>
        </w:tc>
        <w:tc>
          <w:tcPr>
            <w:tcW w:w="1804" w:type="dxa"/>
          </w:tcPr>
          <w:p>
            <w:pPr>
              <w:pStyle w:val="TableParagraph"/>
              <w:spacing w:before="135"/>
              <w:ind w:left="213"/>
              <w:rPr>
                <w:b/>
                <w:sz w:val="21"/>
              </w:rPr>
            </w:pPr>
            <w:r>
              <w:rPr>
                <w:b/>
                <w:sz w:val="21"/>
              </w:rPr>
              <w:t>有效身份证件</w:t>
            </w:r>
          </w:p>
        </w:tc>
        <w:tc>
          <w:tcPr>
            <w:tcW w:w="6479" w:type="dxa"/>
          </w:tcPr>
          <w:p>
            <w:pPr>
              <w:pStyle w:val="TableParagraph"/>
              <w:spacing w:line="273" w:lineRule="auto" w:before="135"/>
              <w:ind w:left="111" w:right="261"/>
              <w:rPr>
                <w:sz w:val="21"/>
              </w:rPr>
            </w:pPr>
            <w:r>
              <w:rPr>
                <w:sz w:val="21"/>
              </w:rPr>
              <w:t>指由政府主管部门规定的证明其身份的证件，如：居民身份证、按规定可使用的有效护照、军官证、警官证、士兵证等证件。</w:t>
            </w:r>
          </w:p>
        </w:tc>
      </w:tr>
      <w:tr>
        <w:trPr>
          <w:trHeight w:val="623" w:hRule="atLeast"/>
        </w:trPr>
        <w:tc>
          <w:tcPr>
            <w:tcW w:w="836" w:type="dxa"/>
          </w:tcPr>
          <w:p>
            <w:pPr>
              <w:pStyle w:val="TableParagraph"/>
              <w:spacing w:before="135"/>
              <w:rPr>
                <w:b/>
                <w:sz w:val="21"/>
              </w:rPr>
            </w:pPr>
            <w:r>
              <w:rPr>
                <w:b/>
                <w:sz w:val="21"/>
              </w:rPr>
              <w:t>6.13</w:t>
            </w:r>
          </w:p>
        </w:tc>
        <w:tc>
          <w:tcPr>
            <w:tcW w:w="1804" w:type="dxa"/>
          </w:tcPr>
          <w:p>
            <w:pPr>
              <w:pStyle w:val="TableParagraph"/>
              <w:spacing w:before="135"/>
              <w:ind w:left="213"/>
              <w:rPr>
                <w:b/>
                <w:sz w:val="21"/>
              </w:rPr>
            </w:pPr>
            <w:r>
              <w:rPr>
                <w:b/>
                <w:sz w:val="21"/>
              </w:rPr>
              <w:t>未满期保险费</w:t>
            </w:r>
          </w:p>
        </w:tc>
        <w:tc>
          <w:tcPr>
            <w:tcW w:w="6479" w:type="dxa"/>
          </w:tcPr>
          <w:p>
            <w:pPr>
              <w:pStyle w:val="TableParagraph"/>
              <w:spacing w:before="135"/>
              <w:ind w:left="111"/>
              <w:rPr>
                <w:sz w:val="21"/>
              </w:rPr>
            </w:pPr>
            <w:r>
              <w:rPr>
                <w:sz w:val="21"/>
              </w:rPr>
              <w:t>保险费×未到期天数÷保险单总保障天数</w:t>
            </w:r>
          </w:p>
        </w:tc>
      </w:tr>
      <w:tr>
        <w:trPr>
          <w:trHeight w:val="936" w:hRule="atLeast"/>
        </w:trPr>
        <w:tc>
          <w:tcPr>
            <w:tcW w:w="836" w:type="dxa"/>
          </w:tcPr>
          <w:p>
            <w:pPr>
              <w:pStyle w:val="TableParagraph"/>
              <w:spacing w:before="135"/>
              <w:rPr>
                <w:b/>
                <w:sz w:val="21"/>
              </w:rPr>
            </w:pPr>
            <w:r>
              <w:rPr>
                <w:b/>
                <w:sz w:val="21"/>
              </w:rPr>
              <w:t>6.14</w:t>
            </w:r>
          </w:p>
        </w:tc>
        <w:tc>
          <w:tcPr>
            <w:tcW w:w="1804" w:type="dxa"/>
          </w:tcPr>
          <w:p>
            <w:pPr>
              <w:pStyle w:val="TableParagraph"/>
              <w:spacing w:line="273" w:lineRule="auto" w:before="135"/>
              <w:ind w:left="213" w:right="110"/>
              <w:rPr>
                <w:b/>
                <w:sz w:val="21"/>
              </w:rPr>
            </w:pPr>
            <w:r>
              <w:rPr>
                <w:b/>
                <w:sz w:val="21"/>
              </w:rPr>
              <w:t>本公司认可的医疗机构</w:t>
            </w:r>
          </w:p>
        </w:tc>
        <w:tc>
          <w:tcPr>
            <w:tcW w:w="6479" w:type="dxa"/>
          </w:tcPr>
          <w:p>
            <w:pPr>
              <w:pStyle w:val="TableParagraph"/>
              <w:spacing w:before="135"/>
              <w:ind w:left="111"/>
              <w:rPr>
                <w:sz w:val="21"/>
              </w:rPr>
            </w:pPr>
            <w:r>
              <w:rPr>
                <w:sz w:val="21"/>
              </w:rPr>
              <w:t>指本公司指定医院或未在指定范围内的2 级以上县、区级公立医院。</w:t>
            </w:r>
          </w:p>
        </w:tc>
      </w:tr>
      <w:tr>
        <w:trPr>
          <w:trHeight w:val="936" w:hRule="atLeast"/>
        </w:trPr>
        <w:tc>
          <w:tcPr>
            <w:tcW w:w="836" w:type="dxa"/>
          </w:tcPr>
          <w:p>
            <w:pPr>
              <w:pStyle w:val="TableParagraph"/>
              <w:spacing w:before="135"/>
              <w:rPr>
                <w:b/>
                <w:sz w:val="21"/>
              </w:rPr>
            </w:pPr>
            <w:r>
              <w:rPr>
                <w:b/>
                <w:sz w:val="21"/>
              </w:rPr>
              <w:t>6.15</w:t>
            </w:r>
          </w:p>
        </w:tc>
        <w:tc>
          <w:tcPr>
            <w:tcW w:w="1804" w:type="dxa"/>
          </w:tcPr>
          <w:p>
            <w:pPr>
              <w:pStyle w:val="TableParagraph"/>
              <w:spacing w:line="273" w:lineRule="auto" w:before="135"/>
              <w:ind w:left="213" w:right="110"/>
              <w:rPr>
                <w:b/>
                <w:sz w:val="21"/>
              </w:rPr>
            </w:pPr>
            <w:r>
              <w:rPr>
                <w:b/>
                <w:sz w:val="21"/>
              </w:rPr>
              <w:t>肢体机能完全丧失</w:t>
            </w:r>
          </w:p>
        </w:tc>
        <w:tc>
          <w:tcPr>
            <w:tcW w:w="6479" w:type="dxa"/>
          </w:tcPr>
          <w:p>
            <w:pPr>
              <w:pStyle w:val="TableParagraph"/>
              <w:spacing w:line="273" w:lineRule="auto" w:before="135"/>
              <w:ind w:left="111" w:right="252"/>
              <w:rPr>
                <w:sz w:val="21"/>
              </w:rPr>
            </w:pPr>
            <w:r>
              <w:rPr>
                <w:sz w:val="21"/>
              </w:rPr>
              <w:t>指肢体的三大关节中的两大关节僵硬，或不能随意识活动。肢体是指包括肩关节的整个上肢或包括髋关节的整个下肢。</w:t>
            </w:r>
          </w:p>
        </w:tc>
      </w:tr>
      <w:tr>
        <w:trPr>
          <w:trHeight w:val="2184" w:hRule="atLeast"/>
        </w:trPr>
        <w:tc>
          <w:tcPr>
            <w:tcW w:w="836" w:type="dxa"/>
          </w:tcPr>
          <w:p>
            <w:pPr>
              <w:pStyle w:val="TableParagraph"/>
              <w:spacing w:before="135"/>
              <w:rPr>
                <w:b/>
                <w:sz w:val="21"/>
              </w:rPr>
            </w:pPr>
            <w:r>
              <w:rPr>
                <w:b/>
                <w:sz w:val="21"/>
              </w:rPr>
              <w:t>6.16</w:t>
            </w:r>
          </w:p>
        </w:tc>
        <w:tc>
          <w:tcPr>
            <w:tcW w:w="1804" w:type="dxa"/>
          </w:tcPr>
          <w:p>
            <w:pPr>
              <w:pStyle w:val="TableParagraph"/>
              <w:spacing w:line="273" w:lineRule="auto" w:before="135"/>
              <w:ind w:left="213" w:right="110"/>
              <w:jc w:val="both"/>
              <w:rPr>
                <w:b/>
                <w:sz w:val="21"/>
              </w:rPr>
            </w:pPr>
            <w:r>
              <w:rPr>
                <w:b/>
                <w:sz w:val="21"/>
              </w:rPr>
              <w:t>语言能力或咀嚼吞咽能力完全丧失</w:t>
            </w:r>
          </w:p>
        </w:tc>
        <w:tc>
          <w:tcPr>
            <w:tcW w:w="6479" w:type="dxa"/>
          </w:tcPr>
          <w:p>
            <w:pPr>
              <w:pStyle w:val="TableParagraph"/>
              <w:spacing w:line="273" w:lineRule="auto" w:before="135"/>
              <w:ind w:left="111" w:right="268"/>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11" w:right="304"/>
              <w:jc w:val="both"/>
              <w:rPr>
                <w:sz w:val="21"/>
              </w:rPr>
            </w:pPr>
            <w:r>
              <w:rPr>
                <w:spacing w:val="-7"/>
                <w:sz w:val="21"/>
              </w:rPr>
              <w:t>咀嚼吞咽能力完全丧失，指因牙齿以外的原因导致器质障碍或机能障碍，以致不能作咀嚼吞咽运动，除流质食物外不能摄取或吞咽的状态。</w:t>
            </w:r>
          </w:p>
        </w:tc>
      </w:tr>
      <w:tr>
        <w:trPr>
          <w:trHeight w:val="2501" w:hRule="atLeast"/>
        </w:trPr>
        <w:tc>
          <w:tcPr>
            <w:tcW w:w="836" w:type="dxa"/>
          </w:tcPr>
          <w:p>
            <w:pPr>
              <w:pStyle w:val="TableParagraph"/>
              <w:spacing w:before="135"/>
              <w:rPr>
                <w:b/>
                <w:sz w:val="21"/>
              </w:rPr>
            </w:pPr>
            <w:r>
              <w:rPr>
                <w:b/>
                <w:sz w:val="21"/>
              </w:rPr>
              <w:t>6.17</w:t>
            </w:r>
          </w:p>
        </w:tc>
        <w:tc>
          <w:tcPr>
            <w:tcW w:w="1804" w:type="dxa"/>
          </w:tcPr>
          <w:p>
            <w:pPr>
              <w:pStyle w:val="TableParagraph"/>
              <w:spacing w:line="273" w:lineRule="auto" w:before="135"/>
              <w:ind w:left="213" w:right="110"/>
              <w:rPr>
                <w:b/>
                <w:sz w:val="21"/>
              </w:rPr>
            </w:pPr>
            <w:r>
              <w:rPr>
                <w:b/>
                <w:sz w:val="21"/>
              </w:rPr>
              <w:t>六项基本日常生活活动</w:t>
            </w:r>
          </w:p>
        </w:tc>
        <w:tc>
          <w:tcPr>
            <w:tcW w:w="6479" w:type="dxa"/>
          </w:tcPr>
          <w:p>
            <w:pPr>
              <w:pStyle w:val="TableParagraph"/>
              <w:spacing w:before="135"/>
              <w:ind w:left="111"/>
              <w:rPr>
                <w:sz w:val="21"/>
              </w:rPr>
            </w:pPr>
            <w:r>
              <w:rPr>
                <w:sz w:val="21"/>
              </w:rPr>
              <w:t>六项基本日常生活活动是指：</w:t>
            </w:r>
          </w:p>
          <w:p>
            <w:pPr>
              <w:pStyle w:val="TableParagraph"/>
              <w:spacing w:before="36"/>
              <w:ind w:left="111"/>
              <w:rPr>
                <w:sz w:val="21"/>
              </w:rPr>
            </w:pPr>
            <w:r>
              <w:rPr>
                <w:sz w:val="21"/>
              </w:rPr>
              <w:t>（1）穿衣：自己能够穿衣及脱衣；</w:t>
            </w:r>
          </w:p>
          <w:p>
            <w:pPr>
              <w:pStyle w:val="TableParagraph"/>
              <w:ind w:left="111"/>
              <w:rPr>
                <w:sz w:val="21"/>
              </w:rPr>
            </w:pPr>
            <w:r>
              <w:rPr>
                <w:sz w:val="21"/>
              </w:rPr>
              <w:t>（2）移动：自己从一个房间到另一个房间；</w:t>
            </w:r>
          </w:p>
          <w:p>
            <w:pPr>
              <w:pStyle w:val="TableParagraph"/>
              <w:ind w:left="111"/>
              <w:rPr>
                <w:sz w:val="21"/>
              </w:rPr>
            </w:pPr>
            <w:r>
              <w:rPr>
                <w:sz w:val="21"/>
              </w:rPr>
              <w:t>（3）行动：自己上下床或上下轮椅；</w:t>
            </w:r>
          </w:p>
          <w:p>
            <w:pPr>
              <w:pStyle w:val="TableParagraph"/>
              <w:ind w:left="111"/>
              <w:rPr>
                <w:sz w:val="21"/>
              </w:rPr>
            </w:pPr>
            <w:r>
              <w:rPr>
                <w:sz w:val="21"/>
              </w:rPr>
              <w:t>（4）如厕：自己控制进行大小便；</w:t>
            </w:r>
          </w:p>
          <w:p>
            <w:pPr>
              <w:pStyle w:val="TableParagraph"/>
              <w:ind w:left="111"/>
              <w:rPr>
                <w:sz w:val="21"/>
              </w:rPr>
            </w:pPr>
            <w:r>
              <w:rPr>
                <w:sz w:val="21"/>
              </w:rPr>
              <w:t>（5）进食：自己从已准备好的碗或碟中取食物放入口中；</w:t>
            </w:r>
          </w:p>
          <w:p>
            <w:pPr>
              <w:pStyle w:val="TableParagraph"/>
              <w:ind w:left="111"/>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836" w:type="dxa"/>
          </w:tcPr>
          <w:p>
            <w:pPr>
              <w:pStyle w:val="TableParagraph"/>
              <w:spacing w:before="131"/>
              <w:rPr>
                <w:b/>
                <w:sz w:val="21"/>
              </w:rPr>
            </w:pPr>
            <w:r>
              <w:rPr>
                <w:b/>
                <w:sz w:val="21"/>
              </w:rPr>
              <w:t>6.18</w:t>
            </w:r>
          </w:p>
        </w:tc>
        <w:tc>
          <w:tcPr>
            <w:tcW w:w="1804" w:type="dxa"/>
          </w:tcPr>
          <w:p>
            <w:pPr>
              <w:pStyle w:val="TableParagraph"/>
              <w:spacing w:before="131"/>
              <w:ind w:left="213"/>
              <w:rPr>
                <w:b/>
                <w:sz w:val="21"/>
              </w:rPr>
            </w:pPr>
            <w:r>
              <w:rPr>
                <w:b/>
                <w:sz w:val="21"/>
              </w:rPr>
              <w:t>永久不可逆</w:t>
            </w:r>
          </w:p>
        </w:tc>
        <w:tc>
          <w:tcPr>
            <w:tcW w:w="6479" w:type="dxa"/>
          </w:tcPr>
          <w:p>
            <w:pPr>
              <w:pStyle w:val="TableParagraph"/>
              <w:spacing w:line="290" w:lineRule="atLeast" w:before="131"/>
              <w:ind w:left="111" w:right="306"/>
              <w:rPr>
                <w:sz w:val="21"/>
              </w:rPr>
            </w:pPr>
            <w:r>
              <w:rPr>
                <w:spacing w:val="-6"/>
                <w:sz w:val="21"/>
              </w:rPr>
              <w:t>指自疾病确诊或意外伤害发生之日起，经过积极治疗 </w:t>
            </w:r>
            <w:r>
              <w:rPr>
                <w:rFonts w:ascii="Times New Roman" w:eastAsia="Times New Roman"/>
                <w:sz w:val="21"/>
              </w:rPr>
              <w:t>180 </w:t>
            </w:r>
            <w:r>
              <w:rPr>
                <w:spacing w:val="-6"/>
                <w:sz w:val="21"/>
              </w:rPr>
              <w:t>天后，仍</w:t>
            </w:r>
            <w:r>
              <w:rPr>
                <w:spacing w:val="-4"/>
                <w:sz w:val="21"/>
              </w:rPr>
              <w:t>无法通过现有医疗手段恢复。</w:t>
            </w:r>
          </w:p>
        </w:tc>
      </w:tr>
    </w:tbl>
    <w:p>
      <w:pPr>
        <w:spacing w:after="0" w:line="290" w:lineRule="atLeast"/>
        <w:rPr>
          <w:sz w:val="21"/>
        </w:rPr>
        <w:sectPr>
          <w:pgSz w:w="11910" w:h="16840"/>
          <w:pgMar w:header="0" w:footer="1121" w:top="1480" w:bottom="1320" w:left="1480" w:right="1080"/>
        </w:sectPr>
      </w:pPr>
    </w:p>
    <w:p>
      <w:pPr>
        <w:pStyle w:val="BodyText"/>
        <w:spacing w:before="3"/>
        <w:rPr>
          <w:rFonts w:ascii="Times New Roman"/>
          <w:sz w:val="13"/>
        </w:rPr>
      </w:pPr>
    </w:p>
    <w:p>
      <w:pPr>
        <w:spacing w:after="0"/>
        <w:rPr>
          <w:rFonts w:ascii="Times New Roman"/>
          <w:sz w:val="13"/>
        </w:rPr>
        <w:sectPr>
          <w:pgSz w:w="11910" w:h="16840"/>
          <w:pgMar w:header="0" w:footer="1121" w:top="1580" w:bottom="1320" w:left="1200" w:right="960"/>
        </w:sectPr>
      </w:pPr>
    </w:p>
    <w:p>
      <w:pPr>
        <w:pStyle w:val="Heading2"/>
        <w:spacing w:before="26"/>
        <w:ind w:firstLine="0"/>
      </w:pPr>
      <w:r>
        <w:rPr>
          <w:w w:val="95"/>
        </w:rPr>
        <w:t>附表一</w:t>
      </w:r>
    </w:p>
    <w:p>
      <w:pPr>
        <w:pStyle w:val="BodyText"/>
        <w:rPr>
          <w:b/>
          <w:sz w:val="26"/>
        </w:rPr>
      </w:pPr>
      <w:r>
        <w:rPr/>
        <w:br w:type="column"/>
      </w:r>
      <w:r>
        <w:rPr>
          <w:b/>
          <w:sz w:val="26"/>
        </w:rPr>
      </w:r>
    </w:p>
    <w:p>
      <w:pPr>
        <w:spacing w:line="237" w:lineRule="auto" w:before="1"/>
        <w:ind w:left="1579" w:right="2369" w:hanging="1476"/>
        <w:jc w:val="left"/>
        <w:rPr>
          <w:b/>
          <w:sz w:val="24"/>
        </w:rPr>
      </w:pPr>
      <w:r>
        <w:rPr>
          <w:b/>
          <w:sz w:val="24"/>
        </w:rPr>
        <w:t>合众团体一年期重大疾病保险（2008 年修订） </w:t>
      </w:r>
      <w:r>
        <w:rPr>
          <w:b/>
          <w:w w:val="95"/>
          <w:sz w:val="24"/>
        </w:rPr>
        <w:t>极短期收费比例表</w:t>
      </w:r>
    </w:p>
    <w:p>
      <w:pPr>
        <w:spacing w:after="0" w:line="237" w:lineRule="auto"/>
        <w:jc w:val="left"/>
        <w:rPr>
          <w:sz w:val="24"/>
        </w:rPr>
        <w:sectPr>
          <w:type w:val="continuous"/>
          <w:pgSz w:w="11910" w:h="16840"/>
          <w:pgMar w:top="140" w:bottom="1320" w:left="1200" w:right="960"/>
          <w:cols w:num="2" w:equalWidth="0">
            <w:col w:w="826" w:space="1497"/>
            <w:col w:w="7427"/>
          </w:cols>
        </w:sectPr>
      </w:pPr>
    </w:p>
    <w:p>
      <w:pPr>
        <w:pStyle w:val="BodyText"/>
        <w:spacing w:before="10"/>
        <w:rPr>
          <w:b/>
          <w:sz w:val="26"/>
        </w:rPr>
      </w:pPr>
    </w:p>
    <w:tbl>
      <w:tblPr>
        <w:tblW w:w="0" w:type="auto"/>
        <w:jc w:val="left"/>
        <w:tblInd w:w="4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90"/>
        <w:gridCol w:w="667"/>
        <w:gridCol w:w="665"/>
        <w:gridCol w:w="667"/>
        <w:gridCol w:w="665"/>
        <w:gridCol w:w="667"/>
        <w:gridCol w:w="667"/>
        <w:gridCol w:w="664"/>
        <w:gridCol w:w="666"/>
        <w:gridCol w:w="664"/>
        <w:gridCol w:w="666"/>
        <w:gridCol w:w="664"/>
        <w:gridCol w:w="666"/>
      </w:tblGrid>
      <w:tr>
        <w:trPr>
          <w:trHeight w:val="441" w:hRule="atLeast"/>
        </w:trPr>
        <w:tc>
          <w:tcPr>
            <w:tcW w:w="890" w:type="dxa"/>
          </w:tcPr>
          <w:p>
            <w:pPr>
              <w:pStyle w:val="TableParagraph"/>
              <w:spacing w:before="72"/>
              <w:ind w:left="83" w:right="64"/>
              <w:jc w:val="center"/>
              <w:rPr>
                <w:b/>
                <w:sz w:val="18"/>
              </w:rPr>
            </w:pPr>
            <w:r>
              <w:rPr>
                <w:b/>
                <w:w w:val="95"/>
                <w:sz w:val="18"/>
              </w:rPr>
              <w:t>保险期间</w:t>
            </w:r>
          </w:p>
        </w:tc>
        <w:tc>
          <w:tcPr>
            <w:tcW w:w="667" w:type="dxa"/>
          </w:tcPr>
          <w:p>
            <w:pPr>
              <w:pStyle w:val="TableParagraph"/>
              <w:spacing w:before="72"/>
              <w:ind w:left="38" w:right="26"/>
              <w:jc w:val="center"/>
              <w:rPr>
                <w:sz w:val="18"/>
              </w:rPr>
            </w:pPr>
            <w:r>
              <w:rPr>
                <w:sz w:val="18"/>
              </w:rPr>
              <w:t>1 个月</w:t>
            </w:r>
          </w:p>
        </w:tc>
        <w:tc>
          <w:tcPr>
            <w:tcW w:w="665" w:type="dxa"/>
          </w:tcPr>
          <w:p>
            <w:pPr>
              <w:pStyle w:val="TableParagraph"/>
              <w:spacing w:before="72"/>
              <w:ind w:left="42" w:right="27"/>
              <w:jc w:val="center"/>
              <w:rPr>
                <w:sz w:val="18"/>
              </w:rPr>
            </w:pPr>
            <w:r>
              <w:rPr>
                <w:sz w:val="18"/>
              </w:rPr>
              <w:t>2 个月</w:t>
            </w:r>
          </w:p>
        </w:tc>
        <w:tc>
          <w:tcPr>
            <w:tcW w:w="667" w:type="dxa"/>
          </w:tcPr>
          <w:p>
            <w:pPr>
              <w:pStyle w:val="TableParagraph"/>
              <w:spacing w:before="72"/>
              <w:ind w:left="40" w:right="26"/>
              <w:jc w:val="center"/>
              <w:rPr>
                <w:sz w:val="18"/>
              </w:rPr>
            </w:pPr>
            <w:r>
              <w:rPr>
                <w:sz w:val="18"/>
              </w:rPr>
              <w:t>3 个月</w:t>
            </w:r>
          </w:p>
        </w:tc>
        <w:tc>
          <w:tcPr>
            <w:tcW w:w="665" w:type="dxa"/>
          </w:tcPr>
          <w:p>
            <w:pPr>
              <w:pStyle w:val="TableParagraph"/>
              <w:spacing w:before="72"/>
              <w:ind w:left="42" w:right="26"/>
              <w:jc w:val="center"/>
              <w:rPr>
                <w:sz w:val="18"/>
              </w:rPr>
            </w:pPr>
            <w:r>
              <w:rPr>
                <w:sz w:val="18"/>
              </w:rPr>
              <w:t>4 个月</w:t>
            </w:r>
          </w:p>
        </w:tc>
        <w:tc>
          <w:tcPr>
            <w:tcW w:w="667" w:type="dxa"/>
          </w:tcPr>
          <w:p>
            <w:pPr>
              <w:pStyle w:val="TableParagraph"/>
              <w:spacing w:before="72"/>
              <w:ind w:left="40" w:right="26"/>
              <w:jc w:val="center"/>
              <w:rPr>
                <w:sz w:val="18"/>
              </w:rPr>
            </w:pPr>
            <w:r>
              <w:rPr>
                <w:sz w:val="18"/>
              </w:rPr>
              <w:t>5 个月</w:t>
            </w:r>
          </w:p>
        </w:tc>
        <w:tc>
          <w:tcPr>
            <w:tcW w:w="667" w:type="dxa"/>
          </w:tcPr>
          <w:p>
            <w:pPr>
              <w:pStyle w:val="TableParagraph"/>
              <w:spacing w:before="72"/>
              <w:ind w:left="42" w:right="23"/>
              <w:jc w:val="center"/>
              <w:rPr>
                <w:sz w:val="18"/>
              </w:rPr>
            </w:pPr>
            <w:r>
              <w:rPr>
                <w:sz w:val="18"/>
              </w:rPr>
              <w:t>6 个月</w:t>
            </w:r>
          </w:p>
        </w:tc>
        <w:tc>
          <w:tcPr>
            <w:tcW w:w="664" w:type="dxa"/>
          </w:tcPr>
          <w:p>
            <w:pPr>
              <w:pStyle w:val="TableParagraph"/>
              <w:spacing w:before="72"/>
              <w:ind w:left="18"/>
              <w:jc w:val="center"/>
              <w:rPr>
                <w:sz w:val="18"/>
              </w:rPr>
            </w:pPr>
            <w:r>
              <w:rPr>
                <w:sz w:val="18"/>
              </w:rPr>
              <w:t>7 个月</w:t>
            </w:r>
          </w:p>
        </w:tc>
        <w:tc>
          <w:tcPr>
            <w:tcW w:w="666" w:type="dxa"/>
          </w:tcPr>
          <w:p>
            <w:pPr>
              <w:pStyle w:val="TableParagraph"/>
              <w:spacing w:before="72"/>
              <w:ind w:left="18"/>
              <w:jc w:val="center"/>
              <w:rPr>
                <w:sz w:val="18"/>
              </w:rPr>
            </w:pPr>
            <w:r>
              <w:rPr>
                <w:sz w:val="18"/>
              </w:rPr>
              <w:t>8 个月</w:t>
            </w:r>
          </w:p>
        </w:tc>
        <w:tc>
          <w:tcPr>
            <w:tcW w:w="664" w:type="dxa"/>
          </w:tcPr>
          <w:p>
            <w:pPr>
              <w:pStyle w:val="TableParagraph"/>
              <w:spacing w:before="72"/>
              <w:ind w:left="22"/>
              <w:jc w:val="center"/>
              <w:rPr>
                <w:sz w:val="18"/>
              </w:rPr>
            </w:pPr>
            <w:r>
              <w:rPr>
                <w:sz w:val="18"/>
              </w:rPr>
              <w:t>9 个月</w:t>
            </w:r>
          </w:p>
        </w:tc>
        <w:tc>
          <w:tcPr>
            <w:tcW w:w="666" w:type="dxa"/>
          </w:tcPr>
          <w:p>
            <w:pPr>
              <w:pStyle w:val="TableParagraph"/>
              <w:spacing w:before="72"/>
              <w:ind w:left="23"/>
              <w:jc w:val="center"/>
              <w:rPr>
                <w:sz w:val="18"/>
              </w:rPr>
            </w:pPr>
            <w:r>
              <w:rPr>
                <w:sz w:val="18"/>
              </w:rPr>
              <w:t>10</w:t>
            </w:r>
            <w:r>
              <w:rPr>
                <w:spacing w:val="-15"/>
                <w:sz w:val="18"/>
              </w:rPr>
              <w:t> 个月</w:t>
            </w:r>
          </w:p>
        </w:tc>
        <w:tc>
          <w:tcPr>
            <w:tcW w:w="664" w:type="dxa"/>
          </w:tcPr>
          <w:p>
            <w:pPr>
              <w:pStyle w:val="TableParagraph"/>
              <w:spacing w:before="72"/>
              <w:ind w:left="27"/>
              <w:jc w:val="center"/>
              <w:rPr>
                <w:sz w:val="18"/>
              </w:rPr>
            </w:pPr>
            <w:r>
              <w:rPr>
                <w:sz w:val="18"/>
              </w:rPr>
              <w:t>11</w:t>
            </w:r>
            <w:r>
              <w:rPr>
                <w:spacing w:val="-15"/>
                <w:sz w:val="18"/>
              </w:rPr>
              <w:t> 个月</w:t>
            </w:r>
          </w:p>
        </w:tc>
        <w:tc>
          <w:tcPr>
            <w:tcW w:w="666" w:type="dxa"/>
          </w:tcPr>
          <w:p>
            <w:pPr>
              <w:pStyle w:val="TableParagraph"/>
              <w:spacing w:before="72"/>
              <w:ind w:left="32"/>
              <w:jc w:val="center"/>
              <w:rPr>
                <w:sz w:val="18"/>
              </w:rPr>
            </w:pPr>
            <w:r>
              <w:rPr>
                <w:sz w:val="18"/>
              </w:rPr>
              <w:t>12</w:t>
            </w:r>
            <w:r>
              <w:rPr>
                <w:spacing w:val="-15"/>
                <w:sz w:val="18"/>
              </w:rPr>
              <w:t> 个月</w:t>
            </w:r>
          </w:p>
        </w:tc>
      </w:tr>
      <w:tr>
        <w:trPr>
          <w:trHeight w:val="313" w:hRule="atLeast"/>
        </w:trPr>
        <w:tc>
          <w:tcPr>
            <w:tcW w:w="890" w:type="dxa"/>
          </w:tcPr>
          <w:p>
            <w:pPr>
              <w:pStyle w:val="TableParagraph"/>
              <w:spacing w:before="8"/>
              <w:ind w:left="83" w:right="64"/>
              <w:jc w:val="center"/>
              <w:rPr>
                <w:b/>
                <w:sz w:val="18"/>
              </w:rPr>
            </w:pPr>
            <w:r>
              <w:rPr>
                <w:b/>
                <w:w w:val="95"/>
                <w:sz w:val="18"/>
              </w:rPr>
              <w:t>收费比例</w:t>
            </w:r>
          </w:p>
        </w:tc>
        <w:tc>
          <w:tcPr>
            <w:tcW w:w="667" w:type="dxa"/>
          </w:tcPr>
          <w:p>
            <w:pPr>
              <w:pStyle w:val="TableParagraph"/>
              <w:spacing w:before="8"/>
              <w:ind w:left="41" w:right="26"/>
              <w:jc w:val="center"/>
              <w:rPr>
                <w:sz w:val="18"/>
              </w:rPr>
            </w:pPr>
            <w:r>
              <w:rPr>
                <w:sz w:val="18"/>
              </w:rPr>
              <w:t>20%</w:t>
            </w:r>
          </w:p>
        </w:tc>
        <w:tc>
          <w:tcPr>
            <w:tcW w:w="665" w:type="dxa"/>
          </w:tcPr>
          <w:p>
            <w:pPr>
              <w:pStyle w:val="TableParagraph"/>
              <w:spacing w:before="8"/>
              <w:ind w:left="42" w:right="25"/>
              <w:jc w:val="center"/>
              <w:rPr>
                <w:sz w:val="18"/>
              </w:rPr>
            </w:pPr>
            <w:r>
              <w:rPr>
                <w:sz w:val="18"/>
              </w:rPr>
              <w:t>30%</w:t>
            </w:r>
          </w:p>
        </w:tc>
        <w:tc>
          <w:tcPr>
            <w:tcW w:w="667" w:type="dxa"/>
          </w:tcPr>
          <w:p>
            <w:pPr>
              <w:pStyle w:val="TableParagraph"/>
              <w:spacing w:before="8"/>
              <w:ind w:left="42" w:right="26"/>
              <w:jc w:val="center"/>
              <w:rPr>
                <w:sz w:val="18"/>
              </w:rPr>
            </w:pPr>
            <w:r>
              <w:rPr>
                <w:sz w:val="18"/>
              </w:rPr>
              <w:t>40%</w:t>
            </w:r>
          </w:p>
        </w:tc>
        <w:tc>
          <w:tcPr>
            <w:tcW w:w="665" w:type="dxa"/>
          </w:tcPr>
          <w:p>
            <w:pPr>
              <w:pStyle w:val="TableParagraph"/>
              <w:spacing w:before="8"/>
              <w:ind w:left="42" w:right="24"/>
              <w:jc w:val="center"/>
              <w:rPr>
                <w:sz w:val="18"/>
              </w:rPr>
            </w:pPr>
            <w:r>
              <w:rPr>
                <w:sz w:val="18"/>
              </w:rPr>
              <w:t>50%</w:t>
            </w:r>
          </w:p>
        </w:tc>
        <w:tc>
          <w:tcPr>
            <w:tcW w:w="667" w:type="dxa"/>
          </w:tcPr>
          <w:p>
            <w:pPr>
              <w:pStyle w:val="TableParagraph"/>
              <w:spacing w:before="8"/>
              <w:ind w:left="42" w:right="26"/>
              <w:jc w:val="center"/>
              <w:rPr>
                <w:sz w:val="18"/>
              </w:rPr>
            </w:pPr>
            <w:r>
              <w:rPr>
                <w:sz w:val="18"/>
              </w:rPr>
              <w:t>60%</w:t>
            </w:r>
          </w:p>
        </w:tc>
        <w:tc>
          <w:tcPr>
            <w:tcW w:w="667" w:type="dxa"/>
          </w:tcPr>
          <w:p>
            <w:pPr>
              <w:pStyle w:val="TableParagraph"/>
              <w:spacing w:before="8"/>
              <w:ind w:left="42" w:right="25"/>
              <w:jc w:val="center"/>
              <w:rPr>
                <w:sz w:val="18"/>
              </w:rPr>
            </w:pPr>
            <w:r>
              <w:rPr>
                <w:sz w:val="18"/>
              </w:rPr>
              <w:t>70%</w:t>
            </w:r>
          </w:p>
        </w:tc>
        <w:tc>
          <w:tcPr>
            <w:tcW w:w="664" w:type="dxa"/>
          </w:tcPr>
          <w:p>
            <w:pPr>
              <w:pStyle w:val="TableParagraph"/>
              <w:spacing w:before="8"/>
              <w:ind w:left="21"/>
              <w:jc w:val="center"/>
              <w:rPr>
                <w:sz w:val="18"/>
              </w:rPr>
            </w:pPr>
            <w:r>
              <w:rPr>
                <w:sz w:val="18"/>
              </w:rPr>
              <w:t>75%</w:t>
            </w:r>
          </w:p>
        </w:tc>
        <w:tc>
          <w:tcPr>
            <w:tcW w:w="666" w:type="dxa"/>
          </w:tcPr>
          <w:p>
            <w:pPr>
              <w:pStyle w:val="TableParagraph"/>
              <w:spacing w:before="8"/>
              <w:ind w:left="20"/>
              <w:jc w:val="center"/>
              <w:rPr>
                <w:sz w:val="18"/>
              </w:rPr>
            </w:pPr>
            <w:r>
              <w:rPr>
                <w:sz w:val="18"/>
              </w:rPr>
              <w:t>80%</w:t>
            </w:r>
          </w:p>
        </w:tc>
        <w:tc>
          <w:tcPr>
            <w:tcW w:w="664" w:type="dxa"/>
          </w:tcPr>
          <w:p>
            <w:pPr>
              <w:pStyle w:val="TableParagraph"/>
              <w:spacing w:before="8"/>
              <w:ind w:left="25"/>
              <w:jc w:val="center"/>
              <w:rPr>
                <w:sz w:val="18"/>
              </w:rPr>
            </w:pPr>
            <w:r>
              <w:rPr>
                <w:sz w:val="18"/>
              </w:rPr>
              <w:t>85%</w:t>
            </w:r>
          </w:p>
        </w:tc>
        <w:tc>
          <w:tcPr>
            <w:tcW w:w="666" w:type="dxa"/>
          </w:tcPr>
          <w:p>
            <w:pPr>
              <w:pStyle w:val="TableParagraph"/>
              <w:spacing w:before="8"/>
              <w:ind w:left="25"/>
              <w:jc w:val="center"/>
              <w:rPr>
                <w:sz w:val="18"/>
              </w:rPr>
            </w:pPr>
            <w:r>
              <w:rPr>
                <w:sz w:val="18"/>
              </w:rPr>
              <w:t>90%</w:t>
            </w:r>
          </w:p>
        </w:tc>
        <w:tc>
          <w:tcPr>
            <w:tcW w:w="664" w:type="dxa"/>
          </w:tcPr>
          <w:p>
            <w:pPr>
              <w:pStyle w:val="TableParagraph"/>
              <w:spacing w:before="8"/>
              <w:ind w:left="30"/>
              <w:jc w:val="center"/>
              <w:rPr>
                <w:sz w:val="18"/>
              </w:rPr>
            </w:pPr>
            <w:r>
              <w:rPr>
                <w:sz w:val="18"/>
              </w:rPr>
              <w:t>95%</w:t>
            </w:r>
          </w:p>
        </w:tc>
        <w:tc>
          <w:tcPr>
            <w:tcW w:w="666" w:type="dxa"/>
          </w:tcPr>
          <w:p>
            <w:pPr>
              <w:pStyle w:val="TableParagraph"/>
              <w:spacing w:before="8"/>
              <w:ind w:left="30"/>
              <w:jc w:val="center"/>
              <w:rPr>
                <w:sz w:val="18"/>
              </w:rPr>
            </w:pPr>
            <w:r>
              <w:rPr>
                <w:sz w:val="18"/>
              </w:rPr>
              <w:t>100%</w:t>
            </w:r>
          </w:p>
        </w:tc>
      </w:tr>
    </w:tbl>
    <w:p>
      <w:pPr>
        <w:pStyle w:val="BodyText"/>
        <w:spacing w:line="262" w:lineRule="exact"/>
        <w:ind w:left="372"/>
      </w:pPr>
      <w:r>
        <w:rPr>
          <w:spacing w:val="-5"/>
        </w:rPr>
        <w:t>注：</w:t>
      </w:r>
      <w:r>
        <w:rPr>
          <w:spacing w:val="-9"/>
        </w:rPr>
        <w:t>1</w:t>
      </w:r>
      <w:r>
        <w:rPr>
          <w:spacing w:val="-12"/>
        </w:rPr>
        <w:t>、保险期间在 </w:t>
      </w:r>
      <w:r>
        <w:rPr/>
        <w:t>1</w:t>
      </w:r>
      <w:r>
        <w:rPr>
          <w:spacing w:val="-16"/>
        </w:rPr>
        <w:t> 个月以上，不足 </w:t>
      </w:r>
      <w:r>
        <w:rPr/>
        <w:t>2</w:t>
      </w:r>
      <w:r>
        <w:rPr>
          <w:spacing w:val="-20"/>
        </w:rPr>
        <w:t> 个月的，按 </w:t>
      </w:r>
      <w:r>
        <w:rPr/>
        <w:t>2</w:t>
      </w:r>
      <w:r>
        <w:rPr>
          <w:spacing w:val="-14"/>
        </w:rPr>
        <w:t> 个月计算；保险期间在 </w:t>
      </w:r>
      <w:r>
        <w:rPr/>
        <w:t>2</w:t>
      </w:r>
      <w:r>
        <w:rPr>
          <w:spacing w:val="-16"/>
        </w:rPr>
        <w:t> 个月以上，不足 </w:t>
      </w:r>
      <w:r>
        <w:rPr/>
        <w:t>3</w:t>
      </w:r>
      <w:r>
        <w:rPr>
          <w:spacing w:val="-18"/>
        </w:rPr>
        <w:t> 个月</w:t>
      </w:r>
    </w:p>
    <w:p>
      <w:pPr>
        <w:pStyle w:val="BodyText"/>
        <w:spacing w:before="37"/>
        <w:ind w:left="1003"/>
      </w:pPr>
      <w:r>
        <w:rPr/>
        <w:t>的，按 3 个月计算，依此类推。</w:t>
      </w:r>
    </w:p>
    <w:p>
      <w:pPr>
        <w:pStyle w:val="BodyText"/>
        <w:spacing w:before="123"/>
        <w:ind w:left="734"/>
      </w:pPr>
      <w:r>
        <w:rPr/>
        <w:t>2、保险期间不满 1 个月的，按 1 个月计算。</w:t>
      </w:r>
    </w:p>
    <w:sectPr>
      <w:type w:val="continuous"/>
      <w:pgSz w:w="11910" w:h="16840"/>
      <w:pgMar w:top="140" w:bottom="1320" w:left="120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209991pt;margin-top:770.859985pt;width:18.8pt;height:12pt;mso-position-horizontal-relative:page;mso-position-vertical-relative:page;z-index:-27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01" w:hanging="562"/>
        <w:jc w:val="left"/>
      </w:pPr>
      <w:rPr>
        <w:rFonts w:hint="default" w:ascii="宋体" w:hAnsi="宋体" w:eastAsia="宋体" w:cs="宋体"/>
        <w:w w:val="100"/>
        <w:sz w:val="21"/>
        <w:szCs w:val="21"/>
      </w:rPr>
    </w:lvl>
    <w:lvl w:ilvl="1">
      <w:start w:val="0"/>
      <w:numFmt w:val="bullet"/>
      <w:lvlText w:val="•"/>
      <w:lvlJc w:val="left"/>
      <w:pPr>
        <w:ind w:left="736" w:hanging="562"/>
      </w:pPr>
      <w:rPr>
        <w:rFonts w:hint="default"/>
      </w:rPr>
    </w:lvl>
    <w:lvl w:ilvl="2">
      <w:start w:val="0"/>
      <w:numFmt w:val="bullet"/>
      <w:lvlText w:val="•"/>
      <w:lvlJc w:val="left"/>
      <w:pPr>
        <w:ind w:left="1373" w:hanging="562"/>
      </w:pPr>
      <w:rPr>
        <w:rFonts w:hint="default"/>
      </w:rPr>
    </w:lvl>
    <w:lvl w:ilvl="3">
      <w:start w:val="0"/>
      <w:numFmt w:val="bullet"/>
      <w:lvlText w:val="•"/>
      <w:lvlJc w:val="left"/>
      <w:pPr>
        <w:ind w:left="2010" w:hanging="562"/>
      </w:pPr>
      <w:rPr>
        <w:rFonts w:hint="default"/>
      </w:rPr>
    </w:lvl>
    <w:lvl w:ilvl="4">
      <w:start w:val="0"/>
      <w:numFmt w:val="bullet"/>
      <w:lvlText w:val="•"/>
      <w:lvlJc w:val="left"/>
      <w:pPr>
        <w:ind w:left="2646" w:hanging="562"/>
      </w:pPr>
      <w:rPr>
        <w:rFonts w:hint="default"/>
      </w:rPr>
    </w:lvl>
    <w:lvl w:ilvl="5">
      <w:start w:val="0"/>
      <w:numFmt w:val="bullet"/>
      <w:lvlText w:val="•"/>
      <w:lvlJc w:val="left"/>
      <w:pPr>
        <w:ind w:left="3283" w:hanging="562"/>
      </w:pPr>
      <w:rPr>
        <w:rFonts w:hint="default"/>
      </w:rPr>
    </w:lvl>
    <w:lvl w:ilvl="6">
      <w:start w:val="0"/>
      <w:numFmt w:val="bullet"/>
      <w:lvlText w:val="•"/>
      <w:lvlJc w:val="left"/>
      <w:pPr>
        <w:ind w:left="3920" w:hanging="562"/>
      </w:pPr>
      <w:rPr>
        <w:rFonts w:hint="default"/>
      </w:rPr>
    </w:lvl>
    <w:lvl w:ilvl="7">
      <w:start w:val="0"/>
      <w:numFmt w:val="bullet"/>
      <w:lvlText w:val="•"/>
      <w:lvlJc w:val="left"/>
      <w:pPr>
        <w:ind w:left="4556" w:hanging="562"/>
      </w:pPr>
      <w:rPr>
        <w:rFonts w:hint="default"/>
      </w:rPr>
    </w:lvl>
    <w:lvl w:ilvl="8">
      <w:start w:val="0"/>
      <w:numFmt w:val="bullet"/>
      <w:lvlText w:val="•"/>
      <w:lvlJc w:val="left"/>
      <w:pPr>
        <w:ind w:left="5193" w:hanging="562"/>
      </w:pPr>
      <w:rPr>
        <w:rFonts w:hint="default"/>
      </w:rPr>
    </w:lvl>
  </w:abstractNum>
  <w:abstractNum w:abstractNumId="6">
    <w:multiLevelType w:val="hybridMultilevel"/>
    <w:lvl w:ilvl="0">
      <w:start w:val="1"/>
      <w:numFmt w:val="decimal"/>
      <w:lvlText w:val="（%1）"/>
      <w:lvlJc w:val="left"/>
      <w:pPr>
        <w:ind w:left="722" w:hanging="632"/>
        <w:jc w:val="left"/>
      </w:pPr>
      <w:rPr>
        <w:rFonts w:hint="default" w:ascii="宋体" w:hAnsi="宋体" w:eastAsia="宋体" w:cs="宋体"/>
        <w:w w:val="100"/>
        <w:sz w:val="21"/>
        <w:szCs w:val="21"/>
      </w:rPr>
    </w:lvl>
    <w:lvl w:ilvl="1">
      <w:start w:val="0"/>
      <w:numFmt w:val="bullet"/>
      <w:lvlText w:val="•"/>
      <w:lvlJc w:val="left"/>
      <w:pPr>
        <w:ind w:left="1286" w:hanging="632"/>
      </w:pPr>
      <w:rPr>
        <w:rFonts w:hint="default"/>
      </w:rPr>
    </w:lvl>
    <w:lvl w:ilvl="2">
      <w:start w:val="0"/>
      <w:numFmt w:val="bullet"/>
      <w:lvlText w:val="•"/>
      <w:lvlJc w:val="left"/>
      <w:pPr>
        <w:ind w:left="1853" w:hanging="632"/>
      </w:pPr>
      <w:rPr>
        <w:rFonts w:hint="default"/>
      </w:rPr>
    </w:lvl>
    <w:lvl w:ilvl="3">
      <w:start w:val="0"/>
      <w:numFmt w:val="bullet"/>
      <w:lvlText w:val="•"/>
      <w:lvlJc w:val="left"/>
      <w:pPr>
        <w:ind w:left="2420" w:hanging="632"/>
      </w:pPr>
      <w:rPr>
        <w:rFonts w:hint="default"/>
      </w:rPr>
    </w:lvl>
    <w:lvl w:ilvl="4">
      <w:start w:val="0"/>
      <w:numFmt w:val="bullet"/>
      <w:lvlText w:val="•"/>
      <w:lvlJc w:val="left"/>
      <w:pPr>
        <w:ind w:left="2987" w:hanging="632"/>
      </w:pPr>
      <w:rPr>
        <w:rFonts w:hint="default"/>
      </w:rPr>
    </w:lvl>
    <w:lvl w:ilvl="5">
      <w:start w:val="0"/>
      <w:numFmt w:val="bullet"/>
      <w:lvlText w:val="•"/>
      <w:lvlJc w:val="left"/>
      <w:pPr>
        <w:ind w:left="3554" w:hanging="632"/>
      </w:pPr>
      <w:rPr>
        <w:rFonts w:hint="default"/>
      </w:rPr>
    </w:lvl>
    <w:lvl w:ilvl="6">
      <w:start w:val="0"/>
      <w:numFmt w:val="bullet"/>
      <w:lvlText w:val="•"/>
      <w:lvlJc w:val="left"/>
      <w:pPr>
        <w:ind w:left="4120" w:hanging="632"/>
      </w:pPr>
      <w:rPr>
        <w:rFonts w:hint="default"/>
      </w:rPr>
    </w:lvl>
    <w:lvl w:ilvl="7">
      <w:start w:val="0"/>
      <w:numFmt w:val="bullet"/>
      <w:lvlText w:val="•"/>
      <w:lvlJc w:val="left"/>
      <w:pPr>
        <w:ind w:left="4687" w:hanging="632"/>
      </w:pPr>
      <w:rPr>
        <w:rFonts w:hint="default"/>
      </w:rPr>
    </w:lvl>
    <w:lvl w:ilvl="8">
      <w:start w:val="0"/>
      <w:numFmt w:val="bullet"/>
      <w:lvlText w:val="•"/>
      <w:lvlJc w:val="left"/>
      <w:pPr>
        <w:ind w:left="5254" w:hanging="632"/>
      </w:pPr>
      <w:rPr>
        <w:rFonts w:hint="default"/>
      </w:rPr>
    </w:lvl>
  </w:abstractNum>
  <w:abstractNum w:abstractNumId="5">
    <w:multiLevelType w:val="hybridMultilevel"/>
    <w:lvl w:ilvl="0">
      <w:start w:val="1"/>
      <w:numFmt w:val="decimal"/>
      <w:lvlText w:val="(%1)"/>
      <w:lvlJc w:val="left"/>
      <w:pPr>
        <w:ind w:left="563" w:hanging="360"/>
        <w:jc w:val="left"/>
      </w:pPr>
      <w:rPr>
        <w:rFonts w:hint="default" w:ascii="宋体" w:hAnsi="宋体" w:eastAsia="宋体" w:cs="宋体"/>
        <w:w w:val="100"/>
        <w:sz w:val="21"/>
        <w:szCs w:val="21"/>
      </w:rPr>
    </w:lvl>
    <w:lvl w:ilvl="1">
      <w:start w:val="0"/>
      <w:numFmt w:val="bullet"/>
      <w:lvlText w:val="•"/>
      <w:lvlJc w:val="left"/>
      <w:pPr>
        <w:ind w:left="1143" w:hanging="360"/>
      </w:pPr>
      <w:rPr>
        <w:rFonts w:hint="default"/>
      </w:rPr>
    </w:lvl>
    <w:lvl w:ilvl="2">
      <w:start w:val="0"/>
      <w:numFmt w:val="bullet"/>
      <w:lvlText w:val="•"/>
      <w:lvlJc w:val="left"/>
      <w:pPr>
        <w:ind w:left="1727" w:hanging="360"/>
      </w:pPr>
      <w:rPr>
        <w:rFonts w:hint="default"/>
      </w:rPr>
    </w:lvl>
    <w:lvl w:ilvl="3">
      <w:start w:val="0"/>
      <w:numFmt w:val="bullet"/>
      <w:lvlText w:val="•"/>
      <w:lvlJc w:val="left"/>
      <w:pPr>
        <w:ind w:left="2311" w:hanging="360"/>
      </w:pPr>
      <w:rPr>
        <w:rFonts w:hint="default"/>
      </w:rPr>
    </w:lvl>
    <w:lvl w:ilvl="4">
      <w:start w:val="0"/>
      <w:numFmt w:val="bullet"/>
      <w:lvlText w:val="•"/>
      <w:lvlJc w:val="left"/>
      <w:pPr>
        <w:ind w:left="2894" w:hanging="360"/>
      </w:pPr>
      <w:rPr>
        <w:rFonts w:hint="default"/>
      </w:rPr>
    </w:lvl>
    <w:lvl w:ilvl="5">
      <w:start w:val="0"/>
      <w:numFmt w:val="bullet"/>
      <w:lvlText w:val="•"/>
      <w:lvlJc w:val="left"/>
      <w:pPr>
        <w:ind w:left="3478" w:hanging="360"/>
      </w:pPr>
      <w:rPr>
        <w:rFonts w:hint="default"/>
      </w:rPr>
    </w:lvl>
    <w:lvl w:ilvl="6">
      <w:start w:val="0"/>
      <w:numFmt w:val="bullet"/>
      <w:lvlText w:val="•"/>
      <w:lvlJc w:val="left"/>
      <w:pPr>
        <w:ind w:left="4062" w:hanging="360"/>
      </w:pPr>
      <w:rPr>
        <w:rFonts w:hint="default"/>
      </w:rPr>
    </w:lvl>
    <w:lvl w:ilvl="7">
      <w:start w:val="0"/>
      <w:numFmt w:val="bullet"/>
      <w:lvlText w:val="•"/>
      <w:lvlJc w:val="left"/>
      <w:pPr>
        <w:ind w:left="4645" w:hanging="360"/>
      </w:pPr>
      <w:rPr>
        <w:rFonts w:hint="default"/>
      </w:rPr>
    </w:lvl>
    <w:lvl w:ilvl="8">
      <w:start w:val="0"/>
      <w:numFmt w:val="bullet"/>
      <w:lvlText w:val="•"/>
      <w:lvlJc w:val="left"/>
      <w:pPr>
        <w:ind w:left="5229" w:hanging="360"/>
      </w:pPr>
      <w:rPr>
        <w:rFonts w:hint="default"/>
      </w:rPr>
    </w:lvl>
  </w:abstractNum>
  <w:abstractNum w:abstractNumId="4">
    <w:multiLevelType w:val="hybridMultilevel"/>
    <w:lvl w:ilvl="0">
      <w:start w:val="1"/>
      <w:numFmt w:val="decimal"/>
      <w:lvlText w:val="（%1）"/>
      <w:lvlJc w:val="left"/>
      <w:pPr>
        <w:ind w:left="923" w:hanging="720"/>
        <w:jc w:val="left"/>
      </w:pPr>
      <w:rPr>
        <w:rFonts w:hint="default" w:ascii="黑体" w:hAnsi="黑体" w:eastAsia="黑体" w:cs="黑体"/>
        <w:w w:val="100"/>
        <w:sz w:val="21"/>
        <w:szCs w:val="21"/>
      </w:rPr>
    </w:lvl>
    <w:lvl w:ilvl="1">
      <w:start w:val="0"/>
      <w:numFmt w:val="bullet"/>
      <w:lvlText w:val="•"/>
      <w:lvlJc w:val="left"/>
      <w:pPr>
        <w:ind w:left="1467" w:hanging="720"/>
      </w:pPr>
      <w:rPr>
        <w:rFonts w:hint="default"/>
      </w:rPr>
    </w:lvl>
    <w:lvl w:ilvl="2">
      <w:start w:val="0"/>
      <w:numFmt w:val="bullet"/>
      <w:lvlText w:val="•"/>
      <w:lvlJc w:val="left"/>
      <w:pPr>
        <w:ind w:left="2015" w:hanging="720"/>
      </w:pPr>
      <w:rPr>
        <w:rFonts w:hint="default"/>
      </w:rPr>
    </w:lvl>
    <w:lvl w:ilvl="3">
      <w:start w:val="0"/>
      <w:numFmt w:val="bullet"/>
      <w:lvlText w:val="•"/>
      <w:lvlJc w:val="left"/>
      <w:pPr>
        <w:ind w:left="2562" w:hanging="720"/>
      </w:pPr>
      <w:rPr>
        <w:rFonts w:hint="default"/>
      </w:rPr>
    </w:lvl>
    <w:lvl w:ilvl="4">
      <w:start w:val="0"/>
      <w:numFmt w:val="bullet"/>
      <w:lvlText w:val="•"/>
      <w:lvlJc w:val="left"/>
      <w:pPr>
        <w:ind w:left="3110" w:hanging="720"/>
      </w:pPr>
      <w:rPr>
        <w:rFonts w:hint="default"/>
      </w:rPr>
    </w:lvl>
    <w:lvl w:ilvl="5">
      <w:start w:val="0"/>
      <w:numFmt w:val="bullet"/>
      <w:lvlText w:val="•"/>
      <w:lvlJc w:val="left"/>
      <w:pPr>
        <w:ind w:left="3657" w:hanging="720"/>
      </w:pPr>
      <w:rPr>
        <w:rFonts w:hint="default"/>
      </w:rPr>
    </w:lvl>
    <w:lvl w:ilvl="6">
      <w:start w:val="0"/>
      <w:numFmt w:val="bullet"/>
      <w:lvlText w:val="•"/>
      <w:lvlJc w:val="left"/>
      <w:pPr>
        <w:ind w:left="4205" w:hanging="720"/>
      </w:pPr>
      <w:rPr>
        <w:rFonts w:hint="default"/>
      </w:rPr>
    </w:lvl>
    <w:lvl w:ilvl="7">
      <w:start w:val="0"/>
      <w:numFmt w:val="bullet"/>
      <w:lvlText w:val="•"/>
      <w:lvlJc w:val="left"/>
      <w:pPr>
        <w:ind w:left="4752" w:hanging="720"/>
      </w:pPr>
      <w:rPr>
        <w:rFonts w:hint="default"/>
      </w:rPr>
    </w:lvl>
    <w:lvl w:ilvl="8">
      <w:start w:val="0"/>
      <w:numFmt w:val="bullet"/>
      <w:lvlText w:val="•"/>
      <w:lvlJc w:val="left"/>
      <w:pPr>
        <w:ind w:left="5300" w:hanging="720"/>
      </w:pPr>
      <w:rPr>
        <w:rFonts w:hint="default"/>
      </w:rPr>
    </w:lvl>
  </w:abstractNum>
  <w:abstractNum w:abstractNumId="3">
    <w:multiLevelType w:val="hybridMultilevel"/>
    <w:lvl w:ilvl="0">
      <w:start w:val="6"/>
      <w:numFmt w:val="decimal"/>
      <w:lvlText w:val="%1."/>
      <w:lvlJc w:val="left"/>
      <w:pPr>
        <w:ind w:left="570" w:hanging="317"/>
        <w:jc w:val="left"/>
      </w:pPr>
      <w:rPr>
        <w:rFonts w:hint="default" w:ascii="宋体" w:hAnsi="宋体" w:eastAsia="宋体" w:cs="宋体"/>
        <w:b/>
        <w:bCs/>
        <w:w w:val="99"/>
        <w:sz w:val="21"/>
        <w:szCs w:val="21"/>
      </w:rPr>
    </w:lvl>
    <w:lvl w:ilvl="1">
      <w:start w:val="1"/>
      <w:numFmt w:val="decimal"/>
      <w:lvlText w:val="%1.%2"/>
      <w:lvlJc w:val="left"/>
      <w:pPr>
        <w:ind w:left="253" w:hanging="423"/>
        <w:jc w:val="left"/>
      </w:pPr>
      <w:rPr>
        <w:rFonts w:hint="default" w:ascii="宋体" w:hAnsi="宋体" w:eastAsia="宋体" w:cs="宋体"/>
        <w:w w:val="100"/>
        <w:sz w:val="21"/>
        <w:szCs w:val="21"/>
      </w:rPr>
    </w:lvl>
    <w:lvl w:ilvl="2">
      <w:start w:val="0"/>
      <w:numFmt w:val="bullet"/>
      <w:lvlText w:val="•"/>
      <w:lvlJc w:val="left"/>
      <w:pPr>
        <w:ind w:left="904" w:hanging="423"/>
      </w:pPr>
      <w:rPr>
        <w:rFonts w:hint="default"/>
      </w:rPr>
    </w:lvl>
    <w:lvl w:ilvl="3">
      <w:start w:val="0"/>
      <w:numFmt w:val="bullet"/>
      <w:lvlText w:val="•"/>
      <w:lvlJc w:val="left"/>
      <w:pPr>
        <w:ind w:left="1228" w:hanging="423"/>
      </w:pPr>
      <w:rPr>
        <w:rFonts w:hint="default"/>
      </w:rPr>
    </w:lvl>
    <w:lvl w:ilvl="4">
      <w:start w:val="0"/>
      <w:numFmt w:val="bullet"/>
      <w:lvlText w:val="•"/>
      <w:lvlJc w:val="left"/>
      <w:pPr>
        <w:ind w:left="1552" w:hanging="423"/>
      </w:pPr>
      <w:rPr>
        <w:rFonts w:hint="default"/>
      </w:rPr>
    </w:lvl>
    <w:lvl w:ilvl="5">
      <w:start w:val="0"/>
      <w:numFmt w:val="bullet"/>
      <w:lvlText w:val="•"/>
      <w:lvlJc w:val="left"/>
      <w:pPr>
        <w:ind w:left="1876" w:hanging="423"/>
      </w:pPr>
      <w:rPr>
        <w:rFonts w:hint="default"/>
      </w:rPr>
    </w:lvl>
    <w:lvl w:ilvl="6">
      <w:start w:val="0"/>
      <w:numFmt w:val="bullet"/>
      <w:lvlText w:val="•"/>
      <w:lvlJc w:val="left"/>
      <w:pPr>
        <w:ind w:left="2201" w:hanging="423"/>
      </w:pPr>
      <w:rPr>
        <w:rFonts w:hint="default"/>
      </w:rPr>
    </w:lvl>
    <w:lvl w:ilvl="7">
      <w:start w:val="0"/>
      <w:numFmt w:val="bullet"/>
      <w:lvlText w:val="•"/>
      <w:lvlJc w:val="left"/>
      <w:pPr>
        <w:ind w:left="2525" w:hanging="423"/>
      </w:pPr>
      <w:rPr>
        <w:rFonts w:hint="default"/>
      </w:rPr>
    </w:lvl>
    <w:lvl w:ilvl="8">
      <w:start w:val="0"/>
      <w:numFmt w:val="bullet"/>
      <w:lvlText w:val="•"/>
      <w:lvlJc w:val="left"/>
      <w:pPr>
        <w:ind w:left="2849" w:hanging="423"/>
      </w:pPr>
      <w:rPr>
        <w:rFonts w:hint="default"/>
      </w:rPr>
    </w:lvl>
  </w:abstractNum>
  <w:abstractNum w:abstractNumId="2">
    <w:multiLevelType w:val="hybridMultilevel"/>
    <w:lvl w:ilvl="0">
      <w:start w:val="4"/>
      <w:numFmt w:val="decimal"/>
      <w:lvlText w:val="%1."/>
      <w:lvlJc w:val="left"/>
      <w:pPr>
        <w:ind w:left="423" w:hanging="317"/>
        <w:jc w:val="left"/>
      </w:pPr>
      <w:rPr>
        <w:rFonts w:hint="default" w:ascii="宋体" w:hAnsi="宋体" w:eastAsia="宋体" w:cs="宋体"/>
        <w:b/>
        <w:bCs/>
        <w:w w:val="99"/>
        <w:sz w:val="21"/>
        <w:szCs w:val="21"/>
      </w:rPr>
    </w:lvl>
    <w:lvl w:ilvl="1">
      <w:start w:val="1"/>
      <w:numFmt w:val="decimal"/>
      <w:lvlText w:val="%1.%2"/>
      <w:lvlJc w:val="left"/>
      <w:pPr>
        <w:ind w:left="634" w:hanging="423"/>
        <w:jc w:val="left"/>
      </w:pPr>
      <w:rPr>
        <w:rFonts w:hint="default" w:ascii="宋体" w:hAnsi="宋体" w:eastAsia="宋体" w:cs="宋体"/>
        <w:w w:val="100"/>
        <w:sz w:val="21"/>
        <w:szCs w:val="21"/>
      </w:rPr>
    </w:lvl>
    <w:lvl w:ilvl="2">
      <w:start w:val="0"/>
      <w:numFmt w:val="bullet"/>
      <w:lvlText w:val="•"/>
      <w:lvlJc w:val="left"/>
      <w:pPr>
        <w:ind w:left="924" w:hanging="423"/>
      </w:pPr>
      <w:rPr>
        <w:rFonts w:hint="default"/>
      </w:rPr>
    </w:lvl>
    <w:lvl w:ilvl="3">
      <w:start w:val="0"/>
      <w:numFmt w:val="bullet"/>
      <w:lvlText w:val="•"/>
      <w:lvlJc w:val="left"/>
      <w:pPr>
        <w:ind w:left="1209" w:hanging="423"/>
      </w:pPr>
      <w:rPr>
        <w:rFonts w:hint="default"/>
      </w:rPr>
    </w:lvl>
    <w:lvl w:ilvl="4">
      <w:start w:val="0"/>
      <w:numFmt w:val="bullet"/>
      <w:lvlText w:val="•"/>
      <w:lvlJc w:val="left"/>
      <w:pPr>
        <w:ind w:left="1493" w:hanging="423"/>
      </w:pPr>
      <w:rPr>
        <w:rFonts w:hint="default"/>
      </w:rPr>
    </w:lvl>
    <w:lvl w:ilvl="5">
      <w:start w:val="0"/>
      <w:numFmt w:val="bullet"/>
      <w:lvlText w:val="•"/>
      <w:lvlJc w:val="left"/>
      <w:pPr>
        <w:ind w:left="1778" w:hanging="423"/>
      </w:pPr>
      <w:rPr>
        <w:rFonts w:hint="default"/>
      </w:rPr>
    </w:lvl>
    <w:lvl w:ilvl="6">
      <w:start w:val="0"/>
      <w:numFmt w:val="bullet"/>
      <w:lvlText w:val="•"/>
      <w:lvlJc w:val="left"/>
      <w:pPr>
        <w:ind w:left="2062" w:hanging="423"/>
      </w:pPr>
      <w:rPr>
        <w:rFonts w:hint="default"/>
      </w:rPr>
    </w:lvl>
    <w:lvl w:ilvl="7">
      <w:start w:val="0"/>
      <w:numFmt w:val="bullet"/>
      <w:lvlText w:val="•"/>
      <w:lvlJc w:val="left"/>
      <w:pPr>
        <w:ind w:left="2347" w:hanging="423"/>
      </w:pPr>
      <w:rPr>
        <w:rFonts w:hint="default"/>
      </w:rPr>
    </w:lvl>
    <w:lvl w:ilvl="8">
      <w:start w:val="0"/>
      <w:numFmt w:val="bullet"/>
      <w:lvlText w:val="•"/>
      <w:lvlJc w:val="left"/>
      <w:pPr>
        <w:ind w:left="2631"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200" w:hanging="423"/>
        <w:jc w:val="left"/>
      </w:pPr>
      <w:rPr>
        <w:rFonts w:hint="default" w:ascii="宋体" w:hAnsi="宋体" w:eastAsia="宋体" w:cs="宋体"/>
        <w:w w:val="100"/>
        <w:sz w:val="21"/>
        <w:szCs w:val="21"/>
      </w:rPr>
    </w:lvl>
    <w:lvl w:ilvl="2">
      <w:start w:val="0"/>
      <w:numFmt w:val="bullet"/>
      <w:lvlText w:val="•"/>
      <w:lvlJc w:val="left"/>
      <w:pPr>
        <w:ind w:left="720" w:hanging="423"/>
      </w:pPr>
      <w:rPr>
        <w:rFonts w:hint="default"/>
      </w:rPr>
    </w:lvl>
    <w:lvl w:ilvl="3">
      <w:start w:val="0"/>
      <w:numFmt w:val="bullet"/>
      <w:lvlText w:val="•"/>
      <w:lvlJc w:val="left"/>
      <w:pPr>
        <w:ind w:left="1035" w:hanging="423"/>
      </w:pPr>
      <w:rPr>
        <w:rFonts w:hint="default"/>
      </w:rPr>
    </w:lvl>
    <w:lvl w:ilvl="4">
      <w:start w:val="0"/>
      <w:numFmt w:val="bullet"/>
      <w:lvlText w:val="•"/>
      <w:lvlJc w:val="left"/>
      <w:pPr>
        <w:ind w:left="1350" w:hanging="423"/>
      </w:pPr>
      <w:rPr>
        <w:rFonts w:hint="default"/>
      </w:rPr>
    </w:lvl>
    <w:lvl w:ilvl="5">
      <w:start w:val="0"/>
      <w:numFmt w:val="bullet"/>
      <w:lvlText w:val="•"/>
      <w:lvlJc w:val="left"/>
      <w:pPr>
        <w:ind w:left="1666" w:hanging="423"/>
      </w:pPr>
      <w:rPr>
        <w:rFonts w:hint="default"/>
      </w:rPr>
    </w:lvl>
    <w:lvl w:ilvl="6">
      <w:start w:val="0"/>
      <w:numFmt w:val="bullet"/>
      <w:lvlText w:val="•"/>
      <w:lvlJc w:val="left"/>
      <w:pPr>
        <w:ind w:left="1981" w:hanging="423"/>
      </w:pPr>
      <w:rPr>
        <w:rFonts w:hint="default"/>
      </w:rPr>
    </w:lvl>
    <w:lvl w:ilvl="7">
      <w:start w:val="0"/>
      <w:numFmt w:val="bullet"/>
      <w:lvlText w:val="•"/>
      <w:lvlJc w:val="left"/>
      <w:pPr>
        <w:ind w:left="2296" w:hanging="423"/>
      </w:pPr>
      <w:rPr>
        <w:rFonts w:hint="default"/>
      </w:rPr>
    </w:lvl>
    <w:lvl w:ilvl="8">
      <w:start w:val="0"/>
      <w:numFmt w:val="bullet"/>
      <w:lvlText w:val="•"/>
      <w:lvlJc w:val="left"/>
      <w:pPr>
        <w:ind w:left="2612"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212" w:hanging="399"/>
      </w:pPr>
      <w:rPr>
        <w:rFonts w:hint="default"/>
      </w:rPr>
    </w:lvl>
    <w:lvl w:ilvl="2">
      <w:start w:val="0"/>
      <w:numFmt w:val="bullet"/>
      <w:lvlText w:val="•"/>
      <w:lvlJc w:val="left"/>
      <w:pPr>
        <w:ind w:left="3165" w:hanging="399"/>
      </w:pPr>
      <w:rPr>
        <w:rFonts w:hint="default"/>
      </w:rPr>
    </w:lvl>
    <w:lvl w:ilvl="3">
      <w:start w:val="0"/>
      <w:numFmt w:val="bullet"/>
      <w:lvlText w:val="•"/>
      <w:lvlJc w:val="left"/>
      <w:pPr>
        <w:ind w:left="4117" w:hanging="399"/>
      </w:pPr>
      <w:rPr>
        <w:rFonts w:hint="default"/>
      </w:rPr>
    </w:lvl>
    <w:lvl w:ilvl="4">
      <w:start w:val="0"/>
      <w:numFmt w:val="bullet"/>
      <w:lvlText w:val="•"/>
      <w:lvlJc w:val="left"/>
      <w:pPr>
        <w:ind w:left="5070" w:hanging="399"/>
      </w:pPr>
      <w:rPr>
        <w:rFonts w:hint="default"/>
      </w:rPr>
    </w:lvl>
    <w:lvl w:ilvl="5">
      <w:start w:val="0"/>
      <w:numFmt w:val="bullet"/>
      <w:lvlText w:val="•"/>
      <w:lvlJc w:val="left"/>
      <w:pPr>
        <w:ind w:left="6023" w:hanging="399"/>
      </w:pPr>
      <w:rPr>
        <w:rFonts w:hint="default"/>
      </w:rPr>
    </w:lvl>
    <w:lvl w:ilvl="6">
      <w:start w:val="0"/>
      <w:numFmt w:val="bullet"/>
      <w:lvlText w:val="•"/>
      <w:lvlJc w:val="left"/>
      <w:pPr>
        <w:ind w:left="6975" w:hanging="399"/>
      </w:pPr>
      <w:rPr>
        <w:rFonts w:hint="default"/>
      </w:rPr>
    </w:lvl>
    <w:lvl w:ilvl="7">
      <w:start w:val="0"/>
      <w:numFmt w:val="bullet"/>
      <w:lvlText w:val="•"/>
      <w:lvlJc w:val="left"/>
      <w:pPr>
        <w:ind w:left="7928" w:hanging="399"/>
      </w:pPr>
      <w:rPr>
        <w:rFonts w:hint="default"/>
      </w:rPr>
    </w:lvl>
    <w:lvl w:ilvl="8">
      <w:start w:val="0"/>
      <w:numFmt w:val="bullet"/>
      <w:lvlText w:val="•"/>
      <w:lvlJc w:val="left"/>
      <w:pPr>
        <w:ind w:left="8881" w:hanging="39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734"/>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
      <w:ind w:left="103" w:hanging="1476"/>
      <w:outlineLvl w:val="2"/>
    </w:pPr>
    <w:rPr>
      <w:rFonts w:ascii="宋体" w:hAnsi="宋体" w:eastAsia="宋体" w:cs="宋体"/>
      <w:b/>
      <w:bCs/>
      <w:sz w:val="24"/>
      <w:szCs w:val="24"/>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spacing w:before="37"/>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合众团体一年期重大疾病保险（2008年修订）条款</dc:title>
  <dcterms:created xsi:type="dcterms:W3CDTF">2018-10-20T03:41:35Z</dcterms:created>
  <dcterms:modified xsi:type="dcterms:W3CDTF">2018-10-20T03:41:35Z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Creator">
    <vt:lpwstr>Microsoft® Office Word 2007</vt:lpwstr>
  </property>
  <property fmtid="{D5CDD505-2E9C-101B-9397-08002B2CF9AE}" pid="4" name="LastSaved">
    <vt:filetime>2018-10-19T00:00:00Z</vt:filetime>
  </property>
</Properties>
</file>