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left="0" w:right="106"/>
        <w:jc w:val="right"/>
      </w:pPr>
      <w:r>
        <w:rPr/>
        <w:t>光大永明人寿[2014]疾病保险 018 号</w:t>
      </w:r>
    </w:p>
    <w:p>
      <w:pPr>
        <w:pStyle w:val="BodyText"/>
        <w:spacing w:before="4" w:after="1"/>
        <w:ind w:left="0"/>
        <w:rPr>
          <w:sz w:val="8"/>
        </w:rPr>
      </w:pPr>
    </w:p>
    <w:p>
      <w:pPr>
        <w:pStyle w:val="BodyText"/>
        <w:spacing w:before="0"/>
        <w:ind w:left="8159"/>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280" w:bottom="280" w:left="1100" w:right="400"/>
        </w:sectPr>
      </w:pPr>
    </w:p>
    <w:p>
      <w:pPr>
        <w:spacing w:before="277"/>
        <w:ind w:left="2660" w:right="0" w:firstLine="0"/>
        <w:jc w:val="left"/>
        <w:rPr>
          <w:b/>
          <w:sz w:val="36"/>
        </w:rPr>
      </w:pPr>
      <w:r>
        <w:rPr>
          <w:b/>
          <w:sz w:val="36"/>
        </w:rPr>
        <w:t>光大永明人寿保险有限公司</w:t>
      </w:r>
    </w:p>
    <w:p>
      <w:pPr>
        <w:pStyle w:val="BodyText"/>
        <w:spacing w:before="35"/>
        <w:ind w:left="539"/>
      </w:pPr>
      <w:r>
        <w:rPr/>
        <w:br w:type="column"/>
      </w:r>
      <w:r>
        <w:rPr/>
        <w:t>请扫描以查询验证条款</w:t>
      </w:r>
    </w:p>
    <w:p>
      <w:pPr>
        <w:spacing w:after="0"/>
        <w:sectPr>
          <w:type w:val="continuous"/>
          <w:pgSz w:w="11910" w:h="16840"/>
          <w:pgMar w:top="280" w:bottom="280" w:left="1100" w:right="400"/>
          <w:cols w:num="2" w:equalWidth="0">
            <w:col w:w="7004" w:space="40"/>
            <w:col w:w="3366"/>
          </w:cols>
        </w:sectPr>
      </w:pPr>
    </w:p>
    <w:p>
      <w:pPr>
        <w:pStyle w:val="BodyText"/>
        <w:spacing w:before="0"/>
        <w:ind w:left="0"/>
        <w:rPr>
          <w:sz w:val="20"/>
        </w:rPr>
      </w:pPr>
    </w:p>
    <w:p>
      <w:pPr>
        <w:pStyle w:val="BodyText"/>
        <w:spacing w:before="4"/>
        <w:ind w:left="0"/>
        <w:rPr>
          <w:sz w:val="16"/>
        </w:rPr>
      </w:pPr>
    </w:p>
    <w:p>
      <w:pPr>
        <w:spacing w:line="460" w:lineRule="exact" w:before="0"/>
        <w:ind w:left="1938" w:right="0" w:firstLine="0"/>
        <w:jc w:val="left"/>
        <w:rPr>
          <w:b/>
          <w:sz w:val="36"/>
        </w:rPr>
      </w:pPr>
      <w:r>
        <w:rPr>
          <w:b/>
          <w:w w:val="95"/>
          <w:sz w:val="36"/>
        </w:rPr>
        <w:t>光大永明附加学生儿童重大疾病保险</w:t>
      </w:r>
    </w:p>
    <w:p>
      <w:pPr>
        <w:pStyle w:val="BodyText"/>
        <w:spacing w:before="0"/>
        <w:ind w:left="0"/>
        <w:rPr>
          <w:b/>
          <w:sz w:val="36"/>
        </w:rPr>
      </w:pPr>
    </w:p>
    <w:p>
      <w:pPr>
        <w:pStyle w:val="BodyText"/>
        <w:spacing w:before="6"/>
        <w:ind w:left="0"/>
        <w:rPr>
          <w:b/>
          <w:sz w:val="46"/>
        </w:rPr>
      </w:pPr>
    </w:p>
    <w:p>
      <w:pPr>
        <w:spacing w:line="312" w:lineRule="auto" w:before="0"/>
        <w:ind w:left="315" w:right="1052" w:firstLine="0"/>
        <w:jc w:val="left"/>
        <w:rPr>
          <w:b/>
          <w:sz w:val="21"/>
        </w:rPr>
      </w:pPr>
      <w:r>
        <w:rPr>
          <w:b/>
          <w:spacing w:val="-5"/>
          <w:sz w:val="21"/>
        </w:rPr>
        <w:t>感谢您选择了光大永明人寿。为了帮助您更好地理解本条款，在阅读本条款前，请您注意阅读提示和说明。</w:t>
      </w:r>
    </w:p>
    <w:p>
      <w:pPr>
        <w:pStyle w:val="BodyText"/>
        <w:spacing w:before="6"/>
        <w:ind w:left="0"/>
        <w:rPr>
          <w:b/>
          <w:sz w:val="25"/>
        </w:rPr>
      </w:pPr>
    </w:p>
    <w:p>
      <w:pPr>
        <w:spacing w:before="0"/>
        <w:ind w:left="4394" w:right="5132" w:firstLine="0"/>
        <w:jc w:val="center"/>
        <w:rPr>
          <w:b/>
          <w:sz w:val="21"/>
        </w:rPr>
      </w:pPr>
      <w:r>
        <w:rPr>
          <w:b/>
          <w:sz w:val="21"/>
        </w:rPr>
        <w:t>阅读提示</w:t>
      </w:r>
    </w:p>
    <w:p>
      <w:pPr>
        <w:pStyle w:val="BodyText"/>
        <w:spacing w:before="0"/>
        <w:ind w:left="0"/>
        <w:rPr>
          <w:b/>
          <w:sz w:val="20"/>
        </w:rPr>
      </w:pPr>
    </w:p>
    <w:p>
      <w:pPr>
        <w:pStyle w:val="BodyText"/>
        <w:spacing w:before="5"/>
        <w:ind w:left="0"/>
        <w:rPr>
          <w:b/>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34"/>
        <w:gridCol w:w="1642"/>
      </w:tblGrid>
      <w:tr>
        <w:trPr>
          <w:trHeight w:val="342" w:hRule="atLeast"/>
        </w:trPr>
        <w:tc>
          <w:tcPr>
            <w:tcW w:w="7834" w:type="dxa"/>
          </w:tcPr>
          <w:p>
            <w:pPr>
              <w:pStyle w:val="TableParagraph"/>
              <w:spacing w:line="211" w:lineRule="exact" w:before="0"/>
              <w:ind w:left="3785"/>
              <w:rPr>
                <w:b/>
                <w:sz w:val="21"/>
              </w:rPr>
            </w:pPr>
            <w:r>
              <w:rPr>
                <w:b/>
                <w:sz w:val="21"/>
              </w:rPr>
              <w:t>您所享有的重要权益</w:t>
            </w:r>
          </w:p>
        </w:tc>
        <w:tc>
          <w:tcPr>
            <w:tcW w:w="1642" w:type="dxa"/>
          </w:tcPr>
          <w:p>
            <w:pPr>
              <w:pStyle w:val="TableParagraph"/>
              <w:spacing w:before="0"/>
              <w:rPr>
                <w:rFonts w:ascii="Times New Roman"/>
                <w:sz w:val="22"/>
              </w:rPr>
            </w:pPr>
          </w:p>
        </w:tc>
      </w:tr>
      <w:tr>
        <w:trPr>
          <w:trHeight w:val="709" w:hRule="atLeast"/>
        </w:trPr>
        <w:tc>
          <w:tcPr>
            <w:tcW w:w="7834" w:type="dxa"/>
          </w:tcPr>
          <w:p>
            <w:pPr>
              <w:pStyle w:val="TableParagraph"/>
              <w:ind w:right="73"/>
              <w:jc w:val="right"/>
              <w:rPr>
                <w:sz w:val="21"/>
              </w:rPr>
            </w:pPr>
            <w:r>
              <w:rPr>
                <w:sz w:val="21"/>
              </w:rPr>
              <w:t>本附加合同所提供的保障 .................................................</w:t>
            </w:r>
          </w:p>
        </w:tc>
        <w:tc>
          <w:tcPr>
            <w:tcW w:w="1642" w:type="dxa"/>
          </w:tcPr>
          <w:p>
            <w:pPr>
              <w:pStyle w:val="TableParagraph"/>
              <w:tabs>
                <w:tab w:pos="653" w:val="left" w:leader="none"/>
                <w:tab w:pos="1231" w:val="left" w:leader="none"/>
              </w:tabs>
              <w:ind w:left="74"/>
              <w:rPr>
                <w:b/>
                <w:sz w:val="21"/>
              </w:rPr>
            </w:pPr>
            <w:hyperlink w:history="true" w:anchor="_bookmark9">
              <w:r>
                <w:rPr>
                  <w:b/>
                  <w:sz w:val="21"/>
                </w:rPr>
                <w:t>第</w:t>
                <w:tab/>
                <w:t>八</w:t>
                <w:tab/>
                <w:t>条</w:t>
              </w:r>
            </w:hyperlink>
          </w:p>
        </w:tc>
      </w:tr>
      <w:tr>
        <w:trPr>
          <w:trHeight w:val="709" w:hRule="atLeast"/>
        </w:trPr>
        <w:tc>
          <w:tcPr>
            <w:tcW w:w="7834" w:type="dxa"/>
          </w:tcPr>
          <w:p>
            <w:pPr>
              <w:pStyle w:val="TableParagraph"/>
              <w:spacing w:before="2"/>
              <w:rPr>
                <w:b/>
                <w:sz w:val="23"/>
              </w:rPr>
            </w:pPr>
          </w:p>
          <w:p>
            <w:pPr>
              <w:pStyle w:val="TableParagraph"/>
              <w:spacing w:before="0"/>
              <w:ind w:left="3682"/>
              <w:rPr>
                <w:b/>
                <w:sz w:val="21"/>
              </w:rPr>
            </w:pPr>
            <w:r>
              <w:rPr>
                <w:b/>
                <w:sz w:val="21"/>
              </w:rPr>
              <w:t>您应当特别注意的事项</w:t>
            </w:r>
          </w:p>
        </w:tc>
        <w:tc>
          <w:tcPr>
            <w:tcW w:w="1642" w:type="dxa"/>
          </w:tcPr>
          <w:p>
            <w:pPr>
              <w:pStyle w:val="TableParagraph"/>
              <w:spacing w:before="0"/>
              <w:rPr>
                <w:rFonts w:ascii="Times New Roman"/>
                <w:sz w:val="22"/>
              </w:rPr>
            </w:pPr>
          </w:p>
        </w:tc>
      </w:tr>
      <w:tr>
        <w:trPr>
          <w:trHeight w:val="472" w:hRule="atLeast"/>
        </w:trPr>
        <w:tc>
          <w:tcPr>
            <w:tcW w:w="7834" w:type="dxa"/>
          </w:tcPr>
          <w:p>
            <w:pPr>
              <w:pStyle w:val="TableParagraph"/>
              <w:ind w:right="73"/>
              <w:jc w:val="right"/>
              <w:rPr>
                <w:sz w:val="21"/>
              </w:rPr>
            </w:pPr>
            <w:r>
              <w:rPr>
                <w:sz w:val="21"/>
              </w:rPr>
              <w:t>在某些情况下，我们不承担保险责任 .......................................</w:t>
            </w:r>
          </w:p>
        </w:tc>
        <w:tc>
          <w:tcPr>
            <w:tcW w:w="1642" w:type="dxa"/>
          </w:tcPr>
          <w:p>
            <w:pPr>
              <w:pStyle w:val="TableParagraph"/>
              <w:tabs>
                <w:tab w:pos="653" w:val="left" w:leader="none"/>
                <w:tab w:pos="1231" w:val="left" w:leader="none"/>
              </w:tabs>
              <w:ind w:left="74"/>
              <w:rPr>
                <w:b/>
                <w:sz w:val="21"/>
              </w:rPr>
            </w:pPr>
            <w:hyperlink w:history="true" w:anchor="_bookmark10">
              <w:r>
                <w:rPr>
                  <w:b/>
                  <w:sz w:val="21"/>
                </w:rPr>
                <w:t>第</w:t>
                <w:tab/>
                <w:t>九</w:t>
                <w:tab/>
                <w:t>条</w:t>
              </w:r>
            </w:hyperlink>
          </w:p>
        </w:tc>
      </w:tr>
      <w:tr>
        <w:trPr>
          <w:trHeight w:val="472" w:hRule="atLeast"/>
        </w:trPr>
        <w:tc>
          <w:tcPr>
            <w:tcW w:w="7834" w:type="dxa"/>
          </w:tcPr>
          <w:p>
            <w:pPr>
              <w:pStyle w:val="TableParagraph"/>
              <w:ind w:right="73"/>
              <w:jc w:val="right"/>
              <w:rPr>
                <w:sz w:val="21"/>
              </w:rPr>
            </w:pPr>
            <w:r>
              <w:rPr>
                <w:sz w:val="21"/>
              </w:rPr>
              <w:t>发生保险事故后，您应该及时通知我们 .....................................</w:t>
            </w:r>
          </w:p>
        </w:tc>
        <w:tc>
          <w:tcPr>
            <w:tcW w:w="1642" w:type="dxa"/>
          </w:tcPr>
          <w:p>
            <w:pPr>
              <w:pStyle w:val="TableParagraph"/>
              <w:tabs>
                <w:tab w:pos="653" w:val="left" w:leader="none"/>
                <w:tab w:pos="1231" w:val="left" w:leader="none"/>
              </w:tabs>
              <w:ind w:left="74"/>
              <w:rPr>
                <w:b/>
                <w:sz w:val="21"/>
              </w:rPr>
            </w:pPr>
            <w:hyperlink w:history="true" w:anchor="_bookmark11">
              <w:r>
                <w:rPr>
                  <w:b/>
                  <w:sz w:val="21"/>
                </w:rPr>
                <w:t>第</w:t>
                <w:tab/>
                <w:t>十</w:t>
                <w:tab/>
                <w:t>条</w:t>
              </w:r>
            </w:hyperlink>
          </w:p>
        </w:tc>
      </w:tr>
      <w:tr>
        <w:trPr>
          <w:trHeight w:val="472" w:hRule="atLeast"/>
        </w:trPr>
        <w:tc>
          <w:tcPr>
            <w:tcW w:w="7834" w:type="dxa"/>
          </w:tcPr>
          <w:p>
            <w:pPr>
              <w:pStyle w:val="TableParagraph"/>
              <w:ind w:right="73"/>
              <w:jc w:val="right"/>
              <w:rPr>
                <w:sz w:val="21"/>
              </w:rPr>
            </w:pPr>
            <w:r>
              <w:rPr>
                <w:sz w:val="21"/>
              </w:rPr>
              <w:t>如何申请给付保险金 .....................................................</w:t>
            </w:r>
          </w:p>
        </w:tc>
        <w:tc>
          <w:tcPr>
            <w:tcW w:w="1642" w:type="dxa"/>
          </w:tcPr>
          <w:p>
            <w:pPr>
              <w:pStyle w:val="TableParagraph"/>
              <w:ind w:left="74"/>
              <w:rPr>
                <w:b/>
                <w:sz w:val="21"/>
              </w:rPr>
            </w:pPr>
            <w:hyperlink w:history="true" w:anchor="_bookmark13">
              <w:r>
                <w:rPr>
                  <w:b/>
                  <w:sz w:val="21"/>
                </w:rPr>
                <w:t>第  十  一 条</w:t>
              </w:r>
            </w:hyperlink>
          </w:p>
        </w:tc>
      </w:tr>
      <w:tr>
        <w:trPr>
          <w:trHeight w:val="472" w:hRule="atLeast"/>
        </w:trPr>
        <w:tc>
          <w:tcPr>
            <w:tcW w:w="7834" w:type="dxa"/>
          </w:tcPr>
          <w:p>
            <w:pPr>
              <w:pStyle w:val="TableParagraph"/>
              <w:ind w:right="73"/>
              <w:jc w:val="right"/>
              <w:rPr>
                <w:sz w:val="21"/>
              </w:rPr>
            </w:pPr>
            <w:r>
              <w:rPr>
                <w:sz w:val="21"/>
              </w:rPr>
              <w:t>您有解除合同的权利，请您慎重决定 .......................................</w:t>
            </w:r>
          </w:p>
        </w:tc>
        <w:tc>
          <w:tcPr>
            <w:tcW w:w="1642" w:type="dxa"/>
          </w:tcPr>
          <w:p>
            <w:pPr>
              <w:pStyle w:val="TableParagraph"/>
              <w:ind w:left="74"/>
              <w:rPr>
                <w:b/>
                <w:sz w:val="21"/>
              </w:rPr>
            </w:pPr>
            <w:hyperlink w:history="true" w:anchor="_bookmark17">
              <w:r>
                <w:rPr>
                  <w:b/>
                  <w:sz w:val="21"/>
                </w:rPr>
                <w:t>第  十  四 条</w:t>
              </w:r>
            </w:hyperlink>
          </w:p>
        </w:tc>
      </w:tr>
      <w:tr>
        <w:trPr>
          <w:trHeight w:val="342" w:hRule="atLeast"/>
        </w:trPr>
        <w:tc>
          <w:tcPr>
            <w:tcW w:w="7834" w:type="dxa"/>
          </w:tcPr>
          <w:p>
            <w:pPr>
              <w:pStyle w:val="TableParagraph"/>
              <w:spacing w:line="255" w:lineRule="exact"/>
              <w:ind w:right="73"/>
              <w:jc w:val="right"/>
              <w:rPr>
                <w:sz w:val="21"/>
              </w:rPr>
            </w:pPr>
            <w:r>
              <w:rPr>
                <w:sz w:val="21"/>
              </w:rPr>
              <w:t>名词释义 ...............................................................</w:t>
            </w:r>
          </w:p>
        </w:tc>
        <w:tc>
          <w:tcPr>
            <w:tcW w:w="1642" w:type="dxa"/>
          </w:tcPr>
          <w:p>
            <w:pPr>
              <w:pStyle w:val="TableParagraph"/>
              <w:spacing w:line="255" w:lineRule="exact"/>
              <w:ind w:left="74"/>
              <w:rPr>
                <w:b/>
                <w:sz w:val="21"/>
              </w:rPr>
            </w:pPr>
            <w:hyperlink w:history="true" w:anchor="_bookmark24">
              <w:r>
                <w:rPr>
                  <w:b/>
                  <w:sz w:val="21"/>
                </w:rPr>
                <w:t>第  六  部 分</w:t>
              </w:r>
            </w:hyperlink>
          </w:p>
        </w:tc>
      </w:tr>
    </w:tbl>
    <w:p>
      <w:pPr>
        <w:pStyle w:val="BodyText"/>
        <w:spacing w:before="0"/>
        <w:ind w:left="0"/>
        <w:rPr>
          <w:b/>
          <w:sz w:val="20"/>
        </w:rPr>
      </w:pPr>
    </w:p>
    <w:p>
      <w:pPr>
        <w:pStyle w:val="BodyText"/>
        <w:spacing w:before="7"/>
        <w:ind w:left="0"/>
        <w:rPr>
          <w:b/>
          <w:sz w:val="14"/>
        </w:rPr>
      </w:pPr>
    </w:p>
    <w:p>
      <w:pPr>
        <w:spacing w:before="0"/>
        <w:ind w:left="4389" w:right="5132" w:firstLine="0"/>
        <w:jc w:val="center"/>
        <w:rPr>
          <w:b/>
          <w:sz w:val="21"/>
        </w:rPr>
      </w:pPr>
      <w:r>
        <w:rPr>
          <w:b/>
          <w:sz w:val="21"/>
        </w:rPr>
        <w:t>说明</w:t>
      </w:r>
    </w:p>
    <w:p>
      <w:pPr>
        <w:pStyle w:val="BodyText"/>
        <w:spacing w:before="0"/>
        <w:ind w:left="0"/>
        <w:rPr>
          <w:b/>
          <w:sz w:val="20"/>
        </w:rPr>
      </w:pPr>
    </w:p>
    <w:p>
      <w:pPr>
        <w:pStyle w:val="BodyText"/>
        <w:spacing w:before="2"/>
        <w:ind w:left="0"/>
        <w:rPr>
          <w:b/>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7"/>
        <w:gridCol w:w="831"/>
        <w:gridCol w:w="3260"/>
      </w:tblGrid>
      <w:tr>
        <w:trPr>
          <w:trHeight w:val="284" w:hRule="atLeast"/>
        </w:trPr>
        <w:tc>
          <w:tcPr>
            <w:tcW w:w="1557" w:type="dxa"/>
          </w:tcPr>
          <w:p>
            <w:pPr>
              <w:pStyle w:val="TableParagraph"/>
              <w:spacing w:line="211" w:lineRule="exact" w:before="0"/>
              <w:ind w:left="200"/>
              <w:rPr>
                <w:b/>
                <w:sz w:val="21"/>
              </w:rPr>
            </w:pPr>
            <w:r>
              <w:rPr>
                <w:b/>
                <w:sz w:val="21"/>
              </w:rPr>
              <w:t>我们</w:t>
            </w:r>
          </w:p>
        </w:tc>
        <w:tc>
          <w:tcPr>
            <w:tcW w:w="831" w:type="dxa"/>
          </w:tcPr>
          <w:p>
            <w:pPr>
              <w:pStyle w:val="TableParagraph"/>
              <w:spacing w:line="211" w:lineRule="exact" w:before="0"/>
              <w:ind w:right="105"/>
              <w:jc w:val="right"/>
              <w:rPr>
                <w:b/>
                <w:sz w:val="21"/>
              </w:rPr>
            </w:pPr>
            <w:r>
              <w:rPr>
                <w:b/>
                <w:w w:val="100"/>
                <w:sz w:val="21"/>
              </w:rPr>
              <w:t>：</w:t>
            </w:r>
          </w:p>
        </w:tc>
        <w:tc>
          <w:tcPr>
            <w:tcW w:w="3260" w:type="dxa"/>
          </w:tcPr>
          <w:p>
            <w:pPr>
              <w:pStyle w:val="TableParagraph"/>
              <w:spacing w:line="211" w:lineRule="exact" w:before="0"/>
              <w:ind w:left="108"/>
              <w:rPr>
                <w:b/>
                <w:sz w:val="21"/>
              </w:rPr>
            </w:pPr>
            <w:r>
              <w:rPr>
                <w:b/>
                <w:sz w:val="21"/>
              </w:rPr>
              <w:t>指光大永明人寿保险有限公司。</w:t>
            </w:r>
          </w:p>
        </w:tc>
      </w:tr>
      <w:tr>
        <w:trPr>
          <w:trHeight w:val="358" w:hRule="atLeast"/>
        </w:trPr>
        <w:tc>
          <w:tcPr>
            <w:tcW w:w="1557" w:type="dxa"/>
          </w:tcPr>
          <w:p>
            <w:pPr>
              <w:pStyle w:val="TableParagraph"/>
              <w:spacing w:before="9"/>
              <w:ind w:left="200"/>
              <w:rPr>
                <w:b/>
                <w:sz w:val="21"/>
              </w:rPr>
            </w:pPr>
            <w:r>
              <w:rPr>
                <w:b/>
                <w:w w:val="100"/>
                <w:sz w:val="21"/>
              </w:rPr>
              <w:t>您</w:t>
            </w:r>
          </w:p>
        </w:tc>
        <w:tc>
          <w:tcPr>
            <w:tcW w:w="831" w:type="dxa"/>
          </w:tcPr>
          <w:p>
            <w:pPr>
              <w:pStyle w:val="TableParagraph"/>
              <w:spacing w:before="9"/>
              <w:ind w:right="105"/>
              <w:jc w:val="right"/>
              <w:rPr>
                <w:b/>
                <w:sz w:val="21"/>
              </w:rPr>
            </w:pPr>
            <w:r>
              <w:rPr>
                <w:b/>
                <w:w w:val="100"/>
                <w:sz w:val="21"/>
              </w:rPr>
              <w:t>：</w:t>
            </w:r>
          </w:p>
        </w:tc>
        <w:tc>
          <w:tcPr>
            <w:tcW w:w="3260" w:type="dxa"/>
          </w:tcPr>
          <w:p>
            <w:pPr>
              <w:pStyle w:val="TableParagraph"/>
              <w:spacing w:before="9"/>
              <w:ind w:left="108"/>
              <w:rPr>
                <w:b/>
                <w:sz w:val="21"/>
              </w:rPr>
            </w:pPr>
            <w:r>
              <w:rPr>
                <w:b/>
                <w:sz w:val="21"/>
              </w:rPr>
              <w:t>指投保人。</w:t>
            </w:r>
          </w:p>
        </w:tc>
      </w:tr>
      <w:tr>
        <w:trPr>
          <w:trHeight w:val="285" w:hRule="atLeast"/>
        </w:trPr>
        <w:tc>
          <w:tcPr>
            <w:tcW w:w="1557" w:type="dxa"/>
          </w:tcPr>
          <w:p>
            <w:pPr>
              <w:pStyle w:val="TableParagraph"/>
              <w:spacing w:line="255" w:lineRule="exact" w:before="10"/>
              <w:ind w:left="200"/>
              <w:rPr>
                <w:b/>
                <w:sz w:val="21"/>
              </w:rPr>
            </w:pPr>
            <w:r>
              <w:rPr>
                <w:b/>
                <w:sz w:val="21"/>
              </w:rPr>
              <w:t>保险条款</w:t>
            </w:r>
          </w:p>
        </w:tc>
        <w:tc>
          <w:tcPr>
            <w:tcW w:w="831" w:type="dxa"/>
          </w:tcPr>
          <w:p>
            <w:pPr>
              <w:pStyle w:val="TableParagraph"/>
              <w:spacing w:line="255" w:lineRule="exact" w:before="10"/>
              <w:ind w:right="105"/>
              <w:jc w:val="right"/>
              <w:rPr>
                <w:b/>
                <w:sz w:val="21"/>
              </w:rPr>
            </w:pPr>
            <w:r>
              <w:rPr>
                <w:b/>
                <w:w w:val="100"/>
                <w:sz w:val="21"/>
              </w:rPr>
              <w:t>：</w:t>
            </w:r>
          </w:p>
        </w:tc>
        <w:tc>
          <w:tcPr>
            <w:tcW w:w="3260" w:type="dxa"/>
          </w:tcPr>
          <w:p>
            <w:pPr>
              <w:pStyle w:val="TableParagraph"/>
              <w:spacing w:line="255" w:lineRule="exact" w:before="10"/>
              <w:ind w:left="108"/>
              <w:rPr>
                <w:b/>
                <w:sz w:val="21"/>
              </w:rPr>
            </w:pPr>
            <w:r>
              <w:rPr>
                <w:b/>
                <w:sz w:val="21"/>
              </w:rPr>
              <w:t>指本条款。</w:t>
            </w:r>
          </w:p>
        </w:tc>
      </w:tr>
    </w:tbl>
    <w:p>
      <w:pPr>
        <w:spacing w:after="0" w:line="255" w:lineRule="exact"/>
        <w:rPr>
          <w:sz w:val="21"/>
        </w:rPr>
        <w:sectPr>
          <w:type w:val="continuous"/>
          <w:pgSz w:w="11910" w:h="16840"/>
          <w:pgMar w:top="280" w:bottom="280" w:left="1100" w:right="400"/>
        </w:sectPr>
      </w:pPr>
    </w:p>
    <w:p>
      <w:pPr>
        <w:spacing w:before="3"/>
        <w:ind w:left="4052" w:right="4073" w:firstLine="0"/>
        <w:jc w:val="center"/>
        <w:rPr>
          <w:b/>
          <w:sz w:val="28"/>
        </w:rPr>
      </w:pPr>
      <w:r>
        <w:rPr>
          <w:b/>
          <w:sz w:val="28"/>
        </w:rPr>
        <w:t>条款目录</w:t>
      </w:r>
    </w:p>
    <w:sdt>
      <w:sdtPr>
        <w:docPartObj>
          <w:docPartGallery w:val="Table of Contents"/>
          <w:docPartUnique/>
        </w:docPartObj>
      </w:sdtPr>
      <w:sdtEndPr/>
      <w:sdtContent>
        <w:p>
          <w:pPr>
            <w:pStyle w:val="TOC1"/>
            <w:tabs>
              <w:tab w:pos="1167" w:val="left" w:leader="none"/>
              <w:tab w:pos="9145" w:val="right" w:leader="dot"/>
            </w:tabs>
            <w:spacing w:before="163"/>
            <w:rPr>
              <w:rFonts w:ascii="Times New Roman" w:eastAsia="Times New Roman"/>
            </w:rPr>
          </w:pPr>
          <w:hyperlink w:history="true" w:anchor="_bookmark0">
            <w:r>
              <w:rPr/>
              <w:t>第一部分</w:t>
              <w:tab/>
              <w:t>您与我们的合同</w:t>
              <w:tab/>
            </w:r>
            <w:r>
              <w:rPr>
                <w:rFonts w:ascii="Times New Roman" w:eastAsia="Times New Roman"/>
              </w:rPr>
              <w:t>1</w:t>
            </w:r>
          </w:hyperlink>
        </w:p>
        <w:p>
          <w:pPr>
            <w:pStyle w:val="TOC2"/>
            <w:tabs>
              <w:tab w:pos="1167" w:val="left" w:leader="none"/>
              <w:tab w:pos="9176" w:val="right" w:leader="dot"/>
            </w:tabs>
            <w:rPr>
              <w:rFonts w:ascii="Times New Roman" w:eastAsia="Times New Roman"/>
            </w:rPr>
          </w:pPr>
          <w:hyperlink w:history="true" w:anchor="_bookmark1">
            <w:r>
              <w:rPr/>
              <w:t>第一条</w:t>
              <w:tab/>
              <w:t>附加保险合同的构成</w:t>
              <w:tab/>
            </w:r>
            <w:r>
              <w:rPr>
                <w:rFonts w:ascii="Times New Roman" w:eastAsia="Times New Roman"/>
              </w:rPr>
              <w:t>1</w:t>
            </w:r>
          </w:hyperlink>
        </w:p>
        <w:p>
          <w:pPr>
            <w:pStyle w:val="TOC2"/>
            <w:tabs>
              <w:tab w:pos="1167" w:val="left" w:leader="none"/>
              <w:tab w:pos="9176" w:val="right" w:leader="dot"/>
            </w:tabs>
            <w:rPr>
              <w:rFonts w:ascii="Times New Roman" w:eastAsia="Times New Roman"/>
            </w:rPr>
          </w:pPr>
          <w:hyperlink w:history="true" w:anchor="_bookmark2">
            <w:r>
              <w:rPr/>
              <w:t>第二条</w:t>
              <w:tab/>
              <w:t>被保险人条件</w:t>
              <w:tab/>
            </w:r>
            <w:r>
              <w:rPr>
                <w:rFonts w:ascii="Times New Roman" w:eastAsia="Times New Roman"/>
              </w:rPr>
              <w:t>1</w:t>
            </w:r>
          </w:hyperlink>
        </w:p>
        <w:p>
          <w:pPr>
            <w:pStyle w:val="TOC2"/>
            <w:tabs>
              <w:tab w:pos="1167" w:val="left" w:leader="none"/>
              <w:tab w:pos="9177" w:val="right" w:leader="dot"/>
            </w:tabs>
            <w:rPr>
              <w:rFonts w:ascii="Times New Roman" w:eastAsia="Times New Roman"/>
            </w:rPr>
          </w:pPr>
          <w:hyperlink w:history="true" w:anchor="_bookmark3">
            <w:r>
              <w:rPr/>
              <w:t>第三条</w:t>
              <w:tab/>
              <w:t>保险期间</w:t>
              <w:tab/>
            </w:r>
            <w:r>
              <w:rPr>
                <w:rFonts w:ascii="Times New Roman" w:eastAsia="Times New Roman"/>
              </w:rPr>
              <w:t>1</w:t>
            </w:r>
          </w:hyperlink>
        </w:p>
        <w:p>
          <w:pPr>
            <w:pStyle w:val="TOC2"/>
            <w:tabs>
              <w:tab w:pos="1167" w:val="left" w:leader="none"/>
              <w:tab w:pos="9176" w:val="right" w:leader="dot"/>
            </w:tabs>
            <w:rPr>
              <w:rFonts w:ascii="Times New Roman" w:eastAsia="Times New Roman"/>
            </w:rPr>
          </w:pPr>
          <w:hyperlink w:history="true" w:anchor="_bookmark4">
            <w:r>
              <w:rPr/>
              <w:t>第四条</w:t>
              <w:tab/>
              <w:t>保险费的支付</w:t>
              <w:tab/>
            </w:r>
            <w:r>
              <w:rPr>
                <w:rFonts w:ascii="Times New Roman" w:eastAsia="Times New Roman"/>
              </w:rPr>
              <w:t>1</w:t>
            </w:r>
          </w:hyperlink>
        </w:p>
        <w:p>
          <w:pPr>
            <w:pStyle w:val="TOC2"/>
            <w:tabs>
              <w:tab w:pos="1167" w:val="left" w:leader="none"/>
              <w:tab w:pos="9177" w:val="right" w:leader="dot"/>
            </w:tabs>
            <w:rPr>
              <w:rFonts w:ascii="Times New Roman" w:eastAsia="Times New Roman"/>
            </w:rPr>
          </w:pPr>
          <w:hyperlink w:history="true" w:anchor="_bookmark5">
            <w:r>
              <w:rPr/>
              <w:t>第五条</w:t>
              <w:tab/>
              <w:t>保险金额</w:t>
              <w:tab/>
            </w:r>
            <w:r>
              <w:rPr>
                <w:rFonts w:ascii="Times New Roman" w:eastAsia="Times New Roman"/>
              </w:rPr>
              <w:t>1</w:t>
            </w:r>
          </w:hyperlink>
        </w:p>
        <w:p>
          <w:pPr>
            <w:pStyle w:val="TOC2"/>
            <w:tabs>
              <w:tab w:pos="1167" w:val="left" w:leader="none"/>
              <w:tab w:pos="9176" w:val="right" w:leader="dot"/>
            </w:tabs>
            <w:rPr>
              <w:rFonts w:ascii="Times New Roman" w:eastAsia="Times New Roman"/>
            </w:rPr>
          </w:pPr>
          <w:hyperlink w:history="true" w:anchor="_bookmark6">
            <w:r>
              <w:rPr/>
              <w:t>第六条</w:t>
              <w:tab/>
              <w:t>保险责任的开始</w:t>
              <w:tab/>
            </w:r>
            <w:r>
              <w:rPr>
                <w:rFonts w:ascii="Times New Roman" w:eastAsia="Times New Roman"/>
              </w:rPr>
              <w:t>1</w:t>
            </w:r>
          </w:hyperlink>
        </w:p>
        <w:p>
          <w:pPr>
            <w:pStyle w:val="TOC2"/>
            <w:tabs>
              <w:tab w:pos="1167" w:val="left" w:leader="none"/>
              <w:tab w:pos="9176" w:val="right" w:leader="dot"/>
            </w:tabs>
            <w:rPr>
              <w:rFonts w:ascii="Times New Roman" w:eastAsia="Times New Roman"/>
            </w:rPr>
          </w:pPr>
          <w:hyperlink w:history="true" w:anchor="_bookmark7">
            <w:r>
              <w:rPr/>
              <w:t>第七条</w:t>
              <w:tab/>
              <w:t>保险合同的终止</w:t>
              <w:tab/>
            </w:r>
            <w:r>
              <w:rPr>
                <w:rFonts w:ascii="Times New Roman" w:eastAsia="Times New Roman"/>
              </w:rPr>
              <w:t>1</w:t>
            </w:r>
          </w:hyperlink>
        </w:p>
        <w:p>
          <w:pPr>
            <w:pStyle w:val="TOC1"/>
            <w:tabs>
              <w:tab w:pos="1167" w:val="left" w:leader="none"/>
              <w:tab w:pos="9145" w:val="right" w:leader="dot"/>
            </w:tabs>
            <w:rPr>
              <w:rFonts w:ascii="Times New Roman" w:eastAsia="Times New Roman"/>
            </w:rPr>
          </w:pPr>
          <w:hyperlink w:history="true" w:anchor="_bookmark8">
            <w:r>
              <w:rPr/>
              <w:t>第二部分</w:t>
              <w:tab/>
              <w:t>我们提供的保障</w:t>
              <w:tab/>
            </w:r>
            <w:r>
              <w:rPr>
                <w:rFonts w:ascii="Times New Roman" w:eastAsia="Times New Roman"/>
              </w:rPr>
              <w:t>1</w:t>
            </w:r>
          </w:hyperlink>
        </w:p>
        <w:p>
          <w:pPr>
            <w:pStyle w:val="TOC2"/>
            <w:tabs>
              <w:tab w:pos="1167" w:val="left" w:leader="none"/>
              <w:tab w:pos="9177" w:val="right" w:leader="dot"/>
            </w:tabs>
            <w:rPr>
              <w:rFonts w:ascii="Times New Roman" w:eastAsia="Times New Roman"/>
            </w:rPr>
          </w:pPr>
          <w:hyperlink w:history="true" w:anchor="_bookmark9">
            <w:r>
              <w:rPr/>
              <w:t>第八条</w:t>
              <w:tab/>
              <w:t>保险责任</w:t>
              <w:tab/>
            </w:r>
            <w:r>
              <w:rPr>
                <w:rFonts w:ascii="Times New Roman" w:eastAsia="Times New Roman"/>
              </w:rPr>
              <w:t>1</w:t>
            </w:r>
          </w:hyperlink>
        </w:p>
        <w:p>
          <w:pPr>
            <w:pStyle w:val="TOC2"/>
            <w:tabs>
              <w:tab w:pos="1167" w:val="left" w:leader="none"/>
              <w:tab w:pos="9177" w:val="right" w:leader="dot"/>
            </w:tabs>
            <w:rPr>
              <w:rFonts w:ascii="Times New Roman" w:eastAsia="Times New Roman"/>
            </w:rPr>
          </w:pPr>
          <w:hyperlink w:history="true" w:anchor="_bookmark10">
            <w:r>
              <w:rPr>
                <w:rFonts w:ascii="黑体" w:eastAsia="黑体" w:hint="eastAsia"/>
              </w:rPr>
              <w:t>第九条</w:t>
              <w:tab/>
              <w:t>责任免除</w:t>
              <w:tab/>
            </w:r>
            <w:r>
              <w:rPr>
                <w:rFonts w:ascii="Times New Roman" w:eastAsia="Times New Roman"/>
              </w:rPr>
              <w:t>1</w:t>
            </w:r>
          </w:hyperlink>
        </w:p>
        <w:p>
          <w:pPr>
            <w:pStyle w:val="TOC1"/>
            <w:tabs>
              <w:tab w:pos="1167" w:val="left" w:leader="none"/>
              <w:tab w:pos="9145" w:val="right" w:leader="dot"/>
            </w:tabs>
            <w:rPr>
              <w:rFonts w:ascii="Times New Roman" w:eastAsia="Times New Roman"/>
            </w:rPr>
          </w:pPr>
          <w:hyperlink w:history="true" w:anchor="_bookmark12">
            <w:r>
              <w:rPr/>
              <w:t>第三部分</w:t>
              <w:tab/>
              <w:t>如何申请给付保险金</w:t>
              <w:tab/>
            </w:r>
            <w:r>
              <w:rPr>
                <w:rFonts w:ascii="Times New Roman" w:eastAsia="Times New Roman"/>
              </w:rPr>
              <w:t>2</w:t>
            </w:r>
          </w:hyperlink>
        </w:p>
        <w:p>
          <w:pPr>
            <w:pStyle w:val="TOC2"/>
            <w:tabs>
              <w:tab w:pos="1167" w:val="left" w:leader="none"/>
              <w:tab w:pos="9176" w:val="right" w:leader="dot"/>
            </w:tabs>
            <w:rPr>
              <w:rFonts w:ascii="Times New Roman" w:eastAsia="Times New Roman"/>
            </w:rPr>
          </w:pPr>
          <w:hyperlink w:history="true" w:anchor="_bookmark11">
            <w:r>
              <w:rPr>
                <w:rFonts w:ascii="黑体" w:eastAsia="黑体" w:hint="eastAsia"/>
              </w:rPr>
              <w:t>第十条</w:t>
              <w:tab/>
              <w:t>保险事故通知</w:t>
              <w:tab/>
            </w:r>
            <w:r>
              <w:rPr>
                <w:rFonts w:ascii="Times New Roman" w:eastAsia="Times New Roman"/>
              </w:rPr>
              <w:t>2</w:t>
            </w:r>
          </w:hyperlink>
        </w:p>
        <w:p>
          <w:pPr>
            <w:pStyle w:val="TOC2"/>
            <w:tabs>
              <w:tab w:pos="1375" w:val="left" w:leader="none"/>
              <w:tab w:pos="9176" w:val="right" w:leader="dot"/>
            </w:tabs>
            <w:rPr>
              <w:rFonts w:ascii="Times New Roman" w:eastAsia="Times New Roman"/>
            </w:rPr>
          </w:pPr>
          <w:hyperlink w:history="true" w:anchor="_bookmark13">
            <w:r>
              <w:rPr/>
              <w:t>第十一条</w:t>
              <w:tab/>
              <w:t>保险金的申领</w:t>
              <w:tab/>
            </w:r>
            <w:r>
              <w:rPr>
                <w:rFonts w:ascii="Times New Roman" w:eastAsia="Times New Roman"/>
              </w:rPr>
              <w:t>2</w:t>
            </w:r>
          </w:hyperlink>
        </w:p>
        <w:p>
          <w:pPr>
            <w:pStyle w:val="TOC2"/>
            <w:tabs>
              <w:tab w:pos="1375" w:val="left" w:leader="none"/>
              <w:tab w:pos="9177" w:val="right" w:leader="dot"/>
            </w:tabs>
            <w:rPr>
              <w:rFonts w:ascii="Times New Roman" w:eastAsia="Times New Roman"/>
            </w:rPr>
          </w:pPr>
          <w:hyperlink w:history="true" w:anchor="_bookmark14">
            <w:r>
              <w:rPr/>
              <w:t>第十二条</w:t>
              <w:tab/>
              <w:t>诉讼时效</w:t>
              <w:tab/>
            </w:r>
            <w:r>
              <w:rPr>
                <w:rFonts w:ascii="Times New Roman" w:eastAsia="Times New Roman"/>
              </w:rPr>
              <w:t>3</w:t>
            </w:r>
          </w:hyperlink>
        </w:p>
        <w:p>
          <w:pPr>
            <w:pStyle w:val="TOC1"/>
            <w:tabs>
              <w:tab w:pos="1167" w:val="left" w:leader="none"/>
              <w:tab w:pos="9145" w:val="right" w:leader="dot"/>
            </w:tabs>
            <w:rPr>
              <w:rFonts w:ascii="Times New Roman" w:eastAsia="Times New Roman"/>
            </w:rPr>
          </w:pPr>
          <w:hyperlink w:history="true" w:anchor="_bookmark15">
            <w:r>
              <w:rPr/>
              <w:t>第四部分</w:t>
              <w:tab/>
              <w:t>您所拥有的重要权益</w:t>
              <w:tab/>
            </w:r>
            <w:r>
              <w:rPr>
                <w:rFonts w:ascii="Times New Roman" w:eastAsia="Times New Roman"/>
              </w:rPr>
              <w:t>3</w:t>
            </w:r>
          </w:hyperlink>
        </w:p>
        <w:p>
          <w:pPr>
            <w:pStyle w:val="TOC2"/>
            <w:tabs>
              <w:tab w:pos="1375" w:val="left" w:leader="none"/>
              <w:tab w:pos="9176" w:val="right" w:leader="dot"/>
            </w:tabs>
            <w:rPr>
              <w:rFonts w:ascii="Times New Roman" w:eastAsia="Times New Roman"/>
            </w:rPr>
          </w:pPr>
          <w:hyperlink w:history="true" w:anchor="_bookmark16">
            <w:r>
              <w:rPr/>
              <w:t>第十三条</w:t>
              <w:tab/>
              <w:t>合同内容变更权</w:t>
              <w:tab/>
            </w:r>
            <w:r>
              <w:rPr>
                <w:rFonts w:ascii="Times New Roman" w:eastAsia="Times New Roman"/>
              </w:rPr>
              <w:t>3</w:t>
            </w:r>
          </w:hyperlink>
        </w:p>
        <w:p>
          <w:pPr>
            <w:pStyle w:val="TOC2"/>
            <w:tabs>
              <w:tab w:pos="1375" w:val="left" w:leader="none"/>
              <w:tab w:pos="9176" w:val="right" w:leader="dot"/>
            </w:tabs>
            <w:rPr>
              <w:rFonts w:ascii="Times New Roman" w:eastAsia="Times New Roman"/>
            </w:rPr>
          </w:pPr>
          <w:hyperlink w:history="true" w:anchor="_bookmark17">
            <w:r>
              <w:rPr/>
              <w:t>第十四条</w:t>
              <w:tab/>
              <w:t>合同解除权</w:t>
              <w:tab/>
            </w:r>
            <w:r>
              <w:rPr>
                <w:rFonts w:ascii="Times New Roman" w:eastAsia="Times New Roman"/>
              </w:rPr>
              <w:t>3</w:t>
            </w:r>
          </w:hyperlink>
        </w:p>
        <w:p>
          <w:pPr>
            <w:pStyle w:val="TOC1"/>
            <w:tabs>
              <w:tab w:pos="1167" w:val="left" w:leader="none"/>
              <w:tab w:pos="9145" w:val="right" w:leader="dot"/>
            </w:tabs>
            <w:rPr>
              <w:rFonts w:ascii="Times New Roman" w:eastAsia="Times New Roman"/>
            </w:rPr>
          </w:pPr>
          <w:hyperlink w:history="true" w:anchor="_bookmark18">
            <w:r>
              <w:rPr/>
              <w:t>第五部分</w:t>
              <w:tab/>
              <w:t>您必须了解的事项</w:t>
              <w:tab/>
            </w:r>
            <w:r>
              <w:rPr>
                <w:rFonts w:ascii="Times New Roman" w:eastAsia="Times New Roman"/>
              </w:rPr>
              <w:t>3</w:t>
            </w:r>
          </w:hyperlink>
        </w:p>
        <w:p>
          <w:pPr>
            <w:pStyle w:val="TOC2"/>
            <w:tabs>
              <w:tab w:pos="1375" w:val="left" w:leader="none"/>
              <w:tab w:pos="9176" w:val="right" w:leader="dot"/>
            </w:tabs>
            <w:rPr>
              <w:rFonts w:ascii="Times New Roman" w:eastAsia="Times New Roman"/>
            </w:rPr>
          </w:pPr>
          <w:hyperlink w:history="true" w:anchor="_bookmark19">
            <w:r>
              <w:rPr/>
              <w:t>第十五条</w:t>
              <w:tab/>
              <w:t>明确说明和如实告知义务</w:t>
              <w:tab/>
            </w:r>
            <w:r>
              <w:rPr>
                <w:rFonts w:ascii="Times New Roman" w:eastAsia="Times New Roman"/>
              </w:rPr>
              <w:t>3</w:t>
            </w:r>
          </w:hyperlink>
        </w:p>
        <w:p>
          <w:pPr>
            <w:pStyle w:val="TOC2"/>
            <w:tabs>
              <w:tab w:pos="1375" w:val="left" w:leader="none"/>
              <w:tab w:pos="9176" w:val="right" w:leader="dot"/>
            </w:tabs>
            <w:rPr>
              <w:rFonts w:ascii="Times New Roman" w:eastAsia="Times New Roman"/>
            </w:rPr>
          </w:pPr>
          <w:hyperlink w:history="true" w:anchor="_bookmark20">
            <w:r>
              <w:rPr/>
              <w:t>第十六条</w:t>
              <w:tab/>
              <w:t>受益人的指定</w:t>
              <w:tab/>
            </w:r>
            <w:r>
              <w:rPr>
                <w:rFonts w:ascii="Times New Roman" w:eastAsia="Times New Roman"/>
              </w:rPr>
              <w:t>3</w:t>
            </w:r>
          </w:hyperlink>
        </w:p>
        <w:p>
          <w:pPr>
            <w:pStyle w:val="TOC2"/>
            <w:tabs>
              <w:tab w:pos="1375" w:val="left" w:leader="none"/>
              <w:tab w:pos="9176" w:val="right" w:leader="dot"/>
            </w:tabs>
            <w:rPr>
              <w:rFonts w:ascii="Times New Roman" w:eastAsia="Times New Roman"/>
            </w:rPr>
          </w:pPr>
          <w:hyperlink w:history="true" w:anchor="_bookmark21">
            <w:r>
              <w:rPr/>
              <w:t>第十七条</w:t>
              <w:tab/>
              <w:t>年龄计算及错误处理</w:t>
              <w:tab/>
            </w:r>
            <w:r>
              <w:rPr>
                <w:rFonts w:ascii="Times New Roman" w:eastAsia="Times New Roman"/>
              </w:rPr>
              <w:t>3</w:t>
            </w:r>
          </w:hyperlink>
        </w:p>
        <w:p>
          <w:pPr>
            <w:pStyle w:val="TOC2"/>
            <w:tabs>
              <w:tab w:pos="1375" w:val="left" w:leader="none"/>
              <w:tab w:pos="9176" w:val="right" w:leader="dot"/>
            </w:tabs>
            <w:rPr>
              <w:rFonts w:ascii="Times New Roman" w:eastAsia="Times New Roman"/>
            </w:rPr>
          </w:pPr>
          <w:hyperlink w:history="true" w:anchor="_bookmark22">
            <w:r>
              <w:rPr/>
              <w:t>第十八条</w:t>
              <w:tab/>
              <w:t>住所或通讯地址变更</w:t>
              <w:tab/>
            </w:r>
            <w:r>
              <w:rPr>
                <w:rFonts w:ascii="Times New Roman" w:eastAsia="Times New Roman"/>
              </w:rPr>
              <w:t>4</w:t>
            </w:r>
          </w:hyperlink>
        </w:p>
        <w:p>
          <w:pPr>
            <w:pStyle w:val="TOC2"/>
            <w:tabs>
              <w:tab w:pos="1375" w:val="left" w:leader="none"/>
              <w:tab w:pos="9176" w:val="right" w:leader="dot"/>
            </w:tabs>
            <w:rPr>
              <w:rFonts w:ascii="Times New Roman" w:eastAsia="Times New Roman"/>
            </w:rPr>
          </w:pPr>
          <w:hyperlink w:history="true" w:anchor="_bookmark23">
            <w:r>
              <w:rPr/>
              <w:t>第十九条</w:t>
              <w:tab/>
              <w:t>争议处理与法律适用</w:t>
              <w:tab/>
            </w:r>
            <w:r>
              <w:rPr>
                <w:rFonts w:ascii="Times New Roman" w:eastAsia="Times New Roman"/>
              </w:rPr>
              <w:t>4</w:t>
            </w:r>
          </w:hyperlink>
        </w:p>
        <w:p>
          <w:pPr>
            <w:pStyle w:val="TOC1"/>
            <w:tabs>
              <w:tab w:pos="1167" w:val="left" w:leader="none"/>
              <w:tab w:pos="9145" w:val="right" w:leader="dot"/>
            </w:tabs>
            <w:rPr>
              <w:rFonts w:ascii="Times New Roman" w:eastAsia="Times New Roman"/>
            </w:rPr>
          </w:pPr>
          <w:hyperlink w:history="true" w:anchor="_bookmark24">
            <w:r>
              <w:rPr/>
              <w:t>第六部分</w:t>
              <w:tab/>
              <w:t>名词释义</w:t>
              <w:tab/>
            </w:r>
            <w:r>
              <w:rPr>
                <w:rFonts w:ascii="Times New Roman" w:eastAsia="Times New Roman"/>
              </w:rPr>
              <w:t>4</w:t>
            </w:r>
          </w:hyperlink>
        </w:p>
      </w:sdtContent>
    </w:sdt>
    <w:p>
      <w:pPr>
        <w:spacing w:after="0"/>
        <w:rPr>
          <w:rFonts w:ascii="Times New Roman" w:eastAsia="Times New Roman"/>
        </w:rPr>
        <w:sectPr>
          <w:pgSz w:w="11910" w:h="16840"/>
          <w:pgMar w:top="1480" w:bottom="280" w:left="1300" w:right="1320"/>
        </w:sectPr>
      </w:pPr>
    </w:p>
    <w:p>
      <w:pPr>
        <w:pStyle w:val="Heading1"/>
      </w:pPr>
      <w:bookmarkStart w:name="_bookmark0" w:id="1"/>
      <w:bookmarkEnd w:id="1"/>
      <w:r>
        <w:rPr>
          <w:b w:val="0"/>
        </w:rPr>
      </w:r>
      <w:r>
        <w:rPr/>
        <w:t>第一部分 您与我们的合同</w:t>
      </w:r>
    </w:p>
    <w:p>
      <w:pPr>
        <w:pStyle w:val="Heading2"/>
        <w:tabs>
          <w:tab w:pos="1195" w:val="left" w:leader="none"/>
        </w:tabs>
        <w:spacing w:before="183"/>
      </w:pPr>
      <w:bookmarkStart w:name="_bookmark1" w:id="2"/>
      <w:bookmarkEnd w:id="2"/>
      <w:r>
        <w:rPr>
          <w:b w:val="0"/>
        </w:rPr>
      </w:r>
      <w:r>
        <w:rPr/>
        <w:t>第一条</w:t>
        <w:tab/>
        <w:t>附加保险合同的构成</w:t>
      </w:r>
    </w:p>
    <w:p>
      <w:pPr>
        <w:pStyle w:val="BodyText"/>
        <w:spacing w:line="312" w:lineRule="auto" w:before="85"/>
        <w:ind w:right="116" w:firstLine="419"/>
      </w:pPr>
      <w:r>
        <w:rPr>
          <w:spacing w:val="-5"/>
          <w:w w:val="100"/>
        </w:rPr>
        <w:t>本附加保险合同</w:t>
      </w:r>
      <w:r>
        <w:rPr>
          <w:spacing w:val="-3"/>
          <w:w w:val="100"/>
        </w:rPr>
        <w:t>（</w:t>
      </w:r>
      <w:r>
        <w:rPr>
          <w:spacing w:val="-16"/>
          <w:w w:val="100"/>
        </w:rPr>
        <w:t>以下简称“本附加合同”</w:t>
      </w:r>
      <w:r>
        <w:rPr>
          <w:spacing w:val="-17"/>
          <w:w w:val="100"/>
        </w:rPr>
        <w:t>）</w:t>
      </w:r>
      <w:r>
        <w:rPr>
          <w:spacing w:val="-9"/>
          <w:w w:val="100"/>
        </w:rPr>
        <w:t>由保险单、保险条款、投保书、投保提示以及与本</w:t>
      </w:r>
      <w:r>
        <w:rPr>
          <w:spacing w:val="-3"/>
        </w:rPr>
        <w:t>附加合同有关的投保文件、合法有效的声明、批注和其他书面协议共同构成。</w:t>
      </w:r>
    </w:p>
    <w:p>
      <w:pPr>
        <w:pStyle w:val="BodyText"/>
        <w:spacing w:before="22"/>
        <w:ind w:left="536"/>
      </w:pPr>
      <w:r>
        <w:rPr>
          <w:spacing w:val="-3"/>
          <w:w w:val="100"/>
        </w:rPr>
        <w:t>本附加合同可附加于我们规定的主保险合同（</w:t>
      </w:r>
      <w:r>
        <w:rPr>
          <w:spacing w:val="-15"/>
          <w:w w:val="100"/>
        </w:rPr>
        <w:t>以下简称“主合同”</w:t>
      </w:r>
      <w:r>
        <w:rPr>
          <w:w w:val="100"/>
        </w:rPr>
        <w:t>）</w:t>
      </w:r>
      <w:r>
        <w:rPr>
          <w:spacing w:val="-2"/>
          <w:w w:val="100"/>
        </w:rPr>
        <w:t>上。</w:t>
      </w:r>
    </w:p>
    <w:p>
      <w:pPr>
        <w:pStyle w:val="BodyText"/>
        <w:spacing w:line="314" w:lineRule="auto"/>
        <w:ind w:right="110" w:firstLine="420"/>
      </w:pPr>
      <w:r>
        <w:rPr/>
        <w:t>若主合同条款未作约定，或虽作约定但与本附加合同相对应的条款发生冲突的，以本附加合同的条款为准；本附加合同条款未尽事宜，以主合同相关条款规定的内容为准。</w:t>
      </w:r>
    </w:p>
    <w:p>
      <w:pPr>
        <w:pStyle w:val="Heading2"/>
        <w:tabs>
          <w:tab w:pos="1195" w:val="left" w:leader="none"/>
        </w:tabs>
      </w:pPr>
      <w:bookmarkStart w:name="_bookmark2" w:id="3"/>
      <w:bookmarkEnd w:id="3"/>
      <w:r>
        <w:rPr>
          <w:b w:val="0"/>
        </w:rPr>
      </w:r>
      <w:r>
        <w:rPr/>
        <w:t>第二条</w:t>
        <w:tab/>
        <w:t>被保险人条件</w:t>
      </w:r>
    </w:p>
    <w:p>
      <w:pPr>
        <w:pStyle w:val="BodyText"/>
        <w:spacing w:line="312" w:lineRule="auto" w:before="85"/>
        <w:ind w:right="143" w:firstLine="419"/>
      </w:pPr>
      <w:r>
        <w:rPr>
          <w:spacing w:val="-6"/>
        </w:rPr>
        <w:t>凡身体健康、能正常参加学习的全日制在册学生及幼儿园儿童，经我们审核同意后，可以作为</w:t>
      </w:r>
      <w:r>
        <w:rPr>
          <w:spacing w:val="-3"/>
        </w:rPr>
        <w:t>本附加合同的被保险人。</w:t>
      </w:r>
    </w:p>
    <w:p>
      <w:pPr>
        <w:pStyle w:val="Heading2"/>
        <w:tabs>
          <w:tab w:pos="1195" w:val="left" w:leader="none"/>
        </w:tabs>
        <w:spacing w:before="22"/>
      </w:pPr>
      <w:bookmarkStart w:name="_bookmark3" w:id="4"/>
      <w:bookmarkEnd w:id="4"/>
      <w:r>
        <w:rPr>
          <w:b w:val="0"/>
        </w:rPr>
      </w:r>
      <w:r>
        <w:rPr/>
        <w:t>第三条</w:t>
        <w:tab/>
        <w:t>保险期间</w:t>
      </w:r>
    </w:p>
    <w:p>
      <w:pPr>
        <w:pStyle w:val="BodyText"/>
        <w:spacing w:line="314" w:lineRule="auto" w:before="83"/>
        <w:ind w:left="115" w:right="111" w:firstLine="420"/>
      </w:pPr>
      <w:r>
        <w:rPr/>
        <w:t>本附加合同的保险期间为一年。本附加合同的生效日以保险单载明的日期为准，保险单满期日以该日期为基础计算。</w:t>
      </w:r>
    </w:p>
    <w:p>
      <w:pPr>
        <w:pStyle w:val="Heading2"/>
        <w:tabs>
          <w:tab w:pos="1195" w:val="left" w:leader="none"/>
        </w:tabs>
      </w:pPr>
      <w:bookmarkStart w:name="_bookmark4" w:id="5"/>
      <w:bookmarkEnd w:id="5"/>
      <w:r>
        <w:rPr>
          <w:b w:val="0"/>
        </w:rPr>
      </w:r>
      <w:r>
        <w:rPr/>
        <w:t>第四条</w:t>
        <w:tab/>
        <w:t>保险费的支付</w:t>
      </w:r>
    </w:p>
    <w:p>
      <w:pPr>
        <w:pStyle w:val="BodyText"/>
        <w:tabs>
          <w:tab w:pos="1195" w:val="left" w:leader="none"/>
        </w:tabs>
        <w:spacing w:line="312" w:lineRule="auto" w:before="84"/>
        <w:ind w:left="115" w:right="2002" w:firstLine="420"/>
        <w:rPr>
          <w:b/>
        </w:rPr>
      </w:pPr>
      <w:r>
        <w:rPr/>
        <w:t>本附</w:t>
      </w:r>
      <w:r>
        <w:rPr>
          <w:spacing w:val="-3"/>
        </w:rPr>
        <w:t>加</w:t>
      </w:r>
      <w:r>
        <w:rPr/>
        <w:t>合</w:t>
      </w:r>
      <w:r>
        <w:rPr>
          <w:spacing w:val="-3"/>
        </w:rPr>
        <w:t>同</w:t>
      </w:r>
      <w:r>
        <w:rPr/>
        <w:t>的</w:t>
      </w:r>
      <w:r>
        <w:rPr>
          <w:spacing w:val="-3"/>
        </w:rPr>
        <w:t>保</w:t>
      </w:r>
      <w:r>
        <w:rPr/>
        <w:t>险</w:t>
      </w:r>
      <w:r>
        <w:rPr>
          <w:spacing w:val="-3"/>
        </w:rPr>
        <w:t>费</w:t>
      </w:r>
      <w:r>
        <w:rPr/>
        <w:t>与</w:t>
      </w:r>
      <w:r>
        <w:rPr>
          <w:spacing w:val="-3"/>
        </w:rPr>
        <w:t>支</w:t>
      </w:r>
      <w:r>
        <w:rPr/>
        <w:t>付方</w:t>
      </w:r>
      <w:r>
        <w:rPr>
          <w:spacing w:val="-3"/>
        </w:rPr>
        <w:t>式</w:t>
      </w:r>
      <w:r>
        <w:rPr/>
        <w:t>由</w:t>
      </w:r>
      <w:r>
        <w:rPr>
          <w:spacing w:val="-3"/>
        </w:rPr>
        <w:t>您</w:t>
      </w:r>
      <w:r>
        <w:rPr/>
        <w:t>与</w:t>
      </w:r>
      <w:r>
        <w:rPr>
          <w:spacing w:val="-3"/>
        </w:rPr>
        <w:t>我</w:t>
      </w:r>
      <w:r>
        <w:rPr/>
        <w:t>们</w:t>
      </w:r>
      <w:r>
        <w:rPr>
          <w:spacing w:val="-3"/>
        </w:rPr>
        <w:t>约</w:t>
      </w:r>
      <w:r>
        <w:rPr/>
        <w:t>定</w:t>
      </w:r>
      <w:r>
        <w:rPr>
          <w:spacing w:val="-3"/>
        </w:rPr>
        <w:t>，</w:t>
      </w:r>
      <w:r>
        <w:rPr/>
        <w:t>并在</w:t>
      </w:r>
      <w:r>
        <w:rPr>
          <w:spacing w:val="-3"/>
        </w:rPr>
        <w:t>保</w:t>
      </w:r>
      <w:r>
        <w:rPr/>
        <w:t>险</w:t>
      </w:r>
      <w:r>
        <w:rPr>
          <w:spacing w:val="-3"/>
        </w:rPr>
        <w:t>合</w:t>
      </w:r>
      <w:r>
        <w:rPr/>
        <w:t>同</w:t>
      </w:r>
      <w:r>
        <w:rPr>
          <w:spacing w:val="-3"/>
        </w:rPr>
        <w:t>中</w:t>
      </w:r>
      <w:r>
        <w:rPr/>
        <w:t>载</w:t>
      </w:r>
      <w:r>
        <w:rPr>
          <w:spacing w:val="-3"/>
        </w:rPr>
        <w:t>明</w:t>
      </w:r>
      <w:r>
        <w:rPr/>
        <w:t>。</w:t>
      </w:r>
      <w:bookmarkStart w:name="_bookmark5" w:id="6"/>
      <w:bookmarkEnd w:id="6"/>
      <w:r>
        <w:rPr/>
      </w:r>
      <w:r>
        <w:rPr>
          <w:b/>
        </w:rPr>
        <w:t>第五条</w:t>
        <w:tab/>
        <w:t>保险金额</w:t>
      </w:r>
    </w:p>
    <w:p>
      <w:pPr>
        <w:tabs>
          <w:tab w:pos="1195" w:val="left" w:leader="none"/>
        </w:tabs>
        <w:spacing w:line="312" w:lineRule="auto" w:before="21"/>
        <w:ind w:left="115" w:right="2422" w:firstLine="420"/>
        <w:jc w:val="left"/>
        <w:rPr>
          <w:b/>
          <w:sz w:val="21"/>
        </w:rPr>
      </w:pPr>
      <w:r>
        <w:rPr>
          <w:sz w:val="21"/>
        </w:rPr>
        <w:t>本附</w:t>
      </w:r>
      <w:r>
        <w:rPr>
          <w:spacing w:val="-3"/>
          <w:sz w:val="21"/>
        </w:rPr>
        <w:t>加</w:t>
      </w:r>
      <w:r>
        <w:rPr>
          <w:sz w:val="21"/>
        </w:rPr>
        <w:t>合</w:t>
      </w:r>
      <w:r>
        <w:rPr>
          <w:spacing w:val="-3"/>
          <w:sz w:val="21"/>
        </w:rPr>
        <w:t>同</w:t>
      </w:r>
      <w:r>
        <w:rPr>
          <w:sz w:val="21"/>
        </w:rPr>
        <w:t>所</w:t>
      </w:r>
      <w:r>
        <w:rPr>
          <w:spacing w:val="-3"/>
          <w:sz w:val="21"/>
        </w:rPr>
        <w:t>称</w:t>
      </w:r>
      <w:r>
        <w:rPr>
          <w:sz w:val="21"/>
        </w:rPr>
        <w:t>的</w:t>
      </w:r>
      <w:r>
        <w:rPr>
          <w:spacing w:val="-3"/>
          <w:sz w:val="21"/>
        </w:rPr>
        <w:t>保</w:t>
      </w:r>
      <w:r>
        <w:rPr>
          <w:sz w:val="21"/>
        </w:rPr>
        <w:t>险</w:t>
      </w:r>
      <w:r>
        <w:rPr>
          <w:spacing w:val="-3"/>
          <w:sz w:val="21"/>
        </w:rPr>
        <w:t>金</w:t>
      </w:r>
      <w:r>
        <w:rPr>
          <w:sz w:val="21"/>
        </w:rPr>
        <w:t>额由</w:t>
      </w:r>
      <w:r>
        <w:rPr>
          <w:spacing w:val="-3"/>
          <w:sz w:val="21"/>
        </w:rPr>
        <w:t>您</w:t>
      </w:r>
      <w:r>
        <w:rPr>
          <w:sz w:val="21"/>
        </w:rPr>
        <w:t>和</w:t>
      </w:r>
      <w:r>
        <w:rPr>
          <w:spacing w:val="-3"/>
          <w:sz w:val="21"/>
        </w:rPr>
        <w:t>我</w:t>
      </w:r>
      <w:r>
        <w:rPr>
          <w:sz w:val="21"/>
        </w:rPr>
        <w:t>们</w:t>
      </w:r>
      <w:r>
        <w:rPr>
          <w:spacing w:val="-3"/>
          <w:sz w:val="21"/>
        </w:rPr>
        <w:t>约</w:t>
      </w:r>
      <w:r>
        <w:rPr>
          <w:sz w:val="21"/>
        </w:rPr>
        <w:t>定</w:t>
      </w:r>
      <w:r>
        <w:rPr>
          <w:spacing w:val="-3"/>
          <w:sz w:val="21"/>
        </w:rPr>
        <w:t>，</w:t>
      </w:r>
      <w:r>
        <w:rPr>
          <w:sz w:val="21"/>
        </w:rPr>
        <w:t>并</w:t>
      </w:r>
      <w:r>
        <w:rPr>
          <w:spacing w:val="-3"/>
          <w:sz w:val="21"/>
        </w:rPr>
        <w:t>在</w:t>
      </w:r>
      <w:r>
        <w:rPr>
          <w:sz w:val="21"/>
        </w:rPr>
        <w:t>保险</w:t>
      </w:r>
      <w:r>
        <w:rPr>
          <w:spacing w:val="-3"/>
          <w:sz w:val="21"/>
        </w:rPr>
        <w:t>合</w:t>
      </w:r>
      <w:r>
        <w:rPr>
          <w:sz w:val="21"/>
        </w:rPr>
        <w:t>同</w:t>
      </w:r>
      <w:r>
        <w:rPr>
          <w:spacing w:val="-3"/>
          <w:sz w:val="21"/>
        </w:rPr>
        <w:t>中</w:t>
      </w:r>
      <w:r>
        <w:rPr>
          <w:sz w:val="21"/>
        </w:rPr>
        <w:t>载</w:t>
      </w:r>
      <w:r>
        <w:rPr>
          <w:spacing w:val="-3"/>
          <w:sz w:val="21"/>
        </w:rPr>
        <w:t>明</w:t>
      </w:r>
      <w:r>
        <w:rPr>
          <w:sz w:val="21"/>
        </w:rPr>
        <w:t>。</w:t>
      </w:r>
      <w:bookmarkStart w:name="_bookmark6" w:id="7"/>
      <w:bookmarkEnd w:id="7"/>
      <w:r>
        <w:rPr>
          <w:sz w:val="21"/>
        </w:rPr>
      </w:r>
      <w:r>
        <w:rPr>
          <w:b/>
          <w:sz w:val="21"/>
        </w:rPr>
        <w:t>第六条</w:t>
        <w:tab/>
        <w:t>保险责任的开始</w:t>
      </w:r>
    </w:p>
    <w:p>
      <w:pPr>
        <w:pStyle w:val="BodyText"/>
        <w:spacing w:line="312" w:lineRule="auto" w:before="21"/>
        <w:ind w:right="114" w:firstLine="419"/>
      </w:pPr>
      <w:r>
        <w:rPr/>
        <w:t>我们在收到保险费并同意承保后，将签发保险单或批注作为保险凭证，并自其所载明的本附加合同生效日的零时起承担保险责任。</w:t>
      </w:r>
    </w:p>
    <w:p>
      <w:pPr>
        <w:pStyle w:val="Heading2"/>
        <w:tabs>
          <w:tab w:pos="1195" w:val="left" w:leader="none"/>
        </w:tabs>
        <w:spacing w:before="21"/>
      </w:pPr>
      <w:bookmarkStart w:name="_bookmark7" w:id="8"/>
      <w:bookmarkEnd w:id="8"/>
      <w:r>
        <w:rPr>
          <w:b w:val="0"/>
        </w:rPr>
      </w:r>
      <w:r>
        <w:rPr/>
        <w:t>第七条</w:t>
        <w:tab/>
        <w:t>保险合同的终止</w:t>
      </w:r>
    </w:p>
    <w:p>
      <w:pPr>
        <w:pStyle w:val="BodyText"/>
        <w:spacing w:line="314" w:lineRule="auto"/>
        <w:ind w:left="535" w:right="4943"/>
      </w:pPr>
      <w:r>
        <w:rPr/>
        <w:t>发生下列情况之一时，本附加合同终止： 一、本附加合同依附的主合同终止；</w:t>
      </w:r>
    </w:p>
    <w:p>
      <w:pPr>
        <w:pStyle w:val="BodyText"/>
        <w:spacing w:line="314" w:lineRule="auto" w:before="17"/>
        <w:ind w:left="536" w:right="5783" w:hanging="1"/>
      </w:pPr>
      <w:r>
        <w:rPr/>
        <w:t>二、本附加合同保险期间届满； 三、您申请解除本附加合同；</w:t>
      </w:r>
    </w:p>
    <w:p>
      <w:pPr>
        <w:pStyle w:val="BodyText"/>
        <w:spacing w:before="17"/>
        <w:ind w:left="536"/>
      </w:pPr>
      <w:r>
        <w:rPr/>
        <w:t>四、因本附加合同其他条款所列情形而终止。</w:t>
      </w:r>
    </w:p>
    <w:p>
      <w:pPr>
        <w:pStyle w:val="Heading1"/>
        <w:spacing w:before="159"/>
      </w:pPr>
      <w:bookmarkStart w:name="_bookmark8" w:id="9"/>
      <w:bookmarkEnd w:id="9"/>
      <w:r>
        <w:rPr>
          <w:b w:val="0"/>
        </w:rPr>
      </w:r>
      <w:r>
        <w:rPr/>
        <w:t>第二部分 我们提供的保障</w:t>
      </w:r>
    </w:p>
    <w:p>
      <w:pPr>
        <w:pStyle w:val="Heading2"/>
        <w:tabs>
          <w:tab w:pos="1195" w:val="left" w:leader="none"/>
        </w:tabs>
        <w:spacing w:before="183"/>
      </w:pPr>
      <w:bookmarkStart w:name="_bookmark9" w:id="10"/>
      <w:bookmarkEnd w:id="10"/>
      <w:r>
        <w:rPr>
          <w:b w:val="0"/>
        </w:rPr>
      </w:r>
      <w:r>
        <w:rPr/>
        <w:t>第八条</w:t>
        <w:tab/>
        <w:t>保险责任</w:t>
      </w:r>
    </w:p>
    <w:p>
      <w:pPr>
        <w:pStyle w:val="BodyText"/>
        <w:spacing w:before="37"/>
        <w:ind w:left="535"/>
      </w:pPr>
      <w:r>
        <w:rPr/>
        <w:t>在本附加合同有效期内，我们承担下列保险责任：</w:t>
      </w:r>
    </w:p>
    <w:p>
      <w:pPr>
        <w:spacing w:line="273" w:lineRule="auto" w:before="39"/>
        <w:ind w:left="115" w:right="138" w:firstLine="420"/>
        <w:jc w:val="both"/>
        <w:rPr>
          <w:sz w:val="21"/>
        </w:rPr>
      </w:pPr>
      <w:r>
        <w:rPr>
          <w:spacing w:val="-3"/>
          <w:sz w:val="21"/>
        </w:rPr>
        <w:t>被保险人于本附加合同生效之日起三十日后或</w:t>
      </w:r>
      <w:r>
        <w:rPr>
          <w:b/>
          <w:spacing w:val="-2"/>
          <w:sz w:val="21"/>
        </w:rPr>
        <w:t>续保本附加合同之日起</w:t>
      </w:r>
      <w:r>
        <w:rPr>
          <w:spacing w:val="-24"/>
          <w:sz w:val="21"/>
        </w:rPr>
        <w:t>，经</w:t>
      </w:r>
      <w:r>
        <w:rPr>
          <w:b/>
          <w:sz w:val="21"/>
        </w:rPr>
        <w:t>我们认可的医疗机构</w:t>
      </w:r>
      <w:r>
        <w:rPr>
          <w:spacing w:val="-3"/>
          <w:sz w:val="21"/>
        </w:rPr>
        <w:t>初次确诊患有本附加合同约定的</w:t>
      </w:r>
      <w:r>
        <w:rPr>
          <w:b/>
          <w:sz w:val="21"/>
        </w:rPr>
        <w:t>重大疾病</w:t>
      </w:r>
      <w:r>
        <w:rPr>
          <w:spacing w:val="-7"/>
          <w:sz w:val="21"/>
        </w:rPr>
        <w:t>，我们按本附加合同保险金额向被保险人给付重大疾病保</w:t>
      </w:r>
      <w:r>
        <w:rPr>
          <w:spacing w:val="-3"/>
          <w:sz w:val="21"/>
        </w:rPr>
        <w:t>险金，本附加合同终止。</w:t>
      </w:r>
    </w:p>
    <w:p>
      <w:pPr>
        <w:spacing w:line="273" w:lineRule="auto" w:before="3"/>
        <w:ind w:left="115" w:right="232" w:firstLine="482"/>
        <w:jc w:val="left"/>
        <w:rPr>
          <w:rFonts w:ascii="黑体" w:eastAsia="黑体" w:hint="eastAsia"/>
          <w:b/>
          <w:sz w:val="24"/>
        </w:rPr>
      </w:pPr>
      <w:r>
        <w:rPr>
          <w:rFonts w:ascii="黑体" w:eastAsia="黑体" w:hint="eastAsia"/>
          <w:b/>
          <w:sz w:val="24"/>
        </w:rPr>
        <w:t>若被保险人于本附加合同Th效之日起三十日内，经我们认可的医疗机构初次确诊</w:t>
      </w:r>
      <w:r>
        <w:rPr>
          <w:rFonts w:ascii="黑体" w:eastAsia="黑体" w:hint="eastAsia"/>
          <w:b/>
          <w:w w:val="95"/>
          <w:sz w:val="24"/>
        </w:rPr>
        <w:t>患有本附加合同约定的重大疾病，我们向您退还已交保费，本附加合同终止。</w:t>
      </w:r>
    </w:p>
    <w:p>
      <w:pPr>
        <w:tabs>
          <w:tab w:pos="1195" w:val="left" w:leader="none"/>
        </w:tabs>
        <w:spacing w:before="36"/>
        <w:ind w:left="115" w:right="0" w:firstLine="0"/>
        <w:jc w:val="left"/>
        <w:rPr>
          <w:rFonts w:ascii="黑体" w:eastAsia="黑体" w:hint="eastAsia"/>
          <w:b/>
          <w:sz w:val="24"/>
        </w:rPr>
      </w:pPr>
      <w:bookmarkStart w:name="_bookmark10" w:id="11"/>
      <w:bookmarkEnd w:id="11"/>
      <w:r>
        <w:rPr/>
      </w:r>
      <w:r>
        <w:rPr>
          <w:rFonts w:ascii="黑体" w:eastAsia="黑体" w:hint="eastAsia"/>
          <w:b/>
          <w:sz w:val="24"/>
        </w:rPr>
        <w:t>第九条</w:t>
        <w:tab/>
        <w:t>责任免除</w:t>
      </w:r>
    </w:p>
    <w:p>
      <w:pPr>
        <w:spacing w:before="43"/>
        <w:ind w:left="595" w:right="0" w:firstLine="0"/>
        <w:jc w:val="left"/>
        <w:rPr>
          <w:rFonts w:ascii="黑体" w:eastAsia="黑体" w:hint="eastAsia"/>
          <w:sz w:val="24"/>
        </w:rPr>
      </w:pPr>
      <w:r>
        <w:rPr>
          <w:rFonts w:ascii="黑体" w:eastAsia="黑体" w:hint="eastAsia"/>
          <w:sz w:val="24"/>
        </w:rPr>
        <w:t>在下列情形下被保险人发Th事故的，我们不承担保险责任：</w:t>
      </w:r>
    </w:p>
    <w:p>
      <w:pPr>
        <w:pStyle w:val="ListParagraph"/>
        <w:numPr>
          <w:ilvl w:val="0"/>
          <w:numId w:val="1"/>
        </w:numPr>
        <w:tabs>
          <w:tab w:pos="956" w:val="left" w:leader="none"/>
        </w:tabs>
        <w:spacing w:line="240" w:lineRule="auto" w:before="45" w:after="0"/>
        <w:ind w:left="960" w:right="0" w:hanging="420"/>
        <w:jc w:val="left"/>
        <w:rPr>
          <w:sz w:val="24"/>
        </w:rPr>
      </w:pPr>
      <w:r>
        <w:rPr>
          <w:sz w:val="24"/>
        </w:rPr>
        <w:t>投保人对被保险人的故意杀害、故意伤害；</w:t>
      </w:r>
    </w:p>
    <w:p>
      <w:pPr>
        <w:pStyle w:val="ListParagraph"/>
        <w:numPr>
          <w:ilvl w:val="0"/>
          <w:numId w:val="1"/>
        </w:numPr>
        <w:tabs>
          <w:tab w:pos="956" w:val="left" w:leader="none"/>
        </w:tabs>
        <w:spacing w:line="240" w:lineRule="auto" w:before="43" w:after="0"/>
        <w:ind w:left="960" w:right="0" w:hanging="420"/>
        <w:jc w:val="left"/>
        <w:rPr>
          <w:sz w:val="24"/>
        </w:rPr>
      </w:pPr>
      <w:r>
        <w:rPr>
          <w:sz w:val="24"/>
        </w:rPr>
        <w:t>被保险人故意犯罪或者抗拒依法采取的刑事强制措施；</w:t>
      </w:r>
    </w:p>
    <w:p>
      <w:pPr>
        <w:spacing w:after="0" w:line="240" w:lineRule="auto"/>
        <w:jc w:val="left"/>
        <w:rPr>
          <w:sz w:val="24"/>
        </w:rPr>
        <w:sectPr>
          <w:footerReference w:type="default" r:id="rId6"/>
          <w:pgSz w:w="11910" w:h="16840"/>
          <w:pgMar w:footer="997" w:header="0" w:top="1480" w:bottom="1180" w:left="1300" w:right="1340"/>
          <w:pgNumType w:start="1"/>
        </w:sectPr>
      </w:pPr>
    </w:p>
    <w:p>
      <w:pPr>
        <w:pStyle w:val="ListParagraph"/>
        <w:numPr>
          <w:ilvl w:val="0"/>
          <w:numId w:val="1"/>
        </w:numPr>
        <w:tabs>
          <w:tab w:pos="956" w:val="left" w:leader="none"/>
        </w:tabs>
        <w:spacing w:line="240" w:lineRule="auto" w:before="3" w:after="0"/>
        <w:ind w:left="960" w:right="0" w:hanging="420"/>
        <w:jc w:val="left"/>
        <w:rPr>
          <w:sz w:val="24"/>
        </w:rPr>
      </w:pPr>
      <w:r>
        <w:rPr>
          <w:sz w:val="24"/>
        </w:rPr>
        <w:t>被保险人自杀或自残，但被保险人自杀或自残时无民事行为能力的除外；</w:t>
      </w:r>
    </w:p>
    <w:p>
      <w:pPr>
        <w:pStyle w:val="ListParagraph"/>
        <w:numPr>
          <w:ilvl w:val="0"/>
          <w:numId w:val="1"/>
        </w:numPr>
        <w:tabs>
          <w:tab w:pos="961" w:val="left" w:leader="none"/>
        </w:tabs>
        <w:spacing w:line="240" w:lineRule="auto" w:before="45" w:after="0"/>
        <w:ind w:left="960" w:right="0" w:hanging="420"/>
        <w:jc w:val="left"/>
        <w:rPr>
          <w:sz w:val="24"/>
        </w:rPr>
      </w:pPr>
      <w:r>
        <w:rPr>
          <w:sz w:val="24"/>
        </w:rPr>
        <w:t>被保险人因挑衅或故意行为而导致的打斗、被袭击或被谋杀；</w:t>
      </w:r>
    </w:p>
    <w:p>
      <w:pPr>
        <w:pStyle w:val="ListParagraph"/>
        <w:numPr>
          <w:ilvl w:val="0"/>
          <w:numId w:val="1"/>
        </w:numPr>
        <w:tabs>
          <w:tab w:pos="961" w:val="left" w:leader="none"/>
        </w:tabs>
        <w:spacing w:line="240" w:lineRule="auto" w:before="43" w:after="0"/>
        <w:ind w:left="960" w:right="0" w:hanging="420"/>
        <w:jc w:val="left"/>
        <w:rPr>
          <w:sz w:val="24"/>
        </w:rPr>
      </w:pPr>
      <w:r>
        <w:rPr>
          <w:sz w:val="24"/>
        </w:rPr>
        <w:t>被保险人接受整容手术或相关的内、外科手术；</w:t>
      </w:r>
    </w:p>
    <w:p>
      <w:pPr>
        <w:pStyle w:val="ListParagraph"/>
        <w:numPr>
          <w:ilvl w:val="0"/>
          <w:numId w:val="1"/>
        </w:numPr>
        <w:tabs>
          <w:tab w:pos="961" w:val="left" w:leader="none"/>
        </w:tabs>
        <w:spacing w:line="240" w:lineRule="auto" w:before="45" w:after="0"/>
        <w:ind w:left="960" w:right="0" w:hanging="420"/>
        <w:jc w:val="left"/>
        <w:rPr>
          <w:sz w:val="24"/>
        </w:rPr>
      </w:pPr>
      <w:r>
        <w:rPr>
          <w:sz w:val="24"/>
        </w:rPr>
        <w:t>被保险人主动吸食或注射</w:t>
      </w:r>
      <w:r>
        <w:rPr>
          <w:b/>
          <w:sz w:val="24"/>
        </w:rPr>
        <w:t>毒品</w:t>
      </w:r>
      <w:r>
        <w:rPr>
          <w:sz w:val="24"/>
        </w:rPr>
        <w:t>；</w:t>
      </w:r>
    </w:p>
    <w:p>
      <w:pPr>
        <w:pStyle w:val="ListParagraph"/>
        <w:numPr>
          <w:ilvl w:val="0"/>
          <w:numId w:val="1"/>
        </w:numPr>
        <w:tabs>
          <w:tab w:pos="961" w:val="left" w:leader="none"/>
        </w:tabs>
        <w:spacing w:line="240" w:lineRule="auto" w:before="43" w:after="0"/>
        <w:ind w:left="960" w:right="0" w:hanging="420"/>
        <w:jc w:val="left"/>
        <w:rPr>
          <w:sz w:val="24"/>
        </w:rPr>
      </w:pPr>
      <w:r>
        <w:rPr>
          <w:sz w:val="24"/>
        </w:rPr>
        <w:t>被保险人</w:t>
      </w:r>
      <w:r>
        <w:rPr>
          <w:b/>
          <w:sz w:val="24"/>
        </w:rPr>
        <w:t>酒后驾驶</w:t>
      </w:r>
      <w:r>
        <w:rPr>
          <w:spacing w:val="-3"/>
          <w:sz w:val="24"/>
        </w:rPr>
        <w:t>，</w:t>
      </w:r>
      <w:r>
        <w:rPr>
          <w:b/>
          <w:sz w:val="24"/>
        </w:rPr>
        <w:t>无合法有效驾驶证驾驶</w:t>
      </w:r>
      <w:r>
        <w:rPr>
          <w:spacing w:val="-2"/>
          <w:sz w:val="24"/>
        </w:rPr>
        <w:t>，或驾驶</w:t>
      </w:r>
      <w:r>
        <w:rPr>
          <w:b/>
          <w:sz w:val="24"/>
        </w:rPr>
        <w:t>无有效行驶证</w:t>
      </w:r>
      <w:r>
        <w:rPr>
          <w:spacing w:val="-2"/>
          <w:sz w:val="24"/>
        </w:rPr>
        <w:t>的机动车；</w:t>
      </w:r>
    </w:p>
    <w:p>
      <w:pPr>
        <w:pStyle w:val="ListParagraph"/>
        <w:numPr>
          <w:ilvl w:val="0"/>
          <w:numId w:val="1"/>
        </w:numPr>
        <w:tabs>
          <w:tab w:pos="961" w:val="left" w:leader="none"/>
        </w:tabs>
        <w:spacing w:line="240" w:lineRule="auto" w:before="46" w:after="0"/>
        <w:ind w:left="960" w:right="0" w:hanging="420"/>
        <w:jc w:val="left"/>
        <w:rPr>
          <w:sz w:val="24"/>
        </w:rPr>
      </w:pPr>
      <w:r>
        <w:rPr>
          <w:sz w:val="24"/>
        </w:rPr>
        <w:t>战争、军事冲突、暴乱或武装叛乱、恐怖袭击；</w:t>
      </w:r>
    </w:p>
    <w:p>
      <w:pPr>
        <w:pStyle w:val="ListParagraph"/>
        <w:numPr>
          <w:ilvl w:val="0"/>
          <w:numId w:val="1"/>
        </w:numPr>
        <w:tabs>
          <w:tab w:pos="961" w:val="left" w:leader="none"/>
        </w:tabs>
        <w:spacing w:line="240" w:lineRule="auto" w:before="43" w:after="0"/>
        <w:ind w:left="960" w:right="0" w:hanging="420"/>
        <w:jc w:val="left"/>
        <w:rPr>
          <w:sz w:val="24"/>
        </w:rPr>
      </w:pPr>
      <w:r>
        <w:rPr>
          <w:sz w:val="24"/>
        </w:rPr>
        <w:t>核爆炸、核辐射或核污染；</w:t>
      </w:r>
    </w:p>
    <w:p>
      <w:pPr>
        <w:pStyle w:val="ListParagraph"/>
        <w:numPr>
          <w:ilvl w:val="0"/>
          <w:numId w:val="1"/>
        </w:numPr>
        <w:tabs>
          <w:tab w:pos="961" w:val="left" w:leader="none"/>
        </w:tabs>
        <w:spacing w:line="240" w:lineRule="auto" w:before="45" w:after="0"/>
        <w:ind w:left="960" w:right="0" w:hanging="420"/>
        <w:jc w:val="left"/>
        <w:rPr>
          <w:sz w:val="24"/>
        </w:rPr>
      </w:pPr>
      <w:r>
        <w:rPr>
          <w:sz w:val="24"/>
        </w:rPr>
        <w:t>被保险人因精神疾患、酗酒或受酒精、毒品、管制药物的影响而导致的意外；</w:t>
      </w:r>
    </w:p>
    <w:p>
      <w:pPr>
        <w:pStyle w:val="ListParagraph"/>
        <w:numPr>
          <w:ilvl w:val="0"/>
          <w:numId w:val="1"/>
        </w:numPr>
        <w:tabs>
          <w:tab w:pos="961" w:val="left" w:leader="none"/>
        </w:tabs>
        <w:spacing w:line="276" w:lineRule="auto" w:before="43" w:after="0"/>
        <w:ind w:left="960" w:right="107" w:hanging="420"/>
        <w:jc w:val="left"/>
        <w:rPr>
          <w:sz w:val="24"/>
        </w:rPr>
      </w:pPr>
      <w:r>
        <w:rPr>
          <w:sz w:val="24"/>
        </w:rPr>
        <w:t>被保险人妊娠（含</w:t>
      </w:r>
      <w:r>
        <w:rPr>
          <w:b/>
          <w:sz w:val="24"/>
        </w:rPr>
        <w:t>异位妊娠</w:t>
      </w:r>
      <w:r>
        <w:rPr>
          <w:spacing w:val="-123"/>
          <w:sz w:val="24"/>
        </w:rPr>
        <w:t>）</w:t>
      </w:r>
      <w:r>
        <w:rPr>
          <w:spacing w:val="-2"/>
          <w:sz w:val="24"/>
        </w:rPr>
        <w:t>、流产、分娩(含剖腹产)、药物过敏、食物中毒、医疗事故导致的伤害；</w:t>
      </w:r>
    </w:p>
    <w:p>
      <w:pPr>
        <w:spacing w:before="7"/>
        <w:ind w:left="540" w:right="0" w:firstLine="0"/>
        <w:jc w:val="left"/>
        <w:rPr>
          <w:rFonts w:ascii="黑体" w:eastAsia="黑体" w:hint="eastAsia"/>
          <w:sz w:val="24"/>
        </w:rPr>
      </w:pPr>
      <w:r>
        <w:rPr>
          <w:rFonts w:ascii="黑体" w:eastAsia="黑体" w:hint="eastAsia"/>
          <w:sz w:val="24"/>
        </w:rPr>
        <w:t>12.</w:t>
      </w:r>
      <w:r>
        <w:rPr>
          <w:rFonts w:ascii="黑体" w:eastAsia="黑体" w:hint="eastAsia"/>
          <w:spacing w:val="-96"/>
          <w:sz w:val="24"/>
        </w:rPr>
        <w:t> </w:t>
      </w:r>
      <w:r>
        <w:rPr>
          <w:rFonts w:ascii="黑体" w:eastAsia="黑体" w:hint="eastAsia"/>
          <w:b/>
          <w:sz w:val="24"/>
        </w:rPr>
        <w:t>遗传性疾病</w:t>
      </w:r>
      <w:r>
        <w:rPr>
          <w:rFonts w:ascii="黑体" w:eastAsia="黑体" w:hint="eastAsia"/>
          <w:spacing w:val="-3"/>
          <w:sz w:val="24"/>
        </w:rPr>
        <w:t>，</w:t>
      </w:r>
      <w:r>
        <w:rPr>
          <w:rFonts w:ascii="黑体" w:eastAsia="黑体" w:hint="eastAsia"/>
          <w:b/>
          <w:sz w:val="24"/>
        </w:rPr>
        <w:t>先天性畸形、变形或染色体异常</w:t>
      </w:r>
      <w:r>
        <w:rPr>
          <w:rFonts w:ascii="黑体" w:eastAsia="黑体" w:hint="eastAsia"/>
          <w:sz w:val="24"/>
        </w:rPr>
        <w:t>；</w:t>
      </w:r>
    </w:p>
    <w:p>
      <w:pPr>
        <w:spacing w:before="45"/>
        <w:ind w:left="540" w:right="0" w:firstLine="0"/>
        <w:jc w:val="left"/>
        <w:rPr>
          <w:rFonts w:ascii="黑体" w:eastAsia="黑体" w:hint="eastAsia"/>
          <w:sz w:val="24"/>
        </w:rPr>
      </w:pPr>
      <w:r>
        <w:rPr>
          <w:rFonts w:ascii="黑体" w:eastAsia="黑体" w:hint="eastAsia"/>
          <w:sz w:val="24"/>
        </w:rPr>
        <w:t>13. 被保险人感染艾滋病病毒或患艾滋病；</w:t>
      </w:r>
    </w:p>
    <w:p>
      <w:pPr>
        <w:pStyle w:val="ListParagraph"/>
        <w:numPr>
          <w:ilvl w:val="0"/>
          <w:numId w:val="2"/>
        </w:numPr>
        <w:tabs>
          <w:tab w:pos="961" w:val="left" w:leader="none"/>
        </w:tabs>
        <w:spacing w:line="240" w:lineRule="auto" w:before="43" w:after="0"/>
        <w:ind w:left="960" w:right="0" w:hanging="420"/>
        <w:jc w:val="left"/>
        <w:rPr>
          <w:sz w:val="24"/>
        </w:rPr>
      </w:pPr>
      <w:r>
        <w:rPr>
          <w:sz w:val="24"/>
        </w:rPr>
        <w:t>被保险人未遵医嘱，私自服用、涂用、注射药物；</w:t>
      </w:r>
    </w:p>
    <w:p>
      <w:pPr>
        <w:pStyle w:val="ListParagraph"/>
        <w:numPr>
          <w:ilvl w:val="0"/>
          <w:numId w:val="2"/>
        </w:numPr>
        <w:tabs>
          <w:tab w:pos="961" w:val="left" w:leader="none"/>
        </w:tabs>
        <w:spacing w:line="273" w:lineRule="auto" w:before="46" w:after="0"/>
        <w:ind w:left="960" w:right="223" w:hanging="420"/>
        <w:jc w:val="left"/>
        <w:rPr>
          <w:sz w:val="24"/>
        </w:rPr>
      </w:pPr>
      <w:r>
        <w:rPr>
          <w:sz w:val="24"/>
        </w:rPr>
        <w:t>被保险人参加潜水、滑水、滑雪、滑冰、滑翔伞、跳伞、攀岩运动、蹦极、探险活动、武术比赛、特技表演、赛马、赛车等高风险运动；</w:t>
      </w:r>
    </w:p>
    <w:p>
      <w:pPr>
        <w:pStyle w:val="ListParagraph"/>
        <w:numPr>
          <w:ilvl w:val="0"/>
          <w:numId w:val="2"/>
        </w:numPr>
        <w:tabs>
          <w:tab w:pos="956" w:val="left" w:leader="none"/>
        </w:tabs>
        <w:spacing w:line="273" w:lineRule="auto" w:before="12" w:after="0"/>
        <w:ind w:left="960" w:right="228" w:hanging="420"/>
        <w:jc w:val="left"/>
        <w:rPr>
          <w:sz w:val="24"/>
        </w:rPr>
      </w:pPr>
      <w:r>
        <w:rPr>
          <w:sz w:val="24"/>
        </w:rPr>
        <w:t>被保险人参加易罹患职业病的，以及参加井下作业、火药、爆竹制造等高风险工作。</w:t>
      </w:r>
    </w:p>
    <w:p>
      <w:pPr>
        <w:spacing w:after="0" w:line="273" w:lineRule="auto"/>
        <w:jc w:val="left"/>
        <w:rPr>
          <w:sz w:val="24"/>
        </w:rPr>
        <w:sectPr>
          <w:pgSz w:w="11910" w:h="16840"/>
          <w:pgMar w:header="0" w:footer="997" w:top="1380" w:bottom="1180" w:left="1300" w:right="1260"/>
        </w:sectPr>
      </w:pPr>
    </w:p>
    <w:p>
      <w:pPr>
        <w:pStyle w:val="BodyText"/>
        <w:spacing w:before="0"/>
        <w:ind w:left="0"/>
        <w:rPr>
          <w:rFonts w:ascii="黑体"/>
          <w:sz w:val="24"/>
        </w:rPr>
      </w:pPr>
    </w:p>
    <w:p>
      <w:pPr>
        <w:pStyle w:val="BodyText"/>
        <w:spacing w:before="7"/>
        <w:ind w:left="0"/>
        <w:rPr>
          <w:rFonts w:ascii="黑体"/>
          <w:sz w:val="24"/>
        </w:rPr>
      </w:pPr>
    </w:p>
    <w:p>
      <w:pPr>
        <w:tabs>
          <w:tab w:pos="1195" w:val="left" w:leader="none"/>
        </w:tabs>
        <w:spacing w:before="0"/>
        <w:ind w:left="115" w:right="0" w:firstLine="0"/>
        <w:jc w:val="left"/>
        <w:rPr>
          <w:rFonts w:ascii="黑体" w:eastAsia="黑体" w:hint="eastAsia"/>
          <w:b/>
          <w:sz w:val="24"/>
        </w:rPr>
      </w:pPr>
      <w:bookmarkStart w:name="_bookmark11" w:id="12"/>
      <w:bookmarkEnd w:id="12"/>
      <w:r>
        <w:rPr/>
      </w:r>
      <w:bookmarkStart w:name="_bookmark12" w:id="13"/>
      <w:bookmarkEnd w:id="13"/>
      <w:r>
        <w:rPr/>
      </w:r>
      <w:r>
        <w:rPr>
          <w:rFonts w:ascii="黑体" w:eastAsia="黑体" w:hint="eastAsia"/>
          <w:b/>
          <w:sz w:val="24"/>
        </w:rPr>
        <w:t>第十条</w:t>
        <w:tab/>
      </w:r>
      <w:r>
        <w:rPr>
          <w:rFonts w:ascii="黑体" w:eastAsia="黑体" w:hint="eastAsia"/>
          <w:b/>
          <w:w w:val="95"/>
          <w:sz w:val="24"/>
        </w:rPr>
        <w:t>保险事故通知</w:t>
      </w:r>
    </w:p>
    <w:p>
      <w:pPr>
        <w:pStyle w:val="Heading1"/>
        <w:spacing w:before="111"/>
        <w:ind w:left="55"/>
      </w:pPr>
      <w:r>
        <w:rPr>
          <w:b w:val="0"/>
        </w:rPr>
        <w:br w:type="column"/>
      </w:r>
      <w:r>
        <w:rPr/>
        <w:t>第三部分 如何申请给付保险金</w:t>
      </w:r>
    </w:p>
    <w:p>
      <w:pPr>
        <w:spacing w:after="0"/>
        <w:sectPr>
          <w:type w:val="continuous"/>
          <w:pgSz w:w="11910" w:h="16840"/>
          <w:pgMar w:top="280" w:bottom="280" w:left="1300" w:right="1260"/>
          <w:cols w:num="2" w:equalWidth="0">
            <w:col w:w="2641" w:space="40"/>
            <w:col w:w="6669"/>
          </w:cols>
        </w:sectPr>
      </w:pPr>
    </w:p>
    <w:p>
      <w:pPr>
        <w:spacing w:line="273" w:lineRule="auto" w:before="18"/>
        <w:ind w:left="115" w:right="221" w:firstLine="482"/>
        <w:jc w:val="both"/>
        <w:rPr>
          <w:rFonts w:ascii="黑体" w:eastAsia="黑体" w:hint="eastAsia"/>
          <w:b/>
          <w:sz w:val="24"/>
        </w:rPr>
      </w:pPr>
      <w:r>
        <w:rPr>
          <w:rFonts w:ascii="黑体" w:eastAsia="黑体" w:hint="eastAsia"/>
          <w:b/>
          <w:sz w:val="24"/>
        </w:rPr>
        <w:t>您、被保险人或受益人应于知道保险事故发Th之日起三日内通知我们，否则由于通知延误，导致必要证据丧失或事故性质、原因无法认定的，我们对无法认定的部分不承担赔偿或者给付保险金的责任；同时，因此致使我们增加的勘查、检验等项费用</w:t>
      </w:r>
      <w:r>
        <w:rPr>
          <w:rFonts w:ascii="黑体" w:eastAsia="黑体" w:hint="eastAsia"/>
          <w:b/>
          <w:w w:val="95"/>
          <w:sz w:val="24"/>
        </w:rPr>
        <w:t>应从给付的保险金中扣除，但因不可抗力导致延误的除外。</w:t>
      </w:r>
    </w:p>
    <w:p>
      <w:pPr>
        <w:pStyle w:val="Heading2"/>
        <w:tabs>
          <w:tab w:pos="1195" w:val="left" w:leader="none"/>
        </w:tabs>
        <w:spacing w:before="58"/>
      </w:pPr>
      <w:bookmarkStart w:name="_bookmark13" w:id="14"/>
      <w:bookmarkEnd w:id="14"/>
      <w:r>
        <w:rPr>
          <w:b w:val="0"/>
        </w:rPr>
      </w:r>
      <w:r>
        <w:rPr/>
        <w:t>第十一条</w:t>
        <w:tab/>
        <w:t>保险金的申领</w:t>
      </w:r>
    </w:p>
    <w:p>
      <w:pPr>
        <w:pStyle w:val="BodyText"/>
        <w:spacing w:line="314" w:lineRule="auto"/>
        <w:ind w:left="115" w:right="191" w:firstLine="420"/>
        <w:jc w:val="both"/>
      </w:pPr>
      <w:r>
        <w:rPr/>
        <w:t>若被保险人经初次确诊患本附加合同约定的重大疾病，索赔权利人需填写保险金给付申请书并凭下列证明材料向我们申请理赔：</w:t>
      </w:r>
    </w:p>
    <w:p>
      <w:pPr>
        <w:pStyle w:val="ListParagraph"/>
        <w:numPr>
          <w:ilvl w:val="0"/>
          <w:numId w:val="3"/>
        </w:numPr>
        <w:tabs>
          <w:tab w:pos="853" w:val="left" w:leader="none"/>
        </w:tabs>
        <w:spacing w:line="240" w:lineRule="auto" w:before="17" w:after="0"/>
        <w:ind w:left="852" w:right="0" w:hanging="317"/>
        <w:jc w:val="left"/>
        <w:rPr>
          <w:rFonts w:ascii="宋体" w:eastAsia="宋体" w:hint="eastAsia"/>
          <w:sz w:val="21"/>
        </w:rPr>
      </w:pPr>
      <w:r>
        <w:rPr>
          <w:rFonts w:ascii="宋体" w:eastAsia="宋体" w:hint="eastAsia"/>
          <w:spacing w:val="-3"/>
          <w:sz w:val="21"/>
        </w:rPr>
        <w:t>本附加合同；</w:t>
      </w:r>
    </w:p>
    <w:p>
      <w:pPr>
        <w:pStyle w:val="ListParagraph"/>
        <w:numPr>
          <w:ilvl w:val="0"/>
          <w:numId w:val="3"/>
        </w:numPr>
        <w:tabs>
          <w:tab w:pos="853" w:val="left" w:leader="none"/>
        </w:tabs>
        <w:spacing w:line="240" w:lineRule="auto" w:before="85" w:after="0"/>
        <w:ind w:left="852" w:right="0" w:hanging="317"/>
        <w:jc w:val="left"/>
        <w:rPr>
          <w:rFonts w:ascii="宋体" w:eastAsia="宋体" w:hint="eastAsia"/>
          <w:sz w:val="21"/>
        </w:rPr>
      </w:pPr>
      <w:r>
        <w:rPr>
          <w:rFonts w:ascii="宋体" w:eastAsia="宋体" w:hint="eastAsia"/>
          <w:spacing w:val="-3"/>
          <w:sz w:val="21"/>
        </w:rPr>
        <w:t>被保险人的</w:t>
      </w:r>
      <w:r>
        <w:rPr>
          <w:rFonts w:ascii="宋体" w:eastAsia="宋体" w:hint="eastAsia"/>
          <w:b/>
          <w:sz w:val="21"/>
        </w:rPr>
        <w:t>身份证明</w:t>
      </w:r>
      <w:r>
        <w:rPr>
          <w:rFonts w:ascii="宋体" w:eastAsia="宋体" w:hint="eastAsia"/>
          <w:spacing w:val="-3"/>
          <w:sz w:val="21"/>
        </w:rPr>
        <w:t>及索赔权利证明；</w:t>
      </w:r>
    </w:p>
    <w:p>
      <w:pPr>
        <w:pStyle w:val="ListParagraph"/>
        <w:numPr>
          <w:ilvl w:val="0"/>
          <w:numId w:val="3"/>
        </w:numPr>
        <w:tabs>
          <w:tab w:pos="853" w:val="left" w:leader="none"/>
        </w:tabs>
        <w:spacing w:line="240" w:lineRule="auto" w:before="82" w:after="0"/>
        <w:ind w:left="852" w:right="0" w:hanging="316"/>
        <w:jc w:val="left"/>
        <w:rPr>
          <w:rFonts w:ascii="宋体" w:eastAsia="宋体" w:hint="eastAsia"/>
          <w:sz w:val="21"/>
        </w:rPr>
      </w:pPr>
      <w:r>
        <w:rPr>
          <w:rFonts w:ascii="宋体" w:eastAsia="宋体" w:hint="eastAsia"/>
          <w:spacing w:val="-3"/>
          <w:sz w:val="21"/>
        </w:rPr>
        <w:t>索赔权利人的有效身份证明及与被保险人的关系证明；</w:t>
      </w:r>
    </w:p>
    <w:p>
      <w:pPr>
        <w:pStyle w:val="ListParagraph"/>
        <w:numPr>
          <w:ilvl w:val="0"/>
          <w:numId w:val="3"/>
        </w:numPr>
        <w:tabs>
          <w:tab w:pos="853" w:val="left" w:leader="none"/>
        </w:tabs>
        <w:spacing w:line="240" w:lineRule="auto" w:before="84" w:after="0"/>
        <w:ind w:left="852" w:right="0" w:hanging="316"/>
        <w:jc w:val="left"/>
        <w:rPr>
          <w:rFonts w:ascii="宋体" w:eastAsia="宋体" w:hint="eastAsia"/>
          <w:sz w:val="21"/>
        </w:rPr>
      </w:pPr>
      <w:r>
        <w:rPr>
          <w:rFonts w:ascii="宋体" w:eastAsia="宋体" w:hint="eastAsia"/>
          <w:spacing w:val="-3"/>
          <w:sz w:val="21"/>
        </w:rPr>
        <w:t>我们认可的医疗机构出具的诊断证明以及相关资料；</w:t>
      </w:r>
    </w:p>
    <w:p>
      <w:pPr>
        <w:pStyle w:val="ListParagraph"/>
        <w:numPr>
          <w:ilvl w:val="0"/>
          <w:numId w:val="3"/>
        </w:numPr>
        <w:tabs>
          <w:tab w:pos="853" w:val="left" w:leader="none"/>
        </w:tabs>
        <w:spacing w:line="240" w:lineRule="auto" w:before="82" w:after="0"/>
        <w:ind w:left="852" w:right="0" w:hanging="316"/>
        <w:jc w:val="left"/>
        <w:rPr>
          <w:rFonts w:ascii="宋体" w:eastAsia="宋体" w:hint="eastAsia"/>
          <w:sz w:val="21"/>
        </w:rPr>
      </w:pPr>
      <w:r>
        <w:rPr>
          <w:rFonts w:ascii="宋体" w:eastAsia="宋体" w:hint="eastAsia"/>
          <w:spacing w:val="-3"/>
          <w:sz w:val="21"/>
        </w:rPr>
        <w:t>我们所需且被保险人能够提供的与保险事故有关的其他材料。</w:t>
      </w:r>
    </w:p>
    <w:p>
      <w:pPr>
        <w:pStyle w:val="BodyText"/>
        <w:spacing w:line="314" w:lineRule="auto" w:before="85"/>
        <w:ind w:right="190" w:firstLine="420"/>
        <w:jc w:val="both"/>
      </w:pPr>
      <w:r>
        <w:rPr/>
        <w:t>我们收到申请人上述保险金给付申请书及所列的证明材料后，对确属保险责任范围的，在与申请人达成有关给付保险金数额的协议后十日内，履行给付保险金责任；对不属于保险责任范围的， 向申请人发出拒绝给付保险金通知书。</w:t>
      </w:r>
    </w:p>
    <w:p>
      <w:pPr>
        <w:pStyle w:val="BodyText"/>
        <w:spacing w:line="314" w:lineRule="auto" w:before="17"/>
        <w:ind w:right="190" w:firstLine="419"/>
        <w:jc w:val="both"/>
      </w:pPr>
      <w:r>
        <w:rPr/>
        <w:t>我们自收到申请人的保险金给付申请书及本条所列的证明材料之日起六十日内，对属于保险责任而给付保险金的数额暂时不能确定的，根据已有的证明材料，按可以确定的数额先予以支付，我们最终确定给付保险金数额后，再支付相应的差额。</w:t>
      </w:r>
    </w:p>
    <w:p>
      <w:pPr>
        <w:pStyle w:val="BodyText"/>
        <w:spacing w:before="19"/>
        <w:ind w:left="536"/>
      </w:pPr>
      <w:r>
        <w:rPr/>
        <w:t>保险金作为被保险人的遗产时，必须提供可证明其为被保险人的合法继承人的相关证明文件。</w:t>
      </w:r>
    </w:p>
    <w:p>
      <w:pPr>
        <w:spacing w:after="0"/>
        <w:sectPr>
          <w:type w:val="continuous"/>
          <w:pgSz w:w="11910" w:h="16840"/>
          <w:pgMar w:top="280" w:bottom="280" w:left="1300" w:right="1260"/>
        </w:sectPr>
      </w:pPr>
    </w:p>
    <w:p>
      <w:pPr>
        <w:pStyle w:val="Heading2"/>
        <w:tabs>
          <w:tab w:pos="1195" w:val="left" w:leader="none"/>
        </w:tabs>
        <w:spacing w:before="9"/>
      </w:pPr>
      <w:bookmarkStart w:name="_bookmark14" w:id="15"/>
      <w:bookmarkEnd w:id="15"/>
      <w:r>
        <w:rPr>
          <w:b w:val="0"/>
        </w:rPr>
      </w:r>
      <w:r>
        <w:rPr/>
        <w:t>第十二条</w:t>
        <w:tab/>
        <w:t>诉讼时效</w:t>
      </w:r>
    </w:p>
    <w:p>
      <w:pPr>
        <w:pStyle w:val="BodyText"/>
        <w:spacing w:line="312" w:lineRule="auto" w:before="85"/>
        <w:ind w:left="115" w:right="234" w:firstLine="420"/>
        <w:jc w:val="both"/>
      </w:pPr>
      <w:r>
        <w:rPr/>
        <w:t>本附加合同的索赔权利人向我们请求给付保险金的诉讼时效期间为两年，自其知道或应当知道保险事故发生之日起计算。</w:t>
      </w:r>
    </w:p>
    <w:p>
      <w:pPr>
        <w:pStyle w:val="BodyText"/>
        <w:spacing w:before="0"/>
        <w:ind w:left="0"/>
        <w:rPr>
          <w:sz w:val="20"/>
        </w:rPr>
      </w:pPr>
    </w:p>
    <w:p>
      <w:pPr>
        <w:pStyle w:val="BodyText"/>
        <w:spacing w:before="9"/>
        <w:ind w:left="0"/>
        <w:rPr>
          <w:sz w:val="14"/>
        </w:rPr>
      </w:pPr>
    </w:p>
    <w:p>
      <w:pPr>
        <w:pStyle w:val="Heading1"/>
        <w:spacing w:before="0"/>
        <w:ind w:left="2736"/>
      </w:pPr>
      <w:bookmarkStart w:name="_bookmark15" w:id="16"/>
      <w:bookmarkEnd w:id="16"/>
      <w:r>
        <w:rPr>
          <w:b w:val="0"/>
        </w:rPr>
      </w:r>
      <w:r>
        <w:rPr/>
        <w:t>第四部分 您所拥有的重要权益</w:t>
      </w:r>
    </w:p>
    <w:p>
      <w:pPr>
        <w:pStyle w:val="Heading2"/>
        <w:tabs>
          <w:tab w:pos="1195" w:val="left" w:leader="none"/>
        </w:tabs>
        <w:spacing w:before="183"/>
      </w:pPr>
      <w:bookmarkStart w:name="_bookmark16" w:id="17"/>
      <w:bookmarkEnd w:id="17"/>
      <w:r>
        <w:rPr>
          <w:b w:val="0"/>
        </w:rPr>
      </w:r>
      <w:r>
        <w:rPr/>
        <w:t>第十三条</w:t>
        <w:tab/>
        <w:t>合同内容变更权</w:t>
      </w:r>
    </w:p>
    <w:p>
      <w:pPr>
        <w:pStyle w:val="BodyText"/>
        <w:spacing w:line="314" w:lineRule="auto" w:before="85"/>
        <w:ind w:left="115" w:right="231" w:firstLine="420"/>
        <w:jc w:val="both"/>
      </w:pPr>
      <w:r>
        <w:rPr/>
        <w:t>您在本附加合同有效期内，在符合我们规定的情形下，可以申请变更本附加合同内容，我们以批注作为同意的表示，批注的时间是变更内容生效的时间。您依法享有单方变更权的，以我们收到通知的时间为变更生效的时间，我们将及时作出批注。</w:t>
      </w:r>
    </w:p>
    <w:p>
      <w:pPr>
        <w:pStyle w:val="Heading2"/>
        <w:tabs>
          <w:tab w:pos="1195" w:val="left" w:leader="none"/>
        </w:tabs>
      </w:pPr>
      <w:bookmarkStart w:name="_bookmark17" w:id="18"/>
      <w:bookmarkEnd w:id="18"/>
      <w:r>
        <w:rPr>
          <w:b w:val="0"/>
        </w:rPr>
      </w:r>
      <w:r>
        <w:rPr/>
        <w:t>第十四条</w:t>
        <w:tab/>
        <w:t>合同解除权</w:t>
      </w:r>
    </w:p>
    <w:p>
      <w:pPr>
        <w:pStyle w:val="BodyText"/>
        <w:spacing w:line="312" w:lineRule="auto" w:before="84"/>
        <w:ind w:left="115" w:right="234" w:firstLine="420"/>
        <w:jc w:val="both"/>
      </w:pPr>
      <w:r>
        <w:rPr/>
        <w:t>一、在本附加合同有效期内，您可随时申请解除本附加合同。我们收到解除合同申请书时，本附加合同终止。</w:t>
      </w:r>
    </w:p>
    <w:p>
      <w:pPr>
        <w:pStyle w:val="BodyText"/>
        <w:spacing w:line="312" w:lineRule="auto" w:before="22"/>
        <w:ind w:left="535" w:right="230"/>
      </w:pPr>
      <w:r>
        <w:rPr/>
        <w:t>二、我们在收到本条第三款所列证明材料后三十日内向您退还本附加合同解除时的</w:t>
      </w:r>
      <w:r>
        <w:rPr>
          <w:b/>
        </w:rPr>
        <w:t>现金价值</w:t>
      </w:r>
      <w:r>
        <w:rPr/>
        <w:t>。三、您要求解除本附加合同时，应提供下列证明材料：</w:t>
      </w:r>
    </w:p>
    <w:p>
      <w:pPr>
        <w:pStyle w:val="BodyText"/>
        <w:spacing w:before="22"/>
        <w:ind w:left="535"/>
      </w:pPr>
      <w:r>
        <w:rPr/>
        <w:t>1．本附加合同；</w:t>
      </w:r>
    </w:p>
    <w:p>
      <w:pPr>
        <w:pStyle w:val="BodyText"/>
        <w:ind w:left="535"/>
      </w:pPr>
      <w:r>
        <w:rPr/>
        <w:t>2．解除合同申请书；</w:t>
      </w:r>
    </w:p>
    <w:p>
      <w:pPr>
        <w:pStyle w:val="BodyText"/>
        <w:spacing w:before="85"/>
        <w:ind w:left="535"/>
      </w:pPr>
      <w:r>
        <w:rPr/>
        <w:t>3．您的身份证明。</w:t>
      </w:r>
    </w:p>
    <w:p>
      <w:pPr>
        <w:pStyle w:val="BodyText"/>
        <w:spacing w:before="11"/>
        <w:ind w:left="0"/>
        <w:rPr>
          <w:sz w:val="10"/>
        </w:rPr>
      </w:pPr>
    </w:p>
    <w:p>
      <w:pPr>
        <w:pStyle w:val="Heading1"/>
        <w:spacing w:before="15"/>
        <w:ind w:left="2876"/>
      </w:pPr>
      <w:bookmarkStart w:name="_bookmark18" w:id="19"/>
      <w:bookmarkEnd w:id="19"/>
      <w:r>
        <w:rPr>
          <w:b w:val="0"/>
        </w:rPr>
      </w:r>
      <w:r>
        <w:rPr/>
        <w:t>第五部分 您必须了解的事项</w:t>
      </w:r>
    </w:p>
    <w:p>
      <w:pPr>
        <w:pStyle w:val="Heading2"/>
        <w:tabs>
          <w:tab w:pos="1195" w:val="left" w:leader="none"/>
        </w:tabs>
        <w:spacing w:before="183"/>
      </w:pPr>
      <w:bookmarkStart w:name="_bookmark19" w:id="20"/>
      <w:bookmarkEnd w:id="20"/>
      <w:r>
        <w:rPr>
          <w:b w:val="0"/>
        </w:rPr>
      </w:r>
      <w:r>
        <w:rPr/>
        <w:t>第十五条</w:t>
        <w:tab/>
        <w:t>明确说明和如实告</w:t>
      </w:r>
      <w:r>
        <w:rPr>
          <w:spacing w:val="-3"/>
        </w:rPr>
        <w:t>知</w:t>
      </w:r>
      <w:r>
        <w:rPr/>
        <w:t>义务</w:t>
      </w:r>
    </w:p>
    <w:p>
      <w:pPr>
        <w:pStyle w:val="BodyText"/>
        <w:spacing w:before="85"/>
        <w:ind w:left="535"/>
      </w:pPr>
      <w:r>
        <w:rPr/>
        <w:t>订立本附加合同时，我们应向您说明本附加合同的内容。</w:t>
      </w:r>
    </w:p>
    <w:p>
      <w:pPr>
        <w:pStyle w:val="BodyText"/>
        <w:spacing w:line="314" w:lineRule="auto" w:before="83"/>
        <w:ind w:left="115" w:right="231"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20"/>
        <w:ind w:left="536"/>
      </w:pPr>
      <w:r>
        <w:rPr/>
        <w:t>我们就您和被保险人的有关情况提出询问，您应当如实告知。</w:t>
      </w:r>
    </w:p>
    <w:p>
      <w:pPr>
        <w:spacing w:line="276" w:lineRule="auto" w:before="57"/>
        <w:ind w:left="115" w:right="117" w:firstLine="482"/>
        <w:jc w:val="left"/>
        <w:rPr>
          <w:rFonts w:ascii="黑体" w:eastAsia="黑体" w:hint="eastAsia"/>
          <w:b/>
          <w:sz w:val="24"/>
        </w:rPr>
      </w:pPr>
      <w:r>
        <w:rPr>
          <w:rFonts w:ascii="黑体" w:eastAsia="黑体" w:hint="eastAsia"/>
          <w:b/>
          <w:sz w:val="24"/>
        </w:rPr>
        <w:t>如果您故意或者因重大过失未履行前款规定的如实告知义务，足以影响我们决定是</w:t>
      </w:r>
      <w:r>
        <w:rPr>
          <w:rFonts w:ascii="黑体" w:eastAsia="黑体" w:hint="eastAsia"/>
          <w:b/>
          <w:w w:val="95"/>
          <w:sz w:val="24"/>
        </w:rPr>
        <w:t>否同意承保或者提高保险费率的，我们有权解除本附加合同。</w:t>
      </w:r>
    </w:p>
    <w:p>
      <w:pPr>
        <w:spacing w:line="276" w:lineRule="auto" w:before="7"/>
        <w:ind w:left="115" w:right="148" w:firstLine="420"/>
        <w:jc w:val="left"/>
        <w:rPr>
          <w:rFonts w:ascii="黑体" w:eastAsia="黑体" w:hint="eastAsia"/>
          <w:b/>
          <w:sz w:val="24"/>
        </w:rPr>
      </w:pPr>
      <w:r>
        <w:rPr>
          <w:rFonts w:ascii="黑体" w:eastAsia="黑体" w:hint="eastAsia"/>
          <w:b/>
          <w:sz w:val="24"/>
        </w:rPr>
        <w:t>如果您故意不履行如实告知义务，对于本附加合同解除前发Th的保险事故，我们不</w:t>
      </w:r>
      <w:r>
        <w:rPr>
          <w:rFonts w:ascii="黑体" w:eastAsia="黑体" w:hint="eastAsia"/>
          <w:b/>
          <w:w w:val="95"/>
          <w:sz w:val="24"/>
        </w:rPr>
        <w:t>承担给付保险金的责任，并不退还保险费。</w:t>
      </w:r>
    </w:p>
    <w:p>
      <w:pPr>
        <w:spacing w:line="276" w:lineRule="auto" w:before="7"/>
        <w:ind w:left="115" w:right="112" w:firstLine="420"/>
        <w:jc w:val="left"/>
        <w:rPr>
          <w:rFonts w:ascii="黑体" w:eastAsia="黑体" w:hint="eastAsia"/>
          <w:b/>
          <w:sz w:val="24"/>
        </w:rPr>
      </w:pPr>
      <w:r>
        <w:rPr>
          <w:rFonts w:ascii="黑体" w:eastAsia="黑体" w:hint="eastAsia"/>
          <w:b/>
          <w:sz w:val="24"/>
        </w:rPr>
        <w:t>如果您因重大过失未履行如实告知义务，对保险事故的发Th有严重影响的，对于本</w:t>
      </w:r>
      <w:r>
        <w:rPr>
          <w:rFonts w:ascii="黑体" w:eastAsia="黑体" w:hint="eastAsia"/>
          <w:b/>
          <w:w w:val="95"/>
          <w:sz w:val="24"/>
        </w:rPr>
        <w:t>附加合同解除前发Th的保险事故，我们不承担给付保险金的责任，但应当退还保险费。</w:t>
      </w:r>
    </w:p>
    <w:p>
      <w:pPr>
        <w:pStyle w:val="BodyText"/>
        <w:spacing w:line="314" w:lineRule="auto" w:before="33"/>
        <w:ind w:left="115" w:right="231" w:firstLine="420"/>
      </w:pPr>
      <w:r>
        <w:rPr/>
        <w:t>我们在合同订立时已经知道您未如实告知的情况的，我们不得解除合同；发生保险事故的，我们承担给付保险金的责任。</w:t>
      </w:r>
    </w:p>
    <w:p>
      <w:pPr>
        <w:pStyle w:val="Heading2"/>
        <w:tabs>
          <w:tab w:pos="1375" w:val="left" w:leader="none"/>
        </w:tabs>
      </w:pPr>
      <w:bookmarkStart w:name="_bookmark20" w:id="21"/>
      <w:bookmarkEnd w:id="21"/>
      <w:r>
        <w:rPr>
          <w:b w:val="0"/>
        </w:rPr>
      </w:r>
      <w:r>
        <w:rPr/>
        <w:t>第十六条</w:t>
        <w:tab/>
        <w:t>受益人的指定</w:t>
      </w:r>
    </w:p>
    <w:p>
      <w:pPr>
        <w:tabs>
          <w:tab w:pos="1375" w:val="left" w:leader="none"/>
        </w:tabs>
        <w:spacing w:line="312" w:lineRule="auto" w:before="84"/>
        <w:ind w:left="115" w:right="4642" w:firstLine="420"/>
        <w:jc w:val="left"/>
        <w:rPr>
          <w:b/>
          <w:sz w:val="21"/>
        </w:rPr>
      </w:pPr>
      <w:r>
        <w:rPr>
          <w:sz w:val="21"/>
        </w:rPr>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金</w:t>
      </w:r>
      <w:r>
        <w:rPr>
          <w:sz w:val="21"/>
        </w:rPr>
        <w:t>受</w:t>
      </w:r>
      <w:r>
        <w:rPr>
          <w:spacing w:val="-3"/>
          <w:sz w:val="21"/>
        </w:rPr>
        <w:t>益</w:t>
      </w:r>
      <w:r>
        <w:rPr>
          <w:sz w:val="21"/>
        </w:rPr>
        <w:t>人为</w:t>
      </w:r>
      <w:r>
        <w:rPr>
          <w:spacing w:val="-3"/>
          <w:sz w:val="21"/>
        </w:rPr>
        <w:t>被</w:t>
      </w:r>
      <w:r>
        <w:rPr>
          <w:sz w:val="21"/>
        </w:rPr>
        <w:t>保</w:t>
      </w:r>
      <w:r>
        <w:rPr>
          <w:spacing w:val="-3"/>
          <w:sz w:val="21"/>
        </w:rPr>
        <w:t>险</w:t>
      </w:r>
      <w:r>
        <w:rPr>
          <w:sz w:val="21"/>
        </w:rPr>
        <w:t>人</w:t>
      </w:r>
      <w:r>
        <w:rPr>
          <w:spacing w:val="-3"/>
          <w:sz w:val="21"/>
        </w:rPr>
        <w:t>本</w:t>
      </w:r>
      <w:r>
        <w:rPr>
          <w:sz w:val="21"/>
        </w:rPr>
        <w:t>人。</w:t>
      </w:r>
      <w:bookmarkStart w:name="_bookmark21" w:id="22"/>
      <w:bookmarkEnd w:id="22"/>
      <w:r>
        <w:rPr>
          <w:sz w:val="21"/>
        </w:rPr>
      </w:r>
      <w:r>
        <w:rPr>
          <w:b/>
          <w:sz w:val="21"/>
        </w:rPr>
        <w:t>第十七条</w:t>
        <w:tab/>
        <w:t>年龄计算及错误处理</w:t>
      </w:r>
    </w:p>
    <w:p>
      <w:pPr>
        <w:pStyle w:val="BodyText"/>
        <w:spacing w:line="312" w:lineRule="auto" w:before="21"/>
        <w:ind w:left="115" w:right="231" w:firstLine="420"/>
      </w:pPr>
      <w:r>
        <w:rPr/>
        <w:t>被保险人的投保年龄为以法定证件载明的出生日期为基础计算的周岁年龄。您在申请投保时， 应将被保险人的真实年龄在投保书上填明，若发生错误按下列规定办理：</w:t>
      </w:r>
    </w:p>
    <w:p>
      <w:pPr>
        <w:spacing w:after="0" w:line="312" w:lineRule="auto"/>
        <w:sectPr>
          <w:pgSz w:w="11910" w:h="16840"/>
          <w:pgMar w:header="0" w:footer="997" w:top="1400" w:bottom="1180" w:left="1300" w:right="1220"/>
        </w:sectPr>
      </w:pPr>
    </w:p>
    <w:p>
      <w:pPr>
        <w:pStyle w:val="BodyText"/>
        <w:spacing w:line="314" w:lineRule="auto" w:before="9"/>
        <w:ind w:left="115" w:right="212" w:firstLine="420"/>
        <w:jc w:val="both"/>
      </w:pPr>
      <w:r>
        <w:rPr/>
        <w:t>一、如果被保险人的真实投保年龄不符合本附加合同约定的投保年龄范围，我们有权依照保险法或本附加合同第十七条所列的与如实告知义务相关的规定解除本附加合同，并向您退还解除保险合同时保险单的现金价值净额。但自本附加合同生效日起超过两年的，我们不得解除本附加合同， 应依照本条第二、三款办理。</w:t>
      </w:r>
    </w:p>
    <w:p>
      <w:pPr>
        <w:pStyle w:val="BodyText"/>
        <w:spacing w:line="314" w:lineRule="auto" w:before="17"/>
        <w:ind w:left="115" w:right="107" w:firstLine="420"/>
      </w:pPr>
      <w:r>
        <w:rPr>
          <w:spacing w:val="-10"/>
        </w:rPr>
        <w:t>二、您申报的被保险人年龄不真实，致使您实交保险费少于应交保险费的，我们在审核更正后， </w:t>
      </w:r>
      <w:r>
        <w:rPr>
          <w:spacing w:val="-5"/>
        </w:rPr>
        <w:t>有权要求您依照法律及公司投保规则的规定，补交保险费、参加体检及配合其他业务流程要求；若</w:t>
      </w:r>
      <w:r>
        <w:rPr>
          <w:spacing w:val="-4"/>
        </w:rPr>
        <w:t>补交保险费前已发生保险事故，我们按照实交保险费与应交保险费的比例给付保险金。</w:t>
      </w:r>
    </w:p>
    <w:p>
      <w:pPr>
        <w:pStyle w:val="BodyText"/>
        <w:spacing w:line="312" w:lineRule="auto" w:before="19"/>
        <w:ind w:left="115" w:right="211" w:firstLine="420"/>
      </w:pPr>
      <w:r>
        <w:rPr/>
        <w:t>三、您申报的被保险人年龄不真实，致使您实交保险费多于应交保险费的，我们将在审核更正后，将多收的保险费无息退还您。</w:t>
      </w:r>
    </w:p>
    <w:p>
      <w:pPr>
        <w:pStyle w:val="Heading2"/>
        <w:tabs>
          <w:tab w:pos="1375" w:val="left" w:leader="none"/>
        </w:tabs>
        <w:spacing w:before="21"/>
      </w:pPr>
      <w:bookmarkStart w:name="_bookmark22" w:id="23"/>
      <w:bookmarkEnd w:id="23"/>
      <w:r>
        <w:rPr>
          <w:b w:val="0"/>
        </w:rPr>
      </w:r>
      <w:r>
        <w:rPr/>
        <w:t>第十八条</w:t>
        <w:tab/>
        <w:t>住所或通讯地址变更</w:t>
      </w:r>
    </w:p>
    <w:p>
      <w:pPr>
        <w:pStyle w:val="BodyText"/>
        <w:spacing w:line="314" w:lineRule="auto"/>
        <w:ind w:left="115" w:right="243" w:firstLine="420"/>
      </w:pPr>
      <w:r>
        <w:rPr>
          <w:spacing w:val="-6"/>
        </w:rPr>
        <w:t>您的住所或通讯地址变更时，您应当及时以书面形式通知我们。您未作前述通知的，我们按本</w:t>
      </w:r>
      <w:r>
        <w:rPr>
          <w:spacing w:val="-3"/>
        </w:rPr>
        <w:t>合同载明的最后住所或通讯地址发送有关通知，均视为已通知您。</w:t>
      </w:r>
    </w:p>
    <w:p>
      <w:pPr>
        <w:pStyle w:val="Heading2"/>
        <w:tabs>
          <w:tab w:pos="1375" w:val="left" w:leader="none"/>
        </w:tabs>
      </w:pPr>
      <w:bookmarkStart w:name="_bookmark23" w:id="24"/>
      <w:bookmarkEnd w:id="24"/>
      <w:r>
        <w:rPr>
          <w:b w:val="0"/>
        </w:rPr>
      </w:r>
      <w:r>
        <w:rPr/>
        <w:t>第十九条</w:t>
        <w:tab/>
        <w:t>争议处理与法律适用</w:t>
      </w:r>
    </w:p>
    <w:p>
      <w:pPr>
        <w:pStyle w:val="BodyText"/>
        <w:spacing w:line="312" w:lineRule="auto" w:before="85"/>
        <w:ind w:left="115" w:right="134" w:firstLine="420"/>
      </w:pPr>
      <w:r>
        <w:rPr>
          <w:spacing w:val="-10"/>
        </w:rPr>
        <w:t>本附加合同履行过程中发生任何争议，双方首先通过协商加以解决。若双方协商未达成协议的， </w:t>
      </w:r>
      <w:r>
        <w:rPr>
          <w:spacing w:val="-5"/>
        </w:rPr>
        <w:t>可依法向签发保险单的我们分支机构所在地有管辖权的人民法院提起诉讼。</w:t>
      </w:r>
    </w:p>
    <w:p>
      <w:pPr>
        <w:pStyle w:val="BodyText"/>
        <w:spacing w:line="312" w:lineRule="auto" w:before="22"/>
        <w:ind w:left="115" w:right="239" w:firstLine="420"/>
      </w:pPr>
      <w:r>
        <w:rPr>
          <w:spacing w:val="-4"/>
        </w:rPr>
        <w:t>与本保险合同有关的以及履行本保险合同产生的一切争议处理适用中华人民共和国法律</w:t>
      </w:r>
      <w:r>
        <w:rPr>
          <w:spacing w:val="-3"/>
        </w:rPr>
        <w:t>（</w:t>
      </w:r>
      <w:r>
        <w:rPr>
          <w:spacing w:val="-2"/>
        </w:rPr>
        <w:t>不包</w:t>
      </w:r>
      <w:r>
        <w:rPr>
          <w:spacing w:val="-3"/>
        </w:rPr>
        <w:t>括港澳台地区法律</w:t>
      </w:r>
      <w:r>
        <w:rPr>
          <w:spacing w:val="-108"/>
        </w:rPr>
        <w:t>）</w:t>
      </w:r>
      <w:r>
        <w:rPr/>
        <w:t>。</w:t>
      </w:r>
    </w:p>
    <w:p>
      <w:pPr>
        <w:pStyle w:val="Heading1"/>
        <w:spacing w:before="96"/>
        <w:ind w:left="3437"/>
      </w:pPr>
      <w:bookmarkStart w:name="_bookmark24" w:id="25"/>
      <w:bookmarkEnd w:id="25"/>
      <w:r>
        <w:rPr>
          <w:b w:val="0"/>
        </w:rPr>
      </w:r>
      <w:r>
        <w:rPr/>
        <w:t>第六部分 名词释义</w:t>
      </w:r>
    </w:p>
    <w:p>
      <w:pPr>
        <w:pStyle w:val="BodyText"/>
        <w:spacing w:line="273" w:lineRule="auto" w:before="159"/>
        <w:ind w:left="115" w:right="106"/>
      </w:pPr>
      <w:r>
        <w:rPr>
          <w:b/>
          <w:spacing w:val="-1"/>
        </w:rPr>
        <w:t>我们认可的医疗机构：</w:t>
      </w:r>
      <w:r>
        <w:rPr>
          <w:spacing w:val="-4"/>
        </w:rPr>
        <w:t>指在中国境内</w:t>
      </w:r>
      <w:r>
        <w:rPr/>
        <w:t>（</w:t>
      </w:r>
      <w:r>
        <w:rPr>
          <w:spacing w:val="-4"/>
        </w:rPr>
        <w:t>不包括香港、澳门、台湾地区</w:t>
      </w:r>
      <w:r>
        <w:rPr>
          <w:spacing w:val="-5"/>
        </w:rPr>
        <w:t>）</w:t>
      </w:r>
      <w:r>
        <w:rPr>
          <w:spacing w:val="-3"/>
        </w:rPr>
        <w:t>按国家卫生部医院等级分类</w:t>
      </w:r>
      <w:r>
        <w:rPr>
          <w:spacing w:val="-9"/>
        </w:rPr>
        <w:t>中二级以上</w:t>
      </w:r>
      <w:r>
        <w:rPr/>
        <w:t>（</w:t>
      </w:r>
      <w:r>
        <w:rPr>
          <w:spacing w:val="-3"/>
        </w:rPr>
        <w:t>含</w:t>
      </w:r>
      <w:r>
        <w:rPr>
          <w:spacing w:val="-27"/>
        </w:rPr>
        <w:t>）</w:t>
      </w:r>
      <w:r>
        <w:rPr>
          <w:spacing w:val="-5"/>
        </w:rPr>
        <w:t>公立医院或投保人与我们协商共同指定的医院或医疗机构。联合病房、精神病院、</w:t>
      </w:r>
      <w:r>
        <w:rPr>
          <w:spacing w:val="-4"/>
        </w:rPr>
        <w:t>专供康复、休养、戒毒、戒酒、护理、养老等非以直接诊治病人为目的的医疗机构除外。</w:t>
      </w:r>
    </w:p>
    <w:p>
      <w:pPr>
        <w:pStyle w:val="Heading2"/>
        <w:spacing w:before="31"/>
      </w:pPr>
      <w:r>
        <w:rPr/>
        <w:t>重大疾病：</w:t>
      </w:r>
    </w:p>
    <w:p>
      <w:pPr>
        <w:pStyle w:val="BodyText"/>
        <w:ind w:left="535"/>
      </w:pPr>
      <w:r>
        <w:rPr/>
        <w:t>本合同所指重大疾病：</w:t>
      </w:r>
    </w:p>
    <w:p>
      <w:pPr>
        <w:pStyle w:val="BodyText"/>
        <w:spacing w:before="85"/>
        <w:ind w:left="115"/>
      </w:pPr>
      <w:r>
        <w:rPr/>
        <w:t>1、 恶性肿瘤：</w:t>
      </w:r>
    </w:p>
    <w:p>
      <w:pPr>
        <w:pStyle w:val="BodyText"/>
        <w:spacing w:line="314" w:lineRule="auto"/>
        <w:ind w:left="115" w:right="239" w:firstLine="420"/>
        <w:jc w:val="both"/>
      </w:pPr>
      <w:r>
        <w:rPr>
          <w:spacing w:val="-5"/>
        </w:rPr>
        <w:t>指恶性细胞不受控制的进行性增长和扩散，浸润和破坏周围正常组织，可以经血管淋巴管和体</w:t>
      </w:r>
      <w:r>
        <w:rPr>
          <w:spacing w:val="-7"/>
        </w:rPr>
        <w:t>腔扩散转移到身体其它部位的疾病。经病理学检查结果明确诊断，临床诊断属于世界卫生组织《疾</w:t>
      </w:r>
      <w:r>
        <w:rPr>
          <w:spacing w:val="-10"/>
        </w:rPr>
        <w:t>病和有关健康问题的国际统计分类》</w:t>
      </w:r>
      <w:r>
        <w:rPr/>
        <w:t>（ICD-10）</w:t>
      </w:r>
      <w:r>
        <w:rPr>
          <w:spacing w:val="-3"/>
        </w:rPr>
        <w:t>的恶性肿瘤范畴。</w:t>
      </w:r>
    </w:p>
    <w:p>
      <w:pPr>
        <w:pStyle w:val="BodyText"/>
        <w:spacing w:before="19"/>
        <w:ind w:left="536"/>
      </w:pPr>
      <w:r>
        <w:rPr/>
        <w:t>下列疾病不在保障范围内：</w:t>
      </w:r>
    </w:p>
    <w:p>
      <w:pPr>
        <w:pStyle w:val="BodyText"/>
      </w:pPr>
      <w:r>
        <w:rPr/>
        <w:t>（1）原位癌；</w:t>
      </w:r>
    </w:p>
    <w:p>
      <w:pPr>
        <w:pStyle w:val="BodyText"/>
        <w:spacing w:before="85"/>
      </w:pPr>
      <w:r>
        <w:rPr/>
        <w:t>（2）相当于 Binet 分期方案 A 期程度的慢性淋巴细胞白血病；</w:t>
      </w:r>
    </w:p>
    <w:p>
      <w:pPr>
        <w:pStyle w:val="BodyText"/>
        <w:ind w:left="115"/>
      </w:pPr>
      <w:r>
        <w:rPr/>
        <w:t>（3）相当于 Ann Arbor 分期方案 I 期程度的何杰金氏病；</w:t>
      </w:r>
    </w:p>
    <w:p>
      <w:pPr>
        <w:pStyle w:val="BodyText"/>
        <w:spacing w:before="84"/>
        <w:ind w:left="115"/>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pPr>
      <w:r>
        <w:rPr/>
        <w:t>（5）TNM 分期为 T1N0M0 期或更轻分期的前列腺癌；</w:t>
      </w:r>
    </w:p>
    <w:p>
      <w:pPr>
        <w:pStyle w:val="BodyText"/>
        <w:spacing w:before="85"/>
      </w:pPr>
      <w:r>
        <w:rPr/>
        <w:t>（6）感染艾滋病病毒或患艾滋病期间所患恶性肿瘤。</w:t>
      </w:r>
    </w:p>
    <w:p>
      <w:pPr>
        <w:pStyle w:val="BodyText"/>
      </w:pPr>
      <w:r>
        <w:rPr/>
        <w:t>2、 急性心肌梗塞：</w:t>
      </w:r>
    </w:p>
    <w:p>
      <w:pPr>
        <w:pStyle w:val="BodyText"/>
        <w:spacing w:before="85"/>
        <w:ind w:left="536"/>
      </w:pPr>
      <w:r>
        <w:rPr/>
        <w:t>指因冠状动脉阻塞导致的相应区域供血不足造成部分心肌坏死。须满足下列至少三项条件：</w:t>
      </w:r>
    </w:p>
    <w:p>
      <w:pPr>
        <w:pStyle w:val="BodyText"/>
        <w:spacing w:before="83"/>
      </w:pPr>
      <w:r>
        <w:rPr/>
        <w:t>（1）典型临床表现，例如急性胸痛等；</w:t>
      </w:r>
    </w:p>
    <w:p>
      <w:pPr>
        <w:pStyle w:val="BodyText"/>
        <w:spacing w:before="85"/>
      </w:pPr>
      <w:r>
        <w:rPr/>
        <w:t>（2）新近的心电图改变提示急性心肌梗塞；</w:t>
      </w:r>
    </w:p>
    <w:p>
      <w:pPr>
        <w:spacing w:after="0"/>
        <w:sectPr>
          <w:pgSz w:w="11910" w:h="16840"/>
          <w:pgMar w:header="0" w:footer="997" w:top="1400" w:bottom="1180" w:left="1300" w:right="1240"/>
        </w:sectPr>
      </w:pPr>
    </w:p>
    <w:p>
      <w:pPr>
        <w:pStyle w:val="BodyText"/>
        <w:spacing w:before="9"/>
        <w:ind w:left="115"/>
      </w:pPr>
      <w:r>
        <w:rPr/>
        <w:t>（3）心肌酶或肌钙蛋白有诊断意义的升高，或呈符合急性心肌梗塞的动态性变化；</w:t>
      </w:r>
    </w:p>
    <w:p>
      <w:pPr>
        <w:pStyle w:val="BodyText"/>
        <w:spacing w:before="85"/>
      </w:pPr>
      <w:r>
        <w:rPr/>
        <w:t>（4）发病 90 天后，经检查证实左心室功能降低，如左心室射血分数低于 50%。</w:t>
      </w:r>
    </w:p>
    <w:p>
      <w:pPr>
        <w:pStyle w:val="BodyText"/>
      </w:pPr>
      <w:r>
        <w:rPr/>
        <w:t>3、 脑中风后遗症：</w:t>
      </w:r>
    </w:p>
    <w:p>
      <w:pPr>
        <w:pStyle w:val="BodyText"/>
        <w:spacing w:line="312" w:lineRule="auto" w:before="84"/>
        <w:ind w:right="99" w:firstLine="420"/>
      </w:pPr>
      <w:r>
        <w:rPr>
          <w:spacing w:val="-6"/>
        </w:rPr>
        <w:t>指因脑血管的突发病变引起脑血管出血、栓塞或梗塞，并导致神经系统永久性的功能障碍。神经系统永久性的功能障碍，指疾病确诊 </w:t>
      </w:r>
      <w:r>
        <w:rPr/>
        <w:t>180</w:t>
      </w:r>
      <w:r>
        <w:rPr>
          <w:spacing w:val="-7"/>
        </w:rPr>
        <w:t> 天后，仍遗留下列一种或一种以上障碍：</w:t>
      </w:r>
    </w:p>
    <w:p>
      <w:pPr>
        <w:pStyle w:val="BodyText"/>
        <w:spacing w:before="21"/>
      </w:pPr>
      <w:r>
        <w:rPr/>
        <w:t>（1）一肢或一肢以上肢体机能完全丧失；</w:t>
      </w:r>
    </w:p>
    <w:p>
      <w:pPr>
        <w:pStyle w:val="BodyText"/>
      </w:pPr>
      <w:r>
        <w:rPr/>
        <w:t>（2）语言能力或咀嚼吞咽能力完全丧失；</w:t>
      </w:r>
    </w:p>
    <w:p>
      <w:pPr>
        <w:pStyle w:val="BodyText"/>
        <w:spacing w:before="85"/>
      </w:pPr>
      <w:r>
        <w:rPr/>
        <w:t>（3）自主生活能力完全丧失，无法独立完成六项基本日常生活活动中的三项或三项以上。</w:t>
      </w:r>
    </w:p>
    <w:p>
      <w:pPr>
        <w:pStyle w:val="BodyText"/>
      </w:pPr>
      <w:r>
        <w:rPr/>
        <w:t>4、 重大器官移植术或造血干细胞移植术：</w:t>
      </w:r>
    </w:p>
    <w:p>
      <w:pPr>
        <w:pStyle w:val="BodyText"/>
        <w:spacing w:line="314" w:lineRule="auto" w:before="84"/>
        <w:ind w:right="99" w:firstLine="420"/>
        <w:jc w:val="both"/>
      </w:pPr>
      <w:r>
        <w:rPr>
          <w:spacing w:val="-7"/>
        </w:rPr>
        <w:t>重大器官移植术，指因相应器官功能衰竭，已经实施了肾脏、肝脏、心脏或肺脏的异体移植手</w:t>
      </w:r>
      <w:r>
        <w:rPr>
          <w:spacing w:val="-6"/>
        </w:rPr>
        <w:t>术。造血干细胞移植术，指因造血功能损害或造血系统恶性肿瘤，已经实施了造血干细胞</w:t>
      </w:r>
      <w:r>
        <w:rPr>
          <w:spacing w:val="-3"/>
        </w:rPr>
        <w:t>（</w:t>
      </w:r>
      <w:r>
        <w:rPr>
          <w:spacing w:val="-2"/>
        </w:rPr>
        <w:t>包括骨</w:t>
      </w:r>
      <w:r>
        <w:rPr>
          <w:spacing w:val="-3"/>
        </w:rPr>
        <w:t>髓造血干细胞、外周血造血干细胞和脐血造血干细胞</w:t>
      </w:r>
      <w:r>
        <w:rPr/>
        <w:t>）</w:t>
      </w:r>
      <w:r>
        <w:rPr>
          <w:spacing w:val="-3"/>
        </w:rPr>
        <w:t>的异体移植手术。</w:t>
      </w:r>
    </w:p>
    <w:p>
      <w:pPr>
        <w:pStyle w:val="BodyText"/>
        <w:spacing w:before="17"/>
      </w:pPr>
      <w:r>
        <w:rPr>
          <w:w w:val="100"/>
        </w:rPr>
        <w:t>5、</w:t>
      </w:r>
      <w:r>
        <w:rPr>
          <w:spacing w:val="-2"/>
        </w:rPr>
        <w:t> </w:t>
      </w:r>
      <w:r>
        <w:rPr>
          <w:spacing w:val="-3"/>
          <w:w w:val="100"/>
        </w:rPr>
        <w:t>冠状动脉搭桥术</w:t>
      </w:r>
      <w:r>
        <w:rPr>
          <w:w w:val="100"/>
        </w:rPr>
        <w:t>（</w:t>
      </w:r>
      <w:r>
        <w:rPr>
          <w:spacing w:val="-3"/>
          <w:w w:val="100"/>
        </w:rPr>
        <w:t>或称冠状动脉旁路移植术</w:t>
      </w:r>
      <w:r>
        <w:rPr>
          <w:spacing w:val="-108"/>
          <w:w w:val="100"/>
        </w:rPr>
        <w:t>）</w:t>
      </w:r>
      <w:r>
        <w:rPr>
          <w:w w:val="100"/>
        </w:rPr>
        <w:t>：</w:t>
      </w:r>
    </w:p>
    <w:p>
      <w:pPr>
        <w:pStyle w:val="BodyText"/>
        <w:spacing w:before="85"/>
        <w:ind w:left="536"/>
      </w:pPr>
      <w:r>
        <w:rPr/>
        <w:t>指为治疗严重的冠心病，实际实施了开胸进行的冠状动脉血管旁路移植的手术。</w:t>
      </w:r>
    </w:p>
    <w:p>
      <w:pPr>
        <w:pStyle w:val="BodyText"/>
        <w:spacing w:line="314" w:lineRule="auto"/>
        <w:ind w:right="99" w:firstLine="420"/>
      </w:pPr>
      <w:r>
        <w:rPr>
          <w:spacing w:val="-6"/>
        </w:rPr>
        <w:t>冠状动脉支架植入术、心导管球囊扩张术、激光射频技术及其它非开胸的介入手术、腔镜手术</w:t>
      </w:r>
      <w:r>
        <w:rPr>
          <w:spacing w:val="-4"/>
        </w:rPr>
        <w:t>不在保障范围内。</w:t>
      </w:r>
    </w:p>
    <w:p>
      <w:pPr>
        <w:pStyle w:val="BodyText"/>
        <w:spacing w:before="17"/>
      </w:pPr>
      <w:r>
        <w:rPr>
          <w:w w:val="100"/>
        </w:rPr>
        <w:t>6、</w:t>
      </w:r>
      <w:r>
        <w:rPr>
          <w:spacing w:val="-2"/>
        </w:rPr>
        <w:t> </w:t>
      </w:r>
      <w:r>
        <w:rPr>
          <w:spacing w:val="-2"/>
          <w:w w:val="100"/>
        </w:rPr>
        <w:t>终末期肾病</w:t>
      </w:r>
      <w:r>
        <w:rPr>
          <w:w w:val="100"/>
        </w:rPr>
        <w:t>（</w:t>
      </w:r>
      <w:r>
        <w:rPr>
          <w:spacing w:val="-3"/>
          <w:w w:val="100"/>
        </w:rPr>
        <w:t>或称慢性肾功能衰竭尿毒症期</w:t>
      </w:r>
      <w:r>
        <w:rPr>
          <w:spacing w:val="-108"/>
          <w:w w:val="100"/>
        </w:rPr>
        <w:t>）</w:t>
      </w:r>
      <w:r>
        <w:rPr>
          <w:w w:val="100"/>
        </w:rPr>
        <w:t>：</w:t>
      </w:r>
    </w:p>
    <w:p>
      <w:pPr>
        <w:pStyle w:val="BodyText"/>
        <w:spacing w:line="312" w:lineRule="auto" w:before="85"/>
        <w:ind w:right="53" w:firstLine="419"/>
      </w:pPr>
      <w:r>
        <w:rPr/>
        <w:t>指双肾功能慢性不可逆性衰竭，达到尿毒症期，经诊断后已经进行了至少 90 天的规律性透析治疗或实施了肾脏移植手术。</w:t>
      </w:r>
    </w:p>
    <w:p>
      <w:pPr>
        <w:pStyle w:val="BodyText"/>
        <w:spacing w:before="22"/>
      </w:pPr>
      <w:r>
        <w:rPr/>
        <w:t>7、 多个肢体缺失：</w:t>
      </w:r>
    </w:p>
    <w:p>
      <w:pPr>
        <w:pStyle w:val="BodyText"/>
        <w:spacing w:line="314" w:lineRule="auto"/>
        <w:ind w:right="62" w:firstLine="420"/>
      </w:pPr>
      <w:r>
        <w:rPr/>
        <w:t>指因疾病或意外伤害导致两个或两个以上肢体自腕关节或踝关节近端（靠近躯干端）以上完全性断离。</w:t>
      </w:r>
    </w:p>
    <w:p>
      <w:pPr>
        <w:pStyle w:val="BodyText"/>
        <w:spacing w:before="17"/>
      </w:pPr>
      <w:r>
        <w:rPr/>
        <w:t>8、 急性或亚急性重症肝炎：</w:t>
      </w:r>
    </w:p>
    <w:p>
      <w:pPr>
        <w:pStyle w:val="BodyText"/>
        <w:spacing w:line="312" w:lineRule="auto" w:before="85"/>
        <w:ind w:right="83" w:firstLine="420"/>
      </w:pPr>
      <w:r>
        <w:rPr/>
        <w:t>指因肝炎病毒感染引起肝脏组织弥漫性坏死，导致急性肝功能衰竭，且经血清学或病毒学检查证实，并须满足下列全部条件：</w:t>
      </w:r>
    </w:p>
    <w:p>
      <w:pPr>
        <w:pStyle w:val="BodyText"/>
        <w:spacing w:before="22"/>
      </w:pPr>
      <w:r>
        <w:rPr/>
        <w:t>（1）重度黄疸或黄疸迅速加重；</w:t>
      </w:r>
    </w:p>
    <w:p>
      <w:pPr>
        <w:pStyle w:val="BodyText"/>
      </w:pPr>
      <w:r>
        <w:rPr/>
        <w:t>（2）肝性脑病；</w:t>
      </w:r>
    </w:p>
    <w:p>
      <w:pPr>
        <w:pStyle w:val="BodyText"/>
        <w:spacing w:before="84"/>
      </w:pPr>
      <w:r>
        <w:rPr/>
        <w:t>（3）B 超或其它影像学检查显示肝脏体积急速萎缩；</w:t>
      </w:r>
    </w:p>
    <w:p>
      <w:pPr>
        <w:pStyle w:val="BodyText"/>
      </w:pPr>
      <w:r>
        <w:rPr/>
        <w:t>（4）肝功能指标进行性恶化。</w:t>
      </w:r>
    </w:p>
    <w:p>
      <w:pPr>
        <w:pStyle w:val="BodyText"/>
        <w:spacing w:before="85"/>
      </w:pPr>
      <w:r>
        <w:rPr/>
        <w:t>9、 良性脑肿瘤：</w:t>
      </w:r>
    </w:p>
    <w:p>
      <w:pPr>
        <w:pStyle w:val="BodyText"/>
        <w:spacing w:line="314" w:lineRule="auto"/>
        <w:ind w:right="99" w:firstLine="420"/>
      </w:pPr>
      <w:r>
        <w:rPr>
          <w:spacing w:val="-7"/>
        </w:rPr>
        <w:t>指脑的良性肿瘤，已经引起颅内压增高，临床表现为视神经乳头水肿、精神症状、癫痫及运动</w:t>
      </w:r>
      <w:r>
        <w:rPr>
          <w:spacing w:val="-6"/>
          <w:w w:val="100"/>
        </w:rPr>
        <w:t>感觉障碍等，并危及生命。须由头颅断层扫描</w:t>
      </w:r>
      <w:r>
        <w:rPr>
          <w:w w:val="100"/>
        </w:rPr>
        <w:t>（CT</w:t>
      </w:r>
      <w:r>
        <w:rPr>
          <w:spacing w:val="-108"/>
          <w:w w:val="100"/>
        </w:rPr>
        <w:t>）</w:t>
      </w:r>
      <w:r>
        <w:rPr>
          <w:spacing w:val="-4"/>
          <w:w w:val="100"/>
        </w:rPr>
        <w:t>、核磁共振检查</w:t>
      </w:r>
      <w:r>
        <w:rPr>
          <w:w w:val="100"/>
        </w:rPr>
        <w:t>（MR</w:t>
      </w:r>
      <w:r>
        <w:rPr>
          <w:spacing w:val="-4"/>
          <w:w w:val="100"/>
        </w:rPr>
        <w:t>I</w:t>
      </w:r>
      <w:r>
        <w:rPr>
          <w:spacing w:val="-5"/>
          <w:w w:val="100"/>
        </w:rPr>
        <w:t>）</w:t>
      </w:r>
      <w:r>
        <w:rPr>
          <w:spacing w:val="-3"/>
          <w:w w:val="100"/>
        </w:rPr>
        <w:t>或正电子发射断层扫描</w:t>
      </w:r>
    </w:p>
    <w:p>
      <w:pPr>
        <w:pStyle w:val="BodyText"/>
        <w:spacing w:before="17"/>
      </w:pPr>
      <w:r>
        <w:rPr/>
        <w:t>（PET）等影像学检查证实，并须满足下列至少一项条件：</w:t>
      </w:r>
    </w:p>
    <w:p>
      <w:pPr>
        <w:pStyle w:val="BodyText"/>
        <w:spacing w:before="85"/>
      </w:pPr>
      <w:r>
        <w:rPr/>
        <w:t>（1）实际实施了开颅进行的脑肿瘤完全切除或部分切除的手术；</w:t>
      </w:r>
    </w:p>
    <w:p>
      <w:pPr>
        <w:pStyle w:val="BodyText"/>
      </w:pPr>
      <w:r>
        <w:rPr/>
        <w:t>（2）实际实施了对脑肿瘤进行的放射治疗。</w:t>
      </w:r>
    </w:p>
    <w:p>
      <w:pPr>
        <w:pStyle w:val="BodyText"/>
        <w:spacing w:before="84"/>
        <w:ind w:left="536"/>
      </w:pPr>
      <w:r>
        <w:rPr/>
        <w:t>脑垂体瘤、脑囊肿、脑血管性疾病不在保障范围内。</w:t>
      </w:r>
    </w:p>
    <w:p>
      <w:pPr>
        <w:pStyle w:val="BodyText"/>
        <w:tabs>
          <w:tab w:pos="956" w:val="left" w:leader="none"/>
        </w:tabs>
      </w:pPr>
      <w:r>
        <w:rPr/>
        <w:t>10、</w:t>
        <w:tab/>
        <w:t>慢性</w:t>
      </w:r>
      <w:r>
        <w:rPr>
          <w:spacing w:val="-3"/>
        </w:rPr>
        <w:t>肝</w:t>
      </w:r>
      <w:r>
        <w:rPr/>
        <w:t>功</w:t>
      </w:r>
      <w:r>
        <w:rPr>
          <w:spacing w:val="-3"/>
        </w:rPr>
        <w:t>能</w:t>
      </w:r>
      <w:r>
        <w:rPr/>
        <w:t>衰</w:t>
      </w:r>
      <w:r>
        <w:rPr>
          <w:spacing w:val="-3"/>
        </w:rPr>
        <w:t>竭</w:t>
      </w:r>
      <w:r>
        <w:rPr/>
        <w:t>失</w:t>
      </w:r>
      <w:r>
        <w:rPr>
          <w:spacing w:val="-3"/>
        </w:rPr>
        <w:t>代</w:t>
      </w:r>
      <w:r>
        <w:rPr/>
        <w:t>偿</w:t>
      </w:r>
      <w:r>
        <w:rPr>
          <w:spacing w:val="-3"/>
        </w:rPr>
        <w:t>期</w:t>
      </w:r>
      <w:r>
        <w:rPr/>
        <w:t>：</w:t>
      </w:r>
    </w:p>
    <w:p>
      <w:pPr>
        <w:pStyle w:val="BodyText"/>
        <w:spacing w:before="85"/>
        <w:ind w:left="536"/>
      </w:pPr>
      <w:r>
        <w:rPr/>
        <w:t>指因慢性肝脏疾病导致肝功能衰竭。须满足下列全部条件：</w:t>
      </w:r>
    </w:p>
    <w:p>
      <w:pPr>
        <w:pStyle w:val="BodyText"/>
        <w:ind w:left="117"/>
      </w:pPr>
      <w:r>
        <w:rPr/>
        <w:t>（1）持续性黄疸；</w:t>
      </w:r>
    </w:p>
    <w:p>
      <w:pPr>
        <w:spacing w:after="0"/>
        <w:sectPr>
          <w:pgSz w:w="11910" w:h="16840"/>
          <w:pgMar w:header="0" w:footer="997" w:top="1400" w:bottom="1180" w:left="1300" w:right="1380"/>
        </w:sectPr>
      </w:pPr>
    </w:p>
    <w:p>
      <w:pPr>
        <w:pStyle w:val="BodyText"/>
        <w:spacing w:before="9"/>
        <w:ind w:left="115"/>
      </w:pPr>
      <w:r>
        <w:rPr/>
        <w:t>（2）腹水；</w:t>
      </w:r>
    </w:p>
    <w:p>
      <w:pPr>
        <w:pStyle w:val="BodyText"/>
        <w:spacing w:before="85"/>
        <w:ind w:left="115"/>
      </w:pPr>
      <w:r>
        <w:rPr/>
        <w:t>（3）肝性脑病；</w:t>
      </w:r>
    </w:p>
    <w:p>
      <w:pPr>
        <w:pStyle w:val="BodyText"/>
        <w:ind w:left="115"/>
      </w:pPr>
      <w:r>
        <w:rPr/>
        <w:t>（4）充血性脾肿大伴脾功能亢进或食管胃底静脉曲张。</w:t>
      </w:r>
    </w:p>
    <w:p>
      <w:pPr>
        <w:pStyle w:val="BodyText"/>
        <w:spacing w:before="84"/>
        <w:ind w:left="536"/>
      </w:pPr>
      <w:r>
        <w:rPr/>
        <w:t>因酗酒或药物滥用导致的肝功能衰竭不在保障范围内。</w:t>
      </w:r>
    </w:p>
    <w:p>
      <w:pPr>
        <w:pStyle w:val="BodyText"/>
        <w:tabs>
          <w:tab w:pos="956" w:val="left" w:leader="none"/>
        </w:tabs>
      </w:pPr>
      <w:r>
        <w:rPr/>
        <w:t>11、</w:t>
        <w:tab/>
        <w:t>脑炎</w:t>
      </w:r>
      <w:r>
        <w:rPr>
          <w:spacing w:val="-3"/>
        </w:rPr>
        <w:t>后</w:t>
      </w:r>
      <w:r>
        <w:rPr/>
        <w:t>遗</w:t>
      </w:r>
      <w:r>
        <w:rPr>
          <w:spacing w:val="-3"/>
        </w:rPr>
        <w:t>症</w:t>
      </w:r>
      <w:r>
        <w:rPr/>
        <w:t>或</w:t>
      </w:r>
      <w:r>
        <w:rPr>
          <w:spacing w:val="-3"/>
        </w:rPr>
        <w:t>脑</w:t>
      </w:r>
      <w:r>
        <w:rPr/>
        <w:t>膜</w:t>
      </w:r>
      <w:r>
        <w:rPr>
          <w:spacing w:val="-3"/>
        </w:rPr>
        <w:t>炎</w:t>
      </w:r>
      <w:r>
        <w:rPr/>
        <w:t>后</w:t>
      </w:r>
      <w:r>
        <w:rPr>
          <w:spacing w:val="-3"/>
        </w:rPr>
        <w:t>遗</w:t>
      </w:r>
      <w:r>
        <w:rPr/>
        <w:t>症：</w:t>
      </w:r>
    </w:p>
    <w:p>
      <w:pPr>
        <w:pStyle w:val="BodyText"/>
        <w:spacing w:line="312" w:lineRule="auto" w:before="85"/>
        <w:ind w:right="139" w:firstLine="420"/>
        <w:jc w:val="both"/>
      </w:pPr>
      <w:r>
        <w:rPr>
          <w:spacing w:val="-5"/>
        </w:rPr>
        <w:t>指因患脑炎或脑膜炎导致的神经系统永久性的功能障碍。神经系统永久性的功能障碍，指疾病</w:t>
      </w:r>
      <w:r>
        <w:rPr>
          <w:spacing w:val="-18"/>
        </w:rPr>
        <w:t>确诊 </w:t>
      </w:r>
      <w:r>
        <w:rPr/>
        <w:t>180</w:t>
      </w:r>
      <w:r>
        <w:rPr>
          <w:spacing w:val="-8"/>
        </w:rPr>
        <w:t> 天后，仍遗留下列一种或一种以上障碍：</w:t>
      </w:r>
    </w:p>
    <w:p>
      <w:pPr>
        <w:pStyle w:val="BodyText"/>
        <w:spacing w:before="22"/>
      </w:pPr>
      <w:r>
        <w:rPr/>
        <w:t>（1）一肢或一肢以上肢体机能完全丧失；</w:t>
      </w:r>
    </w:p>
    <w:p>
      <w:pPr>
        <w:pStyle w:val="BodyText"/>
      </w:pPr>
      <w:r>
        <w:rPr/>
        <w:t>（2）语言能力或咀嚼吞咽能力完全丧失；</w:t>
      </w:r>
    </w:p>
    <w:p>
      <w:pPr>
        <w:pStyle w:val="BodyText"/>
        <w:spacing w:before="84"/>
      </w:pPr>
      <w:r>
        <w:rPr/>
        <w:t>（3）自主生活能力完全丧失，无法独立完成六项基本日常生活活动中的三项或三项以上。</w:t>
      </w:r>
    </w:p>
    <w:p>
      <w:pPr>
        <w:pStyle w:val="BodyText"/>
        <w:tabs>
          <w:tab w:pos="956" w:val="left" w:leader="none"/>
        </w:tabs>
      </w:pPr>
      <w:r>
        <w:rPr/>
        <w:t>12、</w:t>
        <w:tab/>
        <w:t>深度</w:t>
      </w:r>
      <w:r>
        <w:rPr>
          <w:spacing w:val="-3"/>
        </w:rPr>
        <w:t>昏</w:t>
      </w:r>
      <w:r>
        <w:rPr/>
        <w:t>迷：</w:t>
      </w:r>
    </w:p>
    <w:p>
      <w:pPr>
        <w:pStyle w:val="BodyText"/>
        <w:spacing w:line="314" w:lineRule="auto" w:before="85"/>
        <w:ind w:right="138" w:firstLine="420"/>
        <w:jc w:val="both"/>
      </w:pPr>
      <w:r>
        <w:rPr/>
        <w:t>指因疾病或意外伤害导致意识丧失,对外界刺激和体内需求均无反应,昏迷程度按照格拉斯哥</w:t>
      </w:r>
      <w:r>
        <w:rPr>
          <w:spacing w:val="-1"/>
        </w:rPr>
        <w:t>昏迷分级</w:t>
      </w:r>
      <w:r>
        <w:rPr/>
        <w:t>（Glasgow coma scale）</w:t>
      </w:r>
      <w:r>
        <w:rPr>
          <w:spacing w:val="-15"/>
        </w:rPr>
        <w:t>结果为 </w:t>
      </w:r>
      <w:r>
        <w:rPr/>
        <w:t>5</w:t>
      </w:r>
      <w:r>
        <w:rPr>
          <w:spacing w:val="-26"/>
        </w:rPr>
        <w:t> 分或 </w:t>
      </w:r>
      <w:r>
        <w:rPr/>
        <w:t>5</w:t>
      </w:r>
      <w:r>
        <w:rPr>
          <w:spacing w:val="-8"/>
        </w:rPr>
        <w:t> 分以下，且已经持续使用呼吸机及其它生命维持</w:t>
      </w:r>
      <w:r>
        <w:rPr>
          <w:spacing w:val="-22"/>
        </w:rPr>
        <w:t>系统 </w:t>
      </w:r>
      <w:r>
        <w:rPr/>
        <w:t>96</w:t>
      </w:r>
      <w:r>
        <w:rPr>
          <w:spacing w:val="-10"/>
        </w:rPr>
        <w:t> 小时以上。</w:t>
      </w:r>
    </w:p>
    <w:p>
      <w:pPr>
        <w:pStyle w:val="BodyText"/>
        <w:spacing w:before="17"/>
        <w:ind w:left="536"/>
      </w:pPr>
      <w:r>
        <w:rPr/>
        <w:t>因酗酒或药物滥用导致的深度昏迷不在保障范围内。</w:t>
      </w:r>
    </w:p>
    <w:p>
      <w:pPr>
        <w:pStyle w:val="BodyText"/>
        <w:tabs>
          <w:tab w:pos="956" w:val="left" w:leader="none"/>
        </w:tabs>
        <w:spacing w:before="84"/>
      </w:pPr>
      <w:r>
        <w:rPr/>
        <w:t>13、</w:t>
        <w:tab/>
        <w:t>双耳</w:t>
      </w:r>
      <w:r>
        <w:rPr>
          <w:spacing w:val="-3"/>
        </w:rPr>
        <w:t>失</w:t>
      </w:r>
      <w:r>
        <w:rPr/>
        <w:t>聪：</w:t>
      </w:r>
    </w:p>
    <w:p>
      <w:pPr>
        <w:pStyle w:val="BodyText"/>
        <w:ind w:left="536"/>
      </w:pPr>
      <w:r>
        <w:rPr>
          <w:spacing w:val="-5"/>
        </w:rPr>
        <w:t>指因疾病或意外伤害导致双耳听力永久不可逆性丧失，在 </w:t>
      </w:r>
      <w:r>
        <w:rPr/>
        <w:t>500</w:t>
      </w:r>
      <w:r>
        <w:rPr>
          <w:spacing w:val="-12"/>
        </w:rPr>
        <w:t> 赫兹、</w:t>
      </w:r>
      <w:r>
        <w:rPr/>
        <w:t>1000</w:t>
      </w:r>
      <w:r>
        <w:rPr>
          <w:spacing w:val="-18"/>
        </w:rPr>
        <w:t> 赫兹和 </w:t>
      </w:r>
      <w:r>
        <w:rPr/>
        <w:t>2000</w:t>
      </w:r>
      <w:r>
        <w:rPr>
          <w:spacing w:val="-13"/>
        </w:rPr>
        <w:t> 赫兹语</w:t>
      </w:r>
    </w:p>
    <w:p>
      <w:pPr>
        <w:pStyle w:val="BodyText"/>
        <w:spacing w:before="85"/>
      </w:pPr>
      <w:r>
        <w:rPr/>
        <w:t>音频率下，平均听阈大于 90 分贝，且经纯音听力测试、声导抗检测或听觉诱发电位检测等证实。</w:t>
      </w:r>
    </w:p>
    <w:p>
      <w:pPr>
        <w:pStyle w:val="BodyText"/>
        <w:tabs>
          <w:tab w:pos="956" w:val="left" w:leader="none"/>
        </w:tabs>
      </w:pPr>
      <w:r>
        <w:rPr/>
        <w:t>14、</w:t>
        <w:tab/>
        <w:t>双目</w:t>
      </w:r>
      <w:r>
        <w:rPr>
          <w:spacing w:val="-3"/>
        </w:rPr>
        <w:t>失</w:t>
      </w:r>
      <w:r>
        <w:rPr/>
        <w:t>明：</w:t>
      </w:r>
    </w:p>
    <w:p>
      <w:pPr>
        <w:pStyle w:val="BodyText"/>
        <w:spacing w:line="312" w:lineRule="auto" w:before="85"/>
        <w:ind w:right="141" w:firstLine="420"/>
        <w:jc w:val="both"/>
      </w:pPr>
      <w:r>
        <w:rPr/>
        <w:t>指因疾病或意外伤害导致双眼视力永久不可逆性丧失，双眼中较好眼须满足下列至少一项条件：</w:t>
      </w:r>
    </w:p>
    <w:p>
      <w:pPr>
        <w:pStyle w:val="BodyText"/>
        <w:spacing w:before="22"/>
      </w:pPr>
      <w:r>
        <w:rPr/>
        <w:t>（1）眼球缺失或摘除；</w:t>
      </w:r>
    </w:p>
    <w:p>
      <w:pPr>
        <w:pStyle w:val="BodyText"/>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85"/>
        <w:ind w:left="117"/>
      </w:pPr>
      <w:r>
        <w:rPr/>
        <w:t>（3）视野半径小于 5 度。</w:t>
      </w:r>
    </w:p>
    <w:p>
      <w:pPr>
        <w:pStyle w:val="BodyText"/>
        <w:tabs>
          <w:tab w:pos="957" w:val="left" w:leader="none"/>
        </w:tabs>
        <w:ind w:left="117"/>
      </w:pPr>
      <w:r>
        <w:rPr/>
        <w:t>15、</w:t>
        <w:tab/>
        <w:t>瘫痪：</w:t>
      </w:r>
    </w:p>
    <w:p>
      <w:pPr>
        <w:pStyle w:val="BodyText"/>
        <w:spacing w:line="314" w:lineRule="auto" w:before="84"/>
        <w:ind w:left="117" w:right="138" w:firstLine="420"/>
        <w:jc w:val="both"/>
      </w:pPr>
      <w:r>
        <w:rPr>
          <w:spacing w:val="-5"/>
        </w:rPr>
        <w:t>指因疾病或意外伤害导致两肢或两肢以上肢体机能永久完全丧失。肢体机能永久完全丧失，指</w:t>
      </w:r>
      <w:r>
        <w:rPr>
          <w:spacing w:val="-12"/>
        </w:rPr>
        <w:t>疾病确诊 </w:t>
      </w:r>
      <w:r>
        <w:rPr/>
        <w:t>180</w:t>
      </w:r>
      <w:r>
        <w:rPr>
          <w:spacing w:val="-12"/>
        </w:rPr>
        <w:t> 天后或意外伤害发生 </w:t>
      </w:r>
      <w:r>
        <w:rPr/>
        <w:t>180</w:t>
      </w:r>
      <w:r>
        <w:rPr>
          <w:spacing w:val="-11"/>
        </w:rPr>
        <w:t> 天后，每肢三大关节中的两大关节仍然完全僵硬，或不能随</w:t>
      </w:r>
      <w:r>
        <w:rPr>
          <w:spacing w:val="-6"/>
        </w:rPr>
        <w:t>意识活动。</w:t>
      </w:r>
    </w:p>
    <w:p>
      <w:pPr>
        <w:pStyle w:val="BodyText"/>
        <w:tabs>
          <w:tab w:pos="957" w:val="left" w:leader="none"/>
        </w:tabs>
        <w:spacing w:before="17"/>
        <w:ind w:left="117"/>
      </w:pPr>
      <w:r>
        <w:rPr/>
        <w:t>16、</w:t>
        <w:tab/>
        <w:t>心脏</w:t>
      </w:r>
      <w:r>
        <w:rPr>
          <w:spacing w:val="-3"/>
        </w:rPr>
        <w:t>瓣</w:t>
      </w:r>
      <w:r>
        <w:rPr/>
        <w:t>膜</w:t>
      </w:r>
      <w:r>
        <w:rPr>
          <w:spacing w:val="-3"/>
        </w:rPr>
        <w:t>手</w:t>
      </w:r>
      <w:r>
        <w:rPr/>
        <w:t>术：</w:t>
      </w:r>
    </w:p>
    <w:p>
      <w:pPr>
        <w:pStyle w:val="BodyText"/>
        <w:spacing w:before="85"/>
        <w:ind w:left="537"/>
      </w:pPr>
      <w:r>
        <w:rPr/>
        <w:t>指为治疗心脏瓣膜疾病，实际实施了开胸进行的心脏瓣膜置换或修复的手术。</w:t>
      </w:r>
    </w:p>
    <w:p>
      <w:pPr>
        <w:pStyle w:val="BodyText"/>
        <w:tabs>
          <w:tab w:pos="957" w:val="left" w:leader="none"/>
        </w:tabs>
        <w:ind w:left="117"/>
      </w:pPr>
      <w:r>
        <w:rPr/>
        <w:t>17、</w:t>
        <w:tab/>
        <w:t>严重</w:t>
      </w:r>
      <w:r>
        <w:rPr>
          <w:spacing w:val="-3"/>
        </w:rPr>
        <w:t>阿</w:t>
      </w:r>
      <w:r>
        <w:rPr/>
        <w:t>尔</w:t>
      </w:r>
      <w:r>
        <w:rPr>
          <w:spacing w:val="-3"/>
        </w:rPr>
        <w:t>茨</w:t>
      </w:r>
      <w:r>
        <w:rPr/>
        <w:t>海</w:t>
      </w:r>
      <w:r>
        <w:rPr>
          <w:spacing w:val="-3"/>
        </w:rPr>
        <w:t>默</w:t>
      </w:r>
      <w:r>
        <w:rPr/>
        <w:t>病：</w:t>
      </w:r>
    </w:p>
    <w:p>
      <w:pPr>
        <w:pStyle w:val="BodyText"/>
        <w:spacing w:line="312" w:lineRule="auto" w:before="84"/>
        <w:ind w:left="117" w:right="111" w:firstLine="420"/>
        <w:jc w:val="both"/>
      </w:pPr>
      <w:r>
        <w:rPr>
          <w:spacing w:val="-3"/>
        </w:rPr>
        <w:t>指因大脑进行性、不可逆性改变导致智能严重衰退或丧失，临床表现为明显的认知能力障碍、</w:t>
      </w:r>
      <w:r>
        <w:rPr>
          <w:w w:val="100"/>
        </w:rPr>
        <w:t>行为异常和社交能力减退，其日常生活必须持续受到他人监护。须由头颅断层扫描</w:t>
      </w:r>
      <w:r>
        <w:rPr>
          <w:spacing w:val="2"/>
          <w:w w:val="100"/>
        </w:rPr>
        <w:t>（</w:t>
      </w:r>
      <w:r>
        <w:rPr>
          <w:spacing w:val="-3"/>
          <w:w w:val="100"/>
        </w:rPr>
        <w:t>C</w:t>
      </w:r>
      <w:r>
        <w:rPr>
          <w:spacing w:val="1"/>
          <w:w w:val="100"/>
        </w:rPr>
        <w:t>T</w:t>
      </w:r>
      <w:r>
        <w:rPr>
          <w:spacing w:val="-106"/>
          <w:w w:val="100"/>
        </w:rPr>
        <w:t>）</w:t>
      </w:r>
      <w:r>
        <w:rPr>
          <w:w w:val="100"/>
        </w:rPr>
        <w:t>、核磁共</w:t>
      </w:r>
      <w:r>
        <w:rPr>
          <w:spacing w:val="-3"/>
        </w:rPr>
        <w:t>振检查</w:t>
      </w:r>
      <w:r>
        <w:rPr/>
        <w:t>（MRI）</w:t>
      </w:r>
      <w:r>
        <w:rPr>
          <w:spacing w:val="-4"/>
        </w:rPr>
        <w:t>或正电子发射断层扫描</w:t>
      </w:r>
      <w:r>
        <w:rPr/>
        <w:t>（PET）</w:t>
      </w:r>
      <w:r>
        <w:rPr>
          <w:spacing w:val="-5"/>
        </w:rPr>
        <w:t>等影像学检查证实，且自主生活能力完全丧失，无法</w:t>
      </w:r>
      <w:r>
        <w:rPr>
          <w:spacing w:val="-3"/>
        </w:rPr>
        <w:t>独立完成六项基本日常生活活动中的三项或三项以上。</w:t>
      </w:r>
    </w:p>
    <w:p>
      <w:pPr>
        <w:pStyle w:val="BodyText"/>
        <w:spacing w:before="21"/>
        <w:ind w:left="537"/>
      </w:pPr>
      <w:r>
        <w:rPr/>
        <w:t>神经官能症和精神疾病不在保障范围内。</w:t>
      </w:r>
    </w:p>
    <w:p>
      <w:pPr>
        <w:pStyle w:val="BodyText"/>
        <w:tabs>
          <w:tab w:pos="957" w:val="left" w:leader="none"/>
        </w:tabs>
        <w:ind w:left="117"/>
      </w:pPr>
      <w:r>
        <w:rPr/>
        <w:t>18、</w:t>
        <w:tab/>
        <w:t>严重</w:t>
      </w:r>
      <w:r>
        <w:rPr>
          <w:spacing w:val="-3"/>
        </w:rPr>
        <w:t>脑</w:t>
      </w:r>
      <w:r>
        <w:rPr/>
        <w:t>损</w:t>
      </w:r>
      <w:r>
        <w:rPr>
          <w:spacing w:val="-3"/>
        </w:rPr>
        <w:t>伤</w:t>
      </w:r>
      <w:r>
        <w:rPr/>
        <w:t>：</w:t>
      </w:r>
    </w:p>
    <w:p>
      <w:pPr>
        <w:pStyle w:val="BodyText"/>
        <w:spacing w:line="312" w:lineRule="auto" w:before="85"/>
        <w:ind w:left="117" w:right="138" w:firstLine="420"/>
        <w:jc w:val="both"/>
      </w:pPr>
      <w:r>
        <w:rPr>
          <w:spacing w:val="-6"/>
        </w:rPr>
        <w:t>指因头部遭受机械性外力，引起脑重要部位损伤，导致神经系统永久性的功能障碍。须由头颅</w:t>
      </w:r>
      <w:r>
        <w:rPr>
          <w:w w:val="100"/>
        </w:rPr>
        <w:t>断层扫描（CT</w:t>
      </w:r>
      <w:r>
        <w:rPr>
          <w:spacing w:val="-104"/>
          <w:w w:val="100"/>
        </w:rPr>
        <w:t>）</w:t>
      </w:r>
      <w:r>
        <w:rPr>
          <w:w w:val="100"/>
        </w:rPr>
        <w:t>、核磁共振检查</w:t>
      </w:r>
      <w:r>
        <w:rPr>
          <w:spacing w:val="1"/>
          <w:w w:val="100"/>
        </w:rPr>
        <w:t>（</w:t>
      </w:r>
      <w:r>
        <w:rPr>
          <w:spacing w:val="-3"/>
          <w:w w:val="100"/>
        </w:rPr>
        <w:t>M</w:t>
      </w:r>
      <w:r>
        <w:rPr>
          <w:w w:val="100"/>
        </w:rPr>
        <w:t>RI</w:t>
      </w:r>
      <w:r>
        <w:rPr>
          <w:spacing w:val="1"/>
          <w:w w:val="100"/>
        </w:rPr>
        <w:t>）</w:t>
      </w:r>
      <w:r>
        <w:rPr>
          <w:w w:val="100"/>
        </w:rPr>
        <w:t>或正电子发射断层扫描</w:t>
      </w:r>
      <w:r>
        <w:rPr>
          <w:spacing w:val="1"/>
          <w:w w:val="100"/>
        </w:rPr>
        <w:t>（</w:t>
      </w:r>
      <w:r>
        <w:rPr>
          <w:w w:val="100"/>
        </w:rPr>
        <w:t>PET）等影像学检查证实。神经系</w:t>
      </w:r>
    </w:p>
    <w:p>
      <w:pPr>
        <w:spacing w:after="0" w:line="312" w:lineRule="auto"/>
        <w:jc w:val="both"/>
        <w:sectPr>
          <w:pgSz w:w="11910" w:h="16840"/>
          <w:pgMar w:header="0" w:footer="997" w:top="1400" w:bottom="1180" w:left="1300" w:right="1340"/>
        </w:sectPr>
      </w:pPr>
    </w:p>
    <w:p>
      <w:pPr>
        <w:pStyle w:val="BodyText"/>
        <w:spacing w:before="9"/>
        <w:ind w:left="115"/>
      </w:pPr>
      <w:r>
        <w:rPr/>
        <w:t>统永久性的功能障碍，指脑损伤 180 天后，仍遗留下列一种或一种以上障碍：</w:t>
      </w:r>
    </w:p>
    <w:p>
      <w:pPr>
        <w:pStyle w:val="BodyText"/>
        <w:spacing w:before="85"/>
      </w:pPr>
      <w:r>
        <w:rPr/>
        <w:t>（1）一肢或一肢以上肢体机能完全丧失；</w:t>
      </w:r>
    </w:p>
    <w:p>
      <w:pPr>
        <w:pStyle w:val="BodyText"/>
      </w:pPr>
      <w:r>
        <w:rPr/>
        <w:t>（2）语言能力或咀嚼吞咽能力完全丧失；</w:t>
      </w:r>
    </w:p>
    <w:p>
      <w:pPr>
        <w:pStyle w:val="BodyText"/>
        <w:spacing w:before="84"/>
      </w:pPr>
      <w:r>
        <w:rPr/>
        <w:t>（3）自主生活能力完全丧失，无法独立完成六项基本日常生活活动中的三项或三项以上。</w:t>
      </w:r>
    </w:p>
    <w:p>
      <w:pPr>
        <w:pStyle w:val="BodyText"/>
        <w:tabs>
          <w:tab w:pos="956" w:val="left" w:leader="none"/>
        </w:tabs>
      </w:pPr>
      <w:r>
        <w:rPr/>
        <w:t>19、</w:t>
        <w:tab/>
        <w:t>严重</w:t>
      </w:r>
      <w:r>
        <w:rPr>
          <w:spacing w:val="-3"/>
        </w:rPr>
        <w:t>帕</w:t>
      </w:r>
      <w:r>
        <w:rPr/>
        <w:t>金</w:t>
      </w:r>
      <w:r>
        <w:rPr>
          <w:spacing w:val="-3"/>
        </w:rPr>
        <w:t>森</w:t>
      </w:r>
      <w:r>
        <w:rPr/>
        <w:t>病：</w:t>
      </w:r>
    </w:p>
    <w:p>
      <w:pPr>
        <w:pStyle w:val="BodyText"/>
        <w:spacing w:before="85"/>
        <w:ind w:left="536"/>
      </w:pPr>
      <w:r>
        <w:rPr>
          <w:spacing w:val="-10"/>
        </w:rPr>
        <w:t>是一种中枢神经系统的退行性疾病，临床表现为震颤麻痹、共济失调等。须满足下列全部条件：</w:t>
      </w:r>
    </w:p>
    <w:p>
      <w:pPr>
        <w:pStyle w:val="BodyText"/>
      </w:pPr>
      <w:r>
        <w:rPr/>
        <w:t>（1）药物治疗无法控制病情；</w:t>
      </w:r>
    </w:p>
    <w:p>
      <w:pPr>
        <w:pStyle w:val="BodyText"/>
        <w:spacing w:line="312" w:lineRule="auto" w:before="84"/>
        <w:ind w:right="927"/>
      </w:pPr>
      <w:r>
        <w:rPr/>
        <w:t>（2）自主生活能力完全丧失，无法独立完成六项基本日常生活活动中的三项或三项以上。继发性帕金森综合征不在保障范围内。</w:t>
      </w:r>
    </w:p>
    <w:p>
      <w:pPr>
        <w:pStyle w:val="BodyText"/>
        <w:tabs>
          <w:tab w:pos="956" w:val="left" w:leader="none"/>
        </w:tabs>
        <w:spacing w:before="21"/>
      </w:pPr>
      <w:r>
        <w:rPr/>
        <w:t>20、</w:t>
        <w:tab/>
        <w:t>严重</w:t>
      </w:r>
      <w:r>
        <w:rPr>
          <w:spacing w:val="-3"/>
        </w:rPr>
        <w:t>Ⅲ</w:t>
      </w:r>
      <w:r>
        <w:rPr/>
        <w:t>度</w:t>
      </w:r>
      <w:r>
        <w:rPr>
          <w:spacing w:val="-3"/>
        </w:rPr>
        <w:t>烧</w:t>
      </w:r>
      <w:r>
        <w:rPr/>
        <w:t>伤：</w:t>
      </w:r>
    </w:p>
    <w:p>
      <w:pPr>
        <w:pStyle w:val="BodyText"/>
        <w:ind w:left="536"/>
      </w:pPr>
      <w:r>
        <w:rPr/>
        <w:t>指烧伤程度为Ⅲ度，且Ⅲ度烧伤的面积达到全身体表面积的 20％或 20％以上。体表面积根据</w:t>
      </w:r>
    </w:p>
    <w:p>
      <w:pPr>
        <w:pStyle w:val="BodyText"/>
        <w:spacing w:before="85"/>
      </w:pPr>
      <w:r>
        <w:rPr/>
        <w:t>《中国新九分法》计算。</w:t>
      </w:r>
    </w:p>
    <w:p>
      <w:pPr>
        <w:pStyle w:val="BodyText"/>
        <w:tabs>
          <w:tab w:pos="956" w:val="left" w:leader="none"/>
        </w:tabs>
      </w:pPr>
      <w:r>
        <w:rPr/>
        <w:t>21、</w:t>
        <w:tab/>
        <w:t>严重</w:t>
      </w:r>
      <w:r>
        <w:rPr>
          <w:spacing w:val="-3"/>
        </w:rPr>
        <w:t>原</w:t>
      </w:r>
      <w:r>
        <w:rPr/>
        <w:t>发</w:t>
      </w:r>
      <w:r>
        <w:rPr>
          <w:spacing w:val="-3"/>
        </w:rPr>
        <w:t>性</w:t>
      </w:r>
      <w:r>
        <w:rPr/>
        <w:t>肺</w:t>
      </w:r>
      <w:r>
        <w:rPr>
          <w:spacing w:val="-3"/>
        </w:rPr>
        <w:t>动</w:t>
      </w:r>
      <w:r>
        <w:rPr/>
        <w:t>脉</w:t>
      </w:r>
      <w:r>
        <w:rPr>
          <w:spacing w:val="-3"/>
        </w:rPr>
        <w:t>高</w:t>
      </w:r>
      <w:r>
        <w:rPr/>
        <w:t>压：</w:t>
      </w:r>
    </w:p>
    <w:p>
      <w:pPr>
        <w:pStyle w:val="BodyText"/>
        <w:spacing w:line="314" w:lineRule="auto" w:before="84"/>
        <w:ind w:right="219" w:firstLine="420"/>
        <w:jc w:val="both"/>
      </w:pPr>
      <w:r>
        <w:rPr>
          <w:spacing w:val="-5"/>
        </w:rPr>
        <w:t>指不明原因的肺动脉压力持续性增高，进行性发展而导致的慢性疾病，已经造成永久不可逆性</w:t>
      </w:r>
      <w:r>
        <w:rPr>
          <w:spacing w:val="-4"/>
        </w:rPr>
        <w:t>的体力活动能力受限，达到美国纽约心脏病学会心功能状态分级 </w:t>
      </w:r>
      <w:r>
        <w:rPr/>
        <w:t>IV</w:t>
      </w:r>
      <w:r>
        <w:rPr>
          <w:spacing w:val="-3"/>
        </w:rPr>
        <w:t> 级，且静息状态下肺动脉平均</w:t>
      </w:r>
      <w:r>
        <w:rPr>
          <w:spacing w:val="-15"/>
        </w:rPr>
        <w:t>压超过 </w:t>
      </w:r>
      <w:r>
        <w:rPr/>
        <w:t>30mmHg。</w:t>
      </w:r>
    </w:p>
    <w:p>
      <w:pPr>
        <w:pStyle w:val="BodyText"/>
        <w:tabs>
          <w:tab w:pos="956" w:val="left" w:leader="none"/>
        </w:tabs>
        <w:spacing w:before="17"/>
      </w:pPr>
      <w:r>
        <w:rPr/>
        <w:t>22、</w:t>
        <w:tab/>
        <w:t>严重</w:t>
      </w:r>
      <w:r>
        <w:rPr>
          <w:spacing w:val="-3"/>
        </w:rPr>
        <w:t>运</w:t>
      </w:r>
      <w:r>
        <w:rPr/>
        <w:t>动</w:t>
      </w:r>
      <w:r>
        <w:rPr>
          <w:spacing w:val="-3"/>
        </w:rPr>
        <w:t>神</w:t>
      </w:r>
      <w:r>
        <w:rPr/>
        <w:t>经</w:t>
      </w:r>
      <w:r>
        <w:rPr>
          <w:spacing w:val="-3"/>
        </w:rPr>
        <w:t>元</w:t>
      </w:r>
      <w:r>
        <w:rPr/>
        <w:t>病：</w:t>
      </w:r>
    </w:p>
    <w:p>
      <w:pPr>
        <w:pStyle w:val="BodyText"/>
        <w:spacing w:line="314" w:lineRule="auto" w:before="85"/>
        <w:ind w:right="219" w:firstLine="420"/>
        <w:jc w:val="both"/>
      </w:pPr>
      <w:r>
        <w:rPr>
          <w:spacing w:val="-5"/>
        </w:rPr>
        <w:t>是一组中枢神经系统运动神经元的进行性变性疾病，包括进行性脊肌萎缩症、进行性延髓麻痹</w:t>
      </w:r>
      <w:r>
        <w:rPr>
          <w:spacing w:val="-8"/>
        </w:rPr>
        <w:t>症、原发性侧索硬化症、肌萎缩性侧索硬化症。须满足自主生活能力完全丧失，无法独立完成六项</w:t>
      </w:r>
      <w:r>
        <w:rPr>
          <w:spacing w:val="-5"/>
        </w:rPr>
        <w:t>基本日常生活活动中的三项或三项以上的条件。</w:t>
      </w:r>
    </w:p>
    <w:p>
      <w:pPr>
        <w:pStyle w:val="BodyText"/>
        <w:tabs>
          <w:tab w:pos="956" w:val="left" w:leader="none"/>
        </w:tabs>
        <w:spacing w:before="17"/>
      </w:pPr>
      <w:r>
        <w:rPr/>
        <w:t>23、</w:t>
        <w:tab/>
        <w:t>语言</w:t>
      </w:r>
      <w:r>
        <w:rPr>
          <w:spacing w:val="-3"/>
        </w:rPr>
        <w:t>能</w:t>
      </w:r>
      <w:r>
        <w:rPr/>
        <w:t>力</w:t>
      </w:r>
      <w:r>
        <w:rPr>
          <w:spacing w:val="-3"/>
        </w:rPr>
        <w:t>丧</w:t>
      </w:r>
      <w:r>
        <w:rPr/>
        <w:t>失：</w:t>
      </w:r>
    </w:p>
    <w:p>
      <w:pPr>
        <w:pStyle w:val="BodyText"/>
        <w:spacing w:line="312" w:lineRule="auto" w:before="85"/>
        <w:ind w:right="222" w:firstLine="420"/>
        <w:jc w:val="both"/>
      </w:pPr>
      <w:r>
        <w:rPr>
          <w:spacing w:val="-3"/>
        </w:rPr>
        <w:t>指因疾病或意外伤害导致完全丧失语言能力，经过积极治疗至少 </w:t>
      </w:r>
      <w:r>
        <w:rPr/>
        <w:t>12</w:t>
      </w:r>
      <w:r>
        <w:rPr>
          <w:spacing w:val="-1"/>
        </w:rPr>
        <w:t> 个月</w:t>
      </w:r>
      <w:r>
        <w:rPr>
          <w:spacing w:val="-3"/>
        </w:rPr>
        <w:t>（声带完全切除不受</w:t>
      </w:r>
      <w:r>
        <w:rPr>
          <w:spacing w:val="-2"/>
          <w:w w:val="100"/>
        </w:rPr>
        <w:t>此时间限制</w:t>
      </w:r>
      <w:r>
        <w:rPr>
          <w:spacing w:val="-106"/>
          <w:w w:val="100"/>
        </w:rPr>
        <w:t>）</w:t>
      </w:r>
      <w:r>
        <w:rPr>
          <w:spacing w:val="-3"/>
          <w:w w:val="100"/>
        </w:rPr>
        <w:t>，仍无法通过现有医疗手段恢复。</w:t>
      </w:r>
    </w:p>
    <w:p>
      <w:pPr>
        <w:pStyle w:val="BodyText"/>
        <w:spacing w:before="22"/>
      </w:pPr>
      <w:r>
        <w:rPr/>
        <w:t>精神心理因素所致的语言能力丧失不在保障范围内。</w:t>
      </w:r>
    </w:p>
    <w:p>
      <w:pPr>
        <w:pStyle w:val="BodyText"/>
        <w:tabs>
          <w:tab w:pos="956" w:val="left" w:leader="none"/>
        </w:tabs>
      </w:pPr>
      <w:r>
        <w:rPr/>
        <w:t>24、</w:t>
        <w:tab/>
        <w:t>重型</w:t>
      </w:r>
      <w:r>
        <w:rPr>
          <w:spacing w:val="-3"/>
        </w:rPr>
        <w:t>再</w:t>
      </w:r>
      <w:r>
        <w:rPr/>
        <w:t>生</w:t>
      </w:r>
      <w:r>
        <w:rPr>
          <w:spacing w:val="-3"/>
        </w:rPr>
        <w:t>障</w:t>
      </w:r>
      <w:r>
        <w:rPr/>
        <w:t>碍</w:t>
      </w:r>
      <w:r>
        <w:rPr>
          <w:spacing w:val="-3"/>
        </w:rPr>
        <w:t>性</w:t>
      </w:r>
      <w:r>
        <w:rPr/>
        <w:t>贫</w:t>
      </w:r>
      <w:r>
        <w:rPr>
          <w:spacing w:val="-3"/>
        </w:rPr>
        <w:t>血</w:t>
      </w:r>
      <w:r>
        <w:rPr/>
        <w:t>：</w:t>
      </w:r>
    </w:p>
    <w:p>
      <w:pPr>
        <w:pStyle w:val="BodyText"/>
        <w:spacing w:line="312" w:lineRule="auto" w:before="85"/>
        <w:ind w:right="219" w:firstLine="420"/>
        <w:jc w:val="both"/>
      </w:pPr>
      <w:r>
        <w:rPr>
          <w:spacing w:val="-5"/>
        </w:rPr>
        <w:t>指因骨髓造血功能慢性持续性衰竭导致的贫血、中性粒细胞减少及血小板减少。须满足下列全</w:t>
      </w:r>
      <w:r>
        <w:rPr>
          <w:spacing w:val="-4"/>
        </w:rPr>
        <w:t>部条件：</w:t>
      </w:r>
    </w:p>
    <w:p>
      <w:pPr>
        <w:pStyle w:val="BodyText"/>
        <w:spacing w:before="22"/>
      </w:pPr>
      <w:r>
        <w:rPr/>
        <w:t>（1）骨髓穿刺检查或骨髓活检结果支持诊断；</w:t>
      </w:r>
    </w:p>
    <w:p>
      <w:pPr>
        <w:pStyle w:val="BodyText"/>
      </w:pPr>
      <w:r>
        <w:rPr/>
        <w:t>（2）外周血象须具备以下三项条件：</w:t>
      </w:r>
    </w:p>
    <w:p>
      <w:pPr>
        <w:pStyle w:val="BodyText"/>
        <w:spacing w:before="85"/>
      </w:pPr>
      <w:r>
        <w:rPr/>
        <w:t>① 中性粒细胞绝对值≤0.5×109/L ；</w:t>
      </w:r>
    </w:p>
    <w:p>
      <w:pPr>
        <w:pStyle w:val="BodyText"/>
        <w:spacing w:before="83"/>
      </w:pPr>
      <w:r>
        <w:rPr/>
        <w:t>② 网织红细胞＜1%；</w:t>
      </w:r>
    </w:p>
    <w:p>
      <w:pPr>
        <w:pStyle w:val="BodyText"/>
        <w:spacing w:before="85"/>
      </w:pPr>
      <w:r>
        <w:rPr/>
        <w:t>③ 血小板绝对值≤20×109/L。</w:t>
      </w:r>
    </w:p>
    <w:p>
      <w:pPr>
        <w:pStyle w:val="BodyText"/>
        <w:tabs>
          <w:tab w:pos="956" w:val="left" w:leader="none"/>
        </w:tabs>
      </w:pPr>
      <w:r>
        <w:rPr/>
        <w:t>25、</w:t>
        <w:tab/>
        <w:t>主动</w:t>
      </w:r>
      <w:r>
        <w:rPr>
          <w:spacing w:val="-3"/>
        </w:rPr>
        <w:t>脉</w:t>
      </w:r>
      <w:r>
        <w:rPr/>
        <w:t>手</w:t>
      </w:r>
      <w:r>
        <w:rPr>
          <w:spacing w:val="-3"/>
        </w:rPr>
        <w:t>术</w:t>
      </w:r>
      <w:r>
        <w:rPr/>
        <w:t>：</w:t>
      </w:r>
    </w:p>
    <w:p>
      <w:pPr>
        <w:pStyle w:val="BodyText"/>
        <w:spacing w:line="312" w:lineRule="auto" w:before="85"/>
        <w:ind w:right="115" w:firstLine="420"/>
      </w:pPr>
      <w:r>
        <w:rPr>
          <w:spacing w:val="-12"/>
        </w:rPr>
        <w:t>指为治疗主动脉疾病，实际实施了开胸或开腹进行的切除、置换、修补病损主动脉血管的手术。</w:t>
      </w:r>
      <w:r>
        <w:rPr>
          <w:spacing w:val="-6"/>
        </w:rPr>
        <w:t>主动脉指胸主动脉和腹主动脉，不包括胸主动脉和腹主动脉的分支血管。</w:t>
      </w:r>
    </w:p>
    <w:p>
      <w:pPr>
        <w:pStyle w:val="BodyText"/>
        <w:spacing w:before="22"/>
      </w:pPr>
      <w:r>
        <w:rPr/>
        <w:t>动脉内血管成形术不在保障范围内。</w:t>
      </w:r>
    </w:p>
    <w:p>
      <w:pPr>
        <w:pStyle w:val="BodyText"/>
        <w:tabs>
          <w:tab w:pos="956" w:val="left" w:leader="none"/>
        </w:tabs>
      </w:pPr>
      <w:r>
        <w:rPr/>
        <w:t>26、</w:t>
        <w:tab/>
        <w:t>肌营</w:t>
      </w:r>
      <w:r>
        <w:rPr>
          <w:spacing w:val="-3"/>
        </w:rPr>
        <w:t>养</w:t>
      </w:r>
      <w:r>
        <w:rPr/>
        <w:t>不</w:t>
      </w:r>
      <w:r>
        <w:rPr>
          <w:spacing w:val="-3"/>
        </w:rPr>
        <w:t>良</w:t>
      </w:r>
      <w:r>
        <w:rPr/>
        <w:t>症</w:t>
      </w:r>
    </w:p>
    <w:p>
      <w:pPr>
        <w:pStyle w:val="BodyText"/>
        <w:spacing w:line="312" w:lineRule="auto" w:before="85"/>
        <w:ind w:right="192" w:firstLine="420"/>
        <w:jc w:val="both"/>
      </w:pPr>
      <w:r>
        <w:rPr/>
        <w:t>指一组遗传性肌肉变性病变，临床特征为与神经系统无关的骨骼肌对称地进行性无力和萎缩， 其诊断需满足下列全部条件：</w:t>
      </w:r>
    </w:p>
    <w:p>
      <w:pPr>
        <w:spacing w:after="0" w:line="312" w:lineRule="auto"/>
        <w:jc w:val="both"/>
        <w:sectPr>
          <w:pgSz w:w="11910" w:h="16840"/>
          <w:pgMar w:header="0" w:footer="997" w:top="1400" w:bottom="1180" w:left="1300" w:right="1260"/>
        </w:sectPr>
      </w:pPr>
    </w:p>
    <w:p>
      <w:pPr>
        <w:pStyle w:val="ListParagraph"/>
        <w:numPr>
          <w:ilvl w:val="0"/>
          <w:numId w:val="4"/>
        </w:numPr>
        <w:tabs>
          <w:tab w:pos="748" w:val="left" w:leader="none"/>
        </w:tabs>
        <w:spacing w:line="240" w:lineRule="auto" w:before="9" w:after="0"/>
        <w:ind w:left="747" w:right="0" w:hanging="631"/>
        <w:jc w:val="left"/>
        <w:rPr>
          <w:rFonts w:ascii="宋体" w:eastAsia="宋体" w:hint="eastAsia"/>
          <w:sz w:val="21"/>
        </w:rPr>
      </w:pPr>
      <w:r>
        <w:rPr>
          <w:rFonts w:ascii="宋体" w:eastAsia="宋体" w:hint="eastAsia"/>
          <w:spacing w:val="-3"/>
          <w:sz w:val="21"/>
        </w:rPr>
        <w:t>肌电图显示典型肌营养不良症的阳性改变；</w:t>
      </w:r>
    </w:p>
    <w:p>
      <w:pPr>
        <w:pStyle w:val="ListParagraph"/>
        <w:numPr>
          <w:ilvl w:val="0"/>
          <w:numId w:val="4"/>
        </w:numPr>
        <w:tabs>
          <w:tab w:pos="748" w:val="left" w:leader="none"/>
        </w:tabs>
        <w:spacing w:line="240" w:lineRule="auto" w:before="85" w:after="0"/>
        <w:ind w:left="747" w:right="0" w:hanging="631"/>
        <w:jc w:val="left"/>
        <w:rPr>
          <w:rFonts w:ascii="宋体" w:eastAsia="宋体" w:hint="eastAsia"/>
          <w:sz w:val="21"/>
        </w:rPr>
      </w:pPr>
      <w:r>
        <w:rPr>
          <w:rFonts w:ascii="宋体" w:eastAsia="宋体" w:hint="eastAsia"/>
          <w:spacing w:val="-3"/>
          <w:sz w:val="21"/>
        </w:rPr>
        <w:t>肌肉活检的病理学诊断符合肌营养不良症的肌肉细胞变性、坏死等阳性改变。</w:t>
      </w:r>
    </w:p>
    <w:p>
      <w:pPr>
        <w:pStyle w:val="ListParagraph"/>
        <w:numPr>
          <w:ilvl w:val="0"/>
          <w:numId w:val="4"/>
        </w:numPr>
        <w:tabs>
          <w:tab w:pos="748" w:val="left" w:leader="none"/>
        </w:tabs>
        <w:spacing w:line="240" w:lineRule="auto" w:before="82" w:after="0"/>
        <w:ind w:left="747" w:right="0" w:hanging="631"/>
        <w:jc w:val="left"/>
        <w:rPr>
          <w:rFonts w:ascii="宋体" w:eastAsia="宋体" w:hint="eastAsia"/>
          <w:sz w:val="21"/>
        </w:rPr>
      </w:pPr>
      <w:r>
        <w:rPr>
          <w:rFonts w:ascii="宋体" w:eastAsia="宋体" w:hint="eastAsia"/>
          <w:spacing w:val="-3"/>
          <w:sz w:val="21"/>
        </w:rPr>
        <w:t>已导致被保险人持续超过三个月无法独立完成六项基本日常生活活动中的三项或三项以上。</w:t>
      </w:r>
    </w:p>
    <w:p>
      <w:pPr>
        <w:pStyle w:val="BodyText"/>
        <w:tabs>
          <w:tab w:pos="956" w:val="left" w:leader="none"/>
        </w:tabs>
        <w:spacing w:before="84"/>
      </w:pPr>
      <w:r>
        <w:rPr/>
        <w:t>27、</w:t>
        <w:tab/>
        <w:t>象皮病</w:t>
      </w:r>
    </w:p>
    <w:p>
      <w:pPr>
        <w:pStyle w:val="BodyText"/>
        <w:spacing w:line="314" w:lineRule="auto"/>
        <w:ind w:right="239" w:firstLine="420"/>
      </w:pPr>
      <w:r>
        <w:rPr>
          <w:spacing w:val="-6"/>
        </w:rPr>
        <w:t>指末期丝虫病，按国际淋巴学会分级为三度淋巴液肿，其临床表现为肢体非凹陷性水肿伴畸形</w:t>
      </w:r>
      <w:r>
        <w:rPr>
          <w:spacing w:val="-4"/>
        </w:rPr>
        <w:t>增大、硬皮症和疣状增生。此病症须经专科医生根据临床表现和微丝蚴的化验结果确诊。</w:t>
      </w:r>
    </w:p>
    <w:p>
      <w:pPr>
        <w:pStyle w:val="BodyText"/>
        <w:tabs>
          <w:tab w:pos="956" w:val="left" w:leader="none"/>
        </w:tabs>
        <w:spacing w:before="17"/>
      </w:pPr>
      <w:r>
        <w:rPr/>
        <w:t>28、</w:t>
        <w:tab/>
        <w:t>肝豆</w:t>
      </w:r>
      <w:r>
        <w:rPr>
          <w:spacing w:val="-3"/>
        </w:rPr>
        <w:t>状</w:t>
      </w:r>
      <w:r>
        <w:rPr/>
        <w:t>核</w:t>
      </w:r>
      <w:r>
        <w:rPr>
          <w:spacing w:val="-3"/>
        </w:rPr>
        <w:t>变</w:t>
      </w:r>
      <w:r>
        <w:rPr/>
        <w:t>性</w:t>
      </w:r>
    </w:p>
    <w:p>
      <w:pPr>
        <w:pStyle w:val="BodyText"/>
        <w:spacing w:line="312" w:lineRule="auto" w:before="84"/>
        <w:ind w:right="223" w:firstLine="420"/>
      </w:pPr>
      <w:r>
        <w:rPr/>
        <w:t>指一种常染色体隐性遗传的铜代谢缺陷病，以不同程度的肝细胞损害、脑退行性病变和角膜边缘有铜盐沉着环为其临床特征，并须满足下列全部条件：</w:t>
      </w:r>
    </w:p>
    <w:p>
      <w:pPr>
        <w:pStyle w:val="ListParagraph"/>
        <w:numPr>
          <w:ilvl w:val="0"/>
          <w:numId w:val="5"/>
        </w:numPr>
        <w:tabs>
          <w:tab w:pos="956" w:val="left" w:leader="none"/>
          <w:tab w:pos="957" w:val="left" w:leader="none"/>
        </w:tabs>
        <w:spacing w:line="240" w:lineRule="auto" w:before="21" w:after="0"/>
        <w:ind w:left="956" w:right="0" w:hanging="840"/>
        <w:jc w:val="left"/>
        <w:rPr>
          <w:rFonts w:ascii="宋体" w:eastAsia="宋体" w:hint="eastAsia"/>
          <w:sz w:val="21"/>
        </w:rPr>
      </w:pPr>
      <w:r>
        <w:rPr>
          <w:rFonts w:ascii="宋体" w:eastAsia="宋体" w:hint="eastAsia"/>
          <w:spacing w:val="-1"/>
          <w:sz w:val="21"/>
        </w:rPr>
        <w:t>典型症状；</w:t>
      </w:r>
    </w:p>
    <w:p>
      <w:pPr>
        <w:pStyle w:val="ListParagraph"/>
        <w:numPr>
          <w:ilvl w:val="0"/>
          <w:numId w:val="5"/>
        </w:numPr>
        <w:tabs>
          <w:tab w:pos="956" w:val="left" w:leader="none"/>
          <w:tab w:pos="957" w:val="left" w:leader="none"/>
        </w:tabs>
        <w:spacing w:line="240" w:lineRule="auto" w:before="82" w:after="0"/>
        <w:ind w:left="956" w:right="0" w:hanging="840"/>
        <w:jc w:val="left"/>
        <w:rPr>
          <w:rFonts w:ascii="宋体" w:eastAsia="宋体" w:hint="eastAsia"/>
          <w:sz w:val="21"/>
        </w:rPr>
      </w:pPr>
      <w:r>
        <w:rPr>
          <w:rFonts w:ascii="宋体" w:eastAsia="宋体" w:hint="eastAsia"/>
          <w:spacing w:val="-2"/>
          <w:sz w:val="21"/>
        </w:rPr>
        <w:t>角膜色素环</w:t>
      </w:r>
      <w:r>
        <w:rPr>
          <w:rFonts w:ascii="宋体" w:eastAsia="宋体" w:hint="eastAsia"/>
          <w:sz w:val="21"/>
        </w:rPr>
        <w:t>（K-F</w:t>
      </w:r>
      <w:r>
        <w:rPr>
          <w:rFonts w:ascii="宋体" w:eastAsia="宋体" w:hint="eastAsia"/>
          <w:spacing w:val="-24"/>
          <w:sz w:val="21"/>
        </w:rPr>
        <w:t> 环</w:t>
      </w:r>
      <w:r>
        <w:rPr>
          <w:rFonts w:ascii="宋体" w:eastAsia="宋体" w:hint="eastAsia"/>
          <w:spacing w:val="-106"/>
          <w:sz w:val="21"/>
        </w:rPr>
        <w:t>）；</w:t>
      </w:r>
    </w:p>
    <w:p>
      <w:pPr>
        <w:pStyle w:val="ListParagraph"/>
        <w:numPr>
          <w:ilvl w:val="0"/>
          <w:numId w:val="5"/>
        </w:numPr>
        <w:tabs>
          <w:tab w:pos="956" w:val="left" w:leader="none"/>
          <w:tab w:pos="957" w:val="left" w:leader="none"/>
        </w:tabs>
        <w:spacing w:line="240" w:lineRule="auto" w:before="85" w:after="0"/>
        <w:ind w:left="956" w:right="0" w:hanging="840"/>
        <w:jc w:val="left"/>
        <w:rPr>
          <w:rFonts w:ascii="宋体" w:eastAsia="宋体" w:hint="eastAsia"/>
          <w:sz w:val="21"/>
        </w:rPr>
      </w:pPr>
      <w:r>
        <w:rPr>
          <w:rFonts w:ascii="宋体" w:eastAsia="宋体" w:hint="eastAsia"/>
          <w:spacing w:val="-3"/>
          <w:sz w:val="21"/>
        </w:rPr>
        <w:t>血清铜和血清铜蓝蛋白降低，尿铜增加；</w:t>
      </w:r>
    </w:p>
    <w:p>
      <w:pPr>
        <w:pStyle w:val="ListParagraph"/>
        <w:numPr>
          <w:ilvl w:val="0"/>
          <w:numId w:val="5"/>
        </w:numPr>
        <w:tabs>
          <w:tab w:pos="956" w:val="left" w:leader="none"/>
          <w:tab w:pos="957" w:val="left" w:leader="none"/>
        </w:tabs>
        <w:spacing w:line="240" w:lineRule="auto" w:before="82" w:after="0"/>
        <w:ind w:left="957" w:right="0" w:hanging="841"/>
        <w:jc w:val="left"/>
        <w:rPr>
          <w:rFonts w:ascii="宋体" w:eastAsia="宋体" w:hint="eastAsia"/>
          <w:sz w:val="21"/>
        </w:rPr>
      </w:pPr>
      <w:r>
        <w:rPr>
          <w:rFonts w:ascii="宋体" w:eastAsia="宋体" w:hint="eastAsia"/>
          <w:spacing w:val="-3"/>
          <w:sz w:val="21"/>
        </w:rPr>
        <w:t>经皮做肝脏活检来定量分析肝脏铜的含量。</w:t>
      </w:r>
    </w:p>
    <w:p>
      <w:pPr>
        <w:pStyle w:val="BodyText"/>
        <w:spacing w:before="0"/>
        <w:ind w:left="0"/>
        <w:rPr>
          <w:sz w:val="20"/>
        </w:rPr>
      </w:pPr>
    </w:p>
    <w:p>
      <w:pPr>
        <w:pStyle w:val="BodyText"/>
        <w:spacing w:line="273" w:lineRule="auto" w:before="156"/>
        <w:ind w:right="210" w:hanging="1"/>
        <w:jc w:val="both"/>
      </w:pPr>
      <w:r>
        <w:rPr>
          <w:b/>
        </w:rPr>
        <w:t>毒品：</w:t>
      </w:r>
      <w:r>
        <w:rPr/>
        <w:t>指中华人民共和国刑法规定的鸦片、海洛因、甲基苯丙胺（冰毒</w:t>
      </w:r>
      <w:r>
        <w:rPr>
          <w:spacing w:val="-106"/>
        </w:rPr>
        <w:t>）</w:t>
      </w:r>
      <w:r>
        <w:rPr/>
        <w:t>、吗啡、大麻、可卡因以</w:t>
      </w:r>
      <w:r>
        <w:rPr>
          <w:spacing w:val="-3"/>
        </w:rPr>
        <w:t>及国家规定管制的其他能够使人形成瘾癖的麻醉药品和精神药品，但不包括由医生开具并遵医嘱使用的用于治疗疾病但含有毒品成分的处方药品。</w:t>
      </w:r>
    </w:p>
    <w:p>
      <w:pPr>
        <w:pStyle w:val="BodyText"/>
        <w:spacing w:line="283" w:lineRule="auto" w:before="8"/>
        <w:ind w:left="115" w:right="211"/>
        <w:jc w:val="both"/>
      </w:pPr>
      <w:r>
        <w:rPr>
          <w:b/>
        </w:rPr>
        <w:t>酒后驾驶：</w:t>
      </w:r>
      <w:r>
        <w:rPr/>
        <w:t>指经检测或鉴定，发生事故时车辆驾驶人员每百毫升血液中的酒精含量达到或超过一定的标准，公安机关交通管理部门依据《道路交通安全法》的规定认定为饮酒后驾驶或醉酒后驾驶。</w:t>
      </w:r>
      <w:r>
        <w:rPr>
          <w:b/>
        </w:rPr>
        <w:t>无合法有效驾驶证驾驶：</w:t>
      </w:r>
      <w:r>
        <w:rPr/>
        <w:t>指下列情形之一：</w:t>
      </w:r>
    </w:p>
    <w:p>
      <w:pPr>
        <w:pStyle w:val="BodyText"/>
        <w:spacing w:before="47"/>
      </w:pPr>
      <w:r>
        <w:rPr/>
        <w:t>（1）没有取得驾驶资格；</w:t>
      </w:r>
    </w:p>
    <w:p>
      <w:pPr>
        <w:pStyle w:val="BodyText"/>
      </w:pPr>
      <w:r>
        <w:rPr/>
        <w:t>（2）驾驶与驾驶证准驾车型不相符合的车辆；</w:t>
      </w:r>
    </w:p>
    <w:p>
      <w:pPr>
        <w:pStyle w:val="BodyText"/>
        <w:spacing w:before="85"/>
      </w:pPr>
      <w:r>
        <w:rPr/>
        <w:t>（3）持审验不合格的驾驶证驾驶；</w:t>
      </w:r>
    </w:p>
    <w:p>
      <w:pPr>
        <w:pStyle w:val="BodyText"/>
        <w:spacing w:line="292" w:lineRule="auto" w:before="58"/>
        <w:ind w:left="115" w:right="1156"/>
      </w:pPr>
      <w:r>
        <w:rPr/>
        <w:t>（4）持学习驾驶证学习驾车时，无教练员随车指导，或不按指定时间、路线学习驾车。</w:t>
      </w:r>
      <w:r>
        <w:rPr>
          <w:b/>
        </w:rPr>
        <w:t>无有效行驶证：</w:t>
      </w:r>
      <w:r>
        <w:rPr/>
        <w:t>指下列情形之一：</w:t>
      </w:r>
    </w:p>
    <w:p>
      <w:pPr>
        <w:pStyle w:val="BodyText"/>
        <w:spacing w:before="38"/>
        <w:ind w:left="115"/>
      </w:pPr>
      <w:r>
        <w:rPr/>
        <w:t>（1）机动车被依法注销登记的；</w:t>
      </w:r>
    </w:p>
    <w:p>
      <w:pPr>
        <w:pStyle w:val="BodyText"/>
        <w:spacing w:before="58"/>
        <w:ind w:left="115"/>
      </w:pPr>
      <w:r>
        <w:rPr/>
        <w:t>（2）未依法按时进行或通过机动车安全技术检验。</w:t>
      </w:r>
    </w:p>
    <w:p>
      <w:pPr>
        <w:spacing w:before="36"/>
        <w:ind w:left="115" w:right="0" w:firstLine="0"/>
        <w:jc w:val="left"/>
        <w:rPr>
          <w:sz w:val="21"/>
        </w:rPr>
      </w:pPr>
      <w:r>
        <w:rPr>
          <w:b/>
          <w:sz w:val="21"/>
        </w:rPr>
        <w:t>异位妊娠：</w:t>
      </w:r>
      <w:r>
        <w:rPr>
          <w:sz w:val="21"/>
        </w:rPr>
        <w:t>指受精卵种植在子宫体腔以外部位的妊娠。</w:t>
      </w:r>
    </w:p>
    <w:p>
      <w:pPr>
        <w:pStyle w:val="BodyText"/>
        <w:spacing w:line="273" w:lineRule="auto" w:before="36"/>
        <w:ind w:left="115" w:right="213"/>
      </w:pPr>
      <w:r>
        <w:rPr>
          <w:b/>
        </w:rPr>
        <w:t>遗传性疾病：</w:t>
      </w:r>
      <w:r>
        <w:rPr/>
        <w:t>指生殖细胞或受精卵的遗传物质（染色体和基因）发生突变或畸变所引起的疾病，通常具有由亲代传至后代的垂直传递的特征。</w:t>
      </w:r>
    </w:p>
    <w:p>
      <w:pPr>
        <w:pStyle w:val="BodyText"/>
        <w:spacing w:line="273" w:lineRule="auto" w:before="7"/>
        <w:ind w:left="115" w:right="113"/>
      </w:pPr>
      <w:r>
        <w:rPr>
          <w:b/>
          <w:spacing w:val="-3"/>
        </w:rPr>
        <w:t>先天性畸形、变形或染色体异常：</w:t>
      </w:r>
      <w:r>
        <w:rPr>
          <w:spacing w:val="-5"/>
        </w:rPr>
        <w:t>指被保险人出生时就具有的畸形、变形或染色体异常。先天性畸</w:t>
      </w:r>
      <w:r>
        <w:rPr>
          <w:spacing w:val="-7"/>
        </w:rPr>
        <w:t>形、变形和染色体异常依照世界卫生组织《疾病和有关健康问题的国际统计分类》</w:t>
      </w:r>
      <w:r>
        <w:rPr/>
        <w:t>（ICD-10）</w:t>
      </w:r>
      <w:r>
        <w:rPr>
          <w:spacing w:val="-3"/>
        </w:rPr>
        <w:t>确定。</w:t>
      </w:r>
      <w:r>
        <w:rPr>
          <w:b/>
        </w:rPr>
        <w:t>身份证明：</w:t>
      </w:r>
      <w:r>
        <w:rPr>
          <w:spacing w:val="-3"/>
        </w:rPr>
        <w:t>指由政府主管部门规定的证明其身份的证件，如：居民身份证、按规定可使用的有效护照、军官证、警官证、士兵证、户口簿等证件。</w:t>
      </w:r>
    </w:p>
    <w:p>
      <w:pPr>
        <w:spacing w:line="292" w:lineRule="auto" w:before="31"/>
        <w:ind w:left="115" w:right="627" w:firstLine="0"/>
        <w:jc w:val="left"/>
        <w:rPr>
          <w:sz w:val="21"/>
        </w:rPr>
      </w:pPr>
      <w:r>
        <w:rPr>
          <w:b/>
          <w:sz w:val="21"/>
        </w:rPr>
        <w:t>现金价值：</w:t>
      </w:r>
      <w:r>
        <w:rPr>
          <w:sz w:val="21"/>
        </w:rPr>
        <w:t>保险费扣除</w:t>
      </w:r>
      <w:r>
        <w:rPr>
          <w:b/>
          <w:sz w:val="21"/>
        </w:rPr>
        <w:t>手续费</w:t>
      </w:r>
      <w:r>
        <w:rPr>
          <w:sz w:val="21"/>
        </w:rPr>
        <w:t>后与保险单未满期天数的乘积除以保险单保险期间的实际天数。</w:t>
      </w:r>
      <w:r>
        <w:rPr>
          <w:b/>
          <w:sz w:val="21"/>
        </w:rPr>
        <w:t>手续费：</w:t>
      </w:r>
      <w:r>
        <w:rPr>
          <w:sz w:val="21"/>
        </w:rPr>
        <w:t>比例为保险费的 35%。</w:t>
      </w:r>
    </w:p>
    <w:sectPr>
      <w:pgSz w:w="11910" w:h="16840"/>
      <w:pgMar w:header="0" w:footer="997" w:top="1400" w:bottom="1180" w:left="13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3.320007pt;margin-top:781.059937pt;width:8.5pt;height:12pt;mso-position-horizontal-relative:page;mso-position-vertical-relative:page;z-index:-12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956" w:hanging="841"/>
        <w:jc w:val="left"/>
      </w:pPr>
      <w:rPr>
        <w:rFonts w:hint="default" w:ascii="宋体" w:hAnsi="宋体" w:eastAsia="宋体" w:cs="宋体"/>
        <w:w w:val="100"/>
        <w:sz w:val="21"/>
        <w:szCs w:val="21"/>
      </w:rPr>
    </w:lvl>
    <w:lvl w:ilvl="1">
      <w:start w:val="0"/>
      <w:numFmt w:val="bullet"/>
      <w:lvlText w:val="•"/>
      <w:lvlJc w:val="left"/>
      <w:pPr>
        <w:ind w:left="1800" w:hanging="841"/>
      </w:pPr>
      <w:rPr>
        <w:rFonts w:hint="default"/>
      </w:rPr>
    </w:lvl>
    <w:lvl w:ilvl="2">
      <w:start w:val="0"/>
      <w:numFmt w:val="bullet"/>
      <w:lvlText w:val="•"/>
      <w:lvlJc w:val="left"/>
      <w:pPr>
        <w:ind w:left="2641" w:hanging="841"/>
      </w:pPr>
      <w:rPr>
        <w:rFonts w:hint="default"/>
      </w:rPr>
    </w:lvl>
    <w:lvl w:ilvl="3">
      <w:start w:val="0"/>
      <w:numFmt w:val="bullet"/>
      <w:lvlText w:val="•"/>
      <w:lvlJc w:val="left"/>
      <w:pPr>
        <w:ind w:left="3481" w:hanging="841"/>
      </w:pPr>
      <w:rPr>
        <w:rFonts w:hint="default"/>
      </w:rPr>
    </w:lvl>
    <w:lvl w:ilvl="4">
      <w:start w:val="0"/>
      <w:numFmt w:val="bullet"/>
      <w:lvlText w:val="•"/>
      <w:lvlJc w:val="left"/>
      <w:pPr>
        <w:ind w:left="4322" w:hanging="841"/>
      </w:pPr>
      <w:rPr>
        <w:rFonts w:hint="default"/>
      </w:rPr>
    </w:lvl>
    <w:lvl w:ilvl="5">
      <w:start w:val="0"/>
      <w:numFmt w:val="bullet"/>
      <w:lvlText w:val="•"/>
      <w:lvlJc w:val="left"/>
      <w:pPr>
        <w:ind w:left="5163" w:hanging="841"/>
      </w:pPr>
      <w:rPr>
        <w:rFonts w:hint="default"/>
      </w:rPr>
    </w:lvl>
    <w:lvl w:ilvl="6">
      <w:start w:val="0"/>
      <w:numFmt w:val="bullet"/>
      <w:lvlText w:val="•"/>
      <w:lvlJc w:val="left"/>
      <w:pPr>
        <w:ind w:left="6003" w:hanging="841"/>
      </w:pPr>
      <w:rPr>
        <w:rFonts w:hint="default"/>
      </w:rPr>
    </w:lvl>
    <w:lvl w:ilvl="7">
      <w:start w:val="0"/>
      <w:numFmt w:val="bullet"/>
      <w:lvlText w:val="•"/>
      <w:lvlJc w:val="left"/>
      <w:pPr>
        <w:ind w:left="6844" w:hanging="841"/>
      </w:pPr>
      <w:rPr>
        <w:rFonts w:hint="default"/>
      </w:rPr>
    </w:lvl>
    <w:lvl w:ilvl="8">
      <w:start w:val="0"/>
      <w:numFmt w:val="bullet"/>
      <w:lvlText w:val="•"/>
      <w:lvlJc w:val="left"/>
      <w:pPr>
        <w:ind w:left="7685" w:hanging="841"/>
      </w:pPr>
      <w:rPr>
        <w:rFonts w:hint="default"/>
      </w:rPr>
    </w:lvl>
  </w:abstractNum>
  <w:abstractNum w:abstractNumId="3">
    <w:multiLevelType w:val="hybridMultilevel"/>
    <w:lvl w:ilvl="0">
      <w:start w:val="1"/>
      <w:numFmt w:val="decimal"/>
      <w:lvlText w:val="（%1）"/>
      <w:lvlJc w:val="left"/>
      <w:pPr>
        <w:ind w:left="747" w:hanging="632"/>
        <w:jc w:val="left"/>
      </w:pPr>
      <w:rPr>
        <w:rFonts w:hint="default" w:ascii="宋体" w:hAnsi="宋体" w:eastAsia="宋体" w:cs="宋体"/>
        <w:w w:val="100"/>
        <w:sz w:val="21"/>
        <w:szCs w:val="21"/>
      </w:rPr>
    </w:lvl>
    <w:lvl w:ilvl="1">
      <w:start w:val="0"/>
      <w:numFmt w:val="bullet"/>
      <w:lvlText w:val="•"/>
      <w:lvlJc w:val="left"/>
      <w:pPr>
        <w:ind w:left="1602" w:hanging="632"/>
      </w:pPr>
      <w:rPr>
        <w:rFonts w:hint="default"/>
      </w:rPr>
    </w:lvl>
    <w:lvl w:ilvl="2">
      <w:start w:val="0"/>
      <w:numFmt w:val="bullet"/>
      <w:lvlText w:val="•"/>
      <w:lvlJc w:val="left"/>
      <w:pPr>
        <w:ind w:left="2465" w:hanging="632"/>
      </w:pPr>
      <w:rPr>
        <w:rFonts w:hint="default"/>
      </w:rPr>
    </w:lvl>
    <w:lvl w:ilvl="3">
      <w:start w:val="0"/>
      <w:numFmt w:val="bullet"/>
      <w:lvlText w:val="•"/>
      <w:lvlJc w:val="left"/>
      <w:pPr>
        <w:ind w:left="3327" w:hanging="632"/>
      </w:pPr>
      <w:rPr>
        <w:rFonts w:hint="default"/>
      </w:rPr>
    </w:lvl>
    <w:lvl w:ilvl="4">
      <w:start w:val="0"/>
      <w:numFmt w:val="bullet"/>
      <w:lvlText w:val="•"/>
      <w:lvlJc w:val="left"/>
      <w:pPr>
        <w:ind w:left="4190" w:hanging="632"/>
      </w:pPr>
      <w:rPr>
        <w:rFonts w:hint="default"/>
      </w:rPr>
    </w:lvl>
    <w:lvl w:ilvl="5">
      <w:start w:val="0"/>
      <w:numFmt w:val="bullet"/>
      <w:lvlText w:val="•"/>
      <w:lvlJc w:val="left"/>
      <w:pPr>
        <w:ind w:left="5053" w:hanging="632"/>
      </w:pPr>
      <w:rPr>
        <w:rFonts w:hint="default"/>
      </w:rPr>
    </w:lvl>
    <w:lvl w:ilvl="6">
      <w:start w:val="0"/>
      <w:numFmt w:val="bullet"/>
      <w:lvlText w:val="•"/>
      <w:lvlJc w:val="left"/>
      <w:pPr>
        <w:ind w:left="5915" w:hanging="632"/>
      </w:pPr>
      <w:rPr>
        <w:rFonts w:hint="default"/>
      </w:rPr>
    </w:lvl>
    <w:lvl w:ilvl="7">
      <w:start w:val="0"/>
      <w:numFmt w:val="bullet"/>
      <w:lvlText w:val="•"/>
      <w:lvlJc w:val="left"/>
      <w:pPr>
        <w:ind w:left="6778" w:hanging="632"/>
      </w:pPr>
      <w:rPr>
        <w:rFonts w:hint="default"/>
      </w:rPr>
    </w:lvl>
    <w:lvl w:ilvl="8">
      <w:start w:val="0"/>
      <w:numFmt w:val="bullet"/>
      <w:lvlText w:val="•"/>
      <w:lvlJc w:val="left"/>
      <w:pPr>
        <w:ind w:left="7641" w:hanging="632"/>
      </w:pPr>
      <w:rPr>
        <w:rFonts w:hint="default"/>
      </w:rPr>
    </w:lvl>
  </w:abstractNum>
  <w:abstractNum w:abstractNumId="2">
    <w:multiLevelType w:val="hybridMultilevel"/>
    <w:lvl w:ilvl="0">
      <w:start w:val="1"/>
      <w:numFmt w:val="decimal"/>
      <w:lvlText w:val="%1."/>
      <w:lvlJc w:val="left"/>
      <w:pPr>
        <w:ind w:left="852" w:hanging="317"/>
        <w:jc w:val="left"/>
      </w:pPr>
      <w:rPr>
        <w:rFonts w:hint="default" w:ascii="宋体" w:hAnsi="宋体" w:eastAsia="宋体" w:cs="宋体"/>
        <w:w w:val="100"/>
        <w:sz w:val="21"/>
        <w:szCs w:val="21"/>
      </w:rPr>
    </w:lvl>
    <w:lvl w:ilvl="1">
      <w:start w:val="0"/>
      <w:numFmt w:val="bullet"/>
      <w:lvlText w:val="•"/>
      <w:lvlJc w:val="left"/>
      <w:pPr>
        <w:ind w:left="1708" w:hanging="317"/>
      </w:pPr>
      <w:rPr>
        <w:rFonts w:hint="default"/>
      </w:rPr>
    </w:lvl>
    <w:lvl w:ilvl="2">
      <w:start w:val="0"/>
      <w:numFmt w:val="bullet"/>
      <w:lvlText w:val="•"/>
      <w:lvlJc w:val="left"/>
      <w:pPr>
        <w:ind w:left="2557" w:hanging="317"/>
      </w:pPr>
      <w:rPr>
        <w:rFonts w:hint="default"/>
      </w:rPr>
    </w:lvl>
    <w:lvl w:ilvl="3">
      <w:start w:val="0"/>
      <w:numFmt w:val="bullet"/>
      <w:lvlText w:val="•"/>
      <w:lvlJc w:val="left"/>
      <w:pPr>
        <w:ind w:left="3405" w:hanging="317"/>
      </w:pPr>
      <w:rPr>
        <w:rFonts w:hint="default"/>
      </w:rPr>
    </w:lvl>
    <w:lvl w:ilvl="4">
      <w:start w:val="0"/>
      <w:numFmt w:val="bullet"/>
      <w:lvlText w:val="•"/>
      <w:lvlJc w:val="left"/>
      <w:pPr>
        <w:ind w:left="4254" w:hanging="317"/>
      </w:pPr>
      <w:rPr>
        <w:rFonts w:hint="default"/>
      </w:rPr>
    </w:lvl>
    <w:lvl w:ilvl="5">
      <w:start w:val="0"/>
      <w:numFmt w:val="bullet"/>
      <w:lvlText w:val="•"/>
      <w:lvlJc w:val="left"/>
      <w:pPr>
        <w:ind w:left="5103" w:hanging="317"/>
      </w:pPr>
      <w:rPr>
        <w:rFonts w:hint="default"/>
      </w:rPr>
    </w:lvl>
    <w:lvl w:ilvl="6">
      <w:start w:val="0"/>
      <w:numFmt w:val="bullet"/>
      <w:lvlText w:val="•"/>
      <w:lvlJc w:val="left"/>
      <w:pPr>
        <w:ind w:left="5951" w:hanging="317"/>
      </w:pPr>
      <w:rPr>
        <w:rFonts w:hint="default"/>
      </w:rPr>
    </w:lvl>
    <w:lvl w:ilvl="7">
      <w:start w:val="0"/>
      <w:numFmt w:val="bullet"/>
      <w:lvlText w:val="•"/>
      <w:lvlJc w:val="left"/>
      <w:pPr>
        <w:ind w:left="6800" w:hanging="317"/>
      </w:pPr>
      <w:rPr>
        <w:rFonts w:hint="default"/>
      </w:rPr>
    </w:lvl>
    <w:lvl w:ilvl="8">
      <w:start w:val="0"/>
      <w:numFmt w:val="bullet"/>
      <w:lvlText w:val="•"/>
      <w:lvlJc w:val="left"/>
      <w:pPr>
        <w:ind w:left="7649" w:hanging="317"/>
      </w:pPr>
      <w:rPr>
        <w:rFonts w:hint="default"/>
      </w:rPr>
    </w:lvl>
  </w:abstractNum>
  <w:abstractNum w:abstractNumId="1">
    <w:multiLevelType w:val="hybridMultilevel"/>
    <w:lvl w:ilvl="0">
      <w:start w:val="14"/>
      <w:numFmt w:val="decimal"/>
      <w:lvlText w:val="%1."/>
      <w:lvlJc w:val="left"/>
      <w:pPr>
        <w:ind w:left="960" w:hanging="420"/>
        <w:jc w:val="left"/>
      </w:pPr>
      <w:rPr>
        <w:rFonts w:hint="default" w:ascii="黑体" w:hAnsi="黑体" w:eastAsia="黑体" w:cs="黑体"/>
        <w:w w:val="100"/>
        <w:sz w:val="24"/>
        <w:szCs w:val="24"/>
      </w:rPr>
    </w:lvl>
    <w:lvl w:ilvl="1">
      <w:start w:val="0"/>
      <w:numFmt w:val="bullet"/>
      <w:lvlText w:val="•"/>
      <w:lvlJc w:val="left"/>
      <w:pPr>
        <w:ind w:left="1798" w:hanging="420"/>
      </w:pPr>
      <w:rPr>
        <w:rFonts w:hint="default"/>
      </w:rPr>
    </w:lvl>
    <w:lvl w:ilvl="2">
      <w:start w:val="0"/>
      <w:numFmt w:val="bullet"/>
      <w:lvlText w:val="•"/>
      <w:lvlJc w:val="left"/>
      <w:pPr>
        <w:ind w:left="2637" w:hanging="420"/>
      </w:pPr>
      <w:rPr>
        <w:rFonts w:hint="default"/>
      </w:rPr>
    </w:lvl>
    <w:lvl w:ilvl="3">
      <w:start w:val="0"/>
      <w:numFmt w:val="bullet"/>
      <w:lvlText w:val="•"/>
      <w:lvlJc w:val="left"/>
      <w:pPr>
        <w:ind w:left="3475" w:hanging="420"/>
      </w:pPr>
      <w:rPr>
        <w:rFonts w:hint="default"/>
      </w:rPr>
    </w:lvl>
    <w:lvl w:ilvl="4">
      <w:start w:val="0"/>
      <w:numFmt w:val="bullet"/>
      <w:lvlText w:val="•"/>
      <w:lvlJc w:val="left"/>
      <w:pPr>
        <w:ind w:left="4314" w:hanging="420"/>
      </w:pPr>
      <w:rPr>
        <w:rFonts w:hint="default"/>
      </w:rPr>
    </w:lvl>
    <w:lvl w:ilvl="5">
      <w:start w:val="0"/>
      <w:numFmt w:val="bullet"/>
      <w:lvlText w:val="•"/>
      <w:lvlJc w:val="left"/>
      <w:pPr>
        <w:ind w:left="5153" w:hanging="420"/>
      </w:pPr>
      <w:rPr>
        <w:rFonts w:hint="default"/>
      </w:rPr>
    </w:lvl>
    <w:lvl w:ilvl="6">
      <w:start w:val="0"/>
      <w:numFmt w:val="bullet"/>
      <w:lvlText w:val="•"/>
      <w:lvlJc w:val="left"/>
      <w:pPr>
        <w:ind w:left="5991" w:hanging="420"/>
      </w:pPr>
      <w:rPr>
        <w:rFonts w:hint="default"/>
      </w:rPr>
    </w:lvl>
    <w:lvl w:ilvl="7">
      <w:start w:val="0"/>
      <w:numFmt w:val="bullet"/>
      <w:lvlText w:val="•"/>
      <w:lvlJc w:val="left"/>
      <w:pPr>
        <w:ind w:left="6830" w:hanging="420"/>
      </w:pPr>
      <w:rPr>
        <w:rFonts w:hint="default"/>
      </w:rPr>
    </w:lvl>
    <w:lvl w:ilvl="8">
      <w:start w:val="0"/>
      <w:numFmt w:val="bullet"/>
      <w:lvlText w:val="•"/>
      <w:lvlJc w:val="left"/>
      <w:pPr>
        <w:ind w:left="7669" w:hanging="420"/>
      </w:pPr>
      <w:rPr>
        <w:rFonts w:hint="default"/>
      </w:rPr>
    </w:lvl>
  </w:abstractNum>
  <w:abstractNum w:abstractNumId="0">
    <w:multiLevelType w:val="hybridMultilevel"/>
    <w:lvl w:ilvl="0">
      <w:start w:val="1"/>
      <w:numFmt w:val="decimal"/>
      <w:lvlText w:val="%1."/>
      <w:lvlJc w:val="left"/>
      <w:pPr>
        <w:ind w:left="960" w:hanging="416"/>
        <w:jc w:val="left"/>
      </w:pPr>
      <w:rPr>
        <w:rFonts w:hint="default" w:ascii="黑体" w:hAnsi="黑体" w:eastAsia="黑体" w:cs="黑体"/>
        <w:w w:val="100"/>
        <w:sz w:val="24"/>
        <w:szCs w:val="24"/>
      </w:rPr>
    </w:lvl>
    <w:lvl w:ilvl="1">
      <w:start w:val="0"/>
      <w:numFmt w:val="bullet"/>
      <w:lvlText w:val="•"/>
      <w:lvlJc w:val="left"/>
      <w:pPr>
        <w:ind w:left="1790" w:hanging="416"/>
      </w:pPr>
      <w:rPr>
        <w:rFonts w:hint="default"/>
      </w:rPr>
    </w:lvl>
    <w:lvl w:ilvl="2">
      <w:start w:val="0"/>
      <w:numFmt w:val="bullet"/>
      <w:lvlText w:val="•"/>
      <w:lvlJc w:val="left"/>
      <w:pPr>
        <w:ind w:left="2621" w:hanging="416"/>
      </w:pPr>
      <w:rPr>
        <w:rFonts w:hint="default"/>
      </w:rPr>
    </w:lvl>
    <w:lvl w:ilvl="3">
      <w:start w:val="0"/>
      <w:numFmt w:val="bullet"/>
      <w:lvlText w:val="•"/>
      <w:lvlJc w:val="left"/>
      <w:pPr>
        <w:ind w:left="3451" w:hanging="416"/>
      </w:pPr>
      <w:rPr>
        <w:rFonts w:hint="default"/>
      </w:rPr>
    </w:lvl>
    <w:lvl w:ilvl="4">
      <w:start w:val="0"/>
      <w:numFmt w:val="bullet"/>
      <w:lvlText w:val="•"/>
      <w:lvlJc w:val="left"/>
      <w:pPr>
        <w:ind w:left="4282" w:hanging="416"/>
      </w:pPr>
      <w:rPr>
        <w:rFonts w:hint="default"/>
      </w:rPr>
    </w:lvl>
    <w:lvl w:ilvl="5">
      <w:start w:val="0"/>
      <w:numFmt w:val="bullet"/>
      <w:lvlText w:val="•"/>
      <w:lvlJc w:val="left"/>
      <w:pPr>
        <w:ind w:left="5113" w:hanging="416"/>
      </w:pPr>
      <w:rPr>
        <w:rFonts w:hint="default"/>
      </w:rPr>
    </w:lvl>
    <w:lvl w:ilvl="6">
      <w:start w:val="0"/>
      <w:numFmt w:val="bullet"/>
      <w:lvlText w:val="•"/>
      <w:lvlJc w:val="left"/>
      <w:pPr>
        <w:ind w:left="5943" w:hanging="416"/>
      </w:pPr>
      <w:rPr>
        <w:rFonts w:hint="default"/>
      </w:rPr>
    </w:lvl>
    <w:lvl w:ilvl="7">
      <w:start w:val="0"/>
      <w:numFmt w:val="bullet"/>
      <w:lvlText w:val="•"/>
      <w:lvlJc w:val="left"/>
      <w:pPr>
        <w:ind w:left="6774" w:hanging="416"/>
      </w:pPr>
      <w:rPr>
        <w:rFonts w:hint="default"/>
      </w:rPr>
    </w:lvl>
    <w:lvl w:ilvl="8">
      <w:start w:val="0"/>
      <w:numFmt w:val="bullet"/>
      <w:lvlText w:val="•"/>
      <w:lvlJc w:val="left"/>
      <w:pPr>
        <w:ind w:left="7605" w:hanging="416"/>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34"/>
      <w:ind w:left="115"/>
    </w:pPr>
    <w:rPr>
      <w:rFonts w:ascii="宋体" w:hAnsi="宋体" w:eastAsia="宋体" w:cs="宋体"/>
      <w:b/>
      <w:bCs/>
      <w:sz w:val="20"/>
      <w:szCs w:val="20"/>
    </w:rPr>
  </w:style>
  <w:style w:styleId="TOC2" w:type="paragraph">
    <w:name w:val="TOC 2"/>
    <w:basedOn w:val="Normal"/>
    <w:uiPriority w:val="1"/>
    <w:qFormat/>
    <w:pPr>
      <w:spacing w:before="34"/>
      <w:ind w:left="327"/>
    </w:pPr>
    <w:rPr>
      <w:rFonts w:ascii="宋体" w:hAnsi="宋体" w:eastAsia="宋体" w:cs="宋体"/>
      <w:sz w:val="20"/>
      <w:szCs w:val="20"/>
    </w:rPr>
  </w:style>
  <w:style w:styleId="BodyText" w:type="paragraph">
    <w:name w:val="Body Text"/>
    <w:basedOn w:val="Normal"/>
    <w:uiPriority w:val="1"/>
    <w:qFormat/>
    <w:pPr>
      <w:spacing w:before="82"/>
      <w:ind w:left="116"/>
    </w:pPr>
    <w:rPr>
      <w:rFonts w:ascii="宋体" w:hAnsi="宋体" w:eastAsia="宋体" w:cs="宋体"/>
      <w:sz w:val="21"/>
      <w:szCs w:val="21"/>
    </w:rPr>
  </w:style>
  <w:style w:styleId="Heading1" w:type="paragraph">
    <w:name w:val="Heading 1"/>
    <w:basedOn w:val="Normal"/>
    <w:uiPriority w:val="1"/>
    <w:qFormat/>
    <w:pPr>
      <w:spacing w:before="3"/>
      <w:ind w:left="3017"/>
      <w:outlineLvl w:val="1"/>
    </w:pPr>
    <w:rPr>
      <w:rFonts w:ascii="宋体" w:hAnsi="宋体" w:eastAsia="宋体" w:cs="宋体"/>
      <w:b/>
      <w:bCs/>
      <w:sz w:val="28"/>
      <w:szCs w:val="28"/>
    </w:rPr>
  </w:style>
  <w:style w:styleId="Heading2" w:type="paragraph">
    <w:name w:val="Heading 2"/>
    <w:basedOn w:val="Normal"/>
    <w:uiPriority w:val="1"/>
    <w:qFormat/>
    <w:pPr>
      <w:spacing w:before="17"/>
      <w:ind w:left="115"/>
      <w:outlineLvl w:val="2"/>
    </w:pPr>
    <w:rPr>
      <w:rFonts w:ascii="宋体" w:hAnsi="宋体" w:eastAsia="宋体" w:cs="宋体"/>
      <w:b/>
      <w:bCs/>
      <w:sz w:val="21"/>
      <w:szCs w:val="21"/>
    </w:rPr>
  </w:style>
  <w:style w:styleId="ListParagraph" w:type="paragraph">
    <w:name w:val="List Paragraph"/>
    <w:basedOn w:val="Normal"/>
    <w:uiPriority w:val="1"/>
    <w:qFormat/>
    <w:pPr>
      <w:spacing w:before="43"/>
      <w:ind w:left="960" w:hanging="420"/>
    </w:pPr>
    <w:rPr>
      <w:rFonts w:ascii="黑体" w:hAnsi="黑体" w:eastAsia="黑体" w:cs="黑体"/>
    </w:rPr>
  </w:style>
  <w:style w:styleId="TableParagraph" w:type="paragraph">
    <w:name w:val="Table Paragraph"/>
    <w:basedOn w:val="Normal"/>
    <w:uiPriority w:val="1"/>
    <w:qFormat/>
    <w:pPr>
      <w:spacing w:before="6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Wilton</dc:creator>
  <dc:title>光大永明人寿保险有限公司 </dc:title>
  <dcterms:created xsi:type="dcterms:W3CDTF">2018-10-20T03:46:38Z</dcterms:created>
  <dcterms:modified xsi:type="dcterms:W3CDTF">2018-10-20T03:46:38Z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10.1 Word 版</vt:lpwstr>
  </property>
  <property fmtid="{D5CDD505-2E9C-101B-9397-08002B2CF9AE}" pid="4" name="LastSaved">
    <vt:filetime>2018-10-19T00:00:00Z</vt:filetime>
  </property>
</Properties>
</file>